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51AC6B9" w14:textId="77777777" w:rsidTr="00BF1190">
        <w:trPr>
          <w:trHeight w:val="1863"/>
        </w:trPr>
        <w:tc>
          <w:tcPr>
            <w:tcW w:w="3652" w:type="dxa"/>
            <w:tcBorders>
              <w:top w:val="nil"/>
              <w:left w:val="nil"/>
              <w:bottom w:val="nil"/>
              <w:right w:val="nil"/>
            </w:tcBorders>
          </w:tcPr>
          <w:p w14:paraId="0425B198" w14:textId="7FD6AEB6" w:rsidR="008E7846" w:rsidRPr="00096AA7" w:rsidRDefault="00302EA0" w:rsidP="00096AA7">
            <w:pPr>
              <w:rPr>
                <w:rFonts w:ascii="Arial" w:hAnsi="Arial" w:cs="Arial"/>
                <w:b/>
                <w:color w:val="002C47"/>
                <w:sz w:val="36"/>
                <w:szCs w:val="36"/>
              </w:rPr>
            </w:pPr>
            <w:r>
              <w:rPr>
                <w:rFonts w:ascii="Arial" w:hAnsi="Arial" w:cs="Arial"/>
                <w:b/>
                <w:color w:val="002C47"/>
                <w:sz w:val="36"/>
                <w:szCs w:val="36"/>
              </w:rPr>
              <w:t>May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B84610E" w14:textId="77777777" w:rsidTr="0032583B">
        <w:trPr>
          <w:trHeight w:val="868"/>
        </w:trPr>
        <w:tc>
          <w:tcPr>
            <w:tcW w:w="9079" w:type="dxa"/>
          </w:tcPr>
          <w:p w14:paraId="5F466B04" w14:textId="77777777"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1218E5" w:rsidRPr="001218E5">
              <w:rPr>
                <w:color w:val="FFFFFF" w:themeColor="background1"/>
              </w:rPr>
              <w:t>Deutetrabenazine</w:t>
            </w:r>
            <w:proofErr w:type="spellEnd"/>
          </w:p>
        </w:tc>
      </w:tr>
      <w:tr w:rsidR="0032583B" w:rsidRPr="00B64760" w14:paraId="6A9F0538" w14:textId="77777777" w:rsidTr="0032583B">
        <w:tc>
          <w:tcPr>
            <w:tcW w:w="9079" w:type="dxa"/>
          </w:tcPr>
          <w:p w14:paraId="108C1F72" w14:textId="77777777"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1218E5">
              <w:rPr>
                <w:color w:val="FFFFFF" w:themeColor="background1"/>
              </w:rPr>
              <w:t>Austedo</w:t>
            </w:r>
            <w:proofErr w:type="spellEnd"/>
          </w:p>
        </w:tc>
      </w:tr>
      <w:tr w:rsidR="0032583B" w:rsidRPr="00B64760" w14:paraId="751D669E" w14:textId="77777777" w:rsidTr="0032583B">
        <w:trPr>
          <w:trHeight w:val="486"/>
        </w:trPr>
        <w:tc>
          <w:tcPr>
            <w:tcW w:w="9079" w:type="dxa"/>
          </w:tcPr>
          <w:p w14:paraId="71982702" w14:textId="77777777" w:rsidR="001218E5" w:rsidRPr="001218E5" w:rsidRDefault="00460036" w:rsidP="001218E5">
            <w:pPr>
              <w:pStyle w:val="Subtitle"/>
              <w:rPr>
                <w:color w:val="FFFFFF" w:themeColor="background1"/>
              </w:rPr>
            </w:pPr>
            <w:r>
              <w:rPr>
                <w:color w:val="FFFFFF" w:themeColor="background1"/>
              </w:rPr>
              <w:t xml:space="preserve">Sponsor: </w:t>
            </w:r>
            <w:r w:rsidR="001218E5" w:rsidRPr="001218E5">
              <w:rPr>
                <w:color w:val="FFFFFF" w:themeColor="background1"/>
              </w:rPr>
              <w:t>Teva Pharma Australia Pty Ltd</w:t>
            </w:r>
          </w:p>
        </w:tc>
      </w:tr>
    </w:tbl>
    <w:p w14:paraId="03F6B503" w14:textId="77777777" w:rsidR="008E7846" w:rsidRPr="0085156D" w:rsidRDefault="008E7846" w:rsidP="0085156D">
      <w:r w:rsidRPr="0085156D">
        <w:br w:type="page"/>
      </w:r>
    </w:p>
    <w:p w14:paraId="2A8AE013" w14:textId="77777777" w:rsidR="008E7846" w:rsidRPr="001F6CBA" w:rsidRDefault="008E7846" w:rsidP="008E7846">
      <w:pPr>
        <w:pStyle w:val="NonTOCHeading2"/>
      </w:pPr>
      <w:r w:rsidRPr="001F6CBA">
        <w:lastRenderedPageBreak/>
        <w:t>About the Therapeutic Goods Administration (TGA)</w:t>
      </w:r>
    </w:p>
    <w:p w14:paraId="2CC30448"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0880DA8"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E80B529"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AB2922D"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F9EAF9A" w14:textId="179F103A"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5C3661B" w14:textId="77777777" w:rsidR="008E7846" w:rsidRDefault="008E7846" w:rsidP="00875A6B">
      <w:pPr>
        <w:pStyle w:val="NonTOCHeading2"/>
      </w:pPr>
      <w:r>
        <w:t xml:space="preserve">About </w:t>
      </w:r>
      <w:proofErr w:type="spellStart"/>
      <w:r>
        <w:t>AusPARs</w:t>
      </w:r>
      <w:proofErr w:type="spellEnd"/>
    </w:p>
    <w:p w14:paraId="64311EBB"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B74CEC3"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B2CFF15"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842A63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FEF60C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D61639F" w14:textId="77777777" w:rsidR="00924482" w:rsidRPr="00DF1D7F" w:rsidRDefault="00924482" w:rsidP="00F54B65">
      <w:pPr>
        <w:pStyle w:val="LegalSubheading"/>
        <w:spacing w:before="3120"/>
      </w:pPr>
      <w:r w:rsidRPr="00DF1D7F">
        <w:t>Copyright</w:t>
      </w:r>
    </w:p>
    <w:p w14:paraId="1C37D216" w14:textId="4C3E3DF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02EA0">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24834B45"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BEB4F29" w14:textId="77777777" w:rsidR="0089635C" w:rsidRPr="0089635C" w:rsidRDefault="0089635C" w:rsidP="0010788A">
          <w:pPr>
            <w:pStyle w:val="Contents"/>
          </w:pPr>
          <w:r w:rsidRPr="0010788A">
            <w:t>Contents</w:t>
          </w:r>
        </w:p>
        <w:p w14:paraId="074C3097" w14:textId="14055D69" w:rsidR="000C3739"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4471049" w:history="1">
            <w:r w:rsidR="000C3739" w:rsidRPr="00CE6140">
              <w:rPr>
                <w:rStyle w:val="Hyperlink"/>
                <w:noProof/>
              </w:rPr>
              <w:t>List of abbreviations</w:t>
            </w:r>
            <w:r w:rsidR="000C3739">
              <w:rPr>
                <w:noProof/>
                <w:webHidden/>
              </w:rPr>
              <w:tab/>
            </w:r>
            <w:r w:rsidR="000C3739">
              <w:rPr>
                <w:noProof/>
                <w:webHidden/>
              </w:rPr>
              <w:fldChar w:fldCharType="begin"/>
            </w:r>
            <w:r w:rsidR="000C3739">
              <w:rPr>
                <w:noProof/>
                <w:webHidden/>
              </w:rPr>
              <w:instrText xml:space="preserve"> PAGEREF _Toc104471049 \h </w:instrText>
            </w:r>
            <w:r w:rsidR="000C3739">
              <w:rPr>
                <w:noProof/>
                <w:webHidden/>
              </w:rPr>
            </w:r>
            <w:r w:rsidR="000C3739">
              <w:rPr>
                <w:noProof/>
                <w:webHidden/>
              </w:rPr>
              <w:fldChar w:fldCharType="separate"/>
            </w:r>
            <w:r w:rsidR="000C3739">
              <w:rPr>
                <w:noProof/>
                <w:webHidden/>
              </w:rPr>
              <w:t>4</w:t>
            </w:r>
            <w:r w:rsidR="000C3739">
              <w:rPr>
                <w:noProof/>
                <w:webHidden/>
              </w:rPr>
              <w:fldChar w:fldCharType="end"/>
            </w:r>
          </w:hyperlink>
        </w:p>
        <w:p w14:paraId="10F0B772" w14:textId="240A0B9B" w:rsidR="000C3739" w:rsidRDefault="000C3739">
          <w:pPr>
            <w:pStyle w:val="TOC1"/>
            <w:rPr>
              <w:rFonts w:asciiTheme="minorHAnsi" w:eastAsiaTheme="minorEastAsia" w:hAnsiTheme="minorHAnsi" w:cstheme="minorBidi"/>
              <w:b w:val="0"/>
              <w:noProof/>
              <w:sz w:val="22"/>
              <w:lang w:eastAsia="en-AU"/>
            </w:rPr>
          </w:pPr>
          <w:hyperlink w:anchor="_Toc104471050" w:history="1">
            <w:r w:rsidRPr="00CE6140">
              <w:rPr>
                <w:rStyle w:val="Hyperlink"/>
                <w:noProof/>
              </w:rPr>
              <w:t>I. Introduction to product submission</w:t>
            </w:r>
            <w:r>
              <w:rPr>
                <w:noProof/>
                <w:webHidden/>
              </w:rPr>
              <w:tab/>
            </w:r>
            <w:r>
              <w:rPr>
                <w:noProof/>
                <w:webHidden/>
              </w:rPr>
              <w:fldChar w:fldCharType="begin"/>
            </w:r>
            <w:r>
              <w:rPr>
                <w:noProof/>
                <w:webHidden/>
              </w:rPr>
              <w:instrText xml:space="preserve"> PAGEREF _Toc104471050 \h </w:instrText>
            </w:r>
            <w:r>
              <w:rPr>
                <w:noProof/>
                <w:webHidden/>
              </w:rPr>
            </w:r>
            <w:r>
              <w:rPr>
                <w:noProof/>
                <w:webHidden/>
              </w:rPr>
              <w:fldChar w:fldCharType="separate"/>
            </w:r>
            <w:r>
              <w:rPr>
                <w:noProof/>
                <w:webHidden/>
              </w:rPr>
              <w:t>6</w:t>
            </w:r>
            <w:r>
              <w:rPr>
                <w:noProof/>
                <w:webHidden/>
              </w:rPr>
              <w:fldChar w:fldCharType="end"/>
            </w:r>
          </w:hyperlink>
        </w:p>
        <w:p w14:paraId="7DBA58CB" w14:textId="05BA7214" w:rsidR="000C3739" w:rsidRDefault="000C3739">
          <w:pPr>
            <w:pStyle w:val="TOC2"/>
            <w:rPr>
              <w:rFonts w:asciiTheme="minorHAnsi" w:eastAsiaTheme="minorEastAsia" w:hAnsiTheme="minorHAnsi" w:cstheme="minorBidi"/>
              <w:b w:val="0"/>
              <w:noProof/>
              <w:sz w:val="22"/>
              <w:lang w:eastAsia="en-AU"/>
            </w:rPr>
          </w:pPr>
          <w:hyperlink w:anchor="_Toc104471051" w:history="1">
            <w:r w:rsidRPr="00CE6140">
              <w:rPr>
                <w:rStyle w:val="Hyperlink"/>
                <w:noProof/>
                <w:lang w:eastAsia="en-AU"/>
              </w:rPr>
              <w:t>Submission details</w:t>
            </w:r>
            <w:r>
              <w:rPr>
                <w:noProof/>
                <w:webHidden/>
              </w:rPr>
              <w:tab/>
            </w:r>
            <w:r>
              <w:rPr>
                <w:noProof/>
                <w:webHidden/>
              </w:rPr>
              <w:fldChar w:fldCharType="begin"/>
            </w:r>
            <w:r>
              <w:rPr>
                <w:noProof/>
                <w:webHidden/>
              </w:rPr>
              <w:instrText xml:space="preserve"> PAGEREF _Toc104471051 \h </w:instrText>
            </w:r>
            <w:r>
              <w:rPr>
                <w:noProof/>
                <w:webHidden/>
              </w:rPr>
            </w:r>
            <w:r>
              <w:rPr>
                <w:noProof/>
                <w:webHidden/>
              </w:rPr>
              <w:fldChar w:fldCharType="separate"/>
            </w:r>
            <w:r>
              <w:rPr>
                <w:noProof/>
                <w:webHidden/>
              </w:rPr>
              <w:t>6</w:t>
            </w:r>
            <w:r>
              <w:rPr>
                <w:noProof/>
                <w:webHidden/>
              </w:rPr>
              <w:fldChar w:fldCharType="end"/>
            </w:r>
          </w:hyperlink>
        </w:p>
        <w:p w14:paraId="70ED4F6A" w14:textId="3AD323DF" w:rsidR="000C3739" w:rsidRDefault="000C3739">
          <w:pPr>
            <w:pStyle w:val="TOC2"/>
            <w:rPr>
              <w:rFonts w:asciiTheme="minorHAnsi" w:eastAsiaTheme="minorEastAsia" w:hAnsiTheme="minorHAnsi" w:cstheme="minorBidi"/>
              <w:b w:val="0"/>
              <w:noProof/>
              <w:sz w:val="22"/>
              <w:lang w:eastAsia="en-AU"/>
            </w:rPr>
          </w:pPr>
          <w:hyperlink w:anchor="_Toc104471052" w:history="1">
            <w:r w:rsidRPr="00CE6140">
              <w:rPr>
                <w:rStyle w:val="Hyperlink"/>
                <w:noProof/>
              </w:rPr>
              <w:t>Product background</w:t>
            </w:r>
            <w:r>
              <w:rPr>
                <w:noProof/>
                <w:webHidden/>
              </w:rPr>
              <w:tab/>
            </w:r>
            <w:r>
              <w:rPr>
                <w:noProof/>
                <w:webHidden/>
              </w:rPr>
              <w:fldChar w:fldCharType="begin"/>
            </w:r>
            <w:r>
              <w:rPr>
                <w:noProof/>
                <w:webHidden/>
              </w:rPr>
              <w:instrText xml:space="preserve"> PAGEREF _Toc104471052 \h </w:instrText>
            </w:r>
            <w:r>
              <w:rPr>
                <w:noProof/>
                <w:webHidden/>
              </w:rPr>
            </w:r>
            <w:r>
              <w:rPr>
                <w:noProof/>
                <w:webHidden/>
              </w:rPr>
              <w:fldChar w:fldCharType="separate"/>
            </w:r>
            <w:r>
              <w:rPr>
                <w:noProof/>
                <w:webHidden/>
              </w:rPr>
              <w:t>7</w:t>
            </w:r>
            <w:r>
              <w:rPr>
                <w:noProof/>
                <w:webHidden/>
              </w:rPr>
              <w:fldChar w:fldCharType="end"/>
            </w:r>
          </w:hyperlink>
        </w:p>
        <w:p w14:paraId="5B0C9675" w14:textId="13D30E9E" w:rsidR="000C3739" w:rsidRDefault="000C3739">
          <w:pPr>
            <w:pStyle w:val="TOC2"/>
            <w:rPr>
              <w:rFonts w:asciiTheme="minorHAnsi" w:eastAsiaTheme="minorEastAsia" w:hAnsiTheme="minorHAnsi" w:cstheme="minorBidi"/>
              <w:b w:val="0"/>
              <w:noProof/>
              <w:sz w:val="22"/>
              <w:lang w:eastAsia="en-AU"/>
            </w:rPr>
          </w:pPr>
          <w:hyperlink w:anchor="_Toc104471053" w:history="1">
            <w:r w:rsidRPr="00CE6140">
              <w:rPr>
                <w:rStyle w:val="Hyperlink"/>
                <w:noProof/>
              </w:rPr>
              <w:t>Regulatory status</w:t>
            </w:r>
            <w:r>
              <w:rPr>
                <w:noProof/>
                <w:webHidden/>
              </w:rPr>
              <w:tab/>
            </w:r>
            <w:r>
              <w:rPr>
                <w:noProof/>
                <w:webHidden/>
              </w:rPr>
              <w:fldChar w:fldCharType="begin"/>
            </w:r>
            <w:r>
              <w:rPr>
                <w:noProof/>
                <w:webHidden/>
              </w:rPr>
              <w:instrText xml:space="preserve"> PAGEREF _Toc104471053 \h </w:instrText>
            </w:r>
            <w:r>
              <w:rPr>
                <w:noProof/>
                <w:webHidden/>
              </w:rPr>
            </w:r>
            <w:r>
              <w:rPr>
                <w:noProof/>
                <w:webHidden/>
              </w:rPr>
              <w:fldChar w:fldCharType="separate"/>
            </w:r>
            <w:r>
              <w:rPr>
                <w:noProof/>
                <w:webHidden/>
              </w:rPr>
              <w:t>9</w:t>
            </w:r>
            <w:r>
              <w:rPr>
                <w:noProof/>
                <w:webHidden/>
              </w:rPr>
              <w:fldChar w:fldCharType="end"/>
            </w:r>
          </w:hyperlink>
        </w:p>
        <w:p w14:paraId="0CF4F793" w14:textId="26479811" w:rsidR="000C3739" w:rsidRDefault="000C3739">
          <w:pPr>
            <w:pStyle w:val="TOC2"/>
            <w:rPr>
              <w:rFonts w:asciiTheme="minorHAnsi" w:eastAsiaTheme="minorEastAsia" w:hAnsiTheme="minorHAnsi" w:cstheme="minorBidi"/>
              <w:b w:val="0"/>
              <w:noProof/>
              <w:sz w:val="22"/>
              <w:lang w:eastAsia="en-AU"/>
            </w:rPr>
          </w:pPr>
          <w:hyperlink w:anchor="_Toc104471054" w:history="1">
            <w:r w:rsidRPr="00CE6140">
              <w:rPr>
                <w:rStyle w:val="Hyperlink"/>
                <w:noProof/>
              </w:rPr>
              <w:t>Product Information</w:t>
            </w:r>
            <w:r>
              <w:rPr>
                <w:noProof/>
                <w:webHidden/>
              </w:rPr>
              <w:tab/>
            </w:r>
            <w:r>
              <w:rPr>
                <w:noProof/>
                <w:webHidden/>
              </w:rPr>
              <w:fldChar w:fldCharType="begin"/>
            </w:r>
            <w:r>
              <w:rPr>
                <w:noProof/>
                <w:webHidden/>
              </w:rPr>
              <w:instrText xml:space="preserve"> PAGEREF _Toc104471054 \h </w:instrText>
            </w:r>
            <w:r>
              <w:rPr>
                <w:noProof/>
                <w:webHidden/>
              </w:rPr>
            </w:r>
            <w:r>
              <w:rPr>
                <w:noProof/>
                <w:webHidden/>
              </w:rPr>
              <w:fldChar w:fldCharType="separate"/>
            </w:r>
            <w:r>
              <w:rPr>
                <w:noProof/>
                <w:webHidden/>
              </w:rPr>
              <w:t>10</w:t>
            </w:r>
            <w:r>
              <w:rPr>
                <w:noProof/>
                <w:webHidden/>
              </w:rPr>
              <w:fldChar w:fldCharType="end"/>
            </w:r>
          </w:hyperlink>
        </w:p>
        <w:p w14:paraId="2CCA798D" w14:textId="4F450BB4" w:rsidR="000C3739" w:rsidRDefault="000C3739">
          <w:pPr>
            <w:pStyle w:val="TOC1"/>
            <w:rPr>
              <w:rFonts w:asciiTheme="minorHAnsi" w:eastAsiaTheme="minorEastAsia" w:hAnsiTheme="minorHAnsi" w:cstheme="minorBidi"/>
              <w:b w:val="0"/>
              <w:noProof/>
              <w:sz w:val="22"/>
              <w:lang w:eastAsia="en-AU"/>
            </w:rPr>
          </w:pPr>
          <w:hyperlink w:anchor="_Toc104471055" w:history="1">
            <w:r w:rsidRPr="00CE6140">
              <w:rPr>
                <w:rStyle w:val="Hyperlink"/>
                <w:noProof/>
              </w:rPr>
              <w:t>II. Registration timeline</w:t>
            </w:r>
            <w:r>
              <w:rPr>
                <w:noProof/>
                <w:webHidden/>
              </w:rPr>
              <w:tab/>
            </w:r>
            <w:r>
              <w:rPr>
                <w:noProof/>
                <w:webHidden/>
              </w:rPr>
              <w:fldChar w:fldCharType="begin"/>
            </w:r>
            <w:r>
              <w:rPr>
                <w:noProof/>
                <w:webHidden/>
              </w:rPr>
              <w:instrText xml:space="preserve"> PAGEREF _Toc104471055 \h </w:instrText>
            </w:r>
            <w:r>
              <w:rPr>
                <w:noProof/>
                <w:webHidden/>
              </w:rPr>
            </w:r>
            <w:r>
              <w:rPr>
                <w:noProof/>
                <w:webHidden/>
              </w:rPr>
              <w:fldChar w:fldCharType="separate"/>
            </w:r>
            <w:r>
              <w:rPr>
                <w:noProof/>
                <w:webHidden/>
              </w:rPr>
              <w:t>10</w:t>
            </w:r>
            <w:r>
              <w:rPr>
                <w:noProof/>
                <w:webHidden/>
              </w:rPr>
              <w:fldChar w:fldCharType="end"/>
            </w:r>
          </w:hyperlink>
        </w:p>
        <w:p w14:paraId="6EA5E412" w14:textId="6C753CB0" w:rsidR="000C3739" w:rsidRDefault="000C3739">
          <w:pPr>
            <w:pStyle w:val="TOC1"/>
            <w:rPr>
              <w:rFonts w:asciiTheme="minorHAnsi" w:eastAsiaTheme="minorEastAsia" w:hAnsiTheme="minorHAnsi" w:cstheme="minorBidi"/>
              <w:b w:val="0"/>
              <w:noProof/>
              <w:sz w:val="22"/>
              <w:lang w:eastAsia="en-AU"/>
            </w:rPr>
          </w:pPr>
          <w:hyperlink w:anchor="_Toc104471056" w:history="1">
            <w:r w:rsidRPr="00CE6140">
              <w:rPr>
                <w:rStyle w:val="Hyperlink"/>
                <w:noProof/>
              </w:rPr>
              <w:t>III. Submission overview and risk/benefit assessment</w:t>
            </w:r>
            <w:r>
              <w:rPr>
                <w:noProof/>
                <w:webHidden/>
              </w:rPr>
              <w:tab/>
            </w:r>
            <w:r>
              <w:rPr>
                <w:noProof/>
                <w:webHidden/>
              </w:rPr>
              <w:fldChar w:fldCharType="begin"/>
            </w:r>
            <w:r>
              <w:rPr>
                <w:noProof/>
                <w:webHidden/>
              </w:rPr>
              <w:instrText xml:space="preserve"> PAGEREF _Toc104471056 \h </w:instrText>
            </w:r>
            <w:r>
              <w:rPr>
                <w:noProof/>
                <w:webHidden/>
              </w:rPr>
            </w:r>
            <w:r>
              <w:rPr>
                <w:noProof/>
                <w:webHidden/>
              </w:rPr>
              <w:fldChar w:fldCharType="separate"/>
            </w:r>
            <w:r>
              <w:rPr>
                <w:noProof/>
                <w:webHidden/>
              </w:rPr>
              <w:t>11</w:t>
            </w:r>
            <w:r>
              <w:rPr>
                <w:noProof/>
                <w:webHidden/>
              </w:rPr>
              <w:fldChar w:fldCharType="end"/>
            </w:r>
          </w:hyperlink>
        </w:p>
        <w:p w14:paraId="6D2B7C2D" w14:textId="5FC004B2" w:rsidR="000C3739" w:rsidRDefault="000C3739">
          <w:pPr>
            <w:pStyle w:val="TOC2"/>
            <w:rPr>
              <w:rFonts w:asciiTheme="minorHAnsi" w:eastAsiaTheme="minorEastAsia" w:hAnsiTheme="minorHAnsi" w:cstheme="minorBidi"/>
              <w:b w:val="0"/>
              <w:noProof/>
              <w:sz w:val="22"/>
              <w:lang w:eastAsia="en-AU"/>
            </w:rPr>
          </w:pPr>
          <w:hyperlink w:anchor="_Toc104471057" w:history="1">
            <w:r w:rsidRPr="00CE6140">
              <w:rPr>
                <w:rStyle w:val="Hyperlink"/>
                <w:noProof/>
              </w:rPr>
              <w:t>Quality</w:t>
            </w:r>
            <w:r>
              <w:rPr>
                <w:noProof/>
                <w:webHidden/>
              </w:rPr>
              <w:tab/>
            </w:r>
            <w:r>
              <w:rPr>
                <w:noProof/>
                <w:webHidden/>
              </w:rPr>
              <w:fldChar w:fldCharType="begin"/>
            </w:r>
            <w:r>
              <w:rPr>
                <w:noProof/>
                <w:webHidden/>
              </w:rPr>
              <w:instrText xml:space="preserve"> PAGEREF _Toc104471057 \h </w:instrText>
            </w:r>
            <w:r>
              <w:rPr>
                <w:noProof/>
                <w:webHidden/>
              </w:rPr>
            </w:r>
            <w:r>
              <w:rPr>
                <w:noProof/>
                <w:webHidden/>
              </w:rPr>
              <w:fldChar w:fldCharType="separate"/>
            </w:r>
            <w:r>
              <w:rPr>
                <w:noProof/>
                <w:webHidden/>
              </w:rPr>
              <w:t>11</w:t>
            </w:r>
            <w:r>
              <w:rPr>
                <w:noProof/>
                <w:webHidden/>
              </w:rPr>
              <w:fldChar w:fldCharType="end"/>
            </w:r>
          </w:hyperlink>
        </w:p>
        <w:p w14:paraId="3847AB15" w14:textId="7F871BB6" w:rsidR="000C3739" w:rsidRDefault="000C3739">
          <w:pPr>
            <w:pStyle w:val="TOC2"/>
            <w:rPr>
              <w:rFonts w:asciiTheme="minorHAnsi" w:eastAsiaTheme="minorEastAsia" w:hAnsiTheme="minorHAnsi" w:cstheme="minorBidi"/>
              <w:b w:val="0"/>
              <w:noProof/>
              <w:sz w:val="22"/>
              <w:lang w:eastAsia="en-AU"/>
            </w:rPr>
          </w:pPr>
          <w:hyperlink w:anchor="_Toc104471058" w:history="1">
            <w:r w:rsidRPr="00CE6140">
              <w:rPr>
                <w:rStyle w:val="Hyperlink"/>
                <w:noProof/>
              </w:rPr>
              <w:t>Nonclinical</w:t>
            </w:r>
            <w:r>
              <w:rPr>
                <w:noProof/>
                <w:webHidden/>
              </w:rPr>
              <w:tab/>
            </w:r>
            <w:r>
              <w:rPr>
                <w:noProof/>
                <w:webHidden/>
              </w:rPr>
              <w:fldChar w:fldCharType="begin"/>
            </w:r>
            <w:r>
              <w:rPr>
                <w:noProof/>
                <w:webHidden/>
              </w:rPr>
              <w:instrText xml:space="preserve"> PAGEREF _Toc104471058 \h </w:instrText>
            </w:r>
            <w:r>
              <w:rPr>
                <w:noProof/>
                <w:webHidden/>
              </w:rPr>
            </w:r>
            <w:r>
              <w:rPr>
                <w:noProof/>
                <w:webHidden/>
              </w:rPr>
              <w:fldChar w:fldCharType="separate"/>
            </w:r>
            <w:r>
              <w:rPr>
                <w:noProof/>
                <w:webHidden/>
              </w:rPr>
              <w:t>11</w:t>
            </w:r>
            <w:r>
              <w:rPr>
                <w:noProof/>
                <w:webHidden/>
              </w:rPr>
              <w:fldChar w:fldCharType="end"/>
            </w:r>
          </w:hyperlink>
        </w:p>
        <w:p w14:paraId="307B0B4A" w14:textId="30EA4D9F" w:rsidR="000C3739" w:rsidRDefault="000C3739">
          <w:pPr>
            <w:pStyle w:val="TOC2"/>
            <w:rPr>
              <w:rFonts w:asciiTheme="minorHAnsi" w:eastAsiaTheme="minorEastAsia" w:hAnsiTheme="minorHAnsi" w:cstheme="minorBidi"/>
              <w:b w:val="0"/>
              <w:noProof/>
              <w:sz w:val="22"/>
              <w:lang w:eastAsia="en-AU"/>
            </w:rPr>
          </w:pPr>
          <w:hyperlink w:anchor="_Toc104471059" w:history="1">
            <w:r w:rsidRPr="00CE6140">
              <w:rPr>
                <w:rStyle w:val="Hyperlink"/>
                <w:noProof/>
              </w:rPr>
              <w:t>Clinical</w:t>
            </w:r>
            <w:r>
              <w:rPr>
                <w:noProof/>
                <w:webHidden/>
              </w:rPr>
              <w:tab/>
            </w:r>
            <w:r>
              <w:rPr>
                <w:noProof/>
                <w:webHidden/>
              </w:rPr>
              <w:fldChar w:fldCharType="begin"/>
            </w:r>
            <w:r>
              <w:rPr>
                <w:noProof/>
                <w:webHidden/>
              </w:rPr>
              <w:instrText xml:space="preserve"> PAGEREF _Toc104471059 \h </w:instrText>
            </w:r>
            <w:r>
              <w:rPr>
                <w:noProof/>
                <w:webHidden/>
              </w:rPr>
            </w:r>
            <w:r>
              <w:rPr>
                <w:noProof/>
                <w:webHidden/>
              </w:rPr>
              <w:fldChar w:fldCharType="separate"/>
            </w:r>
            <w:r>
              <w:rPr>
                <w:noProof/>
                <w:webHidden/>
              </w:rPr>
              <w:t>13</w:t>
            </w:r>
            <w:r>
              <w:rPr>
                <w:noProof/>
                <w:webHidden/>
              </w:rPr>
              <w:fldChar w:fldCharType="end"/>
            </w:r>
          </w:hyperlink>
        </w:p>
        <w:p w14:paraId="7B6CD45F" w14:textId="06BE78CA" w:rsidR="000C3739" w:rsidRDefault="000C3739">
          <w:pPr>
            <w:pStyle w:val="TOC2"/>
            <w:rPr>
              <w:rFonts w:asciiTheme="minorHAnsi" w:eastAsiaTheme="minorEastAsia" w:hAnsiTheme="minorHAnsi" w:cstheme="minorBidi"/>
              <w:b w:val="0"/>
              <w:noProof/>
              <w:sz w:val="22"/>
              <w:lang w:eastAsia="en-AU"/>
            </w:rPr>
          </w:pPr>
          <w:hyperlink w:anchor="_Toc104471060" w:history="1">
            <w:r w:rsidRPr="00CE6140">
              <w:rPr>
                <w:rStyle w:val="Hyperlink"/>
                <w:noProof/>
                <w:lang w:eastAsia="en-AU"/>
              </w:rPr>
              <w:t>Risk management plan</w:t>
            </w:r>
            <w:r>
              <w:rPr>
                <w:noProof/>
                <w:webHidden/>
              </w:rPr>
              <w:tab/>
            </w:r>
            <w:r>
              <w:rPr>
                <w:noProof/>
                <w:webHidden/>
              </w:rPr>
              <w:fldChar w:fldCharType="begin"/>
            </w:r>
            <w:r>
              <w:rPr>
                <w:noProof/>
                <w:webHidden/>
              </w:rPr>
              <w:instrText xml:space="preserve"> PAGEREF _Toc104471060 \h </w:instrText>
            </w:r>
            <w:r>
              <w:rPr>
                <w:noProof/>
                <w:webHidden/>
              </w:rPr>
            </w:r>
            <w:r>
              <w:rPr>
                <w:noProof/>
                <w:webHidden/>
              </w:rPr>
              <w:fldChar w:fldCharType="separate"/>
            </w:r>
            <w:r>
              <w:rPr>
                <w:noProof/>
                <w:webHidden/>
              </w:rPr>
              <w:t>32</w:t>
            </w:r>
            <w:r>
              <w:rPr>
                <w:noProof/>
                <w:webHidden/>
              </w:rPr>
              <w:fldChar w:fldCharType="end"/>
            </w:r>
          </w:hyperlink>
        </w:p>
        <w:p w14:paraId="191C2D16" w14:textId="0ED5A562" w:rsidR="000C3739" w:rsidRDefault="000C3739">
          <w:pPr>
            <w:pStyle w:val="TOC2"/>
            <w:rPr>
              <w:rFonts w:asciiTheme="minorHAnsi" w:eastAsiaTheme="minorEastAsia" w:hAnsiTheme="minorHAnsi" w:cstheme="minorBidi"/>
              <w:b w:val="0"/>
              <w:noProof/>
              <w:sz w:val="22"/>
              <w:lang w:eastAsia="en-AU"/>
            </w:rPr>
          </w:pPr>
          <w:hyperlink w:anchor="_Toc104471061" w:history="1">
            <w:r w:rsidRPr="00CE6140">
              <w:rPr>
                <w:rStyle w:val="Hyperlink"/>
                <w:noProof/>
              </w:rPr>
              <w:t>Risk-benefit analysis</w:t>
            </w:r>
            <w:r>
              <w:rPr>
                <w:noProof/>
                <w:webHidden/>
              </w:rPr>
              <w:tab/>
            </w:r>
            <w:r>
              <w:rPr>
                <w:noProof/>
                <w:webHidden/>
              </w:rPr>
              <w:fldChar w:fldCharType="begin"/>
            </w:r>
            <w:r>
              <w:rPr>
                <w:noProof/>
                <w:webHidden/>
              </w:rPr>
              <w:instrText xml:space="preserve"> PAGEREF _Toc104471061 \h </w:instrText>
            </w:r>
            <w:r>
              <w:rPr>
                <w:noProof/>
                <w:webHidden/>
              </w:rPr>
            </w:r>
            <w:r>
              <w:rPr>
                <w:noProof/>
                <w:webHidden/>
              </w:rPr>
              <w:fldChar w:fldCharType="separate"/>
            </w:r>
            <w:r>
              <w:rPr>
                <w:noProof/>
                <w:webHidden/>
              </w:rPr>
              <w:t>34</w:t>
            </w:r>
            <w:r>
              <w:rPr>
                <w:noProof/>
                <w:webHidden/>
              </w:rPr>
              <w:fldChar w:fldCharType="end"/>
            </w:r>
          </w:hyperlink>
        </w:p>
        <w:p w14:paraId="68FA601C" w14:textId="7DA80EB9" w:rsidR="000C3739" w:rsidRDefault="000C3739">
          <w:pPr>
            <w:pStyle w:val="TOC2"/>
            <w:rPr>
              <w:rFonts w:asciiTheme="minorHAnsi" w:eastAsiaTheme="minorEastAsia" w:hAnsiTheme="minorHAnsi" w:cstheme="minorBidi"/>
              <w:b w:val="0"/>
              <w:noProof/>
              <w:sz w:val="22"/>
              <w:lang w:eastAsia="en-AU"/>
            </w:rPr>
          </w:pPr>
          <w:hyperlink w:anchor="_Toc104471062" w:history="1">
            <w:r w:rsidRPr="00CE6140">
              <w:rPr>
                <w:rStyle w:val="Hyperlink"/>
                <w:noProof/>
              </w:rPr>
              <w:t>Outcome</w:t>
            </w:r>
            <w:r>
              <w:rPr>
                <w:noProof/>
                <w:webHidden/>
              </w:rPr>
              <w:tab/>
            </w:r>
            <w:r>
              <w:rPr>
                <w:noProof/>
                <w:webHidden/>
              </w:rPr>
              <w:fldChar w:fldCharType="begin"/>
            </w:r>
            <w:r>
              <w:rPr>
                <w:noProof/>
                <w:webHidden/>
              </w:rPr>
              <w:instrText xml:space="preserve"> PAGEREF _Toc104471062 \h </w:instrText>
            </w:r>
            <w:r>
              <w:rPr>
                <w:noProof/>
                <w:webHidden/>
              </w:rPr>
            </w:r>
            <w:r>
              <w:rPr>
                <w:noProof/>
                <w:webHidden/>
              </w:rPr>
              <w:fldChar w:fldCharType="separate"/>
            </w:r>
            <w:r>
              <w:rPr>
                <w:noProof/>
                <w:webHidden/>
              </w:rPr>
              <w:t>41</w:t>
            </w:r>
            <w:r>
              <w:rPr>
                <w:noProof/>
                <w:webHidden/>
              </w:rPr>
              <w:fldChar w:fldCharType="end"/>
            </w:r>
          </w:hyperlink>
        </w:p>
        <w:p w14:paraId="6845F812" w14:textId="7D9EB43F" w:rsidR="000C3739" w:rsidRDefault="000C3739">
          <w:pPr>
            <w:pStyle w:val="TOC1"/>
            <w:rPr>
              <w:rFonts w:asciiTheme="minorHAnsi" w:eastAsiaTheme="minorEastAsia" w:hAnsiTheme="minorHAnsi" w:cstheme="minorBidi"/>
              <w:b w:val="0"/>
              <w:noProof/>
              <w:sz w:val="22"/>
              <w:lang w:eastAsia="en-AU"/>
            </w:rPr>
          </w:pPr>
          <w:hyperlink w:anchor="_Toc104471063" w:history="1">
            <w:r w:rsidRPr="00CE6140">
              <w:rPr>
                <w:rStyle w:val="Hyperlink"/>
                <w:noProof/>
              </w:rPr>
              <w:t>Attachment 1. Product Information</w:t>
            </w:r>
            <w:r>
              <w:rPr>
                <w:noProof/>
                <w:webHidden/>
              </w:rPr>
              <w:tab/>
            </w:r>
            <w:r>
              <w:rPr>
                <w:noProof/>
                <w:webHidden/>
              </w:rPr>
              <w:fldChar w:fldCharType="begin"/>
            </w:r>
            <w:r>
              <w:rPr>
                <w:noProof/>
                <w:webHidden/>
              </w:rPr>
              <w:instrText xml:space="preserve"> PAGEREF _Toc104471063 \h </w:instrText>
            </w:r>
            <w:r>
              <w:rPr>
                <w:noProof/>
                <w:webHidden/>
              </w:rPr>
            </w:r>
            <w:r>
              <w:rPr>
                <w:noProof/>
                <w:webHidden/>
              </w:rPr>
              <w:fldChar w:fldCharType="separate"/>
            </w:r>
            <w:r>
              <w:rPr>
                <w:noProof/>
                <w:webHidden/>
              </w:rPr>
              <w:t>41</w:t>
            </w:r>
            <w:r>
              <w:rPr>
                <w:noProof/>
                <w:webHidden/>
              </w:rPr>
              <w:fldChar w:fldCharType="end"/>
            </w:r>
          </w:hyperlink>
        </w:p>
        <w:p w14:paraId="517BF665" w14:textId="5F4ACBF0" w:rsidR="003A7F6C" w:rsidRPr="00B811C6" w:rsidRDefault="00C525A2" w:rsidP="00B811C6">
          <w:pPr>
            <w:pStyle w:val="TOC2"/>
          </w:pPr>
          <w:r>
            <w:fldChar w:fldCharType="end"/>
          </w:r>
        </w:p>
      </w:sdtContent>
    </w:sdt>
    <w:bookmarkStart w:id="2" w:name="_Toc314842482" w:displacedByCustomXml="prev"/>
    <w:p w14:paraId="1BA85849" w14:textId="77777777" w:rsidR="00FD119B" w:rsidRDefault="00FD119B">
      <w:pPr>
        <w:spacing w:before="0" w:after="200" w:line="0" w:lineRule="auto"/>
      </w:pPr>
      <w:r>
        <w:br w:type="page"/>
      </w:r>
    </w:p>
    <w:p w14:paraId="244FB46D" w14:textId="77777777" w:rsidR="00C52E24" w:rsidRPr="00C52E24" w:rsidRDefault="00324E45" w:rsidP="00C26DAA">
      <w:pPr>
        <w:pStyle w:val="Heading2"/>
      </w:pPr>
      <w:bookmarkStart w:id="3" w:name="_Toc351716269"/>
      <w:bookmarkStart w:id="4" w:name="_Toc351718881"/>
      <w:bookmarkStart w:id="5" w:name="_Toc355338616"/>
      <w:bookmarkStart w:id="6" w:name="_Toc356306144"/>
      <w:bookmarkStart w:id="7" w:name="_Toc104471049"/>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5760C1" w:rsidRPr="00FD119B" w14:paraId="77F5A1AE" w14:textId="77777777" w:rsidTr="00855435">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20C96D27" w14:textId="77777777" w:rsidR="005760C1" w:rsidRPr="00855435" w:rsidRDefault="005760C1" w:rsidP="00855435">
            <w:r w:rsidRPr="00302EA0">
              <w:t>Abbreviation</w:t>
            </w:r>
          </w:p>
        </w:tc>
        <w:tc>
          <w:tcPr>
            <w:tcW w:w="6604" w:type="dxa"/>
            <w:tcBorders>
              <w:top w:val="single" w:sz="4" w:space="0" w:color="auto"/>
              <w:left w:val="single" w:sz="4" w:space="0" w:color="auto"/>
              <w:bottom w:val="single" w:sz="4" w:space="0" w:color="auto"/>
              <w:right w:val="single" w:sz="4" w:space="0" w:color="auto"/>
            </w:tcBorders>
          </w:tcPr>
          <w:p w14:paraId="6A6D2371" w14:textId="77777777" w:rsidR="005760C1" w:rsidRPr="00855435" w:rsidRDefault="005760C1" w:rsidP="00855435">
            <w:r w:rsidRPr="00302EA0">
              <w:t>Meaning</w:t>
            </w:r>
          </w:p>
        </w:tc>
      </w:tr>
      <w:tr w:rsidR="005760C1" w:rsidRPr="00FD119B" w14:paraId="6243065F" w14:textId="77777777" w:rsidTr="00855435">
        <w:tc>
          <w:tcPr>
            <w:tcW w:w="1890" w:type="dxa"/>
          </w:tcPr>
          <w:p w14:paraId="2548852D" w14:textId="77777777" w:rsidR="005760C1" w:rsidRPr="00FD119B" w:rsidRDefault="005760C1" w:rsidP="005760C1">
            <w:r>
              <w:t>ACM</w:t>
            </w:r>
          </w:p>
        </w:tc>
        <w:tc>
          <w:tcPr>
            <w:tcW w:w="6604" w:type="dxa"/>
          </w:tcPr>
          <w:p w14:paraId="6A29D7A7" w14:textId="77777777" w:rsidR="005760C1" w:rsidRPr="00FD119B" w:rsidRDefault="005760C1" w:rsidP="005760C1">
            <w:r w:rsidRPr="00460036">
              <w:t>Advisory Committee on Medicines</w:t>
            </w:r>
          </w:p>
        </w:tc>
      </w:tr>
      <w:tr w:rsidR="005760C1" w:rsidRPr="00FD119B" w14:paraId="5859228A" w14:textId="77777777" w:rsidTr="00855435">
        <w:tc>
          <w:tcPr>
            <w:tcW w:w="1890" w:type="dxa"/>
          </w:tcPr>
          <w:p w14:paraId="40584925" w14:textId="77777777" w:rsidR="005760C1" w:rsidRDefault="005760C1" w:rsidP="005760C1">
            <w:r>
              <w:t>AE</w:t>
            </w:r>
          </w:p>
        </w:tc>
        <w:tc>
          <w:tcPr>
            <w:tcW w:w="6604" w:type="dxa"/>
          </w:tcPr>
          <w:p w14:paraId="15FAFA18" w14:textId="77777777" w:rsidR="005760C1" w:rsidRDefault="005760C1" w:rsidP="005760C1">
            <w:r>
              <w:t>Adverse event</w:t>
            </w:r>
          </w:p>
        </w:tc>
      </w:tr>
      <w:tr w:rsidR="005760C1" w:rsidRPr="00FD119B" w14:paraId="2A020E6A" w14:textId="77777777" w:rsidTr="00855435">
        <w:tc>
          <w:tcPr>
            <w:tcW w:w="1890" w:type="dxa"/>
          </w:tcPr>
          <w:p w14:paraId="6E8EEE55" w14:textId="77777777" w:rsidR="005760C1" w:rsidRDefault="005760C1" w:rsidP="005760C1">
            <w:r>
              <w:t>AIMS</w:t>
            </w:r>
          </w:p>
        </w:tc>
        <w:tc>
          <w:tcPr>
            <w:tcW w:w="6604" w:type="dxa"/>
          </w:tcPr>
          <w:p w14:paraId="7C5A29C9" w14:textId="77777777" w:rsidR="005760C1" w:rsidRDefault="005760C1" w:rsidP="005760C1">
            <w:r w:rsidRPr="00516680">
              <w:t>Abnormal Involuntary Movement Scale</w:t>
            </w:r>
          </w:p>
        </w:tc>
      </w:tr>
      <w:tr w:rsidR="005760C1" w:rsidRPr="00FD119B" w14:paraId="114FDE2F" w14:textId="77777777" w:rsidTr="00855435">
        <w:tc>
          <w:tcPr>
            <w:tcW w:w="1890" w:type="dxa"/>
          </w:tcPr>
          <w:p w14:paraId="2BEFBEDE" w14:textId="77777777" w:rsidR="005760C1" w:rsidRPr="00FD119B" w:rsidRDefault="005760C1" w:rsidP="005760C1">
            <w:r>
              <w:t>ARTG</w:t>
            </w:r>
          </w:p>
        </w:tc>
        <w:tc>
          <w:tcPr>
            <w:tcW w:w="6604" w:type="dxa"/>
          </w:tcPr>
          <w:p w14:paraId="277A13A1" w14:textId="77777777" w:rsidR="005760C1" w:rsidRPr="00FD119B" w:rsidRDefault="005760C1" w:rsidP="005760C1">
            <w:r w:rsidRPr="00460036">
              <w:t>Australian Register of Therapeutic Goods</w:t>
            </w:r>
          </w:p>
        </w:tc>
      </w:tr>
      <w:tr w:rsidR="005760C1" w:rsidRPr="00FD119B" w14:paraId="327D19BA" w14:textId="77777777" w:rsidTr="00855435">
        <w:tc>
          <w:tcPr>
            <w:tcW w:w="1890" w:type="dxa"/>
          </w:tcPr>
          <w:p w14:paraId="400B6A9F" w14:textId="77777777" w:rsidR="005760C1" w:rsidRPr="00FD119B" w:rsidRDefault="005760C1" w:rsidP="005760C1">
            <w:r>
              <w:t>AUC</w:t>
            </w:r>
          </w:p>
        </w:tc>
        <w:tc>
          <w:tcPr>
            <w:tcW w:w="6604" w:type="dxa"/>
          </w:tcPr>
          <w:p w14:paraId="11061C6C" w14:textId="14821E7A" w:rsidR="005760C1" w:rsidRPr="00FD119B" w:rsidRDefault="005760C1" w:rsidP="000E34BC">
            <w:r>
              <w:rPr>
                <w:rFonts w:cs="Calibri"/>
                <w:color w:val="000000"/>
              </w:rPr>
              <w:t>A</w:t>
            </w:r>
            <w:r w:rsidRPr="002B01B1">
              <w:rPr>
                <w:rFonts w:cs="Calibri"/>
                <w:color w:val="000000"/>
              </w:rPr>
              <w:t>rea under the concentration ti</w:t>
            </w:r>
            <w:r>
              <w:rPr>
                <w:rFonts w:cs="Calibri"/>
                <w:color w:val="000000"/>
              </w:rPr>
              <w:t xml:space="preserve">me curve </w:t>
            </w:r>
          </w:p>
        </w:tc>
      </w:tr>
      <w:tr w:rsidR="005760C1" w:rsidRPr="00FD119B" w14:paraId="12F0C2F7" w14:textId="77777777" w:rsidTr="00855435">
        <w:tc>
          <w:tcPr>
            <w:tcW w:w="1890" w:type="dxa"/>
          </w:tcPr>
          <w:p w14:paraId="0450BAC8" w14:textId="77777777" w:rsidR="005760C1" w:rsidRPr="00FD119B" w:rsidRDefault="005760C1" w:rsidP="005760C1">
            <w:r>
              <w:t>CAG</w:t>
            </w:r>
          </w:p>
        </w:tc>
        <w:tc>
          <w:tcPr>
            <w:tcW w:w="6604" w:type="dxa"/>
          </w:tcPr>
          <w:p w14:paraId="281A45B4" w14:textId="77777777" w:rsidR="005760C1" w:rsidRPr="00FD119B" w:rsidRDefault="005760C1" w:rsidP="005760C1">
            <w:r>
              <w:t>Cytosine-adenine-guanine</w:t>
            </w:r>
          </w:p>
        </w:tc>
      </w:tr>
      <w:tr w:rsidR="005760C1" w:rsidRPr="00FD119B" w14:paraId="0F75AEBA" w14:textId="77777777" w:rsidTr="00855435">
        <w:tc>
          <w:tcPr>
            <w:tcW w:w="1890" w:type="dxa"/>
          </w:tcPr>
          <w:p w14:paraId="39743687" w14:textId="012D7762" w:rsidR="005760C1" w:rsidRDefault="005760C1" w:rsidP="005760C1">
            <w:r>
              <w:t>CGI</w:t>
            </w:r>
            <w:r w:rsidR="00302EA0">
              <w:t>-</w:t>
            </w:r>
            <w:r>
              <w:t>C</w:t>
            </w:r>
          </w:p>
        </w:tc>
        <w:tc>
          <w:tcPr>
            <w:tcW w:w="6604" w:type="dxa"/>
          </w:tcPr>
          <w:p w14:paraId="3A5CA6BF" w14:textId="77777777" w:rsidR="005760C1" w:rsidRDefault="005760C1" w:rsidP="005760C1">
            <w:r>
              <w:t>Clinical Global Impression of Change</w:t>
            </w:r>
          </w:p>
        </w:tc>
      </w:tr>
      <w:tr w:rsidR="005760C1" w:rsidRPr="00FD119B" w14:paraId="5D72FD6D" w14:textId="77777777" w:rsidTr="00855435">
        <w:tc>
          <w:tcPr>
            <w:tcW w:w="1890" w:type="dxa"/>
          </w:tcPr>
          <w:p w14:paraId="30BCD808" w14:textId="77777777" w:rsidR="005760C1" w:rsidRDefault="005760C1" w:rsidP="005760C1">
            <w:r>
              <w:t>CI</w:t>
            </w:r>
          </w:p>
        </w:tc>
        <w:tc>
          <w:tcPr>
            <w:tcW w:w="6604" w:type="dxa"/>
          </w:tcPr>
          <w:p w14:paraId="57B8892A" w14:textId="77777777" w:rsidR="005760C1" w:rsidRDefault="005760C1" w:rsidP="005760C1">
            <w:r>
              <w:t>Confidence interval</w:t>
            </w:r>
          </w:p>
        </w:tc>
      </w:tr>
      <w:tr w:rsidR="005760C1" w:rsidRPr="00FD119B" w14:paraId="61D32A67" w14:textId="77777777" w:rsidTr="00855435">
        <w:tc>
          <w:tcPr>
            <w:tcW w:w="1890" w:type="dxa"/>
          </w:tcPr>
          <w:p w14:paraId="1F713164" w14:textId="77777777" w:rsidR="005760C1" w:rsidRPr="00FD119B" w:rsidRDefault="005760C1" w:rsidP="005760C1">
            <w:r>
              <w:t>CL/F</w:t>
            </w:r>
          </w:p>
        </w:tc>
        <w:tc>
          <w:tcPr>
            <w:tcW w:w="6604" w:type="dxa"/>
          </w:tcPr>
          <w:p w14:paraId="5480874B" w14:textId="77777777" w:rsidR="005760C1" w:rsidRPr="00FD119B" w:rsidRDefault="005760C1" w:rsidP="005760C1">
            <w:r>
              <w:t>O</w:t>
            </w:r>
            <w:r w:rsidRPr="003B2043">
              <w:t>ral clearance</w:t>
            </w:r>
          </w:p>
        </w:tc>
      </w:tr>
      <w:tr w:rsidR="005760C1" w:rsidRPr="00FD119B" w14:paraId="4026DC8A" w14:textId="77777777" w:rsidTr="00855435">
        <w:tc>
          <w:tcPr>
            <w:tcW w:w="1890" w:type="dxa"/>
          </w:tcPr>
          <w:p w14:paraId="7D0E894E" w14:textId="77777777" w:rsidR="005760C1" w:rsidRPr="00FD119B" w:rsidRDefault="005760C1" w:rsidP="005760C1">
            <w:r>
              <w:t>C</w:t>
            </w:r>
            <w:r w:rsidRPr="00C83228">
              <w:rPr>
                <w:vertAlign w:val="subscript"/>
              </w:rPr>
              <w:t>max</w:t>
            </w:r>
          </w:p>
        </w:tc>
        <w:tc>
          <w:tcPr>
            <w:tcW w:w="6604" w:type="dxa"/>
          </w:tcPr>
          <w:p w14:paraId="31B67803" w14:textId="77777777" w:rsidR="005760C1" w:rsidRPr="00FD119B" w:rsidRDefault="005760C1" w:rsidP="005760C1">
            <w:r>
              <w:rPr>
                <w:rFonts w:cs="Calibri"/>
                <w:color w:val="000000"/>
                <w:szCs w:val="22"/>
              </w:rPr>
              <w:t>Maximum plasma c</w:t>
            </w:r>
            <w:r w:rsidRPr="002B01B1">
              <w:rPr>
                <w:rFonts w:cs="Calibri"/>
                <w:color w:val="000000"/>
                <w:szCs w:val="22"/>
              </w:rPr>
              <w:t>oncentration</w:t>
            </w:r>
          </w:p>
        </w:tc>
      </w:tr>
      <w:tr w:rsidR="005760C1" w:rsidRPr="00FD119B" w14:paraId="60908D89" w14:textId="77777777" w:rsidTr="00855435">
        <w:tc>
          <w:tcPr>
            <w:tcW w:w="1890" w:type="dxa"/>
          </w:tcPr>
          <w:p w14:paraId="2DE75E9E" w14:textId="77777777" w:rsidR="005760C1" w:rsidRDefault="005760C1" w:rsidP="005760C1">
            <w:r>
              <w:t>CMI</w:t>
            </w:r>
          </w:p>
        </w:tc>
        <w:tc>
          <w:tcPr>
            <w:tcW w:w="6604" w:type="dxa"/>
          </w:tcPr>
          <w:p w14:paraId="2025ADFD" w14:textId="77777777" w:rsidR="005760C1" w:rsidRDefault="005760C1" w:rsidP="005760C1">
            <w:r>
              <w:t>Consumer Medicines Information</w:t>
            </w:r>
          </w:p>
        </w:tc>
      </w:tr>
      <w:tr w:rsidR="005760C1" w:rsidRPr="00FD119B" w14:paraId="4832B230" w14:textId="77777777" w:rsidTr="00855435">
        <w:tc>
          <w:tcPr>
            <w:tcW w:w="1890" w:type="dxa"/>
          </w:tcPr>
          <w:p w14:paraId="2492BDAD" w14:textId="77777777" w:rsidR="005760C1" w:rsidRPr="00FD119B" w:rsidRDefault="005760C1" w:rsidP="005760C1">
            <w:proofErr w:type="spellStart"/>
            <w:r>
              <w:t>C</w:t>
            </w:r>
            <w:r w:rsidRPr="00C83228">
              <w:rPr>
                <w:vertAlign w:val="subscript"/>
              </w:rPr>
              <w:t>min</w:t>
            </w:r>
            <w:proofErr w:type="spellEnd"/>
          </w:p>
        </w:tc>
        <w:tc>
          <w:tcPr>
            <w:tcW w:w="6604" w:type="dxa"/>
          </w:tcPr>
          <w:p w14:paraId="2C8367D2" w14:textId="77777777" w:rsidR="005760C1" w:rsidRPr="00FD119B" w:rsidRDefault="005760C1" w:rsidP="005760C1">
            <w:r>
              <w:t>Minimum plasma concentration</w:t>
            </w:r>
          </w:p>
        </w:tc>
      </w:tr>
      <w:tr w:rsidR="005760C1" w:rsidRPr="00FD119B" w14:paraId="6F99F7A3" w14:textId="77777777" w:rsidTr="00855435">
        <w:tc>
          <w:tcPr>
            <w:tcW w:w="1890" w:type="dxa"/>
          </w:tcPr>
          <w:p w14:paraId="5BEABF8A" w14:textId="77777777" w:rsidR="005760C1" w:rsidRPr="00FD119B" w:rsidRDefault="005760C1" w:rsidP="005760C1">
            <w:r>
              <w:t>CYP</w:t>
            </w:r>
          </w:p>
        </w:tc>
        <w:tc>
          <w:tcPr>
            <w:tcW w:w="6604" w:type="dxa"/>
          </w:tcPr>
          <w:p w14:paraId="57C304BF" w14:textId="77777777" w:rsidR="005760C1" w:rsidRPr="00FD119B" w:rsidRDefault="005760C1" w:rsidP="005760C1">
            <w:r>
              <w:t>Cytochrome P450</w:t>
            </w:r>
          </w:p>
        </w:tc>
      </w:tr>
      <w:tr w:rsidR="005760C1" w:rsidRPr="00FD119B" w14:paraId="4EC499CA" w14:textId="77777777" w:rsidTr="00855435">
        <w:tc>
          <w:tcPr>
            <w:tcW w:w="1890" w:type="dxa"/>
          </w:tcPr>
          <w:p w14:paraId="00BE29C5" w14:textId="77777777" w:rsidR="005760C1" w:rsidRPr="00FD119B" w:rsidRDefault="005760C1" w:rsidP="005760C1">
            <w:r>
              <w:t>DA</w:t>
            </w:r>
          </w:p>
        </w:tc>
        <w:tc>
          <w:tcPr>
            <w:tcW w:w="6604" w:type="dxa"/>
          </w:tcPr>
          <w:p w14:paraId="1A55204B" w14:textId="77777777" w:rsidR="005760C1" w:rsidRPr="00FD119B" w:rsidRDefault="005760C1" w:rsidP="005760C1">
            <w:r>
              <w:t>D</w:t>
            </w:r>
            <w:r w:rsidRPr="006E7163">
              <w:t>opamine</w:t>
            </w:r>
          </w:p>
        </w:tc>
      </w:tr>
      <w:tr w:rsidR="005760C1" w:rsidRPr="00FD119B" w14:paraId="13DB6DE7" w14:textId="77777777" w:rsidTr="00855435">
        <w:tc>
          <w:tcPr>
            <w:tcW w:w="1890" w:type="dxa"/>
          </w:tcPr>
          <w:p w14:paraId="674CB6BB" w14:textId="77777777" w:rsidR="005760C1" w:rsidRDefault="005760C1" w:rsidP="005760C1">
            <w:r>
              <w:t>DLP</w:t>
            </w:r>
          </w:p>
        </w:tc>
        <w:tc>
          <w:tcPr>
            <w:tcW w:w="6604" w:type="dxa"/>
          </w:tcPr>
          <w:p w14:paraId="050B0C16" w14:textId="77777777" w:rsidR="005760C1" w:rsidRDefault="005760C1" w:rsidP="005760C1">
            <w:r>
              <w:t>Data lock point</w:t>
            </w:r>
          </w:p>
        </w:tc>
      </w:tr>
      <w:tr w:rsidR="005760C1" w:rsidRPr="00FD119B" w14:paraId="4828D6D3" w14:textId="77777777" w:rsidTr="00855435">
        <w:tc>
          <w:tcPr>
            <w:tcW w:w="1890" w:type="dxa"/>
          </w:tcPr>
          <w:p w14:paraId="6413FC73" w14:textId="77777777" w:rsidR="005760C1" w:rsidRDefault="005760C1" w:rsidP="005760C1">
            <w:r>
              <w:t>DRA</w:t>
            </w:r>
          </w:p>
        </w:tc>
        <w:tc>
          <w:tcPr>
            <w:tcW w:w="6604" w:type="dxa"/>
          </w:tcPr>
          <w:p w14:paraId="6DC8B731" w14:textId="77777777" w:rsidR="005760C1" w:rsidRDefault="005760C1" w:rsidP="005760C1">
            <w:r>
              <w:t>D</w:t>
            </w:r>
            <w:r w:rsidRPr="00516680">
              <w:t>opamine receptor antagonists</w:t>
            </w:r>
          </w:p>
        </w:tc>
      </w:tr>
      <w:tr w:rsidR="005760C1" w:rsidRPr="00FD119B" w14:paraId="1E65F0BF" w14:textId="77777777" w:rsidTr="00855435">
        <w:tc>
          <w:tcPr>
            <w:tcW w:w="1890" w:type="dxa"/>
          </w:tcPr>
          <w:p w14:paraId="61C63896" w14:textId="77777777" w:rsidR="005760C1" w:rsidRPr="00FD119B" w:rsidRDefault="005760C1" w:rsidP="005760C1">
            <w:r>
              <w:t>FDA</w:t>
            </w:r>
          </w:p>
        </w:tc>
        <w:tc>
          <w:tcPr>
            <w:tcW w:w="6604" w:type="dxa"/>
          </w:tcPr>
          <w:p w14:paraId="0C75CDD4" w14:textId="77777777" w:rsidR="005760C1" w:rsidRPr="00FD119B" w:rsidRDefault="005760C1" w:rsidP="005760C1">
            <w:r w:rsidRPr="00ED6BA8">
              <w:t>Food and Drug Administration</w:t>
            </w:r>
          </w:p>
        </w:tc>
      </w:tr>
      <w:tr w:rsidR="005760C1" w:rsidRPr="00FD119B" w14:paraId="64B44108" w14:textId="77777777" w:rsidTr="00855435">
        <w:tc>
          <w:tcPr>
            <w:tcW w:w="1890" w:type="dxa"/>
          </w:tcPr>
          <w:p w14:paraId="47D181BD" w14:textId="77777777" w:rsidR="005760C1" w:rsidRDefault="005760C1" w:rsidP="005760C1">
            <w:r>
              <w:t>GVP</w:t>
            </w:r>
          </w:p>
        </w:tc>
        <w:tc>
          <w:tcPr>
            <w:tcW w:w="6604" w:type="dxa"/>
          </w:tcPr>
          <w:p w14:paraId="4B6B0BE6" w14:textId="77777777" w:rsidR="005760C1" w:rsidRDefault="005760C1" w:rsidP="005760C1">
            <w:r>
              <w:t>Good Pharmacovigilance Practices</w:t>
            </w:r>
          </w:p>
        </w:tc>
      </w:tr>
      <w:tr w:rsidR="005760C1" w:rsidRPr="00FD119B" w14:paraId="07A47C02" w14:textId="77777777" w:rsidTr="00855435">
        <w:tc>
          <w:tcPr>
            <w:tcW w:w="1890" w:type="dxa"/>
          </w:tcPr>
          <w:p w14:paraId="722FBEDF" w14:textId="77777777" w:rsidR="005760C1" w:rsidRPr="00FD119B" w:rsidRDefault="005760C1" w:rsidP="005760C1">
            <w:r>
              <w:t>HADS</w:t>
            </w:r>
          </w:p>
        </w:tc>
        <w:tc>
          <w:tcPr>
            <w:tcW w:w="6604" w:type="dxa"/>
          </w:tcPr>
          <w:p w14:paraId="2CBA7197" w14:textId="77777777" w:rsidR="005760C1" w:rsidRPr="00FD119B" w:rsidRDefault="005760C1" w:rsidP="005760C1">
            <w:r w:rsidRPr="007B4099">
              <w:t>Hospital Anxiety and Depression Scale</w:t>
            </w:r>
          </w:p>
        </w:tc>
      </w:tr>
      <w:tr w:rsidR="005760C1" w:rsidRPr="00FD119B" w14:paraId="339C1272" w14:textId="77777777" w:rsidTr="00855435">
        <w:tc>
          <w:tcPr>
            <w:tcW w:w="1890" w:type="dxa"/>
          </w:tcPr>
          <w:p w14:paraId="4C361D83" w14:textId="77777777" w:rsidR="005760C1" w:rsidRPr="00FD119B" w:rsidRDefault="005760C1" w:rsidP="005760C1">
            <w:r>
              <w:t>HD</w:t>
            </w:r>
          </w:p>
        </w:tc>
        <w:tc>
          <w:tcPr>
            <w:tcW w:w="6604" w:type="dxa"/>
          </w:tcPr>
          <w:p w14:paraId="5316FAB0" w14:textId="77777777" w:rsidR="005760C1" w:rsidRPr="00FD119B" w:rsidRDefault="005760C1" w:rsidP="005760C1">
            <w:r>
              <w:t>Huntington disease</w:t>
            </w:r>
          </w:p>
        </w:tc>
      </w:tr>
      <w:tr w:rsidR="005760C1" w:rsidRPr="00FD119B" w14:paraId="6FF9D088" w14:textId="77777777" w:rsidTr="00855435">
        <w:tc>
          <w:tcPr>
            <w:tcW w:w="1890" w:type="dxa"/>
          </w:tcPr>
          <w:p w14:paraId="057C7775" w14:textId="77777777" w:rsidR="005760C1" w:rsidRPr="00FD119B" w:rsidRDefault="005760C1" w:rsidP="005760C1">
            <w:r>
              <w:t>HTT</w:t>
            </w:r>
          </w:p>
        </w:tc>
        <w:tc>
          <w:tcPr>
            <w:tcW w:w="6604" w:type="dxa"/>
          </w:tcPr>
          <w:p w14:paraId="12FF8764" w14:textId="77777777" w:rsidR="005760C1" w:rsidRPr="00FD119B" w:rsidRDefault="005760C1" w:rsidP="005760C1">
            <w:r>
              <w:t>H</w:t>
            </w:r>
            <w:r w:rsidRPr="006E7163">
              <w:t>untingtin</w:t>
            </w:r>
          </w:p>
        </w:tc>
      </w:tr>
      <w:tr w:rsidR="005760C1" w:rsidRPr="00FD119B" w14:paraId="7C3BAC6C" w14:textId="77777777" w:rsidTr="00855435">
        <w:tc>
          <w:tcPr>
            <w:tcW w:w="1890" w:type="dxa"/>
          </w:tcPr>
          <w:p w14:paraId="5DC1DD00" w14:textId="77777777" w:rsidR="005760C1" w:rsidRDefault="005760C1" w:rsidP="005760C1">
            <w:r>
              <w:t>LS</w:t>
            </w:r>
          </w:p>
        </w:tc>
        <w:tc>
          <w:tcPr>
            <w:tcW w:w="6604" w:type="dxa"/>
          </w:tcPr>
          <w:p w14:paraId="714842E8" w14:textId="77777777" w:rsidR="005760C1" w:rsidRDefault="005760C1" w:rsidP="005760C1">
            <w:r>
              <w:t>Least square</w:t>
            </w:r>
          </w:p>
        </w:tc>
      </w:tr>
      <w:tr w:rsidR="005760C1" w:rsidRPr="00FD119B" w14:paraId="021506D0" w14:textId="77777777" w:rsidTr="00855435">
        <w:tc>
          <w:tcPr>
            <w:tcW w:w="1890" w:type="dxa"/>
          </w:tcPr>
          <w:p w14:paraId="1852AC0A" w14:textId="77777777" w:rsidR="005760C1" w:rsidRDefault="005760C1" w:rsidP="005760C1">
            <w:r>
              <w:t>mCDQ-24</w:t>
            </w:r>
          </w:p>
        </w:tc>
        <w:tc>
          <w:tcPr>
            <w:tcW w:w="6604" w:type="dxa"/>
          </w:tcPr>
          <w:p w14:paraId="369EB867" w14:textId="5ED7F2E1" w:rsidR="005760C1" w:rsidRDefault="00302EA0" w:rsidP="005760C1">
            <w:r>
              <w:t>M</w:t>
            </w:r>
            <w:r w:rsidR="005760C1" w:rsidRPr="00F170F5">
              <w:t xml:space="preserve">odified </w:t>
            </w:r>
            <w:proofErr w:type="spellStart"/>
            <w:r w:rsidR="005760C1" w:rsidRPr="00F170F5">
              <w:t>Craniocervical</w:t>
            </w:r>
            <w:proofErr w:type="spellEnd"/>
            <w:r w:rsidR="005760C1" w:rsidRPr="00F170F5">
              <w:t xml:space="preserve"> Dystonia Questionnaire</w:t>
            </w:r>
          </w:p>
        </w:tc>
      </w:tr>
      <w:tr w:rsidR="005760C1" w:rsidRPr="00FD119B" w14:paraId="57BDF164" w14:textId="77777777" w:rsidTr="00855435">
        <w:tc>
          <w:tcPr>
            <w:tcW w:w="1890" w:type="dxa"/>
          </w:tcPr>
          <w:p w14:paraId="7BB3004C" w14:textId="77777777" w:rsidR="005760C1" w:rsidRDefault="005760C1" w:rsidP="005760C1">
            <w:r>
              <w:t>OR</w:t>
            </w:r>
          </w:p>
        </w:tc>
        <w:tc>
          <w:tcPr>
            <w:tcW w:w="6604" w:type="dxa"/>
          </w:tcPr>
          <w:p w14:paraId="1D1F604B" w14:textId="77777777" w:rsidR="005760C1" w:rsidRDefault="005760C1" w:rsidP="005760C1">
            <w:r>
              <w:t>Odds ratio</w:t>
            </w:r>
          </w:p>
        </w:tc>
      </w:tr>
      <w:tr w:rsidR="005760C1" w:rsidRPr="00FD119B" w14:paraId="2A666F9F" w14:textId="77777777" w:rsidTr="00855435">
        <w:tc>
          <w:tcPr>
            <w:tcW w:w="1890" w:type="dxa"/>
          </w:tcPr>
          <w:p w14:paraId="2CE2627F" w14:textId="77777777" w:rsidR="005760C1" w:rsidRPr="00FD119B" w:rsidRDefault="005760C1" w:rsidP="005760C1">
            <w:r>
              <w:t>PD</w:t>
            </w:r>
          </w:p>
        </w:tc>
        <w:tc>
          <w:tcPr>
            <w:tcW w:w="6604" w:type="dxa"/>
          </w:tcPr>
          <w:p w14:paraId="03E95B76" w14:textId="77777777" w:rsidR="005760C1" w:rsidRPr="00FD119B" w:rsidRDefault="005760C1" w:rsidP="005760C1">
            <w:r>
              <w:t>Pharmacodynamic(s)</w:t>
            </w:r>
          </w:p>
        </w:tc>
      </w:tr>
      <w:tr w:rsidR="005760C1" w:rsidRPr="00FD119B" w14:paraId="7266FDA7" w14:textId="77777777" w:rsidTr="00855435">
        <w:tc>
          <w:tcPr>
            <w:tcW w:w="1890" w:type="dxa"/>
          </w:tcPr>
          <w:p w14:paraId="36D4F19E" w14:textId="28C2F312" w:rsidR="005760C1" w:rsidRPr="00FD119B" w:rsidRDefault="005760C1" w:rsidP="005760C1">
            <w:r>
              <w:lastRenderedPageBreak/>
              <w:t>PGI</w:t>
            </w:r>
            <w:r w:rsidR="00302EA0">
              <w:t>-</w:t>
            </w:r>
            <w:r>
              <w:t>C</w:t>
            </w:r>
          </w:p>
        </w:tc>
        <w:tc>
          <w:tcPr>
            <w:tcW w:w="6604" w:type="dxa"/>
          </w:tcPr>
          <w:p w14:paraId="2245FF7C" w14:textId="77777777" w:rsidR="005760C1" w:rsidRPr="00FD119B" w:rsidRDefault="005760C1" w:rsidP="005760C1">
            <w:r>
              <w:t>Patient Global Impression of Change</w:t>
            </w:r>
          </w:p>
        </w:tc>
      </w:tr>
      <w:tr w:rsidR="005760C1" w:rsidRPr="00FD119B" w14:paraId="7FC6565C" w14:textId="77777777" w:rsidTr="00855435">
        <w:tc>
          <w:tcPr>
            <w:tcW w:w="1890" w:type="dxa"/>
          </w:tcPr>
          <w:p w14:paraId="741DE60D" w14:textId="77777777" w:rsidR="005760C1" w:rsidRPr="00FD119B" w:rsidRDefault="005760C1" w:rsidP="005760C1">
            <w:r>
              <w:t>PI</w:t>
            </w:r>
          </w:p>
        </w:tc>
        <w:tc>
          <w:tcPr>
            <w:tcW w:w="6604" w:type="dxa"/>
          </w:tcPr>
          <w:p w14:paraId="3A0F80A0" w14:textId="77777777" w:rsidR="005760C1" w:rsidRPr="00FD119B" w:rsidRDefault="005760C1" w:rsidP="005760C1">
            <w:r>
              <w:t>Product Information</w:t>
            </w:r>
          </w:p>
        </w:tc>
      </w:tr>
      <w:tr w:rsidR="005760C1" w:rsidRPr="00FD119B" w14:paraId="30E8AEFE" w14:textId="77777777" w:rsidTr="00855435">
        <w:tc>
          <w:tcPr>
            <w:tcW w:w="1890" w:type="dxa"/>
          </w:tcPr>
          <w:p w14:paraId="1011DBD0" w14:textId="77777777" w:rsidR="005760C1" w:rsidRPr="00FD119B" w:rsidRDefault="005760C1" w:rsidP="005760C1">
            <w:r>
              <w:t>PK</w:t>
            </w:r>
          </w:p>
        </w:tc>
        <w:tc>
          <w:tcPr>
            <w:tcW w:w="6604" w:type="dxa"/>
          </w:tcPr>
          <w:p w14:paraId="182A7C21" w14:textId="77777777" w:rsidR="005760C1" w:rsidRPr="00FD119B" w:rsidRDefault="005760C1" w:rsidP="005760C1">
            <w:r>
              <w:t>Pharmacokinetic(s)</w:t>
            </w:r>
          </w:p>
        </w:tc>
      </w:tr>
      <w:tr w:rsidR="005760C1" w:rsidRPr="00FD119B" w14:paraId="019C543D" w14:textId="77777777" w:rsidTr="00855435">
        <w:tc>
          <w:tcPr>
            <w:tcW w:w="1890" w:type="dxa"/>
          </w:tcPr>
          <w:p w14:paraId="698E182B" w14:textId="77777777" w:rsidR="005760C1" w:rsidRPr="00FD119B" w:rsidRDefault="005760C1" w:rsidP="005760C1">
            <w:proofErr w:type="spellStart"/>
            <w:r>
              <w:t>PopPK</w:t>
            </w:r>
            <w:proofErr w:type="spellEnd"/>
          </w:p>
        </w:tc>
        <w:tc>
          <w:tcPr>
            <w:tcW w:w="6604" w:type="dxa"/>
          </w:tcPr>
          <w:p w14:paraId="0B4217EB" w14:textId="77777777" w:rsidR="005760C1" w:rsidRPr="00FD119B" w:rsidRDefault="005760C1" w:rsidP="005760C1">
            <w:r>
              <w:t>Population pharmacokinetic(s)</w:t>
            </w:r>
          </w:p>
        </w:tc>
      </w:tr>
      <w:tr w:rsidR="005760C1" w:rsidRPr="00FD119B" w14:paraId="2BE3533C" w14:textId="77777777" w:rsidTr="00855435">
        <w:tc>
          <w:tcPr>
            <w:tcW w:w="1890" w:type="dxa"/>
          </w:tcPr>
          <w:p w14:paraId="65584EAC" w14:textId="77777777" w:rsidR="005760C1" w:rsidRDefault="005760C1" w:rsidP="005760C1">
            <w:r>
              <w:t>PSUR</w:t>
            </w:r>
          </w:p>
        </w:tc>
        <w:tc>
          <w:tcPr>
            <w:tcW w:w="6604" w:type="dxa"/>
          </w:tcPr>
          <w:p w14:paraId="07CF0444" w14:textId="77777777" w:rsidR="005760C1" w:rsidRDefault="005760C1" w:rsidP="005760C1">
            <w:r>
              <w:t>Periodic safety update reports</w:t>
            </w:r>
          </w:p>
        </w:tc>
      </w:tr>
      <w:tr w:rsidR="005760C1" w:rsidRPr="00FD119B" w14:paraId="4ABF371E" w14:textId="77777777" w:rsidTr="00855435">
        <w:tc>
          <w:tcPr>
            <w:tcW w:w="1890" w:type="dxa"/>
          </w:tcPr>
          <w:p w14:paraId="4AFCF6EB" w14:textId="77777777" w:rsidR="005760C1" w:rsidRPr="00FD119B" w:rsidRDefault="005760C1" w:rsidP="005760C1">
            <w:r>
              <w:t>RCT</w:t>
            </w:r>
          </w:p>
        </w:tc>
        <w:tc>
          <w:tcPr>
            <w:tcW w:w="6604" w:type="dxa"/>
          </w:tcPr>
          <w:p w14:paraId="65997235" w14:textId="77777777" w:rsidR="005760C1" w:rsidRPr="00FD119B" w:rsidRDefault="005760C1" w:rsidP="005760C1">
            <w:r>
              <w:t>R</w:t>
            </w:r>
            <w:r w:rsidRPr="00A72361">
              <w:t>andomised controlled trial</w:t>
            </w:r>
          </w:p>
        </w:tc>
      </w:tr>
      <w:tr w:rsidR="005760C1" w:rsidRPr="00FD119B" w14:paraId="69387A8B" w14:textId="77777777" w:rsidTr="00855435">
        <w:tc>
          <w:tcPr>
            <w:tcW w:w="1890" w:type="dxa"/>
          </w:tcPr>
          <w:p w14:paraId="24B247E7" w14:textId="77777777" w:rsidR="005760C1" w:rsidRDefault="005760C1" w:rsidP="005760C1">
            <w:r>
              <w:t>RMP</w:t>
            </w:r>
          </w:p>
        </w:tc>
        <w:tc>
          <w:tcPr>
            <w:tcW w:w="6604" w:type="dxa"/>
          </w:tcPr>
          <w:p w14:paraId="667D1FC3" w14:textId="77777777" w:rsidR="005760C1" w:rsidRDefault="005760C1" w:rsidP="005760C1">
            <w:r>
              <w:t>Risk management plan</w:t>
            </w:r>
          </w:p>
        </w:tc>
      </w:tr>
      <w:tr w:rsidR="005760C1" w:rsidRPr="00FD119B" w14:paraId="044AFBC3" w14:textId="77777777" w:rsidTr="00855435">
        <w:tc>
          <w:tcPr>
            <w:tcW w:w="1890" w:type="dxa"/>
          </w:tcPr>
          <w:p w14:paraId="36C20641" w14:textId="77777777" w:rsidR="005760C1" w:rsidRDefault="005760C1" w:rsidP="005760C1">
            <w:r>
              <w:t>SAE</w:t>
            </w:r>
          </w:p>
        </w:tc>
        <w:tc>
          <w:tcPr>
            <w:tcW w:w="6604" w:type="dxa"/>
          </w:tcPr>
          <w:p w14:paraId="4C76CAB2" w14:textId="77777777" w:rsidR="005760C1" w:rsidRDefault="005760C1" w:rsidP="005760C1">
            <w:r>
              <w:t>Serious adverse event</w:t>
            </w:r>
          </w:p>
        </w:tc>
      </w:tr>
      <w:tr w:rsidR="005760C1" w:rsidRPr="00FD119B" w14:paraId="6F38123A" w14:textId="77777777" w:rsidTr="00855435">
        <w:tc>
          <w:tcPr>
            <w:tcW w:w="1890" w:type="dxa"/>
          </w:tcPr>
          <w:p w14:paraId="4BA92D4C" w14:textId="77777777" w:rsidR="005760C1" w:rsidRDefault="005760C1" w:rsidP="005760C1">
            <w:r>
              <w:t>SD</w:t>
            </w:r>
          </w:p>
        </w:tc>
        <w:tc>
          <w:tcPr>
            <w:tcW w:w="6604" w:type="dxa"/>
          </w:tcPr>
          <w:p w14:paraId="343BA50F" w14:textId="77777777" w:rsidR="005760C1" w:rsidRDefault="005760C1" w:rsidP="005760C1">
            <w:r>
              <w:t>Standard deviation</w:t>
            </w:r>
          </w:p>
        </w:tc>
      </w:tr>
      <w:tr w:rsidR="005760C1" w:rsidRPr="00FD119B" w14:paraId="1AE6748B" w14:textId="77777777" w:rsidTr="00855435">
        <w:tc>
          <w:tcPr>
            <w:tcW w:w="1890" w:type="dxa"/>
          </w:tcPr>
          <w:p w14:paraId="55203CD8" w14:textId="77777777" w:rsidR="005760C1" w:rsidRPr="00FD119B" w:rsidRDefault="005760C1" w:rsidP="005760C1">
            <w:r>
              <w:t>SDQ</w:t>
            </w:r>
          </w:p>
        </w:tc>
        <w:tc>
          <w:tcPr>
            <w:tcW w:w="6604" w:type="dxa"/>
          </w:tcPr>
          <w:p w14:paraId="50CB1B63" w14:textId="74C5659B" w:rsidR="005760C1" w:rsidRPr="00FD119B" w:rsidRDefault="00EA3255" w:rsidP="00302EA0">
            <w:r w:rsidRPr="00907650">
              <w:t xml:space="preserve">Swallowing </w:t>
            </w:r>
            <w:r w:rsidR="00302EA0">
              <w:t>D</w:t>
            </w:r>
            <w:r w:rsidRPr="00907650">
              <w:t xml:space="preserve">isturbance </w:t>
            </w:r>
            <w:r w:rsidR="00302EA0">
              <w:t>Q</w:t>
            </w:r>
            <w:r w:rsidRPr="00907650">
              <w:t>uestionnaire</w:t>
            </w:r>
            <w:r w:rsidRPr="004B7336" w:rsidDel="00EA3255">
              <w:t xml:space="preserve"> </w:t>
            </w:r>
          </w:p>
        </w:tc>
      </w:tr>
      <w:tr w:rsidR="005760C1" w:rsidRPr="00FD119B" w14:paraId="57B1B9D8" w14:textId="77777777" w:rsidTr="00855435">
        <w:tc>
          <w:tcPr>
            <w:tcW w:w="1890" w:type="dxa"/>
          </w:tcPr>
          <w:p w14:paraId="1611A83A" w14:textId="77777777" w:rsidR="005760C1" w:rsidRDefault="005760C1" w:rsidP="005760C1">
            <w:r>
              <w:t>SE</w:t>
            </w:r>
          </w:p>
        </w:tc>
        <w:tc>
          <w:tcPr>
            <w:tcW w:w="6604" w:type="dxa"/>
          </w:tcPr>
          <w:p w14:paraId="3E6F8798" w14:textId="77777777" w:rsidR="005760C1" w:rsidRDefault="005760C1" w:rsidP="005760C1">
            <w:r>
              <w:t>Standard error</w:t>
            </w:r>
          </w:p>
        </w:tc>
      </w:tr>
      <w:tr w:rsidR="005760C1" w:rsidRPr="00FD119B" w14:paraId="3E47F534" w14:textId="77777777" w:rsidTr="00855435">
        <w:tc>
          <w:tcPr>
            <w:tcW w:w="1890" w:type="dxa"/>
          </w:tcPr>
          <w:p w14:paraId="58337553" w14:textId="77777777" w:rsidR="005760C1" w:rsidRDefault="005760C1" w:rsidP="005760C1">
            <w:r>
              <w:t>SF-36</w:t>
            </w:r>
          </w:p>
        </w:tc>
        <w:tc>
          <w:tcPr>
            <w:tcW w:w="6604" w:type="dxa"/>
          </w:tcPr>
          <w:p w14:paraId="4928D388" w14:textId="77777777" w:rsidR="005760C1" w:rsidRDefault="005760C1" w:rsidP="005760C1">
            <w:r w:rsidRPr="004B7336">
              <w:t>36-Item Short Form Survey</w:t>
            </w:r>
          </w:p>
        </w:tc>
      </w:tr>
      <w:tr w:rsidR="005760C1" w:rsidRPr="00FD119B" w14:paraId="66AE2221" w14:textId="77777777" w:rsidTr="00855435">
        <w:tc>
          <w:tcPr>
            <w:tcW w:w="1890" w:type="dxa"/>
          </w:tcPr>
          <w:p w14:paraId="69969BD6" w14:textId="77777777" w:rsidR="005760C1" w:rsidRPr="00FD119B" w:rsidRDefault="005760C1" w:rsidP="005760C1">
            <w:r>
              <w:t>TD</w:t>
            </w:r>
          </w:p>
        </w:tc>
        <w:tc>
          <w:tcPr>
            <w:tcW w:w="6604" w:type="dxa"/>
          </w:tcPr>
          <w:p w14:paraId="51E559AD" w14:textId="77777777" w:rsidR="005760C1" w:rsidRPr="00FD119B" w:rsidRDefault="005760C1" w:rsidP="005760C1">
            <w:r w:rsidRPr="006E7163">
              <w:t>Tardive dyskinesia</w:t>
            </w:r>
          </w:p>
        </w:tc>
      </w:tr>
      <w:tr w:rsidR="005760C1" w:rsidRPr="00FD119B" w14:paraId="0AE8377B" w14:textId="77777777" w:rsidTr="00855435">
        <w:tc>
          <w:tcPr>
            <w:tcW w:w="1890" w:type="dxa"/>
          </w:tcPr>
          <w:p w14:paraId="4160357D" w14:textId="77777777" w:rsidR="005760C1" w:rsidRDefault="005760C1" w:rsidP="005760C1">
            <w:r>
              <w:t>TEAE</w:t>
            </w:r>
          </w:p>
        </w:tc>
        <w:tc>
          <w:tcPr>
            <w:tcW w:w="6604" w:type="dxa"/>
          </w:tcPr>
          <w:p w14:paraId="22F0CCA9" w14:textId="1A9013A7" w:rsidR="005760C1" w:rsidRDefault="00302EA0" w:rsidP="005760C1">
            <w:r>
              <w:rPr>
                <w:rFonts w:eastAsiaTheme="minorHAnsi" w:cs="Cambria"/>
                <w:color w:val="000000"/>
              </w:rPr>
              <w:t>T</w:t>
            </w:r>
            <w:r w:rsidR="005760C1" w:rsidRPr="00ED4BF2">
              <w:rPr>
                <w:rFonts w:eastAsiaTheme="minorHAnsi" w:cs="Cambria"/>
                <w:color w:val="000000"/>
              </w:rPr>
              <w:t>reatment</w:t>
            </w:r>
            <w:r>
              <w:rPr>
                <w:rFonts w:eastAsiaTheme="minorHAnsi" w:cs="Cambria"/>
                <w:color w:val="000000"/>
              </w:rPr>
              <w:noBreakHyphen/>
            </w:r>
            <w:r w:rsidR="005760C1" w:rsidRPr="00ED4BF2">
              <w:rPr>
                <w:rFonts w:eastAsiaTheme="minorHAnsi" w:cs="Cambria"/>
                <w:color w:val="000000"/>
              </w:rPr>
              <w:t>emergent adverse event</w:t>
            </w:r>
          </w:p>
        </w:tc>
      </w:tr>
      <w:tr w:rsidR="005760C1" w:rsidRPr="00FD119B" w14:paraId="24BB49B8" w14:textId="77777777" w:rsidTr="00855435">
        <w:tc>
          <w:tcPr>
            <w:tcW w:w="1890" w:type="dxa"/>
          </w:tcPr>
          <w:p w14:paraId="09A5131F" w14:textId="77777777" w:rsidR="005760C1" w:rsidRPr="00FD119B" w:rsidRDefault="005760C1" w:rsidP="005760C1">
            <w:r>
              <w:t>TFC</w:t>
            </w:r>
          </w:p>
        </w:tc>
        <w:tc>
          <w:tcPr>
            <w:tcW w:w="6604" w:type="dxa"/>
          </w:tcPr>
          <w:p w14:paraId="1CDB50E6" w14:textId="774C7CD3" w:rsidR="005760C1" w:rsidRPr="00FD119B" w:rsidRDefault="005760C1" w:rsidP="005760C1">
            <w:r>
              <w:t xml:space="preserve">Total </w:t>
            </w:r>
            <w:r w:rsidR="00302EA0">
              <w:t>f</w:t>
            </w:r>
            <w:r>
              <w:t xml:space="preserve">unctional </w:t>
            </w:r>
            <w:r w:rsidR="00302EA0">
              <w:t>c</w:t>
            </w:r>
            <w:r>
              <w:t>apacity</w:t>
            </w:r>
          </w:p>
        </w:tc>
      </w:tr>
      <w:tr w:rsidR="005760C1" w:rsidRPr="00FD119B" w14:paraId="61F90A7F" w14:textId="77777777" w:rsidTr="00855435">
        <w:tc>
          <w:tcPr>
            <w:tcW w:w="1890" w:type="dxa"/>
          </w:tcPr>
          <w:p w14:paraId="4007DA3B" w14:textId="77777777" w:rsidR="005760C1" w:rsidRPr="00FD119B" w:rsidRDefault="005760C1" w:rsidP="005760C1">
            <w:r>
              <w:t>TGA</w:t>
            </w:r>
          </w:p>
        </w:tc>
        <w:tc>
          <w:tcPr>
            <w:tcW w:w="6604" w:type="dxa"/>
          </w:tcPr>
          <w:p w14:paraId="084BE0BB" w14:textId="77777777" w:rsidR="005760C1" w:rsidRPr="00FD119B" w:rsidRDefault="005760C1" w:rsidP="005760C1">
            <w:r>
              <w:t>Therapeutic Goods Administration</w:t>
            </w:r>
          </w:p>
        </w:tc>
      </w:tr>
      <w:tr w:rsidR="005760C1" w:rsidRPr="00FD119B" w14:paraId="291D6A4D" w14:textId="77777777" w:rsidTr="00855435">
        <w:tc>
          <w:tcPr>
            <w:tcW w:w="1890" w:type="dxa"/>
          </w:tcPr>
          <w:p w14:paraId="2A149C8E" w14:textId="77777777" w:rsidR="005760C1" w:rsidRPr="00FD119B" w:rsidRDefault="005760C1" w:rsidP="005760C1">
            <w:proofErr w:type="spellStart"/>
            <w:r>
              <w:t>T</w:t>
            </w:r>
            <w:r w:rsidRPr="00C83228">
              <w:rPr>
                <w:vertAlign w:val="subscript"/>
              </w:rPr>
              <w:t>max</w:t>
            </w:r>
            <w:proofErr w:type="spellEnd"/>
          </w:p>
        </w:tc>
        <w:tc>
          <w:tcPr>
            <w:tcW w:w="6604" w:type="dxa"/>
          </w:tcPr>
          <w:p w14:paraId="73C6B512" w14:textId="3440D339" w:rsidR="005760C1" w:rsidRPr="00FD119B" w:rsidRDefault="00302EA0" w:rsidP="00302EA0">
            <w:r>
              <w:rPr>
                <w:rFonts w:cs="Calibri"/>
                <w:color w:val="000000"/>
                <w:szCs w:val="22"/>
              </w:rPr>
              <w:t>T</w:t>
            </w:r>
            <w:r w:rsidR="005760C1" w:rsidRPr="002B01B1">
              <w:rPr>
                <w:rFonts w:cs="Calibri"/>
                <w:color w:val="000000"/>
                <w:szCs w:val="22"/>
              </w:rPr>
              <w:t xml:space="preserve">ime </w:t>
            </w:r>
            <w:r>
              <w:rPr>
                <w:rFonts w:cs="Calibri"/>
                <w:color w:val="000000"/>
                <w:szCs w:val="22"/>
              </w:rPr>
              <w:t>of</w:t>
            </w:r>
            <w:r w:rsidR="005760C1" w:rsidRPr="002B01B1">
              <w:rPr>
                <w:rFonts w:cs="Calibri"/>
                <w:color w:val="000000"/>
                <w:szCs w:val="22"/>
              </w:rPr>
              <w:t xml:space="preserve"> maximum plasma concentration</w:t>
            </w:r>
          </w:p>
        </w:tc>
      </w:tr>
      <w:tr w:rsidR="005760C1" w:rsidRPr="00FD119B" w14:paraId="427DDEA7" w14:textId="77777777" w:rsidTr="00855435">
        <w:tc>
          <w:tcPr>
            <w:tcW w:w="1890" w:type="dxa"/>
          </w:tcPr>
          <w:p w14:paraId="6883E210" w14:textId="77777777" w:rsidR="005760C1" w:rsidRPr="00FD119B" w:rsidRDefault="005760C1" w:rsidP="005760C1">
            <w:r>
              <w:t>TMC</w:t>
            </w:r>
          </w:p>
        </w:tc>
        <w:tc>
          <w:tcPr>
            <w:tcW w:w="6604" w:type="dxa"/>
          </w:tcPr>
          <w:p w14:paraId="268474B4" w14:textId="67F5D8B7" w:rsidR="005760C1" w:rsidRPr="00FD119B" w:rsidRDefault="005760C1" w:rsidP="005760C1">
            <w:r>
              <w:t>Total maximal chorea score</w:t>
            </w:r>
          </w:p>
        </w:tc>
      </w:tr>
      <w:tr w:rsidR="00D532E7" w:rsidRPr="00FD119B" w14:paraId="6829DBDF" w14:textId="77777777" w:rsidTr="00855435">
        <w:tc>
          <w:tcPr>
            <w:tcW w:w="1890" w:type="dxa"/>
          </w:tcPr>
          <w:p w14:paraId="0D25E983" w14:textId="06CC8890" w:rsidR="00D532E7" w:rsidRDefault="00D532E7" w:rsidP="005760C1">
            <w:r>
              <w:t>TMS</w:t>
            </w:r>
          </w:p>
        </w:tc>
        <w:tc>
          <w:tcPr>
            <w:tcW w:w="6604" w:type="dxa"/>
          </w:tcPr>
          <w:p w14:paraId="027BF31A" w14:textId="1E4E2B94" w:rsidR="00D532E7" w:rsidRDefault="00D532E7" w:rsidP="005760C1">
            <w:r>
              <w:t>Total motor score</w:t>
            </w:r>
          </w:p>
        </w:tc>
      </w:tr>
      <w:tr w:rsidR="005760C1" w:rsidRPr="00FD119B" w14:paraId="5BA36552" w14:textId="77777777" w:rsidTr="00855435">
        <w:tc>
          <w:tcPr>
            <w:tcW w:w="1890" w:type="dxa"/>
          </w:tcPr>
          <w:p w14:paraId="71D38E86" w14:textId="77777777" w:rsidR="005760C1" w:rsidRPr="00FD119B" w:rsidRDefault="005760C1" w:rsidP="005760C1">
            <w:r>
              <w:t>UHDRS</w:t>
            </w:r>
          </w:p>
        </w:tc>
        <w:tc>
          <w:tcPr>
            <w:tcW w:w="6604" w:type="dxa"/>
          </w:tcPr>
          <w:p w14:paraId="5C0F8D0F" w14:textId="77777777" w:rsidR="005760C1" w:rsidRPr="00FD119B" w:rsidRDefault="005760C1" w:rsidP="005760C1">
            <w:r w:rsidRPr="007B4099">
              <w:t>Unified Huntington Disease Rating Scale</w:t>
            </w:r>
          </w:p>
        </w:tc>
      </w:tr>
      <w:tr w:rsidR="005760C1" w:rsidRPr="00FD119B" w14:paraId="495D3A8C" w14:textId="77777777" w:rsidTr="00855435">
        <w:tc>
          <w:tcPr>
            <w:tcW w:w="1890" w:type="dxa"/>
          </w:tcPr>
          <w:p w14:paraId="2672D1B5" w14:textId="77777777" w:rsidR="005760C1" w:rsidRPr="00FD119B" w:rsidRDefault="005760C1" w:rsidP="005760C1">
            <w:r>
              <w:t>UPDRS</w:t>
            </w:r>
          </w:p>
        </w:tc>
        <w:tc>
          <w:tcPr>
            <w:tcW w:w="6604" w:type="dxa"/>
          </w:tcPr>
          <w:p w14:paraId="1DE3DB35" w14:textId="77777777" w:rsidR="005760C1" w:rsidRPr="00FD119B" w:rsidRDefault="005760C1" w:rsidP="005760C1">
            <w:r w:rsidRPr="004B7336">
              <w:t>Unified Parkinson's Disease Rating Scale</w:t>
            </w:r>
          </w:p>
        </w:tc>
      </w:tr>
      <w:tr w:rsidR="005760C1" w:rsidRPr="00FD119B" w14:paraId="28AAD8B5" w14:textId="77777777" w:rsidTr="00855435">
        <w:tc>
          <w:tcPr>
            <w:tcW w:w="1890" w:type="dxa"/>
          </w:tcPr>
          <w:p w14:paraId="189BF2D7" w14:textId="77777777" w:rsidR="005760C1" w:rsidRPr="00FD119B" w:rsidRDefault="005760C1" w:rsidP="005760C1">
            <w:r>
              <w:t>USA</w:t>
            </w:r>
          </w:p>
        </w:tc>
        <w:tc>
          <w:tcPr>
            <w:tcW w:w="6604" w:type="dxa"/>
          </w:tcPr>
          <w:p w14:paraId="31BFDDC0" w14:textId="77777777" w:rsidR="005760C1" w:rsidRPr="00FD119B" w:rsidRDefault="005760C1" w:rsidP="005760C1">
            <w:r>
              <w:t>United States of America</w:t>
            </w:r>
          </w:p>
        </w:tc>
      </w:tr>
      <w:tr w:rsidR="005760C1" w:rsidRPr="00FD119B" w14:paraId="347C5390" w14:textId="77777777" w:rsidTr="00855435">
        <w:tc>
          <w:tcPr>
            <w:tcW w:w="1890" w:type="dxa"/>
          </w:tcPr>
          <w:p w14:paraId="3D4855F2" w14:textId="77777777" w:rsidR="005760C1" w:rsidRPr="00FD119B" w:rsidRDefault="005760C1" w:rsidP="005760C1">
            <w:proofErr w:type="spellStart"/>
            <w:r>
              <w:t>Vc</w:t>
            </w:r>
            <w:proofErr w:type="spellEnd"/>
            <w:r>
              <w:t>/F</w:t>
            </w:r>
          </w:p>
        </w:tc>
        <w:tc>
          <w:tcPr>
            <w:tcW w:w="6604" w:type="dxa"/>
          </w:tcPr>
          <w:p w14:paraId="1B15F59D" w14:textId="7B547EC1" w:rsidR="005760C1" w:rsidRPr="00FD119B" w:rsidRDefault="005760C1" w:rsidP="005760C1">
            <w:r>
              <w:t>V</w:t>
            </w:r>
            <w:r w:rsidRPr="003B2043">
              <w:t>olume of distribution</w:t>
            </w:r>
            <w:r w:rsidR="000E34BC">
              <w:t xml:space="preserve"> (after extravascular administration)</w:t>
            </w:r>
          </w:p>
        </w:tc>
      </w:tr>
      <w:tr w:rsidR="005760C1" w:rsidRPr="00FD119B" w14:paraId="3EC24E3F" w14:textId="77777777" w:rsidTr="00855435">
        <w:tc>
          <w:tcPr>
            <w:tcW w:w="1890" w:type="dxa"/>
          </w:tcPr>
          <w:p w14:paraId="209E98C0" w14:textId="77777777" w:rsidR="005760C1" w:rsidRPr="00FD119B" w:rsidRDefault="005760C1" w:rsidP="005760C1">
            <w:r>
              <w:t>VMAT-2</w:t>
            </w:r>
          </w:p>
        </w:tc>
        <w:tc>
          <w:tcPr>
            <w:tcW w:w="6604" w:type="dxa"/>
          </w:tcPr>
          <w:p w14:paraId="7F56C4A1" w14:textId="77777777" w:rsidR="005760C1" w:rsidRPr="00FD119B" w:rsidRDefault="005760C1" w:rsidP="005760C1">
            <w:r>
              <w:t>V</w:t>
            </w:r>
            <w:r w:rsidRPr="004A2A96">
              <w:t>esicular monoamine transporter type 2</w:t>
            </w:r>
          </w:p>
        </w:tc>
      </w:tr>
      <w:tr w:rsidR="005760C1" w:rsidRPr="00FD119B" w14:paraId="4EA9A382" w14:textId="77777777" w:rsidTr="00855435">
        <w:tc>
          <w:tcPr>
            <w:tcW w:w="1890" w:type="dxa"/>
          </w:tcPr>
          <w:p w14:paraId="3F40A72C" w14:textId="77777777" w:rsidR="005760C1" w:rsidRPr="00FD119B" w:rsidRDefault="005760C1" w:rsidP="005760C1">
            <w:r>
              <w:t>α-HTBZ</w:t>
            </w:r>
          </w:p>
        </w:tc>
        <w:tc>
          <w:tcPr>
            <w:tcW w:w="6604" w:type="dxa"/>
          </w:tcPr>
          <w:p w14:paraId="2E5A061F" w14:textId="77777777" w:rsidR="005760C1" w:rsidRPr="00FD119B" w:rsidRDefault="005760C1" w:rsidP="005760C1">
            <w:r>
              <w:t>Alpha-</w:t>
            </w:r>
            <w:proofErr w:type="spellStart"/>
            <w:r>
              <w:t>dihydrotetrabenazine</w:t>
            </w:r>
            <w:proofErr w:type="spellEnd"/>
          </w:p>
        </w:tc>
      </w:tr>
      <w:tr w:rsidR="005760C1" w:rsidRPr="00FD119B" w14:paraId="2CFFD328" w14:textId="77777777" w:rsidTr="00855435">
        <w:tc>
          <w:tcPr>
            <w:tcW w:w="1890" w:type="dxa"/>
          </w:tcPr>
          <w:p w14:paraId="5CF2A0AB" w14:textId="77777777" w:rsidR="005760C1" w:rsidRPr="00FD119B" w:rsidRDefault="005760C1" w:rsidP="005760C1">
            <w:r>
              <w:t>β-HTBZ</w:t>
            </w:r>
          </w:p>
        </w:tc>
        <w:tc>
          <w:tcPr>
            <w:tcW w:w="6604" w:type="dxa"/>
          </w:tcPr>
          <w:p w14:paraId="630AB648" w14:textId="77777777" w:rsidR="005760C1" w:rsidRPr="00FD119B" w:rsidRDefault="005760C1" w:rsidP="005760C1">
            <w:r>
              <w:t>Beta-</w:t>
            </w:r>
            <w:proofErr w:type="spellStart"/>
            <w:r>
              <w:t>dihydrotetrabenazine</w:t>
            </w:r>
            <w:proofErr w:type="spellEnd"/>
          </w:p>
        </w:tc>
      </w:tr>
    </w:tbl>
    <w:p w14:paraId="532BFC2A" w14:textId="77777777" w:rsidR="008E7846" w:rsidRDefault="00F53C07" w:rsidP="008E7846">
      <w:pPr>
        <w:pStyle w:val="Heading2"/>
      </w:pPr>
      <w:bookmarkStart w:id="8" w:name="_Toc104471050"/>
      <w:r>
        <w:lastRenderedPageBreak/>
        <w:t>I.</w:t>
      </w:r>
      <w:r w:rsidR="008E7846">
        <w:t xml:space="preserve"> Introduction to product submission</w:t>
      </w:r>
      <w:bookmarkEnd w:id="2"/>
      <w:bookmarkEnd w:id="0"/>
      <w:bookmarkEnd w:id="8"/>
    </w:p>
    <w:p w14:paraId="5975B01F" w14:textId="77777777" w:rsidR="008E7846" w:rsidRDefault="008E7846" w:rsidP="008E7846">
      <w:pPr>
        <w:pStyle w:val="Heading3"/>
        <w:rPr>
          <w:lang w:eastAsia="en-AU"/>
        </w:rPr>
      </w:pPr>
      <w:bookmarkStart w:id="9" w:name="_Toc247691502"/>
      <w:bookmarkStart w:id="10" w:name="_Toc314842483"/>
      <w:bookmarkStart w:id="11" w:name="_Toc104471051"/>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00902675" w14:textId="77777777" w:rsidTr="003735BC">
        <w:tc>
          <w:tcPr>
            <w:tcW w:w="2907" w:type="dxa"/>
          </w:tcPr>
          <w:p w14:paraId="12F27F7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C0FADEC" w14:textId="77777777" w:rsidR="008E7846" w:rsidRPr="003D1E62" w:rsidRDefault="008E7846" w:rsidP="001B5C90">
            <w:r w:rsidRPr="003D1E62">
              <w:t xml:space="preserve">New </w:t>
            </w:r>
            <w:r w:rsidR="001B5C90">
              <w:t>c</w:t>
            </w:r>
            <w:r w:rsidRPr="003D1E62">
              <w:t xml:space="preserve">hemical </w:t>
            </w:r>
            <w:r w:rsidR="001B5C90">
              <w:t>e</w:t>
            </w:r>
            <w:r w:rsidRPr="003D1E62">
              <w:t>ntity</w:t>
            </w:r>
          </w:p>
        </w:tc>
      </w:tr>
      <w:tr w:rsidR="00460036" w:rsidRPr="003D1E62" w14:paraId="246B5713" w14:textId="77777777" w:rsidTr="003735BC">
        <w:tc>
          <w:tcPr>
            <w:tcW w:w="2907" w:type="dxa"/>
          </w:tcPr>
          <w:p w14:paraId="35200363" w14:textId="77777777" w:rsidR="00460036" w:rsidRPr="003D1E62" w:rsidRDefault="00460036" w:rsidP="003D1E62">
            <w:pPr>
              <w:rPr>
                <w:i/>
              </w:rPr>
            </w:pPr>
            <w:r w:rsidRPr="00460036">
              <w:rPr>
                <w:i/>
              </w:rPr>
              <w:t>Product name:</w:t>
            </w:r>
          </w:p>
        </w:tc>
        <w:tc>
          <w:tcPr>
            <w:tcW w:w="6307" w:type="dxa"/>
          </w:tcPr>
          <w:p w14:paraId="282EBF3D" w14:textId="77777777" w:rsidR="00460036" w:rsidRPr="003D1E62" w:rsidRDefault="00C26DAA" w:rsidP="001B5C90">
            <w:proofErr w:type="spellStart"/>
            <w:r>
              <w:t>Austedo</w:t>
            </w:r>
            <w:proofErr w:type="spellEnd"/>
          </w:p>
        </w:tc>
      </w:tr>
      <w:tr w:rsidR="00460036" w:rsidRPr="003D1E62" w14:paraId="6E0E9DC5" w14:textId="77777777" w:rsidTr="003735BC">
        <w:tc>
          <w:tcPr>
            <w:tcW w:w="2907" w:type="dxa"/>
          </w:tcPr>
          <w:p w14:paraId="44F82FCF" w14:textId="77777777" w:rsidR="00460036" w:rsidRPr="003D1E62" w:rsidRDefault="00460036" w:rsidP="003D1E62">
            <w:pPr>
              <w:rPr>
                <w:i/>
              </w:rPr>
            </w:pPr>
            <w:r w:rsidRPr="00460036">
              <w:rPr>
                <w:i/>
              </w:rPr>
              <w:t>Active ingredient:</w:t>
            </w:r>
          </w:p>
        </w:tc>
        <w:tc>
          <w:tcPr>
            <w:tcW w:w="6307" w:type="dxa"/>
          </w:tcPr>
          <w:p w14:paraId="004EE75D" w14:textId="77777777" w:rsidR="00460036" w:rsidRPr="003D1E62" w:rsidRDefault="00C26DAA" w:rsidP="001B5C90">
            <w:proofErr w:type="spellStart"/>
            <w:r>
              <w:t>D</w:t>
            </w:r>
            <w:r w:rsidRPr="001218E5">
              <w:t>eutetrabenazine</w:t>
            </w:r>
            <w:proofErr w:type="spellEnd"/>
          </w:p>
        </w:tc>
      </w:tr>
      <w:tr w:rsidR="008E7846" w:rsidRPr="003D1E62" w14:paraId="6DB2FBEB" w14:textId="77777777" w:rsidTr="003735BC">
        <w:tc>
          <w:tcPr>
            <w:tcW w:w="2907" w:type="dxa"/>
          </w:tcPr>
          <w:p w14:paraId="41C7773E" w14:textId="77777777" w:rsidR="008E7846" w:rsidRPr="003D1E62" w:rsidRDefault="008E7846" w:rsidP="003D1E62">
            <w:r w:rsidRPr="003D1E62">
              <w:rPr>
                <w:i/>
              </w:rPr>
              <w:t>Decision</w:t>
            </w:r>
            <w:r w:rsidRPr="003D1E62">
              <w:t>:</w:t>
            </w:r>
          </w:p>
        </w:tc>
        <w:tc>
          <w:tcPr>
            <w:tcW w:w="6307" w:type="dxa"/>
          </w:tcPr>
          <w:p w14:paraId="1C36644F" w14:textId="77777777" w:rsidR="008E7846" w:rsidRPr="003D1E62" w:rsidRDefault="00460036" w:rsidP="001B5C90">
            <w:r w:rsidRPr="00460036">
              <w:t>Approved</w:t>
            </w:r>
          </w:p>
        </w:tc>
      </w:tr>
      <w:tr w:rsidR="008E7846" w:rsidRPr="003D1E62" w14:paraId="10B0FADA" w14:textId="77777777" w:rsidTr="003735BC">
        <w:tc>
          <w:tcPr>
            <w:tcW w:w="2907" w:type="dxa"/>
          </w:tcPr>
          <w:p w14:paraId="067762A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D116DE0" w14:textId="77777777" w:rsidR="008E7846" w:rsidRPr="003D1E62" w:rsidRDefault="004A2A96" w:rsidP="001B5C90">
            <w:r>
              <w:t>26 May 2021</w:t>
            </w:r>
          </w:p>
        </w:tc>
      </w:tr>
      <w:tr w:rsidR="00ED2922" w:rsidRPr="003D1E62" w14:paraId="65FF1F54" w14:textId="77777777" w:rsidTr="003735BC">
        <w:tc>
          <w:tcPr>
            <w:tcW w:w="2907" w:type="dxa"/>
          </w:tcPr>
          <w:p w14:paraId="709433D1" w14:textId="77777777" w:rsidR="00ED2922" w:rsidRPr="00441C3F" w:rsidRDefault="00ED2922" w:rsidP="001B5C90">
            <w:pPr>
              <w:rPr>
                <w:i/>
              </w:rPr>
            </w:pPr>
            <w:r w:rsidRPr="00441C3F">
              <w:rPr>
                <w:i/>
              </w:rPr>
              <w:t>Date of entry onto ARTG</w:t>
            </w:r>
            <w:r w:rsidR="00500337">
              <w:rPr>
                <w:i/>
              </w:rPr>
              <w:t>:</w:t>
            </w:r>
          </w:p>
        </w:tc>
        <w:tc>
          <w:tcPr>
            <w:tcW w:w="6307" w:type="dxa"/>
          </w:tcPr>
          <w:p w14:paraId="0094C2BB" w14:textId="77777777" w:rsidR="00ED2922" w:rsidRPr="00441C3F" w:rsidRDefault="004A2A96" w:rsidP="00D153D8">
            <w:pPr>
              <w:rPr>
                <w:i/>
              </w:rPr>
            </w:pPr>
            <w:r>
              <w:t>2 June 2021</w:t>
            </w:r>
          </w:p>
        </w:tc>
      </w:tr>
      <w:tr w:rsidR="00500337" w:rsidRPr="003D1E62" w14:paraId="0DB21A87" w14:textId="77777777" w:rsidTr="003735BC">
        <w:tc>
          <w:tcPr>
            <w:tcW w:w="2907" w:type="dxa"/>
          </w:tcPr>
          <w:p w14:paraId="0761B77B" w14:textId="77777777" w:rsidR="00500337" w:rsidRPr="00441C3F" w:rsidRDefault="00500337" w:rsidP="001B5C90">
            <w:pPr>
              <w:rPr>
                <w:i/>
              </w:rPr>
            </w:pPr>
            <w:r>
              <w:rPr>
                <w:i/>
              </w:rPr>
              <w:t>ARTG number</w:t>
            </w:r>
            <w:r w:rsidR="004A2A96">
              <w:rPr>
                <w:i/>
              </w:rPr>
              <w:t>s</w:t>
            </w:r>
            <w:r>
              <w:rPr>
                <w:i/>
              </w:rPr>
              <w:t>:</w:t>
            </w:r>
          </w:p>
        </w:tc>
        <w:tc>
          <w:tcPr>
            <w:tcW w:w="6307" w:type="dxa"/>
          </w:tcPr>
          <w:p w14:paraId="4AC8A015" w14:textId="35356221" w:rsidR="00500337" w:rsidRPr="00441C3F" w:rsidRDefault="004A2A96" w:rsidP="00EC463D">
            <w:r>
              <w:t>330</w:t>
            </w:r>
            <w:r w:rsidR="00ED0645">
              <w:t>0</w:t>
            </w:r>
            <w:r>
              <w:t>21, 330</w:t>
            </w:r>
            <w:r w:rsidR="00ED0645">
              <w:t>0</w:t>
            </w:r>
            <w:r>
              <w:t>22 and 330023</w:t>
            </w:r>
          </w:p>
        </w:tc>
      </w:tr>
      <w:tr w:rsidR="003735BC" w:rsidRPr="003D1E62" w14:paraId="2EF1C177" w14:textId="77777777" w:rsidTr="003735BC">
        <w:tc>
          <w:tcPr>
            <w:tcW w:w="2907" w:type="dxa"/>
          </w:tcPr>
          <w:p w14:paraId="04B058CE"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7C4B8D4E" w14:textId="77777777" w:rsidR="003735BC" w:rsidRDefault="003735BC" w:rsidP="003735BC">
            <w:r>
              <w:t>Yes</w:t>
            </w:r>
          </w:p>
          <w:p w14:paraId="7978EB8F" w14:textId="77777777" w:rsidR="003735BC" w:rsidRPr="00487162" w:rsidRDefault="003735BC" w:rsidP="003735BC">
            <w:r>
              <w:t xml:space="preserve">This product will remain in the scheme for 5 years, starting on the date the product is first supplied in </w:t>
            </w:r>
            <w:r w:rsidRPr="00D453FA">
              <w:t>Australia</w:t>
            </w:r>
            <w:r w:rsidR="004A2A96">
              <w:t>.</w:t>
            </w:r>
          </w:p>
        </w:tc>
      </w:tr>
    </w:tbl>
    <w:p w14:paraId="0B97B718"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2923F986" w14:textId="77777777" w:rsidTr="00BF1190">
        <w:tc>
          <w:tcPr>
            <w:tcW w:w="2907" w:type="dxa"/>
          </w:tcPr>
          <w:p w14:paraId="5657C46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0173FA0" w14:textId="77777777" w:rsidR="004A2A96" w:rsidRDefault="004A2A96" w:rsidP="004A2A96">
            <w:r>
              <w:t>Teva Pharma Australia Pty Limited</w:t>
            </w:r>
          </w:p>
          <w:p w14:paraId="16F08F2E" w14:textId="77777777" w:rsidR="004A2A96" w:rsidRDefault="004A2A96" w:rsidP="004A2A96">
            <w:r>
              <w:t>Level 1, 37 Epping Rd</w:t>
            </w:r>
          </w:p>
          <w:p w14:paraId="25B19814" w14:textId="77777777" w:rsidR="008E7846" w:rsidRPr="00487162" w:rsidRDefault="004A2A96" w:rsidP="004A2A96">
            <w:r>
              <w:t>Macquarie Park, NSW, 2113</w:t>
            </w:r>
          </w:p>
        </w:tc>
      </w:tr>
      <w:tr w:rsidR="008E7846" w:rsidRPr="00487162" w14:paraId="24DA72D6" w14:textId="77777777" w:rsidTr="00BF1190">
        <w:tc>
          <w:tcPr>
            <w:tcW w:w="2907" w:type="dxa"/>
          </w:tcPr>
          <w:p w14:paraId="64284B2A" w14:textId="77777777" w:rsidR="008E7846" w:rsidRPr="00487162" w:rsidRDefault="001B5C90" w:rsidP="00E45619">
            <w:pPr>
              <w:rPr>
                <w:i/>
              </w:rPr>
            </w:pPr>
            <w:r>
              <w:rPr>
                <w:i/>
              </w:rPr>
              <w:t>Dose form:</w:t>
            </w:r>
          </w:p>
        </w:tc>
        <w:tc>
          <w:tcPr>
            <w:tcW w:w="6307" w:type="dxa"/>
          </w:tcPr>
          <w:p w14:paraId="78D88104" w14:textId="77777777" w:rsidR="008E7846" w:rsidRPr="00487162" w:rsidRDefault="004A2A96" w:rsidP="00E45619">
            <w:r>
              <w:t>Modified released tablet</w:t>
            </w:r>
          </w:p>
        </w:tc>
      </w:tr>
      <w:tr w:rsidR="008E7846" w:rsidRPr="00487162" w14:paraId="3F68D2B1" w14:textId="77777777" w:rsidTr="00BF1190">
        <w:tc>
          <w:tcPr>
            <w:tcW w:w="2907" w:type="dxa"/>
          </w:tcPr>
          <w:p w14:paraId="6B74434C" w14:textId="77777777" w:rsidR="008E7846" w:rsidRPr="00487162" w:rsidRDefault="00324E45" w:rsidP="00E45619">
            <w:pPr>
              <w:rPr>
                <w:i/>
              </w:rPr>
            </w:pPr>
            <w:r>
              <w:rPr>
                <w:i/>
              </w:rPr>
              <w:t>Strengths:</w:t>
            </w:r>
          </w:p>
        </w:tc>
        <w:tc>
          <w:tcPr>
            <w:tcW w:w="6307" w:type="dxa"/>
          </w:tcPr>
          <w:p w14:paraId="6646A65B" w14:textId="77777777" w:rsidR="008E7846" w:rsidRPr="00487162" w:rsidRDefault="004A2A96" w:rsidP="00E45619">
            <w:r w:rsidRPr="00A517E5">
              <w:t>6 mg, 9 mg and 12 mg</w:t>
            </w:r>
          </w:p>
        </w:tc>
      </w:tr>
      <w:tr w:rsidR="008E7846" w:rsidRPr="00487162" w14:paraId="4C4F772E" w14:textId="77777777" w:rsidTr="00BF1190">
        <w:tc>
          <w:tcPr>
            <w:tcW w:w="2907" w:type="dxa"/>
          </w:tcPr>
          <w:p w14:paraId="33679DC7" w14:textId="77777777" w:rsidR="008E7846" w:rsidRPr="00487162" w:rsidRDefault="008E7846" w:rsidP="00E45619">
            <w:pPr>
              <w:rPr>
                <w:i/>
              </w:rPr>
            </w:pPr>
            <w:r w:rsidRPr="00487162">
              <w:rPr>
                <w:i/>
              </w:rPr>
              <w:t>Container:</w:t>
            </w:r>
          </w:p>
        </w:tc>
        <w:tc>
          <w:tcPr>
            <w:tcW w:w="6307" w:type="dxa"/>
          </w:tcPr>
          <w:p w14:paraId="291CAE17" w14:textId="77777777" w:rsidR="008E7846" w:rsidRPr="00487162" w:rsidRDefault="004A2A96" w:rsidP="00E45619">
            <w:r>
              <w:t>Bottle</w:t>
            </w:r>
          </w:p>
        </w:tc>
      </w:tr>
      <w:tr w:rsidR="008E7846" w:rsidRPr="00487162" w14:paraId="33D5C8C5" w14:textId="77777777" w:rsidTr="00BF1190">
        <w:tc>
          <w:tcPr>
            <w:tcW w:w="2907" w:type="dxa"/>
          </w:tcPr>
          <w:p w14:paraId="1F9BFCD9" w14:textId="77777777" w:rsidR="008E7846" w:rsidRPr="00487162" w:rsidRDefault="008E7846" w:rsidP="00E45619">
            <w:pPr>
              <w:rPr>
                <w:i/>
              </w:rPr>
            </w:pPr>
            <w:r w:rsidRPr="00487162">
              <w:rPr>
                <w:i/>
              </w:rPr>
              <w:t>Pack size:</w:t>
            </w:r>
          </w:p>
        </w:tc>
        <w:tc>
          <w:tcPr>
            <w:tcW w:w="6307" w:type="dxa"/>
          </w:tcPr>
          <w:p w14:paraId="3E3FE234" w14:textId="77777777" w:rsidR="008E7846" w:rsidRPr="00487162" w:rsidRDefault="004A2A96" w:rsidP="00E45619">
            <w:r>
              <w:t>60</w:t>
            </w:r>
          </w:p>
        </w:tc>
      </w:tr>
      <w:tr w:rsidR="008E7846" w:rsidRPr="00487162" w14:paraId="55EFE196" w14:textId="77777777" w:rsidTr="00BF1190">
        <w:tc>
          <w:tcPr>
            <w:tcW w:w="2907" w:type="dxa"/>
          </w:tcPr>
          <w:p w14:paraId="2B840C47"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3D7CA0D" w14:textId="77777777" w:rsidR="004A2A96" w:rsidRPr="004A2A96" w:rsidRDefault="004A2A96" w:rsidP="004A2A96">
            <w:pPr>
              <w:rPr>
                <w:i/>
                <w:iCs/>
              </w:rPr>
            </w:pPr>
            <w:proofErr w:type="spellStart"/>
            <w:r w:rsidRPr="004A2A96">
              <w:rPr>
                <w:i/>
                <w:iCs/>
              </w:rPr>
              <w:t>Austedo</w:t>
            </w:r>
            <w:proofErr w:type="spellEnd"/>
            <w:r w:rsidRPr="004A2A96">
              <w:rPr>
                <w:i/>
                <w:iCs/>
              </w:rPr>
              <w:t xml:space="preserve"> is indicated for the treatment of:</w:t>
            </w:r>
          </w:p>
          <w:p w14:paraId="086F086D" w14:textId="77777777" w:rsidR="004A2A96" w:rsidRPr="004A2A96" w:rsidRDefault="004A2A96" w:rsidP="004A2A96">
            <w:pPr>
              <w:pStyle w:val="ListBullet"/>
              <w:rPr>
                <w:i/>
                <w:iCs/>
              </w:rPr>
            </w:pPr>
            <w:r w:rsidRPr="004A2A96">
              <w:rPr>
                <w:i/>
                <w:iCs/>
              </w:rPr>
              <w:t>chorea associated with Huntington’s disease</w:t>
            </w:r>
          </w:p>
          <w:p w14:paraId="26A2FDD0" w14:textId="77777777" w:rsidR="008E7846" w:rsidRPr="00487162" w:rsidRDefault="004A2A96" w:rsidP="004A2A96">
            <w:pPr>
              <w:pStyle w:val="ListBullet"/>
              <w:rPr>
                <w:rFonts w:eastAsia="MS Mincho"/>
                <w:lang w:eastAsia="ja-JP"/>
              </w:rPr>
            </w:pPr>
            <w:r w:rsidRPr="004A2A96">
              <w:rPr>
                <w:i/>
                <w:iCs/>
              </w:rPr>
              <w:t>tardive dyskinesia in adults</w:t>
            </w:r>
          </w:p>
        </w:tc>
      </w:tr>
      <w:tr w:rsidR="008E7846" w:rsidRPr="00487162" w14:paraId="1508C917" w14:textId="77777777" w:rsidTr="00BF1190">
        <w:tc>
          <w:tcPr>
            <w:tcW w:w="2907" w:type="dxa"/>
          </w:tcPr>
          <w:p w14:paraId="6EAE2D34" w14:textId="77777777" w:rsidR="008E7846" w:rsidRPr="00487162" w:rsidRDefault="008E7846" w:rsidP="00E45619">
            <w:pPr>
              <w:rPr>
                <w:i/>
              </w:rPr>
            </w:pPr>
            <w:r w:rsidRPr="00487162">
              <w:rPr>
                <w:i/>
              </w:rPr>
              <w:t>Route of administration:</w:t>
            </w:r>
          </w:p>
        </w:tc>
        <w:tc>
          <w:tcPr>
            <w:tcW w:w="6307" w:type="dxa"/>
          </w:tcPr>
          <w:p w14:paraId="2B090B71" w14:textId="77777777" w:rsidR="008E7846" w:rsidRPr="00487162" w:rsidRDefault="004A2A96" w:rsidP="00E45619">
            <w:r>
              <w:t>Oral</w:t>
            </w:r>
          </w:p>
        </w:tc>
      </w:tr>
      <w:tr w:rsidR="008E7846" w:rsidRPr="00487162" w14:paraId="0D79B1BF" w14:textId="77777777" w:rsidTr="00BF1190">
        <w:tc>
          <w:tcPr>
            <w:tcW w:w="2907" w:type="dxa"/>
          </w:tcPr>
          <w:p w14:paraId="0D17456F" w14:textId="77777777" w:rsidR="008E7846" w:rsidRPr="00487162" w:rsidRDefault="008E7846" w:rsidP="00E45619">
            <w:pPr>
              <w:rPr>
                <w:i/>
              </w:rPr>
            </w:pPr>
            <w:r w:rsidRPr="00487162">
              <w:rPr>
                <w:i/>
              </w:rPr>
              <w:t>Dosage:</w:t>
            </w:r>
          </w:p>
        </w:tc>
        <w:tc>
          <w:tcPr>
            <w:tcW w:w="6307" w:type="dxa"/>
          </w:tcPr>
          <w:p w14:paraId="50CF7124" w14:textId="77777777" w:rsidR="008E7846" w:rsidRDefault="004A2A96" w:rsidP="004A2A96">
            <w:r w:rsidRPr="004A2A96">
              <w:t xml:space="preserve">The dose of </w:t>
            </w:r>
            <w:proofErr w:type="spellStart"/>
            <w:r w:rsidRPr="004A2A96">
              <w:t>Austedo</w:t>
            </w:r>
            <w:proofErr w:type="spellEnd"/>
            <w:r w:rsidRPr="004A2A96">
              <w:t xml:space="preserve"> is determined individually for each patient based on reduction of chorea or tardive dyskinesia and tolerability. When first prescribed to patients who are not being switched from tetrabenazine (a related vesicular monoamine </w:t>
            </w:r>
            <w:r w:rsidRPr="004A2A96">
              <w:lastRenderedPageBreak/>
              <w:t>transporter type 2 (VMAT</w:t>
            </w:r>
            <w:r w:rsidR="002619A7">
              <w:t>-</w:t>
            </w:r>
            <w:r w:rsidRPr="004A2A96">
              <w:t xml:space="preserve">2) inhibitor), the recommended starting dose of </w:t>
            </w:r>
            <w:proofErr w:type="spellStart"/>
            <w:r w:rsidRPr="004A2A96">
              <w:t>Austedo</w:t>
            </w:r>
            <w:proofErr w:type="spellEnd"/>
            <w:r w:rsidRPr="004A2A96">
              <w:t xml:space="preserve"> is 6 mg administered orally once daily for patients with Huntington’s disease and 12 mg per day (6 mg twice daily) for patients with tardive dyskinesia.</w:t>
            </w:r>
          </w:p>
          <w:p w14:paraId="4134464C" w14:textId="77777777" w:rsidR="00460036" w:rsidRPr="00487162" w:rsidRDefault="00460036" w:rsidP="00E45619">
            <w:r w:rsidRPr="00460036">
              <w:t>For further information regarding dosage, refer to the Product Information.</w:t>
            </w:r>
          </w:p>
        </w:tc>
      </w:tr>
      <w:tr w:rsidR="00460036" w:rsidRPr="00487162" w14:paraId="71932352" w14:textId="77777777" w:rsidTr="00BF1190">
        <w:tc>
          <w:tcPr>
            <w:tcW w:w="2907" w:type="dxa"/>
          </w:tcPr>
          <w:p w14:paraId="10A4A197" w14:textId="77777777" w:rsidR="00460036" w:rsidRPr="00487162" w:rsidRDefault="00460036" w:rsidP="00E45619">
            <w:pPr>
              <w:rPr>
                <w:i/>
              </w:rPr>
            </w:pPr>
            <w:r w:rsidRPr="00460036">
              <w:rPr>
                <w:i/>
              </w:rPr>
              <w:lastRenderedPageBreak/>
              <w:t>Pregnancy category</w:t>
            </w:r>
            <w:r>
              <w:rPr>
                <w:i/>
              </w:rPr>
              <w:t>:</w:t>
            </w:r>
          </w:p>
        </w:tc>
        <w:tc>
          <w:tcPr>
            <w:tcW w:w="6307" w:type="dxa"/>
          </w:tcPr>
          <w:p w14:paraId="16D7CFFC" w14:textId="77777777" w:rsidR="004A2A96" w:rsidRDefault="004A2A96" w:rsidP="004A2A96">
            <w:r>
              <w:t>B3</w:t>
            </w:r>
          </w:p>
          <w:p w14:paraId="7052BDE0" w14:textId="77777777" w:rsidR="004A2A96" w:rsidRDefault="004A2A96" w:rsidP="004A2A96">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14B3795" w14:textId="77777777" w:rsidR="004A2A96" w:rsidRDefault="004A2A96" w:rsidP="004A2A96">
            <w:r>
              <w:t>Studies in animals have shown evidence of an increased occurrence of fetal damage, the significance of which is considered uncertain in humans.</w:t>
            </w:r>
          </w:p>
          <w:p w14:paraId="2DA016B0" w14:textId="77777777" w:rsidR="00460036" w:rsidRPr="00487162" w:rsidRDefault="00460036" w:rsidP="004A2A9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4BEE246" w14:textId="77777777" w:rsidR="008E7846" w:rsidRDefault="008E7846" w:rsidP="008E7846">
      <w:pPr>
        <w:pStyle w:val="Heading3"/>
      </w:pPr>
      <w:bookmarkStart w:id="12" w:name="_Toc247691503"/>
      <w:bookmarkStart w:id="13" w:name="_Toc314842484"/>
      <w:bookmarkStart w:id="14" w:name="_Toc104471052"/>
      <w:r>
        <w:t>Product background</w:t>
      </w:r>
      <w:bookmarkEnd w:id="12"/>
      <w:bookmarkEnd w:id="13"/>
      <w:bookmarkEnd w:id="14"/>
    </w:p>
    <w:p w14:paraId="19FB570C" w14:textId="77777777" w:rsidR="008E7846" w:rsidRDefault="00250271" w:rsidP="00940A89">
      <w:r w:rsidRPr="00250271">
        <w:t xml:space="preserve">This AusPAR describes the application by </w:t>
      </w:r>
      <w:r w:rsidR="004A2A96">
        <w:t>Teva Pharma Australia Pty Ltd</w:t>
      </w:r>
      <w:r w:rsidRPr="00250271">
        <w:t xml:space="preserve"> (the sponsor) to register </w:t>
      </w:r>
      <w:proofErr w:type="spellStart"/>
      <w:r w:rsidR="004A2A96">
        <w:t>Austedo</w:t>
      </w:r>
      <w:proofErr w:type="spellEnd"/>
      <w:r w:rsidRPr="00250271">
        <w:t xml:space="preserve"> (</w:t>
      </w:r>
      <w:proofErr w:type="spellStart"/>
      <w:r w:rsidR="004A2A96">
        <w:t>deutetrabenazine</w:t>
      </w:r>
      <w:proofErr w:type="spellEnd"/>
      <w:r w:rsidRPr="00250271">
        <w:t xml:space="preserve">) </w:t>
      </w:r>
      <w:r w:rsidR="00CE2E32" w:rsidRPr="00A517E5">
        <w:t>6 mg, 9 mg and 12 mg</w:t>
      </w:r>
      <w:r w:rsidRPr="00250271">
        <w:t xml:space="preserve">, </w:t>
      </w:r>
      <w:r w:rsidR="00CE2E32">
        <w:t>modified released tablet</w:t>
      </w:r>
      <w:r w:rsidRPr="00250271">
        <w:t xml:space="preserve"> for the following proposed indication</w:t>
      </w:r>
      <w:r w:rsidR="00CF5DAD">
        <w:t>:</w:t>
      </w:r>
    </w:p>
    <w:p w14:paraId="5A472300" w14:textId="77777777" w:rsidR="00CE2E32" w:rsidRPr="00CE2E32" w:rsidRDefault="00CE2E32" w:rsidP="00CE2E32">
      <w:pPr>
        <w:ind w:left="360"/>
        <w:rPr>
          <w:i/>
          <w:iCs/>
        </w:rPr>
      </w:pPr>
      <w:proofErr w:type="spellStart"/>
      <w:r w:rsidRPr="00CE2E32">
        <w:rPr>
          <w:i/>
          <w:iCs/>
        </w:rPr>
        <w:t>Austedo</w:t>
      </w:r>
      <w:proofErr w:type="spellEnd"/>
      <w:r w:rsidRPr="00CE2E32">
        <w:rPr>
          <w:i/>
          <w:iCs/>
        </w:rPr>
        <w:t xml:space="preserve"> is indicated for the treatment of:</w:t>
      </w:r>
    </w:p>
    <w:p w14:paraId="7616A751" w14:textId="77777777" w:rsidR="00CE2E32" w:rsidRPr="00CE2E32" w:rsidRDefault="00CE2E32" w:rsidP="00CE2E32">
      <w:pPr>
        <w:pStyle w:val="ListBullet"/>
        <w:ind w:left="720"/>
        <w:rPr>
          <w:i/>
          <w:iCs/>
        </w:rPr>
      </w:pPr>
      <w:r w:rsidRPr="00CE2E32">
        <w:rPr>
          <w:i/>
          <w:iCs/>
        </w:rPr>
        <w:t>chorea associated with Huntington’s disease</w:t>
      </w:r>
    </w:p>
    <w:p w14:paraId="5E1DB2FA" w14:textId="77777777" w:rsidR="00CE2E32" w:rsidRPr="00D46BB2" w:rsidRDefault="00CE2E32" w:rsidP="00250271">
      <w:pPr>
        <w:pStyle w:val="ListBullet"/>
        <w:ind w:left="720"/>
      </w:pPr>
      <w:r w:rsidRPr="00CE2E32">
        <w:rPr>
          <w:i/>
          <w:iCs/>
        </w:rPr>
        <w:t>tardive dyskinesia in adults</w:t>
      </w:r>
    </w:p>
    <w:p w14:paraId="34681808" w14:textId="7D620450" w:rsidR="00D46BB2" w:rsidRDefault="00D46BB2" w:rsidP="00D46BB2">
      <w:r>
        <w:t>Huntington disease (HD) is an inherited progressive neurodegenerative disorder characterised by choreiform movements, psychiatric problems, and dementia.</w:t>
      </w:r>
      <w:bookmarkStart w:id="15" w:name="_Ref78452782"/>
      <w:r>
        <w:rPr>
          <w:rStyle w:val="FootnoteReference"/>
        </w:rPr>
        <w:footnoteReference w:id="2"/>
      </w:r>
      <w:bookmarkEnd w:id="15"/>
      <w:r w:rsidRPr="00D46BB2">
        <w:rPr>
          <w:vertAlign w:val="superscript"/>
        </w:rPr>
        <w:t>,</w:t>
      </w:r>
      <w:r>
        <w:rPr>
          <w:rStyle w:val="FootnoteReference"/>
        </w:rPr>
        <w:footnoteReference w:id="3"/>
      </w:r>
      <w:r>
        <w:t xml:space="preserve"> It is caused by a cytosine-adenine-guanine (CAG) trinucleotide repeat expansion in the </w:t>
      </w:r>
      <w:r w:rsidRPr="00855435">
        <w:rPr>
          <w:iCs/>
        </w:rPr>
        <w:t>huntingtin</w:t>
      </w:r>
      <w:r>
        <w:t xml:space="preserve"> </w:t>
      </w:r>
      <w:r w:rsidR="00302EA0">
        <w:t xml:space="preserve">gene </w:t>
      </w:r>
      <w:r>
        <w:t>(</w:t>
      </w:r>
      <w:r w:rsidRPr="00855435">
        <w:rPr>
          <w:i/>
        </w:rPr>
        <w:t>HTT</w:t>
      </w:r>
      <w:r>
        <w:t>) gene on chromosome 4p and inherited in an autosomal</w:t>
      </w:r>
      <w:r w:rsidR="002619A7">
        <w:t xml:space="preserve"> </w:t>
      </w:r>
      <w:r>
        <w:t xml:space="preserve">dominant pattern. The pathophysiology of </w:t>
      </w:r>
      <w:r w:rsidR="00302EA0">
        <w:t xml:space="preserve">Huntington disease </w:t>
      </w:r>
      <w:r>
        <w:t>is not fully understood, although it is thought to be related to toxicity of the mutant huntingtin protein. There is no known cure and the overall treatment is symptomatic and supportive.</w:t>
      </w:r>
      <w:r>
        <w:rPr>
          <w:rStyle w:val="FootnoteReference"/>
        </w:rPr>
        <w:footnoteReference w:id="4"/>
      </w:r>
    </w:p>
    <w:p w14:paraId="186EC460" w14:textId="344C59E3" w:rsidR="00D46BB2" w:rsidRDefault="00D46BB2" w:rsidP="00D46BB2">
      <w:r>
        <w:t xml:space="preserve">In Australia, the estimated number of people with </w:t>
      </w:r>
      <w:r w:rsidR="00302EA0">
        <w:t xml:space="preserve">Huntington disease </w:t>
      </w:r>
      <w:r>
        <w:t>is around 1600.</w:t>
      </w:r>
      <w:r>
        <w:rPr>
          <w:rStyle w:val="FootnoteReference"/>
        </w:rPr>
        <w:footnoteReference w:id="5"/>
      </w:r>
    </w:p>
    <w:p w14:paraId="6C7045B4" w14:textId="702137CC" w:rsidR="00D46BB2" w:rsidRDefault="00D46BB2" w:rsidP="00D46BB2">
      <w:r>
        <w:t xml:space="preserve">The clinical manifestations of </w:t>
      </w:r>
      <w:r w:rsidR="00302EA0">
        <w:t xml:space="preserve">Huntington disease </w:t>
      </w:r>
      <w:r>
        <w:t xml:space="preserve">typically begin in midlife and progress leading to complete disability and death, usually 15 to 20 years after the initial onset of </w:t>
      </w:r>
      <w:r>
        <w:lastRenderedPageBreak/>
        <w:t>symptoms. Chorea is an abnormal involuntary movement characterised by brief, abrupt, irregular, unpredictable, non-stereotyped movements. Chorea is broadly thought to develop as a result of dysfunction in the complex networks connecting the basal ganglia, thalamus and motor cortex.</w:t>
      </w:r>
    </w:p>
    <w:p w14:paraId="2A2EF863" w14:textId="2E1AB808" w:rsidR="00D46BB2" w:rsidRDefault="00D46BB2" w:rsidP="00D46BB2">
      <w:r>
        <w:t>Tardive dyskinesia is a medication-induced hyperkinetic movement disorder associated with the use of dopamine receptor-blocking agents, including antipsychotic drugs and two antiemetic agents metoclopramide and prochlorperazine.</w:t>
      </w:r>
      <w:r>
        <w:rPr>
          <w:rStyle w:val="FootnoteReference"/>
        </w:rPr>
        <w:footnoteReference w:id="6"/>
      </w:r>
      <w:r>
        <w:t xml:space="preserve"> </w:t>
      </w:r>
      <w:r w:rsidR="00302EA0">
        <w:t xml:space="preserve">Tardive dyskinesia </w:t>
      </w:r>
      <w:r>
        <w:t xml:space="preserve">is characterised by a wide range of abnormal, involuntary movements that often persist after discontinuation of the causative medication. </w:t>
      </w:r>
      <w:r w:rsidR="00302EA0">
        <w:t xml:space="preserve">Tardive dyskinesia </w:t>
      </w:r>
      <w:r>
        <w:t>can be irreversible and lifelong. The condition can be disfiguring and disabling, with major negative impacts on psychologic health and quality of life.</w:t>
      </w:r>
    </w:p>
    <w:p w14:paraId="66FBBA51" w14:textId="395A0B02" w:rsidR="00D46BB2" w:rsidRDefault="00D46BB2" w:rsidP="00D46BB2">
      <w:r>
        <w:t>Vesicular monoamine transporter</w:t>
      </w:r>
      <w:r w:rsidR="002619A7">
        <w:t xml:space="preserve"> </w:t>
      </w:r>
      <w:r>
        <w:t>2</w:t>
      </w:r>
      <w:r w:rsidR="002619A7">
        <w:t xml:space="preserve"> (VMAT-2)</w:t>
      </w:r>
      <w:r>
        <w:t xml:space="preserve"> is a vital molecule in catecholamine storage and defect of it may cause neurodegeneration. VMAT-2 inhibitors can cause depletion of </w:t>
      </w:r>
      <w:r w:rsidR="002619A7" w:rsidRPr="002619A7">
        <w:t xml:space="preserve">dopamine </w:t>
      </w:r>
      <w:r w:rsidR="002619A7">
        <w:t>(</w:t>
      </w:r>
      <w:r>
        <w:t>DA</w:t>
      </w:r>
      <w:r w:rsidR="002619A7">
        <w:t>)</w:t>
      </w:r>
      <w:r>
        <w:t xml:space="preserve"> content in the presynaptic vesicles and reduction in the dopaminergic tone. This is the mechanism of action of VMAT inhibitors that leads to improvement in characteristic clinical manifestations (movement disorders) of </w:t>
      </w:r>
      <w:r w:rsidR="00302EA0">
        <w:t xml:space="preserve">Huntington disease </w:t>
      </w:r>
      <w:r>
        <w:t xml:space="preserve">and </w:t>
      </w:r>
      <w:r w:rsidR="00302EA0">
        <w:t>tardive dyskinesia</w:t>
      </w:r>
      <w:r>
        <w:t>.</w:t>
      </w:r>
    </w:p>
    <w:p w14:paraId="622792C9" w14:textId="119B6828" w:rsidR="00D46BB2" w:rsidRDefault="00D46BB2" w:rsidP="00D46BB2">
      <w:pPr>
        <w:pStyle w:val="FigureTitle"/>
      </w:pPr>
      <w:r w:rsidRPr="00D46BB2">
        <w:t xml:space="preserve">Figure </w:t>
      </w:r>
      <w:r w:rsidR="000C3739">
        <w:fldChar w:fldCharType="begin"/>
      </w:r>
      <w:r w:rsidR="000C3739">
        <w:instrText xml:space="preserve"> SEQ Figure \* ARABIC </w:instrText>
      </w:r>
      <w:r w:rsidR="000C3739">
        <w:fldChar w:fldCharType="separate"/>
      </w:r>
      <w:r w:rsidR="00B15438">
        <w:rPr>
          <w:noProof/>
        </w:rPr>
        <w:t>1</w:t>
      </w:r>
      <w:r w:rsidR="000C3739">
        <w:rPr>
          <w:noProof/>
        </w:rPr>
        <w:fldChar w:fldCharType="end"/>
      </w:r>
      <w:r>
        <w:t>:</w:t>
      </w:r>
      <w:r w:rsidRPr="00D46BB2">
        <w:t xml:space="preserve"> Mechanism of action of VMAT 2 inhibitors</w:t>
      </w:r>
      <w:r>
        <w:t>;</w:t>
      </w:r>
      <w:r>
        <w:rPr>
          <w:rStyle w:val="FootnoteReference"/>
        </w:rPr>
        <w:footnoteReference w:id="7"/>
      </w:r>
    </w:p>
    <w:p w14:paraId="23370F4C" w14:textId="77777777" w:rsidR="00D46BB2" w:rsidRDefault="00D46BB2" w:rsidP="00D46BB2">
      <w:r w:rsidRPr="00D46BB2">
        <w:rPr>
          <w:noProof/>
          <w:lang w:val="en-GB" w:eastAsia="en-GB"/>
        </w:rPr>
        <w:drawing>
          <wp:inline distT="0" distB="0" distL="0" distR="0" wp14:anchorId="3832B1CD" wp14:editId="0BDBD546">
            <wp:extent cx="5400040" cy="2609850"/>
            <wp:effectExtent l="0" t="0" r="0" b="0"/>
            <wp:docPr id="1" name="Picture 1" descr="Mechanism of action of VMAT 2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chanism of action of VMAT 2 inhibito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609850"/>
                    </a:xfrm>
                    <a:prstGeom prst="rect">
                      <a:avLst/>
                    </a:prstGeom>
                    <a:noFill/>
                    <a:ln>
                      <a:noFill/>
                    </a:ln>
                  </pic:spPr>
                </pic:pic>
              </a:graphicData>
            </a:graphic>
          </wp:inline>
        </w:drawing>
      </w:r>
    </w:p>
    <w:p w14:paraId="44EBE60C" w14:textId="43A37DFF" w:rsidR="00C76EA1" w:rsidRDefault="00DF1EEB" w:rsidP="0078259A">
      <w:proofErr w:type="spellStart"/>
      <w:r w:rsidRPr="00DF1EEB">
        <w:t>Deutetrabenazine</w:t>
      </w:r>
      <w:proofErr w:type="spellEnd"/>
      <w:r w:rsidRPr="00DF1EEB">
        <w:t xml:space="preserve"> is a novel, selective VMAT2 inhibitor that was approved by the </w:t>
      </w:r>
      <w:r w:rsidR="00F76372">
        <w:t>United States (US) Food and Drug Administration (</w:t>
      </w:r>
      <w:r w:rsidRPr="00DF1EEB">
        <w:t>FD</w:t>
      </w:r>
      <w:r>
        <w:t>A</w:t>
      </w:r>
      <w:r w:rsidR="00F76372">
        <w:t>)</w:t>
      </w:r>
      <w:r>
        <w:t xml:space="preserve"> in 2017 for the treatment of </w:t>
      </w:r>
      <w:r w:rsidRPr="00DF1EEB">
        <w:t xml:space="preserve">chorea associated with </w:t>
      </w:r>
      <w:r w:rsidR="00F76372">
        <w:t>Huntington disease</w:t>
      </w:r>
      <w:r w:rsidRPr="00DF1EEB">
        <w:t xml:space="preserve"> and </w:t>
      </w:r>
      <w:r w:rsidR="00F76372">
        <w:t>tardive dyskinesia</w:t>
      </w:r>
      <w:r w:rsidRPr="00DF1EEB">
        <w:t xml:space="preserve"> in adults. </w:t>
      </w:r>
      <w:proofErr w:type="spellStart"/>
      <w:r w:rsidRPr="00DF1EEB">
        <w:t>Deutetrabenazine</w:t>
      </w:r>
      <w:proofErr w:type="spellEnd"/>
      <w:r w:rsidRPr="00DF1EEB">
        <w:t xml:space="preserve"> is a deuterated form of the VMAT2 inhibitor tetrabenazine. Deuteration of the molecule results in a unique pharmacokinetic profile. </w:t>
      </w:r>
      <w:proofErr w:type="spellStart"/>
      <w:r w:rsidR="00C76EA1" w:rsidRPr="00855435">
        <w:t>Deutetrabenazine</w:t>
      </w:r>
      <w:proofErr w:type="spellEnd"/>
      <w:r w:rsidR="00C76EA1" w:rsidRPr="00855435">
        <w:t xml:space="preserve"> was developed to provide patients and prescribers with an effective treatment with an improve</w:t>
      </w:r>
      <w:r w:rsidR="00C76EA1" w:rsidRPr="00B15438">
        <w:t>d pharmacokinetic and tolerability profile, reducing the need for frequent dosing, compared with tetrabenazine.</w:t>
      </w:r>
    </w:p>
    <w:p w14:paraId="08EEE176" w14:textId="002929F7" w:rsidR="00D46BB2" w:rsidRDefault="00D46BB2" w:rsidP="00D46BB2">
      <w:r>
        <w:t>Tetrabenazine is a centrally acting, oral drug that undergoes extensive hepatic metabolism by carbonyl reductase, resulting in a pair of stereoisomeric metabolites alpha-</w:t>
      </w:r>
      <w:proofErr w:type="spellStart"/>
      <w:r>
        <w:t>dihydrotetrabenazine</w:t>
      </w:r>
      <w:proofErr w:type="spellEnd"/>
      <w:r>
        <w:t xml:space="preserve"> (referred to as α-HTBZ) and beta-</w:t>
      </w:r>
      <w:proofErr w:type="spellStart"/>
      <w:r>
        <w:t>dihydrotetrabenazine</w:t>
      </w:r>
      <w:proofErr w:type="spellEnd"/>
      <w:r>
        <w:t xml:space="preserve"> (referred to as β-HTBZ) metabolites. These dihydro</w:t>
      </w:r>
      <w:r w:rsidR="00F76372">
        <w:t>-</w:t>
      </w:r>
      <w:r>
        <w:t xml:space="preserve"> metabolites potently inhibit </w:t>
      </w:r>
      <w:r w:rsidR="002619A7">
        <w:t>VMAT-2</w:t>
      </w:r>
      <w:r>
        <w:t xml:space="preserve"> and are </w:t>
      </w:r>
      <w:r>
        <w:lastRenderedPageBreak/>
        <w:t xml:space="preserve">responsible for efficacy in reducing the chorea associated with </w:t>
      </w:r>
      <w:r w:rsidR="00F76372">
        <w:t xml:space="preserve">Huntington disease </w:t>
      </w:r>
      <w:r>
        <w:t xml:space="preserve">and movement disorders in </w:t>
      </w:r>
      <w:r w:rsidR="00F76372">
        <w:t>tardive dyskinesia</w:t>
      </w:r>
      <w:r>
        <w:t>.</w:t>
      </w:r>
    </w:p>
    <w:p w14:paraId="4F4C2B8E" w14:textId="77777777" w:rsidR="00D46BB2" w:rsidRDefault="00D46BB2" w:rsidP="0078259A">
      <w:pPr>
        <w:pStyle w:val="Heading4"/>
      </w:pPr>
      <w:r>
        <w:t>Current treatment options</w:t>
      </w:r>
    </w:p>
    <w:p w14:paraId="382FCF90" w14:textId="03202282" w:rsidR="00D46BB2" w:rsidRDefault="00D46BB2" w:rsidP="00D46BB2">
      <w:r>
        <w:t xml:space="preserve">Tetrabenazine was approved by </w:t>
      </w:r>
      <w:r w:rsidR="00F76372">
        <w:t xml:space="preserve">the </w:t>
      </w:r>
      <w:r>
        <w:t>TGA in 1991 for</w:t>
      </w:r>
      <w:r w:rsidR="00F76372">
        <w:t xml:space="preserve"> use in Australia</w:t>
      </w:r>
      <w:r>
        <w:t xml:space="preserve"> the</w:t>
      </w:r>
      <w:r w:rsidR="002619A7">
        <w:t xml:space="preserve"> following</w:t>
      </w:r>
      <w:r>
        <w:t xml:space="preserve"> indication:</w:t>
      </w:r>
    </w:p>
    <w:p w14:paraId="1D3A8D26" w14:textId="77777777" w:rsidR="00D46BB2" w:rsidRPr="00D46BB2" w:rsidRDefault="00D46BB2" w:rsidP="00D46BB2">
      <w:pPr>
        <w:ind w:left="720"/>
        <w:rPr>
          <w:i/>
          <w:iCs/>
        </w:rPr>
      </w:pPr>
      <w:r w:rsidRPr="00D46BB2">
        <w:rPr>
          <w:i/>
          <w:iCs/>
        </w:rPr>
        <w:t>May be useful for the control of chorea, hemiballismus, tardive and buccolingual dyskinesias and certain dystonic syndromes.</w:t>
      </w:r>
    </w:p>
    <w:p w14:paraId="6A45A95E" w14:textId="7EAC7ABC" w:rsidR="00D46BB2" w:rsidRDefault="00D46BB2" w:rsidP="00D46BB2">
      <w:r>
        <w:t>There are no other TGA</w:t>
      </w:r>
      <w:r w:rsidR="00F76372">
        <w:t>-</w:t>
      </w:r>
      <w:r>
        <w:t>approved products with specific indication</w:t>
      </w:r>
      <w:r w:rsidR="00DF1EEB">
        <w:t>s</w:t>
      </w:r>
      <w:r>
        <w:t xml:space="preserve">: for the treatment of </w:t>
      </w:r>
      <w:r w:rsidR="00ED6BA8">
        <w:t>‘</w:t>
      </w:r>
      <w:r w:rsidR="00BA2678">
        <w:t>c</w:t>
      </w:r>
      <w:r>
        <w:t>horea</w:t>
      </w:r>
      <w:r w:rsidR="00ED6BA8">
        <w:t>’</w:t>
      </w:r>
      <w:r>
        <w:t xml:space="preserve"> due to </w:t>
      </w:r>
      <w:r w:rsidR="00F76372">
        <w:t xml:space="preserve">Huntington disease </w:t>
      </w:r>
      <w:r>
        <w:t xml:space="preserve">and </w:t>
      </w:r>
      <w:r w:rsidR="00DF1EEB">
        <w:t xml:space="preserve">treatment of </w:t>
      </w:r>
      <w:r w:rsidR="00F76372">
        <w:t xml:space="preserve">tardive dyskinesia </w:t>
      </w:r>
      <w:r w:rsidR="00DF1EEB">
        <w:t>in adults</w:t>
      </w:r>
      <w:r>
        <w:t>.</w:t>
      </w:r>
    </w:p>
    <w:p w14:paraId="0D7F6EB1" w14:textId="5CE57DD9" w:rsidR="00D46BB2" w:rsidRDefault="00D46BB2" w:rsidP="00D46BB2">
      <w:r>
        <w:t>Medicines with the mechanism of action of dopamine receptor antagonists, anti</w:t>
      </w:r>
      <w:r w:rsidR="00F76372">
        <w:noBreakHyphen/>
      </w:r>
      <w:r>
        <w:t>glutamatergic and anti-epileptics have been used off-label for the symptomatic treatment of chorea.</w:t>
      </w:r>
      <w:r>
        <w:fldChar w:fldCharType="begin"/>
      </w:r>
      <w:r>
        <w:instrText xml:space="preserve"> NOTEREF _Ref78452782 \f \h </w:instrText>
      </w:r>
      <w:r>
        <w:fldChar w:fldCharType="separate"/>
      </w:r>
      <w:r w:rsidR="00B15438" w:rsidRPr="00B15438">
        <w:rPr>
          <w:rStyle w:val="FootnoteReference"/>
        </w:rPr>
        <w:t>2</w:t>
      </w:r>
      <w:r>
        <w:fldChar w:fldCharType="end"/>
      </w:r>
    </w:p>
    <w:p w14:paraId="6CC63339" w14:textId="77777777" w:rsidR="00D46BB2" w:rsidRDefault="00D46BB2" w:rsidP="00D46BB2">
      <w:r>
        <w:t>Clozapine, amantadine and clonazepam are used off-label for the treatment of tardive dyskinesia.</w:t>
      </w:r>
    </w:p>
    <w:p w14:paraId="0AA7F105" w14:textId="4A26C1E8" w:rsidR="00D46BB2" w:rsidRPr="00D46BB2" w:rsidRDefault="00D46BB2" w:rsidP="00D46BB2">
      <w:proofErr w:type="spellStart"/>
      <w:r>
        <w:t>Valbenazine</w:t>
      </w:r>
      <w:proofErr w:type="spellEnd"/>
      <w:r>
        <w:t xml:space="preserve"> is a reversible </w:t>
      </w:r>
      <w:r w:rsidR="002619A7">
        <w:t>VMAT-2</w:t>
      </w:r>
      <w:r>
        <w:t xml:space="preserve"> inhibitor that is approved by </w:t>
      </w:r>
      <w:r w:rsidR="00F76372">
        <w:t xml:space="preserve">the US FDA </w:t>
      </w:r>
      <w:r>
        <w:t xml:space="preserve">in 2017 for the treatment of </w:t>
      </w:r>
      <w:r w:rsidR="00F76372">
        <w:t xml:space="preserve">tardive dyskinesia </w:t>
      </w:r>
      <w:r>
        <w:t>in adults.</w:t>
      </w:r>
    </w:p>
    <w:p w14:paraId="67D60217" w14:textId="77777777" w:rsidR="008E7846" w:rsidRPr="003F31A2" w:rsidRDefault="00386150" w:rsidP="008E7846">
      <w:pPr>
        <w:pStyle w:val="Heading3"/>
      </w:pPr>
      <w:bookmarkStart w:id="16" w:name="_Toc314842485"/>
      <w:bookmarkStart w:id="17" w:name="_Toc247691504"/>
      <w:bookmarkStart w:id="18" w:name="_Toc104471053"/>
      <w:r>
        <w:t>Regulatory s</w:t>
      </w:r>
      <w:r w:rsidR="008E7846">
        <w:t>tatus</w:t>
      </w:r>
      <w:bookmarkEnd w:id="16"/>
      <w:bookmarkEnd w:id="17"/>
      <w:bookmarkEnd w:id="18"/>
    </w:p>
    <w:p w14:paraId="181B0BD1" w14:textId="77777777" w:rsidR="00940A89" w:rsidRDefault="00006FAB" w:rsidP="00940A89">
      <w:bookmarkStart w:id="19" w:name="_Toc247691505"/>
      <w:bookmarkStart w:id="20" w:name="_Toc314842486"/>
      <w:r w:rsidRPr="00006FAB">
        <w:t>This product is considered a new chemical entity for Australian regulatory purposes.</w:t>
      </w:r>
    </w:p>
    <w:p w14:paraId="60A11423" w14:textId="77777777" w:rsidR="00ED6BA8" w:rsidRDefault="00006FAB" w:rsidP="00ED6BA8">
      <w:r>
        <w:t xml:space="preserve">At the time the TGA considered this application, a similar application had been approved </w:t>
      </w:r>
      <w:r w:rsidR="00ED6BA8">
        <w:t>in USA on 30 August 2017 and in China on 12 May 2020. It is under consideration in Israel, South Korea, Brazil and Russia.</w:t>
      </w:r>
    </w:p>
    <w:p w14:paraId="1E8E59EF" w14:textId="42E23296" w:rsidR="00324E45" w:rsidRPr="00F0146F" w:rsidRDefault="00324E45" w:rsidP="00324E45">
      <w:pPr>
        <w:pStyle w:val="TableTitle"/>
      </w:pPr>
      <w:r>
        <w:t xml:space="preserve">Table </w:t>
      </w:r>
      <w:r w:rsidR="000C3739">
        <w:fldChar w:fldCharType="begin"/>
      </w:r>
      <w:r w:rsidR="000C3739">
        <w:instrText xml:space="preserve"> SEQ Table \* ARABIC </w:instrText>
      </w:r>
      <w:r w:rsidR="000C3739">
        <w:fldChar w:fldCharType="separate"/>
      </w:r>
      <w:r w:rsidR="00B15438">
        <w:rPr>
          <w:noProof/>
        </w:rPr>
        <w:t>1</w:t>
      </w:r>
      <w:r w:rsidR="000C3739">
        <w:rPr>
          <w:noProof/>
        </w:rPr>
        <w:fldChar w:fldCharType="end"/>
      </w:r>
      <w:r>
        <w:t>: International regulatory status</w:t>
      </w:r>
    </w:p>
    <w:tbl>
      <w:tblPr>
        <w:tblStyle w:val="TableTGAblue"/>
        <w:tblW w:w="8815" w:type="dxa"/>
        <w:tblLook w:val="04A0" w:firstRow="1" w:lastRow="0" w:firstColumn="1" w:lastColumn="0" w:noHBand="0" w:noVBand="1"/>
      </w:tblPr>
      <w:tblGrid>
        <w:gridCol w:w="1519"/>
        <w:gridCol w:w="2100"/>
        <w:gridCol w:w="2551"/>
        <w:gridCol w:w="2645"/>
      </w:tblGrid>
      <w:tr w:rsidR="00F76372" w14:paraId="43A8C6BE" w14:textId="77777777" w:rsidTr="00855435">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561CE9C8" w14:textId="77777777" w:rsidR="00006FAB" w:rsidRDefault="00006FAB" w:rsidP="00006FAB">
            <w:pPr>
              <w:ind w:left="0" w:right="0"/>
            </w:pPr>
            <w:r>
              <w:t>Region</w:t>
            </w:r>
          </w:p>
        </w:tc>
        <w:tc>
          <w:tcPr>
            <w:tcW w:w="0" w:type="dxa"/>
            <w:tcBorders>
              <w:top w:val="single" w:sz="4" w:space="0" w:color="auto"/>
              <w:left w:val="single" w:sz="4" w:space="0" w:color="auto"/>
              <w:bottom w:val="single" w:sz="4" w:space="0" w:color="auto"/>
              <w:right w:val="single" w:sz="4" w:space="0" w:color="auto"/>
            </w:tcBorders>
          </w:tcPr>
          <w:p w14:paraId="2E419432" w14:textId="77777777" w:rsidR="00006FAB" w:rsidRDefault="00006FAB" w:rsidP="00006FAB">
            <w:pPr>
              <w:ind w:left="0" w:right="0"/>
            </w:pPr>
            <w:r>
              <w:t>Submission date</w:t>
            </w:r>
          </w:p>
        </w:tc>
        <w:tc>
          <w:tcPr>
            <w:tcW w:w="0" w:type="dxa"/>
            <w:tcBorders>
              <w:top w:val="single" w:sz="4" w:space="0" w:color="auto"/>
              <w:left w:val="single" w:sz="4" w:space="0" w:color="auto"/>
              <w:bottom w:val="single" w:sz="4" w:space="0" w:color="auto"/>
              <w:right w:val="single" w:sz="4" w:space="0" w:color="auto"/>
            </w:tcBorders>
          </w:tcPr>
          <w:p w14:paraId="24DF0347" w14:textId="77777777" w:rsidR="00006FAB" w:rsidRDefault="00006FAB" w:rsidP="00006FAB">
            <w:pPr>
              <w:ind w:left="0" w:right="0"/>
            </w:pPr>
            <w:r>
              <w:t>Status</w:t>
            </w:r>
          </w:p>
        </w:tc>
        <w:tc>
          <w:tcPr>
            <w:tcW w:w="0" w:type="dxa"/>
            <w:tcBorders>
              <w:top w:val="single" w:sz="4" w:space="0" w:color="auto"/>
              <w:left w:val="single" w:sz="4" w:space="0" w:color="auto"/>
              <w:bottom w:val="single" w:sz="4" w:space="0" w:color="auto"/>
              <w:right w:val="single" w:sz="4" w:space="0" w:color="auto"/>
            </w:tcBorders>
          </w:tcPr>
          <w:p w14:paraId="1A8D8EB7" w14:textId="77777777" w:rsidR="00006FAB" w:rsidRDefault="00006FAB" w:rsidP="00006FAB">
            <w:pPr>
              <w:ind w:left="0" w:right="0"/>
            </w:pPr>
            <w:r>
              <w:t>Approved indications</w:t>
            </w:r>
          </w:p>
        </w:tc>
      </w:tr>
      <w:tr w:rsidR="00F76372" w14:paraId="5C250447" w14:textId="77777777" w:rsidTr="00855435">
        <w:tc>
          <w:tcPr>
            <w:tcW w:w="0" w:type="dxa"/>
            <w:tcBorders>
              <w:top w:val="single" w:sz="4" w:space="0" w:color="auto"/>
            </w:tcBorders>
          </w:tcPr>
          <w:p w14:paraId="3CDD2CB5" w14:textId="77777777" w:rsidR="00006FAB" w:rsidRDefault="00ED6BA8" w:rsidP="00006FAB">
            <w:pPr>
              <w:ind w:left="0" w:right="0"/>
            </w:pPr>
            <w:r>
              <w:t>United States of America</w:t>
            </w:r>
          </w:p>
        </w:tc>
        <w:tc>
          <w:tcPr>
            <w:tcW w:w="0" w:type="dxa"/>
            <w:tcBorders>
              <w:top w:val="single" w:sz="4" w:space="0" w:color="auto"/>
            </w:tcBorders>
          </w:tcPr>
          <w:p w14:paraId="0C08F2C0" w14:textId="77777777" w:rsidR="00ED6BA8" w:rsidRDefault="00ED6BA8" w:rsidP="00006FAB">
            <w:pPr>
              <w:ind w:left="0" w:right="0"/>
            </w:pPr>
            <w:r>
              <w:t>30 December 2016</w:t>
            </w:r>
          </w:p>
        </w:tc>
        <w:tc>
          <w:tcPr>
            <w:tcW w:w="0" w:type="dxa"/>
            <w:tcBorders>
              <w:top w:val="single" w:sz="4" w:space="0" w:color="auto"/>
            </w:tcBorders>
          </w:tcPr>
          <w:p w14:paraId="115D3EA4" w14:textId="77777777" w:rsidR="00EF2601" w:rsidRDefault="00006FAB" w:rsidP="00006FAB">
            <w:pPr>
              <w:ind w:left="0" w:right="0"/>
            </w:pPr>
            <w:r w:rsidRPr="00006FAB">
              <w:t xml:space="preserve">Approved </w:t>
            </w:r>
          </w:p>
          <w:p w14:paraId="0C76261E" w14:textId="434662E2" w:rsidR="00EF2601" w:rsidRDefault="00EF2601" w:rsidP="00006FAB">
            <w:pPr>
              <w:ind w:left="0" w:right="0"/>
            </w:pPr>
            <w:r>
              <w:t>3 April 2017 (</w:t>
            </w:r>
            <w:r w:rsidR="00F76372">
              <w:t>Huntington disease)</w:t>
            </w:r>
          </w:p>
          <w:p w14:paraId="4E555ECE" w14:textId="1585C402" w:rsidR="00006FAB" w:rsidRDefault="00ED6BA8" w:rsidP="00F76372">
            <w:pPr>
              <w:ind w:left="0" w:right="0"/>
            </w:pPr>
            <w:r>
              <w:t>30 August 2017</w:t>
            </w:r>
            <w:r w:rsidR="00EF2601">
              <w:t xml:space="preserve"> (</w:t>
            </w:r>
            <w:r w:rsidR="00F76372">
              <w:t>tardive dyskinesia)</w:t>
            </w:r>
          </w:p>
        </w:tc>
        <w:tc>
          <w:tcPr>
            <w:tcW w:w="0" w:type="dxa"/>
            <w:tcBorders>
              <w:top w:val="single" w:sz="4" w:space="0" w:color="auto"/>
            </w:tcBorders>
          </w:tcPr>
          <w:p w14:paraId="3C22E15F" w14:textId="77777777" w:rsidR="00ED6BA8" w:rsidRPr="00ED6BA8" w:rsidRDefault="00ED6BA8" w:rsidP="00ED6BA8">
            <w:pPr>
              <w:ind w:left="0"/>
              <w:rPr>
                <w:i/>
                <w:iCs/>
              </w:rPr>
            </w:pPr>
            <w:proofErr w:type="spellStart"/>
            <w:r w:rsidRPr="00ED6BA8">
              <w:rPr>
                <w:i/>
                <w:iCs/>
              </w:rPr>
              <w:t>Austedo</w:t>
            </w:r>
            <w:proofErr w:type="spellEnd"/>
            <w:r w:rsidRPr="00ED6BA8">
              <w:rPr>
                <w:i/>
                <w:iCs/>
              </w:rPr>
              <w:t xml:space="preserve"> is a indicated for the treatment of</w:t>
            </w:r>
          </w:p>
          <w:p w14:paraId="212CDFDE" w14:textId="77777777" w:rsidR="00ED6BA8" w:rsidRPr="00855435" w:rsidRDefault="00ED6BA8" w:rsidP="00855435">
            <w:pPr>
              <w:rPr>
                <w:i/>
              </w:rPr>
            </w:pPr>
            <w:r w:rsidRPr="00855435">
              <w:rPr>
                <w:i/>
              </w:rPr>
              <w:t>Chorea associated with Huntington’s disease</w:t>
            </w:r>
          </w:p>
          <w:p w14:paraId="5194FFC5" w14:textId="77777777" w:rsidR="00006FAB" w:rsidRPr="00ED6BA8" w:rsidRDefault="00ED6BA8" w:rsidP="00855435">
            <w:r w:rsidRPr="00855435">
              <w:rPr>
                <w:i/>
              </w:rPr>
              <w:t>Tardive dyskinesia in adults</w:t>
            </w:r>
          </w:p>
        </w:tc>
      </w:tr>
      <w:tr w:rsidR="00F76372" w14:paraId="761017F2" w14:textId="77777777" w:rsidTr="00855435">
        <w:tc>
          <w:tcPr>
            <w:tcW w:w="0" w:type="dxa"/>
          </w:tcPr>
          <w:p w14:paraId="1321FE39" w14:textId="77777777" w:rsidR="00006FAB" w:rsidRDefault="00ED6BA8" w:rsidP="00006FAB">
            <w:pPr>
              <w:ind w:left="0" w:right="0"/>
            </w:pPr>
            <w:r>
              <w:t>China</w:t>
            </w:r>
          </w:p>
        </w:tc>
        <w:tc>
          <w:tcPr>
            <w:tcW w:w="0" w:type="dxa"/>
          </w:tcPr>
          <w:p w14:paraId="1A228FCD" w14:textId="77777777" w:rsidR="00006FAB" w:rsidRDefault="00ED6BA8" w:rsidP="00006FAB">
            <w:pPr>
              <w:ind w:left="0" w:right="0"/>
            </w:pPr>
            <w:r>
              <w:t>31 October 2019</w:t>
            </w:r>
          </w:p>
        </w:tc>
        <w:tc>
          <w:tcPr>
            <w:tcW w:w="0" w:type="dxa"/>
          </w:tcPr>
          <w:p w14:paraId="10B1108A" w14:textId="77777777" w:rsidR="00F76372" w:rsidRDefault="00ED6BA8" w:rsidP="00006FAB">
            <w:pPr>
              <w:ind w:left="0" w:right="0"/>
            </w:pPr>
            <w:r>
              <w:t>Approved</w:t>
            </w:r>
          </w:p>
          <w:p w14:paraId="3AF35CB4" w14:textId="16C93BDA" w:rsidR="00006FAB" w:rsidRDefault="00ED6BA8" w:rsidP="00006FAB">
            <w:pPr>
              <w:ind w:left="0" w:right="0"/>
            </w:pPr>
            <w:r>
              <w:t>12 May 2020</w:t>
            </w:r>
          </w:p>
        </w:tc>
        <w:tc>
          <w:tcPr>
            <w:tcW w:w="0" w:type="dxa"/>
          </w:tcPr>
          <w:p w14:paraId="253825D5" w14:textId="77777777" w:rsidR="00006FAB" w:rsidRPr="00ED6BA8" w:rsidRDefault="00ED6BA8" w:rsidP="00ED6BA8">
            <w:pPr>
              <w:ind w:left="0"/>
              <w:rPr>
                <w:i/>
                <w:iCs/>
              </w:rPr>
            </w:pPr>
            <w:proofErr w:type="spellStart"/>
            <w:r w:rsidRPr="00ED6BA8">
              <w:rPr>
                <w:i/>
                <w:iCs/>
              </w:rPr>
              <w:t>Austedo</w:t>
            </w:r>
            <w:proofErr w:type="spellEnd"/>
            <w:r w:rsidRPr="00ED6BA8">
              <w:rPr>
                <w:i/>
                <w:iCs/>
              </w:rPr>
              <w:t xml:space="preserve"> is a indicated for the treatment of Chorea associated with Huntington’s disease and Tardive dyskinesia in adults.</w:t>
            </w:r>
          </w:p>
        </w:tc>
      </w:tr>
      <w:tr w:rsidR="00F76372" w14:paraId="6976510D" w14:textId="77777777" w:rsidTr="00855435">
        <w:tc>
          <w:tcPr>
            <w:tcW w:w="0" w:type="dxa"/>
          </w:tcPr>
          <w:p w14:paraId="62738843" w14:textId="77777777" w:rsidR="00ED6BA8" w:rsidRDefault="00ED6BA8" w:rsidP="00ED6BA8">
            <w:pPr>
              <w:ind w:left="0"/>
            </w:pPr>
            <w:r>
              <w:t>Israel</w:t>
            </w:r>
          </w:p>
        </w:tc>
        <w:tc>
          <w:tcPr>
            <w:tcW w:w="0" w:type="dxa"/>
          </w:tcPr>
          <w:p w14:paraId="053F5B2B" w14:textId="77777777" w:rsidR="00ED6BA8" w:rsidRDefault="00ED6BA8" w:rsidP="00ED6BA8">
            <w:pPr>
              <w:ind w:left="0"/>
            </w:pPr>
            <w:r>
              <w:t>1 July 2019</w:t>
            </w:r>
          </w:p>
        </w:tc>
        <w:tc>
          <w:tcPr>
            <w:tcW w:w="0" w:type="dxa"/>
          </w:tcPr>
          <w:p w14:paraId="6A993884" w14:textId="77777777" w:rsidR="00ED6BA8" w:rsidRDefault="00ED6BA8" w:rsidP="00ED6BA8">
            <w:pPr>
              <w:ind w:left="0"/>
            </w:pPr>
            <w:r>
              <w:t>Under consideration</w:t>
            </w:r>
          </w:p>
        </w:tc>
        <w:tc>
          <w:tcPr>
            <w:tcW w:w="0" w:type="dxa"/>
          </w:tcPr>
          <w:p w14:paraId="131A0D20" w14:textId="77777777" w:rsidR="00ED6BA8" w:rsidRDefault="00ED6BA8" w:rsidP="00ED6BA8">
            <w:pPr>
              <w:ind w:left="0"/>
            </w:pPr>
            <w:r>
              <w:t>Under consideration</w:t>
            </w:r>
          </w:p>
        </w:tc>
      </w:tr>
      <w:tr w:rsidR="00F76372" w14:paraId="163ED8B5" w14:textId="77777777" w:rsidTr="00855435">
        <w:tc>
          <w:tcPr>
            <w:tcW w:w="0" w:type="dxa"/>
          </w:tcPr>
          <w:p w14:paraId="7B10440C" w14:textId="77777777" w:rsidR="00ED6BA8" w:rsidRDefault="00ED6BA8" w:rsidP="00ED6BA8">
            <w:pPr>
              <w:ind w:left="0"/>
            </w:pPr>
            <w:r>
              <w:t>South Korea</w:t>
            </w:r>
          </w:p>
        </w:tc>
        <w:tc>
          <w:tcPr>
            <w:tcW w:w="0" w:type="dxa"/>
          </w:tcPr>
          <w:p w14:paraId="3A0F88E1" w14:textId="77777777" w:rsidR="00ED6BA8" w:rsidRDefault="00ED6BA8" w:rsidP="00ED6BA8">
            <w:pPr>
              <w:ind w:left="0"/>
            </w:pPr>
            <w:r>
              <w:t>27 November 2019</w:t>
            </w:r>
          </w:p>
        </w:tc>
        <w:tc>
          <w:tcPr>
            <w:tcW w:w="0" w:type="dxa"/>
          </w:tcPr>
          <w:p w14:paraId="0102F7C8" w14:textId="77777777" w:rsidR="00ED6BA8" w:rsidRDefault="00ED6BA8" w:rsidP="00ED6BA8">
            <w:pPr>
              <w:ind w:left="0"/>
            </w:pPr>
            <w:r>
              <w:t>Under consideration</w:t>
            </w:r>
          </w:p>
        </w:tc>
        <w:tc>
          <w:tcPr>
            <w:tcW w:w="0" w:type="dxa"/>
          </w:tcPr>
          <w:p w14:paraId="69E8778A" w14:textId="77777777" w:rsidR="00ED6BA8" w:rsidRDefault="00ED6BA8" w:rsidP="00ED6BA8">
            <w:pPr>
              <w:ind w:left="0"/>
            </w:pPr>
            <w:r>
              <w:t>Under consideration</w:t>
            </w:r>
          </w:p>
        </w:tc>
      </w:tr>
      <w:tr w:rsidR="00F76372" w14:paraId="44DBD3D9" w14:textId="77777777" w:rsidTr="00855435">
        <w:tc>
          <w:tcPr>
            <w:tcW w:w="0" w:type="dxa"/>
          </w:tcPr>
          <w:p w14:paraId="040C4218" w14:textId="77777777" w:rsidR="00ED6BA8" w:rsidRDefault="00ED6BA8" w:rsidP="00ED6BA8">
            <w:pPr>
              <w:ind w:left="0"/>
            </w:pPr>
            <w:r>
              <w:lastRenderedPageBreak/>
              <w:t>Brazil</w:t>
            </w:r>
          </w:p>
        </w:tc>
        <w:tc>
          <w:tcPr>
            <w:tcW w:w="0" w:type="dxa"/>
          </w:tcPr>
          <w:p w14:paraId="655037E2" w14:textId="77777777" w:rsidR="00ED6BA8" w:rsidRDefault="00ED6BA8" w:rsidP="00ED6BA8">
            <w:pPr>
              <w:ind w:left="0"/>
            </w:pPr>
            <w:r>
              <w:t>29 June 2020</w:t>
            </w:r>
          </w:p>
        </w:tc>
        <w:tc>
          <w:tcPr>
            <w:tcW w:w="0" w:type="dxa"/>
          </w:tcPr>
          <w:p w14:paraId="517CB689" w14:textId="77777777" w:rsidR="00ED6BA8" w:rsidRDefault="00ED6BA8" w:rsidP="00ED6BA8">
            <w:pPr>
              <w:ind w:left="0"/>
            </w:pPr>
            <w:r>
              <w:t>Under consideration</w:t>
            </w:r>
          </w:p>
        </w:tc>
        <w:tc>
          <w:tcPr>
            <w:tcW w:w="0" w:type="dxa"/>
          </w:tcPr>
          <w:p w14:paraId="38739304" w14:textId="77777777" w:rsidR="00ED6BA8" w:rsidRDefault="00ED6BA8" w:rsidP="00ED6BA8">
            <w:pPr>
              <w:ind w:left="0"/>
            </w:pPr>
            <w:r>
              <w:t>Under consideration</w:t>
            </w:r>
          </w:p>
        </w:tc>
      </w:tr>
      <w:tr w:rsidR="00F76372" w14:paraId="28D9663A" w14:textId="77777777" w:rsidTr="00855435">
        <w:tc>
          <w:tcPr>
            <w:tcW w:w="0" w:type="dxa"/>
          </w:tcPr>
          <w:p w14:paraId="405B0C0A" w14:textId="77777777" w:rsidR="00ED6BA8" w:rsidRDefault="00ED6BA8" w:rsidP="00ED6BA8">
            <w:pPr>
              <w:ind w:left="0"/>
            </w:pPr>
            <w:r>
              <w:t>Russia</w:t>
            </w:r>
          </w:p>
        </w:tc>
        <w:tc>
          <w:tcPr>
            <w:tcW w:w="0" w:type="dxa"/>
          </w:tcPr>
          <w:p w14:paraId="7FE9BE29" w14:textId="77777777" w:rsidR="00ED6BA8" w:rsidRDefault="00ED6BA8" w:rsidP="00ED6BA8">
            <w:pPr>
              <w:ind w:left="0"/>
            </w:pPr>
            <w:r>
              <w:t>16 October 2020</w:t>
            </w:r>
          </w:p>
        </w:tc>
        <w:tc>
          <w:tcPr>
            <w:tcW w:w="0" w:type="dxa"/>
          </w:tcPr>
          <w:p w14:paraId="453125A1" w14:textId="77777777" w:rsidR="00ED6BA8" w:rsidRDefault="00ED6BA8" w:rsidP="00ED6BA8">
            <w:pPr>
              <w:ind w:left="0"/>
            </w:pPr>
            <w:r>
              <w:t>Under consideration</w:t>
            </w:r>
          </w:p>
        </w:tc>
        <w:tc>
          <w:tcPr>
            <w:tcW w:w="0" w:type="dxa"/>
          </w:tcPr>
          <w:p w14:paraId="097D5959" w14:textId="77777777" w:rsidR="00ED6BA8" w:rsidRDefault="00ED6BA8" w:rsidP="00ED6BA8">
            <w:pPr>
              <w:ind w:left="0"/>
            </w:pPr>
            <w:r>
              <w:t>Under consideration</w:t>
            </w:r>
          </w:p>
        </w:tc>
      </w:tr>
    </w:tbl>
    <w:p w14:paraId="37339012" w14:textId="77777777" w:rsidR="008E7846" w:rsidRDefault="008E7846" w:rsidP="0078259A">
      <w:pPr>
        <w:pStyle w:val="Heading3"/>
      </w:pPr>
      <w:bookmarkStart w:id="21" w:name="_Toc104471054"/>
      <w:r>
        <w:t>Product Information</w:t>
      </w:r>
      <w:bookmarkEnd w:id="19"/>
      <w:bookmarkEnd w:id="20"/>
      <w:bookmarkEnd w:id="21"/>
    </w:p>
    <w:p w14:paraId="502AC393" w14:textId="7ABB8260"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139DD1B8" w14:textId="77777777" w:rsidR="00500337" w:rsidRDefault="00500337" w:rsidP="00500337">
      <w:pPr>
        <w:pStyle w:val="Heading2"/>
      </w:pPr>
      <w:bookmarkStart w:id="24" w:name="_Toc504480011"/>
      <w:bookmarkStart w:id="25" w:name="_Toc104471055"/>
      <w:r>
        <w:t>II. Registration timeline</w:t>
      </w:r>
      <w:bookmarkEnd w:id="24"/>
      <w:bookmarkEnd w:id="25"/>
    </w:p>
    <w:p w14:paraId="2883483A" w14:textId="77777777" w:rsidR="00500337" w:rsidRDefault="00500337" w:rsidP="00500337">
      <w:r>
        <w:t>The following table captures the key steps and dates for this application and which are detailed and discussed in this AusPAR.</w:t>
      </w:r>
    </w:p>
    <w:p w14:paraId="4F769E61" w14:textId="16481305" w:rsidR="00500337" w:rsidRPr="00377BD4" w:rsidRDefault="001C0476" w:rsidP="001C0476">
      <w:pPr>
        <w:pStyle w:val="TableTitle"/>
      </w:pPr>
      <w:r w:rsidRPr="001C0476">
        <w:t xml:space="preserve">Table </w:t>
      </w:r>
      <w:r w:rsidR="000C3739">
        <w:fldChar w:fldCharType="begin"/>
      </w:r>
      <w:r w:rsidR="000C3739">
        <w:instrText xml:space="preserve"> SEQ Table \* ARABIC </w:instrText>
      </w:r>
      <w:r w:rsidR="000C3739">
        <w:fldChar w:fldCharType="separate"/>
      </w:r>
      <w:r w:rsidR="00B15438">
        <w:rPr>
          <w:noProof/>
        </w:rPr>
        <w:t>2</w:t>
      </w:r>
      <w:r w:rsidR="000C3739">
        <w:rPr>
          <w:noProof/>
        </w:rPr>
        <w:fldChar w:fldCharType="end"/>
      </w:r>
      <w:r>
        <w:t xml:space="preserve">: </w:t>
      </w:r>
      <w:r w:rsidR="006A58A8" w:rsidRPr="006A58A8">
        <w:t>Timeline for Submission PM-20</w:t>
      </w:r>
      <w:r w:rsidR="00324E45">
        <w:t>2</w:t>
      </w:r>
      <w:r>
        <w:t>0</w:t>
      </w:r>
      <w:r w:rsidR="006A58A8" w:rsidRPr="006A58A8">
        <w:t>-</w:t>
      </w:r>
      <w:r>
        <w:t>00739</w:t>
      </w:r>
      <w:r w:rsidR="006A58A8" w:rsidRPr="006A58A8">
        <w:t>-1-</w:t>
      </w:r>
      <w:r>
        <w:t>1</w:t>
      </w:r>
    </w:p>
    <w:tbl>
      <w:tblPr>
        <w:tblStyle w:val="TableTGAblue"/>
        <w:tblW w:w="0" w:type="auto"/>
        <w:tblLook w:val="04A0" w:firstRow="1" w:lastRow="0" w:firstColumn="1" w:lastColumn="0" w:noHBand="0" w:noVBand="1"/>
      </w:tblPr>
      <w:tblGrid>
        <w:gridCol w:w="4254"/>
        <w:gridCol w:w="4240"/>
      </w:tblGrid>
      <w:tr w:rsidR="00500337" w14:paraId="79A1EA97"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14A6C9C1"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5D96B4C6" w14:textId="77777777" w:rsidR="00500337" w:rsidRDefault="00500337" w:rsidP="00500337">
            <w:pPr>
              <w:ind w:left="0" w:right="0"/>
            </w:pPr>
            <w:r>
              <w:t>Date</w:t>
            </w:r>
          </w:p>
        </w:tc>
      </w:tr>
      <w:tr w:rsidR="00500337" w14:paraId="42A2068D" w14:textId="77777777" w:rsidTr="00CF5DAD">
        <w:tc>
          <w:tcPr>
            <w:tcW w:w="4360" w:type="dxa"/>
            <w:tcBorders>
              <w:top w:val="single" w:sz="4" w:space="0" w:color="auto"/>
            </w:tcBorders>
          </w:tcPr>
          <w:p w14:paraId="53B19AD1"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5F8D166C" w14:textId="77777777" w:rsidR="00500337" w:rsidRDefault="001C0476" w:rsidP="00500337">
            <w:pPr>
              <w:ind w:left="0" w:right="0"/>
            </w:pPr>
            <w:r>
              <w:t>30 March 2020</w:t>
            </w:r>
          </w:p>
        </w:tc>
      </w:tr>
      <w:tr w:rsidR="00500337" w14:paraId="5A71058D" w14:textId="77777777" w:rsidTr="00500337">
        <w:tc>
          <w:tcPr>
            <w:tcW w:w="4360" w:type="dxa"/>
          </w:tcPr>
          <w:p w14:paraId="5CE2167A" w14:textId="77777777" w:rsidR="00500337" w:rsidRDefault="00500337" w:rsidP="00500337">
            <w:pPr>
              <w:ind w:left="0" w:right="0"/>
            </w:pPr>
            <w:r>
              <w:t>First round evaluation completed</w:t>
            </w:r>
          </w:p>
        </w:tc>
        <w:tc>
          <w:tcPr>
            <w:tcW w:w="4360" w:type="dxa"/>
          </w:tcPr>
          <w:p w14:paraId="68853C8E" w14:textId="77777777" w:rsidR="00500337" w:rsidRDefault="001C0476" w:rsidP="00500337">
            <w:pPr>
              <w:ind w:left="0" w:right="0"/>
            </w:pPr>
            <w:r>
              <w:t>1 September 2020</w:t>
            </w:r>
          </w:p>
        </w:tc>
      </w:tr>
      <w:tr w:rsidR="00500337" w14:paraId="46B2E805" w14:textId="77777777" w:rsidTr="00500337">
        <w:tc>
          <w:tcPr>
            <w:tcW w:w="4360" w:type="dxa"/>
          </w:tcPr>
          <w:p w14:paraId="3CEED6A1" w14:textId="77777777" w:rsidR="00500337" w:rsidRDefault="00500337" w:rsidP="00500337">
            <w:pPr>
              <w:ind w:left="0" w:right="0"/>
            </w:pPr>
            <w:r>
              <w:t>Sponsor provides responses on questions raised in first round evaluation</w:t>
            </w:r>
          </w:p>
        </w:tc>
        <w:tc>
          <w:tcPr>
            <w:tcW w:w="4360" w:type="dxa"/>
          </w:tcPr>
          <w:p w14:paraId="31ACA140" w14:textId="77777777" w:rsidR="00500337" w:rsidRDefault="001C0476" w:rsidP="00500337">
            <w:pPr>
              <w:ind w:left="0" w:right="0"/>
            </w:pPr>
            <w:r>
              <w:t>2 November 2020</w:t>
            </w:r>
          </w:p>
        </w:tc>
      </w:tr>
      <w:tr w:rsidR="00500337" w14:paraId="477D79A0" w14:textId="77777777" w:rsidTr="00500337">
        <w:tc>
          <w:tcPr>
            <w:tcW w:w="4360" w:type="dxa"/>
          </w:tcPr>
          <w:p w14:paraId="587BE480" w14:textId="77777777" w:rsidR="00500337" w:rsidRDefault="00500337" w:rsidP="00500337">
            <w:pPr>
              <w:ind w:left="0" w:right="0"/>
            </w:pPr>
            <w:r>
              <w:t>Second round evaluation completed</w:t>
            </w:r>
          </w:p>
        </w:tc>
        <w:tc>
          <w:tcPr>
            <w:tcW w:w="4360" w:type="dxa"/>
          </w:tcPr>
          <w:p w14:paraId="23F9F6CA" w14:textId="77777777" w:rsidR="00500337" w:rsidRDefault="001C0476" w:rsidP="00500337">
            <w:pPr>
              <w:ind w:left="0" w:right="0"/>
            </w:pPr>
            <w:r>
              <w:t>29 April 2021</w:t>
            </w:r>
          </w:p>
        </w:tc>
      </w:tr>
      <w:tr w:rsidR="00500337" w14:paraId="09212BFC" w14:textId="77777777" w:rsidTr="00500337">
        <w:tc>
          <w:tcPr>
            <w:tcW w:w="4360" w:type="dxa"/>
          </w:tcPr>
          <w:p w14:paraId="33AFCB96" w14:textId="77777777" w:rsidR="00500337" w:rsidRDefault="00324E45" w:rsidP="00500337">
            <w:pPr>
              <w:ind w:left="0" w:right="0"/>
            </w:pPr>
            <w:r>
              <w:t xml:space="preserve">Delegate’s Overall benefit-risk assessment </w:t>
            </w:r>
            <w:r w:rsidRPr="001C0476">
              <w:rPr>
                <w:color w:val="auto"/>
              </w:rPr>
              <w:t>and request for Advisory Committee advice</w:t>
            </w:r>
          </w:p>
        </w:tc>
        <w:tc>
          <w:tcPr>
            <w:tcW w:w="4360" w:type="dxa"/>
          </w:tcPr>
          <w:p w14:paraId="7A2218DF" w14:textId="77777777" w:rsidR="00500337" w:rsidRDefault="001C0476" w:rsidP="00500337">
            <w:pPr>
              <w:ind w:left="0" w:right="0"/>
            </w:pPr>
            <w:r>
              <w:t>2 March 2021</w:t>
            </w:r>
          </w:p>
        </w:tc>
      </w:tr>
      <w:tr w:rsidR="00500337" w14:paraId="038B8B67" w14:textId="77777777" w:rsidTr="00500337">
        <w:tc>
          <w:tcPr>
            <w:tcW w:w="4360" w:type="dxa"/>
          </w:tcPr>
          <w:p w14:paraId="58A11785" w14:textId="77777777" w:rsidR="00500337" w:rsidRDefault="00500337" w:rsidP="00500337">
            <w:pPr>
              <w:ind w:left="0" w:right="0"/>
            </w:pPr>
            <w:r>
              <w:t>Sponsor’s pre-Advisory Committee response</w:t>
            </w:r>
          </w:p>
        </w:tc>
        <w:tc>
          <w:tcPr>
            <w:tcW w:w="4360" w:type="dxa"/>
          </w:tcPr>
          <w:p w14:paraId="37103344" w14:textId="77777777" w:rsidR="00500337" w:rsidRDefault="001C0476" w:rsidP="00500337">
            <w:pPr>
              <w:ind w:left="0" w:right="0"/>
            </w:pPr>
            <w:r>
              <w:t>16 March 2021</w:t>
            </w:r>
          </w:p>
        </w:tc>
      </w:tr>
      <w:tr w:rsidR="00500337" w14:paraId="5CBAFAB0" w14:textId="77777777" w:rsidTr="00500337">
        <w:tc>
          <w:tcPr>
            <w:tcW w:w="4360" w:type="dxa"/>
          </w:tcPr>
          <w:p w14:paraId="1B6F9DC6" w14:textId="77777777" w:rsidR="00500337" w:rsidRDefault="00500337" w:rsidP="00500337">
            <w:pPr>
              <w:ind w:left="0" w:right="0"/>
            </w:pPr>
            <w:r>
              <w:t>Advisory Committee meeting</w:t>
            </w:r>
          </w:p>
        </w:tc>
        <w:tc>
          <w:tcPr>
            <w:tcW w:w="4360" w:type="dxa"/>
          </w:tcPr>
          <w:p w14:paraId="240486FA" w14:textId="77777777" w:rsidR="00500337" w:rsidRDefault="001C0476" w:rsidP="00500337">
            <w:pPr>
              <w:ind w:left="0" w:right="0"/>
            </w:pPr>
            <w:r>
              <w:t>8 and 9 April 2021</w:t>
            </w:r>
          </w:p>
        </w:tc>
      </w:tr>
      <w:tr w:rsidR="00500337" w14:paraId="5F46A227" w14:textId="77777777" w:rsidTr="00500337">
        <w:tc>
          <w:tcPr>
            <w:tcW w:w="4360" w:type="dxa"/>
          </w:tcPr>
          <w:p w14:paraId="0C3011ED" w14:textId="77777777" w:rsidR="00500337" w:rsidRDefault="00500337" w:rsidP="00500337">
            <w:pPr>
              <w:ind w:left="0" w:right="0"/>
            </w:pPr>
            <w:r>
              <w:t>Registration decision (Outcome)</w:t>
            </w:r>
          </w:p>
        </w:tc>
        <w:tc>
          <w:tcPr>
            <w:tcW w:w="4360" w:type="dxa"/>
          </w:tcPr>
          <w:p w14:paraId="2B2C585D" w14:textId="77777777" w:rsidR="00500337" w:rsidRDefault="001C0476" w:rsidP="00500337">
            <w:pPr>
              <w:ind w:left="0" w:right="0"/>
            </w:pPr>
            <w:r>
              <w:t>26 May 2021</w:t>
            </w:r>
          </w:p>
        </w:tc>
      </w:tr>
      <w:tr w:rsidR="00500337" w14:paraId="27806E91" w14:textId="77777777" w:rsidTr="00500337">
        <w:tc>
          <w:tcPr>
            <w:tcW w:w="4360" w:type="dxa"/>
          </w:tcPr>
          <w:p w14:paraId="33C79F1D"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0C2FF96C" w14:textId="77777777" w:rsidR="00500337" w:rsidRDefault="001C0476" w:rsidP="00500337">
            <w:pPr>
              <w:ind w:left="0" w:right="0"/>
            </w:pPr>
            <w:r>
              <w:t>2 June 2021</w:t>
            </w:r>
          </w:p>
        </w:tc>
      </w:tr>
      <w:tr w:rsidR="00500337" w14:paraId="2122B000" w14:textId="77777777" w:rsidTr="00500337">
        <w:tc>
          <w:tcPr>
            <w:tcW w:w="4360" w:type="dxa"/>
          </w:tcPr>
          <w:p w14:paraId="051E6B59" w14:textId="77777777" w:rsidR="00500337" w:rsidRDefault="00500337" w:rsidP="00500337">
            <w:pPr>
              <w:ind w:left="0" w:right="0"/>
            </w:pPr>
            <w:r>
              <w:t>Number of working days from submission dossier acceptance to registration decision*</w:t>
            </w:r>
          </w:p>
        </w:tc>
        <w:tc>
          <w:tcPr>
            <w:tcW w:w="4360" w:type="dxa"/>
          </w:tcPr>
          <w:p w14:paraId="7B08F16C" w14:textId="77777777" w:rsidR="00500337" w:rsidRDefault="001C0476" w:rsidP="00500337">
            <w:pPr>
              <w:ind w:left="0" w:right="0"/>
            </w:pPr>
            <w:r>
              <w:t>190</w:t>
            </w:r>
          </w:p>
        </w:tc>
      </w:tr>
    </w:tbl>
    <w:p w14:paraId="4AC6BBE7"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52366D5"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104471056"/>
      <w:bookmarkEnd w:id="22"/>
      <w:bookmarkEnd w:id="23"/>
      <w:bookmarkEnd w:id="1"/>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7A2CD204" w14:textId="77777777" w:rsidR="00006FAB" w:rsidRDefault="00006FAB" w:rsidP="00006FAB">
      <w:bookmarkStart w:id="31" w:name="_Toc247691528"/>
      <w:r>
        <w:t>The submission was summarised in the following Delegate’s overview and recommendations.</w:t>
      </w:r>
    </w:p>
    <w:p w14:paraId="2481DF16" w14:textId="77777777" w:rsidR="008E7846" w:rsidRDefault="008E7846" w:rsidP="008E7846">
      <w:pPr>
        <w:pStyle w:val="Heading3"/>
      </w:pPr>
      <w:bookmarkStart w:id="32" w:name="_Toc314842511"/>
      <w:bookmarkStart w:id="33" w:name="_Toc104471057"/>
      <w:r>
        <w:t>Quality</w:t>
      </w:r>
      <w:bookmarkEnd w:id="31"/>
      <w:bookmarkEnd w:id="32"/>
      <w:bookmarkEnd w:id="33"/>
    </w:p>
    <w:p w14:paraId="25581DBE" w14:textId="204391E4" w:rsidR="00B437C5" w:rsidRDefault="00B437C5" w:rsidP="00B437C5">
      <w:proofErr w:type="spellStart"/>
      <w:r w:rsidRPr="00B437C5">
        <w:t>Deutetrabenazine</w:t>
      </w:r>
      <w:proofErr w:type="spellEnd"/>
      <w:r w:rsidRPr="00B437C5">
        <w:t xml:space="preserve"> is described as a white to slightly yellow crystalline powder. </w:t>
      </w:r>
      <w:proofErr w:type="spellStart"/>
      <w:r w:rsidRPr="00B437C5">
        <w:t>Deutetrabenazine</w:t>
      </w:r>
      <w:proofErr w:type="spellEnd"/>
      <w:r w:rsidRPr="00B437C5">
        <w:t xml:space="preserve"> is sparingly soluble in water, and its aqueous solubility is highly dependent upon </w:t>
      </w:r>
      <w:proofErr w:type="spellStart"/>
      <w:r w:rsidRPr="00B437C5">
        <w:t>pH</w:t>
      </w:r>
      <w:r>
        <w:t>.</w:t>
      </w:r>
      <w:proofErr w:type="spellEnd"/>
      <w:r>
        <w:t xml:space="preserve"> </w:t>
      </w:r>
      <w:proofErr w:type="spellStart"/>
      <w:r w:rsidR="000D7578" w:rsidRPr="00B437C5">
        <w:t>Deutetrabenazine</w:t>
      </w:r>
      <w:proofErr w:type="spellEnd"/>
      <w:r w:rsidR="000D7578">
        <w:t xml:space="preserve"> chemical structure is shown in </w:t>
      </w:r>
      <w:r w:rsidR="000D7578">
        <w:fldChar w:fldCharType="begin"/>
      </w:r>
      <w:r w:rsidR="000D7578">
        <w:instrText xml:space="preserve"> REF _Ref78457277 \h </w:instrText>
      </w:r>
      <w:r w:rsidR="000D7578">
        <w:fldChar w:fldCharType="separate"/>
      </w:r>
      <w:r w:rsidR="00B15438" w:rsidRPr="00B437C5">
        <w:t xml:space="preserve">Figure </w:t>
      </w:r>
      <w:r w:rsidR="00B15438">
        <w:rPr>
          <w:noProof/>
        </w:rPr>
        <w:t>2</w:t>
      </w:r>
      <w:r w:rsidR="000D7578">
        <w:fldChar w:fldCharType="end"/>
      </w:r>
      <w:r w:rsidR="000D7578">
        <w:t>.</w:t>
      </w:r>
    </w:p>
    <w:p w14:paraId="4079D831" w14:textId="330C8FA9" w:rsidR="00B437C5" w:rsidRPr="00B437C5" w:rsidRDefault="00B437C5" w:rsidP="00B437C5">
      <w:r w:rsidRPr="00B437C5">
        <w:t xml:space="preserve">All test parameters and limits proposed for </w:t>
      </w:r>
      <w:proofErr w:type="spellStart"/>
      <w:r>
        <w:t>deutetrabenazine</w:t>
      </w:r>
      <w:proofErr w:type="spellEnd"/>
      <w:r w:rsidRPr="00B437C5">
        <w:t xml:space="preserve"> specifications are considered acceptable.</w:t>
      </w:r>
      <w:r>
        <w:t xml:space="preserve"> </w:t>
      </w:r>
      <w:r w:rsidRPr="00B437C5">
        <w:t xml:space="preserve">The analytical methods used to analyse </w:t>
      </w:r>
      <w:proofErr w:type="spellStart"/>
      <w:r>
        <w:t>deutetrabenazine</w:t>
      </w:r>
      <w:proofErr w:type="spellEnd"/>
      <w:r w:rsidRPr="00B437C5">
        <w:t xml:space="preserve"> </w:t>
      </w:r>
      <w:r w:rsidR="00EF2601">
        <w:t>were</w:t>
      </w:r>
      <w:r>
        <w:t xml:space="preserve"> </w:t>
      </w:r>
      <w:r w:rsidRPr="00B437C5">
        <w:t>adequately described and validated.</w:t>
      </w:r>
    </w:p>
    <w:p w14:paraId="1D67A54C" w14:textId="77777777" w:rsidR="00B437C5" w:rsidRPr="00B437C5" w:rsidRDefault="00B437C5" w:rsidP="00B437C5">
      <w:r w:rsidRPr="00B437C5">
        <w:t>The proposed commercial container closure system is a bottle with child resistant cap and a desiccant canister containing 60 tablets. The same pack size is proposed for the 6 mg, 9</w:t>
      </w:r>
      <w:r w:rsidR="00921564">
        <w:t> </w:t>
      </w:r>
      <w:r w:rsidRPr="00B437C5">
        <w:t>mg and 12 mg strengths.</w:t>
      </w:r>
    </w:p>
    <w:p w14:paraId="2C3D11C1" w14:textId="77777777" w:rsidR="00B437C5" w:rsidRDefault="00B437C5" w:rsidP="00B437C5">
      <w:r w:rsidRPr="00B437C5">
        <w:t>The Product Information (PI) document is finalised from a pharmaceutical chemistry and quality control perspective.</w:t>
      </w:r>
      <w:r>
        <w:t xml:space="preserve"> </w:t>
      </w:r>
      <w:r w:rsidRPr="00B437C5">
        <w:t xml:space="preserve">The Product Labelling has been finalised from a pharmaceutical chemistry perspective and complies with the requirements of </w:t>
      </w:r>
      <w:r w:rsidR="00921564" w:rsidRPr="00921564">
        <w:t>Therapeutic Goods Order No 91</w:t>
      </w:r>
      <w:r w:rsidRPr="00B437C5">
        <w:t>.</w:t>
      </w:r>
    </w:p>
    <w:p w14:paraId="3DDED4FB" w14:textId="77777777" w:rsidR="00B437C5" w:rsidRPr="00B437C5" w:rsidRDefault="00B437C5" w:rsidP="00B437C5">
      <w:r w:rsidRPr="00B437C5">
        <w:t>Approval is recommended from a pharmaceutical chemistry and quality control perspective.</w:t>
      </w:r>
    </w:p>
    <w:p w14:paraId="289D800B" w14:textId="2AB268F7" w:rsidR="00B437C5" w:rsidRDefault="00B437C5" w:rsidP="00B437C5">
      <w:pPr>
        <w:pStyle w:val="FigureTitle"/>
      </w:pPr>
      <w:bookmarkStart w:id="34" w:name="_Ref78457277"/>
      <w:r w:rsidRPr="00B437C5">
        <w:t xml:space="preserve">Figure </w:t>
      </w:r>
      <w:r w:rsidR="000C3739">
        <w:fldChar w:fldCharType="begin"/>
      </w:r>
      <w:r w:rsidR="000C3739">
        <w:instrText xml:space="preserve"> SEQ</w:instrText>
      </w:r>
      <w:r w:rsidR="000C3739">
        <w:instrText xml:space="preserve"> Figure \* ARABIC </w:instrText>
      </w:r>
      <w:r w:rsidR="000C3739">
        <w:fldChar w:fldCharType="separate"/>
      </w:r>
      <w:r w:rsidR="00B15438">
        <w:rPr>
          <w:noProof/>
        </w:rPr>
        <w:t>2</w:t>
      </w:r>
      <w:r w:rsidR="000C3739">
        <w:rPr>
          <w:noProof/>
        </w:rPr>
        <w:fldChar w:fldCharType="end"/>
      </w:r>
      <w:bookmarkEnd w:id="34"/>
      <w:r>
        <w:t xml:space="preserve">: Chemical structure of </w:t>
      </w:r>
      <w:proofErr w:type="spellStart"/>
      <w:r>
        <w:t>deutetrabenazine</w:t>
      </w:r>
      <w:proofErr w:type="spellEnd"/>
    </w:p>
    <w:p w14:paraId="3D45FE30" w14:textId="77777777" w:rsidR="00B437C5" w:rsidRDefault="00B437C5" w:rsidP="00006FAB">
      <w:r>
        <w:rPr>
          <w:noProof/>
          <w:lang w:val="en-GB" w:eastAsia="en-GB"/>
        </w:rPr>
        <w:drawing>
          <wp:inline distT="0" distB="0" distL="0" distR="0" wp14:anchorId="0B91A311" wp14:editId="6D298556">
            <wp:extent cx="2075180" cy="1160890"/>
            <wp:effectExtent l="0" t="0" r="1270" b="1270"/>
            <wp:docPr id="2" name="Picture 2" descr="Chemical structure of deutetraben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emical structure of deutetrabenazine"/>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59" t="-562" r="562" b="18530"/>
                    <a:stretch/>
                  </pic:blipFill>
                  <pic:spPr bwMode="auto">
                    <a:xfrm>
                      <a:off x="0" y="0"/>
                      <a:ext cx="2075539" cy="1161091"/>
                    </a:xfrm>
                    <a:prstGeom prst="rect">
                      <a:avLst/>
                    </a:prstGeom>
                    <a:noFill/>
                    <a:ln>
                      <a:noFill/>
                    </a:ln>
                    <a:extLst>
                      <a:ext uri="{53640926-AAD7-44D8-BBD7-CCE9431645EC}">
                        <a14:shadowObscured xmlns:a14="http://schemas.microsoft.com/office/drawing/2010/main"/>
                      </a:ext>
                    </a:extLst>
                  </pic:spPr>
                </pic:pic>
              </a:graphicData>
            </a:graphic>
          </wp:inline>
        </w:drawing>
      </w:r>
    </w:p>
    <w:p w14:paraId="41354942" w14:textId="77777777" w:rsidR="008E7846" w:rsidRDefault="008E7846" w:rsidP="008E7846">
      <w:pPr>
        <w:pStyle w:val="Heading3"/>
      </w:pPr>
      <w:bookmarkStart w:id="35" w:name="_Toc314842512"/>
      <w:bookmarkStart w:id="36" w:name="_Toc104471058"/>
      <w:r>
        <w:t>Nonclinical</w:t>
      </w:r>
      <w:bookmarkEnd w:id="35"/>
      <w:bookmarkEnd w:id="36"/>
    </w:p>
    <w:p w14:paraId="3448504E" w14:textId="77777777" w:rsidR="000D7578" w:rsidRDefault="000D7578" w:rsidP="000D7578">
      <w:r>
        <w:t xml:space="preserve">The nonclinical evaluator has recommended approval for </w:t>
      </w:r>
      <w:proofErr w:type="spellStart"/>
      <w:r>
        <w:t>d</w:t>
      </w:r>
      <w:r w:rsidRPr="00B437C5">
        <w:t>eutetrabenazine</w:t>
      </w:r>
      <w:proofErr w:type="spellEnd"/>
      <w:r>
        <w:t>.</w:t>
      </w:r>
    </w:p>
    <w:p w14:paraId="553D8651" w14:textId="2F05C47A" w:rsidR="000D7578" w:rsidRDefault="000D7578" w:rsidP="000D7578">
      <w:r w:rsidRPr="000D7578">
        <w:t>The overall quality of the nonclinical dossier was generally acceptable. Pivotal safety</w:t>
      </w:r>
      <w:r w:rsidR="009C3E1F">
        <w:noBreakHyphen/>
      </w:r>
      <w:r w:rsidRPr="000D7578">
        <w:t xml:space="preserve">related studies were </w:t>
      </w:r>
      <w:r w:rsidR="00134EB5">
        <w:t xml:space="preserve">good laboratory practices </w:t>
      </w:r>
      <w:r w:rsidRPr="000D7578">
        <w:t xml:space="preserve">compliant. </w:t>
      </w:r>
      <w:proofErr w:type="spellStart"/>
      <w:r w:rsidRPr="000D7578">
        <w:t>Deutetrabenazine</w:t>
      </w:r>
      <w:proofErr w:type="spellEnd"/>
      <w:r w:rsidRPr="000D7578">
        <w:t xml:space="preserve"> is a deuterated form of an existing drug, tetrabenazine, which is registered for the </w:t>
      </w:r>
      <w:r w:rsidR="00EF2601">
        <w:t>similar</w:t>
      </w:r>
      <w:r w:rsidRPr="000D7578">
        <w:t xml:space="preserve"> indications.</w:t>
      </w:r>
    </w:p>
    <w:p w14:paraId="3456C44B" w14:textId="7CD75E01" w:rsidR="000D7578" w:rsidRDefault="000D7578" w:rsidP="0078259A">
      <w:r>
        <w:t xml:space="preserve">The active metabolites of </w:t>
      </w:r>
      <w:proofErr w:type="spellStart"/>
      <w:r w:rsidR="00921564">
        <w:t>deutetrabenazine</w:t>
      </w:r>
      <w:proofErr w:type="spellEnd"/>
      <w:r>
        <w:t xml:space="preserve"> and </w:t>
      </w:r>
      <w:r w:rsidR="00921564">
        <w:t>tetrabenazine</w:t>
      </w:r>
      <w:r>
        <w:t xml:space="preserve"> (deuterated and non</w:t>
      </w:r>
      <w:r w:rsidR="009C3E1F">
        <w:noBreakHyphen/>
      </w:r>
      <w:r>
        <w:t xml:space="preserve">deuterated α-/β-HTBZ) showed comparable binding affinities for the </w:t>
      </w:r>
      <w:r w:rsidR="002619A7">
        <w:t>VMAT-2</w:t>
      </w:r>
      <w:r>
        <w:t xml:space="preserve">, the intended pharmacological target of </w:t>
      </w:r>
      <w:proofErr w:type="spellStart"/>
      <w:r>
        <w:t>A</w:t>
      </w:r>
      <w:r w:rsidR="00921564">
        <w:t>ustedo</w:t>
      </w:r>
      <w:proofErr w:type="spellEnd"/>
      <w:r>
        <w:t>. The only clinically</w:t>
      </w:r>
      <w:r w:rsidR="00134EB5">
        <w:t xml:space="preserve"> </w:t>
      </w:r>
      <w:r>
        <w:t>relevant off</w:t>
      </w:r>
      <w:r w:rsidR="00134EB5">
        <w:t xml:space="preserve"> </w:t>
      </w:r>
      <w:r>
        <w:t>target effect</w:t>
      </w:r>
      <w:r w:rsidR="009C3E1F">
        <w:t xml:space="preserve"> </w:t>
      </w:r>
      <w:r>
        <w:t>for deuterated β-HTBZ was on the non-selective sigma receptor. However, this off</w:t>
      </w:r>
      <w:r w:rsidR="00134EB5">
        <w:t xml:space="preserve"> </w:t>
      </w:r>
      <w:r>
        <w:t xml:space="preserve">target risk also exists for non-deuterated β-HTBZ from </w:t>
      </w:r>
      <w:r w:rsidR="00921564">
        <w:t>tetrabenazine</w:t>
      </w:r>
      <w:r>
        <w:t xml:space="preserve"> at the maximum recommended dose of this drug.</w:t>
      </w:r>
    </w:p>
    <w:p w14:paraId="7FB5362D" w14:textId="1586BB50" w:rsidR="000D7578" w:rsidRDefault="000D7578" w:rsidP="000D7578">
      <w:r>
        <w:t xml:space="preserve">Inhibition of </w:t>
      </w:r>
      <w:r w:rsidR="00134EB5" w:rsidRPr="00134EB5">
        <w:t xml:space="preserve">human Ether-à-go-go-Related Gene </w:t>
      </w:r>
      <w:r>
        <w:t>K</w:t>
      </w:r>
      <w:r w:rsidRPr="000D7578">
        <w:rPr>
          <w:vertAlign w:val="superscript"/>
        </w:rPr>
        <w:t>+</w:t>
      </w:r>
      <w:r>
        <w:t xml:space="preserve"> tail current was observed with deuterated α-/β-HTBZ at concentrations that are not considered clinically relevant; </w:t>
      </w:r>
      <w:r>
        <w:lastRenderedPageBreak/>
        <w:t>however, prolongation of QTc intervals</w:t>
      </w:r>
      <w:r w:rsidR="009C3E1F">
        <w:rPr>
          <w:rStyle w:val="FootnoteReference"/>
        </w:rPr>
        <w:footnoteReference w:id="8"/>
      </w:r>
      <w:r>
        <w:t xml:space="preserve"> occurs with </w:t>
      </w:r>
      <w:r w:rsidR="00921564">
        <w:t>tetrabenazine</w:t>
      </w:r>
      <w:r>
        <w:t xml:space="preserve"> and </w:t>
      </w:r>
      <w:r w:rsidR="0042107E">
        <w:t xml:space="preserve"> therefore it </w:t>
      </w:r>
      <w:r w:rsidR="00EF2601">
        <w:t>was</w:t>
      </w:r>
      <w:r>
        <w:t xml:space="preserve"> </w:t>
      </w:r>
      <w:r w:rsidR="00EF2601">
        <w:t xml:space="preserve">tested </w:t>
      </w:r>
      <w:r>
        <w:t xml:space="preserve">for </w:t>
      </w:r>
      <w:proofErr w:type="spellStart"/>
      <w:r w:rsidR="00921564">
        <w:t>deutetrabenazine</w:t>
      </w:r>
      <w:proofErr w:type="spellEnd"/>
      <w:r w:rsidR="0042107E">
        <w:t xml:space="preserve"> in clinical studies</w:t>
      </w:r>
      <w:r>
        <w:t>.</w:t>
      </w:r>
    </w:p>
    <w:p w14:paraId="65EC60BE" w14:textId="1A8D9061" w:rsidR="000D7578" w:rsidRDefault="000D7578" w:rsidP="0078259A">
      <w:r>
        <w:t xml:space="preserve">Inhibitors of </w:t>
      </w:r>
      <w:r w:rsidR="00134EB5">
        <w:t xml:space="preserve">cytochrome </w:t>
      </w:r>
      <w:r w:rsidR="00337C11">
        <w:t>P450</w:t>
      </w:r>
      <w:r w:rsidR="009C3E1F">
        <w:t xml:space="preserve"> </w:t>
      </w:r>
      <w:r w:rsidR="00337C11">
        <w:t>(</w:t>
      </w:r>
      <w:r>
        <w:t>CYP</w:t>
      </w:r>
      <w:r w:rsidR="00337C11">
        <w:t>)</w:t>
      </w:r>
      <w:r w:rsidR="009C3E1F">
        <w:t xml:space="preserve"> 2D6;</w:t>
      </w:r>
      <w:bookmarkStart w:id="37" w:name="_Ref82519916"/>
      <w:r w:rsidR="00134EB5">
        <w:rPr>
          <w:rStyle w:val="FootnoteReference"/>
        </w:rPr>
        <w:footnoteReference w:id="9"/>
      </w:r>
      <w:bookmarkEnd w:id="37"/>
      <w:r>
        <w:t xml:space="preserve"> may alter</w:t>
      </w:r>
      <w:r w:rsidR="009C3E1F">
        <w:t xml:space="preserve"> </w:t>
      </w:r>
      <w:r w:rsidR="00EF2601">
        <w:t xml:space="preserve">deuterated </w:t>
      </w:r>
      <w:r>
        <w:t xml:space="preserve">α-HTBZ and </w:t>
      </w:r>
      <w:r w:rsidR="00EF2601">
        <w:t xml:space="preserve">deuterated </w:t>
      </w:r>
      <w:r>
        <w:t xml:space="preserve">β-HTBZ exposures. Based on </w:t>
      </w:r>
      <w:r w:rsidRPr="000D7578">
        <w:rPr>
          <w:i/>
          <w:iCs/>
        </w:rPr>
        <w:t>in vitro</w:t>
      </w:r>
      <w:r>
        <w:t xml:space="preserve"> studies with CYP isozymes, </w:t>
      </w:r>
      <w:proofErr w:type="spellStart"/>
      <w:r w:rsidR="00921564">
        <w:t>deutetrabenazine</w:t>
      </w:r>
      <w:proofErr w:type="spellEnd"/>
      <w:r>
        <w:t xml:space="preserve"> is not expected to alter exposures to co-administered drugs that are substrates for these enzymes. Neither </w:t>
      </w:r>
      <w:r w:rsidR="009C3E1F">
        <w:t xml:space="preserve">metabolites </w:t>
      </w:r>
      <w:r>
        <w:t>M1 nor M4 exhibited significant inhibitory activity against P-</w:t>
      </w:r>
      <w:proofErr w:type="spellStart"/>
      <w:r>
        <w:t>gp</w:t>
      </w:r>
      <w:proofErr w:type="spellEnd"/>
      <w:r>
        <w:t xml:space="preserve">, BCRP, OATP1B1, OATP1B3, OAT1, OAT3 or OCT2. </w:t>
      </w:r>
      <w:r w:rsidR="009C3E1F">
        <w:t xml:space="preserve">Metabolite </w:t>
      </w:r>
      <w:r>
        <w:t>M1 is a substrate for OAT3. The clinical relevance of this finding is considered low as this metabolite has no obvious pharmacological activity.</w:t>
      </w:r>
    </w:p>
    <w:p w14:paraId="384857BA" w14:textId="77777777" w:rsidR="000D7578" w:rsidRDefault="00921564" w:rsidP="000D7578">
      <w:proofErr w:type="spellStart"/>
      <w:r>
        <w:t>Deutetrabenazine</w:t>
      </w:r>
      <w:proofErr w:type="spellEnd"/>
      <w:r w:rsidR="000D7578">
        <w:t xml:space="preserve"> was shown to have a comparable acute toxicity profile to </w:t>
      </w:r>
      <w:r>
        <w:t>tetrabenazine</w:t>
      </w:r>
      <w:r w:rsidR="00134EB5">
        <w:t xml:space="preserve"> </w:t>
      </w:r>
      <w:r w:rsidR="000D7578">
        <w:t>and is considered to have a low to moderate order of acute toxicity.</w:t>
      </w:r>
    </w:p>
    <w:p w14:paraId="4A5A5A54" w14:textId="0B4957FF" w:rsidR="000D7578" w:rsidRDefault="000D7578" w:rsidP="00304C53">
      <w:r>
        <w:t xml:space="preserve">Repeat dose toxicity studies by the oral route were conducted in rats (up to 3 months) using </w:t>
      </w:r>
      <w:proofErr w:type="spellStart"/>
      <w:r w:rsidR="00921564">
        <w:t>deutetrabenazine</w:t>
      </w:r>
      <w:proofErr w:type="spellEnd"/>
      <w:r>
        <w:t xml:space="preserve"> and comparator </w:t>
      </w:r>
      <w:r w:rsidR="00921564">
        <w:t>tetrabenazine</w:t>
      </w:r>
      <w:r>
        <w:t xml:space="preserve">. Maximum exposures to the parent drug </w:t>
      </w:r>
      <w:proofErr w:type="spellStart"/>
      <w:r w:rsidR="00921564">
        <w:t>deutetrabenazine</w:t>
      </w:r>
      <w:proofErr w:type="spellEnd"/>
      <w:r>
        <w:t xml:space="preserve"> were moderate at the high dose but were low and subclinical for the </w:t>
      </w:r>
      <w:r w:rsidR="00EF2601">
        <w:t xml:space="preserve">deuterated </w:t>
      </w:r>
      <w:r>
        <w:t>α-/β-HTBZ active metabolites.</w:t>
      </w:r>
    </w:p>
    <w:p w14:paraId="0748279A" w14:textId="77777777" w:rsidR="000D7578" w:rsidRDefault="000D7578" w:rsidP="000D7578">
      <w:r>
        <w:t xml:space="preserve">Treatment-related effects of </w:t>
      </w:r>
      <w:proofErr w:type="spellStart"/>
      <w:r w:rsidR="00921564">
        <w:t>deutetrabenazine</w:t>
      </w:r>
      <w:proofErr w:type="spellEnd"/>
      <w:r>
        <w:t xml:space="preserve"> corresponded to those of </w:t>
      </w:r>
      <w:r w:rsidR="00921564">
        <w:t>tetrabenazine</w:t>
      </w:r>
      <w:r>
        <w:t xml:space="preserve"> and were consistent with known toxicities of </w:t>
      </w:r>
      <w:r w:rsidR="00921564">
        <w:t>tetrabenazine</w:t>
      </w:r>
      <w:r>
        <w:t>.</w:t>
      </w:r>
    </w:p>
    <w:p w14:paraId="762405AD" w14:textId="77777777" w:rsidR="000D7578" w:rsidRDefault="000D7578" w:rsidP="000D7578">
      <w:r>
        <w:t xml:space="preserve">Reproductive and developmental toxicity studies were limited to embryo-foetal development studies (dose-range finding and main studies) that were conducted in rats. Exposure levels of the parent drug </w:t>
      </w:r>
      <w:proofErr w:type="spellStart"/>
      <w:r w:rsidR="00921564">
        <w:t>deutetrabenazine</w:t>
      </w:r>
      <w:proofErr w:type="spellEnd"/>
      <w:r>
        <w:t xml:space="preserve"> were sufficiently high, but those of the active metabolites were subclinical. No adverse effects on embryo-foetal development or evidence of teratogenic effects were observed. Although not assessed, placental transfer of </w:t>
      </w:r>
      <w:proofErr w:type="spellStart"/>
      <w:r w:rsidR="00921564">
        <w:t>deutetrabenazine</w:t>
      </w:r>
      <w:proofErr w:type="spellEnd"/>
      <w:r>
        <w:t xml:space="preserve"> and its excretion through milk is expected.</w:t>
      </w:r>
    </w:p>
    <w:p w14:paraId="5EFAA9AB" w14:textId="28D61094" w:rsidR="000C3739" w:rsidRDefault="000D7578" w:rsidP="000D7578">
      <w:r>
        <w:t xml:space="preserve">The Pregnancy Category proposed by the </w:t>
      </w:r>
      <w:r w:rsidR="00337C11">
        <w:t>s</w:t>
      </w:r>
      <w:r>
        <w:t>ponsor (Category B3)</w:t>
      </w:r>
      <w:r w:rsidR="00337C11">
        <w:t>;</w:t>
      </w:r>
      <w:r w:rsidR="00337C11">
        <w:rPr>
          <w:rStyle w:val="FootnoteReference"/>
        </w:rPr>
        <w:footnoteReference w:id="10"/>
      </w:r>
      <w:r>
        <w:t xml:space="preserve"> is considered appropriate, based on adverse foetal/neonatal effects seen in a pre/postnatal study conducted with </w:t>
      </w:r>
      <w:r w:rsidR="00921564">
        <w:t>tetrabenazine</w:t>
      </w:r>
      <w:r>
        <w:t>.</w:t>
      </w:r>
    </w:p>
    <w:p w14:paraId="3746C5C6" w14:textId="77777777" w:rsidR="000C3739" w:rsidRDefault="000C3739">
      <w:pPr>
        <w:spacing w:before="0" w:after="200" w:line="0" w:lineRule="auto"/>
      </w:pPr>
      <w:r>
        <w:br w:type="page"/>
      </w:r>
    </w:p>
    <w:p w14:paraId="514BEDA5" w14:textId="77777777" w:rsidR="008E7846" w:rsidRDefault="008E7846" w:rsidP="008E7846">
      <w:pPr>
        <w:pStyle w:val="Heading3"/>
      </w:pPr>
      <w:bookmarkStart w:id="38" w:name="_Toc247691530"/>
      <w:bookmarkStart w:id="39" w:name="_Toc314842513"/>
      <w:bookmarkStart w:id="40" w:name="_Toc104471059"/>
      <w:r>
        <w:lastRenderedPageBreak/>
        <w:t>Clinical</w:t>
      </w:r>
      <w:bookmarkEnd w:id="38"/>
      <w:bookmarkEnd w:id="39"/>
      <w:bookmarkEnd w:id="40"/>
    </w:p>
    <w:p w14:paraId="3D1BE5C5" w14:textId="77777777" w:rsidR="009C3E1F" w:rsidRDefault="00006FAB" w:rsidP="00855435">
      <w:bookmarkStart w:id="41" w:name="_Toc314842514"/>
      <w:r w:rsidRPr="00006FAB">
        <w:t>The clinical dossier consisted of</w:t>
      </w:r>
      <w:r w:rsidR="00B94C03">
        <w:t>:</w:t>
      </w:r>
    </w:p>
    <w:p w14:paraId="12FFB45C" w14:textId="1E8D46A0" w:rsidR="00026004" w:rsidRDefault="00026004">
      <w:pPr>
        <w:pStyle w:val="ListBullet"/>
      </w:pPr>
      <w:r>
        <w:t xml:space="preserve">two </w:t>
      </w:r>
      <w:r w:rsidR="009C3E1F">
        <w:t>P</w:t>
      </w:r>
      <w:r>
        <w:t xml:space="preserve">hase </w:t>
      </w:r>
      <w:r w:rsidR="009C3E1F">
        <w:t>III</w:t>
      </w:r>
      <w:r>
        <w:t xml:space="preserve"> studies for H</w:t>
      </w:r>
      <w:r w:rsidR="009C3E1F">
        <w:t>untington disease</w:t>
      </w:r>
      <w:r w:rsidR="004C2C57">
        <w:t xml:space="preserve"> (Studies </w:t>
      </w:r>
      <w:r w:rsidR="004C2C57" w:rsidRPr="004C2C57">
        <w:t>SD-809-C-15</w:t>
      </w:r>
      <w:r w:rsidR="004C2C57">
        <w:t>, and SD-809-C16; (abbreviated as Studies C-15 and C-16)</w:t>
      </w:r>
    </w:p>
    <w:p w14:paraId="76B6EE62" w14:textId="5B5138BE" w:rsidR="00026004" w:rsidRDefault="00026004" w:rsidP="004C2C57">
      <w:pPr>
        <w:pStyle w:val="ListBullet"/>
      </w:pPr>
      <w:r>
        <w:t xml:space="preserve">three </w:t>
      </w:r>
      <w:r w:rsidR="009C3E1F">
        <w:t>P</w:t>
      </w:r>
      <w:r>
        <w:t xml:space="preserve">hase </w:t>
      </w:r>
      <w:r w:rsidR="009C3E1F">
        <w:t>III</w:t>
      </w:r>
      <w:r>
        <w:t xml:space="preserve"> studies for </w:t>
      </w:r>
      <w:r w:rsidR="009C3E1F">
        <w:t>tardive dyskinesia</w:t>
      </w:r>
      <w:r w:rsidR="004C2C57">
        <w:t xml:space="preserve"> (Studies SD-809-C-18, SD-809-C-20 and SD-809-C-23; abbreviated as Studies C-18, C-20 and C-23)</w:t>
      </w:r>
    </w:p>
    <w:p w14:paraId="43754C98" w14:textId="55FAAD42" w:rsidR="00B94C03" w:rsidRDefault="00B94C03" w:rsidP="00B94C03">
      <w:pPr>
        <w:pStyle w:val="ListBullet"/>
      </w:pPr>
      <w:r>
        <w:t>six pharmacokinetic studies</w:t>
      </w:r>
      <w:r w:rsidR="00026004">
        <w:t xml:space="preserve"> </w:t>
      </w:r>
    </w:p>
    <w:p w14:paraId="06082E27" w14:textId="066E6E1A" w:rsidR="00B94C03" w:rsidRDefault="00B94C03" w:rsidP="00B94C03">
      <w:pPr>
        <w:pStyle w:val="ListBullet"/>
      </w:pPr>
      <w:r>
        <w:t>one pharmacokinetic and pharmacodynamic study</w:t>
      </w:r>
    </w:p>
    <w:p w14:paraId="02DF33DC" w14:textId="55828375" w:rsidR="00B94C03" w:rsidRDefault="00B94C03" w:rsidP="00B94C03">
      <w:pPr>
        <w:pStyle w:val="ListBullet"/>
      </w:pPr>
      <w:r>
        <w:t>one bioequivalence study</w:t>
      </w:r>
      <w:r w:rsidR="00026004">
        <w:t xml:space="preserve"> </w:t>
      </w:r>
    </w:p>
    <w:p w14:paraId="2E4A7507" w14:textId="0AF9F932" w:rsidR="0042107E" w:rsidRDefault="00B94C03" w:rsidP="00081C54">
      <w:pPr>
        <w:pStyle w:val="ListBullet"/>
      </w:pPr>
      <w:r>
        <w:t>one bioavailability study</w:t>
      </w:r>
    </w:p>
    <w:p w14:paraId="5B14CC8B" w14:textId="77777777" w:rsidR="00081C54" w:rsidRDefault="00081C54" w:rsidP="00081C54">
      <w:pPr>
        <w:pStyle w:val="Heading4"/>
      </w:pPr>
      <w:r>
        <w:t>Pharmacology</w:t>
      </w:r>
    </w:p>
    <w:p w14:paraId="47F7DD84" w14:textId="77777777" w:rsidR="00081C54" w:rsidRDefault="00081C54" w:rsidP="00081C54">
      <w:pPr>
        <w:pStyle w:val="Heading5"/>
      </w:pPr>
      <w:r>
        <w:t>Pharmacokinetics</w:t>
      </w:r>
    </w:p>
    <w:p w14:paraId="0AF9F5CF" w14:textId="7C7A19E4" w:rsidR="00081C54" w:rsidRDefault="00081C54" w:rsidP="00081C54">
      <w:proofErr w:type="spellStart"/>
      <w:r>
        <w:t>Deutetrabenazine</w:t>
      </w:r>
      <w:proofErr w:type="spellEnd"/>
      <w:r>
        <w:t xml:space="preserve"> is a </w:t>
      </w:r>
      <w:r w:rsidR="002619A7">
        <w:t>VMAT-2</w:t>
      </w:r>
      <w:r>
        <w:t xml:space="preserve"> inhibitor. </w:t>
      </w:r>
      <w:proofErr w:type="spellStart"/>
      <w:r>
        <w:t>Deutetrabenazine</w:t>
      </w:r>
      <w:proofErr w:type="spellEnd"/>
      <w:r>
        <w:t xml:space="preserve"> is a racemic mixture containing the following structures: RR-</w:t>
      </w:r>
      <w:proofErr w:type="spellStart"/>
      <w:r w:rsidR="00ED0645">
        <w:t>d</w:t>
      </w:r>
      <w:r>
        <w:t>eutetrabenazine</w:t>
      </w:r>
      <w:proofErr w:type="spellEnd"/>
      <w:r>
        <w:t xml:space="preserve"> SS-</w:t>
      </w:r>
      <w:proofErr w:type="spellStart"/>
      <w:r w:rsidR="00ED0645">
        <w:t>d</w:t>
      </w:r>
      <w:r>
        <w:t>eutetrabenazine</w:t>
      </w:r>
      <w:proofErr w:type="spellEnd"/>
      <w:r>
        <w:t>.</w:t>
      </w:r>
    </w:p>
    <w:p w14:paraId="3257CC68" w14:textId="4B402EDD" w:rsidR="00081C54" w:rsidRDefault="00081C54" w:rsidP="00081C54">
      <w:r>
        <w:t xml:space="preserve">When administered at approximately half the dose of tetrabenazine on a milligram basis, both single and twice daily repeated doses of </w:t>
      </w:r>
      <w:proofErr w:type="spellStart"/>
      <w:r>
        <w:t>deutetrabenazine</w:t>
      </w:r>
      <w:proofErr w:type="spellEnd"/>
      <w:r>
        <w:t xml:space="preserve"> achieved comparable systemic exposure with lower </w:t>
      </w:r>
      <w:r w:rsidR="003517E8">
        <w:t>m</w:t>
      </w:r>
      <w:r w:rsidR="003517E8" w:rsidRPr="003517E8">
        <w:t xml:space="preserve">aximum plasma concentration </w:t>
      </w:r>
      <w:r w:rsidR="003517E8">
        <w:t>(</w:t>
      </w:r>
      <w:r>
        <w:t>C</w:t>
      </w:r>
      <w:r w:rsidRPr="00081C54">
        <w:rPr>
          <w:vertAlign w:val="subscript"/>
        </w:rPr>
        <w:t>max</w:t>
      </w:r>
      <w:r w:rsidR="003517E8">
        <w:t xml:space="preserve">) </w:t>
      </w:r>
      <w:r>
        <w:t xml:space="preserve">values, longer elimination half-lives, </w:t>
      </w:r>
      <w:r w:rsidR="00760D7F">
        <w:t xml:space="preserve">and </w:t>
      </w:r>
      <w:r>
        <w:t>lower C</w:t>
      </w:r>
      <w:r w:rsidRPr="00081C54">
        <w:rPr>
          <w:vertAlign w:val="subscript"/>
        </w:rPr>
        <w:t>max</w:t>
      </w:r>
      <w:r>
        <w:t>/</w:t>
      </w:r>
      <w:r w:rsidR="003517E8">
        <w:t>minimum plasma concentration (</w:t>
      </w:r>
      <w:proofErr w:type="spellStart"/>
      <w:r>
        <w:t>C</w:t>
      </w:r>
      <w:r w:rsidRPr="00081C54">
        <w:rPr>
          <w:vertAlign w:val="subscript"/>
        </w:rPr>
        <w:t>min</w:t>
      </w:r>
      <w:proofErr w:type="spellEnd"/>
      <w:r w:rsidR="003517E8">
        <w:t xml:space="preserve">) </w:t>
      </w:r>
      <w:r>
        <w:t>ratios, compared with their non-deuterated forms.</w:t>
      </w:r>
    </w:p>
    <w:p w14:paraId="6D499330" w14:textId="77777777" w:rsidR="00081C54" w:rsidRDefault="00081C54" w:rsidP="00855435">
      <w:pPr>
        <w:pStyle w:val="Heading6"/>
      </w:pPr>
      <w:r>
        <w:t>Absorption</w:t>
      </w:r>
    </w:p>
    <w:p w14:paraId="3AA0775F" w14:textId="77777777" w:rsidR="00081C54" w:rsidRDefault="00081C54" w:rsidP="00081C54">
      <w:r>
        <w:t xml:space="preserve">The extent of absorption is around 80%, when </w:t>
      </w:r>
      <w:proofErr w:type="spellStart"/>
      <w:r>
        <w:t>deutetrabenazine</w:t>
      </w:r>
      <w:proofErr w:type="spellEnd"/>
      <w:r>
        <w:t xml:space="preserve"> is administered orally. The </w:t>
      </w:r>
      <w:r w:rsidR="003517E8" w:rsidRPr="003517E8">
        <w:t xml:space="preserve">time after administration of a drug when the maximum plasma concentration is reached </w:t>
      </w:r>
      <w:r w:rsidR="003517E8">
        <w:t>(</w:t>
      </w:r>
      <w:proofErr w:type="spellStart"/>
      <w:r>
        <w:t>T</w:t>
      </w:r>
      <w:r w:rsidRPr="00081C54">
        <w:rPr>
          <w:vertAlign w:val="subscript"/>
        </w:rPr>
        <w:t>max</w:t>
      </w:r>
      <w:proofErr w:type="spellEnd"/>
      <w:r w:rsidR="003517E8">
        <w:t xml:space="preserve">) </w:t>
      </w:r>
      <w:r>
        <w:t>after oral administration is around 3 to 4 hours.</w:t>
      </w:r>
    </w:p>
    <w:p w14:paraId="391056BF" w14:textId="73404067" w:rsidR="00081C54" w:rsidRDefault="00081C54" w:rsidP="00081C54">
      <w:r>
        <w:t xml:space="preserve">Presence of food was not found to have an effect on </w:t>
      </w:r>
      <w:r w:rsidR="003517E8">
        <w:rPr>
          <w:rFonts w:cs="Calibri"/>
          <w:color w:val="000000"/>
        </w:rPr>
        <w:t>the a</w:t>
      </w:r>
      <w:r w:rsidR="003517E8" w:rsidRPr="002B01B1">
        <w:rPr>
          <w:rFonts w:cs="Calibri"/>
          <w:color w:val="000000"/>
        </w:rPr>
        <w:t>rea under the concentration ti</w:t>
      </w:r>
      <w:r w:rsidR="003517E8">
        <w:rPr>
          <w:rFonts w:cs="Calibri"/>
          <w:color w:val="000000"/>
        </w:rPr>
        <w:t xml:space="preserve">me curve </w:t>
      </w:r>
      <w:r w:rsidR="00760D7F">
        <w:rPr>
          <w:rFonts w:cs="Calibri"/>
          <w:color w:val="000000"/>
        </w:rPr>
        <w:t xml:space="preserve">(AUC) </w:t>
      </w:r>
      <w:r w:rsidR="003517E8">
        <w:rPr>
          <w:rFonts w:cs="Calibri"/>
          <w:color w:val="000000"/>
        </w:rPr>
        <w:t>over a dosing interval</w:t>
      </w:r>
      <w:r>
        <w:t xml:space="preserve"> of </w:t>
      </w:r>
      <w:proofErr w:type="spellStart"/>
      <w:r>
        <w:t>deutetrabenazine</w:t>
      </w:r>
      <w:proofErr w:type="spellEnd"/>
      <w:r>
        <w:t xml:space="preserve">, however, </w:t>
      </w:r>
      <w:proofErr w:type="spellStart"/>
      <w:r>
        <w:t>C</w:t>
      </w:r>
      <w:r w:rsidRPr="00081C54">
        <w:rPr>
          <w:vertAlign w:val="subscript"/>
        </w:rPr>
        <w:t>max</w:t>
      </w:r>
      <w:proofErr w:type="spellEnd"/>
      <w:r>
        <w:t xml:space="preserve"> was increased by around 50%.</w:t>
      </w:r>
    </w:p>
    <w:p w14:paraId="42DCB20E" w14:textId="65F682F7" w:rsidR="00081C54" w:rsidRDefault="00081C54" w:rsidP="00081C54">
      <w:r>
        <w:t xml:space="preserve">The Delegate has noted that the Product Information (PI) states to administer </w:t>
      </w:r>
      <w:proofErr w:type="spellStart"/>
      <w:r>
        <w:t>deutetrabenazine</w:t>
      </w:r>
      <w:proofErr w:type="spellEnd"/>
      <w:r>
        <w:t xml:space="preserve"> with food. Based on the pharmacokinetics (PK) findings, this is likely to result in </w:t>
      </w:r>
      <w:r w:rsidR="000E34BC">
        <w:t>higher C</w:t>
      </w:r>
      <w:r w:rsidR="000E34BC" w:rsidRPr="00855435">
        <w:rPr>
          <w:vertAlign w:val="subscript"/>
        </w:rPr>
        <w:t>max</w:t>
      </w:r>
      <w:r w:rsidR="000E34BC">
        <w:t xml:space="preserve"> (approximately 50%) compared to the fasted state</w:t>
      </w:r>
      <w:r>
        <w:t xml:space="preserve">. </w:t>
      </w:r>
    </w:p>
    <w:p w14:paraId="27A7A6AB" w14:textId="77777777" w:rsidR="00081C54" w:rsidRDefault="00081C54" w:rsidP="00855435">
      <w:pPr>
        <w:pStyle w:val="Heading6"/>
      </w:pPr>
      <w:r>
        <w:t>Bioavailability</w:t>
      </w:r>
    </w:p>
    <w:p w14:paraId="65B1B0F5" w14:textId="71C15D99" w:rsidR="00081C54" w:rsidRDefault="00081C54" w:rsidP="00081C54">
      <w:r>
        <w:t xml:space="preserve">In Study C-07, AUC of total (α+β)-HTBZ metabolites of </w:t>
      </w:r>
      <w:proofErr w:type="spellStart"/>
      <w:r>
        <w:t>deutetrabenazine</w:t>
      </w:r>
      <w:proofErr w:type="spellEnd"/>
      <w:r>
        <w:t xml:space="preserve"> 15 mg was 1</w:t>
      </w:r>
      <w:r w:rsidR="00926021">
        <w:t>5</w:t>
      </w:r>
      <w:r>
        <w:t>% to 2</w:t>
      </w:r>
      <w:r w:rsidR="00926021">
        <w:t>8</w:t>
      </w:r>
      <w:r>
        <w:t>% higher to the corresponding levels from tetrabenazine 25 mg tablets. Based on regression model analyses of single-dose and steady-state exposures, a dose of 11.4 mg to 13.2</w:t>
      </w:r>
      <w:r w:rsidR="0026689A">
        <w:t> </w:t>
      </w:r>
      <w:r>
        <w:t xml:space="preserve">mg of </w:t>
      </w:r>
      <w:proofErr w:type="spellStart"/>
      <w:r>
        <w:t>deutetrabenazine</w:t>
      </w:r>
      <w:proofErr w:type="spellEnd"/>
      <w:r>
        <w:t xml:space="preserve"> was estimated to provide comparable systemic exposure to that of tetrabenazine 25 mg. Thus, a 12 mg tablet of </w:t>
      </w:r>
      <w:proofErr w:type="spellStart"/>
      <w:r>
        <w:t>deutetrabenazine</w:t>
      </w:r>
      <w:proofErr w:type="spellEnd"/>
      <w:r>
        <w:t xml:space="preserve"> was selected to provide comparable exposure (AUC) to 25 mg of tetrabenazine.</w:t>
      </w:r>
    </w:p>
    <w:p w14:paraId="6CDE81BD" w14:textId="2230B7D6" w:rsidR="00081C54" w:rsidRDefault="00081C54" w:rsidP="00081C54">
      <w:r>
        <w:t>The mean AUC and mean C</w:t>
      </w:r>
      <w:r w:rsidRPr="00780FEE">
        <w:rPr>
          <w:vertAlign w:val="subscript"/>
        </w:rPr>
        <w:t>max</w:t>
      </w:r>
      <w:r>
        <w:t xml:space="preserve"> of the individual and total (α+β)-HTBZ metabolites of </w:t>
      </w:r>
      <w:proofErr w:type="spellStart"/>
      <w:r>
        <w:t>deut</w:t>
      </w:r>
      <w:r w:rsidR="00EF2601">
        <w:t>e</w:t>
      </w:r>
      <w:r>
        <w:t>trabenazine</w:t>
      </w:r>
      <w:proofErr w:type="spellEnd"/>
      <w:r>
        <w:t xml:space="preserve"> was found to increase in a dose</w:t>
      </w:r>
      <w:r w:rsidR="00A26052">
        <w:t xml:space="preserve"> </w:t>
      </w:r>
      <w:r>
        <w:t xml:space="preserve">proportional manner. After the administration of </w:t>
      </w:r>
      <w:proofErr w:type="spellStart"/>
      <w:r>
        <w:t>deutetrabenazine</w:t>
      </w:r>
      <w:proofErr w:type="spellEnd"/>
      <w:r>
        <w:t xml:space="preserve"> 15 mg and tetrabenazine 25 mg, </w:t>
      </w:r>
      <w:r w:rsidR="00B43193">
        <w:t xml:space="preserve">the </w:t>
      </w:r>
      <w:r>
        <w:t xml:space="preserve">AUC for total (α+β)-HTBZ was comparable, whereas the </w:t>
      </w:r>
      <w:proofErr w:type="spellStart"/>
      <w:r>
        <w:t>C</w:t>
      </w:r>
      <w:r w:rsidRPr="00A26052">
        <w:rPr>
          <w:vertAlign w:val="subscript"/>
        </w:rPr>
        <w:t>max</w:t>
      </w:r>
      <w:proofErr w:type="spellEnd"/>
      <w:r>
        <w:t xml:space="preserve"> for </w:t>
      </w:r>
      <w:proofErr w:type="spellStart"/>
      <w:r>
        <w:t>deutetrabenazine</w:t>
      </w:r>
      <w:proofErr w:type="spellEnd"/>
      <w:r>
        <w:t xml:space="preserve"> was lower. This finding has been attributed to the attenuated metabolism due to the deuteration of tetrabenazine.</w:t>
      </w:r>
    </w:p>
    <w:p w14:paraId="2F242E97" w14:textId="77777777" w:rsidR="00081C54" w:rsidRDefault="00081C54" w:rsidP="00855435">
      <w:pPr>
        <w:pStyle w:val="Heading6"/>
      </w:pPr>
      <w:r>
        <w:lastRenderedPageBreak/>
        <w:t>Distribution</w:t>
      </w:r>
    </w:p>
    <w:p w14:paraId="1A1C254F" w14:textId="77777777" w:rsidR="00081C54" w:rsidRDefault="00081C54" w:rsidP="00081C54">
      <w:r>
        <w:t>The median volume of distribution (</w:t>
      </w:r>
      <w:proofErr w:type="spellStart"/>
      <w:r>
        <w:t>Vc</w:t>
      </w:r>
      <w:proofErr w:type="spellEnd"/>
      <w:r>
        <w:t xml:space="preserve">/F) of the α-HTBZ, and the β-HTBZ metabolites of </w:t>
      </w:r>
      <w:proofErr w:type="spellStart"/>
      <w:r>
        <w:t>deutetrabenazine</w:t>
      </w:r>
      <w:proofErr w:type="spellEnd"/>
      <w:r>
        <w:t xml:space="preserve"> are approximately 500 L and 730 L, respectively.</w:t>
      </w:r>
    </w:p>
    <w:p w14:paraId="44D001FE" w14:textId="77777777" w:rsidR="00081C54" w:rsidRDefault="00081C54" w:rsidP="00855435">
      <w:pPr>
        <w:pStyle w:val="Heading6"/>
      </w:pPr>
      <w:r>
        <w:t>Metabolism</w:t>
      </w:r>
    </w:p>
    <w:p w14:paraId="7AE9533F" w14:textId="195C7F3E" w:rsidR="00081C54" w:rsidRDefault="00081C54" w:rsidP="00081C54">
      <w:proofErr w:type="spellStart"/>
      <w:r>
        <w:t>Deutetrabenazine</w:t>
      </w:r>
      <w:proofErr w:type="spellEnd"/>
      <w:r>
        <w:t xml:space="preserve"> is </w:t>
      </w:r>
      <w:r w:rsidR="009F3C7A">
        <w:t xml:space="preserve">metabolised </w:t>
      </w:r>
      <w:r w:rsidR="008E5217">
        <w:t xml:space="preserve">extensively </w:t>
      </w:r>
      <w:r w:rsidR="009F3C7A">
        <w:t xml:space="preserve">by carbonyl reductase to the major </w:t>
      </w:r>
      <w:r w:rsidR="008E5217">
        <w:t xml:space="preserve">active </w:t>
      </w:r>
      <w:r w:rsidR="009F3C7A">
        <w:t>metabolites deuterated α- and β-HTBZ . These major metabolites are then</w:t>
      </w:r>
      <w:r>
        <w:t xml:space="preserve"> metabolised in the liver by CYP2D6</w:t>
      </w:r>
      <w:r w:rsidR="009F3C7A">
        <w:t>.</w:t>
      </w:r>
    </w:p>
    <w:p w14:paraId="642BA041" w14:textId="77777777" w:rsidR="00081C54" w:rsidRDefault="00081C54" w:rsidP="00855435">
      <w:pPr>
        <w:pStyle w:val="Heading6"/>
      </w:pPr>
      <w:r>
        <w:t>Excretion</w:t>
      </w:r>
    </w:p>
    <w:p w14:paraId="78AFCDED" w14:textId="5F13B82C" w:rsidR="00081C54" w:rsidRDefault="00B43193" w:rsidP="00E23F40">
      <w:pPr>
        <w:pStyle w:val="C-BodyText"/>
      </w:pPr>
      <w:proofErr w:type="spellStart"/>
      <w:r>
        <w:rPr>
          <w:rFonts w:asciiTheme="minorHAnsi" w:hAnsiTheme="minorHAnsi" w:cs="Calibri"/>
          <w:sz w:val="22"/>
          <w:szCs w:val="22"/>
        </w:rPr>
        <w:t>Deutetrabenazine</w:t>
      </w:r>
      <w:proofErr w:type="spellEnd"/>
      <w:r w:rsidR="00AD499E" w:rsidRPr="00E23F40">
        <w:rPr>
          <w:rFonts w:asciiTheme="minorHAnsi" w:hAnsiTheme="minorHAnsi" w:cs="Calibri"/>
          <w:sz w:val="22"/>
          <w:szCs w:val="22"/>
        </w:rPr>
        <w:t xml:space="preserve"> is primarily renally eliminated in the form of metabolites</w:t>
      </w:r>
      <w:r w:rsidR="00AD499E" w:rsidRPr="00E23F40" w:rsidDel="00AD499E">
        <w:rPr>
          <w:rFonts w:asciiTheme="minorHAnsi" w:hAnsiTheme="minorHAnsi"/>
          <w:sz w:val="22"/>
          <w:szCs w:val="22"/>
        </w:rPr>
        <w:t xml:space="preserve"> </w:t>
      </w:r>
      <w:r w:rsidR="00081C54" w:rsidRPr="00E23F40">
        <w:rPr>
          <w:rFonts w:asciiTheme="minorHAnsi" w:hAnsiTheme="minorHAnsi"/>
          <w:sz w:val="22"/>
          <w:szCs w:val="22"/>
        </w:rPr>
        <w:t xml:space="preserve">(Study C-12). 75% to 86% of </w:t>
      </w:r>
      <w:r w:rsidR="00AD499E" w:rsidRPr="00E23F40">
        <w:rPr>
          <w:rFonts w:asciiTheme="minorHAnsi" w:hAnsiTheme="minorHAnsi"/>
          <w:sz w:val="22"/>
          <w:szCs w:val="22"/>
        </w:rPr>
        <w:t>a [</w:t>
      </w:r>
      <w:r w:rsidR="00AD499E" w:rsidRPr="00E23F40">
        <w:rPr>
          <w:rFonts w:asciiTheme="minorHAnsi" w:hAnsiTheme="minorHAnsi"/>
          <w:sz w:val="22"/>
          <w:szCs w:val="22"/>
          <w:vertAlign w:val="superscript"/>
        </w:rPr>
        <w:t>14</w:t>
      </w:r>
      <w:r w:rsidR="00AD499E" w:rsidRPr="00E23F40">
        <w:rPr>
          <w:rFonts w:asciiTheme="minorHAnsi" w:hAnsiTheme="minorHAnsi"/>
          <w:sz w:val="22"/>
          <w:szCs w:val="22"/>
        </w:rPr>
        <w:t xml:space="preserve">C]-labelled </w:t>
      </w:r>
      <w:proofErr w:type="spellStart"/>
      <w:r w:rsidR="00081C54">
        <w:t>deutetrabenazine</w:t>
      </w:r>
      <w:proofErr w:type="spellEnd"/>
      <w:r w:rsidR="00081C54">
        <w:t xml:space="preserve"> dose was excreted in the urine.</w:t>
      </w:r>
    </w:p>
    <w:p w14:paraId="0B7C0805" w14:textId="6101292D" w:rsidR="00081C54" w:rsidRDefault="00081C54" w:rsidP="00081C54">
      <w:r>
        <w:t>P</w:t>
      </w:r>
      <w:r w:rsidR="00A26052">
        <w:t>harmacokinetics</w:t>
      </w:r>
      <w:r>
        <w:t xml:space="preserve"> in patients with </w:t>
      </w:r>
      <w:r w:rsidR="00B43193">
        <w:t>tardive dyskinesia</w:t>
      </w:r>
      <w:r>
        <w:t xml:space="preserve"> was assessed in  </w:t>
      </w:r>
      <w:r w:rsidR="00780FEE">
        <w:t>S</w:t>
      </w:r>
      <w:r>
        <w:t xml:space="preserve">tudy </w:t>
      </w:r>
      <w:r w:rsidR="000E40C9">
        <w:t>CP-16-11</w:t>
      </w:r>
      <w:r w:rsidR="008D3F4B">
        <w:t>.</w:t>
      </w:r>
    </w:p>
    <w:p w14:paraId="304C524D" w14:textId="77777777" w:rsidR="00780FEE" w:rsidRDefault="00780FEE" w:rsidP="00780FEE">
      <w:r>
        <w:t>The key findings were:</w:t>
      </w:r>
    </w:p>
    <w:p w14:paraId="7AFE2D6F" w14:textId="28290AB2" w:rsidR="00780FEE" w:rsidRDefault="00A26052" w:rsidP="00780FEE">
      <w:pPr>
        <w:pStyle w:val="ListBullet"/>
      </w:pPr>
      <w:r w:rsidRPr="00A26052">
        <w:t xml:space="preserve">oral clearance </w:t>
      </w:r>
      <w:r>
        <w:t>(</w:t>
      </w:r>
      <w:r w:rsidR="00780FEE">
        <w:t>CL/F</w:t>
      </w:r>
      <w:r>
        <w:t>)</w:t>
      </w:r>
      <w:r w:rsidR="00780FEE">
        <w:t xml:space="preserve"> and </w:t>
      </w:r>
      <w:r w:rsidR="00B140FB">
        <w:t>volume of distribution (</w:t>
      </w:r>
      <w:proofErr w:type="spellStart"/>
      <w:r w:rsidR="00780FEE">
        <w:t>Vc</w:t>
      </w:r>
      <w:proofErr w:type="spellEnd"/>
      <w:r w:rsidR="00780FEE">
        <w:t>/F</w:t>
      </w:r>
      <w:r w:rsidR="00B140FB">
        <w:t>)</w:t>
      </w:r>
      <w:r w:rsidR="00780FEE">
        <w:t xml:space="preserve"> of </w:t>
      </w:r>
      <w:r w:rsidR="00E23F40">
        <w:t xml:space="preserve">deuterated </w:t>
      </w:r>
      <w:r w:rsidR="00780FEE">
        <w:t>α-HTBZ in subjects with a median body weight of 80.4 kg were 11% and 15% higher than typical values in subjects with body weight of 70 kg respectively.</w:t>
      </w:r>
    </w:p>
    <w:p w14:paraId="0421F6E3" w14:textId="3070554D" w:rsidR="00780FEE" w:rsidRDefault="00780FEE" w:rsidP="00780FEE">
      <w:pPr>
        <w:pStyle w:val="ListBullet"/>
      </w:pPr>
      <w:r>
        <w:t xml:space="preserve">CL/F of </w:t>
      </w:r>
      <w:r w:rsidR="00E23F40">
        <w:t xml:space="preserve">deuterated </w:t>
      </w:r>
      <w:r>
        <w:t xml:space="preserve">α-HTBZ decreased in moderate </w:t>
      </w:r>
      <w:r w:rsidRPr="00ED0645">
        <w:t>CYP2D6</w:t>
      </w:r>
      <w:r>
        <w:t xml:space="preserve"> inhibition and impaired CYP2D6 by approximately 16.7% and 36.5%, respectively.</w:t>
      </w:r>
    </w:p>
    <w:p w14:paraId="260903CF" w14:textId="77777777" w:rsidR="00780FEE" w:rsidRDefault="00780FEE" w:rsidP="00855435">
      <w:pPr>
        <w:pStyle w:val="Heading6"/>
      </w:pPr>
      <w:r>
        <w:t>Pharmacokinetics in subjects with impaired hepatic function</w:t>
      </w:r>
    </w:p>
    <w:p w14:paraId="42E3EF85" w14:textId="77777777" w:rsidR="00780FEE" w:rsidRDefault="00780FEE" w:rsidP="00780FEE">
      <w:r>
        <w:t xml:space="preserve">The effect of hepatic impairment on the pharmacokinetics of </w:t>
      </w:r>
      <w:proofErr w:type="spellStart"/>
      <w:r>
        <w:t>deutetrabenazine</w:t>
      </w:r>
      <w:proofErr w:type="spellEnd"/>
      <w:r>
        <w:t xml:space="preserve"> and its primary metabolites has not been studied. In studies with tetrabenazine, the exposure to α-HTBZ and β-HTBZ was up to 40% greater in patients with hepatic impairment, and the mean tetrabenazine </w:t>
      </w:r>
      <w:proofErr w:type="spellStart"/>
      <w:r>
        <w:t>C</w:t>
      </w:r>
      <w:r w:rsidRPr="00780FEE">
        <w:rPr>
          <w:vertAlign w:val="subscript"/>
        </w:rPr>
        <w:t>max</w:t>
      </w:r>
      <w:proofErr w:type="spellEnd"/>
      <w:r>
        <w:t xml:space="preserve"> in patients with hepatic impairment was up to 190 fold higher than in healthy subjects.</w:t>
      </w:r>
    </w:p>
    <w:p w14:paraId="3D689A8E" w14:textId="77777777" w:rsidR="00780FEE" w:rsidRDefault="00780FEE" w:rsidP="00780FEE">
      <w:r>
        <w:t xml:space="preserve">The Delegate noted that </w:t>
      </w:r>
      <w:proofErr w:type="spellStart"/>
      <w:r>
        <w:t>d</w:t>
      </w:r>
      <w:r w:rsidRPr="00780FEE">
        <w:t>eutetrabenazine</w:t>
      </w:r>
      <w:proofErr w:type="spellEnd"/>
      <w:r w:rsidRPr="00780FEE">
        <w:t xml:space="preserve"> is contraindicated in patients with hepatic impairment.</w:t>
      </w:r>
    </w:p>
    <w:p w14:paraId="70FE203C" w14:textId="77777777" w:rsidR="00780FEE" w:rsidRDefault="00780FEE" w:rsidP="00855435">
      <w:pPr>
        <w:pStyle w:val="Heading6"/>
      </w:pPr>
      <w:r>
        <w:t>Effect of age on pharmacokinetics</w:t>
      </w:r>
    </w:p>
    <w:p w14:paraId="60279827" w14:textId="60852D5C" w:rsidR="00780FEE" w:rsidRDefault="00780FEE" w:rsidP="0047792E">
      <w:r>
        <w:t xml:space="preserve">Effect of age on PK of </w:t>
      </w:r>
      <w:proofErr w:type="spellStart"/>
      <w:r>
        <w:t>deutetraben</w:t>
      </w:r>
      <w:r w:rsidR="00BA0108">
        <w:t>a</w:t>
      </w:r>
      <w:r>
        <w:t>zine</w:t>
      </w:r>
      <w:proofErr w:type="spellEnd"/>
      <w:r>
        <w:t xml:space="preserve"> has not been evaluated. Clinical studies with </w:t>
      </w:r>
      <w:proofErr w:type="spellStart"/>
      <w:r>
        <w:t>deut</w:t>
      </w:r>
      <w:r w:rsidR="00E23F40">
        <w:t>e</w:t>
      </w:r>
      <w:r>
        <w:t>trabenazine</w:t>
      </w:r>
      <w:proofErr w:type="spellEnd"/>
      <w:r>
        <w:t xml:space="preserve"> did not include sufficient number of subjects &gt; 65 years of age to study the potential effects in this age group.</w:t>
      </w:r>
    </w:p>
    <w:p w14:paraId="6A0501D5" w14:textId="77777777" w:rsidR="00780FEE" w:rsidRDefault="00780FEE" w:rsidP="00855435">
      <w:pPr>
        <w:pStyle w:val="Heading6"/>
      </w:pPr>
      <w:r>
        <w:t>Effect of CYP2D6 inhibitors on pharmacokinetics</w:t>
      </w:r>
    </w:p>
    <w:p w14:paraId="5D243745" w14:textId="155DAC69" w:rsidR="00780FEE" w:rsidRDefault="00780FEE" w:rsidP="00780FEE">
      <w:r>
        <w:t xml:space="preserve">Strong inhibitors of </w:t>
      </w:r>
      <w:r w:rsidRPr="00ED0645">
        <w:t>CYP2D6</w:t>
      </w:r>
      <w:r>
        <w:t>, such as paroxetine, are known to increase (around 3 times) plasma concentrations of the α-HTBZ and β-HTBZ metabolites of tetrabenazine.</w:t>
      </w:r>
    </w:p>
    <w:p w14:paraId="51694BAD" w14:textId="77777777" w:rsidR="00780FEE" w:rsidRDefault="00780FEE" w:rsidP="00780FEE">
      <w:r>
        <w:t>The Delegate commented that there are adequate information in the PI to reflect all the above PK findings.</w:t>
      </w:r>
    </w:p>
    <w:p w14:paraId="4F88FE1E" w14:textId="77777777" w:rsidR="00780FEE" w:rsidRDefault="00780FEE" w:rsidP="00780FEE">
      <w:pPr>
        <w:pStyle w:val="Heading5"/>
      </w:pPr>
      <w:r>
        <w:t>Population pharmacokinetics data</w:t>
      </w:r>
    </w:p>
    <w:p w14:paraId="5589AFAC" w14:textId="77777777" w:rsidR="00780FEE" w:rsidRDefault="00780FEE" w:rsidP="00780FEE">
      <w:r>
        <w:t>Population pharmacokinetic (</w:t>
      </w:r>
      <w:proofErr w:type="spellStart"/>
      <w:r>
        <w:t>popPK</w:t>
      </w:r>
      <w:proofErr w:type="spellEnd"/>
      <w:r>
        <w:t xml:space="preserve">) modelling supports the comparable exposure of 48 mg of </w:t>
      </w:r>
      <w:proofErr w:type="spellStart"/>
      <w:r>
        <w:t>deutetrabenazine</w:t>
      </w:r>
      <w:proofErr w:type="spellEnd"/>
      <w:r>
        <w:t xml:space="preserve"> to 100 mg of tetrabenazine.</w:t>
      </w:r>
    </w:p>
    <w:p w14:paraId="1E252D1B" w14:textId="77777777" w:rsidR="00780FEE" w:rsidRDefault="00780FEE" w:rsidP="00780FEE">
      <w:pPr>
        <w:pStyle w:val="Heading5"/>
      </w:pPr>
      <w:r>
        <w:t>Pharmacodynamics</w:t>
      </w:r>
    </w:p>
    <w:p w14:paraId="13403390" w14:textId="45AC0432" w:rsidR="00780FEE" w:rsidRDefault="00780FEE">
      <w:r>
        <w:t xml:space="preserve">A linear relationship between exposures of total </w:t>
      </w:r>
      <w:r w:rsidR="00E23F40">
        <w:t xml:space="preserve">deuterated </w:t>
      </w:r>
      <w:r>
        <w:t xml:space="preserve">(α+β)-HTBZ metabolites and change from Baseline to Week 12 in total motor </w:t>
      </w:r>
      <w:r w:rsidR="00B140FB" w:rsidRPr="00516680">
        <w:t>Abnormal Involuntary Movement Scale</w:t>
      </w:r>
      <w:r w:rsidR="00B140FB">
        <w:t xml:space="preserve"> (</w:t>
      </w:r>
      <w:r>
        <w:t>AIMS</w:t>
      </w:r>
      <w:r w:rsidR="00B140FB">
        <w:t>)</w:t>
      </w:r>
      <w:r>
        <w:t xml:space="preserve"> score was reported from the PK/pharmacodynamics (PD) analysis of combined data from </w:t>
      </w:r>
      <w:r w:rsidR="00B140FB">
        <w:t>S</w:t>
      </w:r>
      <w:r>
        <w:t>tudies C-18 and C-23.</w:t>
      </w:r>
    </w:p>
    <w:p w14:paraId="0720495E" w14:textId="47358515" w:rsidR="00B140FB" w:rsidRDefault="00B140FB" w:rsidP="00855435">
      <w:pPr>
        <w:pStyle w:val="Heading4"/>
      </w:pPr>
      <w:r>
        <w:lastRenderedPageBreak/>
        <w:t>Efficacy (indication: chorea associated with Huntington disease)</w:t>
      </w:r>
    </w:p>
    <w:p w14:paraId="6B3F54F6" w14:textId="683AF878" w:rsidR="00B140FB" w:rsidRPr="000B7D5C" w:rsidRDefault="00B140FB" w:rsidP="00855435">
      <w:pPr>
        <w:pStyle w:val="Heading5"/>
      </w:pPr>
      <w:r>
        <w:t>Study C-15</w:t>
      </w:r>
    </w:p>
    <w:p w14:paraId="6A13C6D5" w14:textId="2356FCE2" w:rsidR="00780FEE" w:rsidRDefault="00B140FB" w:rsidP="00780FEE">
      <w:r>
        <w:t xml:space="preserve">Study C-15 was a </w:t>
      </w:r>
      <w:r w:rsidR="00780FEE">
        <w:t>Phase III double</w:t>
      </w:r>
      <w:r w:rsidR="00A72361">
        <w:t xml:space="preserve"> </w:t>
      </w:r>
      <w:r w:rsidR="00780FEE">
        <w:t xml:space="preserve">blind parallel group multicentre </w:t>
      </w:r>
      <w:r w:rsidR="00A72361" w:rsidRPr="00A72361">
        <w:t xml:space="preserve">randomised </w:t>
      </w:r>
      <w:r w:rsidR="00E23F40">
        <w:t>placebo-</w:t>
      </w:r>
      <w:r w:rsidR="00A72361" w:rsidRPr="00A72361">
        <w:t xml:space="preserve">controlled trial </w:t>
      </w:r>
      <w:r w:rsidR="00A72361">
        <w:t>(</w:t>
      </w:r>
      <w:r w:rsidR="00780FEE">
        <w:t>RCT</w:t>
      </w:r>
      <w:r w:rsidR="00A72361">
        <w:t>)</w:t>
      </w:r>
      <w:r w:rsidR="00780FEE">
        <w:t xml:space="preserve"> in patients with Huntington's disease.</w:t>
      </w:r>
      <w:r w:rsidR="00A72361">
        <w:t xml:space="preserve"> </w:t>
      </w:r>
      <w:r w:rsidR="00780FEE">
        <w:t>Randomisation was stratified by prior exposure to tetrabenazine.</w:t>
      </w:r>
      <w:r w:rsidR="00A72361">
        <w:t xml:space="preserve"> </w:t>
      </w:r>
      <w:proofErr w:type="spellStart"/>
      <w:r w:rsidR="00780FEE">
        <w:t>Deutetrabenazine</w:t>
      </w:r>
      <w:proofErr w:type="spellEnd"/>
      <w:r w:rsidR="00780FEE">
        <w:t xml:space="preserve"> was administered twice daily with food.</w:t>
      </w:r>
    </w:p>
    <w:p w14:paraId="13BFBB9D" w14:textId="77777777" w:rsidR="00A72361" w:rsidRPr="00A72361" w:rsidRDefault="00780FEE" w:rsidP="00A72361">
      <w:pPr>
        <w:pStyle w:val="Heading6"/>
      </w:pPr>
      <w:r w:rsidRPr="00A72361">
        <w:rPr>
          <w:rStyle w:val="Heading6Char"/>
          <w:bCs/>
          <w:i/>
        </w:rPr>
        <w:t>Treatment period</w:t>
      </w:r>
    </w:p>
    <w:p w14:paraId="3D8D2E88" w14:textId="60F3FC8A" w:rsidR="00780FEE" w:rsidRDefault="00780FEE" w:rsidP="00780FEE">
      <w:r>
        <w:t>Titration phase (</w:t>
      </w:r>
      <w:r w:rsidR="001428CE">
        <w:t>eight week</w:t>
      </w:r>
      <w:r>
        <w:t>s) and maintenance phase (</w:t>
      </w:r>
      <w:r w:rsidR="001428CE">
        <w:t>four week</w:t>
      </w:r>
      <w:r>
        <w:t xml:space="preserve">s), followed by a </w:t>
      </w:r>
      <w:r w:rsidR="001428CE">
        <w:t>one week</w:t>
      </w:r>
      <w:r>
        <w:t xml:space="preserve"> of washout period. The dose of </w:t>
      </w:r>
      <w:proofErr w:type="spellStart"/>
      <w:r>
        <w:t>deutetrabenazine</w:t>
      </w:r>
      <w:proofErr w:type="spellEnd"/>
      <w:r>
        <w:t xml:space="preserve"> was titrated weekly in the increments of 6</w:t>
      </w:r>
      <w:r w:rsidR="00A72361">
        <w:t> </w:t>
      </w:r>
      <w:r>
        <w:t>mg/day, based on chorea control and tolerability. The maximum dose was 48</w:t>
      </w:r>
      <w:r w:rsidR="00A72361">
        <w:t> </w:t>
      </w:r>
      <w:r>
        <w:t>mg/day that was administered as 24</w:t>
      </w:r>
      <w:r w:rsidR="00A72361">
        <w:t> </w:t>
      </w:r>
      <w:r>
        <w:t>mg twice daily. Subjects on strong CYP2D6 inhibitors received a lower max dose of study drug (36</w:t>
      </w:r>
      <w:r w:rsidR="00A72361">
        <w:t> </w:t>
      </w:r>
      <w:r>
        <w:t>mg/day, 18</w:t>
      </w:r>
      <w:r w:rsidR="00A72361">
        <w:t> </w:t>
      </w:r>
      <w:r>
        <w:t>mg twice daily), compared to others.</w:t>
      </w:r>
    </w:p>
    <w:p w14:paraId="6C3EEF98" w14:textId="77777777" w:rsidR="00780FEE" w:rsidRDefault="00780FEE" w:rsidP="00780FEE">
      <w:r>
        <w:t xml:space="preserve">The median dose level at </w:t>
      </w:r>
      <w:r w:rsidR="00A72361">
        <w:t>W</w:t>
      </w:r>
      <w:r>
        <w:t>eek 9 (after the completion of titration phase) was 42</w:t>
      </w:r>
      <w:r w:rsidR="00A72361">
        <w:t> </w:t>
      </w:r>
      <w:r>
        <w:t>mg.</w:t>
      </w:r>
    </w:p>
    <w:p w14:paraId="457A9267" w14:textId="627FE44A" w:rsidR="00780FEE" w:rsidRDefault="00780FEE" w:rsidP="00A72361">
      <w:pPr>
        <w:pStyle w:val="Heading6"/>
      </w:pPr>
      <w:r>
        <w:t xml:space="preserve">Key inclusion </w:t>
      </w:r>
      <w:r w:rsidR="00B140FB">
        <w:t xml:space="preserve">and exclusion </w:t>
      </w:r>
      <w:r>
        <w:t>criteria</w:t>
      </w:r>
    </w:p>
    <w:p w14:paraId="0A4F60BF" w14:textId="0B2C1806" w:rsidR="00780FEE" w:rsidRDefault="00780FEE" w:rsidP="00780FEE">
      <w:r>
        <w:t xml:space="preserve">Adult patients with a diagnosis of </w:t>
      </w:r>
      <w:r w:rsidR="00B140FB">
        <w:t>Huntington disease</w:t>
      </w:r>
      <w:r>
        <w:t>, defined as having characteristic motor examination features, and a documented expanded CAG repeat (≥</w:t>
      </w:r>
      <w:r w:rsidR="00A72361">
        <w:t> </w:t>
      </w:r>
      <w:r>
        <w:t xml:space="preserve">37) at or before </w:t>
      </w:r>
      <w:r w:rsidR="00A72361">
        <w:t>s</w:t>
      </w:r>
      <w:r>
        <w:t>creening and also having the following features:</w:t>
      </w:r>
    </w:p>
    <w:p w14:paraId="223F455F" w14:textId="34E739E9" w:rsidR="00780FEE" w:rsidRDefault="00D532E7" w:rsidP="00A72361">
      <w:pPr>
        <w:pStyle w:val="ListBullet"/>
      </w:pPr>
      <w:r w:rsidRPr="00855435">
        <w:t>Total maximal chorea</w:t>
      </w:r>
      <w:r w:rsidR="00B140FB">
        <w:t xml:space="preserve"> </w:t>
      </w:r>
      <w:r w:rsidR="00780FEE">
        <w:t>(TMC) score ≥</w:t>
      </w:r>
      <w:r w:rsidR="00A72361">
        <w:t xml:space="preserve"> </w:t>
      </w:r>
      <w:r w:rsidR="00780FEE">
        <w:t>8</w:t>
      </w:r>
    </w:p>
    <w:p w14:paraId="70551A03" w14:textId="77777777" w:rsidR="00780FEE" w:rsidRDefault="00AC6F69" w:rsidP="00A72361">
      <w:pPr>
        <w:pStyle w:val="ListBullet"/>
      </w:pPr>
      <w:r w:rsidRPr="00AC6F69">
        <w:t xml:space="preserve">Unified Huntington Disease Rating Scale </w:t>
      </w:r>
      <w:r>
        <w:t>(</w:t>
      </w:r>
      <w:r w:rsidR="00780FEE">
        <w:t>UHDRS</w:t>
      </w:r>
      <w:r>
        <w:t>)</w:t>
      </w:r>
      <w:r w:rsidR="00780FEE">
        <w:t xml:space="preserve"> Total Functional Capacity (TFC) score ≥</w:t>
      </w:r>
      <w:r w:rsidR="00A72361">
        <w:t xml:space="preserve"> </w:t>
      </w:r>
      <w:r w:rsidR="00780FEE">
        <w:t>5</w:t>
      </w:r>
      <w:r>
        <w:t>;</w:t>
      </w:r>
      <w:r>
        <w:rPr>
          <w:rStyle w:val="FootnoteReference"/>
        </w:rPr>
        <w:footnoteReference w:id="11"/>
      </w:r>
    </w:p>
    <w:p w14:paraId="0BD3D064" w14:textId="77777777" w:rsidR="00780FEE" w:rsidRDefault="00780FEE" w:rsidP="00A72361">
      <w:pPr>
        <w:pStyle w:val="ListBullet"/>
      </w:pPr>
      <w:r>
        <w:t>No serious untreated, undertreated, or unstable medical or psychiatric illness, history of or active suicidal ideation, or score ≥</w:t>
      </w:r>
      <w:r w:rsidR="00A72361">
        <w:t xml:space="preserve"> </w:t>
      </w:r>
      <w:r>
        <w:t xml:space="preserve">11 on </w:t>
      </w:r>
      <w:r w:rsidR="00AC6F69" w:rsidRPr="00AC6F69">
        <w:t xml:space="preserve">Hospital Anxiety and Depression Scale </w:t>
      </w:r>
      <w:r w:rsidR="00AC6F69">
        <w:t>(</w:t>
      </w:r>
      <w:r>
        <w:t>HADS</w:t>
      </w:r>
      <w:r w:rsidR="00AC6F69">
        <w:t>);</w:t>
      </w:r>
      <w:r w:rsidR="00AC6F69">
        <w:rPr>
          <w:rStyle w:val="FootnoteReference"/>
        </w:rPr>
        <w:footnoteReference w:id="12"/>
      </w:r>
    </w:p>
    <w:p w14:paraId="57EE4400" w14:textId="77777777" w:rsidR="00780FEE" w:rsidRDefault="00054E1C" w:rsidP="00A72361">
      <w:pPr>
        <w:pStyle w:val="ListBullet"/>
      </w:pPr>
      <w:r>
        <w:t xml:space="preserve">Swallowing Disturbance Questionnaire </w:t>
      </w:r>
      <w:r w:rsidR="00AC6F69">
        <w:t>(</w:t>
      </w:r>
      <w:r w:rsidR="00780FEE">
        <w:t>SDQ</w:t>
      </w:r>
      <w:r w:rsidR="00AC6F69">
        <w:t>)</w:t>
      </w:r>
      <w:r w:rsidR="00780FEE">
        <w:t xml:space="preserve"> score &lt;</w:t>
      </w:r>
      <w:r w:rsidR="00A72361">
        <w:t xml:space="preserve"> </w:t>
      </w:r>
      <w:r w:rsidR="00780FEE">
        <w:t>11,</w:t>
      </w:r>
      <w:r w:rsidR="003D4C6F">
        <w:rPr>
          <w:rStyle w:val="FootnoteReference"/>
        </w:rPr>
        <w:footnoteReference w:id="13"/>
      </w:r>
      <w:r w:rsidR="00780FEE">
        <w:t xml:space="preserve"> </w:t>
      </w:r>
      <w:r w:rsidR="003D4C6F" w:rsidRPr="003D4C6F">
        <w:t xml:space="preserve">Unified Parkinson's Disease Rating Scale </w:t>
      </w:r>
      <w:r w:rsidR="003D4C6F">
        <w:t>(</w:t>
      </w:r>
      <w:r w:rsidR="00780FEE">
        <w:t>UPDRS</w:t>
      </w:r>
      <w:r w:rsidR="003D4C6F">
        <w:t>)</w:t>
      </w:r>
      <w:r w:rsidR="00780FEE">
        <w:t xml:space="preserve"> dysarthria score &lt;</w:t>
      </w:r>
      <w:r w:rsidR="00A72361">
        <w:t xml:space="preserve"> </w:t>
      </w:r>
      <w:r w:rsidR="00780FEE">
        <w:t>3</w:t>
      </w:r>
      <w:r w:rsidR="003D4C6F">
        <w:t>;</w:t>
      </w:r>
      <w:r w:rsidR="003D4C6F">
        <w:rPr>
          <w:rStyle w:val="FootnoteReference"/>
        </w:rPr>
        <w:footnoteReference w:id="14"/>
      </w:r>
    </w:p>
    <w:p w14:paraId="6AB38C43" w14:textId="77777777" w:rsidR="00780FEE" w:rsidRDefault="00780FEE" w:rsidP="00780FEE">
      <w:r>
        <w:t>Subjects with hepatic impairment and renal impairment were excluded.</w:t>
      </w:r>
    </w:p>
    <w:p w14:paraId="0518E57F" w14:textId="55E0565A" w:rsidR="00780FEE" w:rsidRDefault="00780FEE" w:rsidP="00780FEE">
      <w:r>
        <w:t>Prior use of tetrabenazine was permitted, as long as it was not administered within the previous 6 months.</w:t>
      </w:r>
    </w:p>
    <w:p w14:paraId="1A5DA1A6" w14:textId="4D0427AA" w:rsidR="00BF2D0C" w:rsidRDefault="00BF2D0C" w:rsidP="00855435">
      <w:pPr>
        <w:pStyle w:val="Heading6"/>
      </w:pPr>
      <w:r>
        <w:t>Enrolment and randomisation</w:t>
      </w:r>
    </w:p>
    <w:p w14:paraId="2728F5FB" w14:textId="72327174" w:rsidR="00780FEE" w:rsidRDefault="00780FEE" w:rsidP="00780FEE">
      <w:r>
        <w:t xml:space="preserve">90 subjects were enrolled and randomised in a 1:1 ratio to </w:t>
      </w:r>
      <w:proofErr w:type="spellStart"/>
      <w:r>
        <w:t>deutetrabenazine</w:t>
      </w:r>
      <w:proofErr w:type="spellEnd"/>
      <w:r>
        <w:t xml:space="preserve"> and placebo arms.</w:t>
      </w:r>
    </w:p>
    <w:p w14:paraId="14377471" w14:textId="540AF38D" w:rsidR="00BF2D0C" w:rsidRDefault="00BF2D0C" w:rsidP="00855435">
      <w:pPr>
        <w:pStyle w:val="Heading6"/>
      </w:pPr>
      <w:r>
        <w:t>Study endpoints</w:t>
      </w:r>
    </w:p>
    <w:p w14:paraId="6971648A" w14:textId="118621AF" w:rsidR="00780FEE" w:rsidRDefault="00780FEE" w:rsidP="009F1D9D">
      <w:r>
        <w:t xml:space="preserve">The primary endpoint was change in TMC score from </w:t>
      </w:r>
      <w:r w:rsidR="00B140FB">
        <w:t>B</w:t>
      </w:r>
      <w:r w:rsidR="0047792E">
        <w:t xml:space="preserve">aseline </w:t>
      </w:r>
      <w:r>
        <w:t xml:space="preserve">to </w:t>
      </w:r>
      <w:r w:rsidR="0047792E">
        <w:t xml:space="preserve">maintenance therapy (mean of Week 9 and </w:t>
      </w:r>
      <w:r w:rsidR="00A72361">
        <w:t>W</w:t>
      </w:r>
      <w:r>
        <w:t>eek 12 of treatment period</w:t>
      </w:r>
      <w:r w:rsidR="009F1D9D">
        <w:t>) values</w:t>
      </w:r>
      <w:r>
        <w:t>.</w:t>
      </w:r>
    </w:p>
    <w:p w14:paraId="3E2AF17A" w14:textId="1274DADA" w:rsidR="00A72361" w:rsidRDefault="00A72361" w:rsidP="00A72361">
      <w:r>
        <w:lastRenderedPageBreak/>
        <w:t>Key secondary endpoints included the proportion of subjects who are a treatment success at the end of the therapy, based on the Patient Global Impression of Change (PGI</w:t>
      </w:r>
      <w:r w:rsidR="00B140FB">
        <w:t>-</w:t>
      </w:r>
      <w:r>
        <w:t>C)</w:t>
      </w:r>
      <w:r w:rsidR="003D4C6F">
        <w:t>;</w:t>
      </w:r>
      <w:r w:rsidR="003D4C6F">
        <w:rPr>
          <w:rStyle w:val="FootnoteReference"/>
        </w:rPr>
        <w:footnoteReference w:id="15"/>
      </w:r>
      <w:r>
        <w:t xml:space="preserve"> and Clinical Global Impression of Change (CGI</w:t>
      </w:r>
      <w:r w:rsidR="00B140FB">
        <w:t>-</w:t>
      </w:r>
      <w:r>
        <w:t>C).</w:t>
      </w:r>
    </w:p>
    <w:p w14:paraId="107EAC04" w14:textId="25994A56" w:rsidR="00A72361" w:rsidRDefault="00A72361" w:rsidP="00A72361">
      <w:r>
        <w:t xml:space="preserve">Treatment success was defined as </w:t>
      </w:r>
      <w:r w:rsidR="003D4C6F">
        <w:t>m</w:t>
      </w:r>
      <w:r>
        <w:t xml:space="preserve">uch or </w:t>
      </w:r>
      <w:r w:rsidR="003D4C6F">
        <w:t>v</w:t>
      </w:r>
      <w:r>
        <w:t xml:space="preserve">ery </w:t>
      </w:r>
      <w:r w:rsidR="003D4C6F">
        <w:t>m</w:t>
      </w:r>
      <w:r>
        <w:t xml:space="preserve">uch </w:t>
      </w:r>
      <w:r w:rsidR="003D4C6F">
        <w:t>i</w:t>
      </w:r>
      <w:r>
        <w:t>mproved on the PGI</w:t>
      </w:r>
      <w:r w:rsidR="00B140FB">
        <w:t>-</w:t>
      </w:r>
      <w:r>
        <w:t>C</w:t>
      </w:r>
      <w:r w:rsidR="00936A2C">
        <w:t>/CGI</w:t>
      </w:r>
      <w:r w:rsidR="00B140FB">
        <w:t>-</w:t>
      </w:r>
      <w:r w:rsidR="00936A2C">
        <w:t>C</w:t>
      </w:r>
      <w:r>
        <w:t xml:space="preserve"> at the Week 12 visit</w:t>
      </w:r>
      <w:r w:rsidR="003D4C6F">
        <w:t>.</w:t>
      </w:r>
    </w:p>
    <w:p w14:paraId="6699CEFF" w14:textId="77777777" w:rsidR="00A72361" w:rsidRDefault="00A72361" w:rsidP="00A72361">
      <w:pPr>
        <w:pStyle w:val="Heading6"/>
      </w:pPr>
      <w:r>
        <w:t>Statistical methods</w:t>
      </w:r>
    </w:p>
    <w:p w14:paraId="35A6F9A9" w14:textId="77777777" w:rsidR="00A72361" w:rsidRDefault="00A72361" w:rsidP="00A72361">
      <w:r>
        <w:t xml:space="preserve">A sample size of 80 subjects was calculated to provide 90% power to detect a treatment difference of 2.7 units change in the </w:t>
      </w:r>
      <w:r w:rsidR="003D4C6F">
        <w:t>TMC</w:t>
      </w:r>
      <w:r>
        <w:t xml:space="preserve"> score. Accounting for a dropout rate of approximately 10%, 90 subjects were planned to be enrolled.</w:t>
      </w:r>
    </w:p>
    <w:p w14:paraId="61C486E2" w14:textId="11034B47" w:rsidR="00A72361" w:rsidRDefault="00A72361" w:rsidP="00A72361">
      <w:r>
        <w:t xml:space="preserve">97.8% of subjects in the </w:t>
      </w:r>
      <w:proofErr w:type="spellStart"/>
      <w:r>
        <w:t>deutetraben</w:t>
      </w:r>
      <w:r w:rsidR="00A47E75">
        <w:t>a</w:t>
      </w:r>
      <w:r>
        <w:t>zine</w:t>
      </w:r>
      <w:proofErr w:type="spellEnd"/>
      <w:r>
        <w:t xml:space="preserve"> arm and 95.6% of subjects in placebo arm completed the study.</w:t>
      </w:r>
    </w:p>
    <w:p w14:paraId="4B7778AC" w14:textId="77777777" w:rsidR="00A72361" w:rsidRDefault="00A72361" w:rsidP="00A72361">
      <w:pPr>
        <w:pStyle w:val="Heading6"/>
      </w:pPr>
      <w:r>
        <w:t>Baseline data</w:t>
      </w:r>
    </w:p>
    <w:p w14:paraId="415D3FE4" w14:textId="544A9772" w:rsidR="00A72361" w:rsidRDefault="00A72361" w:rsidP="00A72361">
      <w:r>
        <w:t xml:space="preserve">The mean age was 53.7 years. The mean CAG repeat length among the subject population was 43.9. Around 50% of the subjects were males. Around 95% of subjects were </w:t>
      </w:r>
      <w:r w:rsidR="003D4C6F">
        <w:t>‘</w:t>
      </w:r>
      <w:r>
        <w:t>not poor metabolisers</w:t>
      </w:r>
      <w:r w:rsidR="003D4C6F">
        <w:t>’</w:t>
      </w:r>
      <w:r>
        <w:t xml:space="preserve"> of CYP2D6. </w:t>
      </w:r>
      <w:r w:rsidR="00E23F40">
        <w:t xml:space="preserve">The </w:t>
      </w:r>
      <w:r w:rsidR="003D4C6F">
        <w:t>m</w:t>
      </w:r>
      <w:r>
        <w:t xml:space="preserve">ean </w:t>
      </w:r>
      <w:r w:rsidR="003D4C6F">
        <w:t>standard deviation (</w:t>
      </w:r>
      <w:r>
        <w:t>SD) TMS score was 12.66 (3.17). Around 57% of subjects used anti-depressants at Baseline.</w:t>
      </w:r>
    </w:p>
    <w:p w14:paraId="3168ECC3" w14:textId="23FFE9EC" w:rsidR="00A72361" w:rsidRDefault="00A72361" w:rsidP="00A72361">
      <w:pPr>
        <w:pStyle w:val="Heading6"/>
      </w:pPr>
      <w:r>
        <w:t>Results</w:t>
      </w:r>
      <w:r w:rsidR="00BF2D0C">
        <w:t xml:space="preserve"> (primary endpoint)</w:t>
      </w:r>
    </w:p>
    <w:p w14:paraId="214FD400" w14:textId="61C6E51A" w:rsidR="00A72361" w:rsidRDefault="00A72361" w:rsidP="00A72361">
      <w:r>
        <w:t xml:space="preserve">Treatment with </w:t>
      </w:r>
      <w:proofErr w:type="spellStart"/>
      <w:r>
        <w:t>deutetrabenazine</w:t>
      </w:r>
      <w:proofErr w:type="spellEnd"/>
      <w:r>
        <w:t xml:space="preserve"> resulted in a </w:t>
      </w:r>
      <w:r w:rsidR="003D4C6F">
        <w:t>least square (</w:t>
      </w:r>
      <w:r>
        <w:t>LS</w:t>
      </w:r>
      <w:r w:rsidR="003D4C6F">
        <w:t xml:space="preserve">) </w:t>
      </w:r>
      <w:r>
        <w:t>mean change of -4.4 units in TMC score, compared to -1.9 in placebo arm. The treatment difference (-2.5 points) was statistically significant.</w:t>
      </w:r>
    </w:p>
    <w:p w14:paraId="0E84D1B4" w14:textId="77777777" w:rsidR="00A72361" w:rsidRDefault="00A72361" w:rsidP="00A72361">
      <w:r>
        <w:t>The TMC score returned back to baseline values after the study drug was discontinued at Week 12.</w:t>
      </w:r>
    </w:p>
    <w:p w14:paraId="186DA7BB" w14:textId="77777777" w:rsidR="00A72361" w:rsidRDefault="00A72361" w:rsidP="00A72361">
      <w:r>
        <w:t xml:space="preserve">The Delegate commented that the study was not designed to evaluate a rebound effect on </w:t>
      </w:r>
      <w:r w:rsidR="003D4C6F">
        <w:t>chorea once</w:t>
      </w:r>
      <w:r>
        <w:t xml:space="preserve"> treatment with </w:t>
      </w:r>
      <w:proofErr w:type="spellStart"/>
      <w:r>
        <w:t>deutetrabenazine</w:t>
      </w:r>
      <w:proofErr w:type="spellEnd"/>
      <w:r>
        <w:t xml:space="preserve"> was stopped.</w:t>
      </w:r>
    </w:p>
    <w:p w14:paraId="41C87365" w14:textId="4298A012" w:rsidR="000A03BA" w:rsidRDefault="000B046B" w:rsidP="0078259A">
      <w:pPr>
        <w:pStyle w:val="FigureTitle"/>
      </w:pPr>
      <w:r w:rsidRPr="000B046B">
        <w:t xml:space="preserve">Figure </w:t>
      </w:r>
      <w:r w:rsidR="000C3739">
        <w:fldChar w:fldCharType="begin"/>
      </w:r>
      <w:r w:rsidR="000C3739">
        <w:instrText xml:space="preserve"> SEQ Figure \* ARABIC </w:instrText>
      </w:r>
      <w:r w:rsidR="000C3739">
        <w:fldChar w:fldCharType="separate"/>
      </w:r>
      <w:r w:rsidR="00B15438">
        <w:rPr>
          <w:noProof/>
        </w:rPr>
        <w:t>3</w:t>
      </w:r>
      <w:r w:rsidR="000C3739">
        <w:rPr>
          <w:noProof/>
        </w:rPr>
        <w:fldChar w:fldCharType="end"/>
      </w:r>
      <w:r>
        <w:t xml:space="preserve">: </w:t>
      </w:r>
      <w:r w:rsidR="00971B3C" w:rsidRPr="00971B3C">
        <w:t>Study C-15</w:t>
      </w:r>
      <w:r w:rsidR="00971B3C">
        <w:t xml:space="preserve"> </w:t>
      </w:r>
      <w:r>
        <w:t xml:space="preserve">Primary endpoint </w:t>
      </w:r>
      <w:r w:rsidR="00971B3C">
        <w:t>m</w:t>
      </w:r>
      <w:r>
        <w:t>ean change in total maximal chorea score</w:t>
      </w:r>
    </w:p>
    <w:p w14:paraId="41FFC7F4" w14:textId="166061A0" w:rsidR="000B046B" w:rsidRDefault="000B046B" w:rsidP="000B046B">
      <w:r w:rsidRPr="000B046B">
        <w:rPr>
          <w:noProof/>
          <w:lang w:val="en-GB" w:eastAsia="en-GB"/>
        </w:rPr>
        <w:drawing>
          <wp:inline distT="0" distB="0" distL="0" distR="0" wp14:anchorId="6CED1CFD" wp14:editId="5F7E13B7">
            <wp:extent cx="4591050" cy="3248025"/>
            <wp:effectExtent l="0" t="0" r="0" b="9525"/>
            <wp:docPr id="3" name="Picture 3" descr="Primary endpoint mean change in total maximal chorea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mary endpoint mean change in total maximal chorea sc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3248025"/>
                    </a:xfrm>
                    <a:prstGeom prst="rect">
                      <a:avLst/>
                    </a:prstGeom>
                    <a:noFill/>
                    <a:ln>
                      <a:noFill/>
                    </a:ln>
                  </pic:spPr>
                </pic:pic>
              </a:graphicData>
            </a:graphic>
          </wp:inline>
        </w:drawing>
      </w:r>
    </w:p>
    <w:p w14:paraId="7CC616BF" w14:textId="57DF7E5E" w:rsidR="00BF2D0C" w:rsidRDefault="00BF2D0C" w:rsidP="00855435">
      <w:pPr>
        <w:pStyle w:val="FigureDescription"/>
      </w:pPr>
      <w:r>
        <w:t xml:space="preserve">SD-809 = </w:t>
      </w:r>
      <w:proofErr w:type="spellStart"/>
      <w:r>
        <w:t>deutetrabenazine</w:t>
      </w:r>
      <w:proofErr w:type="spellEnd"/>
      <w:r>
        <w:t xml:space="preserve"> (drug development code)</w:t>
      </w:r>
    </w:p>
    <w:p w14:paraId="00CE48DD" w14:textId="26500EEF" w:rsidR="00BF2D0C" w:rsidRDefault="00BF2D0C" w:rsidP="00855435">
      <w:pPr>
        <w:pStyle w:val="Heading6"/>
      </w:pPr>
      <w:r>
        <w:lastRenderedPageBreak/>
        <w:t>Results (s</w:t>
      </w:r>
      <w:r w:rsidR="000B046B" w:rsidRPr="000B046B">
        <w:t>econdary endpoints</w:t>
      </w:r>
      <w:r>
        <w:t>)</w:t>
      </w:r>
    </w:p>
    <w:p w14:paraId="0CA6A274" w14:textId="68599D4C" w:rsidR="000B046B" w:rsidRDefault="000B046B" w:rsidP="000B046B">
      <w:r w:rsidRPr="000B046B">
        <w:t xml:space="preserve">A higher percentage of subjects in the </w:t>
      </w:r>
      <w:proofErr w:type="spellStart"/>
      <w:r w:rsidRPr="000B046B">
        <w:t>deutetrabenazine</w:t>
      </w:r>
      <w:proofErr w:type="spellEnd"/>
      <w:r w:rsidRPr="000B046B">
        <w:t xml:space="preserve"> arm (around 30%) achieved </w:t>
      </w:r>
      <w:r>
        <w:t>‘</w:t>
      </w:r>
      <w:r w:rsidRPr="000B046B">
        <w:t>treatment success</w:t>
      </w:r>
      <w:r>
        <w:t>’</w:t>
      </w:r>
      <w:r w:rsidRPr="000B046B">
        <w:t xml:space="preserve"> in terms of PGI</w:t>
      </w:r>
      <w:r w:rsidR="00BF2D0C">
        <w:t>-</w:t>
      </w:r>
      <w:r w:rsidRPr="000B046B">
        <w:t>C and CGI</w:t>
      </w:r>
      <w:r w:rsidR="00BF2D0C">
        <w:t>-</w:t>
      </w:r>
      <w:r w:rsidRPr="000B046B">
        <w:t>C scores. The treatment difference was statistically significant.</w:t>
      </w:r>
      <w:r w:rsidR="00E0126C">
        <w:t xml:space="preserve"> Subjects in </w:t>
      </w:r>
      <w:proofErr w:type="spellStart"/>
      <w:r w:rsidR="00E0126C">
        <w:t>deutetrabenazine</w:t>
      </w:r>
      <w:proofErr w:type="spellEnd"/>
      <w:r w:rsidR="00E0126C">
        <w:t xml:space="preserve"> arm achieved an improvement with physical functioning, measured by </w:t>
      </w:r>
      <w:r w:rsidR="003D4C6F" w:rsidRPr="003D4C6F">
        <w:t xml:space="preserve">36-Item Short Form Survey </w:t>
      </w:r>
      <w:r w:rsidR="003D4C6F">
        <w:t>(</w:t>
      </w:r>
      <w:r w:rsidR="00E0126C">
        <w:t>SF-36</w:t>
      </w:r>
      <w:r w:rsidR="003D4C6F">
        <w:t>)</w:t>
      </w:r>
      <w:r w:rsidR="00E0126C">
        <w:t xml:space="preserve"> score and the treatment difference was statistically significant.</w:t>
      </w:r>
    </w:p>
    <w:p w14:paraId="6FB2E234" w14:textId="0904EA16" w:rsidR="00E0126C" w:rsidRDefault="00E0126C" w:rsidP="00E0126C">
      <w:pPr>
        <w:pStyle w:val="TableTitle"/>
      </w:pPr>
      <w:r w:rsidRPr="00E0126C">
        <w:t xml:space="preserve">Table </w:t>
      </w:r>
      <w:r w:rsidR="000C3739">
        <w:fldChar w:fldCharType="begin"/>
      </w:r>
      <w:r w:rsidR="000C3739">
        <w:instrText xml:space="preserve"> SEQ Table \* ARABIC </w:instrText>
      </w:r>
      <w:r w:rsidR="000C3739">
        <w:fldChar w:fldCharType="separate"/>
      </w:r>
      <w:r w:rsidR="00B15438">
        <w:rPr>
          <w:noProof/>
        </w:rPr>
        <w:t>3</w:t>
      </w:r>
      <w:r w:rsidR="000C3739">
        <w:rPr>
          <w:noProof/>
        </w:rPr>
        <w:fldChar w:fldCharType="end"/>
      </w:r>
      <w:r>
        <w:t xml:space="preserve">: </w:t>
      </w:r>
      <w:r w:rsidR="00971B3C" w:rsidRPr="00971B3C">
        <w:t>Study C-15</w:t>
      </w:r>
      <w:r w:rsidR="00971B3C">
        <w:t xml:space="preserve"> </w:t>
      </w:r>
      <w:r>
        <w:t>Efficacy results</w:t>
      </w:r>
    </w:p>
    <w:p w14:paraId="3C9CC938" w14:textId="77777777" w:rsidR="00E0126C" w:rsidRDefault="00E0126C" w:rsidP="00E0126C">
      <w:r w:rsidRPr="00E0126C">
        <w:rPr>
          <w:noProof/>
          <w:lang w:val="en-GB" w:eastAsia="en-GB"/>
        </w:rPr>
        <w:drawing>
          <wp:inline distT="0" distB="0" distL="0" distR="0" wp14:anchorId="02C72C6D" wp14:editId="2DFFF604">
            <wp:extent cx="4743450" cy="3048000"/>
            <wp:effectExtent l="0" t="0" r="0" b="0"/>
            <wp:docPr id="4" name="Picture 4" descr="Study C-15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C-15 Efficacy results"/>
                    <pic:cNvPicPr>
                      <a:picLocks noChangeAspect="1" noChangeArrowheads="1"/>
                    </pic:cNvPicPr>
                  </pic:nvPicPr>
                  <pic:blipFill rotWithShape="1">
                    <a:blip r:embed="rId17">
                      <a:extLst>
                        <a:ext uri="{28A0092B-C50C-407E-A947-70E740481C1C}">
                          <a14:useLocalDpi xmlns:a14="http://schemas.microsoft.com/office/drawing/2010/main" val="0"/>
                        </a:ext>
                      </a:extLst>
                    </a:blip>
                    <a:srcRect b="28090"/>
                    <a:stretch/>
                  </pic:blipFill>
                  <pic:spPr bwMode="auto">
                    <a:xfrm>
                      <a:off x="0" y="0"/>
                      <a:ext cx="474345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65E04B93" w14:textId="77777777" w:rsidR="00E0126C" w:rsidRDefault="00E0126C" w:rsidP="00E0126C">
      <w:pPr>
        <w:pStyle w:val="TableDescription"/>
      </w:pPr>
      <w:r>
        <w:t xml:space="preserve">a Change from </w:t>
      </w:r>
      <w:r w:rsidR="00F57DEA">
        <w:t>B</w:t>
      </w:r>
      <w:r>
        <w:t>aseline to maintenance therapy. Baseline is defined as the mean of values from screening and Day 0. Maintenance therapy was defined as the mean of values from the Week 9 and Week 12 visits.</w:t>
      </w:r>
    </w:p>
    <w:p w14:paraId="68C02542" w14:textId="77777777" w:rsidR="00E0126C" w:rsidRDefault="00E0126C" w:rsidP="00E0126C">
      <w:pPr>
        <w:pStyle w:val="TableDescription"/>
      </w:pPr>
      <w:r>
        <w:t>b Treatment success if defined as ‘much improved’ or ‘very much improved’ at Week 12.</w:t>
      </w:r>
    </w:p>
    <w:p w14:paraId="2E625388" w14:textId="77777777" w:rsidR="00E0126C" w:rsidRDefault="00E0126C" w:rsidP="00E0126C">
      <w:pPr>
        <w:pStyle w:val="TableDescription"/>
      </w:pPr>
      <w:r>
        <w:t>c Change from Baseline to Week 12.</w:t>
      </w:r>
    </w:p>
    <w:p w14:paraId="0D2B5A3B" w14:textId="77777777" w:rsidR="00E0126C" w:rsidRDefault="00E0126C" w:rsidP="00E0126C">
      <w:pPr>
        <w:pStyle w:val="TableDescription"/>
      </w:pPr>
      <w:r>
        <w:t>d Nominal p value, due to hierarchical method of analysis for primary and key secondary endpoints.</w:t>
      </w:r>
    </w:p>
    <w:p w14:paraId="53314A65" w14:textId="77777777" w:rsidR="00E0126C" w:rsidRDefault="00E0126C" w:rsidP="00E0126C">
      <w:pPr>
        <w:pStyle w:val="TableDescription"/>
      </w:pPr>
      <w:r>
        <w:t>CGIC = Clinical Global Impression of Change; ITT = intent to treat; LS = least square; N = number of patients; n = number of patients in the subgroup; PGIC = Patient Global impression of Change; SD = standard deviation; SF-36 = Short Form 36 Health Survey; TMC = Total Maximal Chorea; TMS = Total Motor Score; UHDRS = Unified Huntington’s Disease Rating Scale.</w:t>
      </w:r>
    </w:p>
    <w:p w14:paraId="24FFF10A" w14:textId="77777777" w:rsidR="009D2918" w:rsidRDefault="009D2918" w:rsidP="009D2918">
      <w:pPr>
        <w:pStyle w:val="Heading5"/>
      </w:pPr>
      <w:r>
        <w:t>Study C-16</w:t>
      </w:r>
    </w:p>
    <w:p w14:paraId="09CED923" w14:textId="2DDCEF37" w:rsidR="009D2918" w:rsidRDefault="009D2918" w:rsidP="009D2918">
      <w:r>
        <w:t xml:space="preserve">Study C-16 is a Phase III, open label, single arm, two cohort study. The primary objective of this study was to evaluate the safety and tolerability of titration and maintenance therapy with </w:t>
      </w:r>
      <w:proofErr w:type="spellStart"/>
      <w:r>
        <w:t>deutetrabenazine</w:t>
      </w:r>
      <w:proofErr w:type="spellEnd"/>
      <w:r>
        <w:t xml:space="preserve">. Study participation was planned to continue until </w:t>
      </w:r>
      <w:proofErr w:type="spellStart"/>
      <w:r>
        <w:t>deutetrabenazine</w:t>
      </w:r>
      <w:proofErr w:type="spellEnd"/>
      <w:r>
        <w:t xml:space="preserve"> becomes commercially available in the USA. Data collected </w:t>
      </w:r>
      <w:r w:rsidR="00E23F40">
        <w:t>until 21</w:t>
      </w:r>
      <w:r w:rsidR="00BF2D0C">
        <w:t> </w:t>
      </w:r>
      <w:r w:rsidR="00E23F40">
        <w:t>August 2017</w:t>
      </w:r>
      <w:r>
        <w:t xml:space="preserve"> were provided in the clinical study report.</w:t>
      </w:r>
    </w:p>
    <w:p w14:paraId="037E43FC" w14:textId="017D638E" w:rsidR="00BF2D0C" w:rsidRDefault="00BF2D0C" w:rsidP="00855435">
      <w:pPr>
        <w:pStyle w:val="Heading6"/>
      </w:pPr>
      <w:r>
        <w:t>Key inclusion and exclusion criteria</w:t>
      </w:r>
    </w:p>
    <w:p w14:paraId="5F6CD8A6" w14:textId="77777777" w:rsidR="009D2918" w:rsidRDefault="009D2918" w:rsidP="009D2918">
      <w:r>
        <w:t xml:space="preserve">The key inclusion criteria were identical to </w:t>
      </w:r>
      <w:r w:rsidR="0026689A">
        <w:t>S</w:t>
      </w:r>
      <w:r>
        <w:t>tudy C-15 and additionally, the subjects were required to have met either of the following criteria:</w:t>
      </w:r>
    </w:p>
    <w:p w14:paraId="6DC03656" w14:textId="0FD1E953" w:rsidR="009D2918" w:rsidRDefault="00BF2D0C" w:rsidP="009D2918">
      <w:pPr>
        <w:pStyle w:val="ListBullet"/>
      </w:pPr>
      <w:r>
        <w:t>s</w:t>
      </w:r>
      <w:r w:rsidR="009D2918">
        <w:t>uccessfully completed participation in Study C-15 (rollover cohort)</w:t>
      </w:r>
      <w:r>
        <w:t>;</w:t>
      </w:r>
      <w:r w:rsidR="009D2918">
        <w:t xml:space="preserve"> or</w:t>
      </w:r>
    </w:p>
    <w:p w14:paraId="01F17FE0" w14:textId="02F0CE8D" w:rsidR="009D2918" w:rsidRDefault="00BF2D0C" w:rsidP="009D2918">
      <w:pPr>
        <w:pStyle w:val="ListBullet"/>
      </w:pPr>
      <w:r>
        <w:t>r</w:t>
      </w:r>
      <w:r w:rsidR="009D2918">
        <w:t>eceiving tetrabenazine on a stable dose for ≥ 8 weeks before screening and having a therapeutic benefit for control of chorea (</w:t>
      </w:r>
      <w:r w:rsidR="00054E1C">
        <w:t>s</w:t>
      </w:r>
      <w:r w:rsidR="009D2918">
        <w:t>witch cohort).</w:t>
      </w:r>
    </w:p>
    <w:p w14:paraId="28C366F4" w14:textId="77777777" w:rsidR="009D2918" w:rsidRDefault="009D2918" w:rsidP="009D2918">
      <w:r>
        <w:lastRenderedPageBreak/>
        <w:t>Subjects with active suicidal ideation or history of suicidal thoughts were excluded from the study.</w:t>
      </w:r>
    </w:p>
    <w:p w14:paraId="6B51696B" w14:textId="77777777" w:rsidR="009D2918" w:rsidRDefault="009D2918" w:rsidP="009D2918">
      <w:r>
        <w:t xml:space="preserve">Subjects with a score ≥ 11 on the depression subscale of the HADS, a score of ≥ 11 on the SDQ, or a UPDRS dysarthria score of ≥ 3 at </w:t>
      </w:r>
      <w:r w:rsidR="00054E1C">
        <w:t>s</w:t>
      </w:r>
      <w:r>
        <w:t>creening or Baseline were also excluded.</w:t>
      </w:r>
    </w:p>
    <w:p w14:paraId="2D46295B" w14:textId="77777777" w:rsidR="009D2918" w:rsidRPr="009D2918" w:rsidRDefault="009D2918" w:rsidP="009D2918">
      <w:pPr>
        <w:pStyle w:val="Heading6"/>
      </w:pPr>
      <w:r w:rsidRPr="009D2918">
        <w:t>Study population</w:t>
      </w:r>
    </w:p>
    <w:p w14:paraId="77AD48B8" w14:textId="45DA9DA6" w:rsidR="00F57DEA" w:rsidRDefault="009D2918" w:rsidP="009D2918">
      <w:r>
        <w:t xml:space="preserve">Subjects in the </w:t>
      </w:r>
      <w:r w:rsidR="00054E1C">
        <w:t>r</w:t>
      </w:r>
      <w:r>
        <w:t xml:space="preserve">ollover </w:t>
      </w:r>
      <w:r w:rsidR="00054E1C">
        <w:t>c</w:t>
      </w:r>
      <w:r>
        <w:t xml:space="preserve">ohort completed a one week washout at the conclusion of </w:t>
      </w:r>
      <w:r w:rsidR="00054E1C">
        <w:t>f</w:t>
      </w:r>
      <w:r>
        <w:t>irst-</w:t>
      </w:r>
      <w:r w:rsidR="00BF2D0C">
        <w:t>Huntington disease</w:t>
      </w:r>
      <w:r>
        <w:t xml:space="preserve">, during which mean TMC scores returned to </w:t>
      </w:r>
      <w:r w:rsidR="00BF2D0C">
        <w:t>B</w:t>
      </w:r>
      <w:r>
        <w:t xml:space="preserve">aseline. These subjects were re-titrated with </w:t>
      </w:r>
      <w:proofErr w:type="spellStart"/>
      <w:r>
        <w:t>deutetrabenazine</w:t>
      </w:r>
      <w:proofErr w:type="spellEnd"/>
      <w:r>
        <w:t>, with a starting dose of 6</w:t>
      </w:r>
      <w:r w:rsidR="0026689A">
        <w:t> </w:t>
      </w:r>
      <w:r>
        <w:t>mg/day.</w:t>
      </w:r>
    </w:p>
    <w:p w14:paraId="4DCBB1AE" w14:textId="6EDEC5D7" w:rsidR="009D2918" w:rsidRDefault="009D2918" w:rsidP="009D2918">
      <w:r>
        <w:t xml:space="preserve">The switch cohort consisted of subjects who were on treatment with a stable dose of tetrabenazine and switched overnight from tetrabenazine to </w:t>
      </w:r>
      <w:proofErr w:type="spellStart"/>
      <w:r>
        <w:t>deut</w:t>
      </w:r>
      <w:r w:rsidR="00E23F40">
        <w:t>e</w:t>
      </w:r>
      <w:r>
        <w:t>trabenazine</w:t>
      </w:r>
      <w:proofErr w:type="spellEnd"/>
      <w:r>
        <w:t>. There was no dose adjustment during the first week, unless medically indicated due to a loss of chorea control.</w:t>
      </w:r>
    </w:p>
    <w:p w14:paraId="1A6C3D59" w14:textId="77777777" w:rsidR="009D2918" w:rsidRDefault="009D2918" w:rsidP="009D2918">
      <w:r>
        <w:t xml:space="preserve">Due to the prior treatment differences between </w:t>
      </w:r>
      <w:r w:rsidR="00054E1C">
        <w:t>r</w:t>
      </w:r>
      <w:r>
        <w:t xml:space="preserve">ollover and </w:t>
      </w:r>
      <w:r w:rsidR="00054E1C">
        <w:t>s</w:t>
      </w:r>
      <w:r>
        <w:t>witch subjects, the safety and efficacy data are presented separately for the two cohorts and for the overall safety population.</w:t>
      </w:r>
    </w:p>
    <w:p w14:paraId="457A50B4" w14:textId="37C2AB7F" w:rsidR="009D2918" w:rsidRDefault="009D2918" w:rsidP="00971B3C">
      <w:pPr>
        <w:pStyle w:val="TableTitle"/>
      </w:pPr>
      <w:r w:rsidRPr="009D2918">
        <w:t xml:space="preserve">Table </w:t>
      </w:r>
      <w:r w:rsidR="000C3739">
        <w:fldChar w:fldCharType="begin"/>
      </w:r>
      <w:r w:rsidR="000C3739">
        <w:instrText xml:space="preserve"> SEQ Table \* ARABIC </w:instrText>
      </w:r>
      <w:r w:rsidR="000C3739">
        <w:fldChar w:fldCharType="separate"/>
      </w:r>
      <w:r w:rsidR="00B15438">
        <w:rPr>
          <w:noProof/>
        </w:rPr>
        <w:t>4</w:t>
      </w:r>
      <w:r w:rsidR="000C3739">
        <w:rPr>
          <w:noProof/>
        </w:rPr>
        <w:fldChar w:fldCharType="end"/>
      </w:r>
      <w:r>
        <w:t xml:space="preserve">: </w:t>
      </w:r>
      <w:r w:rsidR="006F272B">
        <w:t>Summary of patient disposition (safety population; N = 119)</w:t>
      </w:r>
    </w:p>
    <w:p w14:paraId="75219F74" w14:textId="7D98DB94" w:rsidR="004F7FB3" w:rsidRDefault="006F272B" w:rsidP="001F5345">
      <w:r w:rsidRPr="006F272B">
        <w:rPr>
          <w:noProof/>
          <w:lang w:val="en-GB" w:eastAsia="en-GB"/>
        </w:rPr>
        <w:drawing>
          <wp:inline distT="0" distB="0" distL="0" distR="0" wp14:anchorId="5BDF9C82" wp14:editId="18E449C8">
            <wp:extent cx="5400040" cy="4580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580890"/>
                    </a:xfrm>
                    <a:prstGeom prst="rect">
                      <a:avLst/>
                    </a:prstGeom>
                  </pic:spPr>
                </pic:pic>
              </a:graphicData>
            </a:graphic>
          </wp:inline>
        </w:drawing>
      </w:r>
    </w:p>
    <w:p w14:paraId="0198CA8B" w14:textId="45DC6CDF" w:rsidR="002911BA" w:rsidRDefault="009D2918" w:rsidP="00855435">
      <w:pPr>
        <w:pStyle w:val="TableTitle"/>
      </w:pPr>
      <w:r w:rsidRPr="002911BA">
        <w:lastRenderedPageBreak/>
        <w:t xml:space="preserve">Table </w:t>
      </w:r>
      <w:r w:rsidR="000C3739">
        <w:fldChar w:fldCharType="begin"/>
      </w:r>
      <w:r w:rsidR="000C3739">
        <w:instrText xml:space="preserve"> SEQ Table \* ARABIC </w:instrText>
      </w:r>
      <w:r w:rsidR="000C3739">
        <w:fldChar w:fldCharType="separate"/>
      </w:r>
      <w:r w:rsidR="00B15438">
        <w:rPr>
          <w:noProof/>
        </w:rPr>
        <w:t>5</w:t>
      </w:r>
      <w:r w:rsidR="000C3739">
        <w:rPr>
          <w:noProof/>
        </w:rPr>
        <w:fldChar w:fldCharType="end"/>
      </w:r>
      <w:r>
        <w:t xml:space="preserve">: </w:t>
      </w:r>
      <w:r w:rsidR="00971B3C">
        <w:t xml:space="preserve">Study C-16 </w:t>
      </w:r>
      <w:r>
        <w:t>S</w:t>
      </w:r>
      <w:r w:rsidR="006F272B">
        <w:t>ummary of patient participant (safety population; N = 119)</w:t>
      </w:r>
    </w:p>
    <w:p w14:paraId="384F201D" w14:textId="37CDC897" w:rsidR="006F272B" w:rsidRDefault="006F272B" w:rsidP="002911BA">
      <w:r w:rsidRPr="006F272B">
        <w:rPr>
          <w:noProof/>
          <w:lang w:val="en-GB" w:eastAsia="en-GB"/>
        </w:rPr>
        <w:drawing>
          <wp:inline distT="0" distB="0" distL="0" distR="0" wp14:anchorId="07E8ADA5" wp14:editId="4693009C">
            <wp:extent cx="5400040" cy="38842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884295"/>
                    </a:xfrm>
                    <a:prstGeom prst="rect">
                      <a:avLst/>
                    </a:prstGeom>
                  </pic:spPr>
                </pic:pic>
              </a:graphicData>
            </a:graphic>
          </wp:inline>
        </w:drawing>
      </w:r>
    </w:p>
    <w:p w14:paraId="6C950BD7" w14:textId="57ED2CD3" w:rsidR="006F272B" w:rsidRDefault="006F272B" w:rsidP="006F272B">
      <w:pPr>
        <w:pStyle w:val="TableDescription"/>
      </w:pPr>
      <w:r>
        <w:t>a Week 1 visit for switch cohort; Week 2 visit for rollover cohort</w:t>
      </w:r>
    </w:p>
    <w:p w14:paraId="31C28FC5" w14:textId="3D49E70B" w:rsidR="006F272B" w:rsidRDefault="006F272B" w:rsidP="00855435">
      <w:pPr>
        <w:pStyle w:val="TableDescription"/>
      </w:pPr>
      <w:r>
        <w:t>Notes: Patient numbers are based on actual visits. Some patients may have had unscheduled visits in lieu of a scheduled visit.</w:t>
      </w:r>
    </w:p>
    <w:p w14:paraId="350D6BCB" w14:textId="4291F926" w:rsidR="00C67651" w:rsidRDefault="00C67651" w:rsidP="002911BA">
      <w:r>
        <w:t xml:space="preserve">The Delegate commented that the high attrition rate should be taken into account, when data from this study is considered to ascertain the overall efficacy and safety of </w:t>
      </w:r>
      <w:proofErr w:type="spellStart"/>
      <w:r>
        <w:t>deutetrabenazine</w:t>
      </w:r>
      <w:proofErr w:type="spellEnd"/>
      <w:r>
        <w:t xml:space="preserve"> for the treatment of chorea in patients with </w:t>
      </w:r>
      <w:r w:rsidR="00BF2D0C">
        <w:t>Huntington disease</w:t>
      </w:r>
      <w:r>
        <w:t>.</w:t>
      </w:r>
      <w:r w:rsidR="00830746">
        <w:rPr>
          <w:rStyle w:val="FootnoteReference"/>
        </w:rPr>
        <w:footnoteReference w:id="16"/>
      </w:r>
      <w:r>
        <w:t xml:space="preserve"> The Delegate has requested clarification from </w:t>
      </w:r>
      <w:r w:rsidR="00BF2D0C">
        <w:t xml:space="preserve">the </w:t>
      </w:r>
      <w:r>
        <w:t xml:space="preserve">sponsor </w:t>
      </w:r>
      <w:r w:rsidR="00BF2D0C">
        <w:t xml:space="preserve">(see section: </w:t>
      </w:r>
      <w:r>
        <w:fldChar w:fldCharType="begin"/>
      </w:r>
      <w:r>
        <w:instrText xml:space="preserve"> REF _Ref82438205 \h </w:instrText>
      </w:r>
      <w:r>
        <w:fldChar w:fldCharType="separate"/>
      </w:r>
      <w:r w:rsidR="00B15438">
        <w:t>Questions for the sponsor</w:t>
      </w:r>
      <w:r>
        <w:fldChar w:fldCharType="end"/>
      </w:r>
      <w:r w:rsidR="00BF2D0C">
        <w:t>)</w:t>
      </w:r>
      <w:r>
        <w:t>.</w:t>
      </w:r>
    </w:p>
    <w:p w14:paraId="318EC925" w14:textId="77777777" w:rsidR="002911BA" w:rsidRDefault="002911BA" w:rsidP="004C59D9">
      <w:pPr>
        <w:pStyle w:val="Heading6"/>
      </w:pPr>
      <w:r>
        <w:t>Study treatments</w:t>
      </w:r>
    </w:p>
    <w:p w14:paraId="4DC75899" w14:textId="77777777" w:rsidR="002911BA" w:rsidRDefault="002911BA" w:rsidP="002911BA">
      <w:proofErr w:type="spellStart"/>
      <w:r>
        <w:t>Deutetrabenazine</w:t>
      </w:r>
      <w:proofErr w:type="spellEnd"/>
      <w:r>
        <w:t xml:space="preserve"> tablets at strengths of 6 mg, 9 mg, and 12 mg were used. Doses of 12</w:t>
      </w:r>
      <w:r w:rsidR="00054E1C">
        <w:t> </w:t>
      </w:r>
      <w:r>
        <w:t>mg and higher were administered in two divided doses.</w:t>
      </w:r>
    </w:p>
    <w:p w14:paraId="739EBC59" w14:textId="77777777" w:rsidR="002911BA" w:rsidRDefault="002911BA" w:rsidP="002911BA">
      <w:r w:rsidRPr="00855435">
        <w:rPr>
          <w:i/>
        </w:rPr>
        <w:t xml:space="preserve">Rollover </w:t>
      </w:r>
      <w:r w:rsidR="004C59D9" w:rsidRPr="00855435">
        <w:rPr>
          <w:i/>
        </w:rPr>
        <w:t>s</w:t>
      </w:r>
      <w:r w:rsidRPr="00855435">
        <w:rPr>
          <w:i/>
        </w:rPr>
        <w:t>ubjects</w:t>
      </w:r>
      <w:r>
        <w:t xml:space="preserve">: The </w:t>
      </w:r>
      <w:proofErr w:type="spellStart"/>
      <w:r>
        <w:t>deutetrabenazine</w:t>
      </w:r>
      <w:proofErr w:type="spellEnd"/>
      <w:r>
        <w:t xml:space="preserve"> dose for these subjects was titrated from a starting dose of 6 mg per day to a dose that controlled chorea and was well tolerated. Dose was titrated to obtain optimal chorea control up to a maximum of 72 mg per day (36</w:t>
      </w:r>
      <w:r w:rsidR="0026689A">
        <w:t> </w:t>
      </w:r>
      <w:r>
        <w:t>mg per day for subjects receiving a strong CYP2D6 inhibitor).</w:t>
      </w:r>
    </w:p>
    <w:p w14:paraId="2BAC8936" w14:textId="0972C4DF" w:rsidR="002911BA" w:rsidRDefault="002911BA" w:rsidP="002911BA">
      <w:r w:rsidRPr="00855435">
        <w:rPr>
          <w:i/>
        </w:rPr>
        <w:t xml:space="preserve">Switch </w:t>
      </w:r>
      <w:r w:rsidR="004C59D9" w:rsidRPr="00855435">
        <w:rPr>
          <w:i/>
        </w:rPr>
        <w:t>s</w:t>
      </w:r>
      <w:r w:rsidRPr="00855435">
        <w:rPr>
          <w:i/>
        </w:rPr>
        <w:t>ubjects</w:t>
      </w:r>
      <w:r>
        <w:t xml:space="preserve">: The initial dosing regimen of </w:t>
      </w:r>
      <w:proofErr w:type="spellStart"/>
      <w:r>
        <w:t>deutetrabenazine</w:t>
      </w:r>
      <w:proofErr w:type="spellEnd"/>
      <w:r>
        <w:t xml:space="preserve"> was around half of the tetrabenazine dose. This dose was predicted to provide comparable exposure to total </w:t>
      </w:r>
      <w:r w:rsidR="0051207D">
        <w:t xml:space="preserve">deuterated </w:t>
      </w:r>
      <w:r>
        <w:t xml:space="preserve">(α+β)-HTBZ relative to the subject’s prior tetrabenazine regimen. It was noted that there was a further increase in the mean </w:t>
      </w:r>
      <w:proofErr w:type="spellStart"/>
      <w:r>
        <w:t>deutetrabenazine</w:t>
      </w:r>
      <w:proofErr w:type="spellEnd"/>
      <w:r>
        <w:t xml:space="preserve"> dose (2</w:t>
      </w:r>
      <w:r w:rsidR="0051207D">
        <w:t>9.7</w:t>
      </w:r>
      <w:r>
        <w:t xml:space="preserve"> to </w:t>
      </w:r>
      <w:r w:rsidR="0051207D">
        <w:t>40.2</w:t>
      </w:r>
      <w:r>
        <w:t>) from Week 4 to Week 28. It was also noted that there are subjects who required the maximum dose of 48 mg/day at Week 1 after switch.</w:t>
      </w:r>
    </w:p>
    <w:p w14:paraId="6CA16044" w14:textId="4B7E2CCC" w:rsidR="002911BA" w:rsidRDefault="002911BA" w:rsidP="00855435">
      <w:pPr>
        <w:pStyle w:val="TableTitle"/>
      </w:pPr>
      <w:r w:rsidRPr="002911BA">
        <w:lastRenderedPageBreak/>
        <w:t xml:space="preserve">Table </w:t>
      </w:r>
      <w:r w:rsidR="000C3739">
        <w:fldChar w:fldCharType="begin"/>
      </w:r>
      <w:r w:rsidR="000C3739">
        <w:instrText xml:space="preserve"> SEQ Table \* ARABIC </w:instrText>
      </w:r>
      <w:r w:rsidR="000C3739">
        <w:fldChar w:fldCharType="separate"/>
      </w:r>
      <w:r w:rsidR="00B15438">
        <w:rPr>
          <w:noProof/>
        </w:rPr>
        <w:t>6</w:t>
      </w:r>
      <w:r w:rsidR="000C3739">
        <w:rPr>
          <w:noProof/>
        </w:rPr>
        <w:fldChar w:fldCharType="end"/>
      </w:r>
      <w:r>
        <w:t xml:space="preserve">: </w:t>
      </w:r>
      <w:r w:rsidR="00971B3C">
        <w:t xml:space="preserve">Study C-16 </w:t>
      </w:r>
      <w:r>
        <w:t xml:space="preserve">Daily dose of </w:t>
      </w:r>
      <w:proofErr w:type="spellStart"/>
      <w:r>
        <w:t>deutetrabenazine</w:t>
      </w:r>
      <w:proofErr w:type="spellEnd"/>
      <w:r>
        <w:t xml:space="preserve"> (switch cohort = 37)</w:t>
      </w:r>
    </w:p>
    <w:p w14:paraId="22EDDACA" w14:textId="38C4FA46" w:rsidR="00C67651" w:rsidRDefault="00C67651" w:rsidP="002911BA">
      <w:r w:rsidRPr="00C67651">
        <w:rPr>
          <w:noProof/>
          <w:lang w:val="en-GB" w:eastAsia="en-GB"/>
        </w:rPr>
        <w:drawing>
          <wp:inline distT="0" distB="0" distL="0" distR="0" wp14:anchorId="77C21B8E" wp14:editId="78E21843">
            <wp:extent cx="5400040" cy="42411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4241165"/>
                    </a:xfrm>
                    <a:prstGeom prst="rect">
                      <a:avLst/>
                    </a:prstGeom>
                  </pic:spPr>
                </pic:pic>
              </a:graphicData>
            </a:graphic>
          </wp:inline>
        </w:drawing>
      </w:r>
    </w:p>
    <w:p w14:paraId="05F6F5A3" w14:textId="77777777" w:rsidR="002911BA" w:rsidRDefault="002911BA" w:rsidP="002911BA">
      <w:pPr>
        <w:pStyle w:val="TableDescription"/>
      </w:pPr>
      <w:r>
        <w:t>Notes: Review of the dosing for individual subjects revealed that no subject has a dose adjustment during the first week of SD-809 therapy.</w:t>
      </w:r>
    </w:p>
    <w:p w14:paraId="45486AB3" w14:textId="568A37B7" w:rsidR="002911BA" w:rsidRDefault="002911BA" w:rsidP="00855435">
      <w:pPr>
        <w:pStyle w:val="TableTitle"/>
      </w:pPr>
      <w:r w:rsidRPr="002911BA">
        <w:t xml:space="preserve">Table </w:t>
      </w:r>
      <w:r w:rsidR="000C3739">
        <w:fldChar w:fldCharType="begin"/>
      </w:r>
      <w:r w:rsidR="000C3739">
        <w:instrText xml:space="preserve"> SEQ Table \* ARABIC </w:instrText>
      </w:r>
      <w:r w:rsidR="000C3739">
        <w:fldChar w:fldCharType="separate"/>
      </w:r>
      <w:r w:rsidR="00B15438">
        <w:rPr>
          <w:noProof/>
        </w:rPr>
        <w:t>7</w:t>
      </w:r>
      <w:r w:rsidR="000C3739">
        <w:rPr>
          <w:noProof/>
        </w:rPr>
        <w:fldChar w:fldCharType="end"/>
      </w:r>
      <w:r>
        <w:t xml:space="preserve">: </w:t>
      </w:r>
      <w:r w:rsidR="00971B3C">
        <w:t xml:space="preserve">Study C-16 </w:t>
      </w:r>
      <w:r w:rsidRPr="002911BA">
        <w:t xml:space="preserve">Daily dose of </w:t>
      </w:r>
      <w:proofErr w:type="spellStart"/>
      <w:r w:rsidRPr="002911BA">
        <w:t>deutetrabenazine</w:t>
      </w:r>
      <w:proofErr w:type="spellEnd"/>
      <w:r w:rsidRPr="002911BA">
        <w:t xml:space="preserve"> (</w:t>
      </w:r>
      <w:r w:rsidR="00971B3C">
        <w:t>r</w:t>
      </w:r>
      <w:r w:rsidRPr="002911BA">
        <w:t>ollover cohort, n</w:t>
      </w:r>
      <w:r w:rsidR="003E77B3">
        <w:t xml:space="preserve"> </w:t>
      </w:r>
      <w:r w:rsidRPr="002911BA">
        <w:t>=</w:t>
      </w:r>
      <w:r w:rsidR="003E77B3">
        <w:t xml:space="preserve"> 82</w:t>
      </w:r>
      <w:r w:rsidRPr="002911BA">
        <w:t>)</w:t>
      </w:r>
    </w:p>
    <w:p w14:paraId="22414629" w14:textId="7A150854" w:rsidR="003E77B3" w:rsidRDefault="003E77B3" w:rsidP="002911BA">
      <w:r w:rsidRPr="003E77B3">
        <w:rPr>
          <w:noProof/>
          <w:lang w:val="en-GB" w:eastAsia="en-GB"/>
        </w:rPr>
        <w:drawing>
          <wp:inline distT="0" distB="0" distL="0" distR="0" wp14:anchorId="55673580" wp14:editId="164A0EF3">
            <wp:extent cx="5400040" cy="37115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711575"/>
                    </a:xfrm>
                    <a:prstGeom prst="rect">
                      <a:avLst/>
                    </a:prstGeom>
                  </pic:spPr>
                </pic:pic>
              </a:graphicData>
            </a:graphic>
          </wp:inline>
        </w:drawing>
      </w:r>
    </w:p>
    <w:p w14:paraId="0632305E" w14:textId="77777777" w:rsidR="002911BA" w:rsidRDefault="002911BA" w:rsidP="004C59D9">
      <w:pPr>
        <w:pStyle w:val="Heading6"/>
      </w:pPr>
      <w:r>
        <w:lastRenderedPageBreak/>
        <w:t>Statistical methods</w:t>
      </w:r>
    </w:p>
    <w:p w14:paraId="4E7649BC" w14:textId="64D18CE2" w:rsidR="002911BA" w:rsidRDefault="002911BA" w:rsidP="00D9468B">
      <w:r>
        <w:t>In line with the open</w:t>
      </w:r>
      <w:r w:rsidR="004C59D9">
        <w:t xml:space="preserve"> </w:t>
      </w:r>
      <w:r>
        <w:t xml:space="preserve">label design of the study, descriptive analyses were performed. However, the sponsor has also stated that paired t test was used to </w:t>
      </w:r>
      <w:r w:rsidR="004C59D9">
        <w:t>‘</w:t>
      </w:r>
      <w:r>
        <w:t>descriptively analyse</w:t>
      </w:r>
      <w:r w:rsidR="004C59D9">
        <w:t>’</w:t>
      </w:r>
      <w:r>
        <w:t xml:space="preserve"> changes from </w:t>
      </w:r>
      <w:r w:rsidR="004C59D9">
        <w:t>B</w:t>
      </w:r>
      <w:r>
        <w:t>aseline and p values were estimated.</w:t>
      </w:r>
    </w:p>
    <w:p w14:paraId="5BF8DC85" w14:textId="77777777" w:rsidR="00855435" w:rsidRDefault="002911BA" w:rsidP="002911BA">
      <w:r>
        <w:t>A pre-specified interim analysis of the safety and open</w:t>
      </w:r>
      <w:r w:rsidR="004C59D9">
        <w:t xml:space="preserve"> </w:t>
      </w:r>
      <w:r>
        <w:t xml:space="preserve">label efficacy data was conducted after the first 12 </w:t>
      </w:r>
      <w:r w:rsidR="00054E1C">
        <w:t>s</w:t>
      </w:r>
      <w:r>
        <w:t xml:space="preserve">witch subjects were enrolled and were treated for </w:t>
      </w:r>
      <w:r w:rsidR="001428CE">
        <w:t>four week</w:t>
      </w:r>
      <w:r>
        <w:t>s. Since no pre-specified confirmatory hypotheses were tested in the study, no statistical adjustments for interim monitoring were applied.</w:t>
      </w:r>
    </w:p>
    <w:p w14:paraId="62BF8B61" w14:textId="7D85E5CC" w:rsidR="00855435" w:rsidRDefault="00646801" w:rsidP="002911BA">
      <w:r>
        <w:t xml:space="preserve">The </w:t>
      </w:r>
      <w:r w:rsidR="002911BA">
        <w:t>Delegate</w:t>
      </w:r>
      <w:r>
        <w:t xml:space="preserve"> commented that t</w:t>
      </w:r>
      <w:r w:rsidR="002911BA">
        <w:t>he sponsor's rationale of using descriptive analysis contradicts the mentioning of p</w:t>
      </w:r>
      <w:r w:rsidR="00BF2D0C">
        <w:t>-</w:t>
      </w:r>
      <w:r w:rsidR="002911BA">
        <w:t xml:space="preserve">values. Moreover, the </w:t>
      </w:r>
      <w:r>
        <w:t>sponsor</w:t>
      </w:r>
      <w:r w:rsidR="002911BA">
        <w:t xml:space="preserve"> has also stated that no pre</w:t>
      </w:r>
      <w:r w:rsidR="00BF2D0C">
        <w:noBreakHyphen/>
      </w:r>
      <w:r w:rsidR="002911BA">
        <w:t>specified confirmatory hypotheses were tested in this study. Hence these p</w:t>
      </w:r>
      <w:r w:rsidR="00BF2D0C">
        <w:noBreakHyphen/>
      </w:r>
      <w:r w:rsidR="002911BA">
        <w:t xml:space="preserve">values have not been taken into consideration. </w:t>
      </w:r>
      <w:r w:rsidR="002911BA" w:rsidRPr="00305843">
        <w:t xml:space="preserve">The sponsor </w:t>
      </w:r>
      <w:r w:rsidR="00661ED6">
        <w:t>was</w:t>
      </w:r>
      <w:r w:rsidR="002911BA" w:rsidRPr="00305843">
        <w:t xml:space="preserve"> requested to clarify</w:t>
      </w:r>
      <w:r w:rsidRPr="00305843">
        <w:t xml:space="preserve"> in section</w:t>
      </w:r>
      <w:r w:rsidR="00BF2D0C">
        <w:t xml:space="preserve">: </w:t>
      </w:r>
      <w:r w:rsidR="00305843" w:rsidRPr="00305843">
        <w:fldChar w:fldCharType="begin"/>
      </w:r>
      <w:r w:rsidR="00305843" w:rsidRPr="00305843">
        <w:instrText xml:space="preserve"> REF _Ref82438205 \h </w:instrText>
      </w:r>
      <w:r w:rsidR="00305843">
        <w:instrText xml:space="preserve"> \* MERGEFORMAT </w:instrText>
      </w:r>
      <w:r w:rsidR="00305843" w:rsidRPr="00305843">
        <w:fldChar w:fldCharType="separate"/>
      </w:r>
      <w:r w:rsidR="00B15438">
        <w:t>Questions for the sponsor</w:t>
      </w:r>
      <w:r w:rsidR="00305843" w:rsidRPr="00305843">
        <w:fldChar w:fldCharType="end"/>
      </w:r>
      <w:r w:rsidR="00BF2D0C">
        <w:t xml:space="preserve"> (see below)</w:t>
      </w:r>
      <w:r w:rsidR="00661ED6">
        <w:t>.</w:t>
      </w:r>
      <w:r w:rsidR="00BF2D0C">
        <w:t xml:space="preserve"> </w:t>
      </w:r>
    </w:p>
    <w:p w14:paraId="7F78B751" w14:textId="2D8F16CC" w:rsidR="002911BA" w:rsidRDefault="002911BA" w:rsidP="002911BA">
      <w:r>
        <w:t>Changes in the UHDRS</w:t>
      </w:r>
      <w:r w:rsidR="00646801">
        <w:t xml:space="preserve"> </w:t>
      </w:r>
      <w:r>
        <w:t xml:space="preserve">TMC score and </w:t>
      </w:r>
      <w:r w:rsidR="00D532E7">
        <w:t>total motor score (</w:t>
      </w:r>
      <w:r>
        <w:t>TMS</w:t>
      </w:r>
      <w:r w:rsidR="00D532E7">
        <w:t>)</w:t>
      </w:r>
      <w:r>
        <w:t xml:space="preserve"> were efficacy endpoints.</w:t>
      </w:r>
    </w:p>
    <w:p w14:paraId="551D9ABB" w14:textId="77777777" w:rsidR="002911BA" w:rsidRDefault="002911BA" w:rsidP="00646801">
      <w:pPr>
        <w:pStyle w:val="Heading6"/>
      </w:pPr>
      <w:r>
        <w:t>Baseline data</w:t>
      </w:r>
    </w:p>
    <w:p w14:paraId="6BC5DEF5" w14:textId="7A7D195F" w:rsidR="002911BA" w:rsidRDefault="002911BA" w:rsidP="002911BA">
      <w:r>
        <w:t xml:space="preserve">The mean age of the subjects </w:t>
      </w:r>
      <w:r w:rsidR="00BE1D31">
        <w:t xml:space="preserve">in the switch cohort </w:t>
      </w:r>
      <w:r>
        <w:t>was 5</w:t>
      </w:r>
      <w:r w:rsidR="000C59C0">
        <w:t>2.4</w:t>
      </w:r>
      <w:r>
        <w:t xml:space="preserve"> years. Prior to entry to the study, patients were to be on a stable dose of tetrabenazine with relative chorea control and the average tetrabenazine dose at study entry was </w:t>
      </w:r>
      <w:r w:rsidR="0051207D">
        <w:t>42.06</w:t>
      </w:r>
      <w:r>
        <w:t xml:space="preserve"> mg/day. At the initial overnight switch, the average </w:t>
      </w:r>
      <w:proofErr w:type="spellStart"/>
      <w:r>
        <w:t>deutetrabenazine</w:t>
      </w:r>
      <w:proofErr w:type="spellEnd"/>
      <w:r>
        <w:t xml:space="preserve"> daily dose was </w:t>
      </w:r>
      <w:r w:rsidR="0051207D">
        <w:t>20.3</w:t>
      </w:r>
      <w:r>
        <w:t xml:space="preserve"> mg. The mean CAG repeat length among the subject population was 44</w:t>
      </w:r>
      <w:r w:rsidR="00BE1D31">
        <w:t>.5</w:t>
      </w:r>
      <w:r>
        <w:t xml:space="preserve">. A total of </w:t>
      </w:r>
      <w:r w:rsidR="00BE1D31">
        <w:t>two</w:t>
      </w:r>
      <w:r>
        <w:t xml:space="preserve"> subjects were CYP2D6 poor metabolisers and </w:t>
      </w:r>
      <w:r w:rsidR="00BE1D31">
        <w:t>35</w:t>
      </w:r>
      <w:r>
        <w:t xml:space="preserve"> subjects were not </w:t>
      </w:r>
      <w:r w:rsidR="00054E1C">
        <w:t>poor metabolisers</w:t>
      </w:r>
      <w:r>
        <w:t>.</w:t>
      </w:r>
    </w:p>
    <w:p w14:paraId="10A7B437" w14:textId="2BA5E232" w:rsidR="00BE1D31" w:rsidRDefault="00BE1D31" w:rsidP="000C59C0">
      <w:r w:rsidRPr="00BE1D31">
        <w:t>The mean age of the subjects in the rollover</w:t>
      </w:r>
      <w:r>
        <w:t xml:space="preserve"> cohort </w:t>
      </w:r>
      <w:r w:rsidRPr="00BE1D31">
        <w:t>was 53.</w:t>
      </w:r>
      <w:r w:rsidR="000C59C0">
        <w:t>7 years</w:t>
      </w:r>
      <w:r w:rsidRPr="00BE1D31">
        <w:t xml:space="preserve">. </w:t>
      </w:r>
      <w:r w:rsidR="000C59C0">
        <w:t xml:space="preserve">These patients initiated treatment with 6 mg </w:t>
      </w:r>
      <w:proofErr w:type="spellStart"/>
      <w:r w:rsidR="000C59C0">
        <w:t>deutetrabenazine</w:t>
      </w:r>
      <w:proofErr w:type="spellEnd"/>
      <w:r w:rsidR="000C59C0">
        <w:t xml:space="preserve"> once daily and subsequently titrated to a mean dose of 38.1 mg at the end of titration (</w:t>
      </w:r>
      <w:r w:rsidR="00BF2D0C">
        <w:t>W</w:t>
      </w:r>
      <w:r w:rsidR="000C59C0">
        <w:t xml:space="preserve">eek 8). At </w:t>
      </w:r>
      <w:r w:rsidR="00BF2D0C">
        <w:t>W</w:t>
      </w:r>
      <w:r w:rsidR="000C59C0">
        <w:t xml:space="preserve">eek 28, the mean dose of study drug was 40.8 mg. </w:t>
      </w:r>
      <w:r w:rsidRPr="00BE1D31">
        <w:t>The mean CAG repeat length among the subject pop</w:t>
      </w:r>
      <w:r w:rsidR="000C59C0">
        <w:t>ulation was 44. A total of five</w:t>
      </w:r>
      <w:r w:rsidRPr="00BE1D31">
        <w:t xml:space="preserve"> subjects were C</w:t>
      </w:r>
      <w:r w:rsidR="000C59C0">
        <w:t>YP2D6 poor metabolisers and 75</w:t>
      </w:r>
      <w:r w:rsidRPr="00BE1D31">
        <w:t xml:space="preserve"> subjects were not poor metabolisers.</w:t>
      </w:r>
    </w:p>
    <w:p w14:paraId="210753D8" w14:textId="23DD01E4" w:rsidR="002911BA" w:rsidRDefault="002911BA" w:rsidP="00646801">
      <w:pPr>
        <w:pStyle w:val="Heading6"/>
      </w:pPr>
      <w:r>
        <w:t>Results</w:t>
      </w:r>
      <w:r w:rsidR="00F02356">
        <w:t xml:space="preserve"> (roll-over cohort)</w:t>
      </w:r>
    </w:p>
    <w:p w14:paraId="31283C3E" w14:textId="26B4E280" w:rsidR="002911BA" w:rsidRDefault="00F02356" w:rsidP="002911BA">
      <w:r w:rsidRPr="00855435">
        <w:rPr>
          <w:i/>
        </w:rPr>
        <w:t>TMC score</w:t>
      </w:r>
      <w:r>
        <w:t xml:space="preserve">: </w:t>
      </w:r>
      <w:r w:rsidR="002911BA">
        <w:t xml:space="preserve">At </w:t>
      </w:r>
      <w:r w:rsidR="00646801">
        <w:t>W</w:t>
      </w:r>
      <w:r w:rsidR="002911BA">
        <w:t xml:space="preserve">eek 28, the mean change from </w:t>
      </w:r>
      <w:r w:rsidR="00646801">
        <w:t>B</w:t>
      </w:r>
      <w:r w:rsidR="002911BA">
        <w:t>aseline in TMC score was -</w:t>
      </w:r>
      <w:r w:rsidR="0051207D">
        <w:t>3.89</w:t>
      </w:r>
      <w:r w:rsidR="002911BA">
        <w:t xml:space="preserve"> (n</w:t>
      </w:r>
      <w:r w:rsidR="00646801">
        <w:t xml:space="preserve"> </w:t>
      </w:r>
      <w:r w:rsidR="002911BA">
        <w:t>=</w:t>
      </w:r>
      <w:r w:rsidR="00646801">
        <w:t xml:space="preserve"> </w:t>
      </w:r>
      <w:r w:rsidR="0051207D">
        <w:t>74</w:t>
      </w:r>
      <w:r w:rsidR="002911BA">
        <w:t>)</w:t>
      </w:r>
      <w:r>
        <w:t>; see Table 8 (below).</w:t>
      </w:r>
    </w:p>
    <w:p w14:paraId="4D6CB9B2" w14:textId="5D1ED558" w:rsidR="00A166A5" w:rsidRDefault="00231F00" w:rsidP="0078259A">
      <w:pPr>
        <w:pStyle w:val="TableTitle"/>
      </w:pPr>
      <w:r w:rsidRPr="00231F00">
        <w:lastRenderedPageBreak/>
        <w:t xml:space="preserve">Table </w:t>
      </w:r>
      <w:r w:rsidR="000C3739">
        <w:fldChar w:fldCharType="begin"/>
      </w:r>
      <w:r w:rsidR="000C3739">
        <w:instrText xml:space="preserve"> SEQ Table \* ARABIC </w:instrText>
      </w:r>
      <w:r w:rsidR="000C3739">
        <w:fldChar w:fldCharType="separate"/>
      </w:r>
      <w:r w:rsidR="00B15438">
        <w:rPr>
          <w:noProof/>
        </w:rPr>
        <w:t>8</w:t>
      </w:r>
      <w:r w:rsidR="000C3739">
        <w:rPr>
          <w:noProof/>
        </w:rPr>
        <w:fldChar w:fldCharType="end"/>
      </w:r>
      <w:r>
        <w:t xml:space="preserve">: </w:t>
      </w:r>
      <w:r w:rsidR="00971B3C">
        <w:t xml:space="preserve">Study C-16 </w:t>
      </w:r>
      <w:r>
        <w:t>Summary of total maximal chorea score</w:t>
      </w:r>
      <w:r w:rsidR="00A166A5" w:rsidRPr="00A166A5">
        <w:rPr>
          <w:noProof/>
          <w:lang w:val="en-GB" w:eastAsia="en-GB"/>
        </w:rPr>
        <w:drawing>
          <wp:inline distT="0" distB="0" distL="0" distR="0" wp14:anchorId="01BC4373" wp14:editId="7017B1D1">
            <wp:extent cx="5400040" cy="4336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336415"/>
                    </a:xfrm>
                    <a:prstGeom prst="rect">
                      <a:avLst/>
                    </a:prstGeom>
                  </pic:spPr>
                </pic:pic>
              </a:graphicData>
            </a:graphic>
          </wp:inline>
        </w:drawing>
      </w:r>
    </w:p>
    <w:p w14:paraId="4C7476C5" w14:textId="77777777" w:rsidR="00A166A5" w:rsidRDefault="00A166A5" w:rsidP="00855435">
      <w:pPr>
        <w:pStyle w:val="TableDescription"/>
      </w:pPr>
      <w:r>
        <w:t>a Change from baseline.</w:t>
      </w:r>
    </w:p>
    <w:p w14:paraId="2AFD4161" w14:textId="77777777" w:rsidR="00A166A5" w:rsidRDefault="00A166A5" w:rsidP="00855435">
      <w:pPr>
        <w:pStyle w:val="TableDescription"/>
      </w:pPr>
      <w:r>
        <w:t>b Confidence interval based on the t-distribution</w:t>
      </w:r>
    </w:p>
    <w:p w14:paraId="3A2B77BC" w14:textId="1F81B61E" w:rsidR="00A166A5" w:rsidRDefault="00A166A5" w:rsidP="00855435">
      <w:pPr>
        <w:pStyle w:val="TableDescription"/>
      </w:pPr>
      <w:r>
        <w:t>CI=confidence interval; SD=standard deviation; TMC=total maximal chorea; UHDRS=Unified Huntington’s Disease Rating Scale.</w:t>
      </w:r>
    </w:p>
    <w:p w14:paraId="2BBCBC08" w14:textId="01831750" w:rsidR="00A166A5" w:rsidRDefault="00A166A5" w:rsidP="00855435">
      <w:pPr>
        <w:pStyle w:val="TableDescription"/>
      </w:pPr>
      <w:r>
        <w:t>Notes: TMC is determined from Item 12 of the UHDRS. Possible scores range from 0 to 28, with higher scores indicating more chorea. TMC scores assessed at scheduled visits were included in the analysis. For Rollover patients, the baseline value is the last available off-treatment (at least 4 days after the last administration of study drug) value prior to administration of SD-809 on day 1.</w:t>
      </w:r>
    </w:p>
    <w:p w14:paraId="11073154" w14:textId="63B04358" w:rsidR="00231F00" w:rsidRDefault="00231F00" w:rsidP="00231F00">
      <w:r w:rsidRPr="00855435">
        <w:rPr>
          <w:i/>
        </w:rPr>
        <w:t>UHDRS total motor score</w:t>
      </w:r>
      <w:r>
        <w:t>: At Week 28, the mean change from Baseline in TMS was -</w:t>
      </w:r>
      <w:r w:rsidR="001E74AA">
        <w:t xml:space="preserve">5.27 </w:t>
      </w:r>
      <w:r>
        <w:t xml:space="preserve">(n = </w:t>
      </w:r>
      <w:r w:rsidR="001E74AA">
        <w:t>82</w:t>
      </w:r>
      <w:r>
        <w:t>)</w:t>
      </w:r>
      <w:r w:rsidR="00F02356">
        <w:t>; see Table 9, below.</w:t>
      </w:r>
    </w:p>
    <w:p w14:paraId="6FC04ED1" w14:textId="3F8E4381" w:rsidR="00231F00" w:rsidRDefault="00231F00" w:rsidP="00855435">
      <w:pPr>
        <w:pStyle w:val="TableTitle"/>
      </w:pPr>
      <w:r w:rsidRPr="00231F00">
        <w:t xml:space="preserve">Table </w:t>
      </w:r>
      <w:r w:rsidR="000C3739">
        <w:fldChar w:fldCharType="begin"/>
      </w:r>
      <w:r w:rsidR="000C3739">
        <w:instrText xml:space="preserve"> SEQ Table \* ARABIC </w:instrText>
      </w:r>
      <w:r w:rsidR="000C3739">
        <w:fldChar w:fldCharType="separate"/>
      </w:r>
      <w:r w:rsidR="00B15438">
        <w:rPr>
          <w:noProof/>
        </w:rPr>
        <w:t>9</w:t>
      </w:r>
      <w:r w:rsidR="000C3739">
        <w:rPr>
          <w:noProof/>
        </w:rPr>
        <w:fldChar w:fldCharType="end"/>
      </w:r>
      <w:r>
        <w:t xml:space="preserve">: </w:t>
      </w:r>
      <w:r w:rsidR="00971B3C">
        <w:t xml:space="preserve">Study C-16 </w:t>
      </w:r>
      <w:r>
        <w:t>Summary of total motor score</w:t>
      </w:r>
    </w:p>
    <w:p w14:paraId="78872CA5" w14:textId="2C89E742" w:rsidR="00A166A5" w:rsidRDefault="00A166A5" w:rsidP="00231F00">
      <w:r w:rsidRPr="00A166A5">
        <w:rPr>
          <w:noProof/>
          <w:lang w:val="en-GB" w:eastAsia="en-GB"/>
        </w:rPr>
        <w:drawing>
          <wp:inline distT="0" distB="0" distL="0" distR="0" wp14:anchorId="61DE2BB1" wp14:editId="4B66C7F3">
            <wp:extent cx="5400040" cy="14852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485265"/>
                    </a:xfrm>
                    <a:prstGeom prst="rect">
                      <a:avLst/>
                    </a:prstGeom>
                  </pic:spPr>
                </pic:pic>
              </a:graphicData>
            </a:graphic>
          </wp:inline>
        </w:drawing>
      </w:r>
    </w:p>
    <w:p w14:paraId="41798CB8" w14:textId="1D5939F8" w:rsidR="00A166A5" w:rsidRDefault="00A166A5" w:rsidP="00231F00">
      <w:r w:rsidRPr="00A166A5">
        <w:rPr>
          <w:noProof/>
          <w:lang w:val="en-GB" w:eastAsia="en-GB"/>
        </w:rPr>
        <w:lastRenderedPageBreak/>
        <w:drawing>
          <wp:inline distT="0" distB="0" distL="0" distR="0" wp14:anchorId="3450A05B" wp14:editId="0BC19AB8">
            <wp:extent cx="5400040"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667000"/>
                    </a:xfrm>
                    <a:prstGeom prst="rect">
                      <a:avLst/>
                    </a:prstGeom>
                  </pic:spPr>
                </pic:pic>
              </a:graphicData>
            </a:graphic>
          </wp:inline>
        </w:drawing>
      </w:r>
    </w:p>
    <w:p w14:paraId="170400B8" w14:textId="77777777" w:rsidR="00A166A5" w:rsidRDefault="00A166A5" w:rsidP="00A166A5">
      <w:pPr>
        <w:pStyle w:val="TableDescription"/>
      </w:pPr>
      <w:r>
        <w:t>a Change from baseline.</w:t>
      </w:r>
    </w:p>
    <w:p w14:paraId="0F9C402E" w14:textId="77777777" w:rsidR="00A166A5" w:rsidRDefault="00A166A5" w:rsidP="00A166A5">
      <w:pPr>
        <w:pStyle w:val="TableDescription"/>
      </w:pPr>
      <w:r>
        <w:t>b Confidence interval based on the t-distribution.</w:t>
      </w:r>
    </w:p>
    <w:p w14:paraId="3839916D" w14:textId="393AEBA9" w:rsidR="00A166A5" w:rsidRDefault="00A166A5" w:rsidP="00A166A5">
      <w:pPr>
        <w:pStyle w:val="TableDescription"/>
      </w:pPr>
      <w:r>
        <w:t>CI=confidence interval; SD=standard deviation; TMS=Total Motor Score; UHDRS=Unified Huntington’s Disease Rating Scale.</w:t>
      </w:r>
    </w:p>
    <w:p w14:paraId="0311B09F" w14:textId="146F27BB" w:rsidR="00A166A5" w:rsidRDefault="00A166A5" w:rsidP="00855435">
      <w:pPr>
        <w:pStyle w:val="TableDescription"/>
      </w:pPr>
      <w:r>
        <w:t>Notes: TMS is determined from the UHDRS. Possible TMS scores range from 0 to 124, with lower scores indicating better motor function. The baseline value is the last available off-treatment (at least 4 days after the last administration of study drug) value prior to administration of SD-809 on day 1. Four patients (Patients 026-3141, 031-3625, 100-3422, and 119-3461) did not have a baseline value within the required time frame and are therefore excluded from this summary</w:t>
      </w:r>
    </w:p>
    <w:p w14:paraId="3F9C8EE1" w14:textId="07B9170D" w:rsidR="00231F00" w:rsidRDefault="00F02356" w:rsidP="00855435">
      <w:pPr>
        <w:pStyle w:val="Heading6"/>
      </w:pPr>
      <w:r>
        <w:t>Results (s</w:t>
      </w:r>
      <w:r w:rsidR="00231F00">
        <w:t>witch cohort</w:t>
      </w:r>
      <w:r>
        <w:t>)</w:t>
      </w:r>
    </w:p>
    <w:p w14:paraId="74221764" w14:textId="6AE7757B" w:rsidR="00231F00" w:rsidRPr="00E67F86" w:rsidRDefault="00231F00" w:rsidP="00E67F86">
      <w:pPr>
        <w:pStyle w:val="Default"/>
        <w:rPr>
          <w:sz w:val="22"/>
          <w:szCs w:val="22"/>
        </w:rPr>
      </w:pPr>
      <w:r>
        <w:t xml:space="preserve">TMC score: There was no major worsening of chorea during the switch from tetrabenazine to </w:t>
      </w:r>
      <w:proofErr w:type="spellStart"/>
      <w:r>
        <w:t>deutetrabenazine</w:t>
      </w:r>
      <w:proofErr w:type="spellEnd"/>
      <w:r>
        <w:t xml:space="preserve">. The mean change from Baseline in TMC at </w:t>
      </w:r>
      <w:r w:rsidR="001428CE">
        <w:t>W</w:t>
      </w:r>
      <w:r>
        <w:t xml:space="preserve">eek 28 was </w:t>
      </w:r>
      <w:r w:rsidR="001E74AA">
        <w:t>-2.29</w:t>
      </w:r>
      <w:r>
        <w:t xml:space="preserve">(n = </w:t>
      </w:r>
      <w:r w:rsidR="001E74AA">
        <w:t>37</w:t>
      </w:r>
      <w:r>
        <w:t xml:space="preserve">) (see </w:t>
      </w:r>
      <w:r>
        <w:fldChar w:fldCharType="begin"/>
      </w:r>
      <w:r>
        <w:instrText xml:space="preserve"> REF _Ref82086182 \h </w:instrText>
      </w:r>
      <w:r>
        <w:fldChar w:fldCharType="separate"/>
      </w:r>
      <w:r w:rsidR="00B15438" w:rsidRPr="00231F00">
        <w:t xml:space="preserve">Table </w:t>
      </w:r>
      <w:r w:rsidR="00B15438">
        <w:rPr>
          <w:noProof/>
        </w:rPr>
        <w:t>10</w:t>
      </w:r>
      <w:r>
        <w:fldChar w:fldCharType="end"/>
      </w:r>
      <w:r>
        <w:t>)</w:t>
      </w:r>
      <w:r w:rsidR="00E67F86">
        <w:t xml:space="preserve">. </w:t>
      </w:r>
      <w:r w:rsidR="00E67F86" w:rsidRPr="00E67F86">
        <w:t xml:space="preserve">At </w:t>
      </w:r>
      <w:r w:rsidR="00E67F86">
        <w:t>W</w:t>
      </w:r>
      <w:r w:rsidR="00E67F86" w:rsidRPr="00E67F86">
        <w:t xml:space="preserve">eek 28, the TMS score appears to have worsened, with a mean change of </w:t>
      </w:r>
      <w:r w:rsidR="001E74AA">
        <w:t>-0.43</w:t>
      </w:r>
      <w:r w:rsidR="00E67F86" w:rsidRPr="00E67F86">
        <w:t xml:space="preserve"> from </w:t>
      </w:r>
      <w:r w:rsidR="00E67F86">
        <w:t>B</w:t>
      </w:r>
      <w:r w:rsidR="00E67F86" w:rsidRPr="00E67F86">
        <w:t>aseline</w:t>
      </w:r>
      <w:r w:rsidR="00E67F86">
        <w:t xml:space="preserve"> (see </w:t>
      </w:r>
      <w:r w:rsidR="00E67F86">
        <w:fldChar w:fldCharType="begin"/>
      </w:r>
      <w:r w:rsidR="00E67F86">
        <w:instrText xml:space="preserve"> REF _Ref82086328 \h </w:instrText>
      </w:r>
      <w:r w:rsidR="00E67F86">
        <w:fldChar w:fldCharType="separate"/>
      </w:r>
      <w:r w:rsidR="00B15438" w:rsidRPr="00E67F86">
        <w:t xml:space="preserve">Table </w:t>
      </w:r>
      <w:r w:rsidR="00B15438">
        <w:rPr>
          <w:noProof/>
        </w:rPr>
        <w:t>11</w:t>
      </w:r>
      <w:r w:rsidR="00E67F86">
        <w:fldChar w:fldCharType="end"/>
      </w:r>
      <w:r w:rsidR="00E67F86">
        <w:t>).</w:t>
      </w:r>
    </w:p>
    <w:p w14:paraId="1BE08BD9" w14:textId="0349E985" w:rsidR="00231F00" w:rsidRDefault="00231F00" w:rsidP="00855435">
      <w:pPr>
        <w:pStyle w:val="TableTitle"/>
      </w:pPr>
      <w:bookmarkStart w:id="42" w:name="_Ref82086182"/>
      <w:r w:rsidRPr="00231F00">
        <w:t xml:space="preserve">Table </w:t>
      </w:r>
      <w:r w:rsidR="000C3739">
        <w:fldChar w:fldCharType="begin"/>
      </w:r>
      <w:r w:rsidR="000C3739">
        <w:instrText xml:space="preserve"> SEQ Table \* ARABIC </w:instrText>
      </w:r>
      <w:r w:rsidR="000C3739">
        <w:fldChar w:fldCharType="separate"/>
      </w:r>
      <w:r w:rsidR="00B15438">
        <w:rPr>
          <w:noProof/>
        </w:rPr>
        <w:t>10</w:t>
      </w:r>
      <w:r w:rsidR="000C3739">
        <w:rPr>
          <w:noProof/>
        </w:rPr>
        <w:fldChar w:fldCharType="end"/>
      </w:r>
      <w:bookmarkEnd w:id="42"/>
      <w:r>
        <w:t xml:space="preserve">: </w:t>
      </w:r>
      <w:r w:rsidR="00971B3C">
        <w:t>Study C-16 t</w:t>
      </w:r>
      <w:r>
        <w:t xml:space="preserve">otal </w:t>
      </w:r>
      <w:r w:rsidR="00971B3C">
        <w:t>m</w:t>
      </w:r>
      <w:r>
        <w:t>aximal chorea score</w:t>
      </w:r>
    </w:p>
    <w:p w14:paraId="375E5E92" w14:textId="25020146" w:rsidR="001E74AA" w:rsidRDefault="001E74AA" w:rsidP="00231F00">
      <w:r w:rsidRPr="001E74AA">
        <w:rPr>
          <w:noProof/>
          <w:lang w:val="en-GB" w:eastAsia="en-GB"/>
        </w:rPr>
        <w:drawing>
          <wp:inline distT="0" distB="0" distL="0" distR="0" wp14:anchorId="3B5B4FA3" wp14:editId="427BDE0A">
            <wp:extent cx="5400040" cy="17659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765935"/>
                    </a:xfrm>
                    <a:prstGeom prst="rect">
                      <a:avLst/>
                    </a:prstGeom>
                  </pic:spPr>
                </pic:pic>
              </a:graphicData>
            </a:graphic>
          </wp:inline>
        </w:drawing>
      </w:r>
    </w:p>
    <w:p w14:paraId="58F79386" w14:textId="2C8FA962" w:rsidR="001E74AA" w:rsidRDefault="001E74AA" w:rsidP="00231F00">
      <w:r w:rsidRPr="001E74AA">
        <w:rPr>
          <w:noProof/>
          <w:lang w:val="en-GB" w:eastAsia="en-GB"/>
        </w:rPr>
        <w:lastRenderedPageBreak/>
        <w:drawing>
          <wp:inline distT="0" distB="0" distL="0" distR="0" wp14:anchorId="222EA9E2" wp14:editId="3093AE3A">
            <wp:extent cx="5400040" cy="2468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468880"/>
                    </a:xfrm>
                    <a:prstGeom prst="rect">
                      <a:avLst/>
                    </a:prstGeom>
                  </pic:spPr>
                </pic:pic>
              </a:graphicData>
            </a:graphic>
          </wp:inline>
        </w:drawing>
      </w:r>
    </w:p>
    <w:p w14:paraId="76BD398E" w14:textId="77777777" w:rsidR="001E74AA" w:rsidRDefault="001E74AA" w:rsidP="001E74AA">
      <w:pPr>
        <w:pStyle w:val="TableDescription"/>
      </w:pPr>
      <w:r>
        <w:t>a Change from baseline.</w:t>
      </w:r>
    </w:p>
    <w:p w14:paraId="5456040E" w14:textId="77777777" w:rsidR="001E74AA" w:rsidRDefault="001E74AA" w:rsidP="001E74AA">
      <w:pPr>
        <w:pStyle w:val="TableDescription"/>
      </w:pPr>
      <w:r>
        <w:t>b Confidence interval based on the t-distribution.</w:t>
      </w:r>
    </w:p>
    <w:p w14:paraId="5E5D48DE" w14:textId="0BB88823" w:rsidR="001E74AA" w:rsidRDefault="001E74AA" w:rsidP="001E74AA">
      <w:pPr>
        <w:pStyle w:val="TableDescription"/>
      </w:pPr>
      <w:r>
        <w:t>CI=confidence interval; SD=standard deviation; TMC=Total Maximal Chorea; UHDRS=Unified Huntington’s Disease Rating Scale.</w:t>
      </w:r>
    </w:p>
    <w:p w14:paraId="702821EF" w14:textId="2DC7C729" w:rsidR="001E74AA" w:rsidRDefault="001E74AA" w:rsidP="00855435">
      <w:pPr>
        <w:pStyle w:val="TableDescription"/>
      </w:pPr>
      <w:r>
        <w:t>Notes: TMC is determined from Item 12 of the UHDRS. Higher scores indicate more chorea. TMC scores assessed at scheduled visits were included in the analysis. Only data from scheduled visits are included for analysis. For the Switch Cohort, the baseline value used for calculating the change from baseline is the mean of the available values from the screening and baseline visits.</w:t>
      </w:r>
    </w:p>
    <w:p w14:paraId="0F7A469C" w14:textId="07D5D825" w:rsidR="00E67F86" w:rsidRDefault="00E67F86" w:rsidP="00855435">
      <w:pPr>
        <w:pStyle w:val="TableTitle"/>
      </w:pPr>
      <w:bookmarkStart w:id="43" w:name="_Ref82086328"/>
      <w:r w:rsidRPr="00E67F86">
        <w:t xml:space="preserve">Table </w:t>
      </w:r>
      <w:r w:rsidR="000C3739">
        <w:fldChar w:fldCharType="begin"/>
      </w:r>
      <w:r w:rsidR="000C3739">
        <w:instrText xml:space="preserve"> SEQ Table \* ARABIC </w:instrText>
      </w:r>
      <w:r w:rsidR="000C3739">
        <w:fldChar w:fldCharType="separate"/>
      </w:r>
      <w:r w:rsidR="00B15438">
        <w:rPr>
          <w:noProof/>
        </w:rPr>
        <w:t>11</w:t>
      </w:r>
      <w:r w:rsidR="000C3739">
        <w:rPr>
          <w:noProof/>
        </w:rPr>
        <w:fldChar w:fldCharType="end"/>
      </w:r>
      <w:bookmarkEnd w:id="43"/>
      <w:r>
        <w:t xml:space="preserve">: </w:t>
      </w:r>
      <w:r w:rsidR="00977AD4">
        <w:t>Study C-16 t</w:t>
      </w:r>
      <w:r>
        <w:t>otal motor score</w:t>
      </w:r>
    </w:p>
    <w:p w14:paraId="429C3648" w14:textId="65C6108D" w:rsidR="001E74AA" w:rsidRDefault="001E74AA" w:rsidP="00E67F86">
      <w:r w:rsidRPr="001E74AA">
        <w:rPr>
          <w:noProof/>
          <w:lang w:val="en-GB" w:eastAsia="en-GB"/>
        </w:rPr>
        <w:drawing>
          <wp:inline distT="0" distB="0" distL="0" distR="0" wp14:anchorId="156604CA" wp14:editId="38A9D10F">
            <wp:extent cx="5400040" cy="15582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558290"/>
                    </a:xfrm>
                    <a:prstGeom prst="rect">
                      <a:avLst/>
                    </a:prstGeom>
                  </pic:spPr>
                </pic:pic>
              </a:graphicData>
            </a:graphic>
          </wp:inline>
        </w:drawing>
      </w:r>
    </w:p>
    <w:p w14:paraId="7A75E4D5" w14:textId="619A2263" w:rsidR="001E74AA" w:rsidRDefault="001E74AA" w:rsidP="00E67F86">
      <w:r w:rsidRPr="001E74AA">
        <w:rPr>
          <w:noProof/>
          <w:lang w:val="en-GB" w:eastAsia="en-GB"/>
        </w:rPr>
        <w:drawing>
          <wp:inline distT="0" distB="0" distL="0" distR="0" wp14:anchorId="08CB4F49" wp14:editId="2EE9FCF5">
            <wp:extent cx="5400040" cy="27000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700020"/>
                    </a:xfrm>
                    <a:prstGeom prst="rect">
                      <a:avLst/>
                    </a:prstGeom>
                  </pic:spPr>
                </pic:pic>
              </a:graphicData>
            </a:graphic>
          </wp:inline>
        </w:drawing>
      </w:r>
    </w:p>
    <w:p w14:paraId="2F3754B7" w14:textId="77777777" w:rsidR="001E74AA" w:rsidRDefault="001E74AA" w:rsidP="00855435">
      <w:pPr>
        <w:pStyle w:val="TableDescription"/>
      </w:pPr>
      <w:r>
        <w:rPr>
          <w:sz w:val="14"/>
          <w:szCs w:val="14"/>
        </w:rPr>
        <w:t xml:space="preserve">a </w:t>
      </w:r>
      <w:r>
        <w:t>Change from baseline.</w:t>
      </w:r>
    </w:p>
    <w:p w14:paraId="78B9C320" w14:textId="77777777" w:rsidR="001E74AA" w:rsidRDefault="001E74AA" w:rsidP="00855435">
      <w:pPr>
        <w:pStyle w:val="TableDescription"/>
      </w:pPr>
      <w:r>
        <w:rPr>
          <w:sz w:val="14"/>
          <w:szCs w:val="14"/>
        </w:rPr>
        <w:lastRenderedPageBreak/>
        <w:t xml:space="preserve">b </w:t>
      </w:r>
      <w:r>
        <w:t>Confidence interval based on the t-distribution.</w:t>
      </w:r>
    </w:p>
    <w:p w14:paraId="7CD93BE6" w14:textId="5D14A123" w:rsidR="001E74AA" w:rsidRDefault="001E74AA" w:rsidP="00855435">
      <w:pPr>
        <w:pStyle w:val="TableDescription"/>
      </w:pPr>
      <w:r>
        <w:t>CI=confidence interval; SD=standard deviation; TMS=Total Motor Score; UHDRS=Unified Huntington</w:t>
      </w:r>
      <w:r>
        <w:rPr>
          <w:rFonts w:hint="eastAsia"/>
        </w:rPr>
        <w:t>’</w:t>
      </w:r>
      <w:r>
        <w:t>s Disease Rating Scale.</w:t>
      </w:r>
    </w:p>
    <w:p w14:paraId="71261291" w14:textId="7B8EB054" w:rsidR="001E74AA" w:rsidRDefault="001E74AA" w:rsidP="00855435">
      <w:pPr>
        <w:pStyle w:val="TableDescription"/>
      </w:pPr>
      <w:r>
        <w:t>Notes: TMS is determined from the UHDRS. Possible TMS scores range from 0 to 124, with lower scores indicating better motor function. For the Switch Cohort, the baseline value used for calculating the change from baseline is the mean of the available values from the screening and baseline visits.</w:t>
      </w:r>
    </w:p>
    <w:p w14:paraId="60F375A2" w14:textId="25C49D1E" w:rsidR="00E67F86" w:rsidRDefault="00E67F86" w:rsidP="008F2F6C">
      <w:r>
        <w:t xml:space="preserve">Pooled and meta analyses: efficacy data from </w:t>
      </w:r>
      <w:r w:rsidR="0026689A">
        <w:t>S</w:t>
      </w:r>
      <w:r>
        <w:t xml:space="preserve">tudies C-15 </w:t>
      </w:r>
      <w:r w:rsidR="00E20BB5">
        <w:t xml:space="preserve">(double-blind; active treatment group) </w:t>
      </w:r>
      <w:r>
        <w:t>and C16 (</w:t>
      </w:r>
      <w:r w:rsidR="00E20BB5">
        <w:t xml:space="preserve">open-label; </w:t>
      </w:r>
      <w:r>
        <w:t>roll over cohort</w:t>
      </w:r>
      <w:r w:rsidR="00E20BB5">
        <w:t xml:space="preserve"> that received placebo in the parent study</w:t>
      </w:r>
      <w:r>
        <w:t xml:space="preserve">) were included in the pooled analyses. Overall, in the integrated analysis, the mean change of TMC score from Baseline </w:t>
      </w:r>
      <w:r w:rsidR="00E20BB5">
        <w:t xml:space="preserve">to Week 12/15 </w:t>
      </w:r>
      <w:r>
        <w:t>was</w:t>
      </w:r>
      <w:r w:rsidR="00E20BB5">
        <w:t xml:space="preserve"> -</w:t>
      </w:r>
      <w:r w:rsidR="008F2F6C">
        <w:t>4</w:t>
      </w:r>
      <w:r w:rsidR="00E20BB5">
        <w:t>.</w:t>
      </w:r>
      <w:r w:rsidR="008F2F6C">
        <w:t>28</w:t>
      </w:r>
      <w:r w:rsidR="00E20BB5">
        <w:t xml:space="preserve"> (SD </w:t>
      </w:r>
      <w:r w:rsidR="008F2F6C">
        <w:t>3</w:t>
      </w:r>
      <w:r w:rsidR="00E20BB5">
        <w:t>.6</w:t>
      </w:r>
      <w:r w:rsidR="008F2F6C">
        <w:t>9</w:t>
      </w:r>
      <w:r w:rsidR="00E20BB5">
        <w:t>3)</w:t>
      </w:r>
      <w:r>
        <w:t xml:space="preserve"> (</w:t>
      </w:r>
      <w:r w:rsidR="00054E1C">
        <w:t>n</w:t>
      </w:r>
      <w:r>
        <w:t xml:space="preserve"> = 83).</w:t>
      </w:r>
    </w:p>
    <w:p w14:paraId="4FDFC110" w14:textId="5136B992" w:rsidR="003D6201" w:rsidRDefault="00E67F86" w:rsidP="00CE506E">
      <w:pPr>
        <w:rPr>
          <w:rFonts w:eastAsia="Times New Roman"/>
          <w:b/>
          <w:bCs/>
          <w:i/>
          <w:color w:val="001523"/>
          <w:szCs w:val="21"/>
        </w:rPr>
      </w:pPr>
      <w:r>
        <w:t xml:space="preserve">Across studies, around </w:t>
      </w:r>
      <w:r w:rsidR="00CE506E">
        <w:t xml:space="preserve">4.60 </w:t>
      </w:r>
      <w:r>
        <w:t>unit reduction in TMC score was reported over the titration period (</w:t>
      </w:r>
      <w:r w:rsidR="001428CE">
        <w:t>eight week</w:t>
      </w:r>
      <w:r>
        <w:t>s) and appeared to be subsequently maintained during treatment period.</w:t>
      </w:r>
    </w:p>
    <w:p w14:paraId="3BE62A11" w14:textId="71C38FE3" w:rsidR="003D6201" w:rsidRPr="003D6201" w:rsidRDefault="00F02356" w:rsidP="00855435">
      <w:pPr>
        <w:pStyle w:val="Heading4"/>
      </w:pPr>
      <w:r>
        <w:t>Efficacy (indication: t</w:t>
      </w:r>
      <w:r w:rsidR="003D6201" w:rsidRPr="003D6201">
        <w:t xml:space="preserve">ardive </w:t>
      </w:r>
      <w:r>
        <w:t>d</w:t>
      </w:r>
      <w:r w:rsidR="003D6201" w:rsidRPr="003D6201">
        <w:t>yskinesia</w:t>
      </w:r>
      <w:r>
        <w:t>)</w:t>
      </w:r>
    </w:p>
    <w:p w14:paraId="2486B6F9" w14:textId="77777777" w:rsidR="00E67F86" w:rsidRDefault="00360458" w:rsidP="00360458">
      <w:pPr>
        <w:pStyle w:val="Heading5"/>
      </w:pPr>
      <w:r>
        <w:t>Study C-18</w:t>
      </w:r>
    </w:p>
    <w:p w14:paraId="5F2624A1" w14:textId="23E6C089" w:rsidR="00360458" w:rsidRDefault="00F02356" w:rsidP="00360458">
      <w:r>
        <w:t>This was a d</w:t>
      </w:r>
      <w:r w:rsidR="00360458">
        <w:t>ouble blind, flexible dose, parallel group</w:t>
      </w:r>
      <w:r w:rsidR="009F22ED">
        <w:t xml:space="preserve">, </w:t>
      </w:r>
      <w:r w:rsidR="009F22ED" w:rsidRPr="009F22ED">
        <w:t>placebo-controlled</w:t>
      </w:r>
      <w:r w:rsidR="00360458">
        <w:t xml:space="preserve"> </w:t>
      </w:r>
      <w:r>
        <w:t xml:space="preserve">randomised control trial </w:t>
      </w:r>
      <w:r w:rsidR="00360458">
        <w:t xml:space="preserve">in adult patients with moderate to severe </w:t>
      </w:r>
      <w:r>
        <w:t>tardive dyskinesia</w:t>
      </w:r>
      <w:r w:rsidR="00360458">
        <w:t xml:space="preserve">. Randomisation was stratified by baseline use of dopamine receptor antagonists (DRAs). The study included a screening period of up to </w:t>
      </w:r>
      <w:r w:rsidR="001428CE">
        <w:t>four week</w:t>
      </w:r>
      <w:r w:rsidR="00360458">
        <w:t xml:space="preserve">s, a </w:t>
      </w:r>
      <w:r w:rsidR="001428CE">
        <w:t>six weeks</w:t>
      </w:r>
      <w:r w:rsidR="00360458">
        <w:t xml:space="preserve"> titration period, a </w:t>
      </w:r>
      <w:r w:rsidR="001428CE">
        <w:t>six weeks</w:t>
      </w:r>
      <w:r w:rsidR="00360458">
        <w:t xml:space="preserve"> maintenance period, and a </w:t>
      </w:r>
      <w:r w:rsidR="001428CE">
        <w:t>one</w:t>
      </w:r>
      <w:r w:rsidR="00360458">
        <w:t xml:space="preserve"> week washout period.</w:t>
      </w:r>
    </w:p>
    <w:p w14:paraId="55581AD7" w14:textId="77777777" w:rsidR="00360458" w:rsidRDefault="00360458" w:rsidP="00360458">
      <w:pPr>
        <w:pStyle w:val="Heading6"/>
      </w:pPr>
      <w:r>
        <w:t>Key inclusion criteria</w:t>
      </w:r>
    </w:p>
    <w:p w14:paraId="300A8897" w14:textId="667502F6" w:rsidR="00360458" w:rsidRDefault="00360458" w:rsidP="00360458">
      <w:pPr>
        <w:pStyle w:val="ListBullet"/>
      </w:pPr>
      <w:r>
        <w:t xml:space="preserve">Clinical diagnosis of </w:t>
      </w:r>
      <w:r w:rsidR="00F02356">
        <w:t xml:space="preserve">tardive dyskinesia </w:t>
      </w:r>
      <w:r>
        <w:t xml:space="preserve">and symptoms for at least </w:t>
      </w:r>
      <w:r w:rsidR="00977AD4">
        <w:t>three</w:t>
      </w:r>
      <w:r>
        <w:t xml:space="preserve"> months prior to screening.</w:t>
      </w:r>
    </w:p>
    <w:p w14:paraId="1F26E492" w14:textId="77777777" w:rsidR="00360458" w:rsidRDefault="00360458" w:rsidP="00360458">
      <w:pPr>
        <w:pStyle w:val="ListBullet"/>
      </w:pPr>
      <w:r>
        <w:t xml:space="preserve">History of using a DRA for at least </w:t>
      </w:r>
      <w:r w:rsidR="00977AD4">
        <w:t>three</w:t>
      </w:r>
      <w:r>
        <w:t xml:space="preserve"> months (or </w:t>
      </w:r>
      <w:r w:rsidR="001428CE">
        <w:t>one</w:t>
      </w:r>
      <w:r>
        <w:t xml:space="preserve"> month in patients 60 years of age and older).</w:t>
      </w:r>
    </w:p>
    <w:p w14:paraId="321B751B" w14:textId="77777777" w:rsidR="00360458" w:rsidRDefault="00360458" w:rsidP="00360458">
      <w:pPr>
        <w:pStyle w:val="ListBullet"/>
      </w:pPr>
      <w:r>
        <w:t>The following findings at the screening:</w:t>
      </w:r>
    </w:p>
    <w:p w14:paraId="62684BE5" w14:textId="77777777" w:rsidR="00360458" w:rsidRDefault="00360458" w:rsidP="00360458">
      <w:pPr>
        <w:pStyle w:val="ListBullet2"/>
      </w:pPr>
      <w:r>
        <w:t xml:space="preserve">Moderate or severe abnormal movements based on Item 8 of the </w:t>
      </w:r>
      <w:r w:rsidR="00054E1C" w:rsidRPr="00054E1C">
        <w:t xml:space="preserve">Abnormal Involuntary Movement Scale </w:t>
      </w:r>
      <w:r w:rsidR="00054E1C">
        <w:t>(</w:t>
      </w:r>
      <w:r>
        <w:t>AIMS</w:t>
      </w:r>
      <w:r w:rsidR="00054E1C">
        <w:t>)</w:t>
      </w:r>
      <w:r>
        <w:t xml:space="preserve"> </w:t>
      </w:r>
      <w:r w:rsidR="00054E1C">
        <w:t>and;</w:t>
      </w:r>
      <w:r w:rsidR="00054E1C">
        <w:rPr>
          <w:rStyle w:val="FootnoteReference"/>
        </w:rPr>
        <w:footnoteReference w:id="17"/>
      </w:r>
    </w:p>
    <w:p w14:paraId="56348E25" w14:textId="2547E69C" w:rsidR="00360458" w:rsidRDefault="00360458" w:rsidP="00360458">
      <w:pPr>
        <w:pStyle w:val="ListBullet2"/>
      </w:pPr>
      <w:r>
        <w:t>A total motor AIMS score of ≥ 6</w:t>
      </w:r>
      <w:r w:rsidR="00F02356">
        <w:t>.</w:t>
      </w:r>
    </w:p>
    <w:p w14:paraId="5266C5E3" w14:textId="6618D1B8" w:rsidR="00F02356" w:rsidRPr="000B7D5C" w:rsidRDefault="00F02356" w:rsidP="00855435">
      <w:pPr>
        <w:pStyle w:val="Heading6"/>
      </w:pPr>
      <w:r>
        <w:t>Study treatments</w:t>
      </w:r>
    </w:p>
    <w:p w14:paraId="393E083E" w14:textId="3280EF14" w:rsidR="00360458" w:rsidRDefault="00360458" w:rsidP="00360458">
      <w:pPr>
        <w:pStyle w:val="ListBullet2"/>
        <w:numPr>
          <w:ilvl w:val="0"/>
          <w:numId w:val="0"/>
        </w:numPr>
      </w:pPr>
      <w:proofErr w:type="spellStart"/>
      <w:r w:rsidRPr="00360458">
        <w:t>Deutetrabenazine</w:t>
      </w:r>
      <w:proofErr w:type="spellEnd"/>
      <w:r w:rsidRPr="00360458">
        <w:t xml:space="preserve"> was administered with food twice daily. The starting dose was 12</w:t>
      </w:r>
      <w:r>
        <w:t> </w:t>
      </w:r>
      <w:r w:rsidRPr="00360458">
        <w:t>mg/day (6 mg twice daily). The dose was titrated once weekly, based on treatment response. The maximum total daily dose was 48 mg/day (24 mg twice daily), unless the patient was on a strong CYP2D6 inhibitor (</w:t>
      </w:r>
      <w:r>
        <w:t>for example</w:t>
      </w:r>
      <w:r w:rsidR="00F02356">
        <w:t>:</w:t>
      </w:r>
      <w:r>
        <w:t xml:space="preserve"> </w:t>
      </w:r>
      <w:r w:rsidRPr="00360458">
        <w:t xml:space="preserve">paroxetine, fluoxetine, bupropion), in which case the maximum daily dose was 36 mg/day. Of note, the </w:t>
      </w:r>
      <w:r w:rsidR="0051207D">
        <w:t>mean</w:t>
      </w:r>
      <w:r w:rsidRPr="00360458">
        <w:t xml:space="preserve"> total daily dose was around 38</w:t>
      </w:r>
      <w:r w:rsidR="00054E1C">
        <w:t xml:space="preserve"> </w:t>
      </w:r>
      <w:r w:rsidRPr="00360458">
        <w:t>mg.</w:t>
      </w:r>
    </w:p>
    <w:p w14:paraId="1BCF1475" w14:textId="77777777" w:rsidR="00360458" w:rsidRDefault="00360458" w:rsidP="00360458">
      <w:pPr>
        <w:pStyle w:val="Heading6"/>
      </w:pPr>
      <w:r>
        <w:t>Baseline data</w:t>
      </w:r>
    </w:p>
    <w:p w14:paraId="72508F7D" w14:textId="287EDD39" w:rsidR="00360458" w:rsidRDefault="00360458" w:rsidP="00360458">
      <w:r>
        <w:t xml:space="preserve">Mean age was around 55 years. Around 52% of subjects were females. Mean </w:t>
      </w:r>
      <w:r w:rsidR="009F22ED">
        <w:t xml:space="preserve">total motor </w:t>
      </w:r>
      <w:r>
        <w:t>AIMS score was 9.6. 80.5% of subjects were on a DRA. 15% of subjects were on a strong CYP2D6 inhibitor.</w:t>
      </w:r>
    </w:p>
    <w:p w14:paraId="179D9716" w14:textId="07BD2611" w:rsidR="00360458" w:rsidRDefault="00360458" w:rsidP="00360458">
      <w:pPr>
        <w:pStyle w:val="Heading6"/>
      </w:pPr>
      <w:r>
        <w:lastRenderedPageBreak/>
        <w:t>Results</w:t>
      </w:r>
      <w:r w:rsidR="00F02356">
        <w:t xml:space="preserve"> (primary endpoint)</w:t>
      </w:r>
    </w:p>
    <w:p w14:paraId="13B9F765" w14:textId="32956C5E" w:rsidR="00360458" w:rsidRDefault="00360458" w:rsidP="00360458">
      <w:r>
        <w:t xml:space="preserve">At Week 12, patients receiving </w:t>
      </w:r>
      <w:proofErr w:type="spellStart"/>
      <w:r>
        <w:t>deutetrabenazine</w:t>
      </w:r>
      <w:proofErr w:type="spellEnd"/>
      <w:r>
        <w:t xml:space="preserve"> achieved a 3 unit mean reduction in total motor AIMS score compared to a 1.6 unit mean reduction in placebo. The treatment difference was 1.4 units (p = 0.0188) (see </w:t>
      </w:r>
      <w:r>
        <w:fldChar w:fldCharType="begin"/>
      </w:r>
      <w:r>
        <w:instrText xml:space="preserve"> REF _Ref82087437 \h </w:instrText>
      </w:r>
      <w:r>
        <w:fldChar w:fldCharType="separate"/>
      </w:r>
      <w:r w:rsidR="00B15438" w:rsidRPr="00360458">
        <w:t xml:space="preserve">Table </w:t>
      </w:r>
      <w:r w:rsidR="00B15438">
        <w:rPr>
          <w:noProof/>
        </w:rPr>
        <w:t>12</w:t>
      </w:r>
      <w:r>
        <w:fldChar w:fldCharType="end"/>
      </w:r>
      <w:r>
        <w:t>)</w:t>
      </w:r>
    </w:p>
    <w:p w14:paraId="60548D58" w14:textId="226C9669" w:rsidR="00360458" w:rsidRPr="00360458" w:rsidRDefault="00360458" w:rsidP="00360458">
      <w:pPr>
        <w:pStyle w:val="TableTitle"/>
      </w:pPr>
      <w:bookmarkStart w:id="44" w:name="_Ref82087437"/>
      <w:r w:rsidRPr="00360458">
        <w:t xml:space="preserve">Table </w:t>
      </w:r>
      <w:r w:rsidR="000C3739">
        <w:fldChar w:fldCharType="begin"/>
      </w:r>
      <w:r w:rsidR="000C3739">
        <w:instrText xml:space="preserve"> SEQ Table \* ARABIC </w:instrText>
      </w:r>
      <w:r w:rsidR="000C3739">
        <w:fldChar w:fldCharType="separate"/>
      </w:r>
      <w:r w:rsidR="00B15438">
        <w:rPr>
          <w:noProof/>
        </w:rPr>
        <w:t>12</w:t>
      </w:r>
      <w:r w:rsidR="000C3739">
        <w:rPr>
          <w:noProof/>
        </w:rPr>
        <w:fldChar w:fldCharType="end"/>
      </w:r>
      <w:bookmarkEnd w:id="44"/>
      <w:r w:rsidRPr="00360458">
        <w:t xml:space="preserve">: </w:t>
      </w:r>
      <w:r w:rsidR="003E2626" w:rsidRPr="003E2626">
        <w:t>Study C-18</w:t>
      </w:r>
      <w:r w:rsidR="003E2626">
        <w:t xml:space="preserve"> </w:t>
      </w:r>
      <w:r w:rsidRPr="00360458">
        <w:t xml:space="preserve">Mean change in </w:t>
      </w:r>
      <w:r w:rsidR="009F2232">
        <w:t>a</w:t>
      </w:r>
      <w:r w:rsidR="009F2232" w:rsidRPr="00516680">
        <w:t xml:space="preserve">bnormal </w:t>
      </w:r>
      <w:r w:rsidR="009F2232">
        <w:t>i</w:t>
      </w:r>
      <w:r w:rsidR="009F2232" w:rsidRPr="00516680">
        <w:t xml:space="preserve">nvoluntary </w:t>
      </w:r>
      <w:r w:rsidR="009F2232">
        <w:t>m</w:t>
      </w:r>
      <w:r w:rsidR="009F2232" w:rsidRPr="00516680">
        <w:t xml:space="preserve">ovement </w:t>
      </w:r>
      <w:r w:rsidR="009F2232">
        <w:t>s</w:t>
      </w:r>
      <w:r w:rsidR="009F2232" w:rsidRPr="00516680">
        <w:t>cale</w:t>
      </w:r>
      <w:r w:rsidRPr="00360458">
        <w:t xml:space="preserve"> score</w:t>
      </w:r>
    </w:p>
    <w:p w14:paraId="26BF56E4" w14:textId="34ABB643" w:rsidR="00360458" w:rsidRDefault="00360458" w:rsidP="00360458">
      <w:r w:rsidRPr="00360458">
        <w:rPr>
          <w:noProof/>
          <w:lang w:val="en-GB" w:eastAsia="en-GB"/>
        </w:rPr>
        <w:drawing>
          <wp:inline distT="0" distB="0" distL="0" distR="0" wp14:anchorId="478A593B" wp14:editId="218E0BBF">
            <wp:extent cx="5224007" cy="1562100"/>
            <wp:effectExtent l="0" t="0" r="0" b="0"/>
            <wp:docPr id="14" name="Picture 14" descr="Study C-18 Mean change in abnormal involuntary movement scal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C-18 Mean change in abnormal involuntary movement scale score"/>
                    <pic:cNvPicPr>
                      <a:picLocks noChangeAspect="1" noChangeArrowheads="1"/>
                    </pic:cNvPicPr>
                  </pic:nvPicPr>
                  <pic:blipFill rotWithShape="1">
                    <a:blip r:embed="rId29">
                      <a:extLst>
                        <a:ext uri="{28A0092B-C50C-407E-A947-70E740481C1C}">
                          <a14:useLocalDpi xmlns:a14="http://schemas.microsoft.com/office/drawing/2010/main" val="0"/>
                        </a:ext>
                      </a:extLst>
                    </a:blip>
                    <a:srcRect l="589" t="1959" r="865"/>
                    <a:stretch/>
                  </pic:blipFill>
                  <pic:spPr bwMode="auto">
                    <a:xfrm>
                      <a:off x="0" y="0"/>
                      <a:ext cx="5245387" cy="1568493"/>
                    </a:xfrm>
                    <a:prstGeom prst="rect">
                      <a:avLst/>
                    </a:prstGeom>
                    <a:noFill/>
                    <a:ln>
                      <a:noFill/>
                    </a:ln>
                    <a:extLst>
                      <a:ext uri="{53640926-AAD7-44D8-BBD7-CCE9431645EC}">
                        <a14:shadowObscured xmlns:a14="http://schemas.microsoft.com/office/drawing/2010/main"/>
                      </a:ext>
                    </a:extLst>
                  </pic:spPr>
                </pic:pic>
              </a:graphicData>
            </a:graphic>
          </wp:inline>
        </w:drawing>
      </w:r>
    </w:p>
    <w:p w14:paraId="3A7BF4C4" w14:textId="399F66EC" w:rsidR="00F02356" w:rsidRDefault="00F02356" w:rsidP="00855435">
      <w:pPr>
        <w:pStyle w:val="Heading6"/>
      </w:pPr>
      <w:r>
        <w:t>Results (secondary endpoints)</w:t>
      </w:r>
    </w:p>
    <w:p w14:paraId="15752E37" w14:textId="100D4DD9" w:rsidR="00360458" w:rsidRDefault="00360458" w:rsidP="00360458">
      <w:r>
        <w:t>Secondary endpoints includes the PGI</w:t>
      </w:r>
      <w:r w:rsidR="00F02356">
        <w:t>-</w:t>
      </w:r>
      <w:r>
        <w:t>C and the CGI</w:t>
      </w:r>
      <w:r w:rsidR="00F02356">
        <w:t>-</w:t>
      </w:r>
      <w:r>
        <w:t>C. Secondary endpoints were considered successful if the response was ‘much’ or ‘very much’ improved.</w:t>
      </w:r>
    </w:p>
    <w:p w14:paraId="351492BB" w14:textId="329CB4ED" w:rsidR="00F02356" w:rsidRDefault="00360458" w:rsidP="00360458">
      <w:r>
        <w:t>For CGI</w:t>
      </w:r>
      <w:r w:rsidR="00F02356">
        <w:t>-</w:t>
      </w:r>
      <w:r>
        <w:t xml:space="preserve">C, a higher proportion of patients in the </w:t>
      </w:r>
      <w:proofErr w:type="spellStart"/>
      <w:r>
        <w:t>de</w:t>
      </w:r>
      <w:r w:rsidR="0051207D">
        <w:t>u</w:t>
      </w:r>
      <w:r>
        <w:t>tetrabenazine</w:t>
      </w:r>
      <w:proofErr w:type="spellEnd"/>
      <w:r>
        <w:t xml:space="preserve"> group than the placebo group achieved treatment success (48.2% versus 40.4%, respectively). The treatment difference did not reach statistical significance (p = 0.4001) (see </w:t>
      </w:r>
      <w:r>
        <w:fldChar w:fldCharType="begin"/>
      </w:r>
      <w:r>
        <w:instrText xml:space="preserve"> REF _Ref82087717 \h </w:instrText>
      </w:r>
      <w:r>
        <w:fldChar w:fldCharType="separate"/>
      </w:r>
      <w:r w:rsidR="00B15438" w:rsidRPr="00360458">
        <w:t xml:space="preserve">Table </w:t>
      </w:r>
      <w:r w:rsidR="00B15438">
        <w:rPr>
          <w:noProof/>
        </w:rPr>
        <w:t>13</w:t>
      </w:r>
      <w:r>
        <w:fldChar w:fldCharType="end"/>
      </w:r>
      <w:r>
        <w:t>)</w:t>
      </w:r>
      <w:r w:rsidR="00F02356">
        <w:t>.</w:t>
      </w:r>
    </w:p>
    <w:p w14:paraId="3C9C37FC" w14:textId="0521BDB2" w:rsidR="00360458" w:rsidRDefault="00360458" w:rsidP="00360458">
      <w:r>
        <w:t>Since the first key secondary endpoint was not statistically significant, subsequent hypotheses were considered exploratory and all the other presented p</w:t>
      </w:r>
      <w:r w:rsidR="00F02356">
        <w:t>-</w:t>
      </w:r>
      <w:r>
        <w:t>values are nominal.</w:t>
      </w:r>
    </w:p>
    <w:p w14:paraId="501C9996" w14:textId="39C7D302" w:rsidR="00360458" w:rsidRDefault="00360458" w:rsidP="00360458">
      <w:pPr>
        <w:pStyle w:val="TableTitle"/>
      </w:pPr>
      <w:bookmarkStart w:id="45" w:name="_Ref82087717"/>
      <w:r w:rsidRPr="00360458">
        <w:t xml:space="preserve">Table </w:t>
      </w:r>
      <w:r w:rsidR="000C3739">
        <w:fldChar w:fldCharType="begin"/>
      </w:r>
      <w:r w:rsidR="000C3739">
        <w:instrText xml:space="preserve"> SEQ Table \* ARABIC </w:instrText>
      </w:r>
      <w:r w:rsidR="000C3739">
        <w:fldChar w:fldCharType="separate"/>
      </w:r>
      <w:r w:rsidR="00B15438">
        <w:rPr>
          <w:noProof/>
        </w:rPr>
        <w:t>13</w:t>
      </w:r>
      <w:r w:rsidR="000C3739">
        <w:rPr>
          <w:noProof/>
        </w:rPr>
        <w:fldChar w:fldCharType="end"/>
      </w:r>
      <w:bookmarkEnd w:id="45"/>
      <w:r>
        <w:t xml:space="preserve">: </w:t>
      </w:r>
      <w:r w:rsidR="003E2626" w:rsidRPr="003E2626">
        <w:t>Study C-18</w:t>
      </w:r>
      <w:r w:rsidR="003E2626">
        <w:t xml:space="preserve"> </w:t>
      </w:r>
      <w:r w:rsidRPr="00360458">
        <w:t>Proportion of subjects with treatment success as per Clinical Global Impression of Change</w:t>
      </w:r>
    </w:p>
    <w:p w14:paraId="743CDD91" w14:textId="77777777" w:rsidR="00360458" w:rsidRDefault="00360458" w:rsidP="00360458">
      <w:r w:rsidRPr="00360458">
        <w:rPr>
          <w:noProof/>
          <w:lang w:val="en-GB" w:eastAsia="en-GB"/>
        </w:rPr>
        <w:drawing>
          <wp:inline distT="0" distB="0" distL="0" distR="0" wp14:anchorId="616553A9" wp14:editId="074759DB">
            <wp:extent cx="5356860" cy="890546"/>
            <wp:effectExtent l="0" t="0" r="0" b="5080"/>
            <wp:docPr id="15" name="Picture 15" descr="Study C-18 Proportion of subjects with treatment success as per Clinical Global Impression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C-18 Proportion of subjects with treatment success as per Clinical Global Impression of Change"/>
                    <pic:cNvPicPr>
                      <a:picLocks noChangeAspect="1" noChangeArrowheads="1"/>
                    </pic:cNvPicPr>
                  </pic:nvPicPr>
                  <pic:blipFill rotWithShape="1">
                    <a:blip r:embed="rId30">
                      <a:extLst>
                        <a:ext uri="{28A0092B-C50C-407E-A947-70E740481C1C}">
                          <a14:useLocalDpi xmlns:a14="http://schemas.microsoft.com/office/drawing/2010/main" val="0"/>
                        </a:ext>
                      </a:extLst>
                    </a:blip>
                    <a:srcRect l="737" t="3335" b="3235"/>
                    <a:stretch/>
                  </pic:blipFill>
                  <pic:spPr bwMode="auto">
                    <a:xfrm>
                      <a:off x="0" y="0"/>
                      <a:ext cx="5360258" cy="891111"/>
                    </a:xfrm>
                    <a:prstGeom prst="rect">
                      <a:avLst/>
                    </a:prstGeom>
                    <a:noFill/>
                    <a:ln>
                      <a:noFill/>
                    </a:ln>
                    <a:extLst>
                      <a:ext uri="{53640926-AAD7-44D8-BBD7-CCE9431645EC}">
                        <a14:shadowObscured xmlns:a14="http://schemas.microsoft.com/office/drawing/2010/main"/>
                      </a:ext>
                    </a:extLst>
                  </pic:spPr>
                </pic:pic>
              </a:graphicData>
            </a:graphic>
          </wp:inline>
        </w:drawing>
      </w:r>
    </w:p>
    <w:p w14:paraId="5E0CE7DA" w14:textId="2028CE61" w:rsidR="00360458" w:rsidRDefault="00360458" w:rsidP="00360458">
      <w:r>
        <w:t>For PGI</w:t>
      </w:r>
      <w:r w:rsidR="00F02356">
        <w:t>-</w:t>
      </w:r>
      <w:r>
        <w:t>C, a higher proportion of patients in the Study TEV-50717 group than the placebo group achieved treatment success (42.9% versus 29.8%, respectively; difference in proportions of 13%, p = 0.1497).</w:t>
      </w:r>
    </w:p>
    <w:p w14:paraId="302790DB" w14:textId="5F99784F" w:rsidR="00360458" w:rsidRDefault="00360458" w:rsidP="00360458">
      <w:pPr>
        <w:pStyle w:val="TableTitle"/>
      </w:pPr>
      <w:r w:rsidRPr="00360458">
        <w:t xml:space="preserve">Table </w:t>
      </w:r>
      <w:r w:rsidR="000C3739">
        <w:fldChar w:fldCharType="begin"/>
      </w:r>
      <w:r w:rsidR="000C3739">
        <w:instrText xml:space="preserve"> SEQ Table \* ARABIC </w:instrText>
      </w:r>
      <w:r w:rsidR="000C3739">
        <w:fldChar w:fldCharType="separate"/>
      </w:r>
      <w:r w:rsidR="00B15438">
        <w:rPr>
          <w:noProof/>
        </w:rPr>
        <w:t>14</w:t>
      </w:r>
      <w:r w:rsidR="000C3739">
        <w:rPr>
          <w:noProof/>
        </w:rPr>
        <w:fldChar w:fldCharType="end"/>
      </w:r>
      <w:r>
        <w:t xml:space="preserve">: </w:t>
      </w:r>
      <w:r w:rsidR="003E2626" w:rsidRPr="003E2626">
        <w:t>Study C-18</w:t>
      </w:r>
      <w:r w:rsidR="003E2626">
        <w:t xml:space="preserve"> </w:t>
      </w:r>
      <w:r w:rsidRPr="00360458">
        <w:t xml:space="preserve">Proportion of subjects with treatment success as per </w:t>
      </w:r>
      <w:r>
        <w:t>Patient Global Impression of Change</w:t>
      </w:r>
    </w:p>
    <w:p w14:paraId="78ECE24B" w14:textId="77777777" w:rsidR="00360458" w:rsidRDefault="00360458" w:rsidP="00360458">
      <w:r w:rsidRPr="00360458">
        <w:rPr>
          <w:noProof/>
          <w:lang w:val="en-GB" w:eastAsia="en-GB"/>
        </w:rPr>
        <w:drawing>
          <wp:inline distT="0" distB="0" distL="0" distR="0" wp14:anchorId="574EE9C5" wp14:editId="096B01C9">
            <wp:extent cx="5367020" cy="903531"/>
            <wp:effectExtent l="0" t="0" r="5080" b="0"/>
            <wp:docPr id="16" name="Picture 16" descr="Study C-18 Proportion of subjects with treatment success as per Patient Global Impression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C-18 Proportion of subjects with treatment success as per Patient Global Impression of Change"/>
                    <pic:cNvPicPr>
                      <a:picLocks noChangeAspect="1" noChangeArrowheads="1"/>
                    </pic:cNvPicPr>
                  </pic:nvPicPr>
                  <pic:blipFill rotWithShape="1">
                    <a:blip r:embed="rId31">
                      <a:extLst>
                        <a:ext uri="{28A0092B-C50C-407E-A947-70E740481C1C}">
                          <a14:useLocalDpi xmlns:a14="http://schemas.microsoft.com/office/drawing/2010/main" val="0"/>
                        </a:ext>
                      </a:extLst>
                    </a:blip>
                    <a:srcRect t="3400" r="610"/>
                    <a:stretch/>
                  </pic:blipFill>
                  <pic:spPr bwMode="auto">
                    <a:xfrm>
                      <a:off x="0" y="0"/>
                      <a:ext cx="5367131" cy="903550"/>
                    </a:xfrm>
                    <a:prstGeom prst="rect">
                      <a:avLst/>
                    </a:prstGeom>
                    <a:noFill/>
                    <a:ln>
                      <a:noFill/>
                    </a:ln>
                    <a:extLst>
                      <a:ext uri="{53640926-AAD7-44D8-BBD7-CCE9431645EC}">
                        <a14:shadowObscured xmlns:a14="http://schemas.microsoft.com/office/drawing/2010/main"/>
                      </a:ext>
                    </a:extLst>
                  </pic:spPr>
                </pic:pic>
              </a:graphicData>
            </a:graphic>
          </wp:inline>
        </w:drawing>
      </w:r>
    </w:p>
    <w:p w14:paraId="32B2550D" w14:textId="5E1AFC12" w:rsidR="00360458" w:rsidRDefault="00360458" w:rsidP="00360458">
      <w:r>
        <w:t xml:space="preserve">A numerical benefit in the </w:t>
      </w:r>
      <w:r w:rsidR="009F2232" w:rsidRPr="009F2232">
        <w:t xml:space="preserve">modified </w:t>
      </w:r>
      <w:proofErr w:type="spellStart"/>
      <w:r w:rsidR="009F2232" w:rsidRPr="009F2232">
        <w:t>Craniocervical</w:t>
      </w:r>
      <w:proofErr w:type="spellEnd"/>
      <w:r w:rsidR="009F2232" w:rsidRPr="009F2232">
        <w:t xml:space="preserve"> Dystonia Questionnaire </w:t>
      </w:r>
      <w:r w:rsidR="009F2232">
        <w:t>(</w:t>
      </w:r>
      <w:r>
        <w:t>mCDQ-24</w:t>
      </w:r>
      <w:r w:rsidR="009F2232">
        <w:t>);</w:t>
      </w:r>
      <w:r w:rsidR="009F2232">
        <w:rPr>
          <w:rStyle w:val="FootnoteReference"/>
        </w:rPr>
        <w:footnoteReference w:id="18"/>
      </w:r>
      <w:r>
        <w:t xml:space="preserve"> total score was reported in the </w:t>
      </w:r>
      <w:proofErr w:type="spellStart"/>
      <w:r>
        <w:t>deutetrabenazine</w:t>
      </w:r>
      <w:proofErr w:type="spellEnd"/>
      <w:r>
        <w:t xml:space="preserve"> group at Week 12 (p = 0.3200)</w:t>
      </w:r>
      <w:r w:rsidR="00454D43">
        <w:t xml:space="preserve"> (see </w:t>
      </w:r>
      <w:r w:rsidR="00454D43">
        <w:fldChar w:fldCharType="begin"/>
      </w:r>
      <w:r w:rsidR="00454D43">
        <w:instrText xml:space="preserve"> REF _Ref82088736 \h </w:instrText>
      </w:r>
      <w:r w:rsidR="00454D43">
        <w:fldChar w:fldCharType="separate"/>
      </w:r>
      <w:r w:rsidR="00B15438" w:rsidRPr="00454D43">
        <w:t xml:space="preserve">Table </w:t>
      </w:r>
      <w:r w:rsidR="00B15438">
        <w:rPr>
          <w:noProof/>
        </w:rPr>
        <w:t>15</w:t>
      </w:r>
      <w:r w:rsidR="00454D43">
        <w:fldChar w:fldCharType="end"/>
      </w:r>
      <w:r w:rsidR="00454D43">
        <w:t>).</w:t>
      </w:r>
    </w:p>
    <w:p w14:paraId="7E75ACA9" w14:textId="4666EB04" w:rsidR="00454D43" w:rsidRDefault="00454D43" w:rsidP="00454D43">
      <w:pPr>
        <w:pStyle w:val="TableTitle"/>
      </w:pPr>
      <w:bookmarkStart w:id="46" w:name="_Ref82088736"/>
      <w:r w:rsidRPr="00454D43">
        <w:lastRenderedPageBreak/>
        <w:t xml:space="preserve">Table </w:t>
      </w:r>
      <w:r w:rsidR="000C3739">
        <w:fldChar w:fldCharType="begin"/>
      </w:r>
      <w:r w:rsidR="000C3739">
        <w:instrText xml:space="preserve"> SEQ Table \* ARABIC </w:instrText>
      </w:r>
      <w:r w:rsidR="000C3739">
        <w:fldChar w:fldCharType="separate"/>
      </w:r>
      <w:r w:rsidR="00B15438">
        <w:rPr>
          <w:noProof/>
        </w:rPr>
        <w:t>15</w:t>
      </w:r>
      <w:r w:rsidR="000C3739">
        <w:rPr>
          <w:noProof/>
        </w:rPr>
        <w:fldChar w:fldCharType="end"/>
      </w:r>
      <w:bookmarkEnd w:id="46"/>
      <w:r>
        <w:t xml:space="preserve">: </w:t>
      </w:r>
      <w:r w:rsidR="003E2626">
        <w:t xml:space="preserve">Study C-18 </w:t>
      </w:r>
      <w:r>
        <w:t xml:space="preserve">Mean reduction in </w:t>
      </w:r>
      <w:r w:rsidR="009F2232" w:rsidRPr="009F2232">
        <w:t xml:space="preserve">modified </w:t>
      </w:r>
      <w:proofErr w:type="spellStart"/>
      <w:r w:rsidR="009F2232" w:rsidRPr="009F2232">
        <w:t>Craniocervical</w:t>
      </w:r>
      <w:proofErr w:type="spellEnd"/>
      <w:r w:rsidR="009F2232" w:rsidRPr="009F2232">
        <w:t xml:space="preserve"> Dystonia Questionnaire</w:t>
      </w:r>
      <w:r>
        <w:t xml:space="preserve"> score</w:t>
      </w:r>
    </w:p>
    <w:p w14:paraId="036DC08A" w14:textId="77777777" w:rsidR="00454D43" w:rsidRDefault="00454D43" w:rsidP="00454D43">
      <w:r w:rsidRPr="00454D43">
        <w:rPr>
          <w:noProof/>
          <w:lang w:val="en-GB" w:eastAsia="en-GB"/>
        </w:rPr>
        <w:drawing>
          <wp:inline distT="0" distB="0" distL="0" distR="0" wp14:anchorId="69303FFA" wp14:editId="7B13505B">
            <wp:extent cx="5261988" cy="775086"/>
            <wp:effectExtent l="0" t="0" r="0" b="6350"/>
            <wp:docPr id="17" name="Picture 17" descr=" Study C-18 Mean reduction in modified Craniocervical Dystonia Questionnair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Study C-18 Mean reduction in modified Craniocervical Dystonia Questionnaire score"/>
                    <pic:cNvPicPr>
                      <a:picLocks noChangeAspect="1" noChangeArrowheads="1"/>
                    </pic:cNvPicPr>
                  </pic:nvPicPr>
                  <pic:blipFill rotWithShape="1">
                    <a:blip r:embed="rId32">
                      <a:extLst>
                        <a:ext uri="{28A0092B-C50C-407E-A947-70E740481C1C}">
                          <a14:useLocalDpi xmlns:a14="http://schemas.microsoft.com/office/drawing/2010/main" val="0"/>
                        </a:ext>
                      </a:extLst>
                    </a:blip>
                    <a:srcRect l="1326" t="2983" r="1164" b="-1"/>
                    <a:stretch/>
                  </pic:blipFill>
                  <pic:spPr bwMode="auto">
                    <a:xfrm>
                      <a:off x="0" y="0"/>
                      <a:ext cx="5265638" cy="775624"/>
                    </a:xfrm>
                    <a:prstGeom prst="rect">
                      <a:avLst/>
                    </a:prstGeom>
                    <a:noFill/>
                    <a:ln>
                      <a:noFill/>
                    </a:ln>
                    <a:extLst>
                      <a:ext uri="{53640926-AAD7-44D8-BBD7-CCE9431645EC}">
                        <a14:shadowObscured xmlns:a14="http://schemas.microsoft.com/office/drawing/2010/main"/>
                      </a:ext>
                    </a:extLst>
                  </pic:spPr>
                </pic:pic>
              </a:graphicData>
            </a:graphic>
          </wp:inline>
        </w:drawing>
      </w:r>
    </w:p>
    <w:p w14:paraId="24802C66" w14:textId="7A771161" w:rsidR="00454D43" w:rsidRDefault="00454D43" w:rsidP="00454D43">
      <w:pPr>
        <w:pStyle w:val="Heading5"/>
      </w:pPr>
      <w:r>
        <w:t>Study</w:t>
      </w:r>
      <w:r w:rsidR="00792EA7">
        <w:t xml:space="preserve"> </w:t>
      </w:r>
      <w:r>
        <w:t>C-23</w:t>
      </w:r>
    </w:p>
    <w:p w14:paraId="64341CB8" w14:textId="5D1AFF9B" w:rsidR="00454D43" w:rsidRDefault="00F02356" w:rsidP="00454D43">
      <w:r>
        <w:t>Study</w:t>
      </w:r>
      <w:r w:rsidR="00792EA7">
        <w:t xml:space="preserve"> </w:t>
      </w:r>
      <w:r>
        <w:t>C</w:t>
      </w:r>
      <w:r w:rsidR="00792EA7">
        <w:t>-</w:t>
      </w:r>
      <w:r>
        <w:t>23</w:t>
      </w:r>
      <w:r w:rsidR="00792EA7">
        <w:t xml:space="preserve"> was a</w:t>
      </w:r>
      <w:r>
        <w:t xml:space="preserve"> </w:t>
      </w:r>
      <w:r w:rsidR="00792EA7">
        <w:t>d</w:t>
      </w:r>
      <w:r w:rsidR="00454D43">
        <w:t xml:space="preserve">ouble blind, fixed dose, </w:t>
      </w:r>
      <w:r w:rsidR="00BA0F7C" w:rsidRPr="009F22ED">
        <w:t>placebo-controlled</w:t>
      </w:r>
      <w:r w:rsidR="00BA0F7C">
        <w:t xml:space="preserve"> </w:t>
      </w:r>
      <w:r w:rsidR="00792EA7">
        <w:t xml:space="preserve">randomised control trial </w:t>
      </w:r>
      <w:r w:rsidR="00454D43">
        <w:t xml:space="preserve">in patients with moderate to severe </w:t>
      </w:r>
      <w:r w:rsidR="00792EA7">
        <w:t>tardive dyskinesia</w:t>
      </w:r>
      <w:r w:rsidR="00454D43">
        <w:t xml:space="preserve">. Randomisation was stratified by the use of </w:t>
      </w:r>
      <w:r w:rsidR="00792EA7">
        <w:t>dopamine receptor antagonists (</w:t>
      </w:r>
      <w:r w:rsidR="00454D43">
        <w:t>DRAs</w:t>
      </w:r>
      <w:r w:rsidR="00792EA7">
        <w:t>)</w:t>
      </w:r>
      <w:r w:rsidR="00454D43">
        <w:t>.</w:t>
      </w:r>
    </w:p>
    <w:p w14:paraId="3E3EAC9D" w14:textId="77777777" w:rsidR="00454D43" w:rsidRDefault="00454D43" w:rsidP="00454D43">
      <w:r>
        <w:t xml:space="preserve">The dose of </w:t>
      </w:r>
      <w:proofErr w:type="spellStart"/>
      <w:r>
        <w:t>deutetrabenazine</w:t>
      </w:r>
      <w:proofErr w:type="spellEnd"/>
      <w:r>
        <w:t xml:space="preserve"> was increased over the initial </w:t>
      </w:r>
      <w:r w:rsidR="001428CE">
        <w:t>four week</w:t>
      </w:r>
      <w:r>
        <w:t xml:space="preserve">s of treatment to reach the randomised dose, followed by </w:t>
      </w:r>
      <w:r w:rsidR="001428CE">
        <w:t>eight week</w:t>
      </w:r>
      <w:r>
        <w:t xml:space="preserve">s of maintenance therapy at that dose. The study period included a screening period (up to </w:t>
      </w:r>
      <w:r w:rsidR="001428CE">
        <w:t>four week</w:t>
      </w:r>
      <w:r>
        <w:t>s), dose-escalation period (</w:t>
      </w:r>
      <w:r w:rsidR="001428CE">
        <w:t>four week</w:t>
      </w:r>
      <w:r>
        <w:t>s), maintenance period (</w:t>
      </w:r>
      <w:r w:rsidR="001428CE">
        <w:t>eight week</w:t>
      </w:r>
      <w:r>
        <w:t xml:space="preserve">s) and a </w:t>
      </w:r>
      <w:r w:rsidR="001428CE">
        <w:t>one week</w:t>
      </w:r>
      <w:r>
        <w:t xml:space="preserve"> washout period.</w:t>
      </w:r>
    </w:p>
    <w:p w14:paraId="0570E0D9" w14:textId="77777777" w:rsidR="00454D43" w:rsidRDefault="00454D43" w:rsidP="00454D43">
      <w:r>
        <w:t>The inclusion criteria were identical to Study C-18.</w:t>
      </w:r>
    </w:p>
    <w:p w14:paraId="566EA831" w14:textId="2B7EBDC1" w:rsidR="00454D43" w:rsidRDefault="00454D43" w:rsidP="00BA0F7C">
      <w:r>
        <w:t>298 patients were randomly assigned in a 1:1:1:1 ratio to receive one of three fixed dose regimens of</w:t>
      </w:r>
      <w:r w:rsidR="003E2626">
        <w:t xml:space="preserve"> </w:t>
      </w:r>
      <w:proofErr w:type="spellStart"/>
      <w:r w:rsidR="00BA0F7C">
        <w:t>deutetrabenazine</w:t>
      </w:r>
      <w:proofErr w:type="spellEnd"/>
      <w:r>
        <w:t xml:space="preserve"> (12 mg/day, 24 mg/day or 36 mg/day) or placebo.</w:t>
      </w:r>
    </w:p>
    <w:p w14:paraId="6E3744F4" w14:textId="77777777" w:rsidR="00454D43" w:rsidRDefault="009F2232" w:rsidP="00454D43">
      <w:r>
        <w:t xml:space="preserve">The </w:t>
      </w:r>
      <w:r w:rsidR="00454D43">
        <w:t>Delegate</w:t>
      </w:r>
      <w:r>
        <w:t xml:space="preserve"> </w:t>
      </w:r>
      <w:r w:rsidR="00454D43">
        <w:t>comment</w:t>
      </w:r>
      <w:r>
        <w:t>ed that t</w:t>
      </w:r>
      <w:r w:rsidR="00454D43">
        <w:t>he maximum dose was 36 mg/day and not the proposed dose of 48 mg/day.</w:t>
      </w:r>
    </w:p>
    <w:p w14:paraId="595D26B8" w14:textId="77777777" w:rsidR="00454D43" w:rsidRDefault="00454D43" w:rsidP="00454D43">
      <w:pPr>
        <w:pStyle w:val="Heading6"/>
      </w:pPr>
      <w:r>
        <w:t>Baseline data</w:t>
      </w:r>
    </w:p>
    <w:p w14:paraId="73ED351F" w14:textId="189F0F2D" w:rsidR="00DD4D24" w:rsidRDefault="00454D43" w:rsidP="00454D43">
      <w:r>
        <w:t xml:space="preserve">The mean age was around 56 years. 55% of the subjects were females. Mean </w:t>
      </w:r>
      <w:r w:rsidR="00673133">
        <w:t xml:space="preserve">total motor </w:t>
      </w:r>
      <w:r>
        <w:t>AIMS score was 8.4, mean mCDQ-24 score was 36.7. 76% of subjects were on treatment with DRAs. 49% of subjects had schizophrenia at Baseline.</w:t>
      </w:r>
    </w:p>
    <w:p w14:paraId="2915F66F" w14:textId="5F968695" w:rsidR="00DD4D24" w:rsidRDefault="00DD4D24" w:rsidP="00855435">
      <w:pPr>
        <w:pStyle w:val="Heading6"/>
      </w:pPr>
      <w:r>
        <w:t>Results (primary endpoint)</w:t>
      </w:r>
    </w:p>
    <w:p w14:paraId="7DE688E8" w14:textId="21772354" w:rsidR="00454D43" w:rsidRDefault="00454D43" w:rsidP="00454D43">
      <w:r>
        <w:t xml:space="preserve">At Week 12, the subjects in </w:t>
      </w:r>
      <w:proofErr w:type="spellStart"/>
      <w:r>
        <w:t>deutetrabenazine</w:t>
      </w:r>
      <w:proofErr w:type="spellEnd"/>
      <w:r>
        <w:t xml:space="preserve"> 36 and 24 mg/day groups achieved reduction in AIMS score of -3.3 and -3.2 respectively versus -1.4 in placebo group. The treatment differences were statistically significant. Subjects in the </w:t>
      </w:r>
      <w:proofErr w:type="spellStart"/>
      <w:r>
        <w:t>deutetrabenazine</w:t>
      </w:r>
      <w:proofErr w:type="spellEnd"/>
      <w:r>
        <w:t xml:space="preserve"> 12 mg/day group did not achieve a statistically significant improvement in AIMS score, compared to placebo.</w:t>
      </w:r>
    </w:p>
    <w:p w14:paraId="101F17F5" w14:textId="5FFC0C18" w:rsidR="00454D43" w:rsidRDefault="00454D43" w:rsidP="00454D43">
      <w:pPr>
        <w:pStyle w:val="TableTitle"/>
      </w:pPr>
      <w:r w:rsidRPr="00454D43">
        <w:t xml:space="preserve">Table </w:t>
      </w:r>
      <w:r w:rsidR="000C3739">
        <w:fldChar w:fldCharType="begin"/>
      </w:r>
      <w:r w:rsidR="000C3739">
        <w:instrText xml:space="preserve"> SEQ Table \* ARABIC </w:instrText>
      </w:r>
      <w:r w:rsidR="000C3739">
        <w:fldChar w:fldCharType="separate"/>
      </w:r>
      <w:r w:rsidR="00B15438">
        <w:rPr>
          <w:noProof/>
        </w:rPr>
        <w:t>16</w:t>
      </w:r>
      <w:r w:rsidR="000C3739">
        <w:rPr>
          <w:noProof/>
        </w:rPr>
        <w:fldChar w:fldCharType="end"/>
      </w:r>
      <w:r>
        <w:t xml:space="preserve">: </w:t>
      </w:r>
      <w:r w:rsidR="003E2626" w:rsidRPr="003E2626">
        <w:t>Stu</w:t>
      </w:r>
      <w:r w:rsidR="00ED2806">
        <w:t xml:space="preserve">dy </w:t>
      </w:r>
      <w:r w:rsidR="003E2626" w:rsidRPr="003E2626">
        <w:t>C-23</w:t>
      </w:r>
      <w:r w:rsidR="003E2626">
        <w:t xml:space="preserve"> </w:t>
      </w:r>
      <w:r w:rsidRPr="00454D43">
        <w:t xml:space="preserve">Mean change in </w:t>
      </w:r>
      <w:r w:rsidR="009F2232" w:rsidRPr="00516680">
        <w:t>Abnormal Involuntary Movement Scale</w:t>
      </w:r>
      <w:r w:rsidRPr="00454D43">
        <w:t xml:space="preserve"> score</w:t>
      </w:r>
    </w:p>
    <w:p w14:paraId="13E6C63B" w14:textId="5BE96AFE" w:rsidR="00454D43" w:rsidRDefault="00454D43" w:rsidP="00454D43">
      <w:r w:rsidRPr="00454D43">
        <w:rPr>
          <w:noProof/>
          <w:lang w:val="en-GB" w:eastAsia="en-GB"/>
        </w:rPr>
        <w:drawing>
          <wp:inline distT="0" distB="0" distL="0" distR="0" wp14:anchorId="2EFE9A89" wp14:editId="787B4DC3">
            <wp:extent cx="5190558" cy="1701165"/>
            <wp:effectExtent l="0" t="0" r="0" b="0"/>
            <wp:docPr id="18" name="Picture 18" descr="Study-809-C-23 Mean change in Abnormal Involuntary Movement Scal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809-C-23 Mean change in Abnormal Involuntary Movement Scale score"/>
                    <pic:cNvPicPr>
                      <a:picLocks noChangeAspect="1" noChangeArrowheads="1"/>
                    </pic:cNvPicPr>
                  </pic:nvPicPr>
                  <pic:blipFill rotWithShape="1">
                    <a:blip r:embed="rId33">
                      <a:extLst>
                        <a:ext uri="{28A0092B-C50C-407E-A947-70E740481C1C}">
                          <a14:useLocalDpi xmlns:a14="http://schemas.microsoft.com/office/drawing/2010/main" val="0"/>
                        </a:ext>
                      </a:extLst>
                    </a:blip>
                    <a:srcRect l="609" t="1834"/>
                    <a:stretch/>
                  </pic:blipFill>
                  <pic:spPr bwMode="auto">
                    <a:xfrm>
                      <a:off x="0" y="0"/>
                      <a:ext cx="5192328" cy="1701745"/>
                    </a:xfrm>
                    <a:prstGeom prst="rect">
                      <a:avLst/>
                    </a:prstGeom>
                    <a:noFill/>
                    <a:ln>
                      <a:noFill/>
                    </a:ln>
                    <a:extLst>
                      <a:ext uri="{53640926-AAD7-44D8-BBD7-CCE9431645EC}">
                        <a14:shadowObscured xmlns:a14="http://schemas.microsoft.com/office/drawing/2010/main"/>
                      </a:ext>
                    </a:extLst>
                  </pic:spPr>
                </pic:pic>
              </a:graphicData>
            </a:graphic>
          </wp:inline>
        </w:drawing>
      </w:r>
    </w:p>
    <w:p w14:paraId="24BA6778" w14:textId="14BE4D7B" w:rsidR="00ED2806" w:rsidRDefault="00ED2806" w:rsidP="00855435">
      <w:pPr>
        <w:pStyle w:val="Heading6"/>
      </w:pPr>
      <w:r>
        <w:t>Results (secondary endpoints)</w:t>
      </w:r>
    </w:p>
    <w:p w14:paraId="174F9011" w14:textId="31E91819" w:rsidR="00C51795" w:rsidRDefault="00C51795" w:rsidP="00F82ED7">
      <w:r>
        <w:t>Key secondary endpoints include CGI</w:t>
      </w:r>
      <w:r w:rsidR="00ED2806">
        <w:t>-</w:t>
      </w:r>
      <w:r>
        <w:t>C, PGI</w:t>
      </w:r>
      <w:r w:rsidR="00ED2806">
        <w:t>-</w:t>
      </w:r>
      <w:r>
        <w:t xml:space="preserve">C and mCDQ-24 scores. </w:t>
      </w:r>
      <w:r w:rsidR="00F82ED7">
        <w:t xml:space="preserve">Since the first key secondary endpoint (CGIC treatment success, </w:t>
      </w:r>
      <w:proofErr w:type="spellStart"/>
      <w:r w:rsidR="00F82ED7">
        <w:t>deutetrabenazine</w:t>
      </w:r>
      <w:proofErr w:type="spellEnd"/>
      <w:r w:rsidR="00F82ED7">
        <w:t xml:space="preserve"> 36 mg/day vs placebo) was not statistically significant, subsequent hypotheses were considered exploratory and all the other presented p values are nominal </w:t>
      </w:r>
      <w:r>
        <w:t xml:space="preserve">49% of subjects in </w:t>
      </w:r>
      <w:proofErr w:type="spellStart"/>
      <w:r>
        <w:t>deutetrabenazine</w:t>
      </w:r>
      <w:proofErr w:type="spellEnd"/>
      <w:r>
        <w:t xml:space="preserve"> 24 mg/day group achieved ‘treatment success’ for CGI</w:t>
      </w:r>
      <w:r w:rsidR="00492057">
        <w:t>-</w:t>
      </w:r>
      <w:r>
        <w:t xml:space="preserve">C. The difference in the percentage </w:t>
      </w:r>
      <w:r>
        <w:lastRenderedPageBreak/>
        <w:t xml:space="preserve">of subjects with treatment success in this group was </w:t>
      </w:r>
      <w:r w:rsidR="00EA3255">
        <w:t xml:space="preserve">nominally </w:t>
      </w:r>
      <w:r>
        <w:t xml:space="preserve">significant, compared to placebo (see </w:t>
      </w:r>
      <w:r>
        <w:fldChar w:fldCharType="begin"/>
      </w:r>
      <w:r>
        <w:instrText xml:space="preserve"> REF _Ref82092978 \h </w:instrText>
      </w:r>
      <w:r>
        <w:fldChar w:fldCharType="separate"/>
      </w:r>
      <w:r w:rsidR="00B15438" w:rsidRPr="00C51795">
        <w:t xml:space="preserve">Table </w:t>
      </w:r>
      <w:r w:rsidR="00B15438">
        <w:rPr>
          <w:noProof/>
        </w:rPr>
        <w:t>17</w:t>
      </w:r>
      <w:r>
        <w:fldChar w:fldCharType="end"/>
      </w:r>
      <w:r>
        <w:t>)</w:t>
      </w:r>
      <w:r w:rsidR="009F2232">
        <w:t>.</w:t>
      </w:r>
    </w:p>
    <w:p w14:paraId="62568C5A" w14:textId="203DE1A9" w:rsidR="00C51795" w:rsidRDefault="00C51795" w:rsidP="00C51795">
      <w:r>
        <w:t>No significant difference in the percentage of subjects with treatment success as per CGI</w:t>
      </w:r>
      <w:r w:rsidR="00492057">
        <w:noBreakHyphen/>
      </w:r>
      <w:r>
        <w:t xml:space="preserve">C scores were reported in </w:t>
      </w:r>
      <w:proofErr w:type="spellStart"/>
      <w:r>
        <w:t>deutetrabenazine</w:t>
      </w:r>
      <w:proofErr w:type="spellEnd"/>
      <w:r>
        <w:t xml:space="preserve"> 36 mg/day and 12 mg/day groups versus placebo (see </w:t>
      </w:r>
      <w:r>
        <w:fldChar w:fldCharType="begin"/>
      </w:r>
      <w:r>
        <w:instrText xml:space="preserve"> REF _Ref82092978 \h </w:instrText>
      </w:r>
      <w:r>
        <w:fldChar w:fldCharType="separate"/>
      </w:r>
      <w:r w:rsidR="00B15438" w:rsidRPr="00C51795">
        <w:t xml:space="preserve">Table </w:t>
      </w:r>
      <w:r w:rsidR="00B15438">
        <w:rPr>
          <w:noProof/>
        </w:rPr>
        <w:t>17</w:t>
      </w:r>
      <w:r>
        <w:fldChar w:fldCharType="end"/>
      </w:r>
      <w:r>
        <w:t>)</w:t>
      </w:r>
      <w:r w:rsidR="009F2232">
        <w:t>.</w:t>
      </w:r>
    </w:p>
    <w:p w14:paraId="2D535108" w14:textId="77777777" w:rsidR="00C51795" w:rsidRDefault="00C51795" w:rsidP="00C51795">
      <w:r>
        <w:t xml:space="preserve">The odds ratio for the 24 and 36 mg/day </w:t>
      </w:r>
      <w:proofErr w:type="spellStart"/>
      <w:r>
        <w:t>deutetrabenazine</w:t>
      </w:r>
      <w:proofErr w:type="spellEnd"/>
      <w:r>
        <w:t xml:space="preserve"> groups to achieve treatment success, compared to placebo was around 2. The wide confidence interval was noted.</w:t>
      </w:r>
    </w:p>
    <w:p w14:paraId="70586ECE" w14:textId="4409BED4" w:rsidR="00C51795" w:rsidRDefault="00C51795" w:rsidP="00C51795">
      <w:pPr>
        <w:pStyle w:val="TableTitle"/>
      </w:pPr>
      <w:bookmarkStart w:id="47" w:name="_Ref82092978"/>
      <w:r w:rsidRPr="00C51795">
        <w:t xml:space="preserve">Table </w:t>
      </w:r>
      <w:r w:rsidR="000C3739">
        <w:fldChar w:fldCharType="begin"/>
      </w:r>
      <w:r w:rsidR="000C3739">
        <w:instrText xml:space="preserve"> SEQ Table \* ARABIC </w:instrText>
      </w:r>
      <w:r w:rsidR="000C3739">
        <w:fldChar w:fldCharType="separate"/>
      </w:r>
      <w:r w:rsidR="00B15438">
        <w:rPr>
          <w:noProof/>
        </w:rPr>
        <w:t>17</w:t>
      </w:r>
      <w:r w:rsidR="000C3739">
        <w:rPr>
          <w:noProof/>
        </w:rPr>
        <w:fldChar w:fldCharType="end"/>
      </w:r>
      <w:bookmarkEnd w:id="47"/>
      <w:r>
        <w:t xml:space="preserve">: </w:t>
      </w:r>
      <w:r w:rsidR="003E2626" w:rsidRPr="003E2626">
        <w:t>Study-809-C-23</w:t>
      </w:r>
      <w:r w:rsidR="003E2626">
        <w:t xml:space="preserve"> </w:t>
      </w:r>
      <w:r w:rsidR="003E2626" w:rsidRPr="00454D43">
        <w:t xml:space="preserve">Mean change in </w:t>
      </w:r>
      <w:r w:rsidR="003E2626" w:rsidRPr="00516680">
        <w:t>Abnormal Involuntary Movement Scale</w:t>
      </w:r>
      <w:r w:rsidR="003E2626" w:rsidRPr="00454D43">
        <w:t xml:space="preserve"> score</w:t>
      </w:r>
      <w:r w:rsidR="00492057">
        <w:t>,</w:t>
      </w:r>
      <w:r w:rsidR="003E2626" w:rsidRPr="00C51795">
        <w:t xml:space="preserve"> </w:t>
      </w:r>
      <w:r w:rsidR="00DD4D24">
        <w:t>p</w:t>
      </w:r>
      <w:r w:rsidRPr="00C51795">
        <w:t xml:space="preserve">roportion of subjects with treatment success as per </w:t>
      </w:r>
      <w:r w:rsidR="00DD4D24">
        <w:t>Clinical Global Impression of Change</w:t>
      </w:r>
    </w:p>
    <w:p w14:paraId="0B9FB8F2" w14:textId="4679B981" w:rsidR="00C51795" w:rsidRDefault="00C51795" w:rsidP="00C51795">
      <w:r w:rsidRPr="00C51795">
        <w:rPr>
          <w:noProof/>
          <w:lang w:val="en-GB" w:eastAsia="en-GB"/>
        </w:rPr>
        <w:drawing>
          <wp:inline distT="0" distB="0" distL="0" distR="0" wp14:anchorId="2D63236F" wp14:editId="4F531AE3">
            <wp:extent cx="5112689" cy="2013326"/>
            <wp:effectExtent l="0" t="0" r="0" b="6350"/>
            <wp:docPr id="19" name="Picture 19" descr="Study-809-C-23 Mean change in Abnormal Involuntary Movement Scale score Proportion of subjects with treatment success as per C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809-C-23 Mean change in Abnormal Involuntary Movement Scale score Proportion of subjects with treatment success as per CGIC"/>
                    <pic:cNvPicPr>
                      <a:picLocks noChangeAspect="1" noChangeArrowheads="1"/>
                    </pic:cNvPicPr>
                  </pic:nvPicPr>
                  <pic:blipFill rotWithShape="1">
                    <a:blip r:embed="rId34">
                      <a:extLst>
                        <a:ext uri="{28A0092B-C50C-407E-A947-70E740481C1C}">
                          <a14:useLocalDpi xmlns:a14="http://schemas.microsoft.com/office/drawing/2010/main" val="0"/>
                        </a:ext>
                      </a:extLst>
                    </a:blip>
                    <a:srcRect l="1199" t="2273" r="566"/>
                    <a:stretch/>
                  </pic:blipFill>
                  <pic:spPr bwMode="auto">
                    <a:xfrm>
                      <a:off x="0" y="0"/>
                      <a:ext cx="5119694" cy="2016085"/>
                    </a:xfrm>
                    <a:prstGeom prst="rect">
                      <a:avLst/>
                    </a:prstGeom>
                    <a:noFill/>
                    <a:ln>
                      <a:noFill/>
                    </a:ln>
                    <a:extLst>
                      <a:ext uri="{53640926-AAD7-44D8-BBD7-CCE9431645EC}">
                        <a14:shadowObscured xmlns:a14="http://schemas.microsoft.com/office/drawing/2010/main"/>
                      </a:ext>
                    </a:extLst>
                  </pic:spPr>
                </pic:pic>
              </a:graphicData>
            </a:graphic>
          </wp:inline>
        </w:drawing>
      </w:r>
    </w:p>
    <w:p w14:paraId="46CE69FF" w14:textId="318CCB62" w:rsidR="00492057" w:rsidRDefault="00DD4D24" w:rsidP="00B15438">
      <w:pPr>
        <w:pStyle w:val="FigureDescription"/>
      </w:pPr>
      <w:r>
        <w:t>CGI-P = Clinical Global Impression of Change; CI = confidence intervals; OR = odds ratio; SD-809 = </w:t>
      </w:r>
      <w:proofErr w:type="spellStart"/>
      <w:r w:rsidR="00492057">
        <w:t>deutetrabenazine</w:t>
      </w:r>
      <w:proofErr w:type="spellEnd"/>
      <w:r>
        <w:t xml:space="preserve"> (drug development code)</w:t>
      </w:r>
    </w:p>
    <w:p w14:paraId="0986C2CE" w14:textId="1B594B84" w:rsidR="00C51795" w:rsidRDefault="00C51795" w:rsidP="00C51795">
      <w:r>
        <w:t>For PGI</w:t>
      </w:r>
      <w:r w:rsidR="00DD4D24">
        <w:t>-</w:t>
      </w:r>
      <w:r>
        <w:t xml:space="preserve">C readout, around 10% more patients treated with 24 mg/day and 36 mg/day of </w:t>
      </w:r>
      <w:proofErr w:type="spellStart"/>
      <w:r>
        <w:t>deutetrabenazine</w:t>
      </w:r>
      <w:proofErr w:type="spellEnd"/>
      <w:r>
        <w:t xml:space="preserve"> achieved ‘success’, compared to placebo. No significant difference in the proportion of subjects with ‘success’ between </w:t>
      </w:r>
      <w:proofErr w:type="spellStart"/>
      <w:r>
        <w:t>deutetrabenazine</w:t>
      </w:r>
      <w:proofErr w:type="spellEnd"/>
      <w:r>
        <w:t xml:space="preserve"> and placebo groups were reported. The </w:t>
      </w:r>
      <w:r w:rsidR="009F2232">
        <w:t>odds ratio (</w:t>
      </w:r>
      <w:r>
        <w:t>OR</w:t>
      </w:r>
      <w:r w:rsidR="009F2232">
        <w:t>)</w:t>
      </w:r>
      <w:r>
        <w:t xml:space="preserve"> was &lt; 2. The wide confidence interval</w:t>
      </w:r>
      <w:r w:rsidR="009F2232">
        <w:t xml:space="preserve"> (CI)</w:t>
      </w:r>
      <w:r>
        <w:t xml:space="preserve"> was noted (see </w:t>
      </w:r>
      <w:r>
        <w:fldChar w:fldCharType="begin"/>
      </w:r>
      <w:r>
        <w:instrText xml:space="preserve"> REF _Ref82093119 \h </w:instrText>
      </w:r>
      <w:r>
        <w:fldChar w:fldCharType="separate"/>
      </w:r>
      <w:r w:rsidR="00B15438" w:rsidRPr="00C51795">
        <w:t xml:space="preserve">Table </w:t>
      </w:r>
      <w:r w:rsidR="00B15438">
        <w:rPr>
          <w:noProof/>
        </w:rPr>
        <w:t>18</w:t>
      </w:r>
      <w:r>
        <w:fldChar w:fldCharType="end"/>
      </w:r>
      <w:r>
        <w:t>)</w:t>
      </w:r>
      <w:r w:rsidR="009F2232">
        <w:t>.</w:t>
      </w:r>
    </w:p>
    <w:p w14:paraId="11EC16BB" w14:textId="54D24E7E" w:rsidR="00C51795" w:rsidRDefault="00C51795" w:rsidP="00C51795">
      <w:pPr>
        <w:pStyle w:val="TableTitle"/>
      </w:pPr>
      <w:bookmarkStart w:id="48" w:name="_Ref82093119"/>
      <w:r w:rsidRPr="00C51795">
        <w:t xml:space="preserve">Table </w:t>
      </w:r>
      <w:r w:rsidR="000C3739">
        <w:fldChar w:fldCharType="begin"/>
      </w:r>
      <w:r w:rsidR="000C3739">
        <w:instrText xml:space="preserve"> SEQ Table \* ARABIC </w:instrText>
      </w:r>
      <w:r w:rsidR="000C3739">
        <w:fldChar w:fldCharType="separate"/>
      </w:r>
      <w:r w:rsidR="00B15438">
        <w:rPr>
          <w:noProof/>
        </w:rPr>
        <w:t>18</w:t>
      </w:r>
      <w:r w:rsidR="000C3739">
        <w:rPr>
          <w:noProof/>
        </w:rPr>
        <w:fldChar w:fldCharType="end"/>
      </w:r>
      <w:bookmarkEnd w:id="48"/>
      <w:r>
        <w:t xml:space="preserve">: </w:t>
      </w:r>
      <w:r w:rsidR="003E2626" w:rsidRPr="003E2626">
        <w:t>Study-809-C-23</w:t>
      </w:r>
      <w:r w:rsidR="003E2626">
        <w:t xml:space="preserve"> </w:t>
      </w:r>
      <w:r w:rsidRPr="00C51795">
        <w:t xml:space="preserve">Proportion of subjects with treatment success as per </w:t>
      </w:r>
      <w:r w:rsidR="00DD4D24">
        <w:t>Patient Global Impression of Change</w:t>
      </w:r>
    </w:p>
    <w:p w14:paraId="2930B8C2" w14:textId="286BCAFB" w:rsidR="00C51795" w:rsidRDefault="00C51795" w:rsidP="00C51795">
      <w:r w:rsidRPr="00C51795">
        <w:rPr>
          <w:noProof/>
          <w:lang w:val="en-GB" w:eastAsia="en-GB"/>
        </w:rPr>
        <w:drawing>
          <wp:inline distT="0" distB="0" distL="0" distR="0" wp14:anchorId="423B4DD5" wp14:editId="7825B646">
            <wp:extent cx="5112385" cy="1751105"/>
            <wp:effectExtent l="0" t="0" r="0" b="1905"/>
            <wp:docPr id="20" name="Picture 20" descr="Study-809-C-23 Proportion of subjects with treatment success as per P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809-C-23 Proportion of subjects with treatment success as per PGIC"/>
                    <pic:cNvPicPr>
                      <a:picLocks noChangeAspect="1" noChangeArrowheads="1"/>
                    </pic:cNvPicPr>
                  </pic:nvPicPr>
                  <pic:blipFill rotWithShape="1">
                    <a:blip r:embed="rId35">
                      <a:extLst>
                        <a:ext uri="{28A0092B-C50C-407E-A947-70E740481C1C}">
                          <a14:useLocalDpi xmlns:a14="http://schemas.microsoft.com/office/drawing/2010/main" val="0"/>
                        </a:ext>
                      </a:extLst>
                    </a:blip>
                    <a:srcRect t="1755"/>
                    <a:stretch/>
                  </pic:blipFill>
                  <pic:spPr bwMode="auto">
                    <a:xfrm>
                      <a:off x="0" y="0"/>
                      <a:ext cx="5122089" cy="1754429"/>
                    </a:xfrm>
                    <a:prstGeom prst="rect">
                      <a:avLst/>
                    </a:prstGeom>
                    <a:noFill/>
                    <a:ln>
                      <a:noFill/>
                    </a:ln>
                    <a:extLst>
                      <a:ext uri="{53640926-AAD7-44D8-BBD7-CCE9431645EC}">
                        <a14:shadowObscured xmlns:a14="http://schemas.microsoft.com/office/drawing/2010/main"/>
                      </a:ext>
                    </a:extLst>
                  </pic:spPr>
                </pic:pic>
              </a:graphicData>
            </a:graphic>
          </wp:inline>
        </w:drawing>
      </w:r>
    </w:p>
    <w:p w14:paraId="4A56CF6E" w14:textId="1BB9D726" w:rsidR="00DD4D24" w:rsidRDefault="00DD4D24" w:rsidP="00B15438">
      <w:pPr>
        <w:pStyle w:val="FigureDescription"/>
      </w:pPr>
      <w:r>
        <w:t>CI = confidence intervals; PGI-C = Patient Global Impression of Change OR = odds ratio; SD-809 = </w:t>
      </w:r>
      <w:proofErr w:type="spellStart"/>
      <w:r>
        <w:t>deutetrabenazine</w:t>
      </w:r>
      <w:proofErr w:type="spellEnd"/>
      <w:r>
        <w:t xml:space="preserve"> (drug development code)</w:t>
      </w:r>
    </w:p>
    <w:p w14:paraId="4D2CC67D" w14:textId="37FF034B" w:rsidR="00C51795" w:rsidRDefault="00C51795" w:rsidP="00226F61">
      <w:r>
        <w:t xml:space="preserve">For mCDQ-24 score, a numerically greater improvement in mCDQ-24 score was reported in the </w:t>
      </w:r>
      <w:proofErr w:type="spellStart"/>
      <w:r>
        <w:t>deutetrabenazine</w:t>
      </w:r>
      <w:proofErr w:type="spellEnd"/>
      <w:r>
        <w:t xml:space="preserve"> 24 and 36 mg/day groups and not in the 12 mg /day group, compared to placebo. None of the treatment differences achieved</w:t>
      </w:r>
      <w:r w:rsidR="006E36F0">
        <w:t xml:space="preserve"> statistical</w:t>
      </w:r>
      <w:r>
        <w:t xml:space="preserve"> significance (see </w:t>
      </w:r>
      <w:r>
        <w:fldChar w:fldCharType="begin"/>
      </w:r>
      <w:r>
        <w:instrText xml:space="preserve"> REF _Ref82093245 \h </w:instrText>
      </w:r>
      <w:r>
        <w:fldChar w:fldCharType="separate"/>
      </w:r>
      <w:r w:rsidR="00B15438" w:rsidRPr="00C51795">
        <w:t xml:space="preserve">Table </w:t>
      </w:r>
      <w:r w:rsidR="00B15438">
        <w:rPr>
          <w:noProof/>
        </w:rPr>
        <w:t>19</w:t>
      </w:r>
      <w:r>
        <w:fldChar w:fldCharType="end"/>
      </w:r>
      <w:r>
        <w:t>).</w:t>
      </w:r>
    </w:p>
    <w:p w14:paraId="49C78559" w14:textId="632A8134" w:rsidR="00C51795" w:rsidRDefault="00C51795" w:rsidP="00C51795">
      <w:pPr>
        <w:pStyle w:val="TableTitle"/>
      </w:pPr>
      <w:bookmarkStart w:id="49" w:name="_Ref82093245"/>
      <w:r w:rsidRPr="00C51795">
        <w:lastRenderedPageBreak/>
        <w:t xml:space="preserve">Table </w:t>
      </w:r>
      <w:r w:rsidR="000C3739">
        <w:fldChar w:fldCharType="begin"/>
      </w:r>
      <w:r w:rsidR="000C3739">
        <w:instrText xml:space="preserve"> SEQ Table \* ARABIC </w:instrText>
      </w:r>
      <w:r w:rsidR="000C3739">
        <w:fldChar w:fldCharType="separate"/>
      </w:r>
      <w:r w:rsidR="00B15438">
        <w:rPr>
          <w:noProof/>
        </w:rPr>
        <w:t>19</w:t>
      </w:r>
      <w:r w:rsidR="000C3739">
        <w:rPr>
          <w:noProof/>
        </w:rPr>
        <w:fldChar w:fldCharType="end"/>
      </w:r>
      <w:bookmarkEnd w:id="49"/>
      <w:r>
        <w:t xml:space="preserve">: </w:t>
      </w:r>
      <w:r w:rsidR="003E2626" w:rsidRPr="003E2626">
        <w:t>Study-809-C-23</w:t>
      </w:r>
      <w:r w:rsidR="003E2626">
        <w:t xml:space="preserve"> </w:t>
      </w:r>
      <w:r w:rsidRPr="00C51795">
        <w:t>Mean change in mCDQ-24</w:t>
      </w:r>
    </w:p>
    <w:p w14:paraId="06537C4E" w14:textId="62B849EA" w:rsidR="00C51795" w:rsidRDefault="00C51795" w:rsidP="00C51795">
      <w:r w:rsidRPr="00C51795">
        <w:rPr>
          <w:noProof/>
          <w:lang w:val="en-GB" w:eastAsia="en-GB"/>
        </w:rPr>
        <w:drawing>
          <wp:inline distT="0" distB="0" distL="0" distR="0" wp14:anchorId="59CE89B9" wp14:editId="6386666E">
            <wp:extent cx="5064981" cy="1934371"/>
            <wp:effectExtent l="0" t="0" r="2540" b="8890"/>
            <wp:docPr id="21" name="Picture 21" descr="Study-809-C-23 Mean change in mCD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809-C-23 Mean change in mCDQ-24"/>
                    <pic:cNvPicPr>
                      <a:picLocks noChangeAspect="1" noChangeArrowheads="1"/>
                    </pic:cNvPicPr>
                  </pic:nvPicPr>
                  <pic:blipFill rotWithShape="1">
                    <a:blip r:embed="rId36">
                      <a:extLst>
                        <a:ext uri="{28A0092B-C50C-407E-A947-70E740481C1C}">
                          <a14:useLocalDpi xmlns:a14="http://schemas.microsoft.com/office/drawing/2010/main" val="0"/>
                        </a:ext>
                      </a:extLst>
                    </a:blip>
                    <a:srcRect l="303" t="2734" r="894"/>
                    <a:stretch/>
                  </pic:blipFill>
                  <pic:spPr bwMode="auto">
                    <a:xfrm>
                      <a:off x="0" y="0"/>
                      <a:ext cx="5074756" cy="1938104"/>
                    </a:xfrm>
                    <a:prstGeom prst="rect">
                      <a:avLst/>
                    </a:prstGeom>
                    <a:noFill/>
                    <a:ln>
                      <a:noFill/>
                    </a:ln>
                    <a:extLst>
                      <a:ext uri="{53640926-AAD7-44D8-BBD7-CCE9431645EC}">
                        <a14:shadowObscured xmlns:a14="http://schemas.microsoft.com/office/drawing/2010/main"/>
                      </a:ext>
                    </a:extLst>
                  </pic:spPr>
                </pic:pic>
              </a:graphicData>
            </a:graphic>
          </wp:inline>
        </w:drawing>
      </w:r>
    </w:p>
    <w:p w14:paraId="52F8899F" w14:textId="532CCF6B" w:rsidR="00DD4D24" w:rsidRDefault="00DD4D24" w:rsidP="00B15438">
      <w:pPr>
        <w:pStyle w:val="TableDescription"/>
      </w:pPr>
      <w:r>
        <w:t xml:space="preserve">mCDQ-24 = modified </w:t>
      </w:r>
      <w:proofErr w:type="spellStart"/>
      <w:r w:rsidRPr="00DD4D24">
        <w:t>Craniocervical</w:t>
      </w:r>
      <w:proofErr w:type="spellEnd"/>
      <w:r w:rsidRPr="00DD4D24">
        <w:t xml:space="preserve"> Dystonia Questionnaire (CDQ-24)</w:t>
      </w:r>
    </w:p>
    <w:p w14:paraId="791E0C7E" w14:textId="0698172A" w:rsidR="00DD4D24" w:rsidRDefault="00DD4D24" w:rsidP="00B15438">
      <w:pPr>
        <w:pStyle w:val="TableDescription"/>
      </w:pPr>
      <w:r>
        <w:t xml:space="preserve">CI = confidence interval; LS = least squares; SE = standard error; SD-809 = </w:t>
      </w:r>
      <w:proofErr w:type="spellStart"/>
      <w:r>
        <w:t>deutetrabenazine</w:t>
      </w:r>
      <w:proofErr w:type="spellEnd"/>
      <w:r>
        <w:t xml:space="preserve"> (drug development code)</w:t>
      </w:r>
    </w:p>
    <w:p w14:paraId="4BD46F10" w14:textId="77777777" w:rsidR="00C51795" w:rsidRDefault="00C51795" w:rsidP="00C51795">
      <w:pPr>
        <w:pStyle w:val="Heading5"/>
      </w:pPr>
      <w:r>
        <w:t>Study C-20</w:t>
      </w:r>
    </w:p>
    <w:p w14:paraId="2FB59187" w14:textId="79322971" w:rsidR="00C51795" w:rsidRDefault="00DD4D24" w:rsidP="00C51795">
      <w:r>
        <w:t>Study C-20 is an o</w:t>
      </w:r>
      <w:r w:rsidR="00C51795">
        <w:t>pen label long</w:t>
      </w:r>
      <w:r w:rsidR="0026689A">
        <w:t xml:space="preserve"> </w:t>
      </w:r>
      <w:r w:rsidR="00C51795">
        <w:t xml:space="preserve">term safety study of </w:t>
      </w:r>
      <w:proofErr w:type="spellStart"/>
      <w:r w:rsidR="00C51795">
        <w:t>deutetrabenazine</w:t>
      </w:r>
      <w:proofErr w:type="spellEnd"/>
      <w:r w:rsidR="00C51795">
        <w:t xml:space="preserve"> in patients with moderate to severe </w:t>
      </w:r>
      <w:r>
        <w:t>tardive dyskinesia</w:t>
      </w:r>
      <w:r w:rsidR="00C51795">
        <w:t xml:space="preserve">. The study also evaluated efficacy of </w:t>
      </w:r>
      <w:r w:rsidR="0026689A">
        <w:t>long term</w:t>
      </w:r>
      <w:r w:rsidR="00C51795">
        <w:t xml:space="preserve"> maintenance treatment with </w:t>
      </w:r>
      <w:proofErr w:type="spellStart"/>
      <w:r w:rsidR="00C51795">
        <w:t>deutetrabenazine</w:t>
      </w:r>
      <w:proofErr w:type="spellEnd"/>
      <w:r w:rsidR="00C51795">
        <w:t>.</w:t>
      </w:r>
    </w:p>
    <w:p w14:paraId="52DB24A3" w14:textId="458E20F0" w:rsidR="00DD4D24" w:rsidRDefault="00DD4D24" w:rsidP="00B15438">
      <w:pPr>
        <w:pStyle w:val="Heading6"/>
      </w:pPr>
      <w:r>
        <w:t>Study overview</w:t>
      </w:r>
    </w:p>
    <w:p w14:paraId="639CC447" w14:textId="146CC9FE" w:rsidR="00C51795" w:rsidRDefault="00C51795" w:rsidP="00C51795">
      <w:r>
        <w:t xml:space="preserve">After completion of a </w:t>
      </w:r>
      <w:r w:rsidR="001428CE">
        <w:t>one week</w:t>
      </w:r>
      <w:r>
        <w:t xml:space="preserve"> washout period, 304 patients who have completed </w:t>
      </w:r>
      <w:r w:rsidR="0026689A">
        <w:t>S</w:t>
      </w:r>
      <w:r>
        <w:t>tudies</w:t>
      </w:r>
      <w:r w:rsidR="00DD4D24">
        <w:t> </w:t>
      </w:r>
      <w:r>
        <w:t>C</w:t>
      </w:r>
      <w:r w:rsidR="009F2232">
        <w:noBreakHyphen/>
      </w:r>
      <w:r>
        <w:t xml:space="preserve">18 and C-23 rolled over into this study. The eligible subjects were also required to be on treatment with a </w:t>
      </w:r>
      <w:r w:rsidR="00C8762D">
        <w:t>dopamine receptor antagonist (</w:t>
      </w:r>
      <w:r>
        <w:t>DRA</w:t>
      </w:r>
      <w:r w:rsidR="00C8762D">
        <w:t>)</w:t>
      </w:r>
      <w:r>
        <w:t xml:space="preserve"> for at least 3 months. 74% of subjects are still ongoing at the time of data analysis of this study.</w:t>
      </w:r>
    </w:p>
    <w:p w14:paraId="1022C8A3" w14:textId="2848A5A1" w:rsidR="00C51795" w:rsidRDefault="00C51795" w:rsidP="00C51795">
      <w:pPr>
        <w:pStyle w:val="FigureTitle"/>
      </w:pPr>
      <w:r w:rsidRPr="00C51795">
        <w:lastRenderedPageBreak/>
        <w:t xml:space="preserve">Figure </w:t>
      </w:r>
      <w:r w:rsidR="000C3739">
        <w:fldChar w:fldCharType="begin"/>
      </w:r>
      <w:r w:rsidR="000C3739">
        <w:instrText xml:space="preserve"> SEQ Figure \* ARABIC </w:instrText>
      </w:r>
      <w:r w:rsidR="000C3739">
        <w:fldChar w:fldCharType="separate"/>
      </w:r>
      <w:r w:rsidR="00B15438">
        <w:rPr>
          <w:noProof/>
        </w:rPr>
        <w:t>4</w:t>
      </w:r>
      <w:r w:rsidR="000C3739">
        <w:rPr>
          <w:noProof/>
        </w:rPr>
        <w:fldChar w:fldCharType="end"/>
      </w:r>
      <w:r>
        <w:t xml:space="preserve">: Study C-20 </w:t>
      </w:r>
      <w:r w:rsidR="00C8762D">
        <w:t>S</w:t>
      </w:r>
      <w:r>
        <w:t>ubject disposition</w:t>
      </w:r>
    </w:p>
    <w:p w14:paraId="2177DDD3" w14:textId="77777777" w:rsidR="00C51795" w:rsidRDefault="00C51795" w:rsidP="00C51795">
      <w:r w:rsidRPr="00C51795">
        <w:rPr>
          <w:noProof/>
          <w:lang w:val="en-GB" w:eastAsia="en-GB"/>
        </w:rPr>
        <w:drawing>
          <wp:inline distT="0" distB="0" distL="0" distR="0" wp14:anchorId="36147D34" wp14:editId="4B13F54D">
            <wp:extent cx="5048885" cy="4746625"/>
            <wp:effectExtent l="0" t="0" r="0" b="0"/>
            <wp:docPr id="22" name="Picture 22" descr="Study C-20 subject disposition.&#10;The study was divided into a screening period, a titration period (up to 6 weeks), a long-term treatment period (up to 2 years), and a post-treatment safety follow-up period (4 weeks). Overall, the study duration was up to 110 weeks.&#10;Baseline data: 304 subjects were randomised. 202 subjects were receiving deutetrabenazine in the prior study and 102 subjects were in the placebo arm. Mean age was around 56 years. 56% of subjects were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C-20 subject disposition.&#10;The study was divided into a screening period, a titration period (up to 6 weeks), a long-term treatment period (up to 2 years), and a post-treatment safety follow-up period (4 weeks). Overall, the study duration was up to 110 weeks.&#10;Baseline data: 304 subjects were randomised. 202 subjects were receiving deutetrabenazine in the prior study and 102 subjects were in the placebo arm. Mean age was around 56 years. 56% of subjects were fema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885" cy="4746625"/>
                    </a:xfrm>
                    <a:prstGeom prst="rect">
                      <a:avLst/>
                    </a:prstGeom>
                    <a:noFill/>
                    <a:ln>
                      <a:noFill/>
                    </a:ln>
                  </pic:spPr>
                </pic:pic>
              </a:graphicData>
            </a:graphic>
          </wp:inline>
        </w:drawing>
      </w:r>
    </w:p>
    <w:p w14:paraId="0E859B82" w14:textId="77777777" w:rsidR="00215AA2" w:rsidRDefault="00215AA2" w:rsidP="00215AA2">
      <w:pPr>
        <w:pStyle w:val="Heading6"/>
      </w:pPr>
      <w:r>
        <w:t>Results</w:t>
      </w:r>
    </w:p>
    <w:p w14:paraId="36AB7204" w14:textId="77777777" w:rsidR="00215AA2" w:rsidRDefault="00215AA2" w:rsidP="00215AA2">
      <w:r w:rsidRPr="00B15438">
        <w:rPr>
          <w:i/>
        </w:rPr>
        <w:t>Total AIMS score</w:t>
      </w:r>
      <w:r>
        <w:t>: At Week 145, the mean change (</w:t>
      </w:r>
      <w:r w:rsidR="009F2232">
        <w:t>standard error (</w:t>
      </w:r>
      <w:r>
        <w:t>SE)</w:t>
      </w:r>
      <w:r w:rsidR="00941434">
        <w:t>)</w:t>
      </w:r>
      <w:r>
        <w:t xml:space="preserve"> from Baseline in the total motor AIMS score was -6.8 (0.44) and the mean daily dose was 39.5</w:t>
      </w:r>
      <w:r w:rsidR="0026689A">
        <w:t> </w:t>
      </w:r>
      <w:r>
        <w:t>mg.</w:t>
      </w:r>
    </w:p>
    <w:p w14:paraId="6A41C83C" w14:textId="55D145A1" w:rsidR="00215AA2" w:rsidRDefault="00215AA2" w:rsidP="00215AA2">
      <w:r w:rsidRPr="00B15438">
        <w:rPr>
          <w:i/>
        </w:rPr>
        <w:t>CGI</w:t>
      </w:r>
      <w:r w:rsidR="00C8762D" w:rsidRPr="00B15438">
        <w:rPr>
          <w:i/>
        </w:rPr>
        <w:t>-</w:t>
      </w:r>
      <w:r w:rsidRPr="00B15438">
        <w:rPr>
          <w:i/>
        </w:rPr>
        <w:t>C score</w:t>
      </w:r>
      <w:r>
        <w:t xml:space="preserve">: At </w:t>
      </w:r>
      <w:r w:rsidR="001428CE">
        <w:t>W</w:t>
      </w:r>
      <w:r>
        <w:t>eek 145, 78% of the subjects achieved treatment success.</w:t>
      </w:r>
    </w:p>
    <w:p w14:paraId="78AB9C41" w14:textId="41154AFC" w:rsidR="00215AA2" w:rsidRDefault="00215AA2" w:rsidP="00215AA2">
      <w:r>
        <w:t>Similar improvements were also demonstrated for PGI</w:t>
      </w:r>
      <w:r w:rsidR="00C8762D">
        <w:t>-</w:t>
      </w:r>
      <w:r>
        <w:t>C endpoint.</w:t>
      </w:r>
    </w:p>
    <w:p w14:paraId="6A96707B" w14:textId="77777777" w:rsidR="00215AA2" w:rsidRPr="00855435" w:rsidRDefault="00215AA2" w:rsidP="00B15438">
      <w:pPr>
        <w:pStyle w:val="Heading5"/>
      </w:pPr>
      <w:r w:rsidRPr="000B7D5C">
        <w:t>Pooled analysis</w:t>
      </w:r>
    </w:p>
    <w:p w14:paraId="28661D17" w14:textId="77777777" w:rsidR="00215AA2" w:rsidRDefault="00215AA2" w:rsidP="00215AA2">
      <w:r>
        <w:t xml:space="preserve">The sponsor conducted a restricted pooled analysis because of the difference in the dosing methodologies across Studies C-23 and C-18. All patients in the dose group in Study C-18 were included along with the 24 and 36 mg/day dose groups from Study C-23, and these pooled data were compared to pooled placebo data from the </w:t>
      </w:r>
      <w:r w:rsidR="0026689A">
        <w:t>two</w:t>
      </w:r>
      <w:r>
        <w:t xml:space="preserve"> studies.</w:t>
      </w:r>
      <w:r w:rsidR="00941434">
        <w:t xml:space="preserve"> </w:t>
      </w:r>
      <w:r>
        <w:t>While, the sponsor has provided the reasoning that the 12 mg/day treatment group from Study C-23 was not included in this pooled analysis because it exhibited efficacy only in a subset of patients who were not taking DRAs. The Delegate consider</w:t>
      </w:r>
      <w:r w:rsidR="00941434">
        <w:t>ed</w:t>
      </w:r>
      <w:r>
        <w:t xml:space="preserve"> this approach as selection bias as major limitation in the approach for pooling of data, particularly for the assessment of efficacy. Hence, the outcomes of these analyses have not been considered in this overview.</w:t>
      </w:r>
    </w:p>
    <w:p w14:paraId="7076BF3D" w14:textId="77777777" w:rsidR="00215AA2" w:rsidRDefault="00215AA2" w:rsidP="00215AA2">
      <w:pPr>
        <w:pStyle w:val="Heading4"/>
      </w:pPr>
      <w:r>
        <w:lastRenderedPageBreak/>
        <w:t>Safety</w:t>
      </w:r>
    </w:p>
    <w:p w14:paraId="169376BB" w14:textId="0B1F9DF5" w:rsidR="00ED4BF2" w:rsidRPr="00ED4BF2" w:rsidRDefault="00C8762D" w:rsidP="00ED4BF2">
      <w:pPr>
        <w:pStyle w:val="Heading5"/>
      </w:pPr>
      <w:r>
        <w:t xml:space="preserve">Indication: chorea associated with </w:t>
      </w:r>
      <w:r w:rsidR="00ED4BF2">
        <w:t>Huntington disease</w:t>
      </w:r>
    </w:p>
    <w:p w14:paraId="323EA93E" w14:textId="44CDD257" w:rsidR="00215AA2" w:rsidRDefault="00215AA2" w:rsidP="00215AA2">
      <w:r>
        <w:t xml:space="preserve">In Study C-15, the most common adverse events (AE), somnolence, </w:t>
      </w:r>
      <w:r w:rsidR="00AE3FD6">
        <w:t xml:space="preserve">dry mouth </w:t>
      </w:r>
      <w:r>
        <w:t xml:space="preserve">and diarrhoea were reported by more patients treated with </w:t>
      </w:r>
      <w:proofErr w:type="spellStart"/>
      <w:r>
        <w:t>deutetrabenazine</w:t>
      </w:r>
      <w:proofErr w:type="spellEnd"/>
      <w:r>
        <w:t xml:space="preserve"> than patients treated with placebo. Diarrhoea was reported in 8.9% of subjects in the </w:t>
      </w:r>
      <w:proofErr w:type="spellStart"/>
      <w:r>
        <w:t>deutetrabenazine</w:t>
      </w:r>
      <w:proofErr w:type="spellEnd"/>
      <w:r>
        <w:t xml:space="preserve"> arm, compared to nil subject in the placebo arm.</w:t>
      </w:r>
    </w:p>
    <w:p w14:paraId="28EF8A0A" w14:textId="586910DF" w:rsidR="00215AA2" w:rsidRDefault="00215AA2" w:rsidP="00215AA2">
      <w:r>
        <w:t xml:space="preserve">A low incidence rate of neurologic and psychiatric adverse events, such as depression, anxiety, and akathisia, were reported in </w:t>
      </w:r>
      <w:proofErr w:type="spellStart"/>
      <w:r>
        <w:t>deutetrabenazine</w:t>
      </w:r>
      <w:proofErr w:type="spellEnd"/>
      <w:r>
        <w:t xml:space="preserve"> group .</w:t>
      </w:r>
    </w:p>
    <w:p w14:paraId="088F654C" w14:textId="70A39B94" w:rsidR="00215AA2" w:rsidRDefault="00DF02DA" w:rsidP="00215AA2">
      <w:r>
        <w:t>T</w:t>
      </w:r>
      <w:r w:rsidR="00215AA2">
        <w:t xml:space="preserve">here were no adverse events of parkinsonism or dysphagia in subjects with </w:t>
      </w:r>
      <w:r w:rsidR="00C8762D">
        <w:t xml:space="preserve">Huntington disease </w:t>
      </w:r>
      <w:r w:rsidR="00215AA2">
        <w:t xml:space="preserve">in </w:t>
      </w:r>
      <w:r>
        <w:t xml:space="preserve">the </w:t>
      </w:r>
      <w:proofErr w:type="spellStart"/>
      <w:r w:rsidR="00215AA2">
        <w:t>deutetrabenazine</w:t>
      </w:r>
      <w:proofErr w:type="spellEnd"/>
      <w:r w:rsidR="00215AA2">
        <w:t xml:space="preserve"> group.</w:t>
      </w:r>
    </w:p>
    <w:p w14:paraId="002DC8EA" w14:textId="77777777" w:rsidR="00215AA2" w:rsidRDefault="00215AA2" w:rsidP="00215AA2">
      <w:r>
        <w:t>Safety scales were included in the study to monitor for symptoms of depression, suicidality, anxiety, somnolence, parkinsonism, akathisia, and dysphagia. No major safety-related findings were reported.</w:t>
      </w:r>
    </w:p>
    <w:p w14:paraId="1DEF9A85" w14:textId="0DECEEE2" w:rsidR="002F0523" w:rsidRDefault="00215AA2" w:rsidP="002F0523">
      <w:r>
        <w:t xml:space="preserve">In Study C-16, the most common adverse events reported in the switch patients were fall (16 patients; 43.2%), anxiety (13 patients; 35.1%), somnolence (11 patients; 29.7%), reduction in weight (9 patients; 24.3%), and depression (8 patients; 21.6%). </w:t>
      </w:r>
      <w:r w:rsidR="002F0523" w:rsidRPr="002F0523">
        <w:t xml:space="preserve">The most common adverse events </w:t>
      </w:r>
      <w:r w:rsidR="002F0523">
        <w:t>reported</w:t>
      </w:r>
      <w:r w:rsidR="002F0523" w:rsidRPr="002F0523">
        <w:t xml:space="preserve"> in the </w:t>
      </w:r>
      <w:r w:rsidR="002F0523">
        <w:t>r</w:t>
      </w:r>
      <w:r w:rsidR="002F0523" w:rsidRPr="002F0523">
        <w:t xml:space="preserve">ollover patients were fall (31 patients; 37.8%), depression (26 patients, 31.7%), anxiety (22 patients; 26.8%), insomnia (19 patients; 23.2%), and somnolence (16 patients; 19.5%). </w:t>
      </w:r>
      <w:r>
        <w:t xml:space="preserve">The majority of the falls in Study C-16 were considered by the investigator to be unrelated to </w:t>
      </w:r>
      <w:proofErr w:type="spellStart"/>
      <w:r>
        <w:t>deutetrabenazine</w:t>
      </w:r>
      <w:proofErr w:type="spellEnd"/>
      <w:r>
        <w:t>.</w:t>
      </w:r>
    </w:p>
    <w:p w14:paraId="39EF70F2" w14:textId="77777777" w:rsidR="00215AA2" w:rsidRPr="002F0523" w:rsidRDefault="00215AA2" w:rsidP="002F0523">
      <w:r w:rsidRPr="002F0523">
        <w:t>The proportion of subjects with serious adverse events (SAEs) were comparable across switch and roll over cohort (around 25 to 30%).</w:t>
      </w:r>
    </w:p>
    <w:p w14:paraId="31CCD4A6" w14:textId="5595039B" w:rsidR="00215AA2" w:rsidRPr="002F0523" w:rsidRDefault="00215AA2" w:rsidP="002F0523">
      <w:r w:rsidRPr="002F0523">
        <w:t xml:space="preserve">There were </w:t>
      </w:r>
      <w:r w:rsidR="002F0523" w:rsidRPr="002F0523">
        <w:t>eight</w:t>
      </w:r>
      <w:r w:rsidRPr="002F0523">
        <w:t xml:space="preserve"> events of suicidal ideation reported across </w:t>
      </w:r>
      <w:r w:rsidR="0026689A" w:rsidRPr="002F0523">
        <w:t>S</w:t>
      </w:r>
      <w:r w:rsidRPr="002F0523">
        <w:t xml:space="preserve">tudies C-15 and C-16 in subjects in </w:t>
      </w:r>
      <w:proofErr w:type="spellStart"/>
      <w:r w:rsidRPr="002F0523">
        <w:t>deutetrabenazine</w:t>
      </w:r>
      <w:proofErr w:type="spellEnd"/>
      <w:r w:rsidRPr="002F0523">
        <w:t xml:space="preserve"> group. These events led dose suspension or treatment discontinuation. No events of completed suicide were reported.</w:t>
      </w:r>
    </w:p>
    <w:p w14:paraId="1A06AAE4" w14:textId="50B8314B" w:rsidR="00215AA2" w:rsidRDefault="00215AA2" w:rsidP="002F0523">
      <w:r w:rsidRPr="002F0523">
        <w:t>Long term safety da</w:t>
      </w:r>
      <w:r>
        <w:t xml:space="preserve">ta was evaluated with </w:t>
      </w:r>
      <w:r w:rsidR="0026689A">
        <w:t>S</w:t>
      </w:r>
      <w:r>
        <w:t>tudy</w:t>
      </w:r>
      <w:r w:rsidR="003E2626">
        <w:t xml:space="preserve"> </w:t>
      </w:r>
      <w:r>
        <w:t>C-16</w:t>
      </w:r>
      <w:r w:rsidR="00C8762D">
        <w:t>:</w:t>
      </w:r>
    </w:p>
    <w:p w14:paraId="0CD6A45A" w14:textId="77777777" w:rsidR="00215AA2" w:rsidRDefault="00215AA2" w:rsidP="00215AA2">
      <w:pPr>
        <w:pStyle w:val="ListBullet"/>
      </w:pPr>
      <w:r>
        <w:t>The frequencies of dose reduction, dose suspension, or withdrawal from the study due to adverse events were relatively higher in the Study C-</w:t>
      </w:r>
      <w:r w:rsidRPr="00A677A7">
        <w:t>16 ARC-</w:t>
      </w:r>
      <w:r w:rsidR="00941434" w:rsidRPr="00A677A7">
        <w:t>r</w:t>
      </w:r>
      <w:r w:rsidRPr="00A677A7">
        <w:t>ollover</w:t>
      </w:r>
      <w:r>
        <w:t xml:space="preserve"> and ARC-</w:t>
      </w:r>
      <w:r w:rsidR="00941434">
        <w:t>s</w:t>
      </w:r>
      <w:r>
        <w:t>witch patients compared to those in Study C-15, which was consistent with the longer duration of treatment and observation in Study C-16.</w:t>
      </w:r>
    </w:p>
    <w:p w14:paraId="216BDB07" w14:textId="77777777" w:rsidR="00215AA2" w:rsidRDefault="00215AA2" w:rsidP="00215AA2">
      <w:pPr>
        <w:pStyle w:val="ListBullet"/>
      </w:pPr>
      <w:r>
        <w:t xml:space="preserve">There was no unique pattern of adverse events during the first week of </w:t>
      </w:r>
      <w:proofErr w:type="spellStart"/>
      <w:r>
        <w:t>deutetrabenazine</w:t>
      </w:r>
      <w:proofErr w:type="spellEnd"/>
      <w:r>
        <w:t xml:space="preserve"> therapy following the overnight switch from tetrabenazine to </w:t>
      </w:r>
      <w:proofErr w:type="spellStart"/>
      <w:r>
        <w:t>deutetrabenazine</w:t>
      </w:r>
      <w:proofErr w:type="spellEnd"/>
      <w:r>
        <w:t>.</w:t>
      </w:r>
    </w:p>
    <w:p w14:paraId="41BE5636" w14:textId="0B7F587D" w:rsidR="00215AA2" w:rsidRDefault="00215AA2" w:rsidP="00215AA2">
      <w:r>
        <w:t xml:space="preserve">The Delegate commented that Studies C-15 and C-16 were too short to demonstrate parkinsonism, which is seen most frequently in </w:t>
      </w:r>
      <w:r w:rsidR="0026689A">
        <w:t>long term</w:t>
      </w:r>
      <w:r>
        <w:t xml:space="preserve"> open label follow up studies.</w:t>
      </w:r>
      <w:r w:rsidR="00830746">
        <w:rPr>
          <w:rStyle w:val="FootnoteReference"/>
        </w:rPr>
        <w:footnoteReference w:id="19"/>
      </w:r>
      <w:r>
        <w:t>.</w:t>
      </w:r>
    </w:p>
    <w:p w14:paraId="3DFE3813" w14:textId="4547D7DF" w:rsidR="00ED4BF2" w:rsidRDefault="00C8762D" w:rsidP="00ED4BF2">
      <w:pPr>
        <w:pStyle w:val="Heading5"/>
      </w:pPr>
      <w:r>
        <w:t>Indication: t</w:t>
      </w:r>
      <w:r w:rsidR="00ED4BF2">
        <w:t>ardive dyskinesia</w:t>
      </w:r>
    </w:p>
    <w:p w14:paraId="5CB9FE4D" w14:textId="516D4BA0" w:rsidR="00215AA2" w:rsidRDefault="00ED4BF2" w:rsidP="00ED4BF2">
      <w:r>
        <w:t>I</w:t>
      </w:r>
      <w:r w:rsidR="00215AA2">
        <w:t xml:space="preserve">n </w:t>
      </w:r>
      <w:r>
        <w:t>S</w:t>
      </w:r>
      <w:r w:rsidR="00215AA2">
        <w:t>tudy C-18</w:t>
      </w:r>
      <w:r w:rsidR="004B4533">
        <w:t>,</w:t>
      </w:r>
      <w:r w:rsidR="00215AA2">
        <w:t xml:space="preserve"> a similar proportion of patients experienced adverse events in the </w:t>
      </w:r>
      <w:proofErr w:type="spellStart"/>
      <w:r w:rsidR="00215AA2">
        <w:t>deutetrabenazine</w:t>
      </w:r>
      <w:proofErr w:type="spellEnd"/>
      <w:r w:rsidR="00215AA2">
        <w:t xml:space="preserve"> group and placebo group (</w:t>
      </w:r>
      <w:r w:rsidR="00530E71">
        <w:t>70.7</w:t>
      </w:r>
      <w:r w:rsidR="00215AA2">
        <w:t xml:space="preserve">% versus </w:t>
      </w:r>
      <w:r w:rsidR="00530E71">
        <w:t>61</w:t>
      </w:r>
      <w:r w:rsidR="00215AA2">
        <w:t>).</w:t>
      </w:r>
    </w:p>
    <w:p w14:paraId="665DC229" w14:textId="77777777" w:rsidR="00215AA2" w:rsidRDefault="00215AA2" w:rsidP="00ED4BF2">
      <w:r>
        <w:t xml:space="preserve">In </w:t>
      </w:r>
      <w:r w:rsidR="00ED4BF2">
        <w:t>S</w:t>
      </w:r>
      <w:r>
        <w:t>tudy C-23, in the fixed dose groups, the proportion of subjects who experienced adverse events was comparable (around 43</w:t>
      </w:r>
      <w:r w:rsidR="00ED4BF2">
        <w:t xml:space="preserve"> to </w:t>
      </w:r>
      <w:r>
        <w:t>51%) across the 12, 24, and 36</w:t>
      </w:r>
      <w:r w:rsidR="0026689A">
        <w:t> </w:t>
      </w:r>
      <w:r>
        <w:t xml:space="preserve">mg </w:t>
      </w:r>
      <w:proofErr w:type="spellStart"/>
      <w:r>
        <w:t>deutetrabenazine</w:t>
      </w:r>
      <w:proofErr w:type="spellEnd"/>
      <w:r>
        <w:t xml:space="preserve"> groups. Events were of mild or moderate severity and severe adverse events were infrequent.</w:t>
      </w:r>
    </w:p>
    <w:p w14:paraId="35EE9834" w14:textId="77777777" w:rsidR="00ED4BF2" w:rsidRPr="00ED4BF2" w:rsidRDefault="00ED4BF2" w:rsidP="00ED4BF2">
      <w:pPr>
        <w:rPr>
          <w:rFonts w:eastAsiaTheme="minorHAnsi" w:cs="Cambria"/>
          <w:color w:val="000000"/>
        </w:rPr>
      </w:pPr>
      <w:r w:rsidRPr="00ED4BF2">
        <w:rPr>
          <w:rFonts w:eastAsiaTheme="minorHAnsi" w:cs="Cambria"/>
          <w:color w:val="000000"/>
        </w:rPr>
        <w:t>The proportion of subjects with SAEs and with AEs leading to discontinuations were comparable across treatment groups.</w:t>
      </w:r>
    </w:p>
    <w:p w14:paraId="1D51DFA7" w14:textId="47E875A4" w:rsidR="00ED4BF2" w:rsidRPr="00ED4BF2" w:rsidRDefault="003B3689" w:rsidP="00C3516E">
      <w:pPr>
        <w:rPr>
          <w:rFonts w:eastAsiaTheme="minorHAnsi" w:cs="Cambria"/>
          <w:color w:val="000000"/>
        </w:rPr>
      </w:pPr>
      <w:r>
        <w:rPr>
          <w:rFonts w:eastAsiaTheme="minorHAnsi" w:cs="Cambria"/>
          <w:color w:val="000000"/>
        </w:rPr>
        <w:lastRenderedPageBreak/>
        <w:t>Based on the integrated safety analysis, a</w:t>
      </w:r>
      <w:r w:rsidR="00ED4BF2" w:rsidRPr="00ED4BF2">
        <w:rPr>
          <w:rFonts w:eastAsiaTheme="minorHAnsi" w:cs="Cambria"/>
          <w:color w:val="000000"/>
        </w:rPr>
        <w:t xml:space="preserve">dverse events leading to dose reductions occurred with lower frequency in the placebo group than in </w:t>
      </w:r>
      <w:proofErr w:type="spellStart"/>
      <w:r w:rsidR="00ED4BF2" w:rsidRPr="00ED4BF2">
        <w:rPr>
          <w:rFonts w:eastAsiaTheme="minorHAnsi" w:cs="Cambria"/>
          <w:color w:val="000000"/>
        </w:rPr>
        <w:t>deutetrabenazine</w:t>
      </w:r>
      <w:proofErr w:type="spellEnd"/>
      <w:r w:rsidR="00ED4BF2" w:rsidRPr="00ED4BF2">
        <w:rPr>
          <w:rFonts w:eastAsiaTheme="minorHAnsi" w:cs="Cambria"/>
          <w:color w:val="000000"/>
        </w:rPr>
        <w:t xml:space="preserve"> titration group</w:t>
      </w:r>
      <w:r w:rsidR="00C8762D">
        <w:rPr>
          <w:rFonts w:eastAsiaTheme="minorHAnsi" w:cs="Cambria"/>
          <w:color w:val="000000"/>
        </w:rPr>
        <w:t xml:space="preserve"> </w:t>
      </w:r>
      <w:r w:rsidR="00C3516E">
        <w:rPr>
          <w:rFonts w:eastAsiaTheme="minorHAnsi" w:cs="Cambria"/>
          <w:color w:val="000000"/>
        </w:rPr>
        <w:t xml:space="preserve">(3 patients; 2.3% in the placebo group and, 1 patient; </w:t>
      </w:r>
      <w:r w:rsidR="00C3516E" w:rsidRPr="002F0523">
        <w:rPr>
          <w:rFonts w:eastAsiaTheme="minorHAnsi" w:cs="Cambria"/>
          <w:color w:val="000000"/>
        </w:rPr>
        <w:t>1.4%, 3 patients</w:t>
      </w:r>
      <w:r w:rsidR="00C3516E">
        <w:rPr>
          <w:rFonts w:eastAsiaTheme="minorHAnsi" w:cs="Cambria"/>
          <w:color w:val="000000"/>
        </w:rPr>
        <w:t>; 4.1%</w:t>
      </w:r>
      <w:r w:rsidR="00C3516E" w:rsidRPr="002F0523">
        <w:rPr>
          <w:rFonts w:eastAsiaTheme="minorHAnsi" w:cs="Cambria"/>
          <w:color w:val="000000"/>
        </w:rPr>
        <w:t>, and 15</w:t>
      </w:r>
      <w:r w:rsidR="00C8762D">
        <w:rPr>
          <w:rFonts w:eastAsiaTheme="minorHAnsi" w:cs="Cambria"/>
          <w:color w:val="000000"/>
        </w:rPr>
        <w:t> </w:t>
      </w:r>
      <w:r w:rsidR="00C3516E" w:rsidRPr="002F0523">
        <w:rPr>
          <w:rFonts w:eastAsiaTheme="minorHAnsi" w:cs="Cambria"/>
          <w:color w:val="000000"/>
        </w:rPr>
        <w:t>patients</w:t>
      </w:r>
      <w:r w:rsidR="00C3516E">
        <w:rPr>
          <w:rFonts w:eastAsiaTheme="minorHAnsi" w:cs="Cambria"/>
          <w:color w:val="000000"/>
        </w:rPr>
        <w:t xml:space="preserve"> </w:t>
      </w:r>
      <w:r w:rsidR="00C8762D">
        <w:rPr>
          <w:rFonts w:eastAsiaTheme="minorHAnsi" w:cs="Cambria"/>
          <w:color w:val="000000"/>
        </w:rPr>
        <w:t>(</w:t>
      </w:r>
      <w:r w:rsidR="00C3516E" w:rsidRPr="002F0523">
        <w:rPr>
          <w:rFonts w:eastAsiaTheme="minorHAnsi" w:cs="Cambria"/>
          <w:color w:val="000000"/>
        </w:rPr>
        <w:t>8.9%</w:t>
      </w:r>
      <w:r w:rsidR="00C8762D">
        <w:rPr>
          <w:rFonts w:eastAsiaTheme="minorHAnsi" w:cs="Cambria"/>
          <w:color w:val="000000"/>
        </w:rPr>
        <w:t>)</w:t>
      </w:r>
      <w:r w:rsidR="00C3516E" w:rsidRPr="002F0523">
        <w:rPr>
          <w:rFonts w:eastAsiaTheme="minorHAnsi" w:cs="Cambria"/>
          <w:color w:val="000000"/>
        </w:rPr>
        <w:t xml:space="preserve"> in the </w:t>
      </w:r>
      <w:proofErr w:type="spellStart"/>
      <w:r w:rsidR="00C3516E">
        <w:rPr>
          <w:rFonts w:eastAsiaTheme="minorHAnsi" w:cs="Cambria"/>
          <w:color w:val="000000"/>
        </w:rPr>
        <w:t>deutetrabenazine</w:t>
      </w:r>
      <w:proofErr w:type="spellEnd"/>
      <w:r w:rsidR="00C3516E" w:rsidRPr="002F0523">
        <w:rPr>
          <w:rFonts w:eastAsiaTheme="minorHAnsi" w:cs="Cambria"/>
          <w:color w:val="000000"/>
        </w:rPr>
        <w:t xml:space="preserve"> 1</w:t>
      </w:r>
      <w:r w:rsidR="00C3516E">
        <w:rPr>
          <w:rFonts w:eastAsiaTheme="minorHAnsi" w:cs="Cambria"/>
          <w:color w:val="000000"/>
        </w:rPr>
        <w:t>2, 24, and 36</w:t>
      </w:r>
      <w:r w:rsidR="00C8762D">
        <w:rPr>
          <w:rFonts w:eastAsiaTheme="minorHAnsi" w:cs="Cambria"/>
          <w:color w:val="000000"/>
        </w:rPr>
        <w:t xml:space="preserve"> </w:t>
      </w:r>
      <w:r w:rsidR="00C3516E">
        <w:rPr>
          <w:rFonts w:eastAsiaTheme="minorHAnsi" w:cs="Cambria"/>
          <w:color w:val="000000"/>
        </w:rPr>
        <w:t>mg titration groups, respectively</w:t>
      </w:r>
      <w:r w:rsidR="00C3516E" w:rsidRPr="002F0523">
        <w:rPr>
          <w:rFonts w:eastAsiaTheme="minorHAnsi" w:cs="Cambria"/>
          <w:color w:val="000000"/>
        </w:rPr>
        <w:t>)</w:t>
      </w:r>
      <w:r w:rsidR="00ED4BF2" w:rsidRPr="00ED4BF2">
        <w:rPr>
          <w:rFonts w:eastAsiaTheme="minorHAnsi" w:cs="Cambria"/>
          <w:color w:val="000000"/>
        </w:rPr>
        <w:t xml:space="preserve">. The </w:t>
      </w:r>
      <w:r w:rsidR="00ED4BF2">
        <w:rPr>
          <w:rFonts w:eastAsiaTheme="minorHAnsi" w:cs="Cambria"/>
          <w:color w:val="000000"/>
        </w:rPr>
        <w:t xml:space="preserve">clinical </w:t>
      </w:r>
      <w:r w:rsidR="00ED4BF2" w:rsidRPr="00ED4BF2">
        <w:rPr>
          <w:rFonts w:eastAsiaTheme="minorHAnsi" w:cs="Cambria"/>
          <w:color w:val="000000"/>
        </w:rPr>
        <w:t>evaluator has mentioned that a review of these events did not reveal any specific pattern.</w:t>
      </w:r>
    </w:p>
    <w:p w14:paraId="68FDDE8F" w14:textId="02B08099" w:rsidR="00ED4BF2" w:rsidRPr="00ED4BF2" w:rsidRDefault="00ED4BF2" w:rsidP="00ED4BF2">
      <w:pPr>
        <w:rPr>
          <w:rFonts w:eastAsiaTheme="minorHAnsi" w:cs="Cambria"/>
          <w:color w:val="000000"/>
        </w:rPr>
      </w:pPr>
      <w:r w:rsidRPr="00ED4BF2">
        <w:rPr>
          <w:rFonts w:eastAsiaTheme="minorHAnsi" w:cs="Cambria"/>
          <w:color w:val="000000"/>
        </w:rPr>
        <w:t>In the overall treatment period of the long</w:t>
      </w:r>
      <w:r>
        <w:rPr>
          <w:rFonts w:eastAsiaTheme="minorHAnsi" w:cs="Cambria"/>
          <w:color w:val="000000"/>
        </w:rPr>
        <w:t xml:space="preserve"> </w:t>
      </w:r>
      <w:r w:rsidRPr="00ED4BF2">
        <w:rPr>
          <w:rFonts w:eastAsiaTheme="minorHAnsi" w:cs="Cambria"/>
          <w:color w:val="000000"/>
        </w:rPr>
        <w:t>term safety study (Study C-20), most of the treatment emergent adverse event</w:t>
      </w:r>
      <w:r>
        <w:rPr>
          <w:rFonts w:eastAsiaTheme="minorHAnsi" w:cs="Cambria"/>
          <w:color w:val="000000"/>
        </w:rPr>
        <w:t>s (</w:t>
      </w:r>
      <w:r w:rsidRPr="00ED4BF2">
        <w:rPr>
          <w:rFonts w:eastAsiaTheme="minorHAnsi" w:cs="Cambria"/>
          <w:color w:val="000000"/>
        </w:rPr>
        <w:t>TEAEs</w:t>
      </w:r>
      <w:r>
        <w:rPr>
          <w:rFonts w:eastAsiaTheme="minorHAnsi" w:cs="Cambria"/>
          <w:color w:val="000000"/>
        </w:rPr>
        <w:t>)</w:t>
      </w:r>
      <w:r w:rsidRPr="00ED4BF2">
        <w:rPr>
          <w:rFonts w:eastAsiaTheme="minorHAnsi" w:cs="Cambria"/>
          <w:color w:val="000000"/>
        </w:rPr>
        <w:t xml:space="preserve"> were known adverse effects of tetrabenazine. </w:t>
      </w:r>
      <w:r w:rsidR="003E6F15" w:rsidRPr="003E6F15">
        <w:rPr>
          <w:rFonts w:eastAsiaTheme="minorHAnsi" w:cs="Cambria"/>
          <w:color w:val="000000"/>
        </w:rPr>
        <w:t>Somnolence adverse events were more frequent during titration/dose escalation (11.2% in Studies C-18 and C-20) than during maintenance (0% in Studies C-18 and C-20 up to week 12/15) as well as in the long-term safety Study C-20 (4.1% up to week 158) for both periods. Anxiety was the most frequently reported adverse event during the maintenance period in Study C-20.</w:t>
      </w:r>
    </w:p>
    <w:p w14:paraId="6E500C6E" w14:textId="7D766153" w:rsidR="00ED4BF2" w:rsidRPr="00ED4BF2" w:rsidRDefault="00ED4BF2" w:rsidP="00ED4BF2">
      <w:pPr>
        <w:rPr>
          <w:rFonts w:eastAsiaTheme="minorHAnsi" w:cs="Cambria"/>
          <w:color w:val="000000"/>
        </w:rPr>
      </w:pPr>
      <w:r w:rsidRPr="00ED4BF2">
        <w:rPr>
          <w:rFonts w:eastAsiaTheme="minorHAnsi" w:cs="Cambria"/>
          <w:color w:val="000000"/>
        </w:rPr>
        <w:t>In the fixed</w:t>
      </w:r>
      <w:r>
        <w:rPr>
          <w:rFonts w:eastAsiaTheme="minorHAnsi" w:cs="Cambria"/>
          <w:color w:val="000000"/>
        </w:rPr>
        <w:t xml:space="preserve"> </w:t>
      </w:r>
      <w:r w:rsidRPr="00ED4BF2">
        <w:rPr>
          <w:rFonts w:eastAsiaTheme="minorHAnsi" w:cs="Cambria"/>
          <w:color w:val="000000"/>
        </w:rPr>
        <w:t xml:space="preserve">dose groups, </w:t>
      </w:r>
      <w:proofErr w:type="spellStart"/>
      <w:r w:rsidRPr="00ED4BF2">
        <w:rPr>
          <w:rFonts w:eastAsiaTheme="minorHAnsi" w:cs="Cambria"/>
          <w:color w:val="000000"/>
        </w:rPr>
        <w:t>QTcF</w:t>
      </w:r>
      <w:proofErr w:type="spellEnd"/>
      <w:r w:rsidR="00C8762D">
        <w:rPr>
          <w:rStyle w:val="FootnoteReference"/>
          <w:rFonts w:eastAsiaTheme="minorHAnsi" w:cs="Cambria"/>
          <w:color w:val="000000"/>
        </w:rPr>
        <w:footnoteReference w:id="20"/>
      </w:r>
      <w:r w:rsidRPr="00ED4BF2">
        <w:rPr>
          <w:rFonts w:eastAsiaTheme="minorHAnsi" w:cs="Cambria"/>
          <w:color w:val="000000"/>
        </w:rPr>
        <w:t xml:space="preserve"> values &gt;</w:t>
      </w:r>
      <w:r>
        <w:rPr>
          <w:rFonts w:eastAsiaTheme="minorHAnsi" w:cs="Cambria"/>
          <w:color w:val="000000"/>
        </w:rPr>
        <w:t xml:space="preserve"> </w:t>
      </w:r>
      <w:r w:rsidRPr="00ED4BF2">
        <w:rPr>
          <w:rFonts w:eastAsiaTheme="minorHAnsi" w:cs="Cambria"/>
          <w:color w:val="000000"/>
        </w:rPr>
        <w:t xml:space="preserve">450 </w:t>
      </w:r>
      <w:r w:rsidR="00C8762D">
        <w:rPr>
          <w:rFonts w:eastAsiaTheme="minorHAnsi" w:cs="Cambria"/>
          <w:color w:val="000000"/>
        </w:rPr>
        <w:t xml:space="preserve">msec </w:t>
      </w:r>
      <w:r w:rsidRPr="00ED4BF2">
        <w:rPr>
          <w:rFonts w:eastAsiaTheme="minorHAnsi" w:cs="Cambria"/>
          <w:color w:val="000000"/>
        </w:rPr>
        <w:t>were recorded for 7</w:t>
      </w:r>
      <w:r w:rsidR="00C8762D">
        <w:rPr>
          <w:rFonts w:eastAsiaTheme="minorHAnsi" w:cs="Cambria"/>
          <w:color w:val="000000"/>
        </w:rPr>
        <w:t> </w:t>
      </w:r>
      <w:r w:rsidRPr="00ED4BF2">
        <w:rPr>
          <w:rFonts w:eastAsiaTheme="minorHAnsi" w:cs="Cambria"/>
          <w:color w:val="000000"/>
        </w:rPr>
        <w:t>patients (10%), 3</w:t>
      </w:r>
      <w:r w:rsidR="00C8762D">
        <w:rPr>
          <w:rFonts w:eastAsiaTheme="minorHAnsi" w:cs="Cambria"/>
          <w:color w:val="000000"/>
        </w:rPr>
        <w:t> </w:t>
      </w:r>
      <w:r w:rsidRPr="00ED4BF2">
        <w:rPr>
          <w:rFonts w:eastAsiaTheme="minorHAnsi" w:cs="Cambria"/>
          <w:color w:val="000000"/>
        </w:rPr>
        <w:t xml:space="preserve">patients (4%), and 4 patients (6%) who received </w:t>
      </w:r>
      <w:proofErr w:type="spellStart"/>
      <w:r w:rsidRPr="00ED4BF2">
        <w:rPr>
          <w:rFonts w:eastAsiaTheme="minorHAnsi" w:cs="Cambria"/>
          <w:color w:val="000000"/>
        </w:rPr>
        <w:t>deutetrabenazine</w:t>
      </w:r>
      <w:proofErr w:type="spellEnd"/>
      <w:r w:rsidRPr="00ED4BF2">
        <w:rPr>
          <w:rFonts w:eastAsiaTheme="minorHAnsi" w:cs="Cambria"/>
          <w:color w:val="000000"/>
        </w:rPr>
        <w:t xml:space="preserve"> 12</w:t>
      </w:r>
      <w:r w:rsidR="00941434">
        <w:rPr>
          <w:rFonts w:eastAsiaTheme="minorHAnsi" w:cs="Cambria"/>
          <w:color w:val="000000"/>
        </w:rPr>
        <w:t> </w:t>
      </w:r>
      <w:r w:rsidRPr="00ED4BF2">
        <w:rPr>
          <w:rFonts w:eastAsiaTheme="minorHAnsi" w:cs="Cambria"/>
          <w:color w:val="000000"/>
        </w:rPr>
        <w:t>mg, 24</w:t>
      </w:r>
      <w:r w:rsidR="0026689A">
        <w:rPr>
          <w:rFonts w:eastAsiaTheme="minorHAnsi" w:cs="Cambria"/>
          <w:color w:val="000000"/>
        </w:rPr>
        <w:t> </w:t>
      </w:r>
      <w:r w:rsidRPr="00ED4BF2">
        <w:rPr>
          <w:rFonts w:eastAsiaTheme="minorHAnsi" w:cs="Cambria"/>
          <w:color w:val="000000"/>
        </w:rPr>
        <w:t>mg, and 36</w:t>
      </w:r>
      <w:r>
        <w:rPr>
          <w:rFonts w:eastAsiaTheme="minorHAnsi" w:cs="Cambria"/>
          <w:color w:val="000000"/>
        </w:rPr>
        <w:t> </w:t>
      </w:r>
      <w:r w:rsidRPr="00ED4BF2">
        <w:rPr>
          <w:rFonts w:eastAsiaTheme="minorHAnsi" w:cs="Cambria"/>
          <w:color w:val="000000"/>
        </w:rPr>
        <w:t xml:space="preserve">mg, respectively. </w:t>
      </w:r>
      <w:r w:rsidR="00C86BB5" w:rsidRPr="00C86BB5">
        <w:rPr>
          <w:rFonts w:eastAsiaTheme="minorHAnsi" w:cs="Cambria"/>
          <w:color w:val="000000"/>
        </w:rPr>
        <w:t xml:space="preserve">None of these patients had </w:t>
      </w:r>
      <w:proofErr w:type="spellStart"/>
      <w:r w:rsidR="00C86BB5" w:rsidRPr="00C86BB5">
        <w:rPr>
          <w:rFonts w:eastAsiaTheme="minorHAnsi" w:cs="Cambria"/>
          <w:color w:val="000000"/>
        </w:rPr>
        <w:t>QTcF</w:t>
      </w:r>
      <w:proofErr w:type="spellEnd"/>
      <w:r w:rsidR="00C86BB5" w:rsidRPr="00C86BB5">
        <w:rPr>
          <w:rFonts w:eastAsiaTheme="minorHAnsi" w:cs="Cambria"/>
          <w:color w:val="000000"/>
        </w:rPr>
        <w:t xml:space="preserve"> value &gt; 500 msec and/or &gt;</w:t>
      </w:r>
      <w:r w:rsidR="00C8762D">
        <w:rPr>
          <w:rFonts w:eastAsiaTheme="minorHAnsi" w:cs="Cambria"/>
          <w:color w:val="000000"/>
        </w:rPr>
        <w:t> </w:t>
      </w:r>
      <w:r w:rsidR="00C86BB5" w:rsidRPr="00C86BB5">
        <w:rPr>
          <w:rFonts w:eastAsiaTheme="minorHAnsi" w:cs="Cambria"/>
          <w:color w:val="000000"/>
        </w:rPr>
        <w:t xml:space="preserve">60 msec prolongation in comparison to baseline value. </w:t>
      </w:r>
      <w:r w:rsidRPr="00ED4BF2">
        <w:rPr>
          <w:rFonts w:eastAsiaTheme="minorHAnsi" w:cs="Cambria"/>
          <w:color w:val="000000"/>
        </w:rPr>
        <w:t xml:space="preserve">None of the </w:t>
      </w:r>
      <w:r w:rsidR="00941434" w:rsidRPr="00941434">
        <w:rPr>
          <w:rFonts w:eastAsiaTheme="minorHAnsi" w:cs="Cambria"/>
          <w:color w:val="000000"/>
        </w:rPr>
        <w:t xml:space="preserve">electrocardiogram </w:t>
      </w:r>
      <w:r w:rsidRPr="00ED4BF2">
        <w:rPr>
          <w:rFonts w:eastAsiaTheme="minorHAnsi" w:cs="Cambria"/>
          <w:color w:val="000000"/>
        </w:rPr>
        <w:t>findings were considered as clinically relevant.</w:t>
      </w:r>
    </w:p>
    <w:p w14:paraId="0FF9DB2A" w14:textId="2B8DD30A" w:rsidR="00ED4BF2" w:rsidRPr="00C51795" w:rsidRDefault="003E6F15" w:rsidP="00ED4BF2">
      <w:r>
        <w:rPr>
          <w:rFonts w:eastAsiaTheme="minorHAnsi" w:cs="Cambria"/>
          <w:color w:val="000000"/>
        </w:rPr>
        <w:t>Ten</w:t>
      </w:r>
      <w:r w:rsidR="00ED4BF2" w:rsidRPr="00ED4BF2">
        <w:rPr>
          <w:rFonts w:eastAsiaTheme="minorHAnsi" w:cs="Cambria"/>
          <w:color w:val="000000"/>
        </w:rPr>
        <w:t xml:space="preserve"> events of deaths were reported in studies in patients with </w:t>
      </w:r>
      <w:r w:rsidR="00C8762D">
        <w:rPr>
          <w:rFonts w:eastAsiaTheme="minorHAnsi" w:cs="Cambria"/>
          <w:color w:val="000000"/>
        </w:rPr>
        <w:t>tardive dyskinesia</w:t>
      </w:r>
      <w:r w:rsidR="00C8762D" w:rsidRPr="00ED4BF2">
        <w:rPr>
          <w:rFonts w:eastAsiaTheme="minorHAnsi" w:cs="Cambria"/>
          <w:color w:val="000000"/>
        </w:rPr>
        <w:t xml:space="preserve"> </w:t>
      </w:r>
      <w:r w:rsidR="00ED4BF2" w:rsidRPr="00ED4BF2">
        <w:rPr>
          <w:rFonts w:eastAsiaTheme="minorHAnsi" w:cs="Cambria"/>
          <w:color w:val="000000"/>
        </w:rPr>
        <w:t xml:space="preserve">with </w:t>
      </w:r>
      <w:proofErr w:type="spellStart"/>
      <w:r w:rsidR="00ED4BF2" w:rsidRPr="00ED4BF2">
        <w:rPr>
          <w:rFonts w:eastAsiaTheme="minorHAnsi" w:cs="Cambria"/>
          <w:color w:val="000000"/>
        </w:rPr>
        <w:t>deutetrabenazine</w:t>
      </w:r>
      <w:proofErr w:type="spellEnd"/>
      <w:r w:rsidR="00ED4BF2" w:rsidRPr="00ED4BF2">
        <w:rPr>
          <w:rFonts w:eastAsiaTheme="minorHAnsi" w:cs="Cambria"/>
          <w:color w:val="000000"/>
        </w:rPr>
        <w:t xml:space="preserve">. </w:t>
      </w:r>
      <w:r w:rsidRPr="003E6F15">
        <w:rPr>
          <w:rFonts w:eastAsiaTheme="minorHAnsi" w:cs="Cambria"/>
          <w:color w:val="000000"/>
        </w:rPr>
        <w:t>One additional patient in Study C-20 died 56 days after the last dose of study drug and 25 days after the patient was withdrawn from the study.</w:t>
      </w:r>
      <w:r w:rsidR="00A956A2">
        <w:rPr>
          <w:rFonts w:eastAsiaTheme="minorHAnsi" w:cs="Cambria"/>
          <w:color w:val="000000"/>
        </w:rPr>
        <w:t xml:space="preserve"> </w:t>
      </w:r>
      <w:r w:rsidR="00ED4BF2" w:rsidRPr="00ED4BF2">
        <w:rPr>
          <w:rFonts w:eastAsiaTheme="minorHAnsi" w:cs="Cambria"/>
          <w:color w:val="000000"/>
        </w:rPr>
        <w:t>These events were not considered as related to study treatment.</w:t>
      </w:r>
    </w:p>
    <w:p w14:paraId="7F598FD4" w14:textId="77777777" w:rsidR="008E7846" w:rsidRDefault="00386150" w:rsidP="007B6132">
      <w:pPr>
        <w:pStyle w:val="Heading3"/>
        <w:rPr>
          <w:lang w:eastAsia="en-AU"/>
        </w:rPr>
      </w:pPr>
      <w:bookmarkStart w:id="50" w:name="_Toc104471060"/>
      <w:r>
        <w:rPr>
          <w:lang w:eastAsia="en-AU"/>
        </w:rPr>
        <w:t>Risk m</w:t>
      </w:r>
      <w:r w:rsidR="008E7846">
        <w:rPr>
          <w:lang w:eastAsia="en-AU"/>
        </w:rPr>
        <w:t xml:space="preserve">anagement </w:t>
      </w:r>
      <w:r>
        <w:rPr>
          <w:lang w:eastAsia="en-AU"/>
        </w:rPr>
        <w:t>p</w:t>
      </w:r>
      <w:r w:rsidR="008E7846">
        <w:rPr>
          <w:lang w:eastAsia="en-AU"/>
        </w:rPr>
        <w:t>lan</w:t>
      </w:r>
      <w:bookmarkEnd w:id="41"/>
      <w:bookmarkEnd w:id="50"/>
    </w:p>
    <w:p w14:paraId="29EFB359" w14:textId="4180A93C" w:rsidR="00DA6218" w:rsidRDefault="00C8762D" w:rsidP="00DA6218">
      <w:r>
        <w:t>The sponsor</w:t>
      </w:r>
      <w:r w:rsidR="00DA6218">
        <w:t xml:space="preserve"> has submitted an Australian-risk management plan (RMP) version 1.0 (dated 5 December 2019; </w:t>
      </w:r>
      <w:r w:rsidR="0034297A">
        <w:t>data lock point (</w:t>
      </w:r>
      <w:r w:rsidR="00DA6218">
        <w:t>DLP</w:t>
      </w:r>
      <w:r w:rsidR="0034297A">
        <w:t>)</w:t>
      </w:r>
      <w:r w:rsidR="00DA6218">
        <w:t xml:space="preserve"> 15 September 2019) in support of this application. An updated version was submitted at </w:t>
      </w:r>
      <w:r w:rsidR="0034297A">
        <w:t>second round of evaluation</w:t>
      </w:r>
      <w:r w:rsidR="00DA6218">
        <w:t xml:space="preserve"> (version 1.1, dated 23 October 2020, DLP 15 September 2020).</w:t>
      </w:r>
    </w:p>
    <w:p w14:paraId="6BC03692" w14:textId="0FB3474D" w:rsidR="007D53B6" w:rsidRDefault="007D53B6" w:rsidP="007D53B6">
      <w:r>
        <w:t xml:space="preserve">The summary of safety concerns and their associated risk monitoring and mitigation strategies are summarised in </w:t>
      </w:r>
      <w:r w:rsidR="001A16F8">
        <w:fldChar w:fldCharType="begin"/>
      </w:r>
      <w:r w:rsidR="001A16F8">
        <w:instrText xml:space="preserve"> REF _Ref82434064 \h </w:instrText>
      </w:r>
      <w:r w:rsidR="001A16F8">
        <w:fldChar w:fldCharType="separate"/>
      </w:r>
      <w:r w:rsidR="00B15438">
        <w:t xml:space="preserve">Table </w:t>
      </w:r>
      <w:r w:rsidR="00B15438">
        <w:rPr>
          <w:noProof/>
        </w:rPr>
        <w:t>20</w:t>
      </w:r>
      <w:r w:rsidR="001A16F8">
        <w:fldChar w:fldCharType="end"/>
      </w:r>
      <w:r>
        <w:t>.</w:t>
      </w:r>
      <w:r>
        <w:rPr>
          <w:rStyle w:val="FootnoteReference"/>
        </w:rPr>
        <w:footnoteReference w:id="21"/>
      </w:r>
    </w:p>
    <w:p w14:paraId="47FA65B1" w14:textId="093EE9A5" w:rsidR="001A16F8" w:rsidRDefault="001A16F8" w:rsidP="001A16F8">
      <w:pPr>
        <w:pStyle w:val="TableTitle"/>
      </w:pPr>
      <w:bookmarkStart w:id="51" w:name="_Ref82434064"/>
      <w:r>
        <w:lastRenderedPageBreak/>
        <w:t xml:space="preserve">Table </w:t>
      </w:r>
      <w:r w:rsidR="000C3739">
        <w:fldChar w:fldCharType="begin"/>
      </w:r>
      <w:r w:rsidR="000C3739">
        <w:instrText xml:space="preserve"> SEQ Table \* ARABIC </w:instrText>
      </w:r>
      <w:r w:rsidR="000C3739">
        <w:fldChar w:fldCharType="separate"/>
      </w:r>
      <w:r w:rsidR="00B15438">
        <w:rPr>
          <w:noProof/>
        </w:rPr>
        <w:t>20</w:t>
      </w:r>
      <w:r w:rsidR="000C3739">
        <w:rPr>
          <w:noProof/>
        </w:rPr>
        <w:fldChar w:fldCharType="end"/>
      </w:r>
      <w:bookmarkEnd w:id="51"/>
      <w:r>
        <w:t>:</w:t>
      </w:r>
      <w:r w:rsidRPr="001A16F8">
        <w:t xml:space="preserve"> </w:t>
      </w:r>
      <w:r>
        <w:t>S</w:t>
      </w:r>
      <w:r w:rsidRPr="001A16F8">
        <w:t>ummary of safety concerns and their associated risk monitoring and mitigation strategies</w:t>
      </w:r>
    </w:p>
    <w:tbl>
      <w:tblPr>
        <w:tblStyle w:val="TableTGAblue"/>
        <w:tblW w:w="5000" w:type="pct"/>
        <w:tblLook w:val="04A0" w:firstRow="1" w:lastRow="0" w:firstColumn="1" w:lastColumn="0" w:noHBand="0" w:noVBand="1"/>
      </w:tblPr>
      <w:tblGrid>
        <w:gridCol w:w="1612"/>
        <w:gridCol w:w="2512"/>
        <w:gridCol w:w="992"/>
        <w:gridCol w:w="1193"/>
        <w:gridCol w:w="992"/>
        <w:gridCol w:w="1193"/>
      </w:tblGrid>
      <w:tr w:rsidR="001A16F8" w:rsidRPr="009D34FE" w14:paraId="3627A1A3" w14:textId="77777777" w:rsidTr="0034297A">
        <w:trPr>
          <w:cnfStyle w:val="100000000000" w:firstRow="1" w:lastRow="0" w:firstColumn="0" w:lastColumn="0" w:oddVBand="0" w:evenVBand="0" w:oddHBand="0" w:evenHBand="0" w:firstRowFirstColumn="0" w:firstRowLastColumn="0" w:lastRowFirstColumn="0" w:lastRowLastColumn="0"/>
          <w:trHeight w:val="131"/>
        </w:trPr>
        <w:tc>
          <w:tcPr>
            <w:tcW w:w="2428" w:type="pct"/>
            <w:gridSpan w:val="2"/>
            <w:vMerge w:val="restart"/>
            <w:tcBorders>
              <w:top w:val="single" w:sz="4" w:space="0" w:color="auto"/>
              <w:left w:val="single" w:sz="4" w:space="0" w:color="auto"/>
              <w:bottom w:val="single" w:sz="4" w:space="0" w:color="auto"/>
              <w:right w:val="single" w:sz="4" w:space="0" w:color="auto"/>
            </w:tcBorders>
          </w:tcPr>
          <w:p w14:paraId="6C1C0B71" w14:textId="77777777" w:rsidR="001A16F8" w:rsidRPr="009D34FE" w:rsidRDefault="001A16F8" w:rsidP="001A16F8">
            <w:pPr>
              <w:pStyle w:val="Tabletext"/>
              <w:rPr>
                <w:b w:val="0"/>
              </w:rPr>
            </w:pPr>
            <w:r w:rsidRPr="009D34FE">
              <w:t>Summary of safety concerns</w:t>
            </w:r>
          </w:p>
        </w:tc>
        <w:tc>
          <w:tcPr>
            <w:tcW w:w="1286" w:type="pct"/>
            <w:gridSpan w:val="2"/>
            <w:tcBorders>
              <w:top w:val="single" w:sz="4" w:space="0" w:color="auto"/>
              <w:left w:val="single" w:sz="4" w:space="0" w:color="auto"/>
              <w:bottom w:val="single" w:sz="4" w:space="0" w:color="auto"/>
              <w:right w:val="single" w:sz="4" w:space="0" w:color="auto"/>
            </w:tcBorders>
          </w:tcPr>
          <w:p w14:paraId="0AEFED95" w14:textId="77777777" w:rsidR="001A16F8" w:rsidRPr="009D34FE" w:rsidRDefault="001A16F8" w:rsidP="001A16F8">
            <w:pPr>
              <w:pStyle w:val="Tabletext"/>
              <w:rPr>
                <w:b w:val="0"/>
                <w:sz w:val="18"/>
              </w:rPr>
            </w:pPr>
            <w:r w:rsidRPr="009D34FE">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317A269A" w14:textId="77777777" w:rsidR="001A16F8" w:rsidRPr="009D34FE" w:rsidRDefault="001A16F8" w:rsidP="001A16F8">
            <w:pPr>
              <w:pStyle w:val="Tabletext"/>
              <w:rPr>
                <w:b w:val="0"/>
                <w:sz w:val="18"/>
              </w:rPr>
            </w:pPr>
            <w:r w:rsidRPr="009D34FE">
              <w:rPr>
                <w:sz w:val="18"/>
              </w:rPr>
              <w:t>Risk Minimisation</w:t>
            </w:r>
          </w:p>
        </w:tc>
      </w:tr>
      <w:tr w:rsidR="001A16F8" w:rsidRPr="009D34FE" w14:paraId="2E6AB90C" w14:textId="77777777" w:rsidTr="0034297A">
        <w:trPr>
          <w:trHeight w:val="150"/>
        </w:trPr>
        <w:tc>
          <w:tcPr>
            <w:tcW w:w="2428" w:type="pct"/>
            <w:gridSpan w:val="2"/>
            <w:vMerge/>
            <w:tcBorders>
              <w:top w:val="single" w:sz="4" w:space="0" w:color="auto"/>
              <w:left w:val="single" w:sz="4" w:space="0" w:color="auto"/>
              <w:bottom w:val="single" w:sz="4" w:space="0" w:color="auto"/>
              <w:right w:val="single" w:sz="4" w:space="0" w:color="auto"/>
            </w:tcBorders>
          </w:tcPr>
          <w:p w14:paraId="2970ACD4" w14:textId="77777777" w:rsidR="001A16F8" w:rsidRPr="009D34FE" w:rsidRDefault="001A16F8" w:rsidP="001A16F8">
            <w:pPr>
              <w:pStyle w:val="Tabletext"/>
              <w:rPr>
                <w:b/>
              </w:rPr>
            </w:pP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62A306D9" w14:textId="77777777" w:rsidR="001A16F8" w:rsidRPr="001A16F8" w:rsidRDefault="001A16F8" w:rsidP="001A16F8">
            <w:pPr>
              <w:pStyle w:val="Tabletext"/>
              <w:ind w:left="0"/>
              <w:rPr>
                <w:color w:val="FFFFFF" w:themeColor="background1"/>
                <w:sz w:val="18"/>
              </w:rPr>
            </w:pPr>
            <w:r w:rsidRPr="001A16F8">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34A97C3" w14:textId="77777777" w:rsidR="001A16F8" w:rsidRPr="001A16F8" w:rsidRDefault="001A16F8" w:rsidP="001A16F8">
            <w:pPr>
              <w:pStyle w:val="Tabletext"/>
              <w:ind w:left="0"/>
              <w:rPr>
                <w:color w:val="FFFFFF" w:themeColor="background1"/>
                <w:sz w:val="18"/>
              </w:rPr>
            </w:pPr>
            <w:r w:rsidRPr="001A16F8">
              <w:rPr>
                <w:color w:val="FFFFFF" w:themeColor="background1"/>
                <w:sz w:val="18"/>
              </w:rPr>
              <w:t>Additional</w:t>
            </w: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7FACE103" w14:textId="77777777" w:rsidR="001A16F8" w:rsidRPr="001A16F8" w:rsidRDefault="001A16F8" w:rsidP="001A16F8">
            <w:pPr>
              <w:pStyle w:val="Tabletext"/>
              <w:ind w:left="0"/>
              <w:rPr>
                <w:color w:val="FFFFFF" w:themeColor="background1"/>
                <w:sz w:val="18"/>
              </w:rPr>
            </w:pPr>
            <w:r w:rsidRPr="001A16F8">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64133BE" w14:textId="77777777" w:rsidR="001A16F8" w:rsidRPr="001A16F8" w:rsidRDefault="001A16F8" w:rsidP="001A16F8">
            <w:pPr>
              <w:pStyle w:val="Tabletext"/>
              <w:ind w:left="0"/>
              <w:rPr>
                <w:color w:val="FFFFFF" w:themeColor="background1"/>
                <w:sz w:val="18"/>
              </w:rPr>
            </w:pPr>
            <w:r w:rsidRPr="001A16F8">
              <w:rPr>
                <w:color w:val="FFFFFF" w:themeColor="background1"/>
                <w:sz w:val="18"/>
              </w:rPr>
              <w:t>Additional</w:t>
            </w:r>
          </w:p>
        </w:tc>
      </w:tr>
      <w:tr w:rsidR="001A16F8" w:rsidRPr="009D34FE" w14:paraId="0A569F5E" w14:textId="77777777" w:rsidTr="0034297A">
        <w:trPr>
          <w:trHeight w:val="137"/>
        </w:trPr>
        <w:tc>
          <w:tcPr>
            <w:tcW w:w="949" w:type="pct"/>
            <w:vMerge w:val="restart"/>
            <w:tcBorders>
              <w:top w:val="single" w:sz="4" w:space="0" w:color="auto"/>
            </w:tcBorders>
          </w:tcPr>
          <w:p w14:paraId="4F49BD9A" w14:textId="77777777" w:rsidR="001A16F8" w:rsidRPr="009D34FE" w:rsidRDefault="001A16F8" w:rsidP="001A16F8">
            <w:pPr>
              <w:pStyle w:val="Tabletext"/>
              <w:rPr>
                <w:b/>
              </w:rPr>
            </w:pPr>
            <w:r w:rsidRPr="009D34FE">
              <w:rPr>
                <w:b/>
              </w:rPr>
              <w:t>Important identified risks</w:t>
            </w:r>
          </w:p>
        </w:tc>
        <w:tc>
          <w:tcPr>
            <w:tcW w:w="1479" w:type="pct"/>
            <w:tcBorders>
              <w:top w:val="single" w:sz="4" w:space="0" w:color="auto"/>
            </w:tcBorders>
          </w:tcPr>
          <w:p w14:paraId="5AFB9848" w14:textId="77777777" w:rsidR="001A16F8" w:rsidRPr="009D34FE" w:rsidRDefault="001A16F8" w:rsidP="001A16F8">
            <w:pPr>
              <w:pStyle w:val="Tabletext"/>
            </w:pPr>
            <w:r w:rsidRPr="009D34FE">
              <w:t>Depression</w:t>
            </w:r>
          </w:p>
        </w:tc>
        <w:tc>
          <w:tcPr>
            <w:tcW w:w="584" w:type="pct"/>
            <w:tcBorders>
              <w:top w:val="single" w:sz="4" w:space="0" w:color="auto"/>
            </w:tcBorders>
          </w:tcPr>
          <w:p w14:paraId="010DEC1C" w14:textId="77777777" w:rsidR="001A16F8" w:rsidRPr="00A5057C" w:rsidRDefault="001A16F8" w:rsidP="001A16F8">
            <w:pPr>
              <w:pStyle w:val="Tabletext"/>
              <w:jc w:val="center"/>
            </w:pPr>
            <w:r w:rsidRPr="00A5057C">
              <w:sym w:font="Wingdings" w:char="F0FC"/>
            </w:r>
          </w:p>
        </w:tc>
        <w:tc>
          <w:tcPr>
            <w:tcW w:w="702" w:type="pct"/>
            <w:tcBorders>
              <w:top w:val="single" w:sz="4" w:space="0" w:color="auto"/>
            </w:tcBorders>
          </w:tcPr>
          <w:p w14:paraId="0E279B82" w14:textId="77777777" w:rsidR="001A16F8" w:rsidRPr="009D34FE" w:rsidRDefault="001A16F8" w:rsidP="001A16F8">
            <w:pPr>
              <w:pStyle w:val="Tabletext"/>
              <w:jc w:val="center"/>
            </w:pPr>
            <w:r w:rsidRPr="009D34FE">
              <w:t>–</w:t>
            </w:r>
          </w:p>
        </w:tc>
        <w:tc>
          <w:tcPr>
            <w:tcW w:w="584" w:type="pct"/>
            <w:tcBorders>
              <w:top w:val="single" w:sz="4" w:space="0" w:color="auto"/>
            </w:tcBorders>
          </w:tcPr>
          <w:p w14:paraId="20857996" w14:textId="77777777" w:rsidR="001A16F8" w:rsidRPr="00A5057C" w:rsidRDefault="001A16F8" w:rsidP="001A16F8">
            <w:pPr>
              <w:pStyle w:val="Tabletext"/>
              <w:jc w:val="center"/>
            </w:pPr>
            <w:r w:rsidRPr="00A5057C">
              <w:sym w:font="Wingdings" w:char="F0FC"/>
            </w:r>
          </w:p>
        </w:tc>
        <w:tc>
          <w:tcPr>
            <w:tcW w:w="702" w:type="pct"/>
            <w:tcBorders>
              <w:top w:val="single" w:sz="4" w:space="0" w:color="auto"/>
            </w:tcBorders>
          </w:tcPr>
          <w:p w14:paraId="3B9626AD" w14:textId="77777777" w:rsidR="001A16F8" w:rsidRPr="00A5057C" w:rsidRDefault="001A16F8" w:rsidP="001A16F8">
            <w:pPr>
              <w:pStyle w:val="Tabletext"/>
              <w:jc w:val="center"/>
            </w:pPr>
            <w:r w:rsidRPr="00A5057C">
              <w:t>–</w:t>
            </w:r>
          </w:p>
        </w:tc>
      </w:tr>
      <w:tr w:rsidR="001A16F8" w:rsidRPr="009D34FE" w14:paraId="3D9C114F" w14:textId="77777777" w:rsidTr="0034297A">
        <w:trPr>
          <w:trHeight w:val="187"/>
        </w:trPr>
        <w:tc>
          <w:tcPr>
            <w:tcW w:w="949" w:type="pct"/>
            <w:vMerge/>
          </w:tcPr>
          <w:p w14:paraId="382C9325" w14:textId="77777777" w:rsidR="001A16F8" w:rsidRPr="009D34FE" w:rsidRDefault="001A16F8" w:rsidP="001A16F8">
            <w:pPr>
              <w:pStyle w:val="Tabletext"/>
              <w:rPr>
                <w:b/>
              </w:rPr>
            </w:pPr>
          </w:p>
        </w:tc>
        <w:tc>
          <w:tcPr>
            <w:tcW w:w="1479" w:type="pct"/>
          </w:tcPr>
          <w:p w14:paraId="2115BC8C" w14:textId="7FE934D7" w:rsidR="001A16F8" w:rsidRPr="009D34FE" w:rsidRDefault="001A16F8" w:rsidP="001A16F8">
            <w:pPr>
              <w:pStyle w:val="Tabletext"/>
            </w:pPr>
            <w:r w:rsidRPr="009D34FE">
              <w:t>Suicidality (</w:t>
            </w:r>
            <w:r w:rsidR="00C8762D">
              <w:t xml:space="preserve">Huntington disease </w:t>
            </w:r>
            <w:r w:rsidRPr="009D34FE">
              <w:t>indication only)</w:t>
            </w:r>
          </w:p>
        </w:tc>
        <w:tc>
          <w:tcPr>
            <w:tcW w:w="584" w:type="pct"/>
          </w:tcPr>
          <w:p w14:paraId="59EF12FC" w14:textId="77777777" w:rsidR="001A16F8" w:rsidRPr="00A5057C" w:rsidRDefault="001A16F8" w:rsidP="001A16F8">
            <w:pPr>
              <w:pStyle w:val="Tabletext"/>
              <w:jc w:val="center"/>
            </w:pPr>
            <w:r w:rsidRPr="00A5057C">
              <w:sym w:font="Wingdings" w:char="F0FC"/>
            </w:r>
          </w:p>
        </w:tc>
        <w:tc>
          <w:tcPr>
            <w:tcW w:w="702" w:type="pct"/>
          </w:tcPr>
          <w:p w14:paraId="43B83C5E" w14:textId="77777777" w:rsidR="001A16F8" w:rsidRPr="009D34FE" w:rsidRDefault="001A16F8" w:rsidP="001A16F8">
            <w:pPr>
              <w:pStyle w:val="Tabletext"/>
              <w:jc w:val="center"/>
            </w:pPr>
            <w:r w:rsidRPr="009D34FE">
              <w:t>–</w:t>
            </w:r>
          </w:p>
        </w:tc>
        <w:tc>
          <w:tcPr>
            <w:tcW w:w="584" w:type="pct"/>
          </w:tcPr>
          <w:p w14:paraId="0DF0AE6E" w14:textId="77777777" w:rsidR="001A16F8" w:rsidRPr="00A5057C" w:rsidRDefault="001A16F8" w:rsidP="001A16F8">
            <w:pPr>
              <w:pStyle w:val="Tabletext"/>
              <w:jc w:val="center"/>
            </w:pPr>
            <w:r w:rsidRPr="00A5057C">
              <w:sym w:font="Wingdings" w:char="F0FC"/>
            </w:r>
          </w:p>
        </w:tc>
        <w:tc>
          <w:tcPr>
            <w:tcW w:w="702" w:type="pct"/>
          </w:tcPr>
          <w:p w14:paraId="656061FD" w14:textId="77777777" w:rsidR="001A16F8" w:rsidRPr="00A5057C" w:rsidRDefault="001A16F8" w:rsidP="001A16F8">
            <w:pPr>
              <w:pStyle w:val="Tabletext"/>
              <w:jc w:val="center"/>
            </w:pPr>
            <w:r w:rsidRPr="00A5057C">
              <w:t>–</w:t>
            </w:r>
          </w:p>
        </w:tc>
      </w:tr>
      <w:tr w:rsidR="001A16F8" w:rsidRPr="009D34FE" w14:paraId="787FC529" w14:textId="77777777" w:rsidTr="0034297A">
        <w:trPr>
          <w:trHeight w:val="159"/>
        </w:trPr>
        <w:tc>
          <w:tcPr>
            <w:tcW w:w="949" w:type="pct"/>
            <w:vMerge w:val="restart"/>
          </w:tcPr>
          <w:p w14:paraId="2750DAD8" w14:textId="77777777" w:rsidR="001A16F8" w:rsidRPr="009D34FE" w:rsidRDefault="001A16F8" w:rsidP="001A16F8">
            <w:pPr>
              <w:pStyle w:val="Tabletext"/>
              <w:rPr>
                <w:b/>
              </w:rPr>
            </w:pPr>
            <w:r w:rsidRPr="009D34FE">
              <w:rPr>
                <w:b/>
              </w:rPr>
              <w:t>Important potential risks</w:t>
            </w:r>
          </w:p>
        </w:tc>
        <w:tc>
          <w:tcPr>
            <w:tcW w:w="1479" w:type="pct"/>
          </w:tcPr>
          <w:p w14:paraId="63E84D75" w14:textId="77777777" w:rsidR="001A16F8" w:rsidRPr="009D34FE" w:rsidRDefault="001A16F8" w:rsidP="001A16F8">
            <w:pPr>
              <w:pStyle w:val="Tabletext"/>
            </w:pPr>
            <w:r w:rsidRPr="009D34FE">
              <w:t>Parkinsonism</w:t>
            </w:r>
          </w:p>
        </w:tc>
        <w:tc>
          <w:tcPr>
            <w:tcW w:w="584" w:type="pct"/>
          </w:tcPr>
          <w:p w14:paraId="61F07C29" w14:textId="77777777" w:rsidR="001A16F8" w:rsidRPr="00A5057C" w:rsidRDefault="001A16F8" w:rsidP="001A16F8">
            <w:pPr>
              <w:pStyle w:val="Tabletext"/>
              <w:jc w:val="center"/>
            </w:pPr>
            <w:r w:rsidRPr="00A5057C">
              <w:sym w:font="Wingdings" w:char="F0FC"/>
            </w:r>
          </w:p>
        </w:tc>
        <w:tc>
          <w:tcPr>
            <w:tcW w:w="702" w:type="pct"/>
          </w:tcPr>
          <w:p w14:paraId="61D817FE" w14:textId="77777777" w:rsidR="001A16F8" w:rsidRPr="009D34FE" w:rsidRDefault="001A16F8" w:rsidP="001A16F8">
            <w:pPr>
              <w:pStyle w:val="Tabletext"/>
              <w:jc w:val="center"/>
            </w:pPr>
            <w:r w:rsidRPr="009D34FE">
              <w:t>–</w:t>
            </w:r>
          </w:p>
        </w:tc>
        <w:tc>
          <w:tcPr>
            <w:tcW w:w="584" w:type="pct"/>
          </w:tcPr>
          <w:p w14:paraId="3A1D6914" w14:textId="77777777" w:rsidR="001A16F8" w:rsidRPr="00A5057C" w:rsidRDefault="001A16F8" w:rsidP="001A16F8">
            <w:pPr>
              <w:pStyle w:val="Tabletext"/>
              <w:jc w:val="center"/>
            </w:pPr>
            <w:r w:rsidRPr="00A5057C">
              <w:sym w:font="Wingdings" w:char="F0FC"/>
            </w:r>
          </w:p>
        </w:tc>
        <w:tc>
          <w:tcPr>
            <w:tcW w:w="702" w:type="pct"/>
          </w:tcPr>
          <w:p w14:paraId="1554FD22" w14:textId="77777777" w:rsidR="001A16F8" w:rsidRPr="00A5057C" w:rsidRDefault="001A16F8" w:rsidP="001A16F8">
            <w:pPr>
              <w:pStyle w:val="Tabletext"/>
              <w:jc w:val="center"/>
            </w:pPr>
            <w:r w:rsidRPr="00A5057C">
              <w:t>–</w:t>
            </w:r>
          </w:p>
        </w:tc>
      </w:tr>
      <w:tr w:rsidR="001A16F8" w:rsidRPr="009D34FE" w14:paraId="6E90B008" w14:textId="77777777" w:rsidTr="0034297A">
        <w:trPr>
          <w:trHeight w:val="122"/>
        </w:trPr>
        <w:tc>
          <w:tcPr>
            <w:tcW w:w="949" w:type="pct"/>
            <w:vMerge/>
          </w:tcPr>
          <w:p w14:paraId="58BB9E7E" w14:textId="77777777" w:rsidR="001A16F8" w:rsidRPr="009D34FE" w:rsidRDefault="001A16F8" w:rsidP="001A16F8">
            <w:pPr>
              <w:pStyle w:val="Tabletext"/>
              <w:rPr>
                <w:b/>
              </w:rPr>
            </w:pPr>
          </w:p>
        </w:tc>
        <w:tc>
          <w:tcPr>
            <w:tcW w:w="1479" w:type="pct"/>
          </w:tcPr>
          <w:p w14:paraId="30BC377E" w14:textId="77777777" w:rsidR="001A16F8" w:rsidRPr="009D34FE" w:rsidRDefault="001A16F8" w:rsidP="001A16F8">
            <w:pPr>
              <w:pStyle w:val="Tabletext"/>
            </w:pPr>
            <w:r w:rsidRPr="009D34FE">
              <w:t>Neuroleptic malignant syndrome</w:t>
            </w:r>
          </w:p>
        </w:tc>
        <w:tc>
          <w:tcPr>
            <w:tcW w:w="584" w:type="pct"/>
          </w:tcPr>
          <w:p w14:paraId="3FA9AFF2" w14:textId="77777777" w:rsidR="001A16F8" w:rsidRPr="00A5057C" w:rsidRDefault="001A16F8" w:rsidP="001A16F8">
            <w:pPr>
              <w:pStyle w:val="Tabletext"/>
              <w:jc w:val="center"/>
            </w:pPr>
            <w:r w:rsidRPr="00A5057C">
              <w:sym w:font="Wingdings" w:char="F0FC"/>
            </w:r>
          </w:p>
        </w:tc>
        <w:tc>
          <w:tcPr>
            <w:tcW w:w="702" w:type="pct"/>
          </w:tcPr>
          <w:p w14:paraId="6BCFA237" w14:textId="77777777" w:rsidR="001A16F8" w:rsidRPr="009D34FE" w:rsidRDefault="001A16F8" w:rsidP="001A16F8">
            <w:pPr>
              <w:pStyle w:val="Tabletext"/>
              <w:jc w:val="center"/>
            </w:pPr>
            <w:r w:rsidRPr="009D34FE">
              <w:t>–</w:t>
            </w:r>
          </w:p>
        </w:tc>
        <w:tc>
          <w:tcPr>
            <w:tcW w:w="584" w:type="pct"/>
          </w:tcPr>
          <w:p w14:paraId="178F06E1" w14:textId="77777777" w:rsidR="001A16F8" w:rsidRPr="00A5057C" w:rsidRDefault="001A16F8" w:rsidP="001A16F8">
            <w:pPr>
              <w:pStyle w:val="Tabletext"/>
              <w:jc w:val="center"/>
            </w:pPr>
            <w:r w:rsidRPr="00A5057C">
              <w:sym w:font="Wingdings" w:char="F0FC"/>
            </w:r>
          </w:p>
        </w:tc>
        <w:tc>
          <w:tcPr>
            <w:tcW w:w="702" w:type="pct"/>
          </w:tcPr>
          <w:p w14:paraId="6507929E" w14:textId="77777777" w:rsidR="001A16F8" w:rsidRPr="00A5057C" w:rsidRDefault="001A16F8" w:rsidP="001A16F8">
            <w:pPr>
              <w:pStyle w:val="Tabletext"/>
              <w:jc w:val="center"/>
            </w:pPr>
            <w:r w:rsidRPr="00A5057C">
              <w:t>–</w:t>
            </w:r>
          </w:p>
        </w:tc>
      </w:tr>
      <w:tr w:rsidR="001A16F8" w:rsidRPr="009D34FE" w14:paraId="36AECCB6" w14:textId="77777777" w:rsidTr="0034297A">
        <w:trPr>
          <w:trHeight w:val="122"/>
        </w:trPr>
        <w:tc>
          <w:tcPr>
            <w:tcW w:w="949" w:type="pct"/>
            <w:vMerge/>
          </w:tcPr>
          <w:p w14:paraId="3FBE0DAE" w14:textId="77777777" w:rsidR="001A16F8" w:rsidRPr="009D34FE" w:rsidRDefault="001A16F8" w:rsidP="001A16F8">
            <w:pPr>
              <w:pStyle w:val="Tabletext"/>
              <w:rPr>
                <w:b/>
              </w:rPr>
            </w:pPr>
          </w:p>
        </w:tc>
        <w:tc>
          <w:tcPr>
            <w:tcW w:w="1479" w:type="pct"/>
          </w:tcPr>
          <w:p w14:paraId="791F9FE7" w14:textId="77777777" w:rsidR="001A16F8" w:rsidRPr="009D34FE" w:rsidRDefault="001A16F8" w:rsidP="001A16F8">
            <w:pPr>
              <w:pStyle w:val="Tabletext"/>
            </w:pPr>
            <w:r w:rsidRPr="009D34FE">
              <w:t>QTc prolongation</w:t>
            </w:r>
          </w:p>
        </w:tc>
        <w:tc>
          <w:tcPr>
            <w:tcW w:w="584" w:type="pct"/>
          </w:tcPr>
          <w:p w14:paraId="4D465D00" w14:textId="77777777" w:rsidR="001A16F8" w:rsidRPr="00A5057C" w:rsidRDefault="001A16F8" w:rsidP="001A16F8">
            <w:pPr>
              <w:pStyle w:val="Tabletext"/>
              <w:jc w:val="center"/>
            </w:pPr>
            <w:r w:rsidRPr="00A5057C">
              <w:sym w:font="Wingdings" w:char="F0FC"/>
            </w:r>
            <w:r w:rsidRPr="00A5057C">
              <w:t xml:space="preserve"> *</w:t>
            </w:r>
          </w:p>
        </w:tc>
        <w:tc>
          <w:tcPr>
            <w:tcW w:w="702" w:type="pct"/>
          </w:tcPr>
          <w:p w14:paraId="1F6A9B0C" w14:textId="77777777" w:rsidR="001A16F8" w:rsidRPr="009D34FE" w:rsidRDefault="001A16F8" w:rsidP="001A16F8">
            <w:pPr>
              <w:pStyle w:val="Tabletext"/>
              <w:jc w:val="center"/>
            </w:pPr>
            <w:r w:rsidRPr="009D34FE">
              <w:t>–</w:t>
            </w:r>
          </w:p>
        </w:tc>
        <w:tc>
          <w:tcPr>
            <w:tcW w:w="584" w:type="pct"/>
          </w:tcPr>
          <w:p w14:paraId="57CAF13A" w14:textId="77777777" w:rsidR="001A16F8" w:rsidRPr="00A5057C" w:rsidRDefault="001A16F8" w:rsidP="001A16F8">
            <w:pPr>
              <w:pStyle w:val="Tabletext"/>
              <w:jc w:val="center"/>
            </w:pPr>
            <w:r w:rsidRPr="00A5057C">
              <w:sym w:font="Wingdings" w:char="F0FC"/>
            </w:r>
          </w:p>
        </w:tc>
        <w:tc>
          <w:tcPr>
            <w:tcW w:w="702" w:type="pct"/>
          </w:tcPr>
          <w:p w14:paraId="1F951E0E" w14:textId="77777777" w:rsidR="001A16F8" w:rsidRPr="00A5057C" w:rsidRDefault="001A16F8" w:rsidP="001A16F8">
            <w:pPr>
              <w:pStyle w:val="Tabletext"/>
              <w:jc w:val="center"/>
            </w:pPr>
            <w:r w:rsidRPr="00A5057C">
              <w:t>–</w:t>
            </w:r>
          </w:p>
        </w:tc>
      </w:tr>
      <w:tr w:rsidR="001A16F8" w:rsidRPr="009D34FE" w14:paraId="78FFB01E" w14:textId="77777777" w:rsidTr="0034297A">
        <w:trPr>
          <w:trHeight w:val="122"/>
        </w:trPr>
        <w:tc>
          <w:tcPr>
            <w:tcW w:w="949" w:type="pct"/>
            <w:vMerge/>
          </w:tcPr>
          <w:p w14:paraId="6AF042D9" w14:textId="77777777" w:rsidR="001A16F8" w:rsidRPr="009D34FE" w:rsidRDefault="001A16F8" w:rsidP="001A16F8">
            <w:pPr>
              <w:pStyle w:val="Tabletext"/>
              <w:rPr>
                <w:b/>
              </w:rPr>
            </w:pPr>
          </w:p>
        </w:tc>
        <w:tc>
          <w:tcPr>
            <w:tcW w:w="1479" w:type="pct"/>
          </w:tcPr>
          <w:p w14:paraId="1E416BC8" w14:textId="309D1856" w:rsidR="001A16F8" w:rsidRPr="009D34FE" w:rsidRDefault="001A16F8" w:rsidP="001A16F8">
            <w:pPr>
              <w:pStyle w:val="Tabletext"/>
            </w:pPr>
            <w:r w:rsidRPr="009D34FE">
              <w:t>Drug</w:t>
            </w:r>
            <w:r w:rsidR="00C8762D">
              <w:t>-</w:t>
            </w:r>
            <w:r w:rsidRPr="009D34FE">
              <w:t>Drug Interactions with strong CYP2D6 inhibitors</w:t>
            </w:r>
          </w:p>
        </w:tc>
        <w:tc>
          <w:tcPr>
            <w:tcW w:w="584" w:type="pct"/>
          </w:tcPr>
          <w:p w14:paraId="4ED08F54" w14:textId="77777777" w:rsidR="001A16F8" w:rsidRPr="00A5057C" w:rsidRDefault="001A16F8" w:rsidP="001A16F8">
            <w:pPr>
              <w:pStyle w:val="Tabletext"/>
              <w:jc w:val="center"/>
            </w:pPr>
            <w:r w:rsidRPr="00A5057C">
              <w:sym w:font="Wingdings" w:char="F0FC"/>
            </w:r>
          </w:p>
        </w:tc>
        <w:tc>
          <w:tcPr>
            <w:tcW w:w="702" w:type="pct"/>
          </w:tcPr>
          <w:p w14:paraId="321761C8" w14:textId="77777777" w:rsidR="001A16F8" w:rsidRPr="009D34FE" w:rsidRDefault="001A16F8" w:rsidP="001A16F8">
            <w:pPr>
              <w:pStyle w:val="Tabletext"/>
              <w:jc w:val="center"/>
            </w:pPr>
            <w:r w:rsidRPr="009D34FE">
              <w:t>–</w:t>
            </w:r>
          </w:p>
        </w:tc>
        <w:tc>
          <w:tcPr>
            <w:tcW w:w="584" w:type="pct"/>
          </w:tcPr>
          <w:p w14:paraId="460F0E72" w14:textId="77777777" w:rsidR="001A16F8" w:rsidRPr="00A5057C" w:rsidRDefault="001A16F8" w:rsidP="001A16F8">
            <w:pPr>
              <w:pStyle w:val="Tabletext"/>
              <w:jc w:val="center"/>
            </w:pPr>
            <w:r w:rsidRPr="00A5057C">
              <w:sym w:font="Wingdings" w:char="F0FC"/>
            </w:r>
          </w:p>
        </w:tc>
        <w:tc>
          <w:tcPr>
            <w:tcW w:w="702" w:type="pct"/>
          </w:tcPr>
          <w:p w14:paraId="4AAA0E9E" w14:textId="77777777" w:rsidR="001A16F8" w:rsidRPr="00A5057C" w:rsidRDefault="001A16F8" w:rsidP="001A16F8">
            <w:pPr>
              <w:pStyle w:val="Tabletext"/>
              <w:jc w:val="center"/>
            </w:pPr>
            <w:r w:rsidRPr="00A5057C">
              <w:t>–</w:t>
            </w:r>
          </w:p>
        </w:tc>
      </w:tr>
      <w:tr w:rsidR="001A16F8" w:rsidRPr="009D34FE" w14:paraId="0028A4D9" w14:textId="77777777" w:rsidTr="0034297A">
        <w:trPr>
          <w:trHeight w:val="122"/>
        </w:trPr>
        <w:tc>
          <w:tcPr>
            <w:tcW w:w="949" w:type="pct"/>
            <w:vMerge/>
          </w:tcPr>
          <w:p w14:paraId="04145E3F" w14:textId="77777777" w:rsidR="001A16F8" w:rsidRPr="009D34FE" w:rsidRDefault="001A16F8" w:rsidP="001A16F8">
            <w:pPr>
              <w:pStyle w:val="Tabletext"/>
              <w:rPr>
                <w:b/>
              </w:rPr>
            </w:pPr>
          </w:p>
        </w:tc>
        <w:tc>
          <w:tcPr>
            <w:tcW w:w="1479" w:type="pct"/>
          </w:tcPr>
          <w:p w14:paraId="1C70475E" w14:textId="77777777" w:rsidR="001A16F8" w:rsidRPr="009D34FE" w:rsidRDefault="001A16F8" w:rsidP="001A16F8">
            <w:pPr>
              <w:pStyle w:val="Tabletext"/>
            </w:pPr>
            <w:r w:rsidRPr="009D34FE">
              <w:t>Use in pregnancy</w:t>
            </w:r>
          </w:p>
        </w:tc>
        <w:tc>
          <w:tcPr>
            <w:tcW w:w="584" w:type="pct"/>
          </w:tcPr>
          <w:p w14:paraId="1A6EA8A2" w14:textId="77777777" w:rsidR="001A16F8" w:rsidRPr="009D34FE" w:rsidRDefault="001A16F8" w:rsidP="001A16F8">
            <w:pPr>
              <w:pStyle w:val="Tabletext"/>
              <w:jc w:val="center"/>
            </w:pPr>
            <w:r w:rsidRPr="009D34FE">
              <w:sym w:font="Wingdings" w:char="F0FC"/>
            </w:r>
          </w:p>
        </w:tc>
        <w:tc>
          <w:tcPr>
            <w:tcW w:w="702" w:type="pct"/>
          </w:tcPr>
          <w:p w14:paraId="22480D45" w14:textId="77777777" w:rsidR="001A16F8" w:rsidRPr="009D34FE" w:rsidRDefault="001A16F8" w:rsidP="001A16F8">
            <w:pPr>
              <w:pStyle w:val="Tabletext"/>
              <w:jc w:val="center"/>
            </w:pPr>
            <w:r w:rsidRPr="009D34FE">
              <w:t>–</w:t>
            </w:r>
          </w:p>
        </w:tc>
        <w:tc>
          <w:tcPr>
            <w:tcW w:w="584" w:type="pct"/>
          </w:tcPr>
          <w:p w14:paraId="4131CF4E" w14:textId="77777777" w:rsidR="001A16F8" w:rsidRPr="009D34FE" w:rsidRDefault="001A16F8" w:rsidP="001A16F8">
            <w:pPr>
              <w:pStyle w:val="Tabletext"/>
              <w:jc w:val="center"/>
            </w:pPr>
            <w:r w:rsidRPr="009D34FE">
              <w:sym w:font="Wingdings" w:char="F0FC"/>
            </w:r>
          </w:p>
        </w:tc>
        <w:tc>
          <w:tcPr>
            <w:tcW w:w="702" w:type="pct"/>
          </w:tcPr>
          <w:p w14:paraId="2EEAC8DD" w14:textId="77777777" w:rsidR="001A16F8" w:rsidRPr="009D34FE" w:rsidRDefault="001A16F8" w:rsidP="001A16F8">
            <w:pPr>
              <w:pStyle w:val="Tabletext"/>
              <w:jc w:val="center"/>
            </w:pPr>
            <w:r w:rsidRPr="009D34FE">
              <w:t>–</w:t>
            </w:r>
          </w:p>
        </w:tc>
      </w:tr>
      <w:tr w:rsidR="001A16F8" w:rsidRPr="009D34FE" w14:paraId="082C450A" w14:textId="77777777" w:rsidTr="0034297A">
        <w:trPr>
          <w:trHeight w:val="112"/>
        </w:trPr>
        <w:tc>
          <w:tcPr>
            <w:tcW w:w="949" w:type="pct"/>
            <w:vMerge/>
          </w:tcPr>
          <w:p w14:paraId="3248D527" w14:textId="77777777" w:rsidR="001A16F8" w:rsidRPr="009D34FE" w:rsidRDefault="001A16F8" w:rsidP="001A16F8">
            <w:pPr>
              <w:pStyle w:val="Tabletext"/>
              <w:rPr>
                <w:b/>
              </w:rPr>
            </w:pPr>
          </w:p>
        </w:tc>
        <w:tc>
          <w:tcPr>
            <w:tcW w:w="1479" w:type="pct"/>
          </w:tcPr>
          <w:p w14:paraId="2F25F51D" w14:textId="77777777" w:rsidR="001A16F8" w:rsidRPr="009D34FE" w:rsidRDefault="001A16F8" w:rsidP="001A16F8">
            <w:pPr>
              <w:pStyle w:val="Tabletext"/>
            </w:pPr>
            <w:r w:rsidRPr="009D34FE">
              <w:t>Hyperprolactinaemia</w:t>
            </w:r>
          </w:p>
        </w:tc>
        <w:tc>
          <w:tcPr>
            <w:tcW w:w="584" w:type="pct"/>
          </w:tcPr>
          <w:p w14:paraId="5E392762" w14:textId="77777777" w:rsidR="001A16F8" w:rsidRPr="009D34FE" w:rsidRDefault="001A16F8" w:rsidP="001A16F8">
            <w:pPr>
              <w:pStyle w:val="Tabletext"/>
              <w:jc w:val="center"/>
            </w:pPr>
            <w:r w:rsidRPr="009D34FE">
              <w:sym w:font="Wingdings" w:char="F0FC"/>
            </w:r>
          </w:p>
        </w:tc>
        <w:tc>
          <w:tcPr>
            <w:tcW w:w="702" w:type="pct"/>
          </w:tcPr>
          <w:p w14:paraId="51A8D03D" w14:textId="77777777" w:rsidR="001A16F8" w:rsidRPr="009D34FE" w:rsidRDefault="001A16F8" w:rsidP="001A16F8">
            <w:pPr>
              <w:pStyle w:val="Tabletext"/>
              <w:jc w:val="center"/>
            </w:pPr>
            <w:r w:rsidRPr="009D34FE">
              <w:t>–</w:t>
            </w:r>
          </w:p>
        </w:tc>
        <w:tc>
          <w:tcPr>
            <w:tcW w:w="584" w:type="pct"/>
          </w:tcPr>
          <w:p w14:paraId="544994BE" w14:textId="77777777" w:rsidR="001A16F8" w:rsidRPr="009D34FE" w:rsidRDefault="001A16F8" w:rsidP="001A16F8">
            <w:pPr>
              <w:pStyle w:val="Tabletext"/>
              <w:jc w:val="center"/>
            </w:pPr>
            <w:r w:rsidRPr="009D34FE">
              <w:sym w:font="Wingdings" w:char="F0FC"/>
            </w:r>
          </w:p>
        </w:tc>
        <w:tc>
          <w:tcPr>
            <w:tcW w:w="702" w:type="pct"/>
          </w:tcPr>
          <w:p w14:paraId="25DC1C09" w14:textId="77777777" w:rsidR="001A16F8" w:rsidRPr="009D34FE" w:rsidRDefault="001A16F8" w:rsidP="001A16F8">
            <w:pPr>
              <w:pStyle w:val="Tabletext"/>
              <w:jc w:val="center"/>
            </w:pPr>
            <w:r w:rsidRPr="009D34FE">
              <w:t>–</w:t>
            </w:r>
          </w:p>
        </w:tc>
      </w:tr>
      <w:tr w:rsidR="001A16F8" w:rsidRPr="009D34FE" w14:paraId="379E8D77" w14:textId="77777777" w:rsidTr="0034297A">
        <w:trPr>
          <w:trHeight w:val="178"/>
        </w:trPr>
        <w:tc>
          <w:tcPr>
            <w:tcW w:w="949" w:type="pct"/>
          </w:tcPr>
          <w:p w14:paraId="256133DA" w14:textId="77777777" w:rsidR="001A16F8" w:rsidRPr="009D34FE" w:rsidRDefault="001A16F8" w:rsidP="001A16F8">
            <w:pPr>
              <w:pStyle w:val="Tabletext"/>
              <w:rPr>
                <w:b/>
              </w:rPr>
            </w:pPr>
            <w:r w:rsidRPr="009D34FE">
              <w:rPr>
                <w:b/>
              </w:rPr>
              <w:t>Missing information</w:t>
            </w:r>
          </w:p>
        </w:tc>
        <w:tc>
          <w:tcPr>
            <w:tcW w:w="1479" w:type="pct"/>
          </w:tcPr>
          <w:p w14:paraId="1D0EF3E9" w14:textId="77777777" w:rsidR="001A16F8" w:rsidRPr="009D34FE" w:rsidRDefault="001A16F8" w:rsidP="001A16F8">
            <w:pPr>
              <w:pStyle w:val="Tabletext"/>
            </w:pPr>
            <w:r w:rsidRPr="009D34FE">
              <w:t>None</w:t>
            </w:r>
          </w:p>
        </w:tc>
        <w:tc>
          <w:tcPr>
            <w:tcW w:w="584" w:type="pct"/>
          </w:tcPr>
          <w:p w14:paraId="61AFF095" w14:textId="77777777" w:rsidR="001A16F8" w:rsidRPr="009D34FE" w:rsidRDefault="001A16F8" w:rsidP="001A16F8">
            <w:pPr>
              <w:pStyle w:val="Tabletext"/>
              <w:jc w:val="center"/>
            </w:pPr>
          </w:p>
        </w:tc>
        <w:tc>
          <w:tcPr>
            <w:tcW w:w="702" w:type="pct"/>
          </w:tcPr>
          <w:p w14:paraId="35AD7426" w14:textId="77777777" w:rsidR="001A16F8" w:rsidRPr="009D34FE" w:rsidRDefault="001A16F8" w:rsidP="001A16F8">
            <w:pPr>
              <w:pStyle w:val="Tabletext"/>
              <w:jc w:val="center"/>
            </w:pPr>
          </w:p>
        </w:tc>
        <w:tc>
          <w:tcPr>
            <w:tcW w:w="584" w:type="pct"/>
          </w:tcPr>
          <w:p w14:paraId="5A4D9E7C" w14:textId="77777777" w:rsidR="001A16F8" w:rsidRPr="009D34FE" w:rsidRDefault="001A16F8" w:rsidP="001A16F8">
            <w:pPr>
              <w:pStyle w:val="Tabletext"/>
              <w:jc w:val="center"/>
            </w:pPr>
          </w:p>
        </w:tc>
        <w:tc>
          <w:tcPr>
            <w:tcW w:w="702" w:type="pct"/>
          </w:tcPr>
          <w:p w14:paraId="6EC5DC3A" w14:textId="77777777" w:rsidR="001A16F8" w:rsidRPr="009D34FE" w:rsidRDefault="001A16F8" w:rsidP="001A16F8">
            <w:pPr>
              <w:pStyle w:val="Tabletext"/>
              <w:jc w:val="center"/>
            </w:pPr>
          </w:p>
        </w:tc>
      </w:tr>
    </w:tbl>
    <w:p w14:paraId="58A5D363" w14:textId="77777777" w:rsidR="0034297A" w:rsidRDefault="0034297A" w:rsidP="0034297A">
      <w:pPr>
        <w:pStyle w:val="TableDescription"/>
      </w:pPr>
      <w:r>
        <w:t>*Specific follow-up questionnaire</w:t>
      </w:r>
    </w:p>
    <w:p w14:paraId="6CAB6FE7" w14:textId="77777777" w:rsidR="001A16F8" w:rsidRDefault="0034297A" w:rsidP="0034297A">
      <w:r>
        <w:t>The RMP evaluator deem the summary of safety concerns as acceptable. Routine pharmacovigilance (adverse reaction reporting, signal detection) is in place for all safety concerns. Enhanced routine pharmacovigilance, via a specific follow up questionnaire, will be undertaken for reports of QTc prolongation. Routine risk minimisation has been proposed and is acceptable. The Consumer Medicines Information (CMI) meets the format requirements that apply to registrations after 1 January 2021.</w:t>
      </w:r>
    </w:p>
    <w:p w14:paraId="07F0E330" w14:textId="77777777" w:rsidR="001161BC" w:rsidRDefault="001161BC" w:rsidP="001161BC">
      <w:pPr>
        <w:pStyle w:val="Heading4"/>
      </w:pPr>
      <w:r>
        <w:t>Recommendations regarding condition/s of registration</w:t>
      </w:r>
    </w:p>
    <w:p w14:paraId="3F485C10" w14:textId="77777777" w:rsidR="001161BC" w:rsidRDefault="001161BC" w:rsidP="0078259A">
      <w:pPr>
        <w:pStyle w:val="ListBullet"/>
      </w:pPr>
      <w:r>
        <w:t xml:space="preserve">The </w:t>
      </w:r>
      <w:proofErr w:type="spellStart"/>
      <w:r>
        <w:t>deutetrabenazine</w:t>
      </w:r>
      <w:proofErr w:type="spellEnd"/>
      <w:r>
        <w:t xml:space="preserve"> RMP (version 1.1, dated 23 October 2020, DLP 15 September 2020), included with submission PM-2020-00739-1-1, and any subsequent revisions, as agreed with the TGA will be implemented in Australia.</w:t>
      </w:r>
    </w:p>
    <w:p w14:paraId="5600B16C" w14:textId="77777777" w:rsidR="001161BC" w:rsidRDefault="001161BC" w:rsidP="001161BC">
      <w:pPr>
        <w:pStyle w:val="ListBullet"/>
      </w:pPr>
      <w:r>
        <w:t>An obligatory component of risk management plans is routine pharmacovigilance. Routine pharmacovigilance includes the submission of periodic safety update reports (PSURs).</w:t>
      </w:r>
    </w:p>
    <w:p w14:paraId="73A34D61" w14:textId="77777777" w:rsidR="001161BC" w:rsidRDefault="001161BC" w:rsidP="001161BC">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six monthly reports may be submitted separately as they become available.</w:t>
      </w:r>
    </w:p>
    <w:p w14:paraId="5ADC7793" w14:textId="77777777" w:rsidR="001161BC" w:rsidRDefault="001161BC" w:rsidP="001161BC">
      <w:pPr>
        <w:pStyle w:val="ListBullet"/>
        <w:numPr>
          <w:ilvl w:val="0"/>
          <w:numId w:val="0"/>
        </w:numPr>
        <w:ind w:left="360"/>
      </w:pPr>
      <w:r>
        <w:lastRenderedPageBreak/>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56E42DA0" w14:textId="77777777" w:rsidR="001161BC" w:rsidRDefault="001161BC" w:rsidP="001161BC">
      <w:pPr>
        <w:pStyle w:val="ListBullet"/>
        <w:numPr>
          <w:ilvl w:val="0"/>
          <w:numId w:val="0"/>
        </w:numPr>
        <w:ind w:left="360"/>
      </w:pPr>
      <w:r>
        <w:t xml:space="preserve">The reports are to at least meet the requirements for PSURs as described in the European Medicines Agency’s Guideline on </w:t>
      </w:r>
      <w:r w:rsidR="00941434">
        <w:t>G</w:t>
      </w:r>
      <w:r>
        <w:t xml:space="preserve">ood </w:t>
      </w:r>
      <w:r w:rsidR="00941434">
        <w:t>P</w:t>
      </w:r>
      <w:r>
        <w:t xml:space="preserve">harmacovigilance </w:t>
      </w:r>
      <w:r w:rsidR="00941434">
        <w:t>P</w:t>
      </w:r>
      <w:r>
        <w:t>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AB72A32" w14:textId="77777777" w:rsidR="001161BC" w:rsidRPr="001A16F8" w:rsidRDefault="001161BC" w:rsidP="001161BC">
      <w:pPr>
        <w:pStyle w:val="ListBullet"/>
      </w:pPr>
      <w:proofErr w:type="spellStart"/>
      <w:r>
        <w:t>Austedo</w:t>
      </w:r>
      <w:proofErr w:type="spellEnd"/>
      <w:r>
        <w:t xml:space="preserve"> (</w:t>
      </w:r>
      <w:proofErr w:type="spellStart"/>
      <w:r>
        <w:t>deutetrabenazine</w:t>
      </w:r>
      <w:proofErr w:type="spellEnd"/>
      <w:r>
        <w:t xml:space="preserve">) is to be included in the Black Triangle Scheme. The PI and CMI for </w:t>
      </w:r>
      <w:proofErr w:type="spellStart"/>
      <w:r>
        <w:t>Austedo</w:t>
      </w:r>
      <w:proofErr w:type="spellEnd"/>
      <w:r>
        <w:t xml:space="preserve"> must include the black triangle symbol and mandatory accompanying text for five years, which starts from the date that the sponsor notifies the TGA of supply of the product.</w:t>
      </w:r>
    </w:p>
    <w:p w14:paraId="2FDA7630" w14:textId="77777777" w:rsidR="008E7846" w:rsidRDefault="00AA0ED0" w:rsidP="008E7846">
      <w:pPr>
        <w:pStyle w:val="Heading3"/>
      </w:pPr>
      <w:bookmarkStart w:id="52" w:name="_Toc247691531"/>
      <w:bookmarkStart w:id="53" w:name="_Toc314842515"/>
      <w:bookmarkStart w:id="54" w:name="_Toc196046505"/>
      <w:bookmarkStart w:id="55" w:name="_Toc196046949"/>
      <w:bookmarkStart w:id="56" w:name="_Toc104471061"/>
      <w:r>
        <w:t>Risk-benefit a</w:t>
      </w:r>
      <w:r w:rsidR="008E7846">
        <w:t>nalysis</w:t>
      </w:r>
      <w:bookmarkEnd w:id="52"/>
      <w:bookmarkEnd w:id="53"/>
      <w:bookmarkEnd w:id="56"/>
    </w:p>
    <w:p w14:paraId="6AF4E7DA" w14:textId="77777777" w:rsidR="00D23139" w:rsidRDefault="007D53B6" w:rsidP="00D23139">
      <w:pPr>
        <w:pStyle w:val="Heading4"/>
      </w:pPr>
      <w:r>
        <w:t>Delegate’s considerations</w:t>
      </w:r>
    </w:p>
    <w:p w14:paraId="506F7CEC" w14:textId="3583C5CD" w:rsidR="001161BC" w:rsidRDefault="001161BC" w:rsidP="001161BC">
      <w:r>
        <w:t>The submission included a single pivotal placebo</w:t>
      </w:r>
      <w:r w:rsidR="0026689A">
        <w:t xml:space="preserve"> </w:t>
      </w:r>
      <w:r>
        <w:t xml:space="preserve">controlled study in subjects with Huntington's chorea, including 45 subjects treated with </w:t>
      </w:r>
      <w:proofErr w:type="spellStart"/>
      <w:r>
        <w:t>deutetrabenazine</w:t>
      </w:r>
      <w:proofErr w:type="spellEnd"/>
      <w:r>
        <w:t xml:space="preserve">. The subjects in </w:t>
      </w:r>
      <w:proofErr w:type="spellStart"/>
      <w:r>
        <w:t>deutetrabenazine</w:t>
      </w:r>
      <w:proofErr w:type="spellEnd"/>
      <w:r>
        <w:t xml:space="preserve"> group achieved statistically significant reductions in observable chorea, compared to placebo. The reduction in chorea by </w:t>
      </w:r>
      <w:proofErr w:type="spellStart"/>
      <w:r>
        <w:t>deutetrabenazine</w:t>
      </w:r>
      <w:proofErr w:type="spellEnd"/>
      <w:r>
        <w:t xml:space="preserve"> was supported by statistically significant improvements in key secondary endpoints. The magnitude of reduction in TMC score (-2.5) in </w:t>
      </w:r>
      <w:r w:rsidR="00950E86">
        <w:t>S</w:t>
      </w:r>
      <w:r>
        <w:t>tudy C-15 was less than the pre-determined treatment difference (-2.7), for which the study was powered for and with due consideration of the limitations of indirect comparison across studies, it was less than the treatment difference (-3.5) reported in previously conducted TETRA HD study with tetrabenazine.</w:t>
      </w:r>
      <w:bookmarkStart w:id="57" w:name="_Ref82605696"/>
      <w:r w:rsidR="00A677A7">
        <w:rPr>
          <w:rStyle w:val="FootnoteReference"/>
        </w:rPr>
        <w:footnoteReference w:id="22"/>
      </w:r>
      <w:bookmarkEnd w:id="57"/>
      <w:r>
        <w:t xml:space="preserve"> The reduction in chorea severity from </w:t>
      </w:r>
      <w:r w:rsidR="0026689A">
        <w:t>B</w:t>
      </w:r>
      <w:r>
        <w:t xml:space="preserve">aseline with </w:t>
      </w:r>
      <w:proofErr w:type="spellStart"/>
      <w:r>
        <w:t>deutetrabenazine</w:t>
      </w:r>
      <w:proofErr w:type="spellEnd"/>
      <w:r>
        <w:t xml:space="preserve"> (4.4 units) was also less than the tetrabenazine (5 units)</w:t>
      </w:r>
      <w:r w:rsidR="00A677A7">
        <w:t>.</w:t>
      </w:r>
      <w:r w:rsidR="00A677A7">
        <w:fldChar w:fldCharType="begin"/>
      </w:r>
      <w:r w:rsidR="00A677A7">
        <w:instrText xml:space="preserve"> NOTEREF _Ref82605696 \f \h </w:instrText>
      </w:r>
      <w:r w:rsidR="00A677A7">
        <w:fldChar w:fldCharType="separate"/>
      </w:r>
      <w:r w:rsidR="00B15438" w:rsidRPr="00B15438">
        <w:rPr>
          <w:rStyle w:val="FootnoteReference"/>
        </w:rPr>
        <w:t>22</w:t>
      </w:r>
      <w:r w:rsidR="00A677A7">
        <w:fldChar w:fldCharType="end"/>
      </w:r>
    </w:p>
    <w:p w14:paraId="601844C5" w14:textId="77777777" w:rsidR="001161BC" w:rsidRDefault="001161BC" w:rsidP="001161BC">
      <w:r>
        <w:t xml:space="preserve">In </w:t>
      </w:r>
      <w:r w:rsidR="00950E86">
        <w:t>S</w:t>
      </w:r>
      <w:r>
        <w:t xml:space="preserve">tudy C-16, in the switch cohort, on </w:t>
      </w:r>
      <w:r w:rsidR="00950E86">
        <w:t>D</w:t>
      </w:r>
      <w:r>
        <w:t xml:space="preserve">ay 1 of the treatment period, the mean </w:t>
      </w:r>
      <w:proofErr w:type="spellStart"/>
      <w:r>
        <w:t>deutetrabenazine</w:t>
      </w:r>
      <w:proofErr w:type="spellEnd"/>
      <w:r>
        <w:t xml:space="preserve"> daily dose was 20.3 mg (tetrabenazine dose at </w:t>
      </w:r>
      <w:r w:rsidR="00950E86">
        <w:t>B</w:t>
      </w:r>
      <w:r>
        <w:t>aseline: 42.2</w:t>
      </w:r>
      <w:r w:rsidR="0026689A">
        <w:t> </w:t>
      </w:r>
      <w:r>
        <w:t>mg); however, a steady increase in dose was noted during treatment period, for up to 37.2</w:t>
      </w:r>
      <w:r w:rsidR="0026689A">
        <w:t> </w:t>
      </w:r>
      <w:r>
        <w:t xml:space="preserve">mg at </w:t>
      </w:r>
      <w:r w:rsidR="00950E86">
        <w:t>W</w:t>
      </w:r>
      <w:r>
        <w:t xml:space="preserve">eek 28, which was not markedly lower than the tetrabenazine dose at </w:t>
      </w:r>
      <w:r w:rsidR="00950E86">
        <w:t>B</w:t>
      </w:r>
      <w:r>
        <w:t xml:space="preserve">aseline. This finding raises the question of whether there is sufficient evidence to support the theoretical assumption that half the dose of </w:t>
      </w:r>
      <w:proofErr w:type="spellStart"/>
      <w:r>
        <w:t>deutetrabenazine</w:t>
      </w:r>
      <w:proofErr w:type="spellEnd"/>
      <w:r>
        <w:t xml:space="preserve"> could provide comparable treatment benefit to that achieved by a dose of tetrabenazine and the </w:t>
      </w:r>
      <w:proofErr w:type="spellStart"/>
      <w:r>
        <w:t>translationability</w:t>
      </w:r>
      <w:proofErr w:type="spellEnd"/>
      <w:r>
        <w:t xml:space="preserve"> of PK findings to clinically meaningful outcomes</w:t>
      </w:r>
      <w:r w:rsidR="00A677A7">
        <w:t>.</w:t>
      </w:r>
      <w:r w:rsidR="00A677A7">
        <w:rPr>
          <w:rStyle w:val="FootnoteReference"/>
        </w:rPr>
        <w:footnoteReference w:id="23"/>
      </w:r>
    </w:p>
    <w:p w14:paraId="1E132E02" w14:textId="153FB881" w:rsidR="001161BC" w:rsidRDefault="001161BC" w:rsidP="001161BC">
      <w:r>
        <w:t xml:space="preserve">In subjects with </w:t>
      </w:r>
      <w:r w:rsidR="00C8762D">
        <w:t>tardive dyskinesia</w:t>
      </w:r>
      <w:r>
        <w:t>, across studies, the significant reduction in AIMS was not associated with a similar improvement in patient-reported outcomes such as CGI</w:t>
      </w:r>
      <w:r w:rsidR="00C8762D">
        <w:t>-</w:t>
      </w:r>
      <w:r>
        <w:t>C and PGI</w:t>
      </w:r>
      <w:r w:rsidR="00C8762D">
        <w:t>-</w:t>
      </w:r>
      <w:r>
        <w:t>C.</w:t>
      </w:r>
      <w:r w:rsidR="00A677A7">
        <w:rPr>
          <w:rStyle w:val="FootnoteReference"/>
        </w:rPr>
        <w:footnoteReference w:id="24"/>
      </w:r>
      <w:r>
        <w:t xml:space="preserve"> The significant reduction in AIMS for subjects in 24</w:t>
      </w:r>
      <w:r w:rsidR="00950E86">
        <w:t xml:space="preserve"> </w:t>
      </w:r>
      <w:r>
        <w:t xml:space="preserve">mg/day of </w:t>
      </w:r>
      <w:proofErr w:type="spellStart"/>
      <w:r>
        <w:t>deutetrabenazine</w:t>
      </w:r>
      <w:proofErr w:type="spellEnd"/>
      <w:r>
        <w:t xml:space="preserve"> was associated with a similar improvement in CGI</w:t>
      </w:r>
      <w:r w:rsidR="00C8762D">
        <w:t>-</w:t>
      </w:r>
      <w:r>
        <w:t>C, but not PGI</w:t>
      </w:r>
      <w:r w:rsidR="00C8762D">
        <w:t>-</w:t>
      </w:r>
      <w:r>
        <w:t>C. The clinical relevance of this finding is uncertain.</w:t>
      </w:r>
      <w:r w:rsidR="00A677A7">
        <w:rPr>
          <w:rStyle w:val="FootnoteReference"/>
        </w:rPr>
        <w:footnoteReference w:id="25"/>
      </w:r>
      <w:r>
        <w:t xml:space="preserve">. </w:t>
      </w:r>
      <w:r w:rsidRPr="00A65424">
        <w:t xml:space="preserve">The mean daily dose of </w:t>
      </w:r>
      <w:proofErr w:type="spellStart"/>
      <w:r w:rsidRPr="00A65424">
        <w:t>deutetrabenazine</w:t>
      </w:r>
      <w:proofErr w:type="spellEnd"/>
      <w:r w:rsidRPr="00A65424">
        <w:t xml:space="preserve"> in </w:t>
      </w:r>
      <w:r w:rsidR="0026689A" w:rsidRPr="00A65424">
        <w:t>S</w:t>
      </w:r>
      <w:r w:rsidRPr="00A65424">
        <w:t>tudy C-18 was around 38 mg. These findings suggest that a higher</w:t>
      </w:r>
      <w:r>
        <w:t xml:space="preserve"> dose of </w:t>
      </w:r>
      <w:proofErr w:type="spellStart"/>
      <w:r>
        <w:t>deutetrabenazine</w:t>
      </w:r>
      <w:proofErr w:type="spellEnd"/>
      <w:r>
        <w:t xml:space="preserve"> was required to achieve a statistically significant improvement in AIMS. </w:t>
      </w:r>
      <w:r>
        <w:lastRenderedPageBreak/>
        <w:t xml:space="preserve">It is re-assuring that a numerically higher proportion of subjects in </w:t>
      </w:r>
      <w:proofErr w:type="spellStart"/>
      <w:r>
        <w:t>deutetrabenazine</w:t>
      </w:r>
      <w:proofErr w:type="spellEnd"/>
      <w:r>
        <w:t xml:space="preserve"> group achieved treatment success, as per CGI</w:t>
      </w:r>
      <w:r w:rsidR="00FB05E6">
        <w:t>-</w:t>
      </w:r>
      <w:r>
        <w:t>C and PGI</w:t>
      </w:r>
      <w:r w:rsidR="00FB05E6">
        <w:t>-</w:t>
      </w:r>
      <w:r>
        <w:t xml:space="preserve">C. In subjects with </w:t>
      </w:r>
      <w:r w:rsidR="00FB05E6">
        <w:t>tardive dyskinesia</w:t>
      </w:r>
      <w:r>
        <w:t xml:space="preserve">, while higher doses were found to be effective in Study C-18, a 48 mg cohort was not investigated as part of Study C-23 and the mean daily dose in </w:t>
      </w:r>
      <w:r w:rsidR="0026689A">
        <w:t>S</w:t>
      </w:r>
      <w:r>
        <w:t>tudy C-18 was around 38</w:t>
      </w:r>
      <w:r w:rsidR="0026689A">
        <w:t> </w:t>
      </w:r>
      <w:r>
        <w:t xml:space="preserve">mg. While the proposed label suggests daily dosing for up to 48 mg a day, there was limited data to support this dosage regimen from both </w:t>
      </w:r>
      <w:r w:rsidR="00950E86">
        <w:t>S</w:t>
      </w:r>
      <w:r>
        <w:t xml:space="preserve">tudies C-23 and C-18. The </w:t>
      </w:r>
      <w:r w:rsidR="00950E86">
        <w:t xml:space="preserve">clinical </w:t>
      </w:r>
      <w:r>
        <w:t xml:space="preserve">evaluator has highlighted the issue of low number of study participants being exposed to the maximum dose and requested the sponsor to clarify the exact number of participants. The sponsor </w:t>
      </w:r>
      <w:r w:rsidR="00950CFF">
        <w:t>provided this data in the pre</w:t>
      </w:r>
      <w:r w:rsidR="00FB05E6">
        <w:t xml:space="preserve">-ACM (Advisory Committee on Medicines) </w:t>
      </w:r>
      <w:r w:rsidR="00950CFF">
        <w:t>response.</w:t>
      </w:r>
    </w:p>
    <w:p w14:paraId="7D1BDD87" w14:textId="4A69724A" w:rsidR="00243906" w:rsidRDefault="00243906" w:rsidP="00243906">
      <w:r>
        <w:t>A high rate of attrition was noted across both the roll over and switch cohorts in Study</w:t>
      </w:r>
      <w:r w:rsidR="00FB05E6">
        <w:t> </w:t>
      </w:r>
      <w:r>
        <w:t>C</w:t>
      </w:r>
      <w:r>
        <w:noBreakHyphen/>
        <w:t xml:space="preserve">16 (n = 37 at Baseline and n = 0 at Week 41 in switch cohort and n = 75 at Baseline and n = 5 at Week 41 in roll over cohort) that could have an impact on the long term safety data of </w:t>
      </w:r>
      <w:proofErr w:type="spellStart"/>
      <w:r>
        <w:t>deutetrabenazine</w:t>
      </w:r>
      <w:proofErr w:type="spellEnd"/>
      <w:r>
        <w:t xml:space="preserve"> in subjects with </w:t>
      </w:r>
      <w:r w:rsidR="00FB05E6">
        <w:t>Huntingdon disease</w:t>
      </w:r>
      <w:r>
        <w:t>. The study duration was potentially too short to demonstrate parkinsonism, which was seen most frequently in long term open label follow up studies. The high attrition rate in Study C-16 might also have contributed to the inability to detect this potential long term treatment</w:t>
      </w:r>
      <w:r w:rsidR="00FB05E6">
        <w:noBreakHyphen/>
      </w:r>
      <w:r>
        <w:t xml:space="preserve">related </w:t>
      </w:r>
      <w:r w:rsidR="00FB05E6">
        <w:t>adverse event</w:t>
      </w:r>
      <w:r>
        <w:t>.</w:t>
      </w:r>
      <w:r w:rsidR="004C4625">
        <w:rPr>
          <w:rStyle w:val="FootnoteReference"/>
        </w:rPr>
        <w:footnoteReference w:id="26"/>
      </w:r>
    </w:p>
    <w:p w14:paraId="765F68B6" w14:textId="07E0DA45" w:rsidR="001161BC" w:rsidRDefault="001161BC" w:rsidP="001161BC">
      <w:r>
        <w:t xml:space="preserve">Diarrhoea was reported in 9% of subjects with </w:t>
      </w:r>
      <w:r w:rsidR="00FB05E6">
        <w:t xml:space="preserve">Huntington disease </w:t>
      </w:r>
      <w:r>
        <w:t xml:space="preserve">in </w:t>
      </w:r>
      <w:proofErr w:type="spellStart"/>
      <w:r>
        <w:t>deutetrabenazine</w:t>
      </w:r>
      <w:proofErr w:type="spellEnd"/>
      <w:r>
        <w:t xml:space="preserve"> group, compared to none in placebo. Diarrhoea was also reported in  </w:t>
      </w:r>
      <w:r w:rsidR="00B7031F">
        <w:t>1.4%-7.6%</w:t>
      </w:r>
      <w:r>
        <w:t xml:space="preserve"> of subjects in </w:t>
      </w:r>
      <w:proofErr w:type="spellStart"/>
      <w:r>
        <w:t>deutetrabenazine</w:t>
      </w:r>
      <w:proofErr w:type="spellEnd"/>
      <w:r>
        <w:t xml:space="preserve"> groups with </w:t>
      </w:r>
      <w:r w:rsidR="00FB05E6">
        <w:t>tardive dyskinesia</w:t>
      </w:r>
      <w:r>
        <w:t xml:space="preserve">, compared to </w:t>
      </w:r>
      <w:r w:rsidR="00B7031F">
        <w:t>3</w:t>
      </w:r>
      <w:r>
        <w:t>.8% of subjects in placebo. None of these events appear to have resulted in treatment/study withdrawals. With long</w:t>
      </w:r>
      <w:r w:rsidR="00950E86">
        <w:t xml:space="preserve"> </w:t>
      </w:r>
      <w:r>
        <w:t xml:space="preserve">term use, the most commonly reported side effects were anxiety, somnolence, and depression, which are known </w:t>
      </w:r>
      <w:r w:rsidR="00FB05E6">
        <w:t xml:space="preserve">adverse events </w:t>
      </w:r>
      <w:r>
        <w:t>with tetrabenazine and also have a plausible relationship with the underlying condition. There are warnings included in the proposed PI in relation to neuroleptic malignant syndrome, and depression/suicidal ideation.</w:t>
      </w:r>
    </w:p>
    <w:p w14:paraId="4541149D" w14:textId="354868DC" w:rsidR="001161BC" w:rsidRDefault="001161BC" w:rsidP="001161BC">
      <w:r>
        <w:t>There were no major findings from the questionnaires that were used to measure suicidality (Columbia-Suicide Severity Rating Scale</w:t>
      </w:r>
      <w:r w:rsidR="00950E86">
        <w:t>)</w:t>
      </w:r>
      <w:r>
        <w:t xml:space="preserve"> and depression (HADS) in studies in subjects with </w:t>
      </w:r>
      <w:r w:rsidR="00FB05E6">
        <w:t>Huntington disease</w:t>
      </w:r>
      <w:r>
        <w:t xml:space="preserve">, taking in to account that there are known risks of depression and suicidal thoughts and behaviour (suicidality) in patients with chorea associated with </w:t>
      </w:r>
      <w:r w:rsidR="00FB05E6">
        <w:t>Huntington disease</w:t>
      </w:r>
      <w:r>
        <w:t>.</w:t>
      </w:r>
      <w:r w:rsidR="00A677A7">
        <w:rPr>
          <w:rStyle w:val="FootnoteReference"/>
        </w:rPr>
        <w:footnoteReference w:id="27"/>
      </w:r>
      <w:r>
        <w:t xml:space="preserve"> Taken together, the </w:t>
      </w:r>
      <w:r w:rsidR="00950E86">
        <w:t>D</w:t>
      </w:r>
      <w:r>
        <w:t xml:space="preserve">elegate considers that there were no evidence to suggest clear association between suicidal ideation/behaviour and treatment with </w:t>
      </w:r>
      <w:proofErr w:type="spellStart"/>
      <w:r>
        <w:t>deutetrabenazine</w:t>
      </w:r>
      <w:proofErr w:type="spellEnd"/>
      <w:r>
        <w:t xml:space="preserve">. It was noted that subjects with history of suicidal behaviour were excluded from studies. Treatment with </w:t>
      </w:r>
      <w:proofErr w:type="spellStart"/>
      <w:r>
        <w:t>deutetrabenazine</w:t>
      </w:r>
      <w:proofErr w:type="spellEnd"/>
      <w:r>
        <w:t xml:space="preserve"> in patients with suicidal behaviours is contraindicated in the proposed PI.</w:t>
      </w:r>
    </w:p>
    <w:p w14:paraId="6CC0A6AC" w14:textId="262C90EB" w:rsidR="001161BC" w:rsidRDefault="001161BC" w:rsidP="001161BC">
      <w:r>
        <w:t xml:space="preserve">There were no additional safety concerns with respect to sedation, parkinsonism, and akathisia that were found to lead to tolerability issues with </w:t>
      </w:r>
      <w:proofErr w:type="spellStart"/>
      <w:r w:rsidR="00775082">
        <w:t>deu</w:t>
      </w:r>
      <w:r>
        <w:t>tetrabenazine</w:t>
      </w:r>
      <w:proofErr w:type="spellEnd"/>
      <w:r>
        <w:t xml:space="preserve">. Overall, the QT prolongation associated with use of the drug was not clinically significant. However, the treatment effect on </w:t>
      </w:r>
      <w:r w:rsidR="00FB05E6">
        <w:t xml:space="preserve">electrocardiogram findings </w:t>
      </w:r>
      <w:r>
        <w:t>in specific su</w:t>
      </w:r>
      <w:r w:rsidR="00FB05E6">
        <w:t>b</w:t>
      </w:r>
      <w:r w:rsidR="00FB05E6">
        <w:noBreakHyphen/>
      </w:r>
      <w:r>
        <w:t>groups such as CYP2D6 poor metabolisers or when co-administered with a strong CYP2D6 inhibitors are not clear in the dossier. The sponsor will be requested provide this information. The precautionary statements related to QT prolongation in the PI were noted.</w:t>
      </w:r>
    </w:p>
    <w:p w14:paraId="35C6F3F2" w14:textId="67C0E6F3" w:rsidR="001161BC" w:rsidRDefault="001161BC" w:rsidP="001161BC">
      <w:r>
        <w:t xml:space="preserve">After the first round evaluation, based on the overall outcomes of efficacy endpoints across </w:t>
      </w:r>
      <w:r w:rsidR="00950E86">
        <w:t>S</w:t>
      </w:r>
      <w:r>
        <w:t xml:space="preserve">tudies C-18 and C-23, the </w:t>
      </w:r>
      <w:r w:rsidR="00950E86">
        <w:t xml:space="preserve">clinical </w:t>
      </w:r>
      <w:r>
        <w:t xml:space="preserve">evaluator only recommended approval for the treatment of chorea associated with </w:t>
      </w:r>
      <w:r w:rsidR="00FB05E6">
        <w:t xml:space="preserve">Huntington disease </w:t>
      </w:r>
      <w:r>
        <w:t xml:space="preserve">and not for the treatment of </w:t>
      </w:r>
      <w:r w:rsidR="00FB05E6">
        <w:t>tardive dyskinesia</w:t>
      </w:r>
      <w:r>
        <w:t xml:space="preserve">. </w:t>
      </w:r>
      <w:r w:rsidR="00950E86">
        <w:t>In response to</w:t>
      </w:r>
      <w:r>
        <w:t xml:space="preserve"> </w:t>
      </w:r>
      <w:r w:rsidR="00950E86">
        <w:t>questions</w:t>
      </w:r>
      <w:r w:rsidR="001428CE">
        <w:t xml:space="preserve"> raised by TGA</w:t>
      </w:r>
      <w:r>
        <w:t xml:space="preserve">, the sponsor provided comparative efficacy data to </w:t>
      </w:r>
      <w:proofErr w:type="spellStart"/>
      <w:r>
        <w:t>valbenazine</w:t>
      </w:r>
      <w:proofErr w:type="spellEnd"/>
      <w:r>
        <w:t xml:space="preserve"> and </w:t>
      </w:r>
      <w:r w:rsidR="00FB05E6">
        <w:t xml:space="preserve">a </w:t>
      </w:r>
      <w:r>
        <w:t xml:space="preserve">few literature references. Based on these </w:t>
      </w:r>
      <w:r>
        <w:lastRenderedPageBreak/>
        <w:t xml:space="preserve">additional information, the </w:t>
      </w:r>
      <w:r w:rsidR="00950E86">
        <w:t xml:space="preserve">clinical </w:t>
      </w:r>
      <w:r>
        <w:t>evaluator has recommended approval of the full proposed indication.</w:t>
      </w:r>
    </w:p>
    <w:p w14:paraId="2C894E47" w14:textId="0E467D8E" w:rsidR="001161BC" w:rsidRDefault="001161BC" w:rsidP="00B15438">
      <w:pPr>
        <w:pStyle w:val="Heading5"/>
      </w:pPr>
      <w:r>
        <w:t xml:space="preserve">Limitations of </w:t>
      </w:r>
      <w:r w:rsidR="00FB05E6">
        <w:t xml:space="preserve">the </w:t>
      </w:r>
      <w:r>
        <w:t>data</w:t>
      </w:r>
    </w:p>
    <w:p w14:paraId="414B6569" w14:textId="3D7EC002" w:rsidR="00FB05E6" w:rsidRPr="00FB05E6" w:rsidRDefault="00FB05E6">
      <w:r>
        <w:t>The Delegate listed the following as limitations of the data:</w:t>
      </w:r>
    </w:p>
    <w:p w14:paraId="2A8CB896" w14:textId="6E68ECF0" w:rsidR="001161BC" w:rsidRDefault="001161BC" w:rsidP="001161BC">
      <w:pPr>
        <w:pStyle w:val="ListBullet"/>
      </w:pPr>
      <w:r>
        <w:t xml:space="preserve">Single pivotal study for </w:t>
      </w:r>
      <w:r w:rsidR="00FB05E6">
        <w:t xml:space="preserve">Huntington disease </w:t>
      </w:r>
      <w:r>
        <w:t xml:space="preserve">with 45 subjects treated with </w:t>
      </w:r>
      <w:proofErr w:type="spellStart"/>
      <w:r>
        <w:t>deutetrabenazine</w:t>
      </w:r>
      <w:proofErr w:type="spellEnd"/>
      <w:r>
        <w:t>.</w:t>
      </w:r>
    </w:p>
    <w:p w14:paraId="73920E35" w14:textId="7A1BC148" w:rsidR="001161BC" w:rsidRDefault="001161BC" w:rsidP="001161BC">
      <w:pPr>
        <w:pStyle w:val="ListBullet"/>
      </w:pPr>
      <w:r>
        <w:t xml:space="preserve">Modest treatment benefit for subjects with </w:t>
      </w:r>
      <w:r w:rsidR="00FB05E6">
        <w:t xml:space="preserve">Huntington disease </w:t>
      </w:r>
      <w:r>
        <w:t xml:space="preserve">and </w:t>
      </w:r>
      <w:r w:rsidR="00FB05E6">
        <w:t>tardive dyskinesia</w:t>
      </w:r>
      <w:r>
        <w:t>.</w:t>
      </w:r>
    </w:p>
    <w:p w14:paraId="4537FE8A" w14:textId="77777777" w:rsidR="001161BC" w:rsidRDefault="001161BC" w:rsidP="001161BC">
      <w:pPr>
        <w:pStyle w:val="ListBullet"/>
      </w:pPr>
      <w:r>
        <w:t>Limited efficacy and safety data in the elderly patient population.</w:t>
      </w:r>
    </w:p>
    <w:p w14:paraId="102CD492" w14:textId="581F1970" w:rsidR="001161BC" w:rsidRDefault="001161BC" w:rsidP="001161BC">
      <w:pPr>
        <w:pStyle w:val="ListBullet"/>
      </w:pPr>
      <w:r>
        <w:t xml:space="preserve">High dose of </w:t>
      </w:r>
      <w:proofErr w:type="spellStart"/>
      <w:r>
        <w:t>deutetrabenazine</w:t>
      </w:r>
      <w:proofErr w:type="spellEnd"/>
      <w:r>
        <w:t xml:space="preserve"> required for a statistically significant treatment benefit for subjects with </w:t>
      </w:r>
      <w:r w:rsidR="00FB05E6">
        <w:t xml:space="preserve">tardive dyskinesia </w:t>
      </w:r>
      <w:r>
        <w:t xml:space="preserve">and </w:t>
      </w:r>
      <w:r w:rsidR="00FB05E6">
        <w:t>Huntington disease</w:t>
      </w:r>
      <w:r>
        <w:t>.</w:t>
      </w:r>
    </w:p>
    <w:p w14:paraId="3A6E5B4F" w14:textId="16B8424E" w:rsidR="001161BC" w:rsidRPr="00456765" w:rsidRDefault="001161BC" w:rsidP="001161BC">
      <w:pPr>
        <w:pStyle w:val="ListBullet"/>
      </w:pPr>
      <w:r>
        <w:t xml:space="preserve">No significantly greater treatment benefit demonstrated by </w:t>
      </w:r>
      <w:proofErr w:type="spellStart"/>
      <w:r>
        <w:t>deutetrabenazine</w:t>
      </w:r>
      <w:proofErr w:type="spellEnd"/>
      <w:r>
        <w:t xml:space="preserve"> compared to tetrabenazine for patients with </w:t>
      </w:r>
      <w:r w:rsidR="00FB05E6">
        <w:t>Huntington disease and tardive dyskinesia.</w:t>
      </w:r>
    </w:p>
    <w:p w14:paraId="36B1AE75" w14:textId="77777777" w:rsidR="00D23139" w:rsidRDefault="00D23139" w:rsidP="00D23139">
      <w:pPr>
        <w:pStyle w:val="Heading4"/>
      </w:pPr>
      <w:r w:rsidRPr="00D23139">
        <w:t>Proposed action</w:t>
      </w:r>
    </w:p>
    <w:p w14:paraId="597E804A" w14:textId="35D4550C" w:rsidR="001161BC" w:rsidRPr="00456765" w:rsidRDefault="001161BC" w:rsidP="001161BC">
      <w:r w:rsidRPr="001161BC">
        <w:t xml:space="preserve">In summary, based on the data included in the dossier, the </w:t>
      </w:r>
      <w:r>
        <w:t>D</w:t>
      </w:r>
      <w:r w:rsidRPr="001161BC">
        <w:t xml:space="preserve">elegate considers that the evidence to support the efficacy of </w:t>
      </w:r>
      <w:proofErr w:type="spellStart"/>
      <w:r w:rsidRPr="001161BC">
        <w:t>deutetrabenazine</w:t>
      </w:r>
      <w:proofErr w:type="spellEnd"/>
      <w:r w:rsidRPr="001161BC">
        <w:t xml:space="preserve"> for the treatment of both chorea associated with </w:t>
      </w:r>
      <w:r w:rsidR="00FB05E6">
        <w:t>Huntington disease and tardive dyskinesia</w:t>
      </w:r>
      <w:r w:rsidR="00FB05E6" w:rsidRPr="001161BC" w:rsidDel="00FB05E6">
        <w:t xml:space="preserve"> </w:t>
      </w:r>
      <w:r w:rsidRPr="001161BC">
        <w:t xml:space="preserve">is modest. It appears that </w:t>
      </w:r>
      <w:proofErr w:type="spellStart"/>
      <w:r w:rsidRPr="001161BC">
        <w:t>deutetrabenazine</w:t>
      </w:r>
      <w:proofErr w:type="spellEnd"/>
      <w:r w:rsidRPr="001161BC">
        <w:t xml:space="preserve"> have a better tolerability, compared to tetrabenazine.</w:t>
      </w:r>
    </w:p>
    <w:p w14:paraId="650C8327" w14:textId="77777777" w:rsidR="007D53B6" w:rsidRDefault="007D53B6" w:rsidP="007D53B6">
      <w:pPr>
        <w:pStyle w:val="Heading4"/>
      </w:pPr>
      <w:bookmarkStart w:id="58" w:name="_Ref82438205"/>
      <w:r>
        <w:t xml:space="preserve">Questions for </w:t>
      </w:r>
      <w:r w:rsidR="00744121">
        <w:t xml:space="preserve">the </w:t>
      </w:r>
      <w:r>
        <w:t>sponsor</w:t>
      </w:r>
      <w:bookmarkEnd w:id="58"/>
    </w:p>
    <w:p w14:paraId="2C105B11" w14:textId="77777777" w:rsidR="00744121" w:rsidRPr="00955A16" w:rsidRDefault="00744121" w:rsidP="00744121">
      <w:r>
        <w:t>The sponsor provided the following response to questions from the Delegate.</w:t>
      </w:r>
    </w:p>
    <w:p w14:paraId="0A82643C" w14:textId="0AD65FFB" w:rsidR="005F4817" w:rsidRDefault="005F4817" w:rsidP="005F4817">
      <w:pPr>
        <w:pStyle w:val="Numberbullet0"/>
        <w:rPr>
          <w:b/>
          <w:bCs/>
          <w:i/>
          <w:iCs/>
        </w:rPr>
      </w:pPr>
      <w:r w:rsidRPr="005F4817">
        <w:rPr>
          <w:b/>
          <w:bCs/>
          <w:i/>
          <w:iCs/>
        </w:rPr>
        <w:t xml:space="preserve">In </w:t>
      </w:r>
      <w:r w:rsidR="0026689A">
        <w:rPr>
          <w:b/>
          <w:bCs/>
          <w:i/>
          <w:iCs/>
        </w:rPr>
        <w:t>S</w:t>
      </w:r>
      <w:r w:rsidRPr="005F4817">
        <w:rPr>
          <w:b/>
          <w:bCs/>
          <w:i/>
          <w:iCs/>
        </w:rPr>
        <w:t>tudy C-16, the sponsor's rationale of using descriptive analysis contradicts the mentioning of p</w:t>
      </w:r>
      <w:r w:rsidR="00FB05E6">
        <w:rPr>
          <w:b/>
          <w:bCs/>
          <w:i/>
          <w:iCs/>
        </w:rPr>
        <w:t>-</w:t>
      </w:r>
      <w:r w:rsidRPr="005F4817">
        <w:rPr>
          <w:b/>
          <w:bCs/>
          <w:i/>
          <w:iCs/>
        </w:rPr>
        <w:t>values</w:t>
      </w:r>
      <w:r w:rsidR="00FB05E6">
        <w:rPr>
          <w:b/>
          <w:bCs/>
          <w:i/>
          <w:iCs/>
        </w:rPr>
        <w:t>.</w:t>
      </w:r>
      <w:r w:rsidRPr="005F4817">
        <w:rPr>
          <w:b/>
          <w:bCs/>
          <w:i/>
          <w:iCs/>
        </w:rPr>
        <w:t xml:space="preserve"> Please clarify.</w:t>
      </w:r>
    </w:p>
    <w:p w14:paraId="474C0918" w14:textId="5D2CE8F0" w:rsidR="005F4817" w:rsidRPr="005F4817" w:rsidRDefault="00BF23CF" w:rsidP="00BF23CF">
      <w:r>
        <w:t xml:space="preserve">The analyses in Study SD-809-C-16 were descriptive and no formal statistical analyses were conducted. </w:t>
      </w:r>
      <w:r w:rsidR="00FB05E6">
        <w:t>p</w:t>
      </w:r>
      <w:r>
        <w:t>-values were included for descriptive purposes only in the interim report and not in the final study report or any of the summary documents; rather, the final report includes 95% confidence intervals for UHDRS</w:t>
      </w:r>
      <w:r w:rsidR="00950E86">
        <w:t xml:space="preserve"> </w:t>
      </w:r>
      <w:r>
        <w:t>TMC and UHDRS</w:t>
      </w:r>
      <w:r w:rsidR="00950E86">
        <w:t xml:space="preserve"> </w:t>
      </w:r>
      <w:r>
        <w:t>Total Motor Score (TMS) change from Baseline and change from Week 8.</w:t>
      </w:r>
    </w:p>
    <w:p w14:paraId="4B05B981" w14:textId="247EFA84" w:rsidR="005F4817" w:rsidRDefault="00FB05E6" w:rsidP="005F4817">
      <w:pPr>
        <w:pStyle w:val="Numberbullet0"/>
        <w:rPr>
          <w:b/>
          <w:bCs/>
          <w:i/>
          <w:iCs/>
        </w:rPr>
      </w:pPr>
      <w:r>
        <w:rPr>
          <w:b/>
          <w:bCs/>
          <w:i/>
          <w:iCs/>
        </w:rPr>
        <w:t>The maximum plasma concentration</w:t>
      </w:r>
      <w:r w:rsidR="005F4817" w:rsidRPr="005F4817">
        <w:rPr>
          <w:b/>
          <w:bCs/>
          <w:i/>
          <w:iCs/>
        </w:rPr>
        <w:t xml:space="preserve"> of </w:t>
      </w:r>
      <w:proofErr w:type="spellStart"/>
      <w:r w:rsidR="005F4817" w:rsidRPr="005F4817">
        <w:rPr>
          <w:b/>
          <w:bCs/>
          <w:i/>
          <w:iCs/>
        </w:rPr>
        <w:t>deutetrabenazine</w:t>
      </w:r>
      <w:proofErr w:type="spellEnd"/>
      <w:r w:rsidR="005F4817" w:rsidRPr="005F4817">
        <w:rPr>
          <w:b/>
          <w:bCs/>
          <w:i/>
          <w:iCs/>
        </w:rPr>
        <w:t xml:space="preserve"> was found to be increased by around 50% in the presence of food. The </w:t>
      </w:r>
      <w:r w:rsidR="0026689A">
        <w:rPr>
          <w:b/>
          <w:bCs/>
          <w:i/>
          <w:iCs/>
        </w:rPr>
        <w:t>D</w:t>
      </w:r>
      <w:r w:rsidR="005F4817" w:rsidRPr="005F4817">
        <w:rPr>
          <w:b/>
          <w:bCs/>
          <w:i/>
          <w:iCs/>
        </w:rPr>
        <w:t xml:space="preserve">elegate has noted that the PI states to administer </w:t>
      </w:r>
      <w:proofErr w:type="spellStart"/>
      <w:r w:rsidR="005F4817" w:rsidRPr="005F4817">
        <w:rPr>
          <w:b/>
          <w:bCs/>
          <w:i/>
          <w:iCs/>
        </w:rPr>
        <w:t>deutetrabenazine</w:t>
      </w:r>
      <w:proofErr w:type="spellEnd"/>
      <w:r w:rsidR="005F4817" w:rsidRPr="005F4817">
        <w:rPr>
          <w:b/>
          <w:bCs/>
          <w:i/>
          <w:iCs/>
        </w:rPr>
        <w:t xml:space="preserve"> with food. This is likely to result in high systemic exposure. The sponsor is requested to justify that the method of administration will not compromise patient safety.</w:t>
      </w:r>
    </w:p>
    <w:p w14:paraId="35AA7742" w14:textId="0B3F1979" w:rsidR="00BF23CF" w:rsidRPr="005F4817" w:rsidRDefault="00BF23CF" w:rsidP="00BF23CF">
      <w:r>
        <w:t>The sponsor recogn</w:t>
      </w:r>
      <w:r w:rsidR="0026689A">
        <w:t>is</w:t>
      </w:r>
      <w:r>
        <w:t xml:space="preserve">es that in the Phase </w:t>
      </w:r>
      <w:r w:rsidR="00950E86">
        <w:t>I</w:t>
      </w:r>
      <w:r>
        <w:t xml:space="preserve"> Study AUS-SD-809-CPT-07 (Part 1), a food effect was observed with C</w:t>
      </w:r>
      <w:r w:rsidRPr="00BF23CF">
        <w:rPr>
          <w:vertAlign w:val="subscript"/>
        </w:rPr>
        <w:t>max</w:t>
      </w:r>
      <w:r>
        <w:t xml:space="preserve"> approximately 50% higher following single doses in the fed compared to fasted state. In order to optim</w:t>
      </w:r>
      <w:r w:rsidR="0026689A">
        <w:t>is</w:t>
      </w:r>
      <w:r>
        <w:t xml:space="preserve">e efficacy in all clinical program patients, studies were conducted with the recommendation to take </w:t>
      </w:r>
      <w:proofErr w:type="spellStart"/>
      <w:r>
        <w:t>deutetrabenazine</w:t>
      </w:r>
      <w:proofErr w:type="spellEnd"/>
      <w:r>
        <w:t xml:space="preserve"> with a meal. This implies that the safety and efficacy of </w:t>
      </w:r>
      <w:proofErr w:type="spellStart"/>
      <w:r>
        <w:t>deutetrabenazine</w:t>
      </w:r>
      <w:proofErr w:type="spellEnd"/>
      <w:r>
        <w:t xml:space="preserve"> has been well characteri</w:t>
      </w:r>
      <w:r w:rsidR="00950E86">
        <w:t>s</w:t>
      </w:r>
      <w:r>
        <w:t xml:space="preserve">ed across the entire clinical program in the fed state and the </w:t>
      </w:r>
      <w:r w:rsidR="00FB05E6">
        <w:t>Consumer Medicines Information (</w:t>
      </w:r>
      <w:r>
        <w:t>CMI</w:t>
      </w:r>
      <w:r w:rsidR="00FB05E6">
        <w:t>)</w:t>
      </w:r>
      <w:r>
        <w:t xml:space="preserve"> and PI proposed for approval contain appropriate and accurate information regarding </w:t>
      </w:r>
      <w:proofErr w:type="spellStart"/>
      <w:r>
        <w:t>deutetrabenazine</w:t>
      </w:r>
      <w:proofErr w:type="spellEnd"/>
      <w:r>
        <w:t xml:space="preserve"> safety taken with food. If a patient accidentally takes </w:t>
      </w:r>
      <w:proofErr w:type="spellStart"/>
      <w:r>
        <w:t>deutetrabenazine</w:t>
      </w:r>
      <w:proofErr w:type="spellEnd"/>
      <w:r>
        <w:t xml:space="preserve"> on an empty stomach, peak plasma concentrations are expected to be less than what was observed in the clinical trials therefore not posing any additional safety concern. For this reason, the ‘dosing and administration’ section in the proposed </w:t>
      </w:r>
      <w:proofErr w:type="spellStart"/>
      <w:r>
        <w:t>deutetrabenazine</w:t>
      </w:r>
      <w:proofErr w:type="spellEnd"/>
      <w:r>
        <w:t xml:space="preserve"> (</w:t>
      </w:r>
      <w:proofErr w:type="spellStart"/>
      <w:r>
        <w:t>Austedo</w:t>
      </w:r>
      <w:proofErr w:type="spellEnd"/>
      <w:r>
        <w:t>) Australian PI and CMI recommends dose intake with food.</w:t>
      </w:r>
    </w:p>
    <w:p w14:paraId="67AE004E" w14:textId="365D5F7D" w:rsidR="005F4817" w:rsidRDefault="005F4817" w:rsidP="005F4817">
      <w:pPr>
        <w:pStyle w:val="Numberbullet0"/>
        <w:rPr>
          <w:b/>
          <w:bCs/>
          <w:i/>
          <w:iCs/>
        </w:rPr>
      </w:pPr>
      <w:r w:rsidRPr="005F4817">
        <w:rPr>
          <w:b/>
          <w:bCs/>
          <w:i/>
          <w:iCs/>
        </w:rPr>
        <w:lastRenderedPageBreak/>
        <w:t xml:space="preserve">Please provide safety data related to the treatment effect on </w:t>
      </w:r>
      <w:r w:rsidR="00FB05E6">
        <w:rPr>
          <w:b/>
          <w:bCs/>
          <w:i/>
          <w:iCs/>
        </w:rPr>
        <w:t>electrocardiogram values</w:t>
      </w:r>
      <w:r w:rsidR="00FB05E6" w:rsidRPr="005F4817">
        <w:rPr>
          <w:b/>
          <w:bCs/>
          <w:i/>
          <w:iCs/>
        </w:rPr>
        <w:t xml:space="preserve"> </w:t>
      </w:r>
      <w:r w:rsidRPr="005F4817">
        <w:rPr>
          <w:b/>
          <w:bCs/>
          <w:i/>
          <w:iCs/>
        </w:rPr>
        <w:t>(QT prolongation) in specific sub groups such as CYP2D6 poor metabolisers or when co-administered with a strong CYP2D6 inhibitors</w:t>
      </w:r>
      <w:r w:rsidR="00FB05E6">
        <w:rPr>
          <w:b/>
          <w:bCs/>
          <w:i/>
          <w:iCs/>
        </w:rPr>
        <w:t>.</w:t>
      </w:r>
    </w:p>
    <w:p w14:paraId="194EAEAB" w14:textId="7ED2876D" w:rsidR="00BF23CF" w:rsidRDefault="00BF23CF" w:rsidP="00BF23CF">
      <w:r>
        <w:t xml:space="preserve">The evaluation of ECG findings after </w:t>
      </w:r>
      <w:proofErr w:type="spellStart"/>
      <w:r>
        <w:t>deutetrabenazine</w:t>
      </w:r>
      <w:proofErr w:type="spellEnd"/>
      <w:r>
        <w:t xml:space="preserve"> administration is described in Section 4.7 in CTD 2.7.4 Summary of Clinical Safety. Data from a QT study in healthy subjects that compared the </w:t>
      </w:r>
      <w:proofErr w:type="spellStart"/>
      <w:r>
        <w:t>cardiodynamic</w:t>
      </w:r>
      <w:proofErr w:type="spellEnd"/>
      <w:r>
        <w:t xml:space="preserve"> effects of </w:t>
      </w:r>
      <w:proofErr w:type="spellStart"/>
      <w:r>
        <w:t>deutetrabenazine</w:t>
      </w:r>
      <w:proofErr w:type="spellEnd"/>
      <w:r>
        <w:t xml:space="preserve"> and tetrabenazine (</w:t>
      </w:r>
      <w:r w:rsidR="00FB05E6">
        <w:t xml:space="preserve">Study </w:t>
      </w:r>
      <w:r>
        <w:t xml:space="preserve">C-21), as well as ECG monitoring in subjects with chorea associated with </w:t>
      </w:r>
      <w:r w:rsidR="00FB05E6">
        <w:t xml:space="preserve">Huntington disease </w:t>
      </w:r>
      <w:r>
        <w:t xml:space="preserve">in Study C-15 and Study C-16, demonstrated that </w:t>
      </w:r>
      <w:proofErr w:type="spellStart"/>
      <w:r>
        <w:t>deutetrabenazine</w:t>
      </w:r>
      <w:proofErr w:type="spellEnd"/>
      <w:r>
        <w:t xml:space="preserve"> doses ≤ 48 mg per day do not have a clinically relevant effect on cardiac repolar</w:t>
      </w:r>
      <w:r w:rsidR="0026689A">
        <w:t>is</w:t>
      </w:r>
      <w:r>
        <w:t xml:space="preserve">ation. Treatment-emergent adverse events that could be considered related to prolongation of the QT interval were not reported in any subjects treated with </w:t>
      </w:r>
      <w:proofErr w:type="spellStart"/>
      <w:r>
        <w:t>deutetrabenazine</w:t>
      </w:r>
      <w:proofErr w:type="spellEnd"/>
      <w:r>
        <w:t xml:space="preserve"> in the clinical development program for </w:t>
      </w:r>
      <w:proofErr w:type="spellStart"/>
      <w:r>
        <w:t>deutetrabenazine</w:t>
      </w:r>
      <w:proofErr w:type="spellEnd"/>
      <w:r>
        <w:t xml:space="preserve">. The data also indicate that the risk of QT interval prolongation when </w:t>
      </w:r>
      <w:proofErr w:type="spellStart"/>
      <w:r>
        <w:t>deutetrabenazine</w:t>
      </w:r>
      <w:proofErr w:type="spellEnd"/>
      <w:r>
        <w:t xml:space="preserve"> is administered to subjects who are taking a concomitant strong CYP2D6 inhibitor is smaller than that for concomitant administration of tetrabenazine and a strong CYP2D6 inhibitor.</w:t>
      </w:r>
    </w:p>
    <w:p w14:paraId="7A8F9309" w14:textId="586AFACF" w:rsidR="00BF23CF" w:rsidRDefault="00BF23CF" w:rsidP="00BF23CF">
      <w:r>
        <w:t>In addition, a randomi</w:t>
      </w:r>
      <w:r w:rsidR="00950E86">
        <w:t>s</w:t>
      </w:r>
      <w:r>
        <w:t>ed, double</w:t>
      </w:r>
      <w:r w:rsidR="00950E86">
        <w:t xml:space="preserve"> </w:t>
      </w:r>
      <w:r>
        <w:t>blind, placebo</w:t>
      </w:r>
      <w:r w:rsidR="00950E86">
        <w:t xml:space="preserve"> </w:t>
      </w:r>
      <w:r>
        <w:t xml:space="preserve">controlled Phase </w:t>
      </w:r>
      <w:r w:rsidR="00950E86">
        <w:t>I</w:t>
      </w:r>
      <w:r>
        <w:t xml:space="preserve"> study (</w:t>
      </w:r>
      <w:r w:rsidR="00FB05E6">
        <w:t xml:space="preserve">Study </w:t>
      </w:r>
      <w:r>
        <w:t xml:space="preserve">TV50717-SAD-10132) was completed after submission of the dossier to TGA. In this study, the primary objectives were to evaluate the ECG effects, PK, safety and tolerability after single escalating doses of </w:t>
      </w:r>
      <w:proofErr w:type="spellStart"/>
      <w:r>
        <w:t>deutetrabenazine</w:t>
      </w:r>
      <w:proofErr w:type="spellEnd"/>
      <w:r>
        <w:t xml:space="preserve"> (24, 48 and 72 mg) or placebo in extensive or CYP2D6 metabol</w:t>
      </w:r>
      <w:r w:rsidR="0026689A">
        <w:t>is</w:t>
      </w:r>
      <w:r>
        <w:t>ers (EM) and poor CYP2D6 metabol</w:t>
      </w:r>
      <w:r w:rsidR="0026689A">
        <w:t>is</w:t>
      </w:r>
      <w:r>
        <w:t>ers (PM). A total of 36 healthy subjects were randomi</w:t>
      </w:r>
      <w:r w:rsidR="00950E86">
        <w:t>s</w:t>
      </w:r>
      <w:r>
        <w:t>ed; 12 EM (24 mg</w:t>
      </w:r>
      <w:r w:rsidR="0026689A">
        <w:t xml:space="preserve">; </w:t>
      </w:r>
      <w:r>
        <w:t>n = 9, 48 mg</w:t>
      </w:r>
      <w:r w:rsidR="0026689A">
        <w:t xml:space="preserve">; </w:t>
      </w:r>
      <w:r>
        <w:t>n = 8, 72 mg</w:t>
      </w:r>
      <w:r w:rsidR="0026689A">
        <w:t>;</w:t>
      </w:r>
      <w:r>
        <w:t xml:space="preserve"> n = 7) and 24 PM (24</w:t>
      </w:r>
      <w:r w:rsidR="0026689A">
        <w:t> </w:t>
      </w:r>
      <w:r>
        <w:t>mg</w:t>
      </w:r>
      <w:r w:rsidR="0026689A">
        <w:t>; n</w:t>
      </w:r>
      <w:r>
        <w:t xml:space="preserve"> = 9, 48 mg</w:t>
      </w:r>
      <w:r w:rsidR="0026689A">
        <w:t xml:space="preserve">; </w:t>
      </w:r>
      <w:r>
        <w:t>n = 8, 72</w:t>
      </w:r>
      <w:r w:rsidR="0026689A">
        <w:t> </w:t>
      </w:r>
      <w:r>
        <w:t>mg</w:t>
      </w:r>
      <w:r w:rsidR="0026689A">
        <w:t xml:space="preserve">; </w:t>
      </w:r>
      <w:r>
        <w:t xml:space="preserve">n = 13). Eighteen (18) PK blood samples were obtained over 72 hours post-dose and were time-matched with replicate 12-lead ECGs extracted from continuous ECG recordings for up to 24 hours. A linear mixed-effects concentration-QTc </w:t>
      </w:r>
      <w:proofErr w:type="spellStart"/>
      <w:r>
        <w:t>modeling</w:t>
      </w:r>
      <w:proofErr w:type="spellEnd"/>
      <w:r>
        <w:t xml:space="preserve"> (C-QTc) analysis character</w:t>
      </w:r>
      <w:r w:rsidR="0026689A">
        <w:t>is</w:t>
      </w:r>
      <w:r>
        <w:t xml:space="preserve">ed the relationship between plasma concentrations of </w:t>
      </w:r>
      <w:proofErr w:type="spellStart"/>
      <w:r>
        <w:t>deutetrabenazine</w:t>
      </w:r>
      <w:proofErr w:type="spellEnd"/>
      <w:r>
        <w:t xml:space="preserve"> and α- and β-</w:t>
      </w:r>
      <w:proofErr w:type="spellStart"/>
      <w:r>
        <w:t>dihydrotetrabenazine</w:t>
      </w:r>
      <w:proofErr w:type="spellEnd"/>
      <w:r>
        <w:t xml:space="preserve"> (α-HTBZ and β-HTBZ) metabolites, and </w:t>
      </w:r>
      <w:proofErr w:type="spellStart"/>
      <w:r>
        <w:t>ΔQTcF</w:t>
      </w:r>
      <w:proofErr w:type="spellEnd"/>
      <w:r>
        <w:t xml:space="preserve"> (change from Baseline in </w:t>
      </w:r>
      <w:proofErr w:type="spellStart"/>
      <w:r>
        <w:t>QTcF</w:t>
      </w:r>
      <w:proofErr w:type="spellEnd"/>
      <w:r>
        <w:t>).</w:t>
      </w:r>
    </w:p>
    <w:p w14:paraId="7108B3F5" w14:textId="77777777" w:rsidR="00BF23CF" w:rsidRDefault="00BF23CF" w:rsidP="00BF23CF">
      <w:r>
        <w:t>Maximum and total exposure (C</w:t>
      </w:r>
      <w:r w:rsidRPr="00BF23CF">
        <w:rPr>
          <w:vertAlign w:val="subscript"/>
        </w:rPr>
        <w:t>max</w:t>
      </w:r>
      <w:r>
        <w:t xml:space="preserve"> and AUC</w:t>
      </w:r>
      <w:r w:rsidRPr="00BF23CF">
        <w:rPr>
          <w:vertAlign w:val="subscript"/>
        </w:rPr>
        <w:t>0-∞</w:t>
      </w:r>
      <w:r>
        <w:t xml:space="preserve">) for total (α+β)-HTBZ increased in a generally dose proportional manner over the 24 to 72 mg dose range for both the CYP2D6 EM and PM populations. Based on the C-QTc analysis with the primary model for pooled CYP2D6 EM and PM populations, an effect of </w:t>
      </w:r>
      <w:proofErr w:type="spellStart"/>
      <w:r>
        <w:t>deutetrabenazine</w:t>
      </w:r>
      <w:proofErr w:type="spellEnd"/>
      <w:r>
        <w:t xml:space="preserve"> on </w:t>
      </w:r>
      <w:proofErr w:type="spellStart"/>
      <w:r>
        <w:t>ΔΔQTcF</w:t>
      </w:r>
      <w:proofErr w:type="spellEnd"/>
      <w:r>
        <w:t xml:space="preserve"> can be excluded within the observed range of α-HTBZ and β-HTBZ plasma concentrations up to approximately 150000 </w:t>
      </w:r>
      <w:proofErr w:type="spellStart"/>
      <w:r>
        <w:t>pg</w:t>
      </w:r>
      <w:proofErr w:type="spellEnd"/>
      <w:r>
        <w:t xml:space="preserve">/mL, and 140000 </w:t>
      </w:r>
      <w:proofErr w:type="spellStart"/>
      <w:r>
        <w:t>pg</w:t>
      </w:r>
      <w:proofErr w:type="spellEnd"/>
      <w:r>
        <w:t xml:space="preserve">/mL, respectively. A QTc effect exceeding 10 ms can be excluded within the observed plasma concentration ranges of </w:t>
      </w:r>
      <w:proofErr w:type="spellStart"/>
      <w:r>
        <w:t>deutetrabenazine</w:t>
      </w:r>
      <w:proofErr w:type="spellEnd"/>
      <w:r>
        <w:t>, α-HTBZ and β-HTBZ in the study, which exceed predicted steady state concentrations at maximum recommended dose.</w:t>
      </w:r>
    </w:p>
    <w:p w14:paraId="75ECA939" w14:textId="77777777" w:rsidR="00BF23CF" w:rsidRDefault="00BF23CF" w:rsidP="00BF23CF">
      <w:r>
        <w:t>No deaths or serious adverse events and no treatment-emergent predefined cardiac events occurred during the study.</w:t>
      </w:r>
    </w:p>
    <w:p w14:paraId="1324ED37" w14:textId="77777777" w:rsidR="00BF23CF" w:rsidRPr="005F4817" w:rsidRDefault="00BF23CF" w:rsidP="00BF23CF">
      <w:r>
        <w:t xml:space="preserve">In conclusion, </w:t>
      </w:r>
      <w:proofErr w:type="spellStart"/>
      <w:r>
        <w:t>deutetrabenazine</w:t>
      </w:r>
      <w:proofErr w:type="spellEnd"/>
      <w:r>
        <w:t xml:space="preserve"> at the studied doses did not have a clinically relevant effect on HR or the PR and QRS intervals. Prolongation of </w:t>
      </w:r>
      <w:proofErr w:type="spellStart"/>
      <w:r>
        <w:t>QTcF</w:t>
      </w:r>
      <w:proofErr w:type="spellEnd"/>
      <w:r>
        <w:t xml:space="preserve"> was seen, in particular with the highest dose (72 mg) in both poor and extensive/intermediate metabol</w:t>
      </w:r>
      <w:r w:rsidR="0026689A">
        <w:t>is</w:t>
      </w:r>
      <w:r>
        <w:t xml:space="preserve">ers. Based on the models in the concentration-QTc analysis, an effect of TEV50717 on </w:t>
      </w:r>
      <w:proofErr w:type="spellStart"/>
      <w:r>
        <w:t>ΔΔQTcF</w:t>
      </w:r>
      <w:proofErr w:type="spellEnd"/>
      <w:r>
        <w:t xml:space="preserve"> can be excluded within the observed range of </w:t>
      </w:r>
      <w:proofErr w:type="spellStart"/>
      <w:r>
        <w:t>deutetrabenazine</w:t>
      </w:r>
      <w:proofErr w:type="spellEnd"/>
      <w:r>
        <w:t>, α-HTBZ, and β-HTBZ plasma concentrations.</w:t>
      </w:r>
    </w:p>
    <w:p w14:paraId="0AAD140D" w14:textId="0A87DD4A" w:rsidR="005F4817" w:rsidRDefault="005F4817" w:rsidP="005F4817">
      <w:pPr>
        <w:pStyle w:val="Numberbullet0"/>
        <w:rPr>
          <w:b/>
          <w:bCs/>
          <w:i/>
          <w:iCs/>
        </w:rPr>
      </w:pPr>
      <w:r w:rsidRPr="005F4817">
        <w:rPr>
          <w:b/>
          <w:bCs/>
          <w:i/>
          <w:iCs/>
        </w:rPr>
        <w:t xml:space="preserve">A high rate of attrition was noted in </w:t>
      </w:r>
      <w:r w:rsidR="0026689A">
        <w:rPr>
          <w:b/>
          <w:bCs/>
          <w:i/>
          <w:iCs/>
        </w:rPr>
        <w:t>S</w:t>
      </w:r>
      <w:r w:rsidRPr="005F4817">
        <w:rPr>
          <w:b/>
          <w:bCs/>
          <w:i/>
          <w:iCs/>
        </w:rPr>
        <w:t>tudy C-16 (n</w:t>
      </w:r>
      <w:r w:rsidR="00FB05E6">
        <w:rPr>
          <w:b/>
          <w:bCs/>
          <w:i/>
          <w:iCs/>
        </w:rPr>
        <w:t xml:space="preserve"> </w:t>
      </w:r>
      <w:r w:rsidRPr="005F4817">
        <w:rPr>
          <w:b/>
          <w:bCs/>
          <w:i/>
          <w:iCs/>
        </w:rPr>
        <w:t>=</w:t>
      </w:r>
      <w:r w:rsidR="00FB05E6">
        <w:rPr>
          <w:b/>
          <w:bCs/>
          <w:i/>
          <w:iCs/>
        </w:rPr>
        <w:t xml:space="preserve"> </w:t>
      </w:r>
      <w:r w:rsidRPr="005F4817">
        <w:rPr>
          <w:b/>
          <w:bCs/>
          <w:i/>
          <w:iCs/>
        </w:rPr>
        <w:t xml:space="preserve">37 at </w:t>
      </w:r>
      <w:r w:rsidR="0026689A">
        <w:rPr>
          <w:b/>
          <w:bCs/>
          <w:i/>
          <w:iCs/>
        </w:rPr>
        <w:t>B</w:t>
      </w:r>
      <w:r w:rsidRPr="005F4817">
        <w:rPr>
          <w:b/>
          <w:bCs/>
          <w:i/>
          <w:iCs/>
        </w:rPr>
        <w:t>aseline and n</w:t>
      </w:r>
      <w:r w:rsidR="00FB05E6">
        <w:rPr>
          <w:b/>
          <w:bCs/>
          <w:i/>
          <w:iCs/>
        </w:rPr>
        <w:t xml:space="preserve"> </w:t>
      </w:r>
      <w:r w:rsidRPr="005F4817">
        <w:rPr>
          <w:b/>
          <w:bCs/>
          <w:i/>
          <w:iCs/>
        </w:rPr>
        <w:t>=</w:t>
      </w:r>
      <w:r w:rsidR="00FB05E6">
        <w:rPr>
          <w:b/>
          <w:bCs/>
          <w:i/>
          <w:iCs/>
        </w:rPr>
        <w:t xml:space="preserve"> </w:t>
      </w:r>
      <w:r w:rsidRPr="005F4817">
        <w:rPr>
          <w:b/>
          <w:bCs/>
          <w:i/>
          <w:iCs/>
        </w:rPr>
        <w:t xml:space="preserve">0 at </w:t>
      </w:r>
      <w:r w:rsidR="001428CE">
        <w:rPr>
          <w:b/>
          <w:bCs/>
          <w:i/>
          <w:iCs/>
        </w:rPr>
        <w:t>W</w:t>
      </w:r>
      <w:r w:rsidRPr="005F4817">
        <w:rPr>
          <w:b/>
          <w:bCs/>
          <w:i/>
          <w:iCs/>
        </w:rPr>
        <w:t>eek 41 in switch cohort and n</w:t>
      </w:r>
      <w:r w:rsidR="00FB05E6">
        <w:rPr>
          <w:b/>
          <w:bCs/>
          <w:i/>
          <w:iCs/>
        </w:rPr>
        <w:t xml:space="preserve"> </w:t>
      </w:r>
      <w:r w:rsidRPr="005F4817">
        <w:rPr>
          <w:b/>
          <w:bCs/>
          <w:i/>
          <w:iCs/>
        </w:rPr>
        <w:t>=</w:t>
      </w:r>
      <w:r w:rsidR="00FB05E6">
        <w:rPr>
          <w:b/>
          <w:bCs/>
          <w:i/>
          <w:iCs/>
        </w:rPr>
        <w:t xml:space="preserve"> </w:t>
      </w:r>
      <w:r w:rsidRPr="005F4817">
        <w:rPr>
          <w:b/>
          <w:bCs/>
          <w:i/>
          <w:iCs/>
        </w:rPr>
        <w:t xml:space="preserve">75 at </w:t>
      </w:r>
      <w:r w:rsidR="0026689A">
        <w:rPr>
          <w:b/>
          <w:bCs/>
          <w:i/>
          <w:iCs/>
        </w:rPr>
        <w:t>B</w:t>
      </w:r>
      <w:r w:rsidRPr="005F4817">
        <w:rPr>
          <w:b/>
          <w:bCs/>
          <w:i/>
          <w:iCs/>
        </w:rPr>
        <w:t>aseline and n</w:t>
      </w:r>
      <w:r w:rsidR="00FB05E6">
        <w:rPr>
          <w:b/>
          <w:bCs/>
          <w:i/>
          <w:iCs/>
        </w:rPr>
        <w:t xml:space="preserve"> </w:t>
      </w:r>
      <w:r w:rsidRPr="005F4817">
        <w:rPr>
          <w:b/>
          <w:bCs/>
          <w:i/>
          <w:iCs/>
        </w:rPr>
        <w:t>=</w:t>
      </w:r>
      <w:r w:rsidR="00FB05E6">
        <w:rPr>
          <w:b/>
          <w:bCs/>
          <w:i/>
          <w:iCs/>
        </w:rPr>
        <w:t xml:space="preserve"> </w:t>
      </w:r>
      <w:r w:rsidRPr="005F4817">
        <w:rPr>
          <w:b/>
          <w:bCs/>
          <w:i/>
          <w:iCs/>
        </w:rPr>
        <w:t xml:space="preserve">5 at </w:t>
      </w:r>
      <w:r w:rsidR="001428CE">
        <w:rPr>
          <w:b/>
          <w:bCs/>
          <w:i/>
          <w:iCs/>
        </w:rPr>
        <w:t>W</w:t>
      </w:r>
      <w:r w:rsidRPr="005F4817">
        <w:rPr>
          <w:b/>
          <w:bCs/>
          <w:i/>
          <w:iCs/>
        </w:rPr>
        <w:t xml:space="preserve">eek 41 in roll over cohort). In terms of </w:t>
      </w:r>
      <w:r w:rsidR="00FB05E6">
        <w:rPr>
          <w:b/>
          <w:bCs/>
          <w:i/>
          <w:iCs/>
        </w:rPr>
        <w:t>treatment-emergent adverse events</w:t>
      </w:r>
      <w:r w:rsidR="00FB05E6" w:rsidRPr="005F4817">
        <w:rPr>
          <w:b/>
          <w:bCs/>
          <w:i/>
          <w:iCs/>
        </w:rPr>
        <w:t xml:space="preserve"> </w:t>
      </w:r>
      <w:r w:rsidRPr="005F4817">
        <w:rPr>
          <w:b/>
          <w:bCs/>
          <w:i/>
          <w:iCs/>
        </w:rPr>
        <w:t xml:space="preserve">that led to withdrawal from the study, the following statement was noted in the Clinical Study Report (CSR): No subjects in the Switch Cohort were withdrawn from the study due to an </w:t>
      </w:r>
      <w:r w:rsidR="00FB05E6">
        <w:rPr>
          <w:b/>
          <w:bCs/>
          <w:i/>
          <w:iCs/>
        </w:rPr>
        <w:t>adverse event (AE)</w:t>
      </w:r>
      <w:r w:rsidRPr="005F4817">
        <w:rPr>
          <w:b/>
          <w:bCs/>
          <w:i/>
          <w:iCs/>
        </w:rPr>
        <w:t xml:space="preserve">. Four subjects in the Rollover Cohort experienced treatment-emergent AEs leading to withdrawal during the study. The actual events that led </w:t>
      </w:r>
      <w:r w:rsidRPr="005F4817">
        <w:rPr>
          <w:b/>
          <w:bCs/>
          <w:i/>
          <w:iCs/>
        </w:rPr>
        <w:lastRenderedPageBreak/>
        <w:t>to all of the withdrawals are unclear from the data in the CSR. Please provide a table with the events for withdrawals.</w:t>
      </w:r>
    </w:p>
    <w:p w14:paraId="2CE6EBA0" w14:textId="7308E5A4" w:rsidR="00BF23CF" w:rsidRDefault="00BF23CF" w:rsidP="00BF23CF">
      <w:r w:rsidRPr="005760C1">
        <w:t xml:space="preserve">The sponsor </w:t>
      </w:r>
      <w:r>
        <w:t xml:space="preserve">would like to clarify that these data do not represent the actual </w:t>
      </w:r>
      <w:proofErr w:type="spellStart"/>
      <w:r>
        <w:t>drop out</w:t>
      </w:r>
      <w:proofErr w:type="spellEnd"/>
      <w:r>
        <w:t xml:space="preserve"> rate in the study. The above data for Study C-16 have been extracted from the interim CSR document (</w:t>
      </w:r>
      <w:proofErr w:type="spellStart"/>
      <w:r>
        <w:t>cutoff</w:t>
      </w:r>
      <w:proofErr w:type="spellEnd"/>
      <w:r>
        <w:t xml:space="preserve"> date, November 2014) rather than the final CSR (study ending on 21 August 2017) that was submitted in sponsor submitted dossier. This was previously explained in </w:t>
      </w:r>
      <w:r w:rsidR="003C4A37">
        <w:t>sponsor’s</w:t>
      </w:r>
      <w:r>
        <w:t xml:space="preserve"> error of fact</w:t>
      </w:r>
      <w:r w:rsidR="003C4A37">
        <w:t xml:space="preserve"> </w:t>
      </w:r>
      <w:r>
        <w:t>or omission</w:t>
      </w:r>
      <w:r w:rsidR="003C4A37">
        <w:t xml:space="preserve"> report</w:t>
      </w:r>
      <w:r>
        <w:t>. When reviewing the complete 3</w:t>
      </w:r>
      <w:r w:rsidR="003C4A37">
        <w:t> </w:t>
      </w:r>
      <w:r>
        <w:t>year</w:t>
      </w:r>
      <w:r w:rsidR="003C4A37">
        <w:t>s</w:t>
      </w:r>
      <w:r>
        <w:t xml:space="preserve"> data, the number of patients who</w:t>
      </w:r>
      <w:r w:rsidR="003C4A37">
        <w:t xml:space="preserve"> </w:t>
      </w:r>
      <w:r>
        <w:t xml:space="preserve">completed Study C-16 is 25 (67.6%) and 56 (68.3%) in the </w:t>
      </w:r>
      <w:r w:rsidR="003C4A37">
        <w:t>s</w:t>
      </w:r>
      <w:r>
        <w:t xml:space="preserve">witch </w:t>
      </w:r>
      <w:r w:rsidR="003C4A37">
        <w:t>c</w:t>
      </w:r>
      <w:r>
        <w:t>ohort and the</w:t>
      </w:r>
      <w:r w:rsidR="003C4A37">
        <w:t xml:space="preserve"> r</w:t>
      </w:r>
      <w:r>
        <w:t xml:space="preserve">ollover </w:t>
      </w:r>
      <w:r w:rsidR="003C4A37">
        <w:t>c</w:t>
      </w:r>
      <w:r>
        <w:t>ohort, respectively. The number of patients who withdrew from the study early is</w:t>
      </w:r>
      <w:r w:rsidR="003C4A37">
        <w:t xml:space="preserve"> </w:t>
      </w:r>
      <w:r>
        <w:t xml:space="preserve">12 (32.4%) and 26 (31.7%) in the </w:t>
      </w:r>
      <w:r w:rsidR="003C4A37">
        <w:t>s</w:t>
      </w:r>
      <w:r>
        <w:t xml:space="preserve">witch </w:t>
      </w:r>
      <w:r w:rsidR="003C4A37">
        <w:t>c</w:t>
      </w:r>
      <w:r>
        <w:t xml:space="preserve">ohort and the </w:t>
      </w:r>
      <w:r w:rsidR="003C4A37">
        <w:t>r</w:t>
      </w:r>
      <w:r>
        <w:t xml:space="preserve">ollover </w:t>
      </w:r>
      <w:r w:rsidR="003C4A37">
        <w:t>c</w:t>
      </w:r>
      <w:r>
        <w:t>ohort, respectively.</w:t>
      </w:r>
    </w:p>
    <w:p w14:paraId="31EA15BE" w14:textId="58FB15DB" w:rsidR="00BF23CF" w:rsidRDefault="00BF23CF" w:rsidP="00BF23CF">
      <w:r>
        <w:t>Please note that duration of participation was not expected to be 3 years for all patients in the</w:t>
      </w:r>
      <w:r w:rsidR="003C4A37">
        <w:t xml:space="preserve"> </w:t>
      </w:r>
      <w:r>
        <w:t>study, and the small number of patients reaching Weeks 145, 158, and 171 does not inform</w:t>
      </w:r>
      <w:r w:rsidR="003C4A37">
        <w:t xml:space="preserve"> </w:t>
      </w:r>
      <w:r>
        <w:t>on the number of drop</w:t>
      </w:r>
      <w:r w:rsidR="003C4A37">
        <w:t xml:space="preserve"> </w:t>
      </w:r>
      <w:r>
        <w:t>outs from the study. The primary reason for withdrawal is listed in</w:t>
      </w:r>
      <w:r w:rsidR="003C4A37">
        <w:t xml:space="preserve"> </w:t>
      </w:r>
      <w:r>
        <w:t xml:space="preserve">the final </w:t>
      </w:r>
      <w:r w:rsidR="004F7230">
        <w:t xml:space="preserve">CSR for Study </w:t>
      </w:r>
      <w:r>
        <w:t xml:space="preserve">C-16 </w:t>
      </w:r>
      <w:r w:rsidR="004F7230">
        <w:t xml:space="preserve">[inclusion is beyond the scope of this </w:t>
      </w:r>
      <w:proofErr w:type="spellStart"/>
      <w:r w:rsidR="004F7230">
        <w:t>AusPAR</w:t>
      </w:r>
      <w:proofErr w:type="spellEnd"/>
      <w:r w:rsidR="004F7230">
        <w:t>].</w:t>
      </w:r>
    </w:p>
    <w:p w14:paraId="7C50F1D6" w14:textId="3FC8AEFA" w:rsidR="00BF23CF" w:rsidRPr="005F4817" w:rsidRDefault="00BF23CF" w:rsidP="00BF23CF">
      <w:r>
        <w:t>The CSR statement quoted in the TGA question has also come from the interim CSR and not the</w:t>
      </w:r>
      <w:r w:rsidR="003C4A37">
        <w:t xml:space="preserve"> </w:t>
      </w:r>
      <w:r>
        <w:t xml:space="preserve">final CSR. Based on the 3 year data, 13 (15.9%) patients in the </w:t>
      </w:r>
      <w:r w:rsidR="003C4A37">
        <w:t>r</w:t>
      </w:r>
      <w:r>
        <w:t xml:space="preserve">ollover </w:t>
      </w:r>
      <w:r w:rsidR="003C4A37">
        <w:t>c</w:t>
      </w:r>
      <w:r>
        <w:t>ohort experienced</w:t>
      </w:r>
      <w:r w:rsidR="003C4A37">
        <w:t xml:space="preserve"> </w:t>
      </w:r>
      <w:r>
        <w:t xml:space="preserve">treatment-emergent adverse events and 3 (8.1%) patients in the </w:t>
      </w:r>
      <w:r w:rsidR="003C4A37">
        <w:t>s</w:t>
      </w:r>
      <w:r>
        <w:t xml:space="preserve">witch </w:t>
      </w:r>
      <w:r w:rsidR="003C4A37">
        <w:t>c</w:t>
      </w:r>
      <w:r>
        <w:t>ohort were withdrawn</w:t>
      </w:r>
      <w:r w:rsidR="003C4A37">
        <w:t xml:space="preserve"> </w:t>
      </w:r>
      <w:r>
        <w:t xml:space="preserve">from the study due to an adverse event. Within the final CSR that was submitted (safety population, </w:t>
      </w:r>
      <w:r w:rsidR="005760C1">
        <w:t>n</w:t>
      </w:r>
      <w:r w:rsidR="004F7230">
        <w:t xml:space="preserve"> </w:t>
      </w:r>
      <w:r>
        <w:t>=</w:t>
      </w:r>
      <w:r w:rsidR="004F7230">
        <w:t xml:space="preserve"> </w:t>
      </w:r>
      <w:r>
        <w:t>119) provides an individual patient listing of treatment-emergent</w:t>
      </w:r>
      <w:r w:rsidR="003C4A37">
        <w:t xml:space="preserve"> </w:t>
      </w:r>
      <w:r>
        <w:t>adverse events leading to withdrawal</w:t>
      </w:r>
      <w:r w:rsidRPr="001A52C8">
        <w:t xml:space="preserve">. The summary table is provided in </w:t>
      </w:r>
      <w:r w:rsidR="001A52C8" w:rsidRPr="001A52C8">
        <w:t>sponsor’s submitted</w:t>
      </w:r>
      <w:r w:rsidRPr="001A52C8">
        <w:t xml:space="preserve"> </w:t>
      </w:r>
      <w:r w:rsidR="001A52C8" w:rsidRPr="001A52C8">
        <w:t>dossier</w:t>
      </w:r>
      <w:r w:rsidR="003C4A37" w:rsidRPr="001A52C8">
        <w:t>.</w:t>
      </w:r>
    </w:p>
    <w:p w14:paraId="485A9A73" w14:textId="33825A7C" w:rsidR="005F4817" w:rsidRPr="00B15438" w:rsidRDefault="005F4817" w:rsidP="004F7230">
      <w:pPr>
        <w:pStyle w:val="Numberbullet0"/>
        <w:rPr>
          <w:b/>
          <w:i/>
        </w:rPr>
      </w:pPr>
      <w:r w:rsidRPr="00B15438">
        <w:rPr>
          <w:b/>
          <w:i/>
        </w:rPr>
        <w:t xml:space="preserve">Please provide the exposure data for the maximum dose of 48 mg/day of </w:t>
      </w:r>
      <w:proofErr w:type="spellStart"/>
      <w:r w:rsidRPr="00B15438">
        <w:rPr>
          <w:b/>
          <w:i/>
        </w:rPr>
        <w:t>deutetrabenazine</w:t>
      </w:r>
      <w:proofErr w:type="spellEnd"/>
      <w:r w:rsidRPr="00B15438">
        <w:rPr>
          <w:b/>
          <w:i/>
        </w:rPr>
        <w:t xml:space="preserve"> across clinical studies involving subjects with </w:t>
      </w:r>
      <w:r w:rsidR="004F7230" w:rsidRPr="00B15438">
        <w:rPr>
          <w:b/>
          <w:i/>
        </w:rPr>
        <w:t xml:space="preserve"> </w:t>
      </w:r>
      <w:r w:rsidR="004F7230" w:rsidRPr="004F7230">
        <w:rPr>
          <w:b/>
          <w:bCs/>
          <w:i/>
          <w:iCs/>
        </w:rPr>
        <w:t>Huntington disease and tardive dyskinesia</w:t>
      </w:r>
    </w:p>
    <w:p w14:paraId="56E4036B" w14:textId="2AD61E6A" w:rsidR="003C4A37" w:rsidRDefault="00C34AE8" w:rsidP="003C4A37">
      <w:r w:rsidRPr="00C34AE8">
        <w:t xml:space="preserve">In the </w:t>
      </w:r>
      <w:r w:rsidR="004F7230">
        <w:t>Huntington disease population</w:t>
      </w:r>
      <w:r w:rsidR="004F7230" w:rsidRPr="00C34AE8">
        <w:t xml:space="preserve"> </w:t>
      </w:r>
      <w:r w:rsidRPr="00C34AE8">
        <w:t>studies, exposure to ≥</w:t>
      </w:r>
      <w:r>
        <w:t xml:space="preserve"> </w:t>
      </w:r>
      <w:r w:rsidRPr="00C34AE8">
        <w:t>48 mg/day at any time was as follows:</w:t>
      </w:r>
    </w:p>
    <w:p w14:paraId="04641151" w14:textId="484FE158" w:rsidR="00C34AE8" w:rsidRDefault="00C34AE8" w:rsidP="00C34AE8">
      <w:pPr>
        <w:pStyle w:val="ListBullet"/>
      </w:pPr>
      <w:r>
        <w:t>35 patients in Study C-15, 81 patients in Study</w:t>
      </w:r>
      <w:r w:rsidR="004F7230" w:rsidDel="004F7230">
        <w:t xml:space="preserve"> </w:t>
      </w:r>
      <w:r>
        <w:t>C-16.</w:t>
      </w:r>
    </w:p>
    <w:p w14:paraId="0DF9040E" w14:textId="3B84B9D9" w:rsidR="00C34AE8" w:rsidRDefault="00C34AE8" w:rsidP="00C34AE8">
      <w:pPr>
        <w:pStyle w:val="ListBullet"/>
      </w:pPr>
      <w:r>
        <w:t>Overall (counting each patient once throughout the program), 92 patients were exposed to ≥ 48 mg/day, out of which 67 patients had exposure of ≥ 8 weeks, and 47</w:t>
      </w:r>
      <w:r w:rsidR="004F7230">
        <w:t> </w:t>
      </w:r>
      <w:r>
        <w:t>patients had exposure of ≥ 52 weeks.</w:t>
      </w:r>
    </w:p>
    <w:p w14:paraId="251D4655" w14:textId="77777777" w:rsidR="00C34AE8" w:rsidRDefault="00C34AE8" w:rsidP="00C34AE8">
      <w:pPr>
        <w:pStyle w:val="ListBullet"/>
      </w:pPr>
      <w:r>
        <w:t>Total exposure to ≥</w:t>
      </w:r>
      <w:r w:rsidR="005760C1">
        <w:t> </w:t>
      </w:r>
      <w:r>
        <w:t>48 mg/day was 117 of Patients years of treatment.</w:t>
      </w:r>
    </w:p>
    <w:p w14:paraId="6F1FFC06" w14:textId="6DDA7B3E" w:rsidR="00C34AE8" w:rsidRDefault="00C34AE8" w:rsidP="00C34AE8">
      <w:r>
        <w:t xml:space="preserve">In the </w:t>
      </w:r>
      <w:r w:rsidR="004F7230">
        <w:t xml:space="preserve">tardive dyskinesia population </w:t>
      </w:r>
      <w:r>
        <w:t>studies, exposure to ≥</w:t>
      </w:r>
      <w:r w:rsidR="0026689A">
        <w:t xml:space="preserve"> </w:t>
      </w:r>
      <w:r>
        <w:t>48 mg/day at any time was as follows:</w:t>
      </w:r>
    </w:p>
    <w:p w14:paraId="39146785" w14:textId="1121A291" w:rsidR="00C34AE8" w:rsidRDefault="00C34AE8" w:rsidP="00C34AE8">
      <w:pPr>
        <w:pStyle w:val="ListBullet"/>
      </w:pPr>
      <w:r>
        <w:t xml:space="preserve">19 patients in </w:t>
      </w:r>
      <w:r w:rsidR="005760C1">
        <w:t xml:space="preserve">Study </w:t>
      </w:r>
      <w:r>
        <w:t xml:space="preserve">C-18, 161 patients in </w:t>
      </w:r>
      <w:r w:rsidR="005760C1">
        <w:t xml:space="preserve">Study </w:t>
      </w:r>
      <w:r>
        <w:t>C-20.</w:t>
      </w:r>
    </w:p>
    <w:p w14:paraId="5ED41E2D" w14:textId="52665BEF" w:rsidR="00C34AE8" w:rsidRDefault="00C34AE8" w:rsidP="00C34AE8">
      <w:pPr>
        <w:pStyle w:val="ListBullet"/>
      </w:pPr>
      <w:r>
        <w:t>Overall (counting each patient once throughout the program), 174 patients were exposed to ≥ 48 mg/day, out of which 115 patients had exposure of ≥ 8 weeks, 87</w:t>
      </w:r>
      <w:r w:rsidR="004F7230">
        <w:t> </w:t>
      </w:r>
      <w:r>
        <w:t>patients had exposure of ≥ 52 weeks.</w:t>
      </w:r>
    </w:p>
    <w:p w14:paraId="0A967B6B" w14:textId="3BE1AFB3" w:rsidR="00C34AE8" w:rsidRPr="005F4817" w:rsidRDefault="00C34AE8" w:rsidP="00C34AE8">
      <w:pPr>
        <w:pStyle w:val="ListBullet"/>
      </w:pPr>
      <w:r>
        <w:t xml:space="preserve">Total exposure to ≥ 48 mg/day was 214 of </w:t>
      </w:r>
      <w:r w:rsidR="004F7230">
        <w:t>p</w:t>
      </w:r>
      <w:r>
        <w:t>atients years of treatment.</w:t>
      </w:r>
    </w:p>
    <w:p w14:paraId="4A096DE5" w14:textId="5C1E31A1" w:rsidR="005F4817" w:rsidRDefault="005F4817" w:rsidP="005F4817">
      <w:pPr>
        <w:pStyle w:val="Numberbullet0"/>
        <w:rPr>
          <w:b/>
          <w:bCs/>
          <w:i/>
          <w:iCs/>
        </w:rPr>
      </w:pPr>
      <w:r w:rsidRPr="005F4817">
        <w:rPr>
          <w:b/>
          <w:bCs/>
          <w:i/>
          <w:iCs/>
        </w:rPr>
        <w:t>Please provide any available post market safety and efficacy data from the US</w:t>
      </w:r>
      <w:r w:rsidR="004F7230">
        <w:rPr>
          <w:b/>
          <w:bCs/>
          <w:i/>
          <w:iCs/>
        </w:rPr>
        <w:t>A.</w:t>
      </w:r>
    </w:p>
    <w:p w14:paraId="66C9C29B" w14:textId="5C9F12F7" w:rsidR="00C34AE8" w:rsidRPr="005F4817" w:rsidRDefault="00C34AE8" w:rsidP="00C34AE8">
      <w:r>
        <w:t>The sponsor has provided the latest post-marketing safety data in the form of the most recent Periodic Adverse Drug Experience Reports submitted to the US</w:t>
      </w:r>
      <w:r w:rsidR="004F7230">
        <w:t>A</w:t>
      </w:r>
      <w:r>
        <w:t xml:space="preserve"> in sponsor submitted dossier. The sponsor has no additional post-marketing efficacy data to submit at this time.</w:t>
      </w:r>
    </w:p>
    <w:p w14:paraId="653B9B09" w14:textId="77777777" w:rsidR="008E7846" w:rsidRDefault="008E7846" w:rsidP="007D53B6">
      <w:pPr>
        <w:pStyle w:val="Heading4"/>
      </w:pPr>
      <w:r>
        <w:lastRenderedPageBreak/>
        <w:t xml:space="preserve">Advisory Committee </w:t>
      </w:r>
      <w:r w:rsidR="007D53B6">
        <w:t>c</w:t>
      </w:r>
      <w:r>
        <w:t>onsiderations</w:t>
      </w:r>
      <w:r w:rsidR="00456765">
        <w:rPr>
          <w:rStyle w:val="FootnoteReference"/>
        </w:rPr>
        <w:footnoteReference w:id="28"/>
      </w:r>
    </w:p>
    <w:p w14:paraId="3AB7833C" w14:textId="77777777" w:rsidR="00744121" w:rsidRDefault="00744121" w:rsidP="00744121">
      <w:pPr>
        <w:rPr>
          <w:bCs/>
        </w:rPr>
      </w:pPr>
      <w:bookmarkStart w:id="59" w:name="_Toc247691532"/>
      <w:bookmarkStart w:id="60" w:name="_Toc314842516"/>
      <w:bookmarkEnd w:id="29"/>
      <w:bookmarkEnd w:id="54"/>
      <w:bookmarkEnd w:id="55"/>
      <w:r w:rsidRPr="00456765">
        <w:rPr>
          <w:bCs/>
        </w:rPr>
        <w:t>The Advisory Committee on Medicines (ACM), having considered the evaluations and the Delegate’s overview, as well as the sponsor’s response to these documents, advised the following</w:t>
      </w:r>
      <w:r>
        <w:rPr>
          <w:bCs/>
        </w:rPr>
        <w:t>.</w:t>
      </w:r>
    </w:p>
    <w:p w14:paraId="2D325BE8" w14:textId="77777777" w:rsidR="00744121" w:rsidRDefault="00744121" w:rsidP="00744121">
      <w:pPr>
        <w:pStyle w:val="Heading5"/>
      </w:pPr>
      <w:r>
        <w:t>Specific advice to the Delegate</w:t>
      </w:r>
    </w:p>
    <w:p w14:paraId="7FFC9537" w14:textId="0D62D1E5" w:rsidR="00C34AE8" w:rsidRPr="009931F1" w:rsidRDefault="00C34AE8" w:rsidP="00C34AE8">
      <w:pPr>
        <w:pStyle w:val="Numberbullet0"/>
        <w:numPr>
          <w:ilvl w:val="0"/>
          <w:numId w:val="34"/>
        </w:numPr>
        <w:rPr>
          <w:b/>
          <w:i/>
        </w:rPr>
      </w:pPr>
      <w:r w:rsidRPr="009931F1">
        <w:rPr>
          <w:b/>
          <w:i/>
        </w:rPr>
        <w:t xml:space="preserve">Please comment on the clinical relevance of the magnitude of treatment benefit with </w:t>
      </w:r>
      <w:proofErr w:type="spellStart"/>
      <w:r w:rsidRPr="009931F1">
        <w:rPr>
          <w:b/>
          <w:i/>
        </w:rPr>
        <w:t>deutetrabenazine</w:t>
      </w:r>
      <w:proofErr w:type="spellEnd"/>
      <w:r w:rsidRPr="009931F1">
        <w:rPr>
          <w:b/>
          <w:i/>
        </w:rPr>
        <w:t xml:space="preserve"> in subjects with </w:t>
      </w:r>
      <w:r w:rsidR="004F7230">
        <w:rPr>
          <w:b/>
          <w:i/>
        </w:rPr>
        <w:t>Huntington disease</w:t>
      </w:r>
    </w:p>
    <w:p w14:paraId="17F55931" w14:textId="77777777" w:rsidR="00C34AE8" w:rsidRDefault="00C34AE8" w:rsidP="00C34AE8">
      <w:r>
        <w:t xml:space="preserve">The ACM noted that Study C-15 demonstrated a change in TMC score from Baseline to Week 12 of 1.9 for the placebo and 4.4 for </w:t>
      </w:r>
      <w:proofErr w:type="spellStart"/>
      <w:r>
        <w:t>deutetrabenazine</w:t>
      </w:r>
      <w:proofErr w:type="spellEnd"/>
      <w:r>
        <w:t>. For Study C-16, the rollover cohort showed improvements in TMC and TMS from Week 2 and the switch cohort demonstrated preserved changes in TMC and TMS, however they required a higher dose than predicted to develop a clinical effect.</w:t>
      </w:r>
    </w:p>
    <w:p w14:paraId="3A6B6A2B" w14:textId="231B00F4" w:rsidR="00C34AE8" w:rsidRDefault="00C34AE8" w:rsidP="00C34AE8">
      <w:r>
        <w:t xml:space="preserve">The ACM noted that these results generally demonstrated statistical significance for the active treatment arm and agreed that modest benefit over placebo was demonstrated in both the </w:t>
      </w:r>
      <w:r w:rsidR="004F7230">
        <w:t>Huntington disease and tardive dyskinesia</w:t>
      </w:r>
      <w:r w:rsidR="004F7230" w:rsidDel="004F7230">
        <w:t xml:space="preserve"> </w:t>
      </w:r>
      <w:r>
        <w:t>trials.</w:t>
      </w:r>
    </w:p>
    <w:p w14:paraId="45D4C465" w14:textId="5018ECD5" w:rsidR="00C34AE8" w:rsidRDefault="00C34AE8" w:rsidP="00C34AE8">
      <w:r>
        <w:t xml:space="preserve">The ACM acknowledged that appropriately managing </w:t>
      </w:r>
      <w:r w:rsidR="004F7230">
        <w:t xml:space="preserve">Huntington disease </w:t>
      </w:r>
      <w:r>
        <w:t xml:space="preserve">with the available treatment options can be challenging and having an additional symptomatic treatment option would be beneficial for clinical management of patients with this debilitating disease. Overall, they were of the view that the evidence did support the addition of </w:t>
      </w:r>
      <w:proofErr w:type="spellStart"/>
      <w:r>
        <w:t>deutetrabenazine</w:t>
      </w:r>
      <w:proofErr w:type="spellEnd"/>
      <w:r>
        <w:t xml:space="preserve"> as a symptomatic treatment option for </w:t>
      </w:r>
      <w:r w:rsidR="004F7230">
        <w:t>Huntington disease</w:t>
      </w:r>
      <w:r>
        <w:t>.</w:t>
      </w:r>
    </w:p>
    <w:p w14:paraId="0E7F2931" w14:textId="7B9B0793" w:rsidR="00C34AE8" w:rsidRDefault="00C34AE8" w:rsidP="00C34AE8">
      <w:r>
        <w:t xml:space="preserve">While the ACM expressed overall support for </w:t>
      </w:r>
      <w:proofErr w:type="spellStart"/>
      <w:r>
        <w:t>deutetrabenazine</w:t>
      </w:r>
      <w:proofErr w:type="spellEnd"/>
      <w:r>
        <w:t xml:space="preserve"> for use in </w:t>
      </w:r>
      <w:r w:rsidR="004F7230">
        <w:t>Huntington disease</w:t>
      </w:r>
      <w:r>
        <w:t xml:space="preserve">, their discussion did highlight some </w:t>
      </w:r>
      <w:r w:rsidRPr="002A6541">
        <w:t>limitations. The ACM was unable to locate data to demonstrate the minimal clinically important difference</w:t>
      </w:r>
      <w:r>
        <w:t xml:space="preserve"> for the change in TMC for </w:t>
      </w:r>
      <w:r w:rsidR="004F7230">
        <w:t xml:space="preserve">Huntington disease </w:t>
      </w:r>
      <w:r>
        <w:t xml:space="preserve">and, as such, found it difficult to determine if the statically significant difference in TMC of 2.5 for </w:t>
      </w:r>
      <w:proofErr w:type="spellStart"/>
      <w:r>
        <w:t>deutetrabenazine</w:t>
      </w:r>
      <w:proofErr w:type="spellEnd"/>
      <w:r>
        <w:t xml:space="preserve"> against the placebo within Study C-15 equates to clinical meaningfulness. However, the ACM did note the positive efficacy outcomes for the secondary outcomes.</w:t>
      </w:r>
    </w:p>
    <w:p w14:paraId="3F5BEFC1" w14:textId="39740641" w:rsidR="00C34AE8" w:rsidRDefault="00C34AE8" w:rsidP="00C34AE8">
      <w:r>
        <w:t>The ACM expressed interest in head</w:t>
      </w:r>
      <w:r w:rsidR="002A6541">
        <w:t xml:space="preserve"> </w:t>
      </w:r>
      <w:r>
        <w:t>to</w:t>
      </w:r>
      <w:r w:rsidR="002A6541">
        <w:t xml:space="preserve"> </w:t>
      </w:r>
      <w:r>
        <w:t xml:space="preserve">head efficacy studies to directly compare </w:t>
      </w:r>
      <w:proofErr w:type="spellStart"/>
      <w:r>
        <w:t>deutetrabenazine</w:t>
      </w:r>
      <w:proofErr w:type="spellEnd"/>
      <w:r>
        <w:t xml:space="preserve"> with tetrabenazine. They noted that the reduction in TMC score for tetrabenazine in the TETRA-HD trial</w:t>
      </w:r>
      <w:r w:rsidR="004F7230">
        <w:t>;</w:t>
      </w:r>
      <w:r w:rsidR="004F7230" w:rsidRPr="00B15438">
        <w:rPr>
          <w:vertAlign w:val="superscript"/>
        </w:rPr>
        <w:fldChar w:fldCharType="begin"/>
      </w:r>
      <w:r w:rsidR="004F7230" w:rsidRPr="00B15438">
        <w:rPr>
          <w:vertAlign w:val="superscript"/>
        </w:rPr>
        <w:instrText xml:space="preserve"> NOTEREF _Ref82605696 \h </w:instrText>
      </w:r>
      <w:r w:rsidR="004F7230">
        <w:rPr>
          <w:vertAlign w:val="superscript"/>
        </w:rPr>
        <w:instrText xml:space="preserve"> \* MERGEFORMAT </w:instrText>
      </w:r>
      <w:r w:rsidR="004F7230" w:rsidRPr="00B15438">
        <w:rPr>
          <w:vertAlign w:val="superscript"/>
        </w:rPr>
      </w:r>
      <w:r w:rsidR="004F7230" w:rsidRPr="00B15438">
        <w:rPr>
          <w:vertAlign w:val="superscript"/>
        </w:rPr>
        <w:fldChar w:fldCharType="separate"/>
      </w:r>
      <w:r w:rsidR="00B15438">
        <w:rPr>
          <w:vertAlign w:val="superscript"/>
        </w:rPr>
        <w:t>22</w:t>
      </w:r>
      <w:r w:rsidR="004F7230" w:rsidRPr="00B15438">
        <w:rPr>
          <w:vertAlign w:val="superscript"/>
        </w:rPr>
        <w:fldChar w:fldCharType="end"/>
      </w:r>
      <w:r>
        <w:t xml:space="preserve"> (-3.5) was greater than that demonstrated for </w:t>
      </w:r>
      <w:proofErr w:type="spellStart"/>
      <w:r>
        <w:t>deutetrabenazine</w:t>
      </w:r>
      <w:proofErr w:type="spellEnd"/>
      <w:r>
        <w:t xml:space="preserve"> within Study C-15.</w:t>
      </w:r>
    </w:p>
    <w:p w14:paraId="4509865F" w14:textId="642FB19A" w:rsidR="00C34AE8" w:rsidRPr="009931F1" w:rsidRDefault="00C34AE8" w:rsidP="00C34AE8">
      <w:pPr>
        <w:pStyle w:val="Numberbullet0"/>
        <w:numPr>
          <w:ilvl w:val="0"/>
          <w:numId w:val="8"/>
        </w:numPr>
        <w:rPr>
          <w:b/>
          <w:i/>
        </w:rPr>
      </w:pPr>
      <w:r w:rsidRPr="009931F1">
        <w:rPr>
          <w:b/>
          <w:i/>
        </w:rPr>
        <w:t xml:space="preserve">Please comment about the adequacy of the evidence provided by the efficacy data to support the proposed indication for treatment of patients with </w:t>
      </w:r>
      <w:r w:rsidR="004F7230">
        <w:rPr>
          <w:b/>
          <w:i/>
        </w:rPr>
        <w:t>tardive dyskinesia</w:t>
      </w:r>
    </w:p>
    <w:p w14:paraId="1974BA63" w14:textId="3DEBFB82" w:rsidR="00C34AE8" w:rsidRDefault="00C34AE8" w:rsidP="00C34AE8">
      <w:r>
        <w:t xml:space="preserve">The ACM noted that Study C-18 demonstrated a change in AIMS from Baseline of -1.6 for placebo and -3.0 for </w:t>
      </w:r>
      <w:proofErr w:type="spellStart"/>
      <w:r>
        <w:t>deutetrabenazine</w:t>
      </w:r>
      <w:proofErr w:type="spellEnd"/>
      <w:r>
        <w:t>. For Study C-23</w:t>
      </w:r>
      <w:r w:rsidR="004F7230">
        <w:t xml:space="preserve">, </w:t>
      </w:r>
      <w:r>
        <w:t xml:space="preserve">the change in AIMS at Week 12 was -1.4 for </w:t>
      </w:r>
      <w:r w:rsidRPr="00A278A8">
        <w:t>placebo, -2.1 for 12</w:t>
      </w:r>
      <w:r>
        <w:t xml:space="preserve"> </w:t>
      </w:r>
      <w:r w:rsidRPr="00A278A8">
        <w:t>mg/d</w:t>
      </w:r>
      <w:r>
        <w:t>ay</w:t>
      </w:r>
      <w:r w:rsidRPr="00A278A8">
        <w:t>,</w:t>
      </w:r>
      <w:r>
        <w:t xml:space="preserve"> -3.2 for 24 mg/day and -3.3 for 36 mg/day.</w:t>
      </w:r>
    </w:p>
    <w:p w14:paraId="2E1F3392" w14:textId="5ACA56F6" w:rsidR="00C34AE8" w:rsidRDefault="00C34AE8" w:rsidP="00C34AE8">
      <w:r>
        <w:t xml:space="preserve">The ACM acknowledged the statically significant improvements in AIMS scores within the </w:t>
      </w:r>
      <w:r w:rsidR="004F7230">
        <w:t xml:space="preserve">tardive dyskinesia </w:t>
      </w:r>
      <w:r>
        <w:t xml:space="preserve">studies. The ACM were of the view that the AIMS score results should </w:t>
      </w:r>
      <w:r>
        <w:lastRenderedPageBreak/>
        <w:t xml:space="preserve">be based on the difference from the placebo result rather than </w:t>
      </w:r>
      <w:r w:rsidR="0026689A">
        <w:t>from the</w:t>
      </w:r>
      <w:r>
        <w:t xml:space="preserve"> Baseline and, as such, they queried whether the differences, while statistically significant (excluding 12</w:t>
      </w:r>
      <w:r w:rsidR="004F7230">
        <w:t> </w:t>
      </w:r>
      <w:r>
        <w:t>mg), could be considered clinically significant. To assist with this consideration, the ACM presented two papers;</w:t>
      </w:r>
      <w:r w:rsidRPr="00176C78">
        <w:rPr>
          <w:rStyle w:val="FootnoteReference"/>
        </w:rPr>
        <w:footnoteReference w:id="29"/>
      </w:r>
      <w:r w:rsidR="004F7230">
        <w:rPr>
          <w:vertAlign w:val="superscript"/>
        </w:rPr>
        <w:t>,</w:t>
      </w:r>
      <w:r>
        <w:rPr>
          <w:rStyle w:val="FootnoteReference"/>
        </w:rPr>
        <w:footnoteReference w:id="30"/>
      </w:r>
      <w:r>
        <w:t xml:space="preserve"> that outlined on average a 3 point decrease in the AIMS score represents a minimal clinically important difference for TD.</w:t>
      </w:r>
    </w:p>
    <w:p w14:paraId="7E0A2614" w14:textId="77777777" w:rsidR="00C34AE8" w:rsidRPr="00E86206" w:rsidRDefault="00C34AE8" w:rsidP="00C34AE8">
      <w:r>
        <w:t>The ACM were of the view that while the trial has limitations and the clinical meaningfulness of the improvements in AIMS scores is modest, overall there is a need for additional symptomatic treatment options within this field. As such, they determined that the evidence is sufficient to support the indication.</w:t>
      </w:r>
    </w:p>
    <w:p w14:paraId="6663B663" w14:textId="1F77149A" w:rsidR="00C34AE8" w:rsidRPr="009931F1" w:rsidRDefault="00C34AE8" w:rsidP="00C34AE8">
      <w:pPr>
        <w:pStyle w:val="Numberbullet0"/>
        <w:numPr>
          <w:ilvl w:val="0"/>
          <w:numId w:val="8"/>
        </w:numPr>
        <w:rPr>
          <w:b/>
          <w:i/>
        </w:rPr>
      </w:pPr>
      <w:r w:rsidRPr="009931F1">
        <w:rPr>
          <w:b/>
          <w:i/>
        </w:rPr>
        <w:t xml:space="preserve">Please comment on the adequacy of PI statements to reflect the overall safety profile of </w:t>
      </w:r>
      <w:proofErr w:type="spellStart"/>
      <w:r w:rsidRPr="009931F1">
        <w:rPr>
          <w:b/>
          <w:i/>
        </w:rPr>
        <w:t>deutetrabenazine</w:t>
      </w:r>
      <w:proofErr w:type="spellEnd"/>
    </w:p>
    <w:p w14:paraId="1A58EE2D" w14:textId="77777777" w:rsidR="00C34AE8" w:rsidRDefault="00C34AE8" w:rsidP="00C34AE8">
      <w:r>
        <w:t>Overall, the ACM were satisfied with the safety statements included within the PI.</w:t>
      </w:r>
    </w:p>
    <w:p w14:paraId="60B5F1A3" w14:textId="05377A22" w:rsidR="00C34AE8" w:rsidRDefault="00C34AE8" w:rsidP="00C34AE8">
      <w:r>
        <w:t xml:space="preserve">The ACM noted that </w:t>
      </w:r>
      <w:proofErr w:type="spellStart"/>
      <w:r>
        <w:t>deutetrabenazine</w:t>
      </w:r>
      <w:proofErr w:type="spellEnd"/>
      <w:r>
        <w:t xml:space="preserve"> is metabolised by CYP2D6 to form α- and β-HTBZ. Based on this information they agreed with the PI statements that </w:t>
      </w:r>
      <w:proofErr w:type="spellStart"/>
      <w:r>
        <w:t>deutetrabenazine</w:t>
      </w:r>
      <w:proofErr w:type="spellEnd"/>
      <w:r>
        <w:t xml:space="preserve"> is contraindicated in hepatic impairment and requires dose adjustment with concomitant strong </w:t>
      </w:r>
      <w:r w:rsidR="006847A7">
        <w:t>CYP</w:t>
      </w:r>
      <w:r>
        <w:t>2D6 inhibitors.</w:t>
      </w:r>
    </w:p>
    <w:p w14:paraId="3F03EA62" w14:textId="77777777" w:rsidR="00C34AE8" w:rsidRDefault="00C34AE8" w:rsidP="00C34AE8">
      <w:r>
        <w:t xml:space="preserve">The ACM commented that co-administration of </w:t>
      </w:r>
      <w:proofErr w:type="spellStart"/>
      <w:r>
        <w:t>deutetrabenazine</w:t>
      </w:r>
      <w:proofErr w:type="spellEnd"/>
      <w:r>
        <w:t xml:space="preserve"> with anti</w:t>
      </w:r>
      <w:r>
        <w:noBreakHyphen/>
        <w:t>psychotics is likely to occur and were reassured to see a statement within the PI regarding the potential for co-administration of both of these types of medications to increase the QT interval.</w:t>
      </w:r>
    </w:p>
    <w:p w14:paraId="14438839" w14:textId="77777777" w:rsidR="00C34AE8" w:rsidRPr="009931F1" w:rsidRDefault="00C34AE8" w:rsidP="00C34AE8">
      <w:pPr>
        <w:pStyle w:val="Numberbullet0"/>
        <w:numPr>
          <w:ilvl w:val="0"/>
          <w:numId w:val="8"/>
        </w:numPr>
        <w:rPr>
          <w:b/>
          <w:i/>
        </w:rPr>
      </w:pPr>
      <w:r w:rsidRPr="009931F1">
        <w:rPr>
          <w:b/>
          <w:i/>
        </w:rPr>
        <w:t>The committee is also requested to provide advice on any other issues that it thinks may be relevant to a decision on whether or not to approve this application.</w:t>
      </w:r>
    </w:p>
    <w:p w14:paraId="7DCDA548" w14:textId="3F7B5194" w:rsidR="00C34AE8" w:rsidRDefault="00C34AE8" w:rsidP="00C34AE8">
      <w:r>
        <w:t xml:space="preserve">The ACM noted that the lower therapeutic dose of </w:t>
      </w:r>
      <w:proofErr w:type="spellStart"/>
      <w:r>
        <w:t>deutetrabenazine</w:t>
      </w:r>
      <w:proofErr w:type="spellEnd"/>
      <w:r>
        <w:t xml:space="preserve"> compared to tetrabenazine may mean that </w:t>
      </w:r>
      <w:proofErr w:type="spellStart"/>
      <w:r>
        <w:t>deutetrabenazine</w:t>
      </w:r>
      <w:proofErr w:type="spellEnd"/>
      <w:r>
        <w:t xml:space="preserve"> is better tolerated. The ACM cited the paper by </w:t>
      </w:r>
      <w:proofErr w:type="spellStart"/>
      <w:r>
        <w:t>Claassens</w:t>
      </w:r>
      <w:proofErr w:type="spellEnd"/>
      <w:r>
        <w:t xml:space="preserve"> et al. (2017)</w:t>
      </w:r>
      <w:r w:rsidR="002A6541">
        <w:t>;</w:t>
      </w:r>
      <w:r>
        <w:rPr>
          <w:rStyle w:val="FootnoteReference"/>
        </w:rPr>
        <w:footnoteReference w:id="31"/>
      </w:r>
      <w:r>
        <w:t xml:space="preserve"> comparing </w:t>
      </w:r>
      <w:r w:rsidR="004F7230">
        <w:rPr>
          <w:lang w:val="en-US"/>
        </w:rPr>
        <w:t>Study C-15</w:t>
      </w:r>
      <w:r>
        <w:rPr>
          <w:lang w:val="en-US"/>
        </w:rPr>
        <w:t xml:space="preserve"> </w:t>
      </w:r>
      <w:r w:rsidRPr="00653BD8">
        <w:rPr>
          <w:lang w:val="en-US"/>
        </w:rPr>
        <w:t>(</w:t>
      </w:r>
      <w:proofErr w:type="spellStart"/>
      <w:r w:rsidRPr="00653BD8">
        <w:rPr>
          <w:lang w:val="en-US"/>
        </w:rPr>
        <w:t>d</w:t>
      </w:r>
      <w:r>
        <w:rPr>
          <w:lang w:val="en-US"/>
        </w:rPr>
        <w:t>eutetrabenazine</w:t>
      </w:r>
      <w:proofErr w:type="spellEnd"/>
      <w:r>
        <w:rPr>
          <w:lang w:val="en-US"/>
        </w:rPr>
        <w:t>) and the TETRA-HD trial (tetrabenazine), which suggested a better adverse event</w:t>
      </w:r>
      <w:r w:rsidRPr="00653BD8">
        <w:rPr>
          <w:lang w:val="en-US"/>
        </w:rPr>
        <w:t xml:space="preserve"> profile for </w:t>
      </w:r>
      <w:proofErr w:type="spellStart"/>
      <w:r w:rsidRPr="00653BD8">
        <w:rPr>
          <w:lang w:val="en-US"/>
        </w:rPr>
        <w:t>deutetrabenazine</w:t>
      </w:r>
      <w:proofErr w:type="spellEnd"/>
      <w:r w:rsidRPr="00653BD8">
        <w:rPr>
          <w:lang w:val="en-US"/>
        </w:rPr>
        <w:t>.</w:t>
      </w:r>
    </w:p>
    <w:p w14:paraId="554AAC4C" w14:textId="77777777" w:rsidR="00C34AE8" w:rsidRPr="00C34AE8" w:rsidRDefault="00C34AE8" w:rsidP="00C34AE8">
      <w:r>
        <w:t xml:space="preserve">The ACM reiterated that in the absence of disease-modifying treatment options it is important to have a number of symptomatic treatment options available. Based on this, the ACM did not express significant concern regarding the limitations of </w:t>
      </w:r>
      <w:r w:rsidR="0026689A">
        <w:t>long term</w:t>
      </w:r>
      <w:r>
        <w:t xml:space="preserve"> safety data of </w:t>
      </w:r>
      <w:proofErr w:type="spellStart"/>
      <w:r w:rsidRPr="00653BD8">
        <w:rPr>
          <w:lang w:val="en-US"/>
        </w:rPr>
        <w:t>deutetrabenazine</w:t>
      </w:r>
      <w:proofErr w:type="spellEnd"/>
      <w:r>
        <w:t>.</w:t>
      </w:r>
    </w:p>
    <w:p w14:paraId="2CC0C43D" w14:textId="77777777" w:rsidR="00744121" w:rsidRDefault="00744121" w:rsidP="00744121">
      <w:pPr>
        <w:pStyle w:val="Heading5"/>
      </w:pPr>
      <w:r>
        <w:t>Conclusion</w:t>
      </w:r>
    </w:p>
    <w:p w14:paraId="7A352FD3" w14:textId="77777777" w:rsidR="00C34AE8" w:rsidRDefault="00C34AE8" w:rsidP="00C34AE8">
      <w:r>
        <w:t>The ACM considered this product to have an overall positive benefit-risk profile for the indication:</w:t>
      </w:r>
    </w:p>
    <w:p w14:paraId="65789F6C" w14:textId="77777777" w:rsidR="00C34AE8" w:rsidRPr="00C34AE8" w:rsidRDefault="00C34AE8" w:rsidP="00C34AE8">
      <w:pPr>
        <w:ind w:left="720"/>
        <w:rPr>
          <w:i/>
          <w:iCs/>
        </w:rPr>
      </w:pPr>
      <w:proofErr w:type="spellStart"/>
      <w:r w:rsidRPr="00C34AE8">
        <w:rPr>
          <w:i/>
          <w:iCs/>
        </w:rPr>
        <w:t>A</w:t>
      </w:r>
      <w:r>
        <w:rPr>
          <w:i/>
          <w:iCs/>
        </w:rPr>
        <w:t>ustedo</w:t>
      </w:r>
      <w:proofErr w:type="spellEnd"/>
      <w:r w:rsidRPr="00C34AE8">
        <w:rPr>
          <w:i/>
          <w:iCs/>
        </w:rPr>
        <w:t xml:space="preserve"> is indicated for the treatment of chorea associated with Huntington’s disease and tardive dyskinesia in adults.</w:t>
      </w:r>
    </w:p>
    <w:p w14:paraId="5F88D01E" w14:textId="77777777" w:rsidR="008E7846" w:rsidRPr="002E238E" w:rsidRDefault="008E7846" w:rsidP="008E7846">
      <w:pPr>
        <w:pStyle w:val="Heading3"/>
      </w:pPr>
      <w:bookmarkStart w:id="61" w:name="_Toc104471062"/>
      <w:r>
        <w:lastRenderedPageBreak/>
        <w:t>Outcome</w:t>
      </w:r>
      <w:bookmarkEnd w:id="59"/>
      <w:bookmarkEnd w:id="60"/>
      <w:bookmarkEnd w:id="61"/>
    </w:p>
    <w:p w14:paraId="1EA4FF98" w14:textId="77777777" w:rsidR="007D53B6" w:rsidRDefault="00744121" w:rsidP="00C34AE8">
      <w:bookmarkStart w:id="62" w:name="_Toc247691533"/>
      <w:bookmarkStart w:id="63" w:name="_Toc314842517"/>
      <w:r>
        <w:t xml:space="preserve">Based on a review of quality, safety and efficacy, the TGA approved the registration of </w:t>
      </w:r>
      <w:proofErr w:type="spellStart"/>
      <w:r w:rsidR="00C34AE8">
        <w:t>Austedo</w:t>
      </w:r>
      <w:proofErr w:type="spellEnd"/>
      <w:r w:rsidR="00C34AE8" w:rsidRPr="00250271">
        <w:t xml:space="preserve"> (</w:t>
      </w:r>
      <w:proofErr w:type="spellStart"/>
      <w:r w:rsidR="00C34AE8">
        <w:t>deutetrabenazine</w:t>
      </w:r>
      <w:proofErr w:type="spellEnd"/>
      <w:r w:rsidR="00C34AE8" w:rsidRPr="00250271">
        <w:t xml:space="preserve">) </w:t>
      </w:r>
      <w:r w:rsidR="00C34AE8" w:rsidRPr="00A517E5">
        <w:t>6 mg, 9 mg and 12 mg</w:t>
      </w:r>
      <w:r w:rsidR="00C34AE8" w:rsidRPr="00250271">
        <w:t xml:space="preserve">, </w:t>
      </w:r>
      <w:r w:rsidR="00C34AE8">
        <w:t xml:space="preserve">modified released tablet, bottle </w:t>
      </w:r>
      <w:r>
        <w:t>indicated for</w:t>
      </w:r>
      <w:r w:rsidR="00C34AE8">
        <w:t>:</w:t>
      </w:r>
    </w:p>
    <w:p w14:paraId="3AEE24E3" w14:textId="77777777" w:rsidR="00C34AE8" w:rsidRPr="004A2A96" w:rsidRDefault="00C34AE8" w:rsidP="00C34AE8">
      <w:pPr>
        <w:ind w:left="360"/>
        <w:rPr>
          <w:i/>
          <w:iCs/>
        </w:rPr>
      </w:pPr>
      <w:proofErr w:type="spellStart"/>
      <w:r w:rsidRPr="004A2A96">
        <w:rPr>
          <w:i/>
          <w:iCs/>
        </w:rPr>
        <w:t>Austedo</w:t>
      </w:r>
      <w:proofErr w:type="spellEnd"/>
      <w:r w:rsidRPr="004A2A96">
        <w:rPr>
          <w:i/>
          <w:iCs/>
        </w:rPr>
        <w:t xml:space="preserve"> is indicated for the treatment of:</w:t>
      </w:r>
    </w:p>
    <w:p w14:paraId="5D09FAEB" w14:textId="77777777" w:rsidR="00C34AE8" w:rsidRDefault="00C34AE8" w:rsidP="00C34AE8">
      <w:pPr>
        <w:pStyle w:val="ListBullet"/>
        <w:numPr>
          <w:ilvl w:val="0"/>
          <w:numId w:val="3"/>
        </w:numPr>
        <w:ind w:left="720"/>
        <w:rPr>
          <w:i/>
          <w:iCs/>
        </w:rPr>
      </w:pPr>
      <w:r w:rsidRPr="004A2A96">
        <w:rPr>
          <w:i/>
          <w:iCs/>
        </w:rPr>
        <w:t>chorea associated with Huntington’s disease</w:t>
      </w:r>
    </w:p>
    <w:p w14:paraId="62EBFD22" w14:textId="77777777" w:rsidR="00C34AE8" w:rsidRPr="00C34AE8" w:rsidRDefault="00C34AE8" w:rsidP="00C34AE8">
      <w:pPr>
        <w:pStyle w:val="ListBullet"/>
        <w:numPr>
          <w:ilvl w:val="0"/>
          <w:numId w:val="3"/>
        </w:numPr>
        <w:ind w:left="720"/>
        <w:rPr>
          <w:i/>
          <w:iCs/>
        </w:rPr>
      </w:pPr>
      <w:r w:rsidRPr="00C34AE8">
        <w:rPr>
          <w:i/>
          <w:iCs/>
        </w:rPr>
        <w:t>tardive dyskinesia in adults</w:t>
      </w:r>
    </w:p>
    <w:p w14:paraId="125AF38C" w14:textId="77777777" w:rsidR="00D23139" w:rsidRPr="00D23139" w:rsidRDefault="00D23139" w:rsidP="00D23139">
      <w:pPr>
        <w:pStyle w:val="Heading4"/>
      </w:pPr>
      <w:r w:rsidRPr="00D23139">
        <w:t>Specific conditions of registration applying to these goods</w:t>
      </w:r>
    </w:p>
    <w:p w14:paraId="463DEE71" w14:textId="77777777" w:rsidR="00C34AE8" w:rsidRDefault="00C34AE8" w:rsidP="00C34AE8">
      <w:pPr>
        <w:pStyle w:val="ListBullet"/>
      </w:pPr>
      <w:proofErr w:type="spellStart"/>
      <w:r>
        <w:t>Austedo</w:t>
      </w:r>
      <w:proofErr w:type="spellEnd"/>
      <w:r>
        <w:t xml:space="preserve"> (</w:t>
      </w:r>
      <w:proofErr w:type="spellStart"/>
      <w:r>
        <w:t>deutetrabenazine</w:t>
      </w:r>
      <w:proofErr w:type="spellEnd"/>
      <w:r>
        <w:t xml:space="preserve">) is to be included in the Black Triangle Scheme. The PI and CMI for </w:t>
      </w:r>
      <w:proofErr w:type="spellStart"/>
      <w:r>
        <w:t>Austedo</w:t>
      </w:r>
      <w:proofErr w:type="spellEnd"/>
      <w:r>
        <w:t xml:space="preserve"> must include the black triangle symbol and mandatory accompanying text for five years, which starts from the date that the sponsor notifies the TGA of supply of the product.</w:t>
      </w:r>
    </w:p>
    <w:p w14:paraId="50F141D0" w14:textId="77777777" w:rsidR="00C34AE8" w:rsidRDefault="00C34AE8" w:rsidP="00C34AE8">
      <w:pPr>
        <w:pStyle w:val="ListBullet"/>
      </w:pPr>
      <w:r>
        <w:t xml:space="preserve">The </w:t>
      </w:r>
      <w:proofErr w:type="spellStart"/>
      <w:r>
        <w:t>deutetrabenazine</w:t>
      </w:r>
      <w:proofErr w:type="spellEnd"/>
      <w:r>
        <w:t xml:space="preserve"> RMP (version 1.1, dated 23 October 2020, DLP 15 September 2020), included with submission PM-2020-00739-1-1, and any subsequent revisions, as agreed with the TGA will be implemented in Australia.</w:t>
      </w:r>
    </w:p>
    <w:p w14:paraId="52769D75" w14:textId="77777777" w:rsidR="00C34AE8" w:rsidRDefault="00C34AE8" w:rsidP="00C34AE8">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2B8363A0" w14:textId="77777777" w:rsidR="00456765" w:rsidRDefault="00C34AE8" w:rsidP="00C34AE8">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six monthly reports may be submitted separately as they become available.</w:t>
      </w:r>
    </w:p>
    <w:p w14:paraId="6A91CDF5" w14:textId="77777777" w:rsidR="00C34AE8" w:rsidRDefault="00C34AE8" w:rsidP="00C34AE8">
      <w:pPr>
        <w:pStyle w:val="ListBullet"/>
        <w:numPr>
          <w:ilvl w:val="0"/>
          <w:numId w:val="0"/>
        </w:numPr>
        <w:ind w:left="360"/>
      </w:pPr>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7697323A" w14:textId="77777777" w:rsidR="00C34AE8" w:rsidRDefault="00C34AE8" w:rsidP="0089755D">
      <w:pPr>
        <w:pStyle w:val="ListBullet"/>
        <w:numPr>
          <w:ilvl w:val="0"/>
          <w:numId w:val="0"/>
        </w:numPr>
        <w:ind w:left="360"/>
      </w:pPr>
      <w:r>
        <w:t>The reports are to at least meet the requirements for PSURs as described in the</w:t>
      </w:r>
      <w:r w:rsidR="0089755D">
        <w:t xml:space="preserve"> </w:t>
      </w:r>
      <w:r>
        <w:t>European Medicines Agency’s Guideline on good pharmacovigilance practices (GVP)</w:t>
      </w:r>
      <w:r w:rsidR="0089755D">
        <w:t xml:space="preserve"> </w:t>
      </w:r>
      <w:r>
        <w:t>Module VII-periodic safety update report (Rev 1), Part VII.B Structures and</w:t>
      </w:r>
      <w:r w:rsidR="0089755D">
        <w:t xml:space="preserve"> </w:t>
      </w:r>
      <w:r>
        <w:t>processes. Note that submission of a PSUR does not constitute an application to vary</w:t>
      </w:r>
      <w:r w:rsidR="0089755D">
        <w:t xml:space="preserve"> </w:t>
      </w:r>
      <w:r>
        <w:t>the registration. Each report must have been prepared within ninety calendar days</w:t>
      </w:r>
      <w:r w:rsidR="0089755D">
        <w:t xml:space="preserve"> </w:t>
      </w:r>
      <w:r>
        <w:t>of the data lock point for that report.</w:t>
      </w:r>
    </w:p>
    <w:p w14:paraId="216ECF70" w14:textId="77777777" w:rsidR="008E7846" w:rsidRDefault="00A80B5B" w:rsidP="00D23139">
      <w:pPr>
        <w:pStyle w:val="Heading2"/>
      </w:pPr>
      <w:bookmarkStart w:id="64" w:name="_Toc104471063"/>
      <w:r>
        <w:t xml:space="preserve">Attachment 1. </w:t>
      </w:r>
      <w:r w:rsidR="008E7846">
        <w:t xml:space="preserve">Product </w:t>
      </w:r>
      <w:r w:rsidR="00AA0ED0">
        <w:t>I</w:t>
      </w:r>
      <w:r w:rsidR="008E7846">
        <w:t>nformation</w:t>
      </w:r>
      <w:bookmarkEnd w:id="62"/>
      <w:bookmarkEnd w:id="63"/>
      <w:bookmarkEnd w:id="64"/>
    </w:p>
    <w:p w14:paraId="3318B29C" w14:textId="38541005" w:rsidR="00C80137" w:rsidRDefault="006136D7" w:rsidP="00C80137">
      <w:pPr>
        <w:rPr>
          <w:color w:val="000000"/>
          <w:lang w:eastAsia="en-AU"/>
        </w:rPr>
      </w:pPr>
      <w:r w:rsidRPr="002B3624">
        <w:t xml:space="preserve">The </w:t>
      </w:r>
      <w:r>
        <w:t>PI</w:t>
      </w:r>
      <w:r w:rsidRPr="002B3624">
        <w:t xml:space="preserve"> for </w:t>
      </w:r>
      <w:proofErr w:type="spellStart"/>
      <w:r w:rsidR="0089755D">
        <w:t>Austedo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8" w:history="1">
        <w:r w:rsidR="007C6B9B" w:rsidRPr="007C6B9B">
          <w:rPr>
            <w:rStyle w:val="Hyperlink"/>
          </w:rPr>
          <w:t>https://www.tga.gov.au/product-information-pi</w:t>
        </w:r>
      </w:hyperlink>
      <w:r w:rsidR="007C6B9B" w:rsidRPr="007C6B9B">
        <w:t>&gt;.</w:t>
      </w:r>
    </w:p>
    <w:p w14:paraId="5588E9FB" w14:textId="77777777" w:rsidR="00744121" w:rsidRDefault="008E7846" w:rsidP="00215AA2">
      <w:pPr>
        <w:autoSpaceDE w:val="0"/>
        <w:autoSpaceDN w:val="0"/>
        <w:adjustRightInd w:val="0"/>
        <w:spacing w:after="0"/>
        <w:rPr>
          <w:lang w:eastAsia="ja-JP"/>
        </w:rPr>
      </w:pPr>
      <w:r w:rsidRPr="00C80137">
        <w:rPr>
          <w:b/>
        </w:rPr>
        <w:br w:type="page"/>
      </w:r>
    </w:p>
    <w:p w14:paraId="00851DD3" w14:textId="77777777" w:rsidR="00C80137" w:rsidRPr="001D043B" w:rsidRDefault="00C80137" w:rsidP="003A7F6C">
      <w:pPr>
        <w:pStyle w:val="TableTitle"/>
        <w:sectPr w:rsidR="00C80137" w:rsidRPr="001D043B" w:rsidSect="00B452CE">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11BE8F6" w14:textId="77777777" w:rsidTr="00A05FA4">
        <w:trPr>
          <w:trHeight w:hRule="exact" w:val="704"/>
        </w:trPr>
        <w:tc>
          <w:tcPr>
            <w:tcW w:w="9175" w:type="dxa"/>
          </w:tcPr>
          <w:p w14:paraId="0DD5E0C0" w14:textId="77777777" w:rsidR="001C32CD" w:rsidRPr="00487162" w:rsidRDefault="001C32CD" w:rsidP="00A05FA4">
            <w:pPr>
              <w:pStyle w:val="TGASignoff"/>
            </w:pPr>
            <w:r w:rsidRPr="00487162">
              <w:lastRenderedPageBreak/>
              <w:t>Therapeutic Goods Administration</w:t>
            </w:r>
          </w:p>
        </w:tc>
      </w:tr>
      <w:tr w:rsidR="001C32CD" w:rsidRPr="004C239D" w14:paraId="43C68AB8" w14:textId="77777777" w:rsidTr="00A05FA4">
        <w:trPr>
          <w:trHeight w:val="1221"/>
        </w:trPr>
        <w:tc>
          <w:tcPr>
            <w:tcW w:w="9175" w:type="dxa"/>
            <w:tcMar>
              <w:top w:w="28" w:type="dxa"/>
            </w:tcMar>
          </w:tcPr>
          <w:p w14:paraId="06C50817" w14:textId="77777777" w:rsidR="001C32CD" w:rsidRPr="00487162" w:rsidRDefault="001C32CD" w:rsidP="00A05FA4">
            <w:pPr>
              <w:pStyle w:val="Address"/>
            </w:pPr>
            <w:r w:rsidRPr="00487162">
              <w:t>PO Box 100 Woden ACT 2606 Australia</w:t>
            </w:r>
          </w:p>
          <w:p w14:paraId="4FD40690" w14:textId="0BF773B3" w:rsidR="001C32CD" w:rsidRPr="00487162" w:rsidRDefault="001C32CD" w:rsidP="00A05FA4">
            <w:pPr>
              <w:pStyle w:val="Address"/>
            </w:pPr>
            <w:r w:rsidRPr="00487162">
              <w:t xml:space="preserve">Email: </w:t>
            </w:r>
            <w:hyperlink r:id="rId43" w:history="1">
              <w:r w:rsidRPr="004C239D">
                <w:rPr>
                  <w:rStyle w:val="Hyperlink"/>
                </w:rPr>
                <w:t>info@tga.gov.au</w:t>
              </w:r>
            </w:hyperlink>
            <w:r w:rsidRPr="00487162">
              <w:t xml:space="preserve">  Phone: 1800 020 653  Fax: 02 6232 8605</w:t>
            </w:r>
          </w:p>
          <w:p w14:paraId="140CA299" w14:textId="2F1E5260" w:rsidR="001C32CD" w:rsidRPr="004C239D" w:rsidRDefault="000C3739" w:rsidP="00A05FA4">
            <w:pPr>
              <w:pStyle w:val="Address"/>
              <w:spacing w:line="260" w:lineRule="atLeast"/>
              <w:rPr>
                <w:b/>
                <w:color w:val="0000FF"/>
                <w:u w:val="single"/>
              </w:rPr>
            </w:pPr>
            <w:hyperlink r:id="rId44" w:history="1">
              <w:r w:rsidR="007C6B9B" w:rsidRPr="007C6B9B">
                <w:rPr>
                  <w:rStyle w:val="Hyperlink"/>
                  <w:b/>
                </w:rPr>
                <w:t>https://www.tga.gov.au</w:t>
              </w:r>
            </w:hyperlink>
          </w:p>
        </w:tc>
      </w:tr>
    </w:tbl>
    <w:p w14:paraId="32C48518" w14:textId="77777777" w:rsidR="00774E1D" w:rsidRPr="008A5E0B" w:rsidRDefault="00774E1D" w:rsidP="004C239D"/>
    <w:sectPr w:rsidR="00774E1D" w:rsidRPr="008A5E0B" w:rsidSect="001C32CD">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08429" w14:textId="77777777" w:rsidR="00855435" w:rsidRDefault="00855435" w:rsidP="00C40A36">
      <w:pPr>
        <w:spacing w:after="0"/>
      </w:pPr>
      <w:r>
        <w:separator/>
      </w:r>
    </w:p>
  </w:endnote>
  <w:endnote w:type="continuationSeparator" w:id="0">
    <w:p w14:paraId="4FDB1FE5" w14:textId="77777777" w:rsidR="00855435" w:rsidRDefault="0085543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55435" w:rsidRPr="00487162" w14:paraId="0C3B379D" w14:textId="77777777" w:rsidTr="00DB750B">
      <w:trPr>
        <w:trHeight w:val="269"/>
      </w:trPr>
      <w:tc>
        <w:tcPr>
          <w:tcW w:w="7371" w:type="dxa"/>
          <w:tcMar>
            <w:top w:w="142" w:type="dxa"/>
            <w:bottom w:w="0" w:type="dxa"/>
          </w:tcMar>
        </w:tcPr>
        <w:p w14:paraId="2D9FFA38" w14:textId="3AA4513F" w:rsidR="00855435" w:rsidRPr="00487162" w:rsidRDefault="00855435" w:rsidP="00460036">
          <w:pPr>
            <w:pStyle w:val="Footer"/>
          </w:pPr>
          <w:proofErr w:type="spellStart"/>
          <w:r w:rsidRPr="00487162">
            <w:t>AusPA</w:t>
          </w:r>
          <w:r>
            <w:t>R</w:t>
          </w:r>
          <w:proofErr w:type="spellEnd"/>
          <w:r>
            <w:t xml:space="preserve"> – </w:t>
          </w:r>
          <w:proofErr w:type="spellStart"/>
          <w:r w:rsidRPr="001218E5">
            <w:t>A</w:t>
          </w:r>
          <w:r>
            <w:t>ustedo</w:t>
          </w:r>
          <w:proofErr w:type="spellEnd"/>
          <w:r w:rsidRPr="001218E5">
            <w:t xml:space="preserve"> - </w:t>
          </w:r>
          <w:proofErr w:type="spellStart"/>
          <w:r w:rsidRPr="001218E5">
            <w:t>deutetrabenazine</w:t>
          </w:r>
          <w:proofErr w:type="spellEnd"/>
          <w:r w:rsidRPr="001218E5">
            <w:t xml:space="preserve"> - Teva Pharma Australia Pty Ltd - PM-2020-00739-1-1</w:t>
          </w:r>
          <w:r>
            <w:br/>
          </w:r>
          <w:r w:rsidR="00B15438">
            <w:t>FINAL</w:t>
          </w:r>
          <w:r w:rsidRPr="00487162">
            <w:t xml:space="preserve"> </w:t>
          </w:r>
          <w:r w:rsidR="00B15438">
            <w:t>13</w:t>
          </w:r>
          <w:r>
            <w:t xml:space="preserve"> May 2022</w:t>
          </w:r>
        </w:p>
      </w:tc>
      <w:tc>
        <w:tcPr>
          <w:tcW w:w="1490" w:type="dxa"/>
          <w:tcMar>
            <w:top w:w="142" w:type="dxa"/>
            <w:bottom w:w="0" w:type="dxa"/>
          </w:tcMar>
        </w:tcPr>
        <w:p w14:paraId="6D4F09E3" w14:textId="47803B41" w:rsidR="00855435" w:rsidRPr="00487162" w:rsidRDefault="00855435" w:rsidP="00DB750B">
          <w:pPr>
            <w:pStyle w:val="Footer"/>
            <w:jc w:val="right"/>
          </w:pPr>
          <w:r w:rsidRPr="00487162">
            <w:t xml:space="preserve">Page </w:t>
          </w:r>
          <w:r>
            <w:fldChar w:fldCharType="begin"/>
          </w:r>
          <w:r>
            <w:instrText xml:space="preserve"> PAGE  \* Arabic </w:instrText>
          </w:r>
          <w:r>
            <w:fldChar w:fldCharType="separate"/>
          </w:r>
          <w:r>
            <w:rPr>
              <w:noProof/>
            </w:rPr>
            <w:t>14</w:t>
          </w:r>
          <w:r>
            <w:fldChar w:fldCharType="end"/>
          </w:r>
          <w:r w:rsidRPr="00487162">
            <w:t xml:space="preserve"> of </w:t>
          </w:r>
          <w:r w:rsidR="000C3739">
            <w:fldChar w:fldCharType="begin"/>
          </w:r>
          <w:r w:rsidR="000C3739">
            <w:instrText xml:space="preserve"> NUMPAGES  \* Arabic </w:instrText>
          </w:r>
          <w:r w:rsidR="000C3739">
            <w:fldChar w:fldCharType="separate"/>
          </w:r>
          <w:r>
            <w:rPr>
              <w:noProof/>
            </w:rPr>
            <w:t>43</w:t>
          </w:r>
          <w:r w:rsidR="000C3739">
            <w:rPr>
              <w:noProof/>
            </w:rPr>
            <w:fldChar w:fldCharType="end"/>
          </w:r>
        </w:p>
      </w:tc>
    </w:tr>
  </w:tbl>
  <w:p w14:paraId="56D1361C" w14:textId="77777777" w:rsidR="00855435" w:rsidRDefault="00855435"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55435" w:rsidRPr="00487162" w14:paraId="4992B60A" w14:textId="77777777" w:rsidTr="00E45619">
      <w:trPr>
        <w:trHeight w:val="269"/>
      </w:trPr>
      <w:tc>
        <w:tcPr>
          <w:tcW w:w="4519" w:type="dxa"/>
          <w:tcBorders>
            <w:top w:val="single" w:sz="4" w:space="0" w:color="auto"/>
          </w:tcBorders>
          <w:tcMar>
            <w:top w:w="142" w:type="dxa"/>
            <w:bottom w:w="0" w:type="dxa"/>
          </w:tcMar>
        </w:tcPr>
        <w:p w14:paraId="4D5AA2D3" w14:textId="77777777" w:rsidR="00855435" w:rsidRPr="00487162" w:rsidRDefault="00855435" w:rsidP="00FE1DEE">
          <w:pPr>
            <w:pStyle w:val="Footer"/>
          </w:pPr>
          <w:r w:rsidRPr="00487162">
            <w:t>Document title, Part #, Section # - Section title</w:t>
          </w:r>
        </w:p>
        <w:p w14:paraId="292557D0" w14:textId="77777777" w:rsidR="00855435" w:rsidRPr="00487162" w:rsidRDefault="00855435" w:rsidP="00FE1DEE">
          <w:pPr>
            <w:pStyle w:val="Footer"/>
          </w:pPr>
          <w:r w:rsidRPr="00487162">
            <w:t>V1.0 October 2010</w:t>
          </w:r>
        </w:p>
      </w:tc>
      <w:tc>
        <w:tcPr>
          <w:tcW w:w="4342" w:type="dxa"/>
          <w:tcBorders>
            <w:top w:val="single" w:sz="4" w:space="0" w:color="auto"/>
          </w:tcBorders>
          <w:tcMar>
            <w:top w:w="142" w:type="dxa"/>
            <w:bottom w:w="0" w:type="dxa"/>
          </w:tcMar>
        </w:tcPr>
        <w:p w14:paraId="18A69444" w14:textId="77777777" w:rsidR="00855435" w:rsidRPr="00487162" w:rsidRDefault="0085543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C3739">
            <w:fldChar w:fldCharType="begin"/>
          </w:r>
          <w:r w:rsidR="000C3739">
            <w:instrText xml:space="preserve"> NUMPAGES  </w:instrText>
          </w:r>
          <w:r w:rsidR="000C3739">
            <w:fldChar w:fldCharType="separate"/>
          </w:r>
          <w:r>
            <w:rPr>
              <w:noProof/>
            </w:rPr>
            <w:t>21</w:t>
          </w:r>
          <w:r w:rsidR="000C3739">
            <w:rPr>
              <w:noProof/>
            </w:rPr>
            <w:fldChar w:fldCharType="end"/>
          </w:r>
        </w:p>
      </w:tc>
    </w:tr>
  </w:tbl>
  <w:p w14:paraId="1C5E8676" w14:textId="77777777" w:rsidR="00855435" w:rsidRDefault="008554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63E5E" w14:textId="77777777" w:rsidR="00855435" w:rsidRPr="001C32CD" w:rsidRDefault="00855435"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55435" w14:paraId="76933514" w14:textId="77777777" w:rsidTr="0010601F">
      <w:trPr>
        <w:trHeight w:val="108"/>
      </w:trPr>
      <w:tc>
        <w:tcPr>
          <w:tcW w:w="8875" w:type="dxa"/>
          <w:gridSpan w:val="2"/>
          <w:tcBorders>
            <w:bottom w:val="single" w:sz="4" w:space="0" w:color="auto"/>
          </w:tcBorders>
          <w:tcMar>
            <w:right w:w="284" w:type="dxa"/>
          </w:tcMar>
        </w:tcPr>
        <w:p w14:paraId="382B7EF6" w14:textId="77777777" w:rsidR="00855435" w:rsidRDefault="00855435" w:rsidP="006E08B3">
          <w:pPr>
            <w:pStyle w:val="Heading3"/>
          </w:pPr>
          <w:r>
            <w:t>Copyright</w:t>
          </w:r>
        </w:p>
        <w:p w14:paraId="77B2884B" w14:textId="77777777" w:rsidR="00855435" w:rsidRDefault="00855435" w:rsidP="006E08B3">
          <w:r>
            <w:rPr>
              <w:rFonts w:cs="Arial"/>
            </w:rPr>
            <w:t>©</w:t>
          </w:r>
          <w:r>
            <w:t xml:space="preserve"> Commonwealth of Australia [add year]</w:t>
          </w:r>
        </w:p>
        <w:p w14:paraId="172398CA" w14:textId="77777777" w:rsidR="00855435" w:rsidRDefault="00855435" w:rsidP="006E08B3"/>
        <w:p w14:paraId="4BA93474" w14:textId="77777777" w:rsidR="00855435" w:rsidRDefault="0085543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54E3363" w14:textId="77777777" w:rsidR="00855435" w:rsidRDefault="00855435" w:rsidP="006E08B3"/>
        <w:p w14:paraId="1416305D" w14:textId="77777777" w:rsidR="00855435" w:rsidRDefault="00855435" w:rsidP="006E08B3">
          <w:pPr>
            <w:pStyle w:val="Heading3"/>
          </w:pPr>
          <w:r>
            <w:t>Confidentiality</w:t>
          </w:r>
        </w:p>
        <w:p w14:paraId="324A19A2" w14:textId="77777777" w:rsidR="00855435" w:rsidRDefault="0085543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FC61804" w14:textId="77777777" w:rsidR="00855435" w:rsidRDefault="00855435" w:rsidP="006E08B3"/>
        <w:p w14:paraId="4D944C2F" w14:textId="77777777" w:rsidR="00855435" w:rsidRDefault="00855435" w:rsidP="006E08B3">
          <w:r>
            <w:t>For submission made by individuals, all personal details, other than your name, will be removed from your submission before it is published on the TGA’s Internet site.</w:t>
          </w:r>
        </w:p>
        <w:p w14:paraId="4D3B9525" w14:textId="77777777" w:rsidR="00855435" w:rsidRDefault="00855435" w:rsidP="006E08B3"/>
        <w:p w14:paraId="01D57FC4" w14:textId="77777777" w:rsidR="00855435" w:rsidRDefault="0085543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55435" w14:paraId="7D8CCF1F" w14:textId="77777777" w:rsidTr="0010601F">
      <w:trPr>
        <w:trHeight w:val="417"/>
      </w:trPr>
      <w:tc>
        <w:tcPr>
          <w:tcW w:w="4519" w:type="dxa"/>
          <w:tcBorders>
            <w:top w:val="single" w:sz="4" w:space="0" w:color="auto"/>
          </w:tcBorders>
          <w:tcMar>
            <w:top w:w="142" w:type="dxa"/>
            <w:bottom w:w="0" w:type="dxa"/>
          </w:tcMar>
        </w:tcPr>
        <w:p w14:paraId="086826EC" w14:textId="77777777" w:rsidR="00855435" w:rsidRDefault="00855435" w:rsidP="006E08B3">
          <w:r>
            <w:t>Document title, Part #, Section # - Section title</w:t>
          </w:r>
        </w:p>
        <w:p w14:paraId="1EA9F072" w14:textId="77777777" w:rsidR="00855435" w:rsidRDefault="00855435" w:rsidP="006E08B3">
          <w:r>
            <w:t>V1.0 October 2010</w:t>
          </w:r>
        </w:p>
      </w:tc>
      <w:tc>
        <w:tcPr>
          <w:tcW w:w="4356" w:type="dxa"/>
          <w:tcBorders>
            <w:top w:val="single" w:sz="4" w:space="0" w:color="auto"/>
          </w:tcBorders>
          <w:tcMar>
            <w:top w:w="142" w:type="dxa"/>
            <w:bottom w:w="0" w:type="dxa"/>
          </w:tcMar>
        </w:tcPr>
        <w:p w14:paraId="787A0E8A" w14:textId="77777777" w:rsidR="00855435" w:rsidRDefault="0085543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C3739">
            <w:fldChar w:fldCharType="begin"/>
          </w:r>
          <w:r w:rsidR="000C3739">
            <w:instrText xml:space="preserve"> NUMPAGES  \* Arabic </w:instrText>
          </w:r>
          <w:r w:rsidR="000C3739">
            <w:fldChar w:fldCharType="separate"/>
          </w:r>
          <w:r>
            <w:rPr>
              <w:noProof/>
            </w:rPr>
            <w:t>21</w:t>
          </w:r>
          <w:r w:rsidR="000C3739">
            <w:rPr>
              <w:noProof/>
            </w:rPr>
            <w:fldChar w:fldCharType="end"/>
          </w:r>
          <w:r>
            <w:t xml:space="preserve">  </w:t>
          </w:r>
        </w:p>
      </w:tc>
    </w:tr>
  </w:tbl>
  <w:p w14:paraId="1DF2D65E" w14:textId="77777777" w:rsidR="00855435" w:rsidRDefault="008554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29197" w14:textId="77777777" w:rsidR="00855435" w:rsidRDefault="00855435" w:rsidP="00C40A36">
      <w:pPr>
        <w:spacing w:after="0"/>
      </w:pPr>
      <w:r>
        <w:separator/>
      </w:r>
    </w:p>
  </w:footnote>
  <w:footnote w:type="continuationSeparator" w:id="0">
    <w:p w14:paraId="37CE99A6" w14:textId="77777777" w:rsidR="00855435" w:rsidRDefault="00855435" w:rsidP="00C40A36">
      <w:pPr>
        <w:spacing w:after="0"/>
      </w:pPr>
      <w:r>
        <w:continuationSeparator/>
      </w:r>
    </w:p>
  </w:footnote>
  <w:footnote w:id="1">
    <w:p w14:paraId="61794529" w14:textId="77777777" w:rsidR="00855435" w:rsidRDefault="00855435">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045F1A74" w14:textId="77777777" w:rsidR="00855435" w:rsidRDefault="00855435">
      <w:pPr>
        <w:pStyle w:val="FootnoteText"/>
      </w:pPr>
      <w:r>
        <w:rPr>
          <w:rStyle w:val="FootnoteReference"/>
        </w:rPr>
        <w:footnoteRef/>
      </w:r>
      <w:r>
        <w:t xml:space="preserve"> </w:t>
      </w:r>
      <w:proofErr w:type="spellStart"/>
      <w:r w:rsidRPr="00D46BB2">
        <w:t>Bachoud</w:t>
      </w:r>
      <w:proofErr w:type="spellEnd"/>
      <w:r w:rsidRPr="00D46BB2">
        <w:t xml:space="preserve">-Lévi, A.C., et al., International Guidelines for the Treatment of Huntington's Disease. </w:t>
      </w:r>
      <w:r w:rsidRPr="00D46BB2">
        <w:rPr>
          <w:i/>
          <w:iCs/>
        </w:rPr>
        <w:t>Front Neurol</w:t>
      </w:r>
      <w:r w:rsidRPr="00D46BB2">
        <w:t>, 2019. 10: p. 710.</w:t>
      </w:r>
    </w:p>
  </w:footnote>
  <w:footnote w:id="3">
    <w:p w14:paraId="4F867E79" w14:textId="77777777" w:rsidR="00855435" w:rsidRDefault="00855435">
      <w:pPr>
        <w:pStyle w:val="FootnoteText"/>
      </w:pPr>
      <w:r>
        <w:rPr>
          <w:rStyle w:val="FootnoteReference"/>
        </w:rPr>
        <w:footnoteRef/>
      </w:r>
      <w:r>
        <w:t xml:space="preserve"> </w:t>
      </w:r>
      <w:r w:rsidRPr="00D46BB2">
        <w:t xml:space="preserve">Walker, F.O., Huntington's disease. </w:t>
      </w:r>
      <w:r w:rsidRPr="00D46BB2">
        <w:rPr>
          <w:i/>
          <w:iCs/>
        </w:rPr>
        <w:t>Lancet</w:t>
      </w:r>
      <w:r w:rsidRPr="00D46BB2">
        <w:t>, 2007. 369(9557): p. 218-28.</w:t>
      </w:r>
    </w:p>
  </w:footnote>
  <w:footnote w:id="4">
    <w:p w14:paraId="75AED9D8" w14:textId="77777777" w:rsidR="00855435" w:rsidRDefault="00855435">
      <w:pPr>
        <w:pStyle w:val="FootnoteText"/>
      </w:pPr>
      <w:r>
        <w:rPr>
          <w:rStyle w:val="FootnoteReference"/>
        </w:rPr>
        <w:footnoteRef/>
      </w:r>
      <w:r>
        <w:t xml:space="preserve"> </w:t>
      </w:r>
      <w:r w:rsidRPr="00D46BB2">
        <w:t xml:space="preserve">Bashir, H. and J. Jankovic, Treatment options for chorea. </w:t>
      </w:r>
      <w:r w:rsidRPr="00D46BB2">
        <w:rPr>
          <w:i/>
          <w:iCs/>
        </w:rPr>
        <w:t xml:space="preserve">Expert Rev </w:t>
      </w:r>
      <w:proofErr w:type="spellStart"/>
      <w:r w:rsidRPr="00D46BB2">
        <w:rPr>
          <w:i/>
          <w:iCs/>
        </w:rPr>
        <w:t>Neurother</w:t>
      </w:r>
      <w:proofErr w:type="spellEnd"/>
      <w:r w:rsidRPr="00D46BB2">
        <w:t>, 2018. 18(1): p. 51-63.</w:t>
      </w:r>
    </w:p>
  </w:footnote>
  <w:footnote w:id="5">
    <w:p w14:paraId="4FE83744" w14:textId="77777777" w:rsidR="00855435" w:rsidRDefault="00855435">
      <w:pPr>
        <w:pStyle w:val="FootnoteText"/>
      </w:pPr>
      <w:r>
        <w:rPr>
          <w:rStyle w:val="FootnoteReference"/>
        </w:rPr>
        <w:footnoteRef/>
      </w:r>
      <w:r>
        <w:t xml:space="preserve"> </w:t>
      </w:r>
      <w:r w:rsidRPr="00D46BB2">
        <w:t>H</w:t>
      </w:r>
      <w:r>
        <w:t>untington’s disease and residential aged care sub</w:t>
      </w:r>
      <w:r w:rsidRPr="00D46BB2">
        <w:t xml:space="preserve">mission to </w:t>
      </w:r>
      <w:r>
        <w:t>s</w:t>
      </w:r>
      <w:r w:rsidRPr="00D46BB2">
        <w:t xml:space="preserve">enate </w:t>
      </w:r>
      <w:r>
        <w:t>c</w:t>
      </w:r>
      <w:r w:rsidRPr="00D46BB2">
        <w:t xml:space="preserve">ommunity </w:t>
      </w:r>
      <w:r>
        <w:t>a</w:t>
      </w:r>
      <w:r w:rsidRPr="00D46BB2">
        <w:t xml:space="preserve">ffairs </w:t>
      </w:r>
      <w:r>
        <w:t>r</w:t>
      </w:r>
      <w:r w:rsidRPr="00D46BB2">
        <w:t xml:space="preserve">eferences </w:t>
      </w:r>
      <w:r>
        <w:t>c</w:t>
      </w:r>
      <w:r w:rsidRPr="00D46BB2">
        <w:t>ommittee.</w:t>
      </w:r>
    </w:p>
  </w:footnote>
  <w:footnote w:id="6">
    <w:p w14:paraId="1A9D1907" w14:textId="77777777" w:rsidR="00855435" w:rsidRDefault="00855435">
      <w:pPr>
        <w:pStyle w:val="FootnoteText"/>
      </w:pPr>
      <w:r>
        <w:rPr>
          <w:rStyle w:val="FootnoteReference"/>
        </w:rPr>
        <w:footnoteRef/>
      </w:r>
      <w:r>
        <w:t xml:space="preserve"> </w:t>
      </w:r>
      <w:r w:rsidRPr="00D46BB2">
        <w:t xml:space="preserve">Ward, K.M. and L. </w:t>
      </w:r>
      <w:proofErr w:type="spellStart"/>
      <w:r w:rsidRPr="00D46BB2">
        <w:t>Citrome</w:t>
      </w:r>
      <w:proofErr w:type="spellEnd"/>
      <w:r w:rsidRPr="00D46BB2">
        <w:t xml:space="preserve">, Antipsychotic-Related Movement Disorders: Drug-Induced Parkinsonism vs. Tardive Dyskinesia-Key Differences in Pathophysiology and Clinical Management. </w:t>
      </w:r>
      <w:r w:rsidRPr="00D46BB2">
        <w:rPr>
          <w:i/>
          <w:iCs/>
        </w:rPr>
        <w:t xml:space="preserve">Neurol </w:t>
      </w:r>
      <w:proofErr w:type="spellStart"/>
      <w:r w:rsidRPr="00D46BB2">
        <w:rPr>
          <w:i/>
          <w:iCs/>
        </w:rPr>
        <w:t>Ther</w:t>
      </w:r>
      <w:proofErr w:type="spellEnd"/>
      <w:r w:rsidRPr="00D46BB2">
        <w:t>, 2018. 7(2): p. 233-248</w:t>
      </w:r>
    </w:p>
  </w:footnote>
  <w:footnote w:id="7">
    <w:p w14:paraId="17D5D58C" w14:textId="77777777" w:rsidR="00855435" w:rsidRDefault="00855435">
      <w:pPr>
        <w:pStyle w:val="FootnoteText"/>
      </w:pPr>
      <w:r>
        <w:rPr>
          <w:rStyle w:val="FootnoteReference"/>
        </w:rPr>
        <w:footnoteRef/>
      </w:r>
      <w:r>
        <w:t xml:space="preserve"> </w:t>
      </w:r>
      <w:r w:rsidRPr="00D46BB2">
        <w:t xml:space="preserve">Niemann, Nicki and J. Jankovic. Treatment of Tardive Dyskinesia: A General Overview with Focus on the Vesicular Monoamine Transporter 2 Inhibitors. </w:t>
      </w:r>
      <w:r w:rsidRPr="00D46BB2">
        <w:rPr>
          <w:i/>
          <w:iCs/>
        </w:rPr>
        <w:t>Drugs</w:t>
      </w:r>
      <w:r w:rsidRPr="00D46BB2">
        <w:t xml:space="preserve"> 78 (2018): 525-541.</w:t>
      </w:r>
    </w:p>
  </w:footnote>
  <w:footnote w:id="8">
    <w:p w14:paraId="03CC85BE" w14:textId="77777777" w:rsidR="00855435" w:rsidRDefault="00855435" w:rsidP="009C3E1F">
      <w:pPr>
        <w:pStyle w:val="FootnoteText"/>
      </w:pPr>
      <w:r>
        <w:rPr>
          <w:rStyle w:val="FootnoteReference"/>
        </w:rPr>
        <w:footnoteRef/>
      </w:r>
      <w:r>
        <w:t xml:space="preserve"> The </w:t>
      </w:r>
      <w:r w:rsidRPr="00B15438">
        <w:rPr>
          <w:b/>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59A771E7" w14:textId="5FDABC7C" w:rsidR="00855435" w:rsidRPr="00B15438" w:rsidRDefault="00855435" w:rsidP="009C3E1F">
      <w:pPr>
        <w:pStyle w:val="FootnoteText"/>
        <w:rPr>
          <w:lang w:val="en-GB"/>
        </w:rPr>
      </w:pPr>
      <w:r>
        <w:t xml:space="preserve">The </w:t>
      </w:r>
      <w:r w:rsidRPr="00B15438">
        <w:rPr>
          <w:b/>
        </w:rPr>
        <w:t>corrected QT interval</w:t>
      </w:r>
      <w:r>
        <w:t xml:space="preserve"> (QTc) estimates the QT interval at a standard heart rate. This allows comparison of QT values over time at different heart rates and improves detection of patients at increased risk of arrhythmias.</w:t>
      </w:r>
    </w:p>
  </w:footnote>
  <w:footnote w:id="9">
    <w:p w14:paraId="016E1196" w14:textId="77777777" w:rsidR="00855435" w:rsidRPr="00BD271A" w:rsidRDefault="00855435" w:rsidP="00134EB5">
      <w:pPr>
        <w:pStyle w:val="FootnoteText"/>
        <w:rPr>
          <w:b/>
          <w:lang w:eastAsia="ja-JP"/>
        </w:rPr>
      </w:pPr>
      <w:r>
        <w:rPr>
          <w:rStyle w:val="FootnoteReference"/>
        </w:rPr>
        <w:footnoteRef/>
      </w:r>
      <w:r>
        <w:t xml:space="preserve"> </w:t>
      </w:r>
      <w:r w:rsidRPr="00B41C85">
        <w:rPr>
          <w:b/>
          <w:lang w:eastAsia="ja-JP"/>
        </w:rPr>
        <w:t>Cytochrome P450 (CYP) enzymes:</w:t>
      </w:r>
      <w:r>
        <w:rPr>
          <w:b/>
          <w:lang w:eastAsia="ja-JP"/>
        </w:rPr>
        <w:t xml:space="preserve"> </w:t>
      </w:r>
      <w:r>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76A56408" w14:textId="77777777" w:rsidR="00855435" w:rsidRDefault="00855435" w:rsidP="00134EB5">
      <w:pPr>
        <w:pStyle w:val="FootnoteText"/>
      </w:pP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0">
    <w:p w14:paraId="41FB7E1E" w14:textId="35E0A345" w:rsidR="00855435" w:rsidRDefault="00855435" w:rsidP="00337C11">
      <w:pPr>
        <w:pStyle w:val="FootnoteText"/>
      </w:pPr>
      <w:r>
        <w:rPr>
          <w:rStyle w:val="FootnoteReference"/>
        </w:rPr>
        <w:footnoteRef/>
      </w:r>
      <w:r>
        <w:t xml:space="preserve"> </w:t>
      </w:r>
      <w:r w:rsidRPr="00B15438">
        <w:rPr>
          <w:b/>
        </w:rPr>
        <w:t>Pregnancy Category B3</w:t>
      </w:r>
      <w:r>
        <w:t xml:space="preserve">: </w:t>
      </w:r>
      <w:r w:rsidRPr="00337C11">
        <w:t xml:space="preserve">Drugs which have been taken by only a limited number of pregnant women and women of childbearing age, without an increase in the frequency of malformation or other direct or indirect harmful effects on the human </w:t>
      </w:r>
      <w:proofErr w:type="spellStart"/>
      <w:r w:rsidRPr="00337C11">
        <w:t>fetus</w:t>
      </w:r>
      <w:proofErr w:type="spellEnd"/>
      <w:r w:rsidRPr="00337C11">
        <w:t xml:space="preserve"> having been observed.</w:t>
      </w:r>
      <w:r>
        <w:t xml:space="preserve"> </w:t>
      </w:r>
      <w:r w:rsidRPr="00337C11">
        <w:t>Studies in animals have shown evidence of an increased occurrence of fetal damage, the significance of which is considered uncertain in humans.</w:t>
      </w:r>
    </w:p>
  </w:footnote>
  <w:footnote w:id="11">
    <w:p w14:paraId="682229F9" w14:textId="77777777" w:rsidR="00855435" w:rsidRDefault="00855435">
      <w:pPr>
        <w:pStyle w:val="FootnoteText"/>
      </w:pPr>
      <w:r>
        <w:rPr>
          <w:rStyle w:val="FootnoteReference"/>
        </w:rPr>
        <w:footnoteRef/>
      </w:r>
      <w:r>
        <w:t xml:space="preserve"> </w:t>
      </w:r>
      <w:r w:rsidRPr="00AC6F69">
        <w:t>The UHDRS Total Functional Capacity scale assesses how people with HD manage their work, finances, daily living, domestic chores, and their care arrangements. The UHDRS also includes an independence scale, and a 25-item yes/no functional assessment.</w:t>
      </w:r>
    </w:p>
  </w:footnote>
  <w:footnote w:id="12">
    <w:p w14:paraId="01B136F0" w14:textId="77777777" w:rsidR="00855435" w:rsidRDefault="00855435">
      <w:pPr>
        <w:pStyle w:val="FootnoteText"/>
      </w:pPr>
      <w:r>
        <w:rPr>
          <w:rStyle w:val="FootnoteReference"/>
        </w:rPr>
        <w:footnoteRef/>
      </w:r>
      <w:r>
        <w:t xml:space="preserve"> </w:t>
      </w:r>
      <w:r>
        <w:rPr>
          <w:color w:val="000000"/>
          <w:shd w:val="clear" w:color="auto" w:fill="FFFFFF"/>
        </w:rPr>
        <w:t>The Hospital Anxiety and Depression Scale (HADS) is a self-assessment questionnaire that has been found to be a reliable instrument for detecting states of anxiety and depression in the setting of hospital outpatient clinic.</w:t>
      </w:r>
    </w:p>
  </w:footnote>
  <w:footnote w:id="13">
    <w:p w14:paraId="069543DF" w14:textId="05E450AE" w:rsidR="00855435" w:rsidRDefault="00855435">
      <w:pPr>
        <w:pStyle w:val="FootnoteText"/>
      </w:pPr>
      <w:r>
        <w:rPr>
          <w:rStyle w:val="FootnoteReference"/>
        </w:rPr>
        <w:footnoteRef/>
      </w:r>
      <w:r>
        <w:t xml:space="preserve"> </w:t>
      </w:r>
      <w:r w:rsidRPr="003D4C6F">
        <w:t xml:space="preserve">The </w:t>
      </w:r>
      <w:r>
        <w:t xml:space="preserve">SDQ is </w:t>
      </w:r>
      <w:r w:rsidRPr="00054E1C">
        <w:t>designed and validated for detecting swallowing problems among patients with Parkinson's disease and was now applied for identifying patients with dysphagia associated with various other aetiologies</w:t>
      </w:r>
      <w:r>
        <w:t>.</w:t>
      </w:r>
    </w:p>
  </w:footnote>
  <w:footnote w:id="14">
    <w:p w14:paraId="27597BB6" w14:textId="77777777" w:rsidR="00855435" w:rsidRDefault="00855435">
      <w:pPr>
        <w:pStyle w:val="FootnoteText"/>
      </w:pPr>
      <w:r>
        <w:rPr>
          <w:rStyle w:val="FootnoteReference"/>
        </w:rPr>
        <w:footnoteRef/>
      </w:r>
      <w:r>
        <w:t xml:space="preserve"> </w:t>
      </w:r>
      <w:r w:rsidRPr="003D4C6F">
        <w:t>Unified Parkinson's Disease Rating Scale (UPDRS) is a rating tool used to gauge the severity and progression of Parkinson’s disease in patients</w:t>
      </w:r>
    </w:p>
  </w:footnote>
  <w:footnote w:id="15">
    <w:p w14:paraId="2EEBBA58" w14:textId="77777777" w:rsidR="00855435" w:rsidRDefault="00855435">
      <w:pPr>
        <w:pStyle w:val="FootnoteText"/>
      </w:pPr>
      <w:r>
        <w:rPr>
          <w:rStyle w:val="FootnoteReference"/>
        </w:rPr>
        <w:footnoteRef/>
      </w:r>
      <w:r>
        <w:t xml:space="preserve"> The PGIC is a 7-point Likert Scale, ranging from very much worse to very much improved</w:t>
      </w:r>
    </w:p>
  </w:footnote>
  <w:footnote w:id="16">
    <w:p w14:paraId="7C58F0F2" w14:textId="4512A2EB" w:rsidR="00855435" w:rsidRDefault="00855435">
      <w:pPr>
        <w:pStyle w:val="FootnoteText"/>
      </w:pPr>
      <w:r>
        <w:rPr>
          <w:rStyle w:val="FootnoteReference"/>
        </w:rPr>
        <w:footnoteRef/>
      </w:r>
      <w:r>
        <w:t xml:space="preserve"> Sponsor clarification: Delegate’s comment is based off the interim data (data </w:t>
      </w:r>
      <w:proofErr w:type="spellStart"/>
      <w:r>
        <w:t>cutoff</w:t>
      </w:r>
      <w:proofErr w:type="spellEnd"/>
      <w:r>
        <w:t xml:space="preserve"> date: November 2014). Refer to Question 4 in Question for the sponsor section for further clarification.</w:t>
      </w:r>
    </w:p>
  </w:footnote>
  <w:footnote w:id="17">
    <w:p w14:paraId="24588645" w14:textId="77777777" w:rsidR="00855435" w:rsidRDefault="00855435">
      <w:pPr>
        <w:pStyle w:val="FootnoteText"/>
      </w:pPr>
      <w:r>
        <w:rPr>
          <w:rStyle w:val="FootnoteReference"/>
        </w:rPr>
        <w:footnoteRef/>
      </w:r>
      <w:r>
        <w:t xml:space="preserve"> The AIMS is a 12-item clinician-rated scale to assess severity of dyskinesias (specifically, orofacial movements and extremity and truncal movements) in patients taking neuroleptic medications.</w:t>
      </w:r>
    </w:p>
  </w:footnote>
  <w:footnote w:id="18">
    <w:p w14:paraId="7323BB0D" w14:textId="77777777" w:rsidR="00855435" w:rsidRDefault="00855435">
      <w:pPr>
        <w:pStyle w:val="FootnoteText"/>
      </w:pPr>
      <w:r>
        <w:rPr>
          <w:rStyle w:val="FootnoteReference"/>
        </w:rPr>
        <w:footnoteRef/>
      </w:r>
      <w:r>
        <w:t xml:space="preserve"> T</w:t>
      </w:r>
      <w:r w:rsidRPr="009F2232">
        <w:t xml:space="preserve">he modified </w:t>
      </w:r>
      <w:proofErr w:type="spellStart"/>
      <w:r w:rsidRPr="009F2232">
        <w:t>Craniocervical</w:t>
      </w:r>
      <w:proofErr w:type="spellEnd"/>
      <w:r w:rsidRPr="009F2232">
        <w:t xml:space="preserve"> Dystonia Questionnaire is a </w:t>
      </w:r>
      <w:r>
        <w:t>quality of life</w:t>
      </w:r>
      <w:r w:rsidRPr="009F2232">
        <w:t xml:space="preserve"> questionnaire adapted for use in patients with </w:t>
      </w:r>
      <w:r>
        <w:t>t</w:t>
      </w:r>
      <w:r w:rsidRPr="006E7163">
        <w:t>ardive dyskinesia</w:t>
      </w:r>
      <w:r>
        <w:t>.</w:t>
      </w:r>
    </w:p>
  </w:footnote>
  <w:footnote w:id="19">
    <w:p w14:paraId="73751FBB" w14:textId="22F7E90C" w:rsidR="00855435" w:rsidRDefault="00855435">
      <w:pPr>
        <w:pStyle w:val="FootnoteText"/>
      </w:pPr>
      <w:r>
        <w:rPr>
          <w:rStyle w:val="FootnoteReference"/>
        </w:rPr>
        <w:footnoteRef/>
      </w:r>
      <w:r>
        <w:t xml:space="preserve"> Sponsor clarification: Delegate’s comment is based on interim data (data cut-off date: November 2014).</w:t>
      </w:r>
    </w:p>
  </w:footnote>
  <w:footnote w:id="20">
    <w:p w14:paraId="51DD11C9" w14:textId="77777777" w:rsidR="00855435" w:rsidRDefault="00855435" w:rsidP="00C8762D">
      <w:pPr>
        <w:pStyle w:val="FootnoteText"/>
      </w:pPr>
      <w:r>
        <w:rPr>
          <w:rStyle w:val="FootnoteReference"/>
        </w:rPr>
        <w:footnoteRef/>
      </w:r>
      <w:r>
        <w:t xml:space="preserve"> The </w:t>
      </w:r>
      <w:r w:rsidRPr="00B15438">
        <w:rPr>
          <w:b/>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44F0FCBA" w14:textId="77A56E05" w:rsidR="00855435" w:rsidRPr="00B15438" w:rsidRDefault="00855435" w:rsidP="00C8762D">
      <w:pPr>
        <w:pStyle w:val="FootnoteText"/>
        <w:rPr>
          <w:lang w:val="en-GB"/>
        </w:rPr>
      </w:pPr>
      <w:r>
        <w:t xml:space="preserve">The </w:t>
      </w:r>
      <w:r w:rsidRPr="00B15438">
        <w:rPr>
          <w:b/>
        </w:rPr>
        <w:t>corrected QT interval (QTc)</w:t>
      </w:r>
      <w:r>
        <w:t xml:space="preserve"> estimates the QT interval at a standard heart rate. This allows comparison of QT values over time at different heart rates and improves detection of patients at increased risk of arrhythmias. The </w:t>
      </w:r>
      <w:proofErr w:type="spellStart"/>
      <w:r w:rsidRPr="00B15438">
        <w:rPr>
          <w:b/>
        </w:rPr>
        <w:t>QTcF</w:t>
      </w:r>
      <w:proofErr w:type="spellEnd"/>
      <w:r>
        <w:t xml:space="preserve"> is the QT interval corrected for heart rate according to Fridericia’s formula.</w:t>
      </w:r>
    </w:p>
  </w:footnote>
  <w:footnote w:id="21">
    <w:p w14:paraId="3CCBC9D6" w14:textId="77777777" w:rsidR="00855435" w:rsidRDefault="00855435"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10AEC62" w14:textId="77777777" w:rsidR="00855435" w:rsidRDefault="00855435" w:rsidP="007D53B6">
      <w:pPr>
        <w:pStyle w:val="FootnoteText"/>
      </w:pPr>
      <w:r w:rsidRPr="007D53B6">
        <w:rPr>
          <w:i/>
        </w:rPr>
        <w:t>Routine pharmacovigilance</w:t>
      </w:r>
      <w:r>
        <w:t xml:space="preserve"> practices involve the following activities:</w:t>
      </w:r>
    </w:p>
    <w:p w14:paraId="4B1B5D0B" w14:textId="77777777" w:rsidR="00855435" w:rsidRDefault="00855435" w:rsidP="007D53B6">
      <w:pPr>
        <w:pStyle w:val="FootnoteText"/>
        <w:numPr>
          <w:ilvl w:val="0"/>
          <w:numId w:val="32"/>
        </w:numPr>
        <w:ind w:left="284" w:hanging="284"/>
      </w:pPr>
      <w:r>
        <w:t>All suspected adverse reactions that are reported to the personnel of the company are collected and collated in an accessible manner;</w:t>
      </w:r>
    </w:p>
    <w:p w14:paraId="73CD4922" w14:textId="77777777" w:rsidR="00855435" w:rsidRDefault="00855435" w:rsidP="007D53B6">
      <w:pPr>
        <w:pStyle w:val="FootnoteText"/>
        <w:numPr>
          <w:ilvl w:val="0"/>
          <w:numId w:val="32"/>
        </w:numPr>
        <w:ind w:left="284" w:hanging="284"/>
      </w:pPr>
      <w:r>
        <w:t>Reporting to regulatory authorities;</w:t>
      </w:r>
    </w:p>
    <w:p w14:paraId="257B8AE6" w14:textId="77777777" w:rsidR="00855435" w:rsidRDefault="00855435" w:rsidP="007D53B6">
      <w:pPr>
        <w:pStyle w:val="FootnoteText"/>
        <w:numPr>
          <w:ilvl w:val="0"/>
          <w:numId w:val="32"/>
        </w:numPr>
        <w:ind w:left="284" w:hanging="284"/>
      </w:pPr>
      <w:r>
        <w:t>Continuous monitoring of the safety profiles of approved products including signal detection and updating of labelling;</w:t>
      </w:r>
    </w:p>
    <w:p w14:paraId="0F8C629D" w14:textId="77777777" w:rsidR="00855435" w:rsidRDefault="00855435" w:rsidP="007D53B6">
      <w:pPr>
        <w:pStyle w:val="FootnoteText"/>
        <w:numPr>
          <w:ilvl w:val="0"/>
          <w:numId w:val="32"/>
        </w:numPr>
        <w:ind w:left="284" w:hanging="284"/>
      </w:pPr>
      <w:r>
        <w:t>Submission of PSURs;</w:t>
      </w:r>
    </w:p>
    <w:p w14:paraId="17AFD856" w14:textId="77777777" w:rsidR="00855435" w:rsidRDefault="00855435" w:rsidP="007D53B6">
      <w:pPr>
        <w:pStyle w:val="FootnoteText"/>
        <w:numPr>
          <w:ilvl w:val="0"/>
          <w:numId w:val="32"/>
        </w:numPr>
        <w:ind w:left="284" w:hanging="284"/>
      </w:pPr>
      <w:r>
        <w:t>Meeting other local regulatory agency requirements.</w:t>
      </w:r>
    </w:p>
  </w:footnote>
  <w:footnote w:id="22">
    <w:p w14:paraId="500B10AA" w14:textId="77777777" w:rsidR="00855435" w:rsidRDefault="00855435">
      <w:pPr>
        <w:pStyle w:val="FootnoteText"/>
      </w:pPr>
      <w:r>
        <w:rPr>
          <w:rStyle w:val="FootnoteReference"/>
        </w:rPr>
        <w:footnoteRef/>
      </w:r>
      <w:r>
        <w:t xml:space="preserve"> </w:t>
      </w:r>
      <w:r w:rsidRPr="00A677A7">
        <w:t xml:space="preserve">Tetrabenazine as </w:t>
      </w:r>
      <w:proofErr w:type="spellStart"/>
      <w:r w:rsidRPr="00A677A7">
        <w:t>antichorea</w:t>
      </w:r>
      <w:proofErr w:type="spellEnd"/>
      <w:r w:rsidRPr="00A677A7">
        <w:t xml:space="preserve"> therapy in Huntington disease: a randomized controlled trial. </w:t>
      </w:r>
      <w:r w:rsidRPr="00A677A7">
        <w:rPr>
          <w:i/>
          <w:iCs/>
        </w:rPr>
        <w:t>Neurology</w:t>
      </w:r>
      <w:r w:rsidRPr="00A677A7">
        <w:t>, 2006. 66(3): p. 366-72.</w:t>
      </w:r>
    </w:p>
  </w:footnote>
  <w:footnote w:id="23">
    <w:p w14:paraId="538B3727" w14:textId="77777777" w:rsidR="00855435" w:rsidRDefault="00855435">
      <w:pPr>
        <w:pStyle w:val="FootnoteText"/>
      </w:pPr>
      <w:r>
        <w:rPr>
          <w:rStyle w:val="FootnoteReference"/>
        </w:rPr>
        <w:footnoteRef/>
      </w:r>
      <w:r>
        <w:t xml:space="preserve"> </w:t>
      </w:r>
      <w:r w:rsidRPr="00A677A7">
        <w:t xml:space="preserve">Bashir, H. and J. Jankovic, Treatment options for chorea. </w:t>
      </w:r>
      <w:r w:rsidRPr="00A677A7">
        <w:rPr>
          <w:i/>
          <w:iCs/>
        </w:rPr>
        <w:t xml:space="preserve">Expert Rev </w:t>
      </w:r>
      <w:proofErr w:type="spellStart"/>
      <w:r w:rsidRPr="00A677A7">
        <w:rPr>
          <w:i/>
          <w:iCs/>
        </w:rPr>
        <w:t>Neurother</w:t>
      </w:r>
      <w:proofErr w:type="spellEnd"/>
      <w:r w:rsidRPr="00A677A7">
        <w:t>, 2018. 18(1): p. 51-63.</w:t>
      </w:r>
    </w:p>
  </w:footnote>
  <w:footnote w:id="24">
    <w:p w14:paraId="1ECFB481" w14:textId="77777777" w:rsidR="00855435" w:rsidRDefault="00855435">
      <w:pPr>
        <w:pStyle w:val="FootnoteText"/>
      </w:pPr>
      <w:r>
        <w:rPr>
          <w:rStyle w:val="FootnoteReference"/>
        </w:rPr>
        <w:footnoteRef/>
      </w:r>
      <w:r>
        <w:t xml:space="preserve"> </w:t>
      </w:r>
      <w:r w:rsidRPr="00A677A7">
        <w:t xml:space="preserve">Duma, S.R. and V.S. Fung, Drug-induced movement disorders. Aust </w:t>
      </w:r>
      <w:proofErr w:type="spellStart"/>
      <w:r w:rsidRPr="00A677A7">
        <w:t>Prescr</w:t>
      </w:r>
      <w:proofErr w:type="spellEnd"/>
      <w:r w:rsidRPr="00A677A7">
        <w:t>, 2019. 42(2): p. 56-61.</w:t>
      </w:r>
    </w:p>
  </w:footnote>
  <w:footnote w:id="25">
    <w:p w14:paraId="214C6A78" w14:textId="77777777" w:rsidR="00855435" w:rsidRDefault="00855435">
      <w:pPr>
        <w:pStyle w:val="FootnoteText"/>
      </w:pPr>
      <w:r>
        <w:rPr>
          <w:rStyle w:val="FootnoteReference"/>
        </w:rPr>
        <w:footnoteRef/>
      </w:r>
      <w:r>
        <w:t xml:space="preserve"> </w:t>
      </w:r>
      <w:r w:rsidRPr="00A677A7">
        <w:t xml:space="preserve">Niemann, N. and J. Jankovic, Treatment of Tardive Dyskinesia: A General Overview with Focus on the Vesicular Monoamine Transporter 2 Inhibitors. </w:t>
      </w:r>
      <w:r w:rsidRPr="00A677A7">
        <w:rPr>
          <w:i/>
          <w:iCs/>
        </w:rPr>
        <w:t>Drugs</w:t>
      </w:r>
      <w:r w:rsidRPr="00A677A7">
        <w:t>, 2018. 78(5): p. 525-541</w:t>
      </w:r>
    </w:p>
  </w:footnote>
  <w:footnote w:id="26">
    <w:p w14:paraId="77E56892" w14:textId="702643BE" w:rsidR="00855435" w:rsidRDefault="00855435">
      <w:pPr>
        <w:pStyle w:val="FootnoteText"/>
      </w:pPr>
      <w:r>
        <w:rPr>
          <w:rStyle w:val="FootnoteReference"/>
        </w:rPr>
        <w:footnoteRef/>
      </w:r>
      <w:r>
        <w:t xml:space="preserve"> Refer to Question for sponsor section for further clarification from sponsor.</w:t>
      </w:r>
    </w:p>
  </w:footnote>
  <w:footnote w:id="27">
    <w:p w14:paraId="0B9D3A84" w14:textId="77777777" w:rsidR="00855435" w:rsidRDefault="00855435">
      <w:pPr>
        <w:pStyle w:val="FootnoteText"/>
      </w:pPr>
      <w:r>
        <w:rPr>
          <w:rStyle w:val="FootnoteReference"/>
        </w:rPr>
        <w:footnoteRef/>
      </w:r>
      <w:r>
        <w:t xml:space="preserve"> </w:t>
      </w:r>
      <w:r w:rsidRPr="00A677A7">
        <w:t xml:space="preserve">Roman, O.C., J. Stovall, and D.O. Claassen, Perseveration and Suicide in Huntington's Disease. </w:t>
      </w:r>
      <w:r w:rsidRPr="00A677A7">
        <w:rPr>
          <w:i/>
          <w:iCs/>
        </w:rPr>
        <w:t xml:space="preserve">J </w:t>
      </w:r>
      <w:proofErr w:type="spellStart"/>
      <w:r w:rsidRPr="00A677A7">
        <w:rPr>
          <w:i/>
          <w:iCs/>
        </w:rPr>
        <w:t>Huntingtons</w:t>
      </w:r>
      <w:proofErr w:type="spellEnd"/>
      <w:r w:rsidRPr="00A677A7">
        <w:rPr>
          <w:i/>
          <w:iCs/>
        </w:rPr>
        <w:t xml:space="preserve"> Dis</w:t>
      </w:r>
      <w:r w:rsidRPr="00A677A7">
        <w:t>, 2018. 7(2): p. 185-187.</w:t>
      </w:r>
    </w:p>
  </w:footnote>
  <w:footnote w:id="28">
    <w:p w14:paraId="29DA80EB" w14:textId="77777777" w:rsidR="00855435" w:rsidRDefault="00855435"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E907C3B" w14:textId="77777777" w:rsidR="00855435" w:rsidRPr="00456765" w:rsidRDefault="00855435"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9">
    <w:p w14:paraId="47FABA80" w14:textId="77777777" w:rsidR="00855435" w:rsidRDefault="00855435" w:rsidP="00C34AE8">
      <w:pPr>
        <w:pStyle w:val="FootnoteText"/>
      </w:pPr>
      <w:r>
        <w:rPr>
          <w:rStyle w:val="FootnoteReference"/>
        </w:rPr>
        <w:footnoteRef/>
      </w:r>
      <w:r>
        <w:t xml:space="preserve"> </w:t>
      </w:r>
      <w:proofErr w:type="spellStart"/>
      <w:r>
        <w:t>Barkay</w:t>
      </w:r>
      <w:proofErr w:type="spellEnd"/>
      <w:r>
        <w:t xml:space="preserve">. H., et al. (2020). </w:t>
      </w:r>
      <w:r w:rsidRPr="00655597">
        <w:t xml:space="preserve">Minimal Clinically Important Difference in AIMS Score Based on Clinical and Patient Global Impression of Change in Patients With Tardive Dyskinesia Treated With </w:t>
      </w:r>
      <w:proofErr w:type="spellStart"/>
      <w:r w:rsidRPr="00655597">
        <w:t>Deutetrabenazine</w:t>
      </w:r>
      <w:proofErr w:type="spellEnd"/>
      <w:r w:rsidRPr="00655597">
        <w:t xml:space="preserve"> (1916)</w:t>
      </w:r>
      <w:r>
        <w:t xml:space="preserve">. </w:t>
      </w:r>
      <w:r w:rsidRPr="00655597">
        <w:rPr>
          <w:i/>
        </w:rPr>
        <w:t>Neurology</w:t>
      </w:r>
      <w:r>
        <w:t>; 94 (15 Supplement).</w:t>
      </w:r>
    </w:p>
  </w:footnote>
  <w:footnote w:id="30">
    <w:p w14:paraId="78D19CE2" w14:textId="77777777" w:rsidR="00855435" w:rsidRPr="00655597" w:rsidRDefault="00855435" w:rsidP="00C34AE8">
      <w:pPr>
        <w:pStyle w:val="FootnoteText"/>
      </w:pPr>
      <w:r>
        <w:rPr>
          <w:rStyle w:val="FootnoteReference"/>
        </w:rPr>
        <w:footnoteRef/>
      </w:r>
      <w:r>
        <w:t xml:space="preserve"> </w:t>
      </w:r>
      <w:proofErr w:type="spellStart"/>
      <w:r>
        <w:t>Kurlan</w:t>
      </w:r>
      <w:proofErr w:type="spellEnd"/>
      <w:r>
        <w:t>, R., et al (2018). E</w:t>
      </w:r>
      <w:r w:rsidRPr="00655597">
        <w:t>stimation of an MCID for AIMS Total Score Change in Tardive Dyskinesia (P4.074)</w:t>
      </w:r>
      <w:r>
        <w:t xml:space="preserve">. </w:t>
      </w:r>
      <w:r>
        <w:rPr>
          <w:i/>
        </w:rPr>
        <w:t>Neurology;</w:t>
      </w:r>
      <w:r>
        <w:t xml:space="preserve"> 90 (15 Supplement).</w:t>
      </w:r>
    </w:p>
  </w:footnote>
  <w:footnote w:id="31">
    <w:p w14:paraId="1C7C88E2" w14:textId="77777777" w:rsidR="00855435" w:rsidRPr="00C34AE8" w:rsidRDefault="00855435" w:rsidP="00C34AE8">
      <w:pPr>
        <w:pStyle w:val="FootnoteText"/>
      </w:pPr>
      <w:r w:rsidRPr="00C34AE8">
        <w:footnoteRef/>
      </w:r>
      <w:r w:rsidRPr="00C34AE8">
        <w:t xml:space="preserve"> Claassen DO, Carroll B, De Boer LM, Wu E, </w:t>
      </w:r>
      <w:proofErr w:type="spellStart"/>
      <w:r w:rsidRPr="00C34AE8">
        <w:t>Ayyagari</w:t>
      </w:r>
      <w:proofErr w:type="spellEnd"/>
      <w:r w:rsidRPr="00C34AE8">
        <w:t xml:space="preserve"> R, Gandhi S, </w:t>
      </w:r>
      <w:proofErr w:type="spellStart"/>
      <w:r w:rsidRPr="00C34AE8">
        <w:t>Stamler</w:t>
      </w:r>
      <w:proofErr w:type="spellEnd"/>
      <w:r w:rsidRPr="00C34AE8">
        <w:t xml:space="preserve"> D. (2017). Indirect tolerability comparison of </w:t>
      </w:r>
      <w:proofErr w:type="spellStart"/>
      <w:r w:rsidRPr="00C34AE8">
        <w:t>Deutetrabenazine</w:t>
      </w:r>
      <w:proofErr w:type="spellEnd"/>
      <w:r w:rsidRPr="00C34AE8">
        <w:t xml:space="preserve"> and Tetrabenazine for Huntington disease. J Clin Mov Disord.1;4:3. </w:t>
      </w:r>
      <w:proofErr w:type="spellStart"/>
      <w:r w:rsidRPr="00C34AE8">
        <w:t>doi</w:t>
      </w:r>
      <w:proofErr w:type="spellEnd"/>
      <w:r w:rsidRPr="00C34AE8">
        <w:t>: 10.1186/s40734-017-0051-5. PMID: 28265459; PMCID: PMC5331691.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00A62" w14:textId="77777777" w:rsidR="00855435" w:rsidRDefault="00855435"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996DA" w14:textId="77777777" w:rsidR="00855435" w:rsidRDefault="00855435">
    <w:pPr>
      <w:rPr>
        <w:noProof/>
        <w:lang w:eastAsia="en-AU"/>
      </w:rPr>
    </w:pPr>
    <w:r w:rsidRPr="00347824">
      <w:rPr>
        <w:noProof/>
        <w:lang w:val="en-GB" w:eastAsia="en-GB"/>
      </w:rPr>
      <w:drawing>
        <wp:anchor distT="0" distB="0" distL="114300" distR="114300" simplePos="0" relativeHeight="251659264" behindDoc="1" locked="0" layoutInCell="1" allowOverlap="1" wp14:anchorId="350B1223" wp14:editId="04C3AABA">
          <wp:simplePos x="0" y="0"/>
          <wp:positionH relativeFrom="column">
            <wp:posOffset>-1089660</wp:posOffset>
          </wp:positionH>
          <wp:positionV relativeFrom="paragraph">
            <wp:posOffset>-585470</wp:posOffset>
          </wp:positionV>
          <wp:extent cx="7572375" cy="10706100"/>
          <wp:effectExtent l="19050" t="0" r="0" b="0"/>
          <wp:wrapNone/>
          <wp:docPr id="3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36D20C8" w14:textId="77777777" w:rsidR="00855435" w:rsidRDefault="00855435"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2CA89" w14:textId="77777777" w:rsidR="00855435" w:rsidRDefault="008554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A658A" w14:textId="77777777" w:rsidR="00855435" w:rsidRDefault="00855435">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A173" w14:textId="77777777" w:rsidR="00855435" w:rsidRDefault="0085543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6A04" w14:textId="77777777" w:rsidR="00855435" w:rsidRDefault="008554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0A927" w14:textId="77777777" w:rsidR="00855435" w:rsidRDefault="00855435"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B98E3" w14:textId="77777777" w:rsidR="00855435" w:rsidRDefault="00855435" w:rsidP="006E08B3">
    <w:r>
      <w:t>Therapeutic Goods Administration</w:t>
    </w:r>
  </w:p>
  <w:p w14:paraId="30552358" w14:textId="77777777" w:rsidR="00855435" w:rsidRDefault="00855435"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B1B87C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4E5000C"/>
    <w:multiLevelType w:val="hybridMultilevel"/>
    <w:tmpl w:val="D296616A"/>
    <w:lvl w:ilvl="0" w:tplc="F874326C">
      <w:start w:val="3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EBE0757"/>
    <w:multiLevelType w:val="hybridMultilevel"/>
    <w:tmpl w:val="D7626190"/>
    <w:lvl w:ilvl="0" w:tplc="D3AAD25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2"/>
  </w:num>
  <w:num w:numId="29">
    <w:abstractNumId w:val="7"/>
  </w:num>
  <w:num w:numId="30">
    <w:abstractNumId w:val="9"/>
  </w:num>
  <w:num w:numId="31">
    <w:abstractNumId w:val="5"/>
  </w:num>
  <w:num w:numId="32">
    <w:abstractNumId w:val="11"/>
  </w:num>
  <w:num w:numId="33">
    <w:abstractNumId w:val="4"/>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4F"/>
    <w:rsid w:val="00002031"/>
    <w:rsid w:val="00004734"/>
    <w:rsid w:val="00006B22"/>
    <w:rsid w:val="00006FAB"/>
    <w:rsid w:val="00011B6E"/>
    <w:rsid w:val="0001276A"/>
    <w:rsid w:val="000246AE"/>
    <w:rsid w:val="00025C67"/>
    <w:rsid w:val="00025D36"/>
    <w:rsid w:val="00026004"/>
    <w:rsid w:val="00044772"/>
    <w:rsid w:val="0004541C"/>
    <w:rsid w:val="00051485"/>
    <w:rsid w:val="00054E1C"/>
    <w:rsid w:val="0005559E"/>
    <w:rsid w:val="000604D6"/>
    <w:rsid w:val="00064F8D"/>
    <w:rsid w:val="000734D8"/>
    <w:rsid w:val="00077775"/>
    <w:rsid w:val="00081C54"/>
    <w:rsid w:val="00090471"/>
    <w:rsid w:val="00096AA7"/>
    <w:rsid w:val="000A03BA"/>
    <w:rsid w:val="000A18C6"/>
    <w:rsid w:val="000A3AED"/>
    <w:rsid w:val="000B046B"/>
    <w:rsid w:val="000B3532"/>
    <w:rsid w:val="000B3A75"/>
    <w:rsid w:val="000B7D5C"/>
    <w:rsid w:val="000C00C2"/>
    <w:rsid w:val="000C3739"/>
    <w:rsid w:val="000C59C0"/>
    <w:rsid w:val="000C690F"/>
    <w:rsid w:val="000D1295"/>
    <w:rsid w:val="000D391B"/>
    <w:rsid w:val="000D3D6D"/>
    <w:rsid w:val="000D4FC7"/>
    <w:rsid w:val="000D7578"/>
    <w:rsid w:val="000E34BC"/>
    <w:rsid w:val="000E40C9"/>
    <w:rsid w:val="000E41EC"/>
    <w:rsid w:val="000E6196"/>
    <w:rsid w:val="000F2D00"/>
    <w:rsid w:val="000F4869"/>
    <w:rsid w:val="000F5B42"/>
    <w:rsid w:val="000F6E6F"/>
    <w:rsid w:val="0010601F"/>
    <w:rsid w:val="001062E4"/>
    <w:rsid w:val="0010788A"/>
    <w:rsid w:val="00107A31"/>
    <w:rsid w:val="00110EA5"/>
    <w:rsid w:val="00112F56"/>
    <w:rsid w:val="00115C8C"/>
    <w:rsid w:val="001161BC"/>
    <w:rsid w:val="001218E5"/>
    <w:rsid w:val="00122C2E"/>
    <w:rsid w:val="00124ACD"/>
    <w:rsid w:val="00125318"/>
    <w:rsid w:val="001305A2"/>
    <w:rsid w:val="00133238"/>
    <w:rsid w:val="00133A1B"/>
    <w:rsid w:val="00134EB5"/>
    <w:rsid w:val="00135E9F"/>
    <w:rsid w:val="0014197B"/>
    <w:rsid w:val="001428CE"/>
    <w:rsid w:val="001447CD"/>
    <w:rsid w:val="001516B1"/>
    <w:rsid w:val="00154EBB"/>
    <w:rsid w:val="00155694"/>
    <w:rsid w:val="00156316"/>
    <w:rsid w:val="00161181"/>
    <w:rsid w:val="00162D14"/>
    <w:rsid w:val="00163780"/>
    <w:rsid w:val="00164B35"/>
    <w:rsid w:val="00165389"/>
    <w:rsid w:val="0017450E"/>
    <w:rsid w:val="0017693F"/>
    <w:rsid w:val="0018110E"/>
    <w:rsid w:val="00181684"/>
    <w:rsid w:val="001843C6"/>
    <w:rsid w:val="001850E0"/>
    <w:rsid w:val="0018753B"/>
    <w:rsid w:val="001A03AF"/>
    <w:rsid w:val="001A16F8"/>
    <w:rsid w:val="001A2158"/>
    <w:rsid w:val="001A525F"/>
    <w:rsid w:val="001A52C8"/>
    <w:rsid w:val="001B09F9"/>
    <w:rsid w:val="001B5C90"/>
    <w:rsid w:val="001B6448"/>
    <w:rsid w:val="001C0476"/>
    <w:rsid w:val="001C32CD"/>
    <w:rsid w:val="001C78FE"/>
    <w:rsid w:val="001D2984"/>
    <w:rsid w:val="001E07CF"/>
    <w:rsid w:val="001E59F1"/>
    <w:rsid w:val="001E5CB0"/>
    <w:rsid w:val="001E74AA"/>
    <w:rsid w:val="001F2CEE"/>
    <w:rsid w:val="001F49EB"/>
    <w:rsid w:val="001F5345"/>
    <w:rsid w:val="001F6CBA"/>
    <w:rsid w:val="00201D4E"/>
    <w:rsid w:val="002076C9"/>
    <w:rsid w:val="00215030"/>
    <w:rsid w:val="00215AA2"/>
    <w:rsid w:val="00220B8A"/>
    <w:rsid w:val="002241E4"/>
    <w:rsid w:val="002257F3"/>
    <w:rsid w:val="00226F61"/>
    <w:rsid w:val="00231F00"/>
    <w:rsid w:val="00233456"/>
    <w:rsid w:val="002339A5"/>
    <w:rsid w:val="00243906"/>
    <w:rsid w:val="00250271"/>
    <w:rsid w:val="00257848"/>
    <w:rsid w:val="002578E8"/>
    <w:rsid w:val="002619A7"/>
    <w:rsid w:val="0026689A"/>
    <w:rsid w:val="0027084A"/>
    <w:rsid w:val="00280265"/>
    <w:rsid w:val="002821DA"/>
    <w:rsid w:val="00286434"/>
    <w:rsid w:val="00286C59"/>
    <w:rsid w:val="002911BA"/>
    <w:rsid w:val="00291957"/>
    <w:rsid w:val="002942D1"/>
    <w:rsid w:val="0029501A"/>
    <w:rsid w:val="0029562B"/>
    <w:rsid w:val="002A3721"/>
    <w:rsid w:val="002A6541"/>
    <w:rsid w:val="002B1638"/>
    <w:rsid w:val="002B2BCE"/>
    <w:rsid w:val="002B3624"/>
    <w:rsid w:val="002D0952"/>
    <w:rsid w:val="002E40B3"/>
    <w:rsid w:val="002E4C9A"/>
    <w:rsid w:val="002F015C"/>
    <w:rsid w:val="002F0523"/>
    <w:rsid w:val="002F11F8"/>
    <w:rsid w:val="002F3F56"/>
    <w:rsid w:val="002F44B5"/>
    <w:rsid w:val="002F5122"/>
    <w:rsid w:val="00302EA0"/>
    <w:rsid w:val="00304C53"/>
    <w:rsid w:val="00305843"/>
    <w:rsid w:val="00311AC0"/>
    <w:rsid w:val="003176FC"/>
    <w:rsid w:val="00324E45"/>
    <w:rsid w:val="0032583B"/>
    <w:rsid w:val="00327465"/>
    <w:rsid w:val="00327883"/>
    <w:rsid w:val="00335504"/>
    <w:rsid w:val="00337C11"/>
    <w:rsid w:val="00340C18"/>
    <w:rsid w:val="0034297A"/>
    <w:rsid w:val="003442FD"/>
    <w:rsid w:val="00347824"/>
    <w:rsid w:val="00350567"/>
    <w:rsid w:val="003517E8"/>
    <w:rsid w:val="003521E8"/>
    <w:rsid w:val="00360458"/>
    <w:rsid w:val="00370CE3"/>
    <w:rsid w:val="003728F3"/>
    <w:rsid w:val="003735BC"/>
    <w:rsid w:val="0037496E"/>
    <w:rsid w:val="00383221"/>
    <w:rsid w:val="00386150"/>
    <w:rsid w:val="003874CE"/>
    <w:rsid w:val="00390900"/>
    <w:rsid w:val="003A3F7F"/>
    <w:rsid w:val="003A7F6C"/>
    <w:rsid w:val="003B3689"/>
    <w:rsid w:val="003B4D60"/>
    <w:rsid w:val="003B6D25"/>
    <w:rsid w:val="003B7E39"/>
    <w:rsid w:val="003C4A37"/>
    <w:rsid w:val="003C58DC"/>
    <w:rsid w:val="003D1E62"/>
    <w:rsid w:val="003D4C6F"/>
    <w:rsid w:val="003D6201"/>
    <w:rsid w:val="003E0B99"/>
    <w:rsid w:val="003E2486"/>
    <w:rsid w:val="003E2626"/>
    <w:rsid w:val="003E3208"/>
    <w:rsid w:val="003E6F15"/>
    <w:rsid w:val="003E77B3"/>
    <w:rsid w:val="003F0A4F"/>
    <w:rsid w:val="003F0B04"/>
    <w:rsid w:val="0040134E"/>
    <w:rsid w:val="0042107E"/>
    <w:rsid w:val="00432DBE"/>
    <w:rsid w:val="004334C7"/>
    <w:rsid w:val="004368A3"/>
    <w:rsid w:val="00440A2D"/>
    <w:rsid w:val="00441C3F"/>
    <w:rsid w:val="0044286B"/>
    <w:rsid w:val="00444D1A"/>
    <w:rsid w:val="0045186A"/>
    <w:rsid w:val="00454D43"/>
    <w:rsid w:val="004564A7"/>
    <w:rsid w:val="00456765"/>
    <w:rsid w:val="00460036"/>
    <w:rsid w:val="004617BF"/>
    <w:rsid w:val="00463658"/>
    <w:rsid w:val="004637A0"/>
    <w:rsid w:val="004722CC"/>
    <w:rsid w:val="0047792E"/>
    <w:rsid w:val="00481F7F"/>
    <w:rsid w:val="00490483"/>
    <w:rsid w:val="00492057"/>
    <w:rsid w:val="004936E4"/>
    <w:rsid w:val="00494E60"/>
    <w:rsid w:val="00497487"/>
    <w:rsid w:val="004A2771"/>
    <w:rsid w:val="004A2A96"/>
    <w:rsid w:val="004A6189"/>
    <w:rsid w:val="004A7390"/>
    <w:rsid w:val="004B4533"/>
    <w:rsid w:val="004B7B76"/>
    <w:rsid w:val="004C239D"/>
    <w:rsid w:val="004C2C57"/>
    <w:rsid w:val="004C2DCA"/>
    <w:rsid w:val="004C4625"/>
    <w:rsid w:val="004C4FBE"/>
    <w:rsid w:val="004C59D9"/>
    <w:rsid w:val="004C61D2"/>
    <w:rsid w:val="004C6C6E"/>
    <w:rsid w:val="004E2281"/>
    <w:rsid w:val="004F0C4A"/>
    <w:rsid w:val="004F0F38"/>
    <w:rsid w:val="004F3BB3"/>
    <w:rsid w:val="004F42B4"/>
    <w:rsid w:val="004F47D6"/>
    <w:rsid w:val="004F7230"/>
    <w:rsid w:val="004F7FB3"/>
    <w:rsid w:val="00500337"/>
    <w:rsid w:val="00501921"/>
    <w:rsid w:val="0051207D"/>
    <w:rsid w:val="00517749"/>
    <w:rsid w:val="005267B3"/>
    <w:rsid w:val="00530354"/>
    <w:rsid w:val="00530C09"/>
    <w:rsid w:val="00530E71"/>
    <w:rsid w:val="0053625B"/>
    <w:rsid w:val="005434C6"/>
    <w:rsid w:val="00543B39"/>
    <w:rsid w:val="00546154"/>
    <w:rsid w:val="00550096"/>
    <w:rsid w:val="00555280"/>
    <w:rsid w:val="00557FF9"/>
    <w:rsid w:val="00562327"/>
    <w:rsid w:val="005711D5"/>
    <w:rsid w:val="005760C1"/>
    <w:rsid w:val="00576378"/>
    <w:rsid w:val="00577130"/>
    <w:rsid w:val="00577945"/>
    <w:rsid w:val="00577E38"/>
    <w:rsid w:val="00580036"/>
    <w:rsid w:val="00585322"/>
    <w:rsid w:val="005857C6"/>
    <w:rsid w:val="00592F6E"/>
    <w:rsid w:val="00593AD1"/>
    <w:rsid w:val="005A68B6"/>
    <w:rsid w:val="005B6277"/>
    <w:rsid w:val="005C5570"/>
    <w:rsid w:val="005C5B66"/>
    <w:rsid w:val="005C79A4"/>
    <w:rsid w:val="005D5442"/>
    <w:rsid w:val="005F462B"/>
    <w:rsid w:val="005F4817"/>
    <w:rsid w:val="00603F32"/>
    <w:rsid w:val="00605AD4"/>
    <w:rsid w:val="006136D7"/>
    <w:rsid w:val="00622E15"/>
    <w:rsid w:val="00625A6E"/>
    <w:rsid w:val="00632398"/>
    <w:rsid w:val="00640FC3"/>
    <w:rsid w:val="00642020"/>
    <w:rsid w:val="006430EE"/>
    <w:rsid w:val="00644716"/>
    <w:rsid w:val="00646801"/>
    <w:rsid w:val="0065337B"/>
    <w:rsid w:val="0065419D"/>
    <w:rsid w:val="006603BC"/>
    <w:rsid w:val="006604D8"/>
    <w:rsid w:val="00661ED6"/>
    <w:rsid w:val="00664A5B"/>
    <w:rsid w:val="0066735C"/>
    <w:rsid w:val="00673133"/>
    <w:rsid w:val="006763D2"/>
    <w:rsid w:val="0067660A"/>
    <w:rsid w:val="00680C08"/>
    <w:rsid w:val="006847A7"/>
    <w:rsid w:val="00686CA2"/>
    <w:rsid w:val="006916A0"/>
    <w:rsid w:val="006931B1"/>
    <w:rsid w:val="006A15C0"/>
    <w:rsid w:val="006A58A8"/>
    <w:rsid w:val="006B55D3"/>
    <w:rsid w:val="006C0AEF"/>
    <w:rsid w:val="006C3E2A"/>
    <w:rsid w:val="006C642F"/>
    <w:rsid w:val="006D03E5"/>
    <w:rsid w:val="006D5D3E"/>
    <w:rsid w:val="006E08B3"/>
    <w:rsid w:val="006E36F0"/>
    <w:rsid w:val="006F115A"/>
    <w:rsid w:val="006F17AC"/>
    <w:rsid w:val="006F25B8"/>
    <w:rsid w:val="006F272B"/>
    <w:rsid w:val="006F572E"/>
    <w:rsid w:val="007046D6"/>
    <w:rsid w:val="00705DB0"/>
    <w:rsid w:val="00722B57"/>
    <w:rsid w:val="00726614"/>
    <w:rsid w:val="00730F8A"/>
    <w:rsid w:val="00735A8C"/>
    <w:rsid w:val="0074253D"/>
    <w:rsid w:val="00743FF5"/>
    <w:rsid w:val="00744121"/>
    <w:rsid w:val="0074429B"/>
    <w:rsid w:val="007476E4"/>
    <w:rsid w:val="00760D7F"/>
    <w:rsid w:val="007615BC"/>
    <w:rsid w:val="00762F05"/>
    <w:rsid w:val="007652FF"/>
    <w:rsid w:val="00770CAC"/>
    <w:rsid w:val="00770EF1"/>
    <w:rsid w:val="00773EF7"/>
    <w:rsid w:val="00774E1D"/>
    <w:rsid w:val="00775082"/>
    <w:rsid w:val="007765D8"/>
    <w:rsid w:val="0077675A"/>
    <w:rsid w:val="00780355"/>
    <w:rsid w:val="00780FEE"/>
    <w:rsid w:val="007819FD"/>
    <w:rsid w:val="0078259A"/>
    <w:rsid w:val="00785717"/>
    <w:rsid w:val="00785721"/>
    <w:rsid w:val="0079114E"/>
    <w:rsid w:val="00792EA7"/>
    <w:rsid w:val="00793A59"/>
    <w:rsid w:val="00797379"/>
    <w:rsid w:val="007A235E"/>
    <w:rsid w:val="007A381E"/>
    <w:rsid w:val="007A46F5"/>
    <w:rsid w:val="007A6505"/>
    <w:rsid w:val="007B6132"/>
    <w:rsid w:val="007B6E9F"/>
    <w:rsid w:val="007C1216"/>
    <w:rsid w:val="007C1AF7"/>
    <w:rsid w:val="007C406E"/>
    <w:rsid w:val="007C6B9B"/>
    <w:rsid w:val="007C7A7C"/>
    <w:rsid w:val="007D53B6"/>
    <w:rsid w:val="007E2679"/>
    <w:rsid w:val="00805D27"/>
    <w:rsid w:val="00806DCB"/>
    <w:rsid w:val="00821776"/>
    <w:rsid w:val="00830746"/>
    <w:rsid w:val="008321F5"/>
    <w:rsid w:val="00832260"/>
    <w:rsid w:val="00832369"/>
    <w:rsid w:val="00834660"/>
    <w:rsid w:val="00836BC2"/>
    <w:rsid w:val="00841696"/>
    <w:rsid w:val="0085156D"/>
    <w:rsid w:val="00852B28"/>
    <w:rsid w:val="00855435"/>
    <w:rsid w:val="0085641B"/>
    <w:rsid w:val="00857136"/>
    <w:rsid w:val="00875A6B"/>
    <w:rsid w:val="00883E39"/>
    <w:rsid w:val="00885B11"/>
    <w:rsid w:val="00886D15"/>
    <w:rsid w:val="00887DD8"/>
    <w:rsid w:val="00891BA9"/>
    <w:rsid w:val="00896018"/>
    <w:rsid w:val="008960DD"/>
    <w:rsid w:val="0089635C"/>
    <w:rsid w:val="0089755D"/>
    <w:rsid w:val="00897795"/>
    <w:rsid w:val="008A1409"/>
    <w:rsid w:val="008A1C6E"/>
    <w:rsid w:val="008A2B9D"/>
    <w:rsid w:val="008A3D9F"/>
    <w:rsid w:val="008A5E0B"/>
    <w:rsid w:val="008A6D59"/>
    <w:rsid w:val="008B4B03"/>
    <w:rsid w:val="008B596F"/>
    <w:rsid w:val="008B706C"/>
    <w:rsid w:val="008C159F"/>
    <w:rsid w:val="008C1623"/>
    <w:rsid w:val="008C1850"/>
    <w:rsid w:val="008C1C2B"/>
    <w:rsid w:val="008C51A9"/>
    <w:rsid w:val="008D3F4B"/>
    <w:rsid w:val="008E1406"/>
    <w:rsid w:val="008E5217"/>
    <w:rsid w:val="008E548B"/>
    <w:rsid w:val="008E7846"/>
    <w:rsid w:val="008F02E5"/>
    <w:rsid w:val="008F1CCC"/>
    <w:rsid w:val="008F2967"/>
    <w:rsid w:val="008F2F6C"/>
    <w:rsid w:val="008F522B"/>
    <w:rsid w:val="008F6943"/>
    <w:rsid w:val="00902A21"/>
    <w:rsid w:val="00907650"/>
    <w:rsid w:val="0091523F"/>
    <w:rsid w:val="00920330"/>
    <w:rsid w:val="00921564"/>
    <w:rsid w:val="009219D7"/>
    <w:rsid w:val="00922D53"/>
    <w:rsid w:val="00923B70"/>
    <w:rsid w:val="00924482"/>
    <w:rsid w:val="00926021"/>
    <w:rsid w:val="00930237"/>
    <w:rsid w:val="00931F3C"/>
    <w:rsid w:val="00936A2C"/>
    <w:rsid w:val="00937C17"/>
    <w:rsid w:val="00940A89"/>
    <w:rsid w:val="00941434"/>
    <w:rsid w:val="00941F77"/>
    <w:rsid w:val="00946EA5"/>
    <w:rsid w:val="00950CFF"/>
    <w:rsid w:val="00950E86"/>
    <w:rsid w:val="00960520"/>
    <w:rsid w:val="00963C08"/>
    <w:rsid w:val="00971B3C"/>
    <w:rsid w:val="009752A5"/>
    <w:rsid w:val="00977AD4"/>
    <w:rsid w:val="00977CD4"/>
    <w:rsid w:val="0098585A"/>
    <w:rsid w:val="009A4CED"/>
    <w:rsid w:val="009A690D"/>
    <w:rsid w:val="009B1D12"/>
    <w:rsid w:val="009B416B"/>
    <w:rsid w:val="009C3E1F"/>
    <w:rsid w:val="009C4BD5"/>
    <w:rsid w:val="009D2918"/>
    <w:rsid w:val="009D7B77"/>
    <w:rsid w:val="009E0063"/>
    <w:rsid w:val="009E0BB0"/>
    <w:rsid w:val="009E3FBB"/>
    <w:rsid w:val="009F1D9D"/>
    <w:rsid w:val="009F2232"/>
    <w:rsid w:val="009F22ED"/>
    <w:rsid w:val="009F3C7A"/>
    <w:rsid w:val="009F7353"/>
    <w:rsid w:val="00A04F85"/>
    <w:rsid w:val="00A05FA4"/>
    <w:rsid w:val="00A102E4"/>
    <w:rsid w:val="00A1219C"/>
    <w:rsid w:val="00A12C42"/>
    <w:rsid w:val="00A14DF7"/>
    <w:rsid w:val="00A166A5"/>
    <w:rsid w:val="00A2195F"/>
    <w:rsid w:val="00A22D57"/>
    <w:rsid w:val="00A26052"/>
    <w:rsid w:val="00A3246D"/>
    <w:rsid w:val="00A36FA7"/>
    <w:rsid w:val="00A44DDB"/>
    <w:rsid w:val="00A475B7"/>
    <w:rsid w:val="00A47AF7"/>
    <w:rsid w:val="00A47C3E"/>
    <w:rsid w:val="00A47E75"/>
    <w:rsid w:val="00A50226"/>
    <w:rsid w:val="00A60BAD"/>
    <w:rsid w:val="00A65424"/>
    <w:rsid w:val="00A673BF"/>
    <w:rsid w:val="00A677A7"/>
    <w:rsid w:val="00A72361"/>
    <w:rsid w:val="00A7445C"/>
    <w:rsid w:val="00A77F87"/>
    <w:rsid w:val="00A80859"/>
    <w:rsid w:val="00A80B5B"/>
    <w:rsid w:val="00A82477"/>
    <w:rsid w:val="00A84E36"/>
    <w:rsid w:val="00A956A2"/>
    <w:rsid w:val="00A964D1"/>
    <w:rsid w:val="00AA0ED0"/>
    <w:rsid w:val="00AC2B40"/>
    <w:rsid w:val="00AC2BB2"/>
    <w:rsid w:val="00AC2C3C"/>
    <w:rsid w:val="00AC512D"/>
    <w:rsid w:val="00AC6F69"/>
    <w:rsid w:val="00AD0083"/>
    <w:rsid w:val="00AD3935"/>
    <w:rsid w:val="00AD499E"/>
    <w:rsid w:val="00AE3FD6"/>
    <w:rsid w:val="00AE65EB"/>
    <w:rsid w:val="00AE67A7"/>
    <w:rsid w:val="00AF1D94"/>
    <w:rsid w:val="00AF2CCF"/>
    <w:rsid w:val="00AF60C5"/>
    <w:rsid w:val="00B009C6"/>
    <w:rsid w:val="00B01548"/>
    <w:rsid w:val="00B119BC"/>
    <w:rsid w:val="00B130C5"/>
    <w:rsid w:val="00B13EBD"/>
    <w:rsid w:val="00B140FB"/>
    <w:rsid w:val="00B15438"/>
    <w:rsid w:val="00B21D29"/>
    <w:rsid w:val="00B226F7"/>
    <w:rsid w:val="00B25034"/>
    <w:rsid w:val="00B33588"/>
    <w:rsid w:val="00B33863"/>
    <w:rsid w:val="00B37D17"/>
    <w:rsid w:val="00B4175E"/>
    <w:rsid w:val="00B41AF8"/>
    <w:rsid w:val="00B41C85"/>
    <w:rsid w:val="00B43193"/>
    <w:rsid w:val="00B437C5"/>
    <w:rsid w:val="00B452CE"/>
    <w:rsid w:val="00B54C25"/>
    <w:rsid w:val="00B7031F"/>
    <w:rsid w:val="00B76B91"/>
    <w:rsid w:val="00B77EB1"/>
    <w:rsid w:val="00B811C6"/>
    <w:rsid w:val="00B855B0"/>
    <w:rsid w:val="00B92E08"/>
    <w:rsid w:val="00B94C03"/>
    <w:rsid w:val="00BA0108"/>
    <w:rsid w:val="00BA07DA"/>
    <w:rsid w:val="00BA0F7C"/>
    <w:rsid w:val="00BA2678"/>
    <w:rsid w:val="00BC622A"/>
    <w:rsid w:val="00BE0A78"/>
    <w:rsid w:val="00BE1D31"/>
    <w:rsid w:val="00BE1DC9"/>
    <w:rsid w:val="00BE79F0"/>
    <w:rsid w:val="00BF046D"/>
    <w:rsid w:val="00BF1190"/>
    <w:rsid w:val="00BF23CF"/>
    <w:rsid w:val="00BF2D0C"/>
    <w:rsid w:val="00BF3774"/>
    <w:rsid w:val="00BF5B64"/>
    <w:rsid w:val="00BF5D04"/>
    <w:rsid w:val="00C009AA"/>
    <w:rsid w:val="00C1164D"/>
    <w:rsid w:val="00C16861"/>
    <w:rsid w:val="00C26DAA"/>
    <w:rsid w:val="00C31368"/>
    <w:rsid w:val="00C3142B"/>
    <w:rsid w:val="00C346AB"/>
    <w:rsid w:val="00C34AE8"/>
    <w:rsid w:val="00C3516E"/>
    <w:rsid w:val="00C404A6"/>
    <w:rsid w:val="00C40A36"/>
    <w:rsid w:val="00C44419"/>
    <w:rsid w:val="00C45E7B"/>
    <w:rsid w:val="00C471B1"/>
    <w:rsid w:val="00C51795"/>
    <w:rsid w:val="00C525A2"/>
    <w:rsid w:val="00C52E24"/>
    <w:rsid w:val="00C56A15"/>
    <w:rsid w:val="00C6316B"/>
    <w:rsid w:val="00C634A9"/>
    <w:rsid w:val="00C64586"/>
    <w:rsid w:val="00C67651"/>
    <w:rsid w:val="00C70A36"/>
    <w:rsid w:val="00C70D53"/>
    <w:rsid w:val="00C73D0B"/>
    <w:rsid w:val="00C74F5C"/>
    <w:rsid w:val="00C76EA1"/>
    <w:rsid w:val="00C772FF"/>
    <w:rsid w:val="00C80137"/>
    <w:rsid w:val="00C801AF"/>
    <w:rsid w:val="00C80256"/>
    <w:rsid w:val="00C86BB5"/>
    <w:rsid w:val="00C8762D"/>
    <w:rsid w:val="00C94CD4"/>
    <w:rsid w:val="00C9747E"/>
    <w:rsid w:val="00CB0ED7"/>
    <w:rsid w:val="00CB5627"/>
    <w:rsid w:val="00CB6BC0"/>
    <w:rsid w:val="00CC1B7C"/>
    <w:rsid w:val="00CC727F"/>
    <w:rsid w:val="00CD6B43"/>
    <w:rsid w:val="00CE2E32"/>
    <w:rsid w:val="00CE506E"/>
    <w:rsid w:val="00CF15C3"/>
    <w:rsid w:val="00CF15D9"/>
    <w:rsid w:val="00CF2B6F"/>
    <w:rsid w:val="00CF2F3E"/>
    <w:rsid w:val="00CF58B6"/>
    <w:rsid w:val="00CF5DAD"/>
    <w:rsid w:val="00D0062D"/>
    <w:rsid w:val="00D017ED"/>
    <w:rsid w:val="00D034F2"/>
    <w:rsid w:val="00D040D3"/>
    <w:rsid w:val="00D04C65"/>
    <w:rsid w:val="00D153D8"/>
    <w:rsid w:val="00D201D2"/>
    <w:rsid w:val="00D22410"/>
    <w:rsid w:val="00D224FE"/>
    <w:rsid w:val="00D23139"/>
    <w:rsid w:val="00D23225"/>
    <w:rsid w:val="00D425BB"/>
    <w:rsid w:val="00D43110"/>
    <w:rsid w:val="00D453FA"/>
    <w:rsid w:val="00D46BB2"/>
    <w:rsid w:val="00D532E7"/>
    <w:rsid w:val="00D6493E"/>
    <w:rsid w:val="00D7195D"/>
    <w:rsid w:val="00D7301E"/>
    <w:rsid w:val="00D83AE1"/>
    <w:rsid w:val="00D855D4"/>
    <w:rsid w:val="00D902C9"/>
    <w:rsid w:val="00D93466"/>
    <w:rsid w:val="00D9468B"/>
    <w:rsid w:val="00DA093B"/>
    <w:rsid w:val="00DA1124"/>
    <w:rsid w:val="00DA6218"/>
    <w:rsid w:val="00DA64CB"/>
    <w:rsid w:val="00DB06B8"/>
    <w:rsid w:val="00DB6124"/>
    <w:rsid w:val="00DB750B"/>
    <w:rsid w:val="00DB75B7"/>
    <w:rsid w:val="00DC0A2F"/>
    <w:rsid w:val="00DC1948"/>
    <w:rsid w:val="00DC6E02"/>
    <w:rsid w:val="00DD28CD"/>
    <w:rsid w:val="00DD4D24"/>
    <w:rsid w:val="00DE02AE"/>
    <w:rsid w:val="00DE39D1"/>
    <w:rsid w:val="00DE3EF8"/>
    <w:rsid w:val="00DF02DA"/>
    <w:rsid w:val="00DF1D7F"/>
    <w:rsid w:val="00DF1EEB"/>
    <w:rsid w:val="00DF4BE4"/>
    <w:rsid w:val="00E0126C"/>
    <w:rsid w:val="00E02382"/>
    <w:rsid w:val="00E02FB4"/>
    <w:rsid w:val="00E13FC7"/>
    <w:rsid w:val="00E20571"/>
    <w:rsid w:val="00E20BB5"/>
    <w:rsid w:val="00E235F7"/>
    <w:rsid w:val="00E23659"/>
    <w:rsid w:val="00E239D4"/>
    <w:rsid w:val="00E23F40"/>
    <w:rsid w:val="00E2460C"/>
    <w:rsid w:val="00E26130"/>
    <w:rsid w:val="00E33D42"/>
    <w:rsid w:val="00E40B22"/>
    <w:rsid w:val="00E44ED1"/>
    <w:rsid w:val="00E45619"/>
    <w:rsid w:val="00E4588F"/>
    <w:rsid w:val="00E46DA3"/>
    <w:rsid w:val="00E47232"/>
    <w:rsid w:val="00E51BB1"/>
    <w:rsid w:val="00E5575A"/>
    <w:rsid w:val="00E55CB0"/>
    <w:rsid w:val="00E624A5"/>
    <w:rsid w:val="00E64BA4"/>
    <w:rsid w:val="00E67F86"/>
    <w:rsid w:val="00E7344E"/>
    <w:rsid w:val="00E82665"/>
    <w:rsid w:val="00EA3255"/>
    <w:rsid w:val="00EB0798"/>
    <w:rsid w:val="00EB40AD"/>
    <w:rsid w:val="00EB586E"/>
    <w:rsid w:val="00EB5FC8"/>
    <w:rsid w:val="00EC463D"/>
    <w:rsid w:val="00EC7A85"/>
    <w:rsid w:val="00ED0645"/>
    <w:rsid w:val="00ED2806"/>
    <w:rsid w:val="00ED2922"/>
    <w:rsid w:val="00ED3CAD"/>
    <w:rsid w:val="00ED4BF2"/>
    <w:rsid w:val="00ED5A41"/>
    <w:rsid w:val="00ED6BA8"/>
    <w:rsid w:val="00EE1DE8"/>
    <w:rsid w:val="00EE27C2"/>
    <w:rsid w:val="00EE3CA4"/>
    <w:rsid w:val="00EF2601"/>
    <w:rsid w:val="00EF4BAD"/>
    <w:rsid w:val="00EF59DC"/>
    <w:rsid w:val="00F02356"/>
    <w:rsid w:val="00F033EC"/>
    <w:rsid w:val="00F04F68"/>
    <w:rsid w:val="00F10657"/>
    <w:rsid w:val="00F12670"/>
    <w:rsid w:val="00F14B27"/>
    <w:rsid w:val="00F3148D"/>
    <w:rsid w:val="00F325C5"/>
    <w:rsid w:val="00F32FE0"/>
    <w:rsid w:val="00F35298"/>
    <w:rsid w:val="00F44276"/>
    <w:rsid w:val="00F47333"/>
    <w:rsid w:val="00F47E37"/>
    <w:rsid w:val="00F53C07"/>
    <w:rsid w:val="00F54B65"/>
    <w:rsid w:val="00F57DEA"/>
    <w:rsid w:val="00F63DBF"/>
    <w:rsid w:val="00F640B6"/>
    <w:rsid w:val="00F64D3F"/>
    <w:rsid w:val="00F66DF2"/>
    <w:rsid w:val="00F677B4"/>
    <w:rsid w:val="00F70498"/>
    <w:rsid w:val="00F76372"/>
    <w:rsid w:val="00F80E40"/>
    <w:rsid w:val="00F82ED7"/>
    <w:rsid w:val="00F83A6D"/>
    <w:rsid w:val="00F848D9"/>
    <w:rsid w:val="00FA5069"/>
    <w:rsid w:val="00FA5B82"/>
    <w:rsid w:val="00FA639E"/>
    <w:rsid w:val="00FA63FC"/>
    <w:rsid w:val="00FB05E6"/>
    <w:rsid w:val="00FC1FCA"/>
    <w:rsid w:val="00FC25E4"/>
    <w:rsid w:val="00FC4EF7"/>
    <w:rsid w:val="00FD0824"/>
    <w:rsid w:val="00FD119B"/>
    <w:rsid w:val="00FD1EDC"/>
    <w:rsid w:val="00FE1DEE"/>
    <w:rsid w:val="00FE4232"/>
    <w:rsid w:val="00FF0D5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EED7101"/>
  <w15:docId w15:val="{3B1402A0-DA9E-475E-9EE5-0B91C589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4AE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081C54"/>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1A16F8"/>
    <w:rPr>
      <w:rFonts w:ascii="Cambria" w:eastAsia="Cambria" w:hAnsi="Cambria" w:cs="Times New Roman"/>
      <w:sz w:val="19"/>
    </w:rPr>
  </w:style>
  <w:style w:type="paragraph" w:styleId="ListParagraph">
    <w:name w:val="List Paragraph"/>
    <w:basedOn w:val="Normal"/>
    <w:uiPriority w:val="34"/>
    <w:qFormat/>
    <w:rsid w:val="00C34AE8"/>
    <w:pPr>
      <w:ind w:left="720"/>
      <w:contextualSpacing/>
    </w:pPr>
  </w:style>
  <w:style w:type="paragraph" w:styleId="TOC6">
    <w:name w:val="toc 6"/>
    <w:basedOn w:val="Normal"/>
    <w:next w:val="Normal"/>
    <w:autoRedefine/>
    <w:uiPriority w:val="39"/>
    <w:semiHidden/>
    <w:unhideWhenUsed/>
    <w:rsid w:val="00134EB5"/>
    <w:pPr>
      <w:spacing w:after="100"/>
      <w:ind w:left="1100"/>
    </w:pPr>
  </w:style>
  <w:style w:type="paragraph" w:customStyle="1" w:styleId="C-BodyText">
    <w:name w:val="C-Body Text"/>
    <w:link w:val="C-BodyTextChar"/>
    <w:rsid w:val="00AD499E"/>
    <w:pPr>
      <w:spacing w:before="120" w:after="120" w:line="280" w:lineRule="atLeast"/>
    </w:pPr>
    <w:rPr>
      <w:rFonts w:ascii="Times New Roman" w:eastAsia="Times New Roman" w:hAnsi="Times New Roman" w:cs="Times New Roman"/>
      <w:sz w:val="24"/>
      <w:szCs w:val="20"/>
      <w:lang w:val="en-US"/>
    </w:rPr>
  </w:style>
  <w:style w:type="character" w:customStyle="1" w:styleId="C-BodyTextChar">
    <w:name w:val="C-Body Text Char"/>
    <w:link w:val="C-BodyText"/>
    <w:rsid w:val="00AD499E"/>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0594">
      <w:bodyDiv w:val="1"/>
      <w:marLeft w:val="0"/>
      <w:marRight w:val="0"/>
      <w:marTop w:val="0"/>
      <w:marBottom w:val="0"/>
      <w:divBdr>
        <w:top w:val="none" w:sz="0" w:space="0" w:color="auto"/>
        <w:left w:val="none" w:sz="0" w:space="0" w:color="auto"/>
        <w:bottom w:val="none" w:sz="0" w:space="0" w:color="auto"/>
        <w:right w:val="none" w:sz="0" w:space="0" w:color="auto"/>
      </w:divBdr>
    </w:div>
    <w:div w:id="241185062">
      <w:bodyDiv w:val="1"/>
      <w:marLeft w:val="0"/>
      <w:marRight w:val="0"/>
      <w:marTop w:val="0"/>
      <w:marBottom w:val="0"/>
      <w:divBdr>
        <w:top w:val="none" w:sz="0" w:space="0" w:color="auto"/>
        <w:left w:val="none" w:sz="0" w:space="0" w:color="auto"/>
        <w:bottom w:val="none" w:sz="0" w:space="0" w:color="auto"/>
        <w:right w:val="none" w:sz="0" w:space="0" w:color="auto"/>
      </w:divBdr>
    </w:div>
    <w:div w:id="264385354">
      <w:bodyDiv w:val="1"/>
      <w:marLeft w:val="0"/>
      <w:marRight w:val="0"/>
      <w:marTop w:val="0"/>
      <w:marBottom w:val="0"/>
      <w:divBdr>
        <w:top w:val="none" w:sz="0" w:space="0" w:color="auto"/>
        <w:left w:val="none" w:sz="0" w:space="0" w:color="auto"/>
        <w:bottom w:val="none" w:sz="0" w:space="0" w:color="auto"/>
        <w:right w:val="none" w:sz="0" w:space="0" w:color="auto"/>
      </w:divBdr>
    </w:div>
    <w:div w:id="339165638">
      <w:bodyDiv w:val="1"/>
      <w:marLeft w:val="0"/>
      <w:marRight w:val="0"/>
      <w:marTop w:val="0"/>
      <w:marBottom w:val="0"/>
      <w:divBdr>
        <w:top w:val="none" w:sz="0" w:space="0" w:color="auto"/>
        <w:left w:val="none" w:sz="0" w:space="0" w:color="auto"/>
        <w:bottom w:val="none" w:sz="0" w:space="0" w:color="auto"/>
        <w:right w:val="none" w:sz="0" w:space="0" w:color="auto"/>
      </w:divBdr>
    </w:div>
    <w:div w:id="992951605">
      <w:bodyDiv w:val="1"/>
      <w:marLeft w:val="0"/>
      <w:marRight w:val="0"/>
      <w:marTop w:val="0"/>
      <w:marBottom w:val="0"/>
      <w:divBdr>
        <w:top w:val="none" w:sz="0" w:space="0" w:color="auto"/>
        <w:left w:val="none" w:sz="0" w:space="0" w:color="auto"/>
        <w:bottom w:val="none" w:sz="0" w:space="0" w:color="auto"/>
        <w:right w:val="none" w:sz="0" w:space="0" w:color="auto"/>
      </w:divBdr>
    </w:div>
    <w:div w:id="133746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yperlink" Target="https://www.tga.gov.au/product-information-pi"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2860\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676D5-1B60-4235-8EAD-4979F68F5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43</TotalTime>
  <Pages>42</Pages>
  <Words>12177</Words>
  <Characters>69412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Company>
  <LinksUpToDate>false</LinksUpToDate>
  <CharactersWithSpaces>81427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Deutetrabenazine</dc:title>
  <dc:subject>prescription medicine regulation</dc:subject>
  <dc:creator>Therapeutic Goods Administration</dc:creator>
  <cp:lastModifiedBy>KOLARIK-OREILLY, Kristy</cp:lastModifiedBy>
  <cp:revision>6</cp:revision>
  <cp:lastPrinted>2019-08-14T04:30:00Z</cp:lastPrinted>
  <dcterms:created xsi:type="dcterms:W3CDTF">2022-05-13T00:14:00Z</dcterms:created>
  <dcterms:modified xsi:type="dcterms:W3CDTF">2022-05-26T05:23:00Z</dcterms:modified>
</cp:coreProperties>
</file>