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161A0" w14:paraId="042E821F" w14:textId="77777777" w:rsidTr="00BF1190">
        <w:trPr>
          <w:trHeight w:val="1863"/>
        </w:trPr>
        <w:tc>
          <w:tcPr>
            <w:tcW w:w="3652" w:type="dxa"/>
            <w:tcBorders>
              <w:top w:val="nil"/>
              <w:left w:val="nil"/>
              <w:bottom w:val="nil"/>
              <w:right w:val="nil"/>
            </w:tcBorders>
          </w:tcPr>
          <w:p w14:paraId="2ED6DECF" w14:textId="5D4D4246" w:rsidR="008E7846" w:rsidRPr="000161A0" w:rsidRDefault="00E31759" w:rsidP="00096AA7">
            <w:pPr>
              <w:rPr>
                <w:rFonts w:ascii="Arial" w:hAnsi="Arial" w:cs="Arial"/>
                <w:b/>
                <w:color w:val="002C47"/>
                <w:sz w:val="36"/>
                <w:szCs w:val="36"/>
              </w:rPr>
            </w:pPr>
            <w:r>
              <w:rPr>
                <w:rFonts w:ascii="Arial" w:hAnsi="Arial" w:cs="Arial"/>
                <w:b/>
                <w:color w:val="002C47"/>
                <w:sz w:val="36"/>
                <w:szCs w:val="36"/>
              </w:rPr>
              <w:t>May</w:t>
            </w:r>
            <w:r w:rsidRPr="000161A0">
              <w:rPr>
                <w:rFonts w:ascii="Arial" w:hAnsi="Arial" w:cs="Arial"/>
                <w:b/>
                <w:color w:val="002C47"/>
                <w:sz w:val="36"/>
                <w:szCs w:val="36"/>
              </w:rPr>
              <w:t xml:space="preserve"> </w:t>
            </w:r>
            <w:r w:rsidR="006706AC" w:rsidRPr="000161A0">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161A0" w14:paraId="1E4F41FE" w14:textId="77777777" w:rsidTr="0032583B">
        <w:trPr>
          <w:trHeight w:val="868"/>
        </w:trPr>
        <w:tc>
          <w:tcPr>
            <w:tcW w:w="9079" w:type="dxa"/>
          </w:tcPr>
          <w:p w14:paraId="0742875A" w14:textId="5F3FD6E4" w:rsidR="0032583B" w:rsidRPr="000161A0" w:rsidRDefault="0032583B" w:rsidP="00460036">
            <w:pPr>
              <w:pStyle w:val="Title"/>
              <w:rPr>
                <w:color w:val="FFFFFF" w:themeColor="background1"/>
              </w:rPr>
            </w:pPr>
            <w:r w:rsidRPr="000161A0">
              <w:rPr>
                <w:color w:val="FFFFFF" w:themeColor="background1"/>
              </w:rPr>
              <w:t xml:space="preserve">Australian Public Assessment Report for </w:t>
            </w:r>
            <w:proofErr w:type="spellStart"/>
            <w:r w:rsidR="00223F5D" w:rsidRPr="000161A0">
              <w:rPr>
                <w:color w:val="FFFFFF" w:themeColor="background1"/>
              </w:rPr>
              <w:t>Finerenone</w:t>
            </w:r>
            <w:proofErr w:type="spellEnd"/>
          </w:p>
        </w:tc>
      </w:tr>
      <w:tr w:rsidR="0032583B" w:rsidRPr="000161A0" w14:paraId="55952278" w14:textId="77777777" w:rsidTr="0032583B">
        <w:tc>
          <w:tcPr>
            <w:tcW w:w="9079" w:type="dxa"/>
          </w:tcPr>
          <w:p w14:paraId="61A36CE3" w14:textId="5DB2732D" w:rsidR="0032583B" w:rsidRPr="000161A0" w:rsidRDefault="0032583B" w:rsidP="00460036">
            <w:pPr>
              <w:pStyle w:val="Subtitle"/>
              <w:rPr>
                <w:color w:val="FFFFFF" w:themeColor="background1"/>
              </w:rPr>
            </w:pPr>
            <w:r w:rsidRPr="000161A0">
              <w:rPr>
                <w:color w:val="FFFFFF" w:themeColor="background1"/>
              </w:rPr>
              <w:t xml:space="preserve">Proprietary Product Name: </w:t>
            </w:r>
            <w:proofErr w:type="spellStart"/>
            <w:r w:rsidR="00223F5D" w:rsidRPr="000161A0">
              <w:rPr>
                <w:color w:val="FFFFFF" w:themeColor="background1"/>
              </w:rPr>
              <w:t>Kerendia</w:t>
            </w:r>
            <w:proofErr w:type="spellEnd"/>
          </w:p>
        </w:tc>
      </w:tr>
      <w:tr w:rsidR="0032583B" w:rsidRPr="000161A0" w14:paraId="367EE033" w14:textId="77777777" w:rsidTr="0032583B">
        <w:trPr>
          <w:trHeight w:val="486"/>
        </w:trPr>
        <w:tc>
          <w:tcPr>
            <w:tcW w:w="9079" w:type="dxa"/>
          </w:tcPr>
          <w:p w14:paraId="555845E9" w14:textId="610BD77C" w:rsidR="0032583B" w:rsidRPr="000161A0" w:rsidRDefault="00460036" w:rsidP="0032583B">
            <w:pPr>
              <w:pStyle w:val="Subtitle"/>
              <w:rPr>
                <w:color w:val="FFFFFF" w:themeColor="background1"/>
              </w:rPr>
            </w:pPr>
            <w:r w:rsidRPr="000161A0">
              <w:rPr>
                <w:color w:val="FFFFFF" w:themeColor="background1"/>
              </w:rPr>
              <w:t xml:space="preserve">Sponsor: </w:t>
            </w:r>
            <w:r w:rsidR="00223F5D" w:rsidRPr="000161A0">
              <w:rPr>
                <w:color w:val="FFFFFF" w:themeColor="background1"/>
              </w:rPr>
              <w:t>Bayer Australia Limited</w:t>
            </w:r>
          </w:p>
        </w:tc>
      </w:tr>
    </w:tbl>
    <w:p w14:paraId="3C6BD53A" w14:textId="77777777" w:rsidR="008E7846" w:rsidRPr="000161A0" w:rsidRDefault="008E7846" w:rsidP="0085156D">
      <w:r w:rsidRPr="000161A0">
        <w:br w:type="page"/>
      </w:r>
    </w:p>
    <w:p w14:paraId="0FDFDD9A" w14:textId="77777777" w:rsidR="008E7846" w:rsidRPr="000161A0" w:rsidRDefault="008E7846" w:rsidP="008E7846">
      <w:pPr>
        <w:pStyle w:val="NonTOCHeading2"/>
      </w:pPr>
      <w:r w:rsidRPr="000161A0">
        <w:lastRenderedPageBreak/>
        <w:t>About the Therapeutic Goods Administration (TGA)</w:t>
      </w:r>
    </w:p>
    <w:p w14:paraId="1A451405" w14:textId="77777777" w:rsidR="008E7846" w:rsidRPr="000161A0" w:rsidRDefault="008E7846" w:rsidP="008E7846">
      <w:pPr>
        <w:pStyle w:val="ListBullet"/>
        <w:numPr>
          <w:ilvl w:val="0"/>
          <w:numId w:val="3"/>
        </w:numPr>
        <w:ind w:left="357" w:hanging="357"/>
      </w:pPr>
      <w:r w:rsidRPr="000161A0">
        <w:t xml:space="preserve">The Therapeutic Goods Administration (TGA) is </w:t>
      </w:r>
      <w:r w:rsidR="00E624A5" w:rsidRPr="000161A0">
        <w:t xml:space="preserve">part </w:t>
      </w:r>
      <w:r w:rsidRPr="000161A0">
        <w:t>of the Australian Government Department of Health and is responsible for regulating medicines and medical devices.</w:t>
      </w:r>
    </w:p>
    <w:p w14:paraId="671DCAB2" w14:textId="77777777" w:rsidR="008E7846" w:rsidRPr="000161A0" w:rsidRDefault="00C80137" w:rsidP="008E7846">
      <w:pPr>
        <w:pStyle w:val="ListBullet"/>
        <w:numPr>
          <w:ilvl w:val="0"/>
          <w:numId w:val="3"/>
        </w:numPr>
        <w:ind w:left="357" w:hanging="357"/>
      </w:pPr>
      <w:r w:rsidRPr="000161A0">
        <w:t xml:space="preserve">The </w:t>
      </w:r>
      <w:r w:rsidR="008E7846" w:rsidRPr="000161A0">
        <w:t xml:space="preserve">TGA administers the </w:t>
      </w:r>
      <w:r w:rsidR="008E7846" w:rsidRPr="000161A0">
        <w:rPr>
          <w:i/>
        </w:rPr>
        <w:t>Therapeutic Goods Act 1989</w:t>
      </w:r>
      <w:r w:rsidR="00785717" w:rsidRPr="000161A0">
        <w:rPr>
          <w:i/>
        </w:rPr>
        <w:t xml:space="preserve"> </w:t>
      </w:r>
      <w:r w:rsidR="00785717" w:rsidRPr="000161A0">
        <w:t>(the Act)</w:t>
      </w:r>
      <w:r w:rsidR="008E7846" w:rsidRPr="000161A0">
        <w:t xml:space="preserve">, applying a risk management approach designed to ensure therapeutic goods supplied in Australia meet acceptable standards of quality, </w:t>
      </w:r>
      <w:proofErr w:type="gramStart"/>
      <w:r w:rsidR="008E7846" w:rsidRPr="000161A0">
        <w:t>safety</w:t>
      </w:r>
      <w:proofErr w:type="gramEnd"/>
      <w:r w:rsidR="008E7846" w:rsidRPr="000161A0">
        <w:t xml:space="preserve"> and efficacy (performance) when necessary.</w:t>
      </w:r>
    </w:p>
    <w:p w14:paraId="7CF6086B" w14:textId="77777777" w:rsidR="008E7846" w:rsidRPr="000161A0" w:rsidRDefault="008E7846" w:rsidP="008E7846">
      <w:pPr>
        <w:pStyle w:val="ListBullet"/>
        <w:numPr>
          <w:ilvl w:val="0"/>
          <w:numId w:val="3"/>
        </w:numPr>
        <w:ind w:left="357" w:hanging="357"/>
      </w:pPr>
      <w:r w:rsidRPr="000161A0">
        <w:t>The work of the TGA is based on applying scientific and clinical expertise to decision-making, to ensure that the benefits to consumers outweigh any risks associated with the use of medicines and medical devices.</w:t>
      </w:r>
    </w:p>
    <w:p w14:paraId="05ADF772" w14:textId="77777777" w:rsidR="008E7846" w:rsidRPr="000161A0" w:rsidRDefault="008E7846" w:rsidP="008E7846">
      <w:pPr>
        <w:pStyle w:val="ListBullet"/>
        <w:numPr>
          <w:ilvl w:val="0"/>
          <w:numId w:val="3"/>
        </w:numPr>
        <w:ind w:left="357" w:hanging="357"/>
      </w:pPr>
      <w:r w:rsidRPr="000161A0">
        <w:t>The TGA relies on the public, healthcare professionals and industry to report problems with medicines or medical devices. TGA investigates reports received by it to determine any necessary regulatory action.</w:t>
      </w:r>
    </w:p>
    <w:p w14:paraId="7DFA8C94" w14:textId="16300D01" w:rsidR="00441C3F" w:rsidRPr="000161A0" w:rsidRDefault="008E7846" w:rsidP="00441C3F">
      <w:pPr>
        <w:pStyle w:val="ListBullet"/>
        <w:numPr>
          <w:ilvl w:val="0"/>
          <w:numId w:val="3"/>
        </w:numPr>
        <w:ind w:left="357" w:hanging="357"/>
      </w:pPr>
      <w:r w:rsidRPr="000161A0">
        <w:t xml:space="preserve">To report a problem with a medicine or medical device, please see the information on </w:t>
      </w:r>
      <w:r w:rsidR="00441C3F" w:rsidRPr="000161A0">
        <w:t>the TGA website &lt;</w:t>
      </w:r>
      <w:hyperlink r:id="rId8" w:history="1">
        <w:r w:rsidR="00441C3F" w:rsidRPr="000161A0">
          <w:rPr>
            <w:rStyle w:val="Hyperlink"/>
          </w:rPr>
          <w:t>https://www.tga.gov.au</w:t>
        </w:r>
      </w:hyperlink>
      <w:r w:rsidR="00441C3F" w:rsidRPr="000161A0">
        <w:t>&gt;.</w:t>
      </w:r>
    </w:p>
    <w:p w14:paraId="0FF00480" w14:textId="77777777" w:rsidR="008E7846" w:rsidRPr="000161A0" w:rsidRDefault="008E7846" w:rsidP="00875A6B">
      <w:pPr>
        <w:pStyle w:val="NonTOCHeading2"/>
      </w:pPr>
      <w:r w:rsidRPr="000161A0">
        <w:t xml:space="preserve">About </w:t>
      </w:r>
      <w:proofErr w:type="spellStart"/>
      <w:r w:rsidRPr="000161A0">
        <w:t>AusPARs</w:t>
      </w:r>
      <w:proofErr w:type="spellEnd"/>
    </w:p>
    <w:p w14:paraId="05E96A5C" w14:textId="77777777" w:rsidR="008E7846" w:rsidRPr="000161A0" w:rsidRDefault="008E7846" w:rsidP="008E7846">
      <w:pPr>
        <w:pStyle w:val="ListBullet"/>
        <w:numPr>
          <w:ilvl w:val="0"/>
          <w:numId w:val="3"/>
        </w:numPr>
        <w:ind w:left="357" w:hanging="357"/>
      </w:pPr>
      <w:r w:rsidRPr="000161A0">
        <w:t>An Australian Public Assessment Re</w:t>
      </w:r>
      <w:r w:rsidR="00133A1B" w:rsidRPr="000161A0">
        <w:t>port</w:t>
      </w:r>
      <w:r w:rsidRPr="000161A0">
        <w:t xml:space="preserve"> (</w:t>
      </w:r>
      <w:proofErr w:type="spellStart"/>
      <w:r w:rsidRPr="000161A0">
        <w:t>AusPAR</w:t>
      </w:r>
      <w:proofErr w:type="spellEnd"/>
      <w:r w:rsidRPr="000161A0">
        <w:t>) provides information about the evaluation of a prescription medicine and the considerations that led the TGA to approve or not approve a pr</w:t>
      </w:r>
      <w:r w:rsidR="00441C3F" w:rsidRPr="000161A0">
        <w:t>escription medicine submission.</w:t>
      </w:r>
    </w:p>
    <w:p w14:paraId="66A20650" w14:textId="77777777" w:rsidR="008E7846" w:rsidRPr="000161A0" w:rsidRDefault="008E7846" w:rsidP="008E7846">
      <w:pPr>
        <w:pStyle w:val="ListBullet"/>
        <w:numPr>
          <w:ilvl w:val="0"/>
          <w:numId w:val="3"/>
        </w:numPr>
        <w:ind w:left="357" w:hanging="357"/>
      </w:pPr>
      <w:proofErr w:type="spellStart"/>
      <w:r w:rsidRPr="000161A0">
        <w:t>AusPARs</w:t>
      </w:r>
      <w:proofErr w:type="spellEnd"/>
      <w:r w:rsidRPr="000161A0">
        <w:t xml:space="preserve"> are prepared and published by the TGA.</w:t>
      </w:r>
    </w:p>
    <w:p w14:paraId="70D9226C" w14:textId="77777777" w:rsidR="008E7846" w:rsidRPr="000161A0" w:rsidRDefault="008E7846" w:rsidP="008E7846">
      <w:pPr>
        <w:pStyle w:val="ListBullet"/>
        <w:numPr>
          <w:ilvl w:val="0"/>
          <w:numId w:val="3"/>
        </w:numPr>
        <w:ind w:left="357" w:hanging="357"/>
      </w:pPr>
      <w:r w:rsidRPr="000161A0">
        <w:t xml:space="preserve">An </w:t>
      </w:r>
      <w:proofErr w:type="spellStart"/>
      <w:r w:rsidRPr="000161A0">
        <w:t>AusPAR</w:t>
      </w:r>
      <w:proofErr w:type="spellEnd"/>
      <w:r w:rsidRPr="000161A0">
        <w:t xml:space="preserve"> is prepared for submissions that relate to new chemical entities, generic medicines, major </w:t>
      </w:r>
      <w:proofErr w:type="gramStart"/>
      <w:r w:rsidRPr="000161A0">
        <w:t>variations</w:t>
      </w:r>
      <w:proofErr w:type="gramEnd"/>
      <w:r w:rsidRPr="000161A0">
        <w:t xml:space="preserve"> and extensions of indications.</w:t>
      </w:r>
    </w:p>
    <w:p w14:paraId="550A70A2" w14:textId="77777777" w:rsidR="008E7846" w:rsidRPr="000161A0" w:rsidRDefault="008E7846" w:rsidP="008E7846">
      <w:pPr>
        <w:pStyle w:val="ListBullet"/>
        <w:numPr>
          <w:ilvl w:val="0"/>
          <w:numId w:val="3"/>
        </w:numPr>
        <w:ind w:left="357" w:hanging="357"/>
      </w:pPr>
      <w:r w:rsidRPr="000161A0">
        <w:t xml:space="preserve">An </w:t>
      </w:r>
      <w:proofErr w:type="spellStart"/>
      <w:r w:rsidRPr="000161A0">
        <w:t>AusPAR</w:t>
      </w:r>
      <w:proofErr w:type="spellEnd"/>
      <w:r w:rsidRPr="000161A0">
        <w:t xml:space="preserve"> is a static document</w:t>
      </w:r>
      <w:r w:rsidR="00133A1B" w:rsidRPr="000161A0">
        <w:t>;</w:t>
      </w:r>
      <w:r w:rsidRPr="000161A0">
        <w:t xml:space="preserve"> it provide</w:t>
      </w:r>
      <w:r w:rsidR="00133A1B" w:rsidRPr="000161A0">
        <w:t>s</w:t>
      </w:r>
      <w:r w:rsidRPr="000161A0">
        <w:t xml:space="preserve"> information that relates to a submission at a particular point in time.</w:t>
      </w:r>
    </w:p>
    <w:p w14:paraId="0C8FEA2B" w14:textId="77777777" w:rsidR="00B452CE" w:rsidRPr="000161A0" w:rsidRDefault="008E7846" w:rsidP="00FF5755">
      <w:pPr>
        <w:pStyle w:val="ListBullet"/>
        <w:numPr>
          <w:ilvl w:val="0"/>
          <w:numId w:val="3"/>
        </w:numPr>
        <w:ind w:left="357" w:hanging="357"/>
      </w:pPr>
      <w:r w:rsidRPr="000161A0">
        <w:t xml:space="preserve">A new </w:t>
      </w:r>
      <w:proofErr w:type="spellStart"/>
      <w:r w:rsidRPr="000161A0">
        <w:t>AusPAR</w:t>
      </w:r>
      <w:proofErr w:type="spellEnd"/>
      <w:r w:rsidRPr="000161A0">
        <w:t xml:space="preserve"> will be developed to reflect changes to indications and/or major variations to a prescription medicine subject to evaluation by the TGA.</w:t>
      </w:r>
    </w:p>
    <w:p w14:paraId="08173C01" w14:textId="77777777" w:rsidR="00924482" w:rsidRPr="000161A0" w:rsidRDefault="00924482" w:rsidP="00F54B65">
      <w:pPr>
        <w:pStyle w:val="LegalSubheading"/>
        <w:spacing w:before="3120"/>
      </w:pPr>
      <w:r w:rsidRPr="000161A0">
        <w:t>Copyright</w:t>
      </w:r>
    </w:p>
    <w:p w14:paraId="7E65B7AB" w14:textId="4C6F9C6E" w:rsidR="00924482" w:rsidRPr="000161A0" w:rsidRDefault="00924482" w:rsidP="00924482">
      <w:pPr>
        <w:pStyle w:val="LegalCopy"/>
      </w:pPr>
      <w:r w:rsidRPr="000161A0">
        <w:rPr>
          <w:rFonts w:cs="Arial"/>
          <w:lang w:val="en-GB"/>
        </w:rPr>
        <w:t>© Commonwealth of Australia 20</w:t>
      </w:r>
      <w:r w:rsidR="00460036" w:rsidRPr="000161A0">
        <w:rPr>
          <w:rFonts w:cs="Arial"/>
          <w:lang w:val="en-GB"/>
        </w:rPr>
        <w:t>2</w:t>
      </w:r>
      <w:r w:rsidR="006E04F0" w:rsidRPr="000161A0">
        <w:rPr>
          <w:rFonts w:cs="Arial"/>
          <w:lang w:val="en-GB"/>
        </w:rPr>
        <w:t>2</w:t>
      </w:r>
      <w:r w:rsidRPr="000161A0">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161A0">
        <w:rPr>
          <w:rFonts w:cs="Arial"/>
          <w:i/>
          <w:lang w:val="en-GB"/>
        </w:rPr>
        <w:t>Copyright Act 1968</w:t>
      </w:r>
      <w:r w:rsidRPr="000161A0">
        <w:rPr>
          <w:rFonts w:cs="Arial"/>
          <w:lang w:val="en-GB"/>
        </w:rPr>
        <w:t xml:space="preserve"> or allowed by this copyright notice, all other rights are </w:t>
      </w:r>
      <w:proofErr w:type="gramStart"/>
      <w:r w:rsidRPr="000161A0">
        <w:rPr>
          <w:rFonts w:cs="Arial"/>
          <w:lang w:val="en-GB"/>
        </w:rPr>
        <w:t>reserved</w:t>
      </w:r>
      <w:proofErr w:type="gramEnd"/>
      <w:r w:rsidRPr="000161A0">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0161A0">
        <w:rPr>
          <w:rFonts w:cs="Arial"/>
          <w:lang w:val="en-GB"/>
        </w:rPr>
        <w:t>Woden</w:t>
      </w:r>
      <w:proofErr w:type="spellEnd"/>
      <w:r w:rsidRPr="000161A0">
        <w:rPr>
          <w:rFonts w:cs="Arial"/>
          <w:lang w:val="en-GB"/>
        </w:rPr>
        <w:t xml:space="preserve"> ACT 2606 or emailed to &lt;</w:t>
      </w:r>
      <w:hyperlink r:id="rId9" w:history="1">
        <w:r w:rsidRPr="000161A0">
          <w:rPr>
            <w:rStyle w:val="Hyperlink"/>
            <w:rFonts w:cs="Arial"/>
            <w:lang w:val="en-GB"/>
          </w:rPr>
          <w:t>tga.copyright@tga.gov.au</w:t>
        </w:r>
      </w:hyperlink>
      <w:r w:rsidRPr="000161A0">
        <w:rPr>
          <w:rFonts w:cs="Arial"/>
        </w:rPr>
        <w:t>&gt;.</w:t>
      </w:r>
    </w:p>
    <w:p w14:paraId="1F441C00" w14:textId="77777777" w:rsidR="00924482" w:rsidRPr="000161A0" w:rsidRDefault="00924482" w:rsidP="00924482">
      <w:pPr>
        <w:pStyle w:val="LegalCopy"/>
        <w:sectPr w:rsidR="00924482" w:rsidRPr="000161A0"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2F2EFAA" w14:textId="77777777" w:rsidR="0089635C" w:rsidRPr="000161A0" w:rsidRDefault="0089635C" w:rsidP="0010788A">
          <w:pPr>
            <w:pStyle w:val="Contents"/>
          </w:pPr>
          <w:r w:rsidRPr="000161A0">
            <w:t>Contents</w:t>
          </w:r>
        </w:p>
        <w:p w14:paraId="2FF0BC16" w14:textId="35C11BDC" w:rsidR="00222E90" w:rsidRDefault="00C525A2">
          <w:pPr>
            <w:pStyle w:val="TOC1"/>
            <w:rPr>
              <w:rFonts w:asciiTheme="minorHAnsi" w:eastAsiaTheme="minorEastAsia" w:hAnsiTheme="minorHAnsi" w:cstheme="minorBidi"/>
              <w:b w:val="0"/>
              <w:noProof/>
              <w:sz w:val="22"/>
              <w:lang w:eastAsia="en-AU"/>
            </w:rPr>
          </w:pPr>
          <w:r w:rsidRPr="000161A0">
            <w:fldChar w:fldCharType="begin"/>
          </w:r>
          <w:r w:rsidRPr="000161A0">
            <w:instrText xml:space="preserve"> TOC \h \z \t "Heading 2,1,Heading 3,2" </w:instrText>
          </w:r>
          <w:r w:rsidRPr="000161A0">
            <w:fldChar w:fldCharType="separate"/>
          </w:r>
          <w:hyperlink w:anchor="_Toc104899475" w:history="1">
            <w:r w:rsidR="00222E90" w:rsidRPr="00E5121C">
              <w:rPr>
                <w:rStyle w:val="Hyperlink"/>
                <w:noProof/>
              </w:rPr>
              <w:t>List of abbreviations</w:t>
            </w:r>
            <w:r w:rsidR="00222E90">
              <w:rPr>
                <w:noProof/>
                <w:webHidden/>
              </w:rPr>
              <w:tab/>
            </w:r>
            <w:r w:rsidR="00222E90">
              <w:rPr>
                <w:noProof/>
                <w:webHidden/>
              </w:rPr>
              <w:fldChar w:fldCharType="begin"/>
            </w:r>
            <w:r w:rsidR="00222E90">
              <w:rPr>
                <w:noProof/>
                <w:webHidden/>
              </w:rPr>
              <w:instrText xml:space="preserve"> PAGEREF _Toc104899475 \h </w:instrText>
            </w:r>
            <w:r w:rsidR="00222E90">
              <w:rPr>
                <w:noProof/>
                <w:webHidden/>
              </w:rPr>
            </w:r>
            <w:r w:rsidR="00222E90">
              <w:rPr>
                <w:noProof/>
                <w:webHidden/>
              </w:rPr>
              <w:fldChar w:fldCharType="separate"/>
            </w:r>
            <w:r w:rsidR="00222E90">
              <w:rPr>
                <w:noProof/>
                <w:webHidden/>
              </w:rPr>
              <w:t>4</w:t>
            </w:r>
            <w:r w:rsidR="00222E90">
              <w:rPr>
                <w:noProof/>
                <w:webHidden/>
              </w:rPr>
              <w:fldChar w:fldCharType="end"/>
            </w:r>
          </w:hyperlink>
        </w:p>
        <w:p w14:paraId="416C6E50" w14:textId="25FF5866" w:rsidR="00222E90" w:rsidRDefault="00222E90">
          <w:pPr>
            <w:pStyle w:val="TOC1"/>
            <w:rPr>
              <w:rFonts w:asciiTheme="minorHAnsi" w:eastAsiaTheme="minorEastAsia" w:hAnsiTheme="minorHAnsi" w:cstheme="minorBidi"/>
              <w:b w:val="0"/>
              <w:noProof/>
              <w:sz w:val="22"/>
              <w:lang w:eastAsia="en-AU"/>
            </w:rPr>
          </w:pPr>
          <w:hyperlink w:anchor="_Toc104899476" w:history="1">
            <w:r w:rsidRPr="00E5121C">
              <w:rPr>
                <w:rStyle w:val="Hyperlink"/>
                <w:noProof/>
              </w:rPr>
              <w:t>I. Introduction to product submission</w:t>
            </w:r>
            <w:r>
              <w:rPr>
                <w:noProof/>
                <w:webHidden/>
              </w:rPr>
              <w:tab/>
            </w:r>
            <w:r>
              <w:rPr>
                <w:noProof/>
                <w:webHidden/>
              </w:rPr>
              <w:fldChar w:fldCharType="begin"/>
            </w:r>
            <w:r>
              <w:rPr>
                <w:noProof/>
                <w:webHidden/>
              </w:rPr>
              <w:instrText xml:space="preserve"> PAGEREF _Toc104899476 \h </w:instrText>
            </w:r>
            <w:r>
              <w:rPr>
                <w:noProof/>
                <w:webHidden/>
              </w:rPr>
            </w:r>
            <w:r>
              <w:rPr>
                <w:noProof/>
                <w:webHidden/>
              </w:rPr>
              <w:fldChar w:fldCharType="separate"/>
            </w:r>
            <w:r>
              <w:rPr>
                <w:noProof/>
                <w:webHidden/>
              </w:rPr>
              <w:t>6</w:t>
            </w:r>
            <w:r>
              <w:rPr>
                <w:noProof/>
                <w:webHidden/>
              </w:rPr>
              <w:fldChar w:fldCharType="end"/>
            </w:r>
          </w:hyperlink>
        </w:p>
        <w:p w14:paraId="77D0C721" w14:textId="2B8F27DC" w:rsidR="00222E90" w:rsidRDefault="00222E90">
          <w:pPr>
            <w:pStyle w:val="TOC2"/>
            <w:rPr>
              <w:rFonts w:asciiTheme="minorHAnsi" w:eastAsiaTheme="minorEastAsia" w:hAnsiTheme="minorHAnsi" w:cstheme="minorBidi"/>
              <w:b w:val="0"/>
              <w:noProof/>
              <w:sz w:val="22"/>
              <w:lang w:eastAsia="en-AU"/>
            </w:rPr>
          </w:pPr>
          <w:hyperlink w:anchor="_Toc104899477" w:history="1">
            <w:r w:rsidRPr="00E5121C">
              <w:rPr>
                <w:rStyle w:val="Hyperlink"/>
                <w:noProof/>
                <w:lang w:eastAsia="en-AU"/>
              </w:rPr>
              <w:t>Submission details</w:t>
            </w:r>
            <w:r>
              <w:rPr>
                <w:noProof/>
                <w:webHidden/>
              </w:rPr>
              <w:tab/>
            </w:r>
            <w:r>
              <w:rPr>
                <w:noProof/>
                <w:webHidden/>
              </w:rPr>
              <w:fldChar w:fldCharType="begin"/>
            </w:r>
            <w:r>
              <w:rPr>
                <w:noProof/>
                <w:webHidden/>
              </w:rPr>
              <w:instrText xml:space="preserve"> PAGEREF _Toc104899477 \h </w:instrText>
            </w:r>
            <w:r>
              <w:rPr>
                <w:noProof/>
                <w:webHidden/>
              </w:rPr>
            </w:r>
            <w:r>
              <w:rPr>
                <w:noProof/>
                <w:webHidden/>
              </w:rPr>
              <w:fldChar w:fldCharType="separate"/>
            </w:r>
            <w:r>
              <w:rPr>
                <w:noProof/>
                <w:webHidden/>
              </w:rPr>
              <w:t>6</w:t>
            </w:r>
            <w:r>
              <w:rPr>
                <w:noProof/>
                <w:webHidden/>
              </w:rPr>
              <w:fldChar w:fldCharType="end"/>
            </w:r>
          </w:hyperlink>
        </w:p>
        <w:p w14:paraId="1F74358D" w14:textId="05083A94" w:rsidR="00222E90" w:rsidRDefault="00222E90">
          <w:pPr>
            <w:pStyle w:val="TOC2"/>
            <w:rPr>
              <w:rFonts w:asciiTheme="minorHAnsi" w:eastAsiaTheme="minorEastAsia" w:hAnsiTheme="minorHAnsi" w:cstheme="minorBidi"/>
              <w:b w:val="0"/>
              <w:noProof/>
              <w:sz w:val="22"/>
              <w:lang w:eastAsia="en-AU"/>
            </w:rPr>
          </w:pPr>
          <w:hyperlink w:anchor="_Toc104899478" w:history="1">
            <w:r w:rsidRPr="00E5121C">
              <w:rPr>
                <w:rStyle w:val="Hyperlink"/>
                <w:noProof/>
              </w:rPr>
              <w:t>Product background</w:t>
            </w:r>
            <w:r>
              <w:rPr>
                <w:noProof/>
                <w:webHidden/>
              </w:rPr>
              <w:tab/>
            </w:r>
            <w:r>
              <w:rPr>
                <w:noProof/>
                <w:webHidden/>
              </w:rPr>
              <w:fldChar w:fldCharType="begin"/>
            </w:r>
            <w:r>
              <w:rPr>
                <w:noProof/>
                <w:webHidden/>
              </w:rPr>
              <w:instrText xml:space="preserve"> PAGEREF _Toc104899478 \h </w:instrText>
            </w:r>
            <w:r>
              <w:rPr>
                <w:noProof/>
                <w:webHidden/>
              </w:rPr>
            </w:r>
            <w:r>
              <w:rPr>
                <w:noProof/>
                <w:webHidden/>
              </w:rPr>
              <w:fldChar w:fldCharType="separate"/>
            </w:r>
            <w:r>
              <w:rPr>
                <w:noProof/>
                <w:webHidden/>
              </w:rPr>
              <w:t>7</w:t>
            </w:r>
            <w:r>
              <w:rPr>
                <w:noProof/>
                <w:webHidden/>
              </w:rPr>
              <w:fldChar w:fldCharType="end"/>
            </w:r>
          </w:hyperlink>
        </w:p>
        <w:p w14:paraId="48371FBD" w14:textId="5C1DFAB5" w:rsidR="00222E90" w:rsidRDefault="00222E90">
          <w:pPr>
            <w:pStyle w:val="TOC2"/>
            <w:rPr>
              <w:rFonts w:asciiTheme="minorHAnsi" w:eastAsiaTheme="minorEastAsia" w:hAnsiTheme="minorHAnsi" w:cstheme="minorBidi"/>
              <w:b w:val="0"/>
              <w:noProof/>
              <w:sz w:val="22"/>
              <w:lang w:eastAsia="en-AU"/>
            </w:rPr>
          </w:pPr>
          <w:hyperlink w:anchor="_Toc104899479" w:history="1">
            <w:r w:rsidRPr="00E5121C">
              <w:rPr>
                <w:rStyle w:val="Hyperlink"/>
                <w:noProof/>
              </w:rPr>
              <w:t>Regulatory status</w:t>
            </w:r>
            <w:r>
              <w:rPr>
                <w:noProof/>
                <w:webHidden/>
              </w:rPr>
              <w:tab/>
            </w:r>
            <w:r>
              <w:rPr>
                <w:noProof/>
                <w:webHidden/>
              </w:rPr>
              <w:fldChar w:fldCharType="begin"/>
            </w:r>
            <w:r>
              <w:rPr>
                <w:noProof/>
                <w:webHidden/>
              </w:rPr>
              <w:instrText xml:space="preserve"> PAGEREF _Toc104899479 \h </w:instrText>
            </w:r>
            <w:r>
              <w:rPr>
                <w:noProof/>
                <w:webHidden/>
              </w:rPr>
            </w:r>
            <w:r>
              <w:rPr>
                <w:noProof/>
                <w:webHidden/>
              </w:rPr>
              <w:fldChar w:fldCharType="separate"/>
            </w:r>
            <w:r>
              <w:rPr>
                <w:noProof/>
                <w:webHidden/>
              </w:rPr>
              <w:t>8</w:t>
            </w:r>
            <w:r>
              <w:rPr>
                <w:noProof/>
                <w:webHidden/>
              </w:rPr>
              <w:fldChar w:fldCharType="end"/>
            </w:r>
          </w:hyperlink>
        </w:p>
        <w:p w14:paraId="05C97460" w14:textId="0FD7F8B5" w:rsidR="00222E90" w:rsidRDefault="00222E90">
          <w:pPr>
            <w:pStyle w:val="TOC2"/>
            <w:rPr>
              <w:rFonts w:asciiTheme="minorHAnsi" w:eastAsiaTheme="minorEastAsia" w:hAnsiTheme="minorHAnsi" w:cstheme="minorBidi"/>
              <w:b w:val="0"/>
              <w:noProof/>
              <w:sz w:val="22"/>
              <w:lang w:eastAsia="en-AU"/>
            </w:rPr>
          </w:pPr>
          <w:hyperlink w:anchor="_Toc104899480" w:history="1">
            <w:r w:rsidRPr="00E5121C">
              <w:rPr>
                <w:rStyle w:val="Hyperlink"/>
                <w:noProof/>
              </w:rPr>
              <w:t>Product Information</w:t>
            </w:r>
            <w:r>
              <w:rPr>
                <w:noProof/>
                <w:webHidden/>
              </w:rPr>
              <w:tab/>
            </w:r>
            <w:r>
              <w:rPr>
                <w:noProof/>
                <w:webHidden/>
              </w:rPr>
              <w:fldChar w:fldCharType="begin"/>
            </w:r>
            <w:r>
              <w:rPr>
                <w:noProof/>
                <w:webHidden/>
              </w:rPr>
              <w:instrText xml:space="preserve"> PAGEREF _Toc104899480 \h </w:instrText>
            </w:r>
            <w:r>
              <w:rPr>
                <w:noProof/>
                <w:webHidden/>
              </w:rPr>
            </w:r>
            <w:r>
              <w:rPr>
                <w:noProof/>
                <w:webHidden/>
              </w:rPr>
              <w:fldChar w:fldCharType="separate"/>
            </w:r>
            <w:r>
              <w:rPr>
                <w:noProof/>
                <w:webHidden/>
              </w:rPr>
              <w:t>9</w:t>
            </w:r>
            <w:r>
              <w:rPr>
                <w:noProof/>
                <w:webHidden/>
              </w:rPr>
              <w:fldChar w:fldCharType="end"/>
            </w:r>
          </w:hyperlink>
        </w:p>
        <w:p w14:paraId="1C822AC5" w14:textId="197E9A6C" w:rsidR="00222E90" w:rsidRDefault="00222E90">
          <w:pPr>
            <w:pStyle w:val="TOC1"/>
            <w:rPr>
              <w:rFonts w:asciiTheme="minorHAnsi" w:eastAsiaTheme="minorEastAsia" w:hAnsiTheme="minorHAnsi" w:cstheme="minorBidi"/>
              <w:b w:val="0"/>
              <w:noProof/>
              <w:sz w:val="22"/>
              <w:lang w:eastAsia="en-AU"/>
            </w:rPr>
          </w:pPr>
          <w:hyperlink w:anchor="_Toc104899481" w:history="1">
            <w:r w:rsidRPr="00E5121C">
              <w:rPr>
                <w:rStyle w:val="Hyperlink"/>
                <w:noProof/>
              </w:rPr>
              <w:t>II. Registration timeline</w:t>
            </w:r>
            <w:r>
              <w:rPr>
                <w:noProof/>
                <w:webHidden/>
              </w:rPr>
              <w:tab/>
            </w:r>
            <w:r>
              <w:rPr>
                <w:noProof/>
                <w:webHidden/>
              </w:rPr>
              <w:fldChar w:fldCharType="begin"/>
            </w:r>
            <w:r>
              <w:rPr>
                <w:noProof/>
                <w:webHidden/>
              </w:rPr>
              <w:instrText xml:space="preserve"> PAGEREF _Toc104899481 \h </w:instrText>
            </w:r>
            <w:r>
              <w:rPr>
                <w:noProof/>
                <w:webHidden/>
              </w:rPr>
            </w:r>
            <w:r>
              <w:rPr>
                <w:noProof/>
                <w:webHidden/>
              </w:rPr>
              <w:fldChar w:fldCharType="separate"/>
            </w:r>
            <w:r>
              <w:rPr>
                <w:noProof/>
                <w:webHidden/>
              </w:rPr>
              <w:t>9</w:t>
            </w:r>
            <w:r>
              <w:rPr>
                <w:noProof/>
                <w:webHidden/>
              </w:rPr>
              <w:fldChar w:fldCharType="end"/>
            </w:r>
          </w:hyperlink>
        </w:p>
        <w:p w14:paraId="48AF7B44" w14:textId="119314DF" w:rsidR="00222E90" w:rsidRDefault="00222E90">
          <w:pPr>
            <w:pStyle w:val="TOC1"/>
            <w:rPr>
              <w:rFonts w:asciiTheme="minorHAnsi" w:eastAsiaTheme="minorEastAsia" w:hAnsiTheme="minorHAnsi" w:cstheme="minorBidi"/>
              <w:b w:val="0"/>
              <w:noProof/>
              <w:sz w:val="22"/>
              <w:lang w:eastAsia="en-AU"/>
            </w:rPr>
          </w:pPr>
          <w:hyperlink w:anchor="_Toc104899482" w:history="1">
            <w:r w:rsidRPr="00E5121C">
              <w:rPr>
                <w:rStyle w:val="Hyperlink"/>
                <w:noProof/>
              </w:rPr>
              <w:t>III. Submission overview and risk/benefit assessment</w:t>
            </w:r>
            <w:r>
              <w:rPr>
                <w:noProof/>
                <w:webHidden/>
              </w:rPr>
              <w:tab/>
            </w:r>
            <w:r>
              <w:rPr>
                <w:noProof/>
                <w:webHidden/>
              </w:rPr>
              <w:fldChar w:fldCharType="begin"/>
            </w:r>
            <w:r>
              <w:rPr>
                <w:noProof/>
                <w:webHidden/>
              </w:rPr>
              <w:instrText xml:space="preserve"> PAGEREF _Toc104899482 \h </w:instrText>
            </w:r>
            <w:r>
              <w:rPr>
                <w:noProof/>
                <w:webHidden/>
              </w:rPr>
            </w:r>
            <w:r>
              <w:rPr>
                <w:noProof/>
                <w:webHidden/>
              </w:rPr>
              <w:fldChar w:fldCharType="separate"/>
            </w:r>
            <w:r>
              <w:rPr>
                <w:noProof/>
                <w:webHidden/>
              </w:rPr>
              <w:t>9</w:t>
            </w:r>
            <w:r>
              <w:rPr>
                <w:noProof/>
                <w:webHidden/>
              </w:rPr>
              <w:fldChar w:fldCharType="end"/>
            </w:r>
          </w:hyperlink>
        </w:p>
        <w:p w14:paraId="0F18C649" w14:textId="62E65FB7" w:rsidR="00222E90" w:rsidRDefault="00222E90">
          <w:pPr>
            <w:pStyle w:val="TOC2"/>
            <w:rPr>
              <w:rFonts w:asciiTheme="minorHAnsi" w:eastAsiaTheme="minorEastAsia" w:hAnsiTheme="minorHAnsi" w:cstheme="minorBidi"/>
              <w:b w:val="0"/>
              <w:noProof/>
              <w:sz w:val="22"/>
              <w:lang w:eastAsia="en-AU"/>
            </w:rPr>
          </w:pPr>
          <w:hyperlink w:anchor="_Toc104899483" w:history="1">
            <w:r w:rsidRPr="00E5121C">
              <w:rPr>
                <w:rStyle w:val="Hyperlink"/>
                <w:noProof/>
              </w:rPr>
              <w:t>Quality</w:t>
            </w:r>
            <w:r>
              <w:rPr>
                <w:noProof/>
                <w:webHidden/>
              </w:rPr>
              <w:tab/>
            </w:r>
            <w:r>
              <w:rPr>
                <w:noProof/>
                <w:webHidden/>
              </w:rPr>
              <w:fldChar w:fldCharType="begin"/>
            </w:r>
            <w:r>
              <w:rPr>
                <w:noProof/>
                <w:webHidden/>
              </w:rPr>
              <w:instrText xml:space="preserve"> PAGEREF _Toc104899483 \h </w:instrText>
            </w:r>
            <w:r>
              <w:rPr>
                <w:noProof/>
                <w:webHidden/>
              </w:rPr>
            </w:r>
            <w:r>
              <w:rPr>
                <w:noProof/>
                <w:webHidden/>
              </w:rPr>
              <w:fldChar w:fldCharType="separate"/>
            </w:r>
            <w:r>
              <w:rPr>
                <w:noProof/>
                <w:webHidden/>
              </w:rPr>
              <w:t>10</w:t>
            </w:r>
            <w:r>
              <w:rPr>
                <w:noProof/>
                <w:webHidden/>
              </w:rPr>
              <w:fldChar w:fldCharType="end"/>
            </w:r>
          </w:hyperlink>
        </w:p>
        <w:p w14:paraId="447B852F" w14:textId="3EC97984" w:rsidR="00222E90" w:rsidRDefault="00222E90">
          <w:pPr>
            <w:pStyle w:val="TOC2"/>
            <w:rPr>
              <w:rFonts w:asciiTheme="minorHAnsi" w:eastAsiaTheme="minorEastAsia" w:hAnsiTheme="minorHAnsi" w:cstheme="minorBidi"/>
              <w:b w:val="0"/>
              <w:noProof/>
              <w:sz w:val="22"/>
              <w:lang w:eastAsia="en-AU"/>
            </w:rPr>
          </w:pPr>
          <w:hyperlink w:anchor="_Toc104899484" w:history="1">
            <w:r w:rsidRPr="00E5121C">
              <w:rPr>
                <w:rStyle w:val="Hyperlink"/>
                <w:noProof/>
              </w:rPr>
              <w:t>Nonclinical</w:t>
            </w:r>
            <w:r>
              <w:rPr>
                <w:noProof/>
                <w:webHidden/>
              </w:rPr>
              <w:tab/>
            </w:r>
            <w:r>
              <w:rPr>
                <w:noProof/>
                <w:webHidden/>
              </w:rPr>
              <w:fldChar w:fldCharType="begin"/>
            </w:r>
            <w:r>
              <w:rPr>
                <w:noProof/>
                <w:webHidden/>
              </w:rPr>
              <w:instrText xml:space="preserve"> PAGEREF _Toc104899484 \h </w:instrText>
            </w:r>
            <w:r>
              <w:rPr>
                <w:noProof/>
                <w:webHidden/>
              </w:rPr>
            </w:r>
            <w:r>
              <w:rPr>
                <w:noProof/>
                <w:webHidden/>
              </w:rPr>
              <w:fldChar w:fldCharType="separate"/>
            </w:r>
            <w:r>
              <w:rPr>
                <w:noProof/>
                <w:webHidden/>
              </w:rPr>
              <w:t>11</w:t>
            </w:r>
            <w:r>
              <w:rPr>
                <w:noProof/>
                <w:webHidden/>
              </w:rPr>
              <w:fldChar w:fldCharType="end"/>
            </w:r>
          </w:hyperlink>
        </w:p>
        <w:p w14:paraId="51B12B6C" w14:textId="6D4163F5" w:rsidR="00222E90" w:rsidRDefault="00222E90">
          <w:pPr>
            <w:pStyle w:val="TOC2"/>
            <w:rPr>
              <w:rFonts w:asciiTheme="minorHAnsi" w:eastAsiaTheme="minorEastAsia" w:hAnsiTheme="minorHAnsi" w:cstheme="minorBidi"/>
              <w:b w:val="0"/>
              <w:noProof/>
              <w:sz w:val="22"/>
              <w:lang w:eastAsia="en-AU"/>
            </w:rPr>
          </w:pPr>
          <w:hyperlink w:anchor="_Toc104899485" w:history="1">
            <w:r w:rsidRPr="00E5121C">
              <w:rPr>
                <w:rStyle w:val="Hyperlink"/>
                <w:noProof/>
              </w:rPr>
              <w:t>Clinical</w:t>
            </w:r>
            <w:r>
              <w:rPr>
                <w:noProof/>
                <w:webHidden/>
              </w:rPr>
              <w:tab/>
            </w:r>
            <w:r>
              <w:rPr>
                <w:noProof/>
                <w:webHidden/>
              </w:rPr>
              <w:fldChar w:fldCharType="begin"/>
            </w:r>
            <w:r>
              <w:rPr>
                <w:noProof/>
                <w:webHidden/>
              </w:rPr>
              <w:instrText xml:space="preserve"> PAGEREF _Toc104899485 \h </w:instrText>
            </w:r>
            <w:r>
              <w:rPr>
                <w:noProof/>
                <w:webHidden/>
              </w:rPr>
            </w:r>
            <w:r>
              <w:rPr>
                <w:noProof/>
                <w:webHidden/>
              </w:rPr>
              <w:fldChar w:fldCharType="separate"/>
            </w:r>
            <w:r>
              <w:rPr>
                <w:noProof/>
                <w:webHidden/>
              </w:rPr>
              <w:t>11</w:t>
            </w:r>
            <w:r>
              <w:rPr>
                <w:noProof/>
                <w:webHidden/>
              </w:rPr>
              <w:fldChar w:fldCharType="end"/>
            </w:r>
          </w:hyperlink>
        </w:p>
        <w:p w14:paraId="14DBB5CA" w14:textId="168C0FD0" w:rsidR="00222E90" w:rsidRDefault="00222E90">
          <w:pPr>
            <w:pStyle w:val="TOC2"/>
            <w:rPr>
              <w:rFonts w:asciiTheme="minorHAnsi" w:eastAsiaTheme="minorEastAsia" w:hAnsiTheme="minorHAnsi" w:cstheme="minorBidi"/>
              <w:b w:val="0"/>
              <w:noProof/>
              <w:sz w:val="22"/>
              <w:lang w:eastAsia="en-AU"/>
            </w:rPr>
          </w:pPr>
          <w:hyperlink w:anchor="_Toc104899486" w:history="1">
            <w:r w:rsidRPr="00E5121C">
              <w:rPr>
                <w:rStyle w:val="Hyperlink"/>
                <w:noProof/>
                <w:lang w:eastAsia="en-AU"/>
              </w:rPr>
              <w:t>Risk management plan</w:t>
            </w:r>
            <w:r>
              <w:rPr>
                <w:noProof/>
                <w:webHidden/>
              </w:rPr>
              <w:tab/>
            </w:r>
            <w:r>
              <w:rPr>
                <w:noProof/>
                <w:webHidden/>
              </w:rPr>
              <w:fldChar w:fldCharType="begin"/>
            </w:r>
            <w:r>
              <w:rPr>
                <w:noProof/>
                <w:webHidden/>
              </w:rPr>
              <w:instrText xml:space="preserve"> PAGEREF _Toc104899486 \h </w:instrText>
            </w:r>
            <w:r>
              <w:rPr>
                <w:noProof/>
                <w:webHidden/>
              </w:rPr>
            </w:r>
            <w:r>
              <w:rPr>
                <w:noProof/>
                <w:webHidden/>
              </w:rPr>
              <w:fldChar w:fldCharType="separate"/>
            </w:r>
            <w:r>
              <w:rPr>
                <w:noProof/>
                <w:webHidden/>
              </w:rPr>
              <w:t>36</w:t>
            </w:r>
            <w:r>
              <w:rPr>
                <w:noProof/>
                <w:webHidden/>
              </w:rPr>
              <w:fldChar w:fldCharType="end"/>
            </w:r>
          </w:hyperlink>
        </w:p>
        <w:p w14:paraId="4BD9BAE8" w14:textId="0D0F2FB1" w:rsidR="00222E90" w:rsidRDefault="00222E90">
          <w:pPr>
            <w:pStyle w:val="TOC2"/>
            <w:rPr>
              <w:rFonts w:asciiTheme="minorHAnsi" w:eastAsiaTheme="minorEastAsia" w:hAnsiTheme="minorHAnsi" w:cstheme="minorBidi"/>
              <w:b w:val="0"/>
              <w:noProof/>
              <w:sz w:val="22"/>
              <w:lang w:eastAsia="en-AU"/>
            </w:rPr>
          </w:pPr>
          <w:hyperlink w:anchor="_Toc104899487" w:history="1">
            <w:r w:rsidRPr="00E5121C">
              <w:rPr>
                <w:rStyle w:val="Hyperlink"/>
                <w:noProof/>
              </w:rPr>
              <w:t>Risk-benefit analysis</w:t>
            </w:r>
            <w:r>
              <w:rPr>
                <w:noProof/>
                <w:webHidden/>
              </w:rPr>
              <w:tab/>
            </w:r>
            <w:r>
              <w:rPr>
                <w:noProof/>
                <w:webHidden/>
              </w:rPr>
              <w:fldChar w:fldCharType="begin"/>
            </w:r>
            <w:r>
              <w:rPr>
                <w:noProof/>
                <w:webHidden/>
              </w:rPr>
              <w:instrText xml:space="preserve"> PAGEREF _Toc104899487 \h </w:instrText>
            </w:r>
            <w:r>
              <w:rPr>
                <w:noProof/>
                <w:webHidden/>
              </w:rPr>
            </w:r>
            <w:r>
              <w:rPr>
                <w:noProof/>
                <w:webHidden/>
              </w:rPr>
              <w:fldChar w:fldCharType="separate"/>
            </w:r>
            <w:r>
              <w:rPr>
                <w:noProof/>
                <w:webHidden/>
              </w:rPr>
              <w:t>37</w:t>
            </w:r>
            <w:r>
              <w:rPr>
                <w:noProof/>
                <w:webHidden/>
              </w:rPr>
              <w:fldChar w:fldCharType="end"/>
            </w:r>
          </w:hyperlink>
        </w:p>
        <w:p w14:paraId="7AE43CC8" w14:textId="735CB1AC" w:rsidR="00222E90" w:rsidRDefault="00222E90">
          <w:pPr>
            <w:pStyle w:val="TOC2"/>
            <w:rPr>
              <w:rFonts w:asciiTheme="minorHAnsi" w:eastAsiaTheme="minorEastAsia" w:hAnsiTheme="minorHAnsi" w:cstheme="minorBidi"/>
              <w:b w:val="0"/>
              <w:noProof/>
              <w:sz w:val="22"/>
              <w:lang w:eastAsia="en-AU"/>
            </w:rPr>
          </w:pPr>
          <w:hyperlink w:anchor="_Toc104899488" w:history="1">
            <w:r w:rsidRPr="00E5121C">
              <w:rPr>
                <w:rStyle w:val="Hyperlink"/>
                <w:noProof/>
              </w:rPr>
              <w:t>Outcome</w:t>
            </w:r>
            <w:r>
              <w:rPr>
                <w:noProof/>
                <w:webHidden/>
              </w:rPr>
              <w:tab/>
            </w:r>
            <w:r>
              <w:rPr>
                <w:noProof/>
                <w:webHidden/>
              </w:rPr>
              <w:fldChar w:fldCharType="begin"/>
            </w:r>
            <w:r>
              <w:rPr>
                <w:noProof/>
                <w:webHidden/>
              </w:rPr>
              <w:instrText xml:space="preserve"> PAGEREF _Toc104899488 \h </w:instrText>
            </w:r>
            <w:r>
              <w:rPr>
                <w:noProof/>
                <w:webHidden/>
              </w:rPr>
            </w:r>
            <w:r>
              <w:rPr>
                <w:noProof/>
                <w:webHidden/>
              </w:rPr>
              <w:fldChar w:fldCharType="separate"/>
            </w:r>
            <w:r>
              <w:rPr>
                <w:noProof/>
                <w:webHidden/>
              </w:rPr>
              <w:t>45</w:t>
            </w:r>
            <w:r>
              <w:rPr>
                <w:noProof/>
                <w:webHidden/>
              </w:rPr>
              <w:fldChar w:fldCharType="end"/>
            </w:r>
          </w:hyperlink>
        </w:p>
        <w:p w14:paraId="20FCB114" w14:textId="4ABEB027" w:rsidR="00222E90" w:rsidRDefault="00222E90">
          <w:pPr>
            <w:pStyle w:val="TOC1"/>
            <w:rPr>
              <w:rFonts w:asciiTheme="minorHAnsi" w:eastAsiaTheme="minorEastAsia" w:hAnsiTheme="minorHAnsi" w:cstheme="minorBidi"/>
              <w:b w:val="0"/>
              <w:noProof/>
              <w:sz w:val="22"/>
              <w:lang w:eastAsia="en-AU"/>
            </w:rPr>
          </w:pPr>
          <w:hyperlink w:anchor="_Toc104899489" w:history="1">
            <w:r w:rsidRPr="00E5121C">
              <w:rPr>
                <w:rStyle w:val="Hyperlink"/>
                <w:noProof/>
              </w:rPr>
              <w:t>Attachment 1. Product Information</w:t>
            </w:r>
            <w:r>
              <w:rPr>
                <w:noProof/>
                <w:webHidden/>
              </w:rPr>
              <w:tab/>
            </w:r>
            <w:r>
              <w:rPr>
                <w:noProof/>
                <w:webHidden/>
              </w:rPr>
              <w:fldChar w:fldCharType="begin"/>
            </w:r>
            <w:r>
              <w:rPr>
                <w:noProof/>
                <w:webHidden/>
              </w:rPr>
              <w:instrText xml:space="preserve"> PAGEREF _Toc104899489 \h </w:instrText>
            </w:r>
            <w:r>
              <w:rPr>
                <w:noProof/>
                <w:webHidden/>
              </w:rPr>
            </w:r>
            <w:r>
              <w:rPr>
                <w:noProof/>
                <w:webHidden/>
              </w:rPr>
              <w:fldChar w:fldCharType="separate"/>
            </w:r>
            <w:r>
              <w:rPr>
                <w:noProof/>
                <w:webHidden/>
              </w:rPr>
              <w:t>45</w:t>
            </w:r>
            <w:r>
              <w:rPr>
                <w:noProof/>
                <w:webHidden/>
              </w:rPr>
              <w:fldChar w:fldCharType="end"/>
            </w:r>
          </w:hyperlink>
        </w:p>
        <w:p w14:paraId="0BB161A3" w14:textId="19221FD0" w:rsidR="003A7F6C" w:rsidRPr="000161A0" w:rsidRDefault="00C525A2" w:rsidP="00B811C6">
          <w:pPr>
            <w:pStyle w:val="TOC2"/>
          </w:pPr>
          <w:r w:rsidRPr="000161A0">
            <w:fldChar w:fldCharType="end"/>
          </w:r>
        </w:p>
      </w:sdtContent>
    </w:sdt>
    <w:bookmarkStart w:id="2" w:name="_Toc314842482" w:displacedByCustomXml="prev"/>
    <w:p w14:paraId="2EFB50BB" w14:textId="77777777" w:rsidR="00FD119B" w:rsidRPr="000161A0" w:rsidRDefault="00FD119B">
      <w:pPr>
        <w:spacing w:before="0" w:after="200" w:line="0" w:lineRule="auto"/>
      </w:pPr>
      <w:r w:rsidRPr="000161A0">
        <w:br w:type="page"/>
      </w:r>
    </w:p>
    <w:p w14:paraId="7A54D758" w14:textId="77777777" w:rsidR="00FD119B" w:rsidRPr="000161A0" w:rsidRDefault="00324E45" w:rsidP="004F0C4A">
      <w:pPr>
        <w:pStyle w:val="Heading2"/>
      </w:pPr>
      <w:bookmarkStart w:id="3" w:name="_Toc351716269"/>
      <w:bookmarkStart w:id="4" w:name="_Toc351718881"/>
      <w:bookmarkStart w:id="5" w:name="_Toc355338616"/>
      <w:bookmarkStart w:id="6" w:name="_Toc356306144"/>
      <w:bookmarkStart w:id="7" w:name="_Toc104899475"/>
      <w:r w:rsidRPr="000161A0">
        <w:lastRenderedPageBreak/>
        <w:t>List of</w:t>
      </w:r>
      <w:r w:rsidR="00FD119B" w:rsidRPr="000161A0">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0161A0" w14:paraId="27127735" w14:textId="77777777" w:rsidTr="0057249C">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6C9924FA" w14:textId="77777777" w:rsidR="00FD119B" w:rsidRPr="000161A0" w:rsidRDefault="00FD119B" w:rsidP="000161A0">
            <w:bookmarkStart w:id="8" w:name="_Hlk101283161"/>
            <w:r w:rsidRPr="000161A0">
              <w:t>Abbreviation</w:t>
            </w:r>
          </w:p>
        </w:tc>
        <w:tc>
          <w:tcPr>
            <w:tcW w:w="6604" w:type="dxa"/>
            <w:tcBorders>
              <w:top w:val="single" w:sz="4" w:space="0" w:color="auto"/>
              <w:left w:val="single" w:sz="4" w:space="0" w:color="auto"/>
              <w:bottom w:val="single" w:sz="4" w:space="0" w:color="auto"/>
              <w:right w:val="single" w:sz="4" w:space="0" w:color="auto"/>
            </w:tcBorders>
          </w:tcPr>
          <w:p w14:paraId="4A2C785D" w14:textId="77777777" w:rsidR="00FD119B" w:rsidRPr="000161A0" w:rsidRDefault="00FD119B" w:rsidP="000161A0">
            <w:r w:rsidRPr="000161A0">
              <w:t>Meaning</w:t>
            </w:r>
          </w:p>
        </w:tc>
      </w:tr>
      <w:tr w:rsidR="000161A0" w:rsidRPr="000161A0" w14:paraId="1B68BD5B" w14:textId="77777777" w:rsidTr="0057249C">
        <w:tc>
          <w:tcPr>
            <w:tcW w:w="1890" w:type="dxa"/>
          </w:tcPr>
          <w:p w14:paraId="648FAC97" w14:textId="3FC4CC9E" w:rsidR="000161A0" w:rsidRPr="000161A0" w:rsidRDefault="000161A0" w:rsidP="000161A0">
            <w:proofErr w:type="spellStart"/>
            <w:r w:rsidRPr="000161A0">
              <w:t>ACEi</w:t>
            </w:r>
            <w:proofErr w:type="spellEnd"/>
          </w:p>
        </w:tc>
        <w:tc>
          <w:tcPr>
            <w:tcW w:w="6604" w:type="dxa"/>
          </w:tcPr>
          <w:p w14:paraId="76DD1B2E" w14:textId="7BEA912D" w:rsidR="000161A0" w:rsidRPr="000161A0" w:rsidRDefault="000161A0" w:rsidP="000161A0">
            <w:bookmarkStart w:id="9" w:name="_Hlk101369151"/>
            <w:r w:rsidRPr="000161A0">
              <w:t>Angiotensin-converting enzyme inhibitor</w:t>
            </w:r>
            <w:bookmarkEnd w:id="9"/>
          </w:p>
        </w:tc>
      </w:tr>
      <w:tr w:rsidR="000161A0" w:rsidRPr="000161A0" w14:paraId="7B7B729B" w14:textId="77777777" w:rsidTr="0057249C">
        <w:tc>
          <w:tcPr>
            <w:tcW w:w="1890" w:type="dxa"/>
          </w:tcPr>
          <w:p w14:paraId="1C351976" w14:textId="70D06BFF" w:rsidR="000161A0" w:rsidRPr="000161A0" w:rsidRDefault="000161A0" w:rsidP="000161A0">
            <w:r w:rsidRPr="000161A0">
              <w:t>ACM</w:t>
            </w:r>
          </w:p>
        </w:tc>
        <w:tc>
          <w:tcPr>
            <w:tcW w:w="6604" w:type="dxa"/>
          </w:tcPr>
          <w:p w14:paraId="3C1E8FB2" w14:textId="06CC1133" w:rsidR="000161A0" w:rsidRPr="000161A0" w:rsidRDefault="000161A0" w:rsidP="000161A0">
            <w:r w:rsidRPr="000161A0">
              <w:t>Advisory Committee on Medicines</w:t>
            </w:r>
          </w:p>
        </w:tc>
      </w:tr>
      <w:tr w:rsidR="000161A0" w:rsidRPr="000161A0" w14:paraId="386F5035" w14:textId="77777777" w:rsidTr="0057249C">
        <w:tc>
          <w:tcPr>
            <w:tcW w:w="1890" w:type="dxa"/>
          </w:tcPr>
          <w:p w14:paraId="49E8A76F" w14:textId="5DBC72DE" w:rsidR="000161A0" w:rsidRPr="000161A0" w:rsidRDefault="000161A0" w:rsidP="000161A0">
            <w:r w:rsidRPr="000161A0">
              <w:t>AE</w:t>
            </w:r>
          </w:p>
        </w:tc>
        <w:tc>
          <w:tcPr>
            <w:tcW w:w="6604" w:type="dxa"/>
          </w:tcPr>
          <w:p w14:paraId="7D6C225D" w14:textId="218FA856" w:rsidR="000161A0" w:rsidRPr="000161A0" w:rsidRDefault="000161A0" w:rsidP="000161A0">
            <w:r w:rsidRPr="000161A0">
              <w:t>Adverse event</w:t>
            </w:r>
          </w:p>
        </w:tc>
      </w:tr>
      <w:tr w:rsidR="000161A0" w:rsidRPr="000161A0" w14:paraId="0B343B82" w14:textId="77777777" w:rsidTr="0057249C">
        <w:tc>
          <w:tcPr>
            <w:tcW w:w="1890" w:type="dxa"/>
          </w:tcPr>
          <w:p w14:paraId="7554B437" w14:textId="6DDB9A2E" w:rsidR="000161A0" w:rsidRPr="000161A0" w:rsidRDefault="000161A0" w:rsidP="000161A0">
            <w:r w:rsidRPr="000161A0">
              <w:t>ARB</w:t>
            </w:r>
          </w:p>
        </w:tc>
        <w:tc>
          <w:tcPr>
            <w:tcW w:w="6604" w:type="dxa"/>
          </w:tcPr>
          <w:p w14:paraId="4D929393" w14:textId="03E9030E" w:rsidR="000161A0" w:rsidRPr="000161A0" w:rsidRDefault="000161A0" w:rsidP="000161A0">
            <w:r w:rsidRPr="000161A0">
              <w:t>Angiotensin receptor blocker</w:t>
            </w:r>
          </w:p>
        </w:tc>
      </w:tr>
      <w:tr w:rsidR="000161A0" w:rsidRPr="000161A0" w14:paraId="22BD3EEF" w14:textId="77777777" w:rsidTr="0057249C">
        <w:tc>
          <w:tcPr>
            <w:tcW w:w="1890" w:type="dxa"/>
          </w:tcPr>
          <w:p w14:paraId="54525A33" w14:textId="51242CC4" w:rsidR="000161A0" w:rsidRPr="000161A0" w:rsidRDefault="000161A0" w:rsidP="000161A0">
            <w:r w:rsidRPr="000161A0">
              <w:t>ARR</w:t>
            </w:r>
          </w:p>
        </w:tc>
        <w:tc>
          <w:tcPr>
            <w:tcW w:w="6604" w:type="dxa"/>
          </w:tcPr>
          <w:p w14:paraId="765B2C3E" w14:textId="73D64227" w:rsidR="000161A0" w:rsidRPr="000161A0" w:rsidRDefault="000161A0" w:rsidP="000161A0">
            <w:r w:rsidRPr="000161A0">
              <w:t>Absolute risk reduction</w:t>
            </w:r>
          </w:p>
        </w:tc>
      </w:tr>
      <w:tr w:rsidR="000161A0" w:rsidRPr="000161A0" w14:paraId="31939AE9" w14:textId="77777777" w:rsidTr="0057249C">
        <w:tc>
          <w:tcPr>
            <w:tcW w:w="1890" w:type="dxa"/>
          </w:tcPr>
          <w:p w14:paraId="700B903E" w14:textId="06AAA8ED" w:rsidR="000161A0" w:rsidRPr="000161A0" w:rsidRDefault="000161A0" w:rsidP="000161A0">
            <w:r w:rsidRPr="000161A0">
              <w:t>ARTG</w:t>
            </w:r>
          </w:p>
        </w:tc>
        <w:tc>
          <w:tcPr>
            <w:tcW w:w="6604" w:type="dxa"/>
          </w:tcPr>
          <w:p w14:paraId="06A98D05" w14:textId="5C1F3C20" w:rsidR="000161A0" w:rsidRPr="000161A0" w:rsidRDefault="000161A0" w:rsidP="000161A0">
            <w:r w:rsidRPr="000161A0">
              <w:t>Australian Register of Therapeutic Goods</w:t>
            </w:r>
          </w:p>
        </w:tc>
      </w:tr>
      <w:tr w:rsidR="000161A0" w:rsidRPr="000161A0" w14:paraId="1F83BE67" w14:textId="77777777" w:rsidTr="0057249C">
        <w:tc>
          <w:tcPr>
            <w:tcW w:w="1890" w:type="dxa"/>
          </w:tcPr>
          <w:p w14:paraId="3EE6E825" w14:textId="1C2C2680" w:rsidR="000161A0" w:rsidRPr="000161A0" w:rsidRDefault="000161A0" w:rsidP="000161A0">
            <w:r w:rsidRPr="000161A0">
              <w:t>ASA</w:t>
            </w:r>
          </w:p>
        </w:tc>
        <w:tc>
          <w:tcPr>
            <w:tcW w:w="6604" w:type="dxa"/>
          </w:tcPr>
          <w:p w14:paraId="3B64A7BD" w14:textId="64CDAF00" w:rsidR="000161A0" w:rsidRPr="000161A0" w:rsidRDefault="000161A0" w:rsidP="000161A0">
            <w:r w:rsidRPr="000161A0">
              <w:t>Australia specific annex</w:t>
            </w:r>
          </w:p>
        </w:tc>
      </w:tr>
      <w:tr w:rsidR="000161A0" w:rsidRPr="000161A0" w14:paraId="19755E0C" w14:textId="77777777" w:rsidTr="0057249C">
        <w:tc>
          <w:tcPr>
            <w:tcW w:w="1890" w:type="dxa"/>
          </w:tcPr>
          <w:p w14:paraId="59C1B320" w14:textId="5A2DF316" w:rsidR="000161A0" w:rsidRPr="000161A0" w:rsidRDefault="000161A0" w:rsidP="000161A0">
            <w:r w:rsidRPr="000161A0">
              <w:t>AUC</w:t>
            </w:r>
          </w:p>
        </w:tc>
        <w:tc>
          <w:tcPr>
            <w:tcW w:w="6604" w:type="dxa"/>
          </w:tcPr>
          <w:p w14:paraId="7701C1D1" w14:textId="1D26E5D0" w:rsidR="000161A0" w:rsidRPr="000161A0" w:rsidRDefault="000161A0" w:rsidP="000161A0">
            <w:r>
              <w:t>A</w:t>
            </w:r>
            <w:r w:rsidRPr="000161A0">
              <w:t>rea under the concentration</w:t>
            </w:r>
            <w:r w:rsidR="00FF05B5">
              <w:noBreakHyphen/>
            </w:r>
            <w:r w:rsidRPr="000161A0">
              <w:t>time curve</w:t>
            </w:r>
          </w:p>
        </w:tc>
      </w:tr>
      <w:tr w:rsidR="000161A0" w:rsidRPr="000161A0" w14:paraId="25BE11AB" w14:textId="77777777" w:rsidTr="0057249C">
        <w:tc>
          <w:tcPr>
            <w:tcW w:w="1890" w:type="dxa"/>
          </w:tcPr>
          <w:p w14:paraId="17DAE8DA" w14:textId="07B895A8" w:rsidR="000161A0" w:rsidRPr="000161A0" w:rsidRDefault="000161A0" w:rsidP="000161A0">
            <w:r w:rsidRPr="000161A0">
              <w:t>BCRP</w:t>
            </w:r>
          </w:p>
        </w:tc>
        <w:tc>
          <w:tcPr>
            <w:tcW w:w="6604" w:type="dxa"/>
          </w:tcPr>
          <w:p w14:paraId="4423A001" w14:textId="6D123382" w:rsidR="000161A0" w:rsidRPr="000161A0" w:rsidRDefault="000161A0" w:rsidP="000161A0">
            <w:r w:rsidRPr="000161A0">
              <w:t>Breast cancer resistance protein</w:t>
            </w:r>
          </w:p>
        </w:tc>
      </w:tr>
      <w:tr w:rsidR="000161A0" w:rsidRPr="000161A0" w14:paraId="2A97D297" w14:textId="77777777" w:rsidTr="0057249C">
        <w:tc>
          <w:tcPr>
            <w:tcW w:w="1890" w:type="dxa"/>
          </w:tcPr>
          <w:p w14:paraId="27DF414C" w14:textId="1D76C05A" w:rsidR="000161A0" w:rsidRPr="000161A0" w:rsidRDefault="000161A0" w:rsidP="000161A0">
            <w:r w:rsidRPr="000161A0">
              <w:t>BCS</w:t>
            </w:r>
          </w:p>
        </w:tc>
        <w:tc>
          <w:tcPr>
            <w:tcW w:w="6604" w:type="dxa"/>
          </w:tcPr>
          <w:p w14:paraId="3AD8CF5C" w14:textId="6FBDF9D6" w:rsidR="000161A0" w:rsidRPr="000161A0" w:rsidRDefault="000161A0" w:rsidP="000161A0">
            <w:r w:rsidRPr="000161A0">
              <w:t>Biopharmaceutics Classification System</w:t>
            </w:r>
          </w:p>
        </w:tc>
      </w:tr>
      <w:tr w:rsidR="000161A0" w:rsidRPr="000161A0" w14:paraId="354FA4E0" w14:textId="77777777" w:rsidTr="0057249C">
        <w:tc>
          <w:tcPr>
            <w:tcW w:w="1890" w:type="dxa"/>
          </w:tcPr>
          <w:p w14:paraId="1640967D" w14:textId="4B74E7D6" w:rsidR="000161A0" w:rsidRPr="000161A0" w:rsidRDefault="000161A0" w:rsidP="000161A0">
            <w:r w:rsidRPr="000161A0">
              <w:t>CHMP</w:t>
            </w:r>
          </w:p>
        </w:tc>
        <w:tc>
          <w:tcPr>
            <w:tcW w:w="6604" w:type="dxa"/>
          </w:tcPr>
          <w:p w14:paraId="46DA071C" w14:textId="5EEEDB00" w:rsidR="000161A0" w:rsidRPr="000161A0" w:rsidRDefault="000161A0" w:rsidP="000161A0">
            <w:r w:rsidRPr="000161A0">
              <w:t>Committee for Medicinal Products for Human Use (European Union)</w:t>
            </w:r>
          </w:p>
        </w:tc>
      </w:tr>
      <w:tr w:rsidR="000161A0" w:rsidRPr="000161A0" w14:paraId="03E5746E" w14:textId="77777777" w:rsidTr="0057249C">
        <w:tc>
          <w:tcPr>
            <w:tcW w:w="1890" w:type="dxa"/>
          </w:tcPr>
          <w:p w14:paraId="63E15079" w14:textId="14B055EA" w:rsidR="000161A0" w:rsidRPr="000161A0" w:rsidRDefault="000161A0" w:rsidP="000161A0">
            <w:r w:rsidRPr="000161A0">
              <w:t>CI</w:t>
            </w:r>
          </w:p>
        </w:tc>
        <w:tc>
          <w:tcPr>
            <w:tcW w:w="6604" w:type="dxa"/>
          </w:tcPr>
          <w:p w14:paraId="55D9141D" w14:textId="4BDC9D17" w:rsidR="000161A0" w:rsidRPr="000161A0" w:rsidRDefault="000161A0" w:rsidP="000161A0">
            <w:r w:rsidRPr="000161A0">
              <w:t>Confidence interval</w:t>
            </w:r>
          </w:p>
        </w:tc>
      </w:tr>
      <w:tr w:rsidR="000161A0" w:rsidRPr="000161A0" w14:paraId="6BB2F35A" w14:textId="77777777" w:rsidTr="0057249C">
        <w:tc>
          <w:tcPr>
            <w:tcW w:w="1890" w:type="dxa"/>
          </w:tcPr>
          <w:p w14:paraId="7696404F" w14:textId="4B2EC000" w:rsidR="000161A0" w:rsidRPr="000161A0" w:rsidRDefault="000161A0" w:rsidP="000161A0">
            <w:r w:rsidRPr="000161A0">
              <w:t>CKD</w:t>
            </w:r>
          </w:p>
        </w:tc>
        <w:tc>
          <w:tcPr>
            <w:tcW w:w="6604" w:type="dxa"/>
          </w:tcPr>
          <w:p w14:paraId="7D2E139A" w14:textId="5B88A706" w:rsidR="000161A0" w:rsidRPr="000161A0" w:rsidRDefault="000161A0" w:rsidP="000161A0">
            <w:r w:rsidRPr="000161A0">
              <w:t>Chronic kidney disease</w:t>
            </w:r>
          </w:p>
        </w:tc>
      </w:tr>
      <w:tr w:rsidR="000161A0" w:rsidRPr="000161A0" w14:paraId="45AFBDCB" w14:textId="77777777" w:rsidTr="0057249C">
        <w:tc>
          <w:tcPr>
            <w:tcW w:w="1890" w:type="dxa"/>
          </w:tcPr>
          <w:p w14:paraId="1610335E" w14:textId="39B66FA4" w:rsidR="000161A0" w:rsidRPr="000161A0" w:rsidRDefault="000161A0" w:rsidP="000161A0">
            <w:r w:rsidRPr="000161A0">
              <w:t>CL/F</w:t>
            </w:r>
          </w:p>
        </w:tc>
        <w:tc>
          <w:tcPr>
            <w:tcW w:w="6604" w:type="dxa"/>
          </w:tcPr>
          <w:p w14:paraId="068F6203" w14:textId="538EB4DA" w:rsidR="000161A0" w:rsidRPr="000161A0" w:rsidRDefault="000161A0" w:rsidP="000161A0">
            <w:bookmarkStart w:id="10" w:name="_Hlk101362002"/>
            <w:r>
              <w:t>A</w:t>
            </w:r>
            <w:r w:rsidRPr="000161A0">
              <w:t>pparent oral clearance</w:t>
            </w:r>
            <w:bookmarkEnd w:id="10"/>
          </w:p>
        </w:tc>
      </w:tr>
      <w:tr w:rsidR="000161A0" w:rsidRPr="000161A0" w14:paraId="593C44A8" w14:textId="77777777" w:rsidTr="0057249C">
        <w:tc>
          <w:tcPr>
            <w:tcW w:w="1890" w:type="dxa"/>
          </w:tcPr>
          <w:p w14:paraId="7CB4587C" w14:textId="7822B94B" w:rsidR="000161A0" w:rsidRPr="000161A0" w:rsidRDefault="000161A0" w:rsidP="000161A0">
            <w:proofErr w:type="spellStart"/>
            <w:r w:rsidRPr="000161A0">
              <w:t>C</w:t>
            </w:r>
            <w:r w:rsidRPr="000161A0">
              <w:rPr>
                <w:vertAlign w:val="subscript"/>
              </w:rPr>
              <w:t>max</w:t>
            </w:r>
            <w:proofErr w:type="spellEnd"/>
          </w:p>
        </w:tc>
        <w:tc>
          <w:tcPr>
            <w:tcW w:w="6604" w:type="dxa"/>
          </w:tcPr>
          <w:p w14:paraId="2DB3792B" w14:textId="258D1862" w:rsidR="000161A0" w:rsidRPr="000161A0" w:rsidRDefault="000161A0" w:rsidP="000161A0">
            <w:r w:rsidRPr="000161A0">
              <w:t>Maximum observed drug concentration</w:t>
            </w:r>
          </w:p>
        </w:tc>
      </w:tr>
      <w:tr w:rsidR="000161A0" w:rsidRPr="000161A0" w14:paraId="56D48C26" w14:textId="77777777" w:rsidTr="0057249C">
        <w:tc>
          <w:tcPr>
            <w:tcW w:w="1890" w:type="dxa"/>
          </w:tcPr>
          <w:p w14:paraId="445356E6" w14:textId="33116639" w:rsidR="000161A0" w:rsidRPr="000161A0" w:rsidRDefault="000161A0" w:rsidP="000161A0">
            <w:proofErr w:type="spellStart"/>
            <w:proofErr w:type="gramStart"/>
            <w:r w:rsidRPr="000161A0">
              <w:t>C</w:t>
            </w:r>
            <w:r w:rsidRPr="000161A0">
              <w:rPr>
                <w:vertAlign w:val="subscript"/>
              </w:rPr>
              <w:t>max,md</w:t>
            </w:r>
            <w:proofErr w:type="spellEnd"/>
            <w:proofErr w:type="gramEnd"/>
          </w:p>
        </w:tc>
        <w:tc>
          <w:tcPr>
            <w:tcW w:w="6604" w:type="dxa"/>
          </w:tcPr>
          <w:p w14:paraId="4C398C9F" w14:textId="7C599391" w:rsidR="000161A0" w:rsidRPr="000161A0" w:rsidRDefault="000161A0" w:rsidP="000161A0">
            <w:r w:rsidRPr="000161A0">
              <w:t>Maximum observed drug concentration in measured matrix after multiple dose administration during a dosage interval</w:t>
            </w:r>
          </w:p>
        </w:tc>
      </w:tr>
      <w:tr w:rsidR="000161A0" w:rsidRPr="000161A0" w14:paraId="7EEAF46C" w14:textId="77777777" w:rsidTr="0057249C">
        <w:tc>
          <w:tcPr>
            <w:tcW w:w="1890" w:type="dxa"/>
          </w:tcPr>
          <w:p w14:paraId="136D5366" w14:textId="16AFC368" w:rsidR="000161A0" w:rsidRPr="000161A0" w:rsidRDefault="000161A0" w:rsidP="000161A0">
            <w:r w:rsidRPr="000161A0">
              <w:t>CMI</w:t>
            </w:r>
          </w:p>
        </w:tc>
        <w:tc>
          <w:tcPr>
            <w:tcW w:w="6604" w:type="dxa"/>
          </w:tcPr>
          <w:p w14:paraId="64251D89" w14:textId="6FE81D1B" w:rsidR="000161A0" w:rsidRPr="000161A0" w:rsidRDefault="000161A0" w:rsidP="000161A0">
            <w:r w:rsidRPr="000161A0">
              <w:t>Consumer Medicines Information</w:t>
            </w:r>
          </w:p>
        </w:tc>
      </w:tr>
      <w:tr w:rsidR="000161A0" w:rsidRPr="000161A0" w14:paraId="3D07500A" w14:textId="77777777" w:rsidTr="0057249C">
        <w:tc>
          <w:tcPr>
            <w:tcW w:w="1890" w:type="dxa"/>
          </w:tcPr>
          <w:p w14:paraId="02CA4461" w14:textId="5C965F35" w:rsidR="000161A0" w:rsidRPr="000161A0" w:rsidRDefault="000161A0" w:rsidP="000161A0">
            <w:proofErr w:type="spellStart"/>
            <w:r w:rsidRPr="000161A0">
              <w:t>C</w:t>
            </w:r>
            <w:r w:rsidRPr="000161A0">
              <w:rPr>
                <w:vertAlign w:val="subscript"/>
              </w:rPr>
              <w:t>trough</w:t>
            </w:r>
            <w:proofErr w:type="spellEnd"/>
          </w:p>
        </w:tc>
        <w:tc>
          <w:tcPr>
            <w:tcW w:w="6604" w:type="dxa"/>
          </w:tcPr>
          <w:p w14:paraId="24ADDD16" w14:textId="0FCF4A5A" w:rsidR="000161A0" w:rsidRPr="000161A0" w:rsidRDefault="000161A0" w:rsidP="000161A0">
            <w:r w:rsidRPr="000161A0">
              <w:t>Trough concentration</w:t>
            </w:r>
          </w:p>
        </w:tc>
      </w:tr>
      <w:tr w:rsidR="000161A0" w:rsidRPr="000161A0" w14:paraId="6FD8B952" w14:textId="77777777" w:rsidTr="0057249C">
        <w:tc>
          <w:tcPr>
            <w:tcW w:w="1890" w:type="dxa"/>
          </w:tcPr>
          <w:p w14:paraId="3C937B97" w14:textId="684A6238" w:rsidR="000161A0" w:rsidRPr="000161A0" w:rsidRDefault="000161A0" w:rsidP="000161A0">
            <w:r w:rsidRPr="000161A0">
              <w:t>CPMP</w:t>
            </w:r>
          </w:p>
        </w:tc>
        <w:tc>
          <w:tcPr>
            <w:tcW w:w="6604" w:type="dxa"/>
          </w:tcPr>
          <w:p w14:paraId="00F91CF6" w14:textId="2901A9FC" w:rsidR="000161A0" w:rsidRPr="000161A0" w:rsidRDefault="000161A0" w:rsidP="000161A0">
            <w:r w:rsidRPr="000161A0">
              <w:t xml:space="preserve">Committee </w:t>
            </w:r>
            <w:r w:rsidR="00E50C3E">
              <w:t>f</w:t>
            </w:r>
            <w:r w:rsidRPr="000161A0">
              <w:t>or Proprietary Medicinal Products (European Union)</w:t>
            </w:r>
          </w:p>
        </w:tc>
      </w:tr>
      <w:tr w:rsidR="000161A0" w:rsidRPr="000161A0" w14:paraId="7B0DD60D" w14:textId="77777777" w:rsidTr="0057249C">
        <w:tc>
          <w:tcPr>
            <w:tcW w:w="1890" w:type="dxa"/>
          </w:tcPr>
          <w:p w14:paraId="7AEFAFCC" w14:textId="5CD9A35D" w:rsidR="000161A0" w:rsidRPr="000161A0" w:rsidRDefault="000161A0" w:rsidP="000161A0">
            <w:r w:rsidRPr="000161A0">
              <w:t>GFR</w:t>
            </w:r>
          </w:p>
        </w:tc>
        <w:tc>
          <w:tcPr>
            <w:tcW w:w="6604" w:type="dxa"/>
          </w:tcPr>
          <w:p w14:paraId="5838186C" w14:textId="245CFD54" w:rsidR="000161A0" w:rsidRPr="000161A0" w:rsidRDefault="000161A0" w:rsidP="000161A0">
            <w:r w:rsidRPr="000161A0">
              <w:t>Glomerular filtration rate</w:t>
            </w:r>
          </w:p>
        </w:tc>
      </w:tr>
      <w:tr w:rsidR="0057249C" w:rsidRPr="000161A0" w14:paraId="6C5B7ADE" w14:textId="77777777" w:rsidTr="0057249C">
        <w:tc>
          <w:tcPr>
            <w:tcW w:w="1890" w:type="dxa"/>
          </w:tcPr>
          <w:p w14:paraId="0A861B4B" w14:textId="55A008B3" w:rsidR="0057249C" w:rsidRPr="000161A0" w:rsidRDefault="0057249C" w:rsidP="000161A0">
            <w:r w:rsidRPr="000161A0">
              <w:t>CYP2C8</w:t>
            </w:r>
          </w:p>
        </w:tc>
        <w:tc>
          <w:tcPr>
            <w:tcW w:w="6604" w:type="dxa"/>
          </w:tcPr>
          <w:p w14:paraId="55D1CABC" w14:textId="05B2B3FE" w:rsidR="0057249C" w:rsidRPr="000161A0" w:rsidRDefault="0057249C" w:rsidP="000161A0">
            <w:r>
              <w:t>C</w:t>
            </w:r>
            <w:r w:rsidRPr="000161A0">
              <w:t xml:space="preserve">ytochrome P450 </w:t>
            </w:r>
            <w:r w:rsidRPr="0057249C">
              <w:t xml:space="preserve">isoenzyme </w:t>
            </w:r>
            <w:r w:rsidRPr="000161A0">
              <w:t>2C8</w:t>
            </w:r>
          </w:p>
        </w:tc>
      </w:tr>
      <w:tr w:rsidR="000161A0" w:rsidRPr="000161A0" w14:paraId="6F17893E" w14:textId="77777777" w:rsidTr="0057249C">
        <w:tc>
          <w:tcPr>
            <w:tcW w:w="1890" w:type="dxa"/>
          </w:tcPr>
          <w:p w14:paraId="273D75CE" w14:textId="1D64B5DA" w:rsidR="000161A0" w:rsidRPr="000161A0" w:rsidRDefault="0057249C" w:rsidP="000161A0">
            <w:r w:rsidRPr="000161A0">
              <w:t>CYP3A4</w:t>
            </w:r>
          </w:p>
        </w:tc>
        <w:tc>
          <w:tcPr>
            <w:tcW w:w="6604" w:type="dxa"/>
          </w:tcPr>
          <w:p w14:paraId="7BDD2D15" w14:textId="0C8B0894" w:rsidR="000161A0" w:rsidRPr="000161A0" w:rsidRDefault="0057249C" w:rsidP="000161A0">
            <w:bookmarkStart w:id="11" w:name="_Hlk101363760"/>
            <w:r>
              <w:t>C</w:t>
            </w:r>
            <w:r w:rsidRPr="000161A0">
              <w:t xml:space="preserve">ytochrome P450 </w:t>
            </w:r>
            <w:r w:rsidRPr="0057249C">
              <w:t>isoenzyme 3A4</w:t>
            </w:r>
            <w:r w:rsidRPr="000161A0">
              <w:t>3A4</w:t>
            </w:r>
            <w:bookmarkEnd w:id="11"/>
          </w:p>
        </w:tc>
      </w:tr>
      <w:tr w:rsidR="000161A0" w:rsidRPr="000161A0" w14:paraId="4534CEC6" w14:textId="77777777" w:rsidTr="0057249C">
        <w:tc>
          <w:tcPr>
            <w:tcW w:w="1890" w:type="dxa"/>
          </w:tcPr>
          <w:p w14:paraId="0F618907" w14:textId="15ED6331" w:rsidR="000161A0" w:rsidRPr="000161A0" w:rsidRDefault="000161A0" w:rsidP="000161A0">
            <w:r w:rsidRPr="000161A0">
              <w:t>DLP</w:t>
            </w:r>
          </w:p>
        </w:tc>
        <w:tc>
          <w:tcPr>
            <w:tcW w:w="6604" w:type="dxa"/>
          </w:tcPr>
          <w:p w14:paraId="2BD27DE7" w14:textId="4F02F96F" w:rsidR="000161A0" w:rsidRPr="000161A0" w:rsidRDefault="000161A0" w:rsidP="000161A0">
            <w:r w:rsidRPr="000161A0">
              <w:t>Data lock point</w:t>
            </w:r>
          </w:p>
        </w:tc>
      </w:tr>
      <w:tr w:rsidR="000161A0" w:rsidRPr="000161A0" w14:paraId="6CF05DC6" w14:textId="77777777" w:rsidTr="0057249C">
        <w:tc>
          <w:tcPr>
            <w:tcW w:w="1890" w:type="dxa"/>
          </w:tcPr>
          <w:p w14:paraId="6A5BC70F" w14:textId="5C4A5EF4" w:rsidR="000161A0" w:rsidRPr="000161A0" w:rsidRDefault="000161A0" w:rsidP="000161A0">
            <w:r w:rsidRPr="000161A0">
              <w:lastRenderedPageBreak/>
              <w:t>eGFR</w:t>
            </w:r>
          </w:p>
        </w:tc>
        <w:tc>
          <w:tcPr>
            <w:tcW w:w="6604" w:type="dxa"/>
          </w:tcPr>
          <w:p w14:paraId="5DF0761F" w14:textId="2C299161" w:rsidR="000161A0" w:rsidRPr="000161A0" w:rsidRDefault="000161A0" w:rsidP="000161A0">
            <w:bookmarkStart w:id="12" w:name="_Hlk101362016"/>
            <w:r w:rsidRPr="000161A0">
              <w:t>Estimated glomerular filtration rate</w:t>
            </w:r>
            <w:bookmarkEnd w:id="12"/>
          </w:p>
        </w:tc>
      </w:tr>
      <w:tr w:rsidR="000161A0" w:rsidRPr="000161A0" w14:paraId="19562DC1" w14:textId="77777777" w:rsidTr="0057249C">
        <w:tc>
          <w:tcPr>
            <w:tcW w:w="1890" w:type="dxa"/>
          </w:tcPr>
          <w:p w14:paraId="2CD1E870" w14:textId="1A26161D" w:rsidR="000161A0" w:rsidRPr="000161A0" w:rsidRDefault="000161A0" w:rsidP="000161A0">
            <w:r w:rsidRPr="000161A0">
              <w:t>EMA</w:t>
            </w:r>
          </w:p>
        </w:tc>
        <w:tc>
          <w:tcPr>
            <w:tcW w:w="6604" w:type="dxa"/>
          </w:tcPr>
          <w:p w14:paraId="0BCED88C" w14:textId="422B1793" w:rsidR="000161A0" w:rsidRPr="000161A0" w:rsidRDefault="000161A0" w:rsidP="000161A0">
            <w:r w:rsidRPr="000161A0">
              <w:t>European Medicines Agency (European Union)</w:t>
            </w:r>
          </w:p>
        </w:tc>
      </w:tr>
      <w:tr w:rsidR="000161A0" w:rsidRPr="000161A0" w14:paraId="7BE5BBD8" w14:textId="77777777" w:rsidTr="0057249C">
        <w:tc>
          <w:tcPr>
            <w:tcW w:w="1890" w:type="dxa"/>
          </w:tcPr>
          <w:p w14:paraId="7A447A5B" w14:textId="37644E7F" w:rsidR="000161A0" w:rsidRPr="000161A0" w:rsidRDefault="000161A0" w:rsidP="000161A0">
            <w:r w:rsidRPr="000161A0">
              <w:t>EMEA</w:t>
            </w:r>
          </w:p>
        </w:tc>
        <w:tc>
          <w:tcPr>
            <w:tcW w:w="6604" w:type="dxa"/>
          </w:tcPr>
          <w:p w14:paraId="3016F5F0" w14:textId="1E242FE3" w:rsidR="000161A0" w:rsidRPr="000161A0" w:rsidRDefault="000161A0" w:rsidP="000161A0">
            <w:r w:rsidRPr="000161A0">
              <w:t>European Medicines Evaluation Agency (European Union)</w:t>
            </w:r>
          </w:p>
        </w:tc>
      </w:tr>
      <w:tr w:rsidR="000161A0" w:rsidRPr="000161A0" w14:paraId="470D8F72" w14:textId="77777777" w:rsidTr="0057249C">
        <w:tc>
          <w:tcPr>
            <w:tcW w:w="1890" w:type="dxa"/>
          </w:tcPr>
          <w:p w14:paraId="2F79CDA9" w14:textId="6E44DF41" w:rsidR="000161A0" w:rsidRPr="000161A0" w:rsidRDefault="000161A0" w:rsidP="000161A0">
            <w:r w:rsidRPr="000161A0">
              <w:t>EU</w:t>
            </w:r>
          </w:p>
        </w:tc>
        <w:tc>
          <w:tcPr>
            <w:tcW w:w="6604" w:type="dxa"/>
          </w:tcPr>
          <w:p w14:paraId="6ED39BD1" w14:textId="6335AE75" w:rsidR="000161A0" w:rsidRPr="000161A0" w:rsidRDefault="000161A0" w:rsidP="000161A0">
            <w:r w:rsidRPr="000161A0">
              <w:t>European Union</w:t>
            </w:r>
          </w:p>
        </w:tc>
      </w:tr>
      <w:tr w:rsidR="000161A0" w:rsidRPr="000161A0" w14:paraId="122A9928" w14:textId="77777777" w:rsidTr="0057249C">
        <w:tc>
          <w:tcPr>
            <w:tcW w:w="1890" w:type="dxa"/>
          </w:tcPr>
          <w:p w14:paraId="31A459C9" w14:textId="07424CA1" w:rsidR="000161A0" w:rsidRPr="000161A0" w:rsidRDefault="000161A0" w:rsidP="000161A0">
            <w:r w:rsidRPr="000161A0">
              <w:t>GLP-1</w:t>
            </w:r>
          </w:p>
        </w:tc>
        <w:tc>
          <w:tcPr>
            <w:tcW w:w="6604" w:type="dxa"/>
          </w:tcPr>
          <w:p w14:paraId="09155355" w14:textId="137F2447" w:rsidR="000161A0" w:rsidRPr="000161A0" w:rsidRDefault="000161A0" w:rsidP="000161A0">
            <w:bookmarkStart w:id="13" w:name="_Hlk101363773"/>
            <w:r w:rsidRPr="000161A0">
              <w:t>Glucagon</w:t>
            </w:r>
            <w:r w:rsidR="00FF05B5">
              <w:noBreakHyphen/>
            </w:r>
            <w:r w:rsidRPr="000161A0">
              <w:t>like peptide 1</w:t>
            </w:r>
            <w:bookmarkEnd w:id="13"/>
          </w:p>
        </w:tc>
      </w:tr>
      <w:tr w:rsidR="000161A0" w:rsidRPr="000161A0" w14:paraId="461BE306" w14:textId="77777777" w:rsidTr="0057249C">
        <w:tc>
          <w:tcPr>
            <w:tcW w:w="1890" w:type="dxa"/>
          </w:tcPr>
          <w:p w14:paraId="3A612E02" w14:textId="36E147CE" w:rsidR="000161A0" w:rsidRPr="000161A0" w:rsidRDefault="000161A0" w:rsidP="000161A0">
            <w:r w:rsidRPr="000161A0">
              <w:t>GVP</w:t>
            </w:r>
          </w:p>
        </w:tc>
        <w:tc>
          <w:tcPr>
            <w:tcW w:w="6604" w:type="dxa"/>
          </w:tcPr>
          <w:p w14:paraId="3D2EC3D7" w14:textId="7B8C6F84" w:rsidR="000161A0" w:rsidRPr="000161A0" w:rsidRDefault="000161A0" w:rsidP="000161A0">
            <w:r w:rsidRPr="000161A0">
              <w:t>Good Pharmacovigilance Practices</w:t>
            </w:r>
          </w:p>
        </w:tc>
      </w:tr>
      <w:tr w:rsidR="000161A0" w:rsidRPr="000161A0" w14:paraId="4B92EA89" w14:textId="77777777" w:rsidTr="0057249C">
        <w:tc>
          <w:tcPr>
            <w:tcW w:w="1890" w:type="dxa"/>
          </w:tcPr>
          <w:p w14:paraId="33348F4F" w14:textId="5E3C61F6" w:rsidR="000161A0" w:rsidRPr="000161A0" w:rsidRDefault="000161A0" w:rsidP="000161A0">
            <w:r w:rsidRPr="000161A0">
              <w:t>HbA1c</w:t>
            </w:r>
          </w:p>
        </w:tc>
        <w:tc>
          <w:tcPr>
            <w:tcW w:w="6604" w:type="dxa"/>
          </w:tcPr>
          <w:p w14:paraId="026A8592" w14:textId="0F9F825A" w:rsidR="000161A0" w:rsidRPr="000161A0" w:rsidRDefault="000161A0" w:rsidP="000161A0">
            <w:r w:rsidRPr="000161A0">
              <w:t xml:space="preserve">Haemoglobin A1c </w:t>
            </w:r>
            <w:r w:rsidR="00FF05B5">
              <w:t>(</w:t>
            </w:r>
            <w:r w:rsidRPr="000161A0">
              <w:t>glycated haemoglobin</w:t>
            </w:r>
            <w:r w:rsidR="00FF05B5">
              <w:t>)</w:t>
            </w:r>
          </w:p>
        </w:tc>
      </w:tr>
      <w:tr w:rsidR="000161A0" w:rsidRPr="000161A0" w14:paraId="3F8D3B5C" w14:textId="77777777" w:rsidTr="0057249C">
        <w:tc>
          <w:tcPr>
            <w:tcW w:w="1890" w:type="dxa"/>
          </w:tcPr>
          <w:p w14:paraId="1FE71131" w14:textId="282B1077" w:rsidR="000161A0" w:rsidRPr="000161A0" w:rsidRDefault="000161A0" w:rsidP="000161A0">
            <w:r w:rsidRPr="000161A0">
              <w:t>HR</w:t>
            </w:r>
          </w:p>
        </w:tc>
        <w:tc>
          <w:tcPr>
            <w:tcW w:w="6604" w:type="dxa"/>
          </w:tcPr>
          <w:p w14:paraId="7E8B42C3" w14:textId="1723691E" w:rsidR="000161A0" w:rsidRPr="000161A0" w:rsidRDefault="000161A0" w:rsidP="000161A0">
            <w:r w:rsidRPr="000161A0">
              <w:t>Hazard ratio</w:t>
            </w:r>
          </w:p>
        </w:tc>
      </w:tr>
      <w:tr w:rsidR="000161A0" w:rsidRPr="000161A0" w14:paraId="6DBB3D14" w14:textId="77777777" w:rsidTr="0057249C">
        <w:tc>
          <w:tcPr>
            <w:tcW w:w="1890" w:type="dxa"/>
          </w:tcPr>
          <w:p w14:paraId="52A2FB8A" w14:textId="432323BF" w:rsidR="000161A0" w:rsidRPr="000161A0" w:rsidRDefault="000161A0" w:rsidP="000161A0">
            <w:r w:rsidRPr="000161A0">
              <w:t>MedDRA</w:t>
            </w:r>
          </w:p>
        </w:tc>
        <w:tc>
          <w:tcPr>
            <w:tcW w:w="6604" w:type="dxa"/>
          </w:tcPr>
          <w:p w14:paraId="5198CB47" w14:textId="361F3D6A" w:rsidR="000161A0" w:rsidRPr="000161A0" w:rsidRDefault="000161A0" w:rsidP="000161A0">
            <w:r w:rsidRPr="000161A0">
              <w:t>Medical Dictionary for Regulatory Activities</w:t>
            </w:r>
          </w:p>
        </w:tc>
      </w:tr>
      <w:tr w:rsidR="000161A0" w:rsidRPr="000161A0" w14:paraId="2760324F" w14:textId="77777777" w:rsidTr="0057249C">
        <w:tc>
          <w:tcPr>
            <w:tcW w:w="1890" w:type="dxa"/>
          </w:tcPr>
          <w:p w14:paraId="7EBBA06B" w14:textId="3076D90A" w:rsidR="000161A0" w:rsidRPr="000161A0" w:rsidRDefault="000161A0" w:rsidP="000161A0">
            <w:r w:rsidRPr="000161A0">
              <w:t>MRA</w:t>
            </w:r>
          </w:p>
        </w:tc>
        <w:tc>
          <w:tcPr>
            <w:tcW w:w="6604" w:type="dxa"/>
          </w:tcPr>
          <w:p w14:paraId="7F0614FD" w14:textId="75585FE7" w:rsidR="000161A0" w:rsidRPr="000161A0" w:rsidRDefault="000161A0" w:rsidP="000161A0">
            <w:r w:rsidRPr="000161A0">
              <w:t>Mineralocorticoid receptor antagonist</w:t>
            </w:r>
          </w:p>
        </w:tc>
      </w:tr>
      <w:tr w:rsidR="000161A0" w:rsidRPr="000161A0" w14:paraId="5D145C81" w14:textId="77777777" w:rsidTr="0057249C">
        <w:tc>
          <w:tcPr>
            <w:tcW w:w="1890" w:type="dxa"/>
          </w:tcPr>
          <w:p w14:paraId="04F96BFC" w14:textId="712D984D" w:rsidR="000161A0" w:rsidRPr="000161A0" w:rsidRDefault="000161A0" w:rsidP="000161A0">
            <w:r w:rsidRPr="000161A0">
              <w:t>OATP</w:t>
            </w:r>
          </w:p>
        </w:tc>
        <w:tc>
          <w:tcPr>
            <w:tcW w:w="6604" w:type="dxa"/>
          </w:tcPr>
          <w:p w14:paraId="6FB064B5" w14:textId="7D38C133" w:rsidR="000161A0" w:rsidRPr="000161A0" w:rsidRDefault="000161A0" w:rsidP="000161A0">
            <w:r w:rsidRPr="000161A0">
              <w:t>Organic anion transporting polypeptide</w:t>
            </w:r>
          </w:p>
        </w:tc>
      </w:tr>
      <w:tr w:rsidR="000161A0" w:rsidRPr="000161A0" w14:paraId="44735DE6" w14:textId="77777777" w:rsidTr="0057249C">
        <w:tc>
          <w:tcPr>
            <w:tcW w:w="1890" w:type="dxa"/>
          </w:tcPr>
          <w:p w14:paraId="78C2CF7E" w14:textId="18E609B0" w:rsidR="000161A0" w:rsidRPr="000161A0" w:rsidRDefault="000161A0" w:rsidP="000161A0">
            <w:r w:rsidRPr="000161A0">
              <w:t>PD</w:t>
            </w:r>
          </w:p>
        </w:tc>
        <w:tc>
          <w:tcPr>
            <w:tcW w:w="6604" w:type="dxa"/>
          </w:tcPr>
          <w:p w14:paraId="649F0AEF" w14:textId="1E27230B" w:rsidR="000161A0" w:rsidRPr="000161A0" w:rsidRDefault="000161A0" w:rsidP="000161A0">
            <w:r w:rsidRPr="000161A0">
              <w:t>Pharmacodynamic</w:t>
            </w:r>
            <w:r w:rsidR="00FF05B5">
              <w:t>(</w:t>
            </w:r>
            <w:r w:rsidRPr="000161A0">
              <w:t>s</w:t>
            </w:r>
            <w:r w:rsidR="00FF05B5">
              <w:t>)</w:t>
            </w:r>
          </w:p>
        </w:tc>
      </w:tr>
      <w:tr w:rsidR="000161A0" w:rsidRPr="000161A0" w14:paraId="0B2349AB" w14:textId="77777777" w:rsidTr="0057249C">
        <w:tc>
          <w:tcPr>
            <w:tcW w:w="1890" w:type="dxa"/>
          </w:tcPr>
          <w:p w14:paraId="39D2E2DF" w14:textId="63CDE0D6" w:rsidR="000161A0" w:rsidRPr="000161A0" w:rsidRDefault="000161A0" w:rsidP="000161A0">
            <w:r w:rsidRPr="000161A0">
              <w:t>P-</w:t>
            </w:r>
            <w:proofErr w:type="spellStart"/>
            <w:r w:rsidRPr="000161A0">
              <w:t>gp</w:t>
            </w:r>
            <w:proofErr w:type="spellEnd"/>
          </w:p>
        </w:tc>
        <w:tc>
          <w:tcPr>
            <w:tcW w:w="6604" w:type="dxa"/>
          </w:tcPr>
          <w:p w14:paraId="6A56485F" w14:textId="6C376907" w:rsidR="000161A0" w:rsidRPr="000161A0" w:rsidRDefault="000161A0" w:rsidP="000161A0">
            <w:r w:rsidRPr="000161A0">
              <w:t>P-glycoprotein</w:t>
            </w:r>
          </w:p>
        </w:tc>
      </w:tr>
      <w:tr w:rsidR="000161A0" w:rsidRPr="000161A0" w14:paraId="049D6075" w14:textId="77777777" w:rsidTr="0057249C">
        <w:tc>
          <w:tcPr>
            <w:tcW w:w="1890" w:type="dxa"/>
          </w:tcPr>
          <w:p w14:paraId="7E471D11" w14:textId="248A2DBD" w:rsidR="000161A0" w:rsidRPr="000161A0" w:rsidRDefault="000161A0" w:rsidP="000161A0">
            <w:r w:rsidRPr="000161A0">
              <w:t>PI</w:t>
            </w:r>
          </w:p>
        </w:tc>
        <w:tc>
          <w:tcPr>
            <w:tcW w:w="6604" w:type="dxa"/>
          </w:tcPr>
          <w:p w14:paraId="09330041" w14:textId="64097F34" w:rsidR="000161A0" w:rsidRPr="000161A0" w:rsidRDefault="000161A0" w:rsidP="000161A0">
            <w:r w:rsidRPr="000161A0">
              <w:t>Product Information</w:t>
            </w:r>
          </w:p>
        </w:tc>
      </w:tr>
      <w:tr w:rsidR="000161A0" w:rsidRPr="000161A0" w14:paraId="73A8985C" w14:textId="77777777" w:rsidTr="0057249C">
        <w:tc>
          <w:tcPr>
            <w:tcW w:w="1890" w:type="dxa"/>
          </w:tcPr>
          <w:p w14:paraId="2E1E8612" w14:textId="25EA04C6" w:rsidR="000161A0" w:rsidRPr="000161A0" w:rsidRDefault="000161A0" w:rsidP="000161A0">
            <w:r w:rsidRPr="000161A0">
              <w:t>PK</w:t>
            </w:r>
          </w:p>
        </w:tc>
        <w:tc>
          <w:tcPr>
            <w:tcW w:w="6604" w:type="dxa"/>
          </w:tcPr>
          <w:p w14:paraId="640A2133" w14:textId="40EFDAF3" w:rsidR="000161A0" w:rsidRPr="000161A0" w:rsidRDefault="000161A0" w:rsidP="000161A0">
            <w:r w:rsidRPr="000161A0">
              <w:t>Pharmacokinetic</w:t>
            </w:r>
            <w:r w:rsidR="00FF05B5">
              <w:t>(</w:t>
            </w:r>
            <w:r w:rsidRPr="000161A0">
              <w:t>s</w:t>
            </w:r>
            <w:r w:rsidR="00FF05B5">
              <w:t>)</w:t>
            </w:r>
          </w:p>
        </w:tc>
      </w:tr>
      <w:tr w:rsidR="000161A0" w:rsidRPr="000161A0" w14:paraId="52ECFA43" w14:textId="77777777" w:rsidTr="0057249C">
        <w:tc>
          <w:tcPr>
            <w:tcW w:w="1890" w:type="dxa"/>
          </w:tcPr>
          <w:p w14:paraId="58B6A806" w14:textId="6849CE74" w:rsidR="000161A0" w:rsidRPr="000161A0" w:rsidRDefault="000161A0" w:rsidP="000161A0">
            <w:proofErr w:type="spellStart"/>
            <w:r w:rsidRPr="000161A0">
              <w:t>PopPK</w:t>
            </w:r>
            <w:proofErr w:type="spellEnd"/>
          </w:p>
        </w:tc>
        <w:tc>
          <w:tcPr>
            <w:tcW w:w="6604" w:type="dxa"/>
          </w:tcPr>
          <w:p w14:paraId="7258C791" w14:textId="2EF0AEFC" w:rsidR="000161A0" w:rsidRPr="000161A0" w:rsidRDefault="000161A0" w:rsidP="000161A0">
            <w:r w:rsidRPr="000161A0">
              <w:t>Population pharmacokinetic</w:t>
            </w:r>
            <w:r w:rsidR="00FF05B5">
              <w:t>(s)</w:t>
            </w:r>
          </w:p>
        </w:tc>
      </w:tr>
      <w:tr w:rsidR="000161A0" w:rsidRPr="000161A0" w14:paraId="5680B50F" w14:textId="77777777" w:rsidTr="0057249C">
        <w:tc>
          <w:tcPr>
            <w:tcW w:w="1890" w:type="dxa"/>
          </w:tcPr>
          <w:p w14:paraId="7D21FFAD" w14:textId="22AEE382" w:rsidR="000161A0" w:rsidRPr="000161A0" w:rsidRDefault="000161A0" w:rsidP="000161A0">
            <w:r w:rsidRPr="000161A0">
              <w:t>PSUR</w:t>
            </w:r>
          </w:p>
        </w:tc>
        <w:tc>
          <w:tcPr>
            <w:tcW w:w="6604" w:type="dxa"/>
          </w:tcPr>
          <w:p w14:paraId="1C5A7D2C" w14:textId="2A5AAAA6" w:rsidR="000161A0" w:rsidRPr="000161A0" w:rsidRDefault="000161A0" w:rsidP="000161A0">
            <w:r w:rsidRPr="000161A0">
              <w:t>Periodic safety update report</w:t>
            </w:r>
          </w:p>
        </w:tc>
      </w:tr>
      <w:tr w:rsidR="000161A0" w:rsidRPr="000161A0" w14:paraId="11F3365D" w14:textId="77777777" w:rsidTr="0057249C">
        <w:tc>
          <w:tcPr>
            <w:tcW w:w="1890" w:type="dxa"/>
          </w:tcPr>
          <w:p w14:paraId="586FC592" w14:textId="3A795139" w:rsidR="000161A0" w:rsidRPr="000161A0" w:rsidRDefault="000161A0" w:rsidP="000161A0">
            <w:r w:rsidRPr="000161A0">
              <w:t>RMP</w:t>
            </w:r>
          </w:p>
        </w:tc>
        <w:tc>
          <w:tcPr>
            <w:tcW w:w="6604" w:type="dxa"/>
          </w:tcPr>
          <w:p w14:paraId="52FB68E0" w14:textId="21FB1551" w:rsidR="000161A0" w:rsidRPr="000161A0" w:rsidRDefault="000161A0" w:rsidP="000161A0">
            <w:r w:rsidRPr="000161A0">
              <w:t>Risk management plan</w:t>
            </w:r>
          </w:p>
        </w:tc>
      </w:tr>
      <w:tr w:rsidR="000161A0" w:rsidRPr="000161A0" w14:paraId="1AC3B8B1" w14:textId="77777777" w:rsidTr="0057249C">
        <w:tc>
          <w:tcPr>
            <w:tcW w:w="1890" w:type="dxa"/>
          </w:tcPr>
          <w:p w14:paraId="3C47BCFE" w14:textId="61911585" w:rsidR="000161A0" w:rsidRPr="000161A0" w:rsidRDefault="000161A0" w:rsidP="000161A0">
            <w:r w:rsidRPr="000161A0">
              <w:t>SGLT-2</w:t>
            </w:r>
          </w:p>
        </w:tc>
        <w:tc>
          <w:tcPr>
            <w:tcW w:w="6604" w:type="dxa"/>
          </w:tcPr>
          <w:p w14:paraId="272A3F1B" w14:textId="5A641D5F" w:rsidR="000161A0" w:rsidRPr="000161A0" w:rsidRDefault="000161A0" w:rsidP="000161A0">
            <w:bookmarkStart w:id="14" w:name="_Hlk101363800"/>
            <w:r w:rsidRPr="000161A0">
              <w:t>Sodium</w:t>
            </w:r>
            <w:r w:rsidR="00FF05B5">
              <w:noBreakHyphen/>
            </w:r>
            <w:r w:rsidRPr="000161A0">
              <w:t>glucose co-transporter 2</w:t>
            </w:r>
            <w:bookmarkEnd w:id="14"/>
          </w:p>
        </w:tc>
      </w:tr>
      <w:tr w:rsidR="000161A0" w:rsidRPr="000161A0" w14:paraId="6BDFFC66" w14:textId="77777777" w:rsidTr="0057249C">
        <w:tc>
          <w:tcPr>
            <w:tcW w:w="1890" w:type="dxa"/>
          </w:tcPr>
          <w:p w14:paraId="35B4F39D" w14:textId="0AE2D1F7" w:rsidR="000161A0" w:rsidRPr="000161A0" w:rsidRDefault="000161A0" w:rsidP="000161A0">
            <w:r w:rsidRPr="000161A0">
              <w:t>T2D</w:t>
            </w:r>
          </w:p>
        </w:tc>
        <w:tc>
          <w:tcPr>
            <w:tcW w:w="6604" w:type="dxa"/>
          </w:tcPr>
          <w:p w14:paraId="79F29F8E" w14:textId="3A9D9C6A" w:rsidR="000161A0" w:rsidRPr="000161A0" w:rsidRDefault="000161A0" w:rsidP="000161A0">
            <w:bookmarkStart w:id="15" w:name="_Hlk101365721"/>
            <w:r w:rsidRPr="000161A0">
              <w:t>Type 2 diabetes</w:t>
            </w:r>
            <w:bookmarkEnd w:id="15"/>
          </w:p>
        </w:tc>
      </w:tr>
      <w:tr w:rsidR="000161A0" w:rsidRPr="000161A0" w14:paraId="0D5EB7CE" w14:textId="77777777" w:rsidTr="0057249C">
        <w:tc>
          <w:tcPr>
            <w:tcW w:w="1890" w:type="dxa"/>
          </w:tcPr>
          <w:p w14:paraId="2039438D" w14:textId="05BE115D" w:rsidR="000161A0" w:rsidRPr="000161A0" w:rsidRDefault="000161A0" w:rsidP="000161A0">
            <w:r w:rsidRPr="000161A0">
              <w:t>TEAE</w:t>
            </w:r>
          </w:p>
        </w:tc>
        <w:tc>
          <w:tcPr>
            <w:tcW w:w="6604" w:type="dxa"/>
          </w:tcPr>
          <w:p w14:paraId="4FE13297" w14:textId="67ACC0C0" w:rsidR="000161A0" w:rsidRPr="000161A0" w:rsidRDefault="000161A0" w:rsidP="000161A0">
            <w:r w:rsidRPr="000161A0">
              <w:t>Treatment emergent adverse event</w:t>
            </w:r>
          </w:p>
        </w:tc>
      </w:tr>
      <w:tr w:rsidR="000161A0" w:rsidRPr="000161A0" w14:paraId="6C355C6E" w14:textId="77777777" w:rsidTr="0057249C">
        <w:tc>
          <w:tcPr>
            <w:tcW w:w="1890" w:type="dxa"/>
          </w:tcPr>
          <w:p w14:paraId="6AF5ACDA" w14:textId="42B15857" w:rsidR="000161A0" w:rsidRPr="000161A0" w:rsidRDefault="000161A0" w:rsidP="000161A0">
            <w:proofErr w:type="spellStart"/>
            <w:r w:rsidRPr="000161A0">
              <w:t>T</w:t>
            </w:r>
            <w:r w:rsidRPr="000161A0">
              <w:rPr>
                <w:vertAlign w:val="subscript"/>
              </w:rPr>
              <w:t>max</w:t>
            </w:r>
            <w:proofErr w:type="spellEnd"/>
          </w:p>
        </w:tc>
        <w:tc>
          <w:tcPr>
            <w:tcW w:w="6604" w:type="dxa"/>
          </w:tcPr>
          <w:p w14:paraId="6DF507B3" w14:textId="08A911C4" w:rsidR="000161A0" w:rsidRPr="000161A0" w:rsidRDefault="000161A0">
            <w:r>
              <w:t>T</w:t>
            </w:r>
            <w:r w:rsidRPr="000161A0">
              <w:t xml:space="preserve">ime </w:t>
            </w:r>
            <w:r w:rsidR="00FF05B5">
              <w:t xml:space="preserve">of </w:t>
            </w:r>
            <w:r w:rsidRPr="000161A0">
              <w:t>maximum concentration</w:t>
            </w:r>
          </w:p>
        </w:tc>
      </w:tr>
      <w:tr w:rsidR="000161A0" w:rsidRPr="000161A0" w14:paraId="4723DD66" w14:textId="77777777" w:rsidTr="0057249C">
        <w:tc>
          <w:tcPr>
            <w:tcW w:w="1890" w:type="dxa"/>
          </w:tcPr>
          <w:p w14:paraId="7FC5CAEF" w14:textId="45F16ED1" w:rsidR="000161A0" w:rsidRPr="000161A0" w:rsidRDefault="000161A0" w:rsidP="000161A0">
            <w:r w:rsidRPr="000161A0">
              <w:t>UACR</w:t>
            </w:r>
          </w:p>
        </w:tc>
        <w:tc>
          <w:tcPr>
            <w:tcW w:w="6604" w:type="dxa"/>
          </w:tcPr>
          <w:p w14:paraId="62072503" w14:textId="5A351CD1" w:rsidR="000161A0" w:rsidRPr="000161A0" w:rsidRDefault="000161A0" w:rsidP="000161A0">
            <w:bookmarkStart w:id="16" w:name="_Hlk101362505"/>
            <w:r w:rsidRPr="000161A0">
              <w:t>Urine albumin-to-creatinine ratio</w:t>
            </w:r>
            <w:bookmarkEnd w:id="16"/>
          </w:p>
        </w:tc>
      </w:tr>
      <w:tr w:rsidR="000161A0" w:rsidRPr="000161A0" w14:paraId="7238A75F" w14:textId="77777777" w:rsidTr="0057249C">
        <w:tc>
          <w:tcPr>
            <w:tcW w:w="1890" w:type="dxa"/>
          </w:tcPr>
          <w:p w14:paraId="4677570C" w14:textId="0279DE21" w:rsidR="000161A0" w:rsidRPr="000161A0" w:rsidRDefault="000161A0" w:rsidP="000161A0">
            <w:proofErr w:type="spellStart"/>
            <w:r w:rsidRPr="000161A0">
              <w:t>V</w:t>
            </w:r>
            <w:r w:rsidRPr="000161A0">
              <w:rPr>
                <w:vertAlign w:val="subscript"/>
              </w:rPr>
              <w:t>ss</w:t>
            </w:r>
            <w:proofErr w:type="spellEnd"/>
          </w:p>
        </w:tc>
        <w:tc>
          <w:tcPr>
            <w:tcW w:w="6604" w:type="dxa"/>
          </w:tcPr>
          <w:p w14:paraId="6B533582" w14:textId="184B39C9" w:rsidR="000161A0" w:rsidRPr="000161A0" w:rsidRDefault="000161A0" w:rsidP="000161A0">
            <w:r w:rsidRPr="000161A0">
              <w:t>Volume of distribution at steady state</w:t>
            </w:r>
          </w:p>
        </w:tc>
      </w:tr>
      <w:bookmarkEnd w:id="8"/>
    </w:tbl>
    <w:p w14:paraId="2164D600" w14:textId="77777777" w:rsidR="00FD119B" w:rsidRPr="000161A0" w:rsidRDefault="00FD119B" w:rsidP="00FD119B"/>
    <w:p w14:paraId="34728230" w14:textId="77777777" w:rsidR="00FD119B" w:rsidRPr="000161A0" w:rsidRDefault="00FD119B" w:rsidP="00FD119B">
      <w:pPr>
        <w:spacing w:before="0" w:after="200" w:line="0" w:lineRule="auto"/>
        <w:rPr>
          <w:b/>
          <w:i/>
          <w:sz w:val="24"/>
          <w:szCs w:val="24"/>
        </w:rPr>
      </w:pPr>
      <w:r w:rsidRPr="000161A0">
        <w:rPr>
          <w:b/>
          <w:i/>
          <w:sz w:val="24"/>
          <w:szCs w:val="24"/>
        </w:rPr>
        <w:br w:type="page"/>
      </w:r>
    </w:p>
    <w:p w14:paraId="1CD2F549" w14:textId="77777777" w:rsidR="008E7846" w:rsidRPr="000161A0" w:rsidRDefault="00F53C07" w:rsidP="008E7846">
      <w:pPr>
        <w:pStyle w:val="Heading2"/>
      </w:pPr>
      <w:bookmarkStart w:id="17" w:name="_Toc104899476"/>
      <w:r w:rsidRPr="000161A0">
        <w:lastRenderedPageBreak/>
        <w:t>I.</w:t>
      </w:r>
      <w:r w:rsidR="008E7846" w:rsidRPr="000161A0">
        <w:t xml:space="preserve"> Introduction to product submission</w:t>
      </w:r>
      <w:bookmarkEnd w:id="0"/>
      <w:bookmarkEnd w:id="2"/>
      <w:bookmarkEnd w:id="17"/>
    </w:p>
    <w:p w14:paraId="6418A033" w14:textId="77777777" w:rsidR="008E7846" w:rsidRPr="000161A0" w:rsidRDefault="008E7846" w:rsidP="008E7846">
      <w:pPr>
        <w:pStyle w:val="Heading3"/>
        <w:rPr>
          <w:lang w:eastAsia="en-AU"/>
        </w:rPr>
      </w:pPr>
      <w:bookmarkStart w:id="18" w:name="_Toc247691502"/>
      <w:bookmarkStart w:id="19" w:name="_Toc314842483"/>
      <w:bookmarkStart w:id="20" w:name="_Toc104899477"/>
      <w:r w:rsidRPr="000161A0">
        <w:rPr>
          <w:lang w:eastAsia="en-AU"/>
        </w:rPr>
        <w:t>Submission details</w:t>
      </w:r>
      <w:bookmarkEnd w:id="18"/>
      <w:bookmarkEnd w:id="19"/>
      <w:bookmarkEnd w:id="20"/>
    </w:p>
    <w:tbl>
      <w:tblPr>
        <w:tblW w:w="9214" w:type="dxa"/>
        <w:tblInd w:w="108" w:type="dxa"/>
        <w:tblLook w:val="01E0" w:firstRow="1" w:lastRow="1" w:firstColumn="1" w:lastColumn="1" w:noHBand="0" w:noVBand="0"/>
      </w:tblPr>
      <w:tblGrid>
        <w:gridCol w:w="2907"/>
        <w:gridCol w:w="6307"/>
      </w:tblGrid>
      <w:tr w:rsidR="008E7846" w:rsidRPr="000161A0" w14:paraId="2AA89F9B" w14:textId="77777777" w:rsidTr="003735BC">
        <w:tc>
          <w:tcPr>
            <w:tcW w:w="2907" w:type="dxa"/>
          </w:tcPr>
          <w:p w14:paraId="1FC6A496" w14:textId="77777777" w:rsidR="008E7846" w:rsidRPr="000161A0" w:rsidRDefault="001B5C90" w:rsidP="001B5C90">
            <w:pPr>
              <w:rPr>
                <w:i/>
              </w:rPr>
            </w:pPr>
            <w:r w:rsidRPr="000161A0">
              <w:rPr>
                <w:i/>
              </w:rPr>
              <w:t>Type of s</w:t>
            </w:r>
            <w:r w:rsidR="008E7846" w:rsidRPr="000161A0">
              <w:rPr>
                <w:i/>
              </w:rPr>
              <w:t>ubmission</w:t>
            </w:r>
            <w:r w:rsidRPr="000161A0">
              <w:rPr>
                <w:i/>
              </w:rPr>
              <w:t>:</w:t>
            </w:r>
          </w:p>
        </w:tc>
        <w:tc>
          <w:tcPr>
            <w:tcW w:w="6307" w:type="dxa"/>
          </w:tcPr>
          <w:p w14:paraId="22A4E317" w14:textId="3C4E5844" w:rsidR="008E7846" w:rsidRPr="000161A0" w:rsidRDefault="00223F5D" w:rsidP="001B5C90">
            <w:r w:rsidRPr="000161A0">
              <w:t>New chemical entity</w:t>
            </w:r>
          </w:p>
        </w:tc>
      </w:tr>
      <w:tr w:rsidR="00460036" w:rsidRPr="000161A0" w14:paraId="1F954B44" w14:textId="77777777" w:rsidTr="003735BC">
        <w:tc>
          <w:tcPr>
            <w:tcW w:w="2907" w:type="dxa"/>
          </w:tcPr>
          <w:p w14:paraId="21FFC445" w14:textId="3277F9E6" w:rsidR="00460036" w:rsidRPr="000161A0" w:rsidRDefault="00460036" w:rsidP="003D1E62">
            <w:pPr>
              <w:rPr>
                <w:i/>
              </w:rPr>
            </w:pPr>
            <w:r w:rsidRPr="000161A0">
              <w:rPr>
                <w:i/>
              </w:rPr>
              <w:t>Product name:</w:t>
            </w:r>
          </w:p>
        </w:tc>
        <w:tc>
          <w:tcPr>
            <w:tcW w:w="6307" w:type="dxa"/>
          </w:tcPr>
          <w:p w14:paraId="6C193F10" w14:textId="66F2C34F" w:rsidR="00460036" w:rsidRPr="000161A0" w:rsidRDefault="00223F5D" w:rsidP="001B5C90">
            <w:proofErr w:type="spellStart"/>
            <w:r w:rsidRPr="000161A0">
              <w:t>Kerendia</w:t>
            </w:r>
            <w:proofErr w:type="spellEnd"/>
          </w:p>
        </w:tc>
      </w:tr>
      <w:tr w:rsidR="00460036" w:rsidRPr="000161A0" w14:paraId="44A698A7" w14:textId="77777777" w:rsidTr="003735BC">
        <w:tc>
          <w:tcPr>
            <w:tcW w:w="2907" w:type="dxa"/>
          </w:tcPr>
          <w:p w14:paraId="3D752C52" w14:textId="3CF68E4E" w:rsidR="00460036" w:rsidRPr="000161A0" w:rsidRDefault="00460036" w:rsidP="003D1E62">
            <w:pPr>
              <w:rPr>
                <w:i/>
              </w:rPr>
            </w:pPr>
            <w:r w:rsidRPr="000161A0">
              <w:rPr>
                <w:i/>
              </w:rPr>
              <w:t>Active ingredient:</w:t>
            </w:r>
          </w:p>
        </w:tc>
        <w:tc>
          <w:tcPr>
            <w:tcW w:w="6307" w:type="dxa"/>
          </w:tcPr>
          <w:p w14:paraId="53321D9B" w14:textId="458EAA71" w:rsidR="00460036" w:rsidRPr="000161A0" w:rsidRDefault="00223F5D" w:rsidP="001B5C90">
            <w:proofErr w:type="spellStart"/>
            <w:r w:rsidRPr="000161A0">
              <w:t>Finerenone</w:t>
            </w:r>
            <w:proofErr w:type="spellEnd"/>
          </w:p>
        </w:tc>
      </w:tr>
      <w:tr w:rsidR="008E7846" w:rsidRPr="000161A0" w14:paraId="60A3312D" w14:textId="77777777" w:rsidTr="003735BC">
        <w:tc>
          <w:tcPr>
            <w:tcW w:w="2907" w:type="dxa"/>
          </w:tcPr>
          <w:p w14:paraId="463B143C" w14:textId="77777777" w:rsidR="008E7846" w:rsidRPr="000161A0" w:rsidRDefault="008E7846" w:rsidP="003D1E62">
            <w:r w:rsidRPr="000161A0">
              <w:rPr>
                <w:i/>
              </w:rPr>
              <w:t>Decision</w:t>
            </w:r>
            <w:r w:rsidRPr="000161A0">
              <w:t>:</w:t>
            </w:r>
          </w:p>
        </w:tc>
        <w:tc>
          <w:tcPr>
            <w:tcW w:w="6307" w:type="dxa"/>
          </w:tcPr>
          <w:p w14:paraId="63842C45" w14:textId="40990174" w:rsidR="008E7846" w:rsidRPr="000161A0" w:rsidRDefault="00460036" w:rsidP="001B5C90">
            <w:r w:rsidRPr="000161A0">
              <w:t>Approved</w:t>
            </w:r>
          </w:p>
        </w:tc>
      </w:tr>
      <w:tr w:rsidR="008E7846" w:rsidRPr="000161A0" w14:paraId="53A837D7" w14:textId="77777777" w:rsidTr="003735BC">
        <w:tc>
          <w:tcPr>
            <w:tcW w:w="2907" w:type="dxa"/>
          </w:tcPr>
          <w:p w14:paraId="6FA26A94" w14:textId="77777777" w:rsidR="008E7846" w:rsidRPr="000161A0" w:rsidRDefault="008E7846" w:rsidP="001B5C90">
            <w:pPr>
              <w:rPr>
                <w:i/>
              </w:rPr>
            </w:pPr>
            <w:r w:rsidRPr="000161A0">
              <w:rPr>
                <w:i/>
              </w:rPr>
              <w:t xml:space="preserve">Date of </w:t>
            </w:r>
            <w:r w:rsidR="001B5C90" w:rsidRPr="000161A0">
              <w:rPr>
                <w:i/>
              </w:rPr>
              <w:t>d</w:t>
            </w:r>
            <w:r w:rsidRPr="000161A0">
              <w:rPr>
                <w:i/>
              </w:rPr>
              <w:t>ecision:</w:t>
            </w:r>
          </w:p>
        </w:tc>
        <w:tc>
          <w:tcPr>
            <w:tcW w:w="6307" w:type="dxa"/>
          </w:tcPr>
          <w:p w14:paraId="44DFAACC" w14:textId="2B6F39CB" w:rsidR="008E7846" w:rsidRPr="000161A0" w:rsidRDefault="00223F5D" w:rsidP="001B5C90">
            <w:r w:rsidRPr="000161A0">
              <w:t>18 November 2021</w:t>
            </w:r>
          </w:p>
        </w:tc>
      </w:tr>
      <w:tr w:rsidR="00ED2922" w:rsidRPr="000161A0" w14:paraId="52FE542F" w14:textId="77777777" w:rsidTr="003735BC">
        <w:tc>
          <w:tcPr>
            <w:tcW w:w="2907" w:type="dxa"/>
          </w:tcPr>
          <w:p w14:paraId="777303E0" w14:textId="77777777" w:rsidR="00ED2922" w:rsidRPr="000161A0" w:rsidRDefault="00ED2922" w:rsidP="001B5C90">
            <w:pPr>
              <w:rPr>
                <w:i/>
              </w:rPr>
            </w:pPr>
            <w:r w:rsidRPr="000161A0">
              <w:rPr>
                <w:i/>
              </w:rPr>
              <w:t>Date of entry onto ARTG</w:t>
            </w:r>
            <w:r w:rsidR="00500337" w:rsidRPr="000161A0">
              <w:rPr>
                <w:i/>
              </w:rPr>
              <w:t>:</w:t>
            </w:r>
          </w:p>
        </w:tc>
        <w:tc>
          <w:tcPr>
            <w:tcW w:w="6307" w:type="dxa"/>
          </w:tcPr>
          <w:p w14:paraId="1268A13D" w14:textId="751299FC" w:rsidR="00ED2922" w:rsidRPr="000161A0" w:rsidRDefault="00223F5D" w:rsidP="00D153D8">
            <w:pPr>
              <w:rPr>
                <w:i/>
              </w:rPr>
            </w:pPr>
            <w:r w:rsidRPr="000161A0">
              <w:t>25 November 2021</w:t>
            </w:r>
          </w:p>
        </w:tc>
      </w:tr>
      <w:tr w:rsidR="00500337" w:rsidRPr="000161A0" w14:paraId="79D35991" w14:textId="77777777" w:rsidTr="003735BC">
        <w:tc>
          <w:tcPr>
            <w:tcW w:w="2907" w:type="dxa"/>
          </w:tcPr>
          <w:p w14:paraId="01F083AB" w14:textId="11425429" w:rsidR="00500337" w:rsidRPr="000161A0" w:rsidRDefault="00500337" w:rsidP="001B5C90">
            <w:pPr>
              <w:rPr>
                <w:i/>
              </w:rPr>
            </w:pPr>
            <w:r w:rsidRPr="000161A0">
              <w:rPr>
                <w:i/>
              </w:rPr>
              <w:t>ARTG numbers:</w:t>
            </w:r>
          </w:p>
        </w:tc>
        <w:tc>
          <w:tcPr>
            <w:tcW w:w="6307" w:type="dxa"/>
          </w:tcPr>
          <w:p w14:paraId="02F7DC84" w14:textId="73A60ACE" w:rsidR="00500337" w:rsidRPr="000161A0" w:rsidRDefault="00223F5D" w:rsidP="00EC463D">
            <w:r w:rsidRPr="000161A0">
              <w:t>350772 and 350773</w:t>
            </w:r>
          </w:p>
        </w:tc>
      </w:tr>
      <w:tr w:rsidR="003735BC" w:rsidRPr="000161A0" w14:paraId="41C803DE" w14:textId="77777777" w:rsidTr="003735BC">
        <w:tc>
          <w:tcPr>
            <w:tcW w:w="2907" w:type="dxa"/>
          </w:tcPr>
          <w:p w14:paraId="3C20078F" w14:textId="77777777" w:rsidR="003735BC" w:rsidRPr="000161A0" w:rsidRDefault="00FA5069" w:rsidP="001B5C90">
            <w:pPr>
              <w:rPr>
                <w:i/>
              </w:rPr>
            </w:pPr>
            <w:r w:rsidRPr="000161A0">
              <w:rPr>
                <w:rFonts w:ascii="Wingdings 3" w:hAnsi="Wingdings 3"/>
                <w:sz w:val="34"/>
                <w:szCs w:val="34"/>
                <w:lang w:eastAsia="en-AU"/>
              </w:rPr>
              <w:t></w:t>
            </w:r>
            <w:r w:rsidR="003735BC" w:rsidRPr="000161A0">
              <w:rPr>
                <w:i/>
              </w:rPr>
              <w:t>Black Triangle Scheme</w:t>
            </w:r>
            <w:r w:rsidR="004C4FBE" w:rsidRPr="000161A0">
              <w:rPr>
                <w:i/>
              </w:rPr>
              <w:t>:</w:t>
            </w:r>
            <w:r w:rsidR="00460036" w:rsidRPr="000161A0">
              <w:rPr>
                <w:rStyle w:val="FootnoteReference"/>
                <w:i/>
              </w:rPr>
              <w:footnoteReference w:id="1"/>
            </w:r>
          </w:p>
        </w:tc>
        <w:tc>
          <w:tcPr>
            <w:tcW w:w="6307" w:type="dxa"/>
          </w:tcPr>
          <w:p w14:paraId="1E43F7A5" w14:textId="77777777" w:rsidR="00223F5D" w:rsidRPr="000161A0" w:rsidRDefault="003735BC" w:rsidP="003735BC">
            <w:r w:rsidRPr="000161A0">
              <w:t>Yes</w:t>
            </w:r>
            <w:r w:rsidR="00223F5D" w:rsidRPr="000161A0">
              <w:t>.</w:t>
            </w:r>
          </w:p>
          <w:p w14:paraId="5F57AE56" w14:textId="13AA163E" w:rsidR="003735BC" w:rsidRPr="000161A0" w:rsidRDefault="003735BC" w:rsidP="003735BC">
            <w:r w:rsidRPr="000161A0">
              <w:t>This product will remain in the scheme for 5 years, starting on the date the product is first supplied in Australia</w:t>
            </w:r>
            <w:r w:rsidR="00223F5D" w:rsidRPr="000161A0">
              <w:t>.</w:t>
            </w:r>
          </w:p>
        </w:tc>
      </w:tr>
      <w:tr w:rsidR="008E7846" w:rsidRPr="000161A0" w14:paraId="793BA87F" w14:textId="77777777" w:rsidTr="00BF1190">
        <w:tc>
          <w:tcPr>
            <w:tcW w:w="2907" w:type="dxa"/>
          </w:tcPr>
          <w:p w14:paraId="5D9090DF" w14:textId="77777777" w:rsidR="008E7846" w:rsidRPr="000161A0" w:rsidRDefault="008E7846" w:rsidP="001B5C90">
            <w:pPr>
              <w:rPr>
                <w:i/>
              </w:rPr>
            </w:pPr>
            <w:r w:rsidRPr="000161A0">
              <w:rPr>
                <w:i/>
              </w:rPr>
              <w:t xml:space="preserve">Sponsor’s </w:t>
            </w:r>
            <w:r w:rsidR="001B5C90" w:rsidRPr="000161A0">
              <w:rPr>
                <w:i/>
              </w:rPr>
              <w:t>n</w:t>
            </w:r>
            <w:r w:rsidRPr="000161A0">
              <w:rPr>
                <w:i/>
              </w:rPr>
              <w:t xml:space="preserve">ame and </w:t>
            </w:r>
            <w:r w:rsidR="001B5C90" w:rsidRPr="000161A0">
              <w:rPr>
                <w:i/>
              </w:rPr>
              <w:t>a</w:t>
            </w:r>
            <w:r w:rsidRPr="000161A0">
              <w:rPr>
                <w:i/>
              </w:rPr>
              <w:t>ddress:</w:t>
            </w:r>
          </w:p>
        </w:tc>
        <w:tc>
          <w:tcPr>
            <w:tcW w:w="6307" w:type="dxa"/>
          </w:tcPr>
          <w:p w14:paraId="532530E2" w14:textId="77777777" w:rsidR="008E7846" w:rsidRPr="000161A0" w:rsidRDefault="00223F5D" w:rsidP="00E45619">
            <w:pPr>
              <w:rPr>
                <w:lang w:val="es-ES"/>
              </w:rPr>
            </w:pPr>
            <w:r w:rsidRPr="000161A0">
              <w:rPr>
                <w:lang w:val="es-ES"/>
              </w:rPr>
              <w:t xml:space="preserve">Bayer Australia </w:t>
            </w:r>
            <w:proofErr w:type="spellStart"/>
            <w:r w:rsidRPr="000161A0">
              <w:rPr>
                <w:lang w:val="es-ES"/>
              </w:rPr>
              <w:t>Limited</w:t>
            </w:r>
            <w:proofErr w:type="spellEnd"/>
          </w:p>
          <w:p w14:paraId="54D12D8F" w14:textId="77777777" w:rsidR="00223F5D" w:rsidRPr="000161A0" w:rsidRDefault="00223F5D" w:rsidP="00223F5D">
            <w:pPr>
              <w:rPr>
                <w:lang w:val="es-ES"/>
              </w:rPr>
            </w:pPr>
            <w:r w:rsidRPr="000161A0">
              <w:rPr>
                <w:lang w:val="es-ES"/>
              </w:rPr>
              <w:t xml:space="preserve">875 </w:t>
            </w:r>
            <w:proofErr w:type="spellStart"/>
            <w:r w:rsidRPr="000161A0">
              <w:rPr>
                <w:lang w:val="es-ES"/>
              </w:rPr>
              <w:t>Pacific</w:t>
            </w:r>
            <w:proofErr w:type="spellEnd"/>
            <w:r w:rsidRPr="000161A0">
              <w:rPr>
                <w:lang w:val="es-ES"/>
              </w:rPr>
              <w:t xml:space="preserve"> </w:t>
            </w:r>
            <w:proofErr w:type="spellStart"/>
            <w:r w:rsidRPr="000161A0">
              <w:rPr>
                <w:lang w:val="es-ES"/>
              </w:rPr>
              <w:t>Highway</w:t>
            </w:r>
            <w:proofErr w:type="spellEnd"/>
            <w:r w:rsidRPr="000161A0">
              <w:rPr>
                <w:lang w:val="es-ES"/>
              </w:rPr>
              <w:t>,</w:t>
            </w:r>
          </w:p>
          <w:p w14:paraId="0E12906F" w14:textId="77CDB085" w:rsidR="00223F5D" w:rsidRPr="000161A0" w:rsidRDefault="00223F5D" w:rsidP="00223F5D">
            <w:proofErr w:type="spellStart"/>
            <w:r w:rsidRPr="000161A0">
              <w:rPr>
                <w:lang w:val="es-ES"/>
              </w:rPr>
              <w:t>Pymble</w:t>
            </w:r>
            <w:proofErr w:type="spellEnd"/>
            <w:r w:rsidRPr="000161A0">
              <w:rPr>
                <w:lang w:val="es-ES"/>
              </w:rPr>
              <w:t xml:space="preserve"> NSW 2073</w:t>
            </w:r>
          </w:p>
        </w:tc>
      </w:tr>
      <w:tr w:rsidR="008E7846" w:rsidRPr="000161A0" w14:paraId="0897A7A6" w14:textId="77777777" w:rsidTr="00BF1190">
        <w:tc>
          <w:tcPr>
            <w:tcW w:w="2907" w:type="dxa"/>
          </w:tcPr>
          <w:p w14:paraId="00BBF67E" w14:textId="4A6740E4" w:rsidR="008E7846" w:rsidRPr="000161A0" w:rsidRDefault="001B5C90" w:rsidP="00E45619">
            <w:pPr>
              <w:rPr>
                <w:i/>
              </w:rPr>
            </w:pPr>
            <w:r w:rsidRPr="000161A0">
              <w:rPr>
                <w:i/>
              </w:rPr>
              <w:t>Dose form:</w:t>
            </w:r>
          </w:p>
        </w:tc>
        <w:tc>
          <w:tcPr>
            <w:tcW w:w="6307" w:type="dxa"/>
          </w:tcPr>
          <w:p w14:paraId="45EBF80B" w14:textId="6996F2FF" w:rsidR="008E7846" w:rsidRPr="000161A0" w:rsidRDefault="00223F5D" w:rsidP="00E45619">
            <w:r w:rsidRPr="000161A0">
              <w:t>Film coated tablets</w:t>
            </w:r>
          </w:p>
        </w:tc>
      </w:tr>
      <w:tr w:rsidR="008E7846" w:rsidRPr="000161A0" w14:paraId="3D1FC6D6" w14:textId="77777777" w:rsidTr="00BF1190">
        <w:tc>
          <w:tcPr>
            <w:tcW w:w="2907" w:type="dxa"/>
          </w:tcPr>
          <w:p w14:paraId="3D074E97" w14:textId="5DB3884E" w:rsidR="008E7846" w:rsidRPr="000161A0" w:rsidRDefault="00324E45" w:rsidP="00E45619">
            <w:pPr>
              <w:rPr>
                <w:i/>
              </w:rPr>
            </w:pPr>
            <w:r w:rsidRPr="000161A0">
              <w:rPr>
                <w:i/>
              </w:rPr>
              <w:t>Strengths:</w:t>
            </w:r>
          </w:p>
        </w:tc>
        <w:tc>
          <w:tcPr>
            <w:tcW w:w="6307" w:type="dxa"/>
          </w:tcPr>
          <w:p w14:paraId="5C5ED50A" w14:textId="430B6349" w:rsidR="008E7846" w:rsidRPr="000161A0" w:rsidRDefault="00223F5D" w:rsidP="00E45619">
            <w:r w:rsidRPr="000161A0">
              <w:t>10 mg and 20 mg</w:t>
            </w:r>
          </w:p>
        </w:tc>
      </w:tr>
      <w:tr w:rsidR="008E7846" w:rsidRPr="000161A0" w14:paraId="4F65196B" w14:textId="77777777" w:rsidTr="00BF1190">
        <w:tc>
          <w:tcPr>
            <w:tcW w:w="2907" w:type="dxa"/>
          </w:tcPr>
          <w:p w14:paraId="071BD04B" w14:textId="27DACF38" w:rsidR="008E7846" w:rsidRPr="000161A0" w:rsidRDefault="008E7846" w:rsidP="00E45619">
            <w:pPr>
              <w:rPr>
                <w:i/>
              </w:rPr>
            </w:pPr>
            <w:r w:rsidRPr="000161A0">
              <w:rPr>
                <w:i/>
              </w:rPr>
              <w:t>Container:</w:t>
            </w:r>
          </w:p>
        </w:tc>
        <w:tc>
          <w:tcPr>
            <w:tcW w:w="6307" w:type="dxa"/>
          </w:tcPr>
          <w:p w14:paraId="51128AD6" w14:textId="2C42210B" w:rsidR="008E7846" w:rsidRPr="000161A0" w:rsidRDefault="00223F5D" w:rsidP="00E45619">
            <w:r w:rsidRPr="000161A0">
              <w:t>Blister pack</w:t>
            </w:r>
          </w:p>
        </w:tc>
      </w:tr>
      <w:tr w:rsidR="008E7846" w:rsidRPr="000161A0" w14:paraId="0CAB67A0" w14:textId="77777777" w:rsidTr="00BF1190">
        <w:tc>
          <w:tcPr>
            <w:tcW w:w="2907" w:type="dxa"/>
          </w:tcPr>
          <w:p w14:paraId="748D0A5D" w14:textId="5B017EE6" w:rsidR="008E7846" w:rsidRPr="000161A0" w:rsidRDefault="008E7846" w:rsidP="00E45619">
            <w:pPr>
              <w:rPr>
                <w:i/>
              </w:rPr>
            </w:pPr>
            <w:r w:rsidRPr="000161A0">
              <w:rPr>
                <w:i/>
              </w:rPr>
              <w:t>Pack sizes:</w:t>
            </w:r>
          </w:p>
        </w:tc>
        <w:tc>
          <w:tcPr>
            <w:tcW w:w="6307" w:type="dxa"/>
          </w:tcPr>
          <w:p w14:paraId="61D39296" w14:textId="24C0E6FA" w:rsidR="008E7846" w:rsidRPr="000161A0" w:rsidRDefault="00223F5D" w:rsidP="00E45619">
            <w:r w:rsidRPr="000161A0">
              <w:t>14, 28, 98, 100</w:t>
            </w:r>
          </w:p>
        </w:tc>
      </w:tr>
      <w:tr w:rsidR="008E7846" w:rsidRPr="000161A0" w14:paraId="4C3E5467" w14:textId="77777777" w:rsidTr="00BF1190">
        <w:tc>
          <w:tcPr>
            <w:tcW w:w="2907" w:type="dxa"/>
          </w:tcPr>
          <w:p w14:paraId="26B32484" w14:textId="77777777" w:rsidR="008E7846" w:rsidRPr="000161A0" w:rsidRDefault="008E7846" w:rsidP="001B5C90">
            <w:pPr>
              <w:rPr>
                <w:i/>
              </w:rPr>
            </w:pPr>
            <w:r w:rsidRPr="000161A0">
              <w:rPr>
                <w:i/>
              </w:rPr>
              <w:t xml:space="preserve">Approved </w:t>
            </w:r>
            <w:r w:rsidR="001B5C90" w:rsidRPr="000161A0">
              <w:rPr>
                <w:i/>
              </w:rPr>
              <w:t>t</w:t>
            </w:r>
            <w:r w:rsidRPr="000161A0">
              <w:rPr>
                <w:i/>
              </w:rPr>
              <w:t>herapeutic use:</w:t>
            </w:r>
          </w:p>
        </w:tc>
        <w:tc>
          <w:tcPr>
            <w:tcW w:w="6307" w:type="dxa"/>
          </w:tcPr>
          <w:p w14:paraId="418CA90E" w14:textId="5C3E2DC4" w:rsidR="008E7846" w:rsidRPr="000161A0" w:rsidRDefault="00223F5D" w:rsidP="00E45619">
            <w:pPr>
              <w:rPr>
                <w:i/>
                <w:iCs/>
              </w:rPr>
            </w:pPr>
            <w:proofErr w:type="spellStart"/>
            <w:r w:rsidRPr="000161A0">
              <w:rPr>
                <w:i/>
                <w:iCs/>
              </w:rPr>
              <w:t>Kerendia</w:t>
            </w:r>
            <w:proofErr w:type="spellEnd"/>
            <w:r w:rsidRPr="000161A0">
              <w:rPr>
                <w:i/>
                <w:iCs/>
              </w:rPr>
              <w:t xml:space="preserve"> is indicated to delay progressive decline of kidney function in adults with chronic kidney disease associated with </w:t>
            </w:r>
            <w:r w:rsidR="008C3C0C" w:rsidRPr="000161A0">
              <w:rPr>
                <w:i/>
                <w:iCs/>
              </w:rPr>
              <w:t>type </w:t>
            </w:r>
            <w:r w:rsidRPr="000161A0">
              <w:rPr>
                <w:i/>
                <w:iCs/>
              </w:rPr>
              <w:t>2 diabetes (with albuminuria), in addition to standard of care (see Section 5.1 Pharmacodynamic properties, clinical trials).</w:t>
            </w:r>
          </w:p>
        </w:tc>
      </w:tr>
      <w:tr w:rsidR="008E7846" w:rsidRPr="000161A0" w14:paraId="016A61B4" w14:textId="77777777" w:rsidTr="00BF1190">
        <w:tc>
          <w:tcPr>
            <w:tcW w:w="2907" w:type="dxa"/>
          </w:tcPr>
          <w:p w14:paraId="0E38D6DA" w14:textId="316CDA6A" w:rsidR="008E7846" w:rsidRPr="000161A0" w:rsidRDefault="008E7846" w:rsidP="00E45619">
            <w:pPr>
              <w:rPr>
                <w:i/>
              </w:rPr>
            </w:pPr>
            <w:r w:rsidRPr="000161A0">
              <w:rPr>
                <w:i/>
              </w:rPr>
              <w:t>Route of administration:</w:t>
            </w:r>
          </w:p>
        </w:tc>
        <w:tc>
          <w:tcPr>
            <w:tcW w:w="6307" w:type="dxa"/>
          </w:tcPr>
          <w:p w14:paraId="35971E18" w14:textId="2DD49899" w:rsidR="008E7846" w:rsidRPr="000161A0" w:rsidRDefault="00223F5D" w:rsidP="00E45619">
            <w:r w:rsidRPr="000161A0">
              <w:t>Oral</w:t>
            </w:r>
          </w:p>
        </w:tc>
      </w:tr>
      <w:tr w:rsidR="008E7846" w:rsidRPr="000161A0" w14:paraId="7D8693AC" w14:textId="77777777" w:rsidTr="00BF1190">
        <w:tc>
          <w:tcPr>
            <w:tcW w:w="2907" w:type="dxa"/>
          </w:tcPr>
          <w:p w14:paraId="6932E7D7" w14:textId="77777777" w:rsidR="008E7846" w:rsidRPr="000161A0" w:rsidRDefault="008E7846" w:rsidP="00E45619">
            <w:pPr>
              <w:rPr>
                <w:i/>
              </w:rPr>
            </w:pPr>
            <w:r w:rsidRPr="000161A0">
              <w:rPr>
                <w:i/>
              </w:rPr>
              <w:t>Dosage:</w:t>
            </w:r>
          </w:p>
        </w:tc>
        <w:tc>
          <w:tcPr>
            <w:tcW w:w="6307" w:type="dxa"/>
          </w:tcPr>
          <w:p w14:paraId="36342A8D" w14:textId="77777777" w:rsidR="00223F5D" w:rsidRPr="000161A0" w:rsidRDefault="00223F5D" w:rsidP="00223F5D">
            <w:r w:rsidRPr="000161A0">
              <w:t xml:space="preserve">The recommended target dose of </w:t>
            </w:r>
            <w:proofErr w:type="spellStart"/>
            <w:r w:rsidRPr="000161A0">
              <w:t>Kerendia</w:t>
            </w:r>
            <w:proofErr w:type="spellEnd"/>
            <w:r w:rsidRPr="000161A0">
              <w:t xml:space="preserve"> is 20 mg once daily.</w:t>
            </w:r>
          </w:p>
          <w:p w14:paraId="0A5138DF" w14:textId="77777777" w:rsidR="00223F5D" w:rsidRPr="000161A0" w:rsidRDefault="00223F5D" w:rsidP="00223F5D">
            <w:r w:rsidRPr="000161A0">
              <w:t>Dosage is based on multiple factors, including serum potassium level, estimated glomerular filtration rate and pre-existing conditions of the patient (see Section 4.4 Special warnings and precautions for use of the Product Information).</w:t>
            </w:r>
          </w:p>
          <w:p w14:paraId="36ABF298" w14:textId="77777777" w:rsidR="00460036" w:rsidRPr="000161A0" w:rsidRDefault="00460036" w:rsidP="00E45619">
            <w:r w:rsidRPr="000161A0">
              <w:lastRenderedPageBreak/>
              <w:t>For further information regarding dosage, refer to the Product Information.</w:t>
            </w:r>
          </w:p>
        </w:tc>
      </w:tr>
      <w:tr w:rsidR="00460036" w:rsidRPr="000161A0" w14:paraId="19D9E772" w14:textId="77777777" w:rsidTr="00BF1190">
        <w:tc>
          <w:tcPr>
            <w:tcW w:w="2907" w:type="dxa"/>
          </w:tcPr>
          <w:p w14:paraId="2EDC2140" w14:textId="77777777" w:rsidR="00460036" w:rsidRPr="000161A0" w:rsidRDefault="00460036" w:rsidP="00E45619">
            <w:pPr>
              <w:rPr>
                <w:i/>
              </w:rPr>
            </w:pPr>
            <w:r w:rsidRPr="000161A0">
              <w:rPr>
                <w:i/>
              </w:rPr>
              <w:lastRenderedPageBreak/>
              <w:t>Pregnancy category:</w:t>
            </w:r>
          </w:p>
        </w:tc>
        <w:tc>
          <w:tcPr>
            <w:tcW w:w="6307" w:type="dxa"/>
          </w:tcPr>
          <w:p w14:paraId="4DEA9A0E" w14:textId="77777777" w:rsidR="00223F5D" w:rsidRPr="000161A0" w:rsidRDefault="00223F5D" w:rsidP="00223F5D">
            <w:r w:rsidRPr="000161A0">
              <w:t>D</w:t>
            </w:r>
          </w:p>
          <w:p w14:paraId="3C24F64F" w14:textId="77777777" w:rsidR="00223F5D" w:rsidRPr="000161A0" w:rsidRDefault="00223F5D" w:rsidP="00223F5D">
            <w:r w:rsidRPr="000161A0">
              <w:t xml:space="preserve">Drugs which have caused, are suspected to have caused or may be expected to cause, an increased incidence of human </w:t>
            </w:r>
            <w:proofErr w:type="spellStart"/>
            <w:r w:rsidRPr="000161A0">
              <w:t>fetal</w:t>
            </w:r>
            <w:proofErr w:type="spellEnd"/>
            <w:r w:rsidRPr="000161A0">
              <w:t xml:space="preserve"> malformations or irreversible damage. These drugs may also have adverse pharmacological effects. Accompanying texts should be consulted for further details.</w:t>
            </w:r>
          </w:p>
          <w:p w14:paraId="42B0F5FE" w14:textId="5C8367AE" w:rsidR="00460036" w:rsidRPr="000161A0" w:rsidRDefault="00460036" w:rsidP="00223F5D">
            <w:r w:rsidRPr="000161A0">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790AF8B" w14:textId="77777777" w:rsidR="008E7846" w:rsidRPr="000161A0" w:rsidRDefault="008E7846" w:rsidP="008E7846">
      <w:pPr>
        <w:pStyle w:val="Heading3"/>
      </w:pPr>
      <w:bookmarkStart w:id="21" w:name="_Toc247691503"/>
      <w:bookmarkStart w:id="22" w:name="_Toc314842484"/>
      <w:bookmarkStart w:id="23" w:name="_Toc104899478"/>
      <w:r w:rsidRPr="000161A0">
        <w:t>Product background</w:t>
      </w:r>
      <w:bookmarkEnd w:id="21"/>
      <w:bookmarkEnd w:id="22"/>
      <w:bookmarkEnd w:id="23"/>
    </w:p>
    <w:p w14:paraId="64AB4B00" w14:textId="6A0D1E84" w:rsidR="008E7846" w:rsidRPr="000161A0" w:rsidRDefault="00250271" w:rsidP="00940A89">
      <w:r w:rsidRPr="000161A0">
        <w:t xml:space="preserve">This </w:t>
      </w:r>
      <w:proofErr w:type="spellStart"/>
      <w:r w:rsidRPr="000161A0">
        <w:t>AusPAR</w:t>
      </w:r>
      <w:proofErr w:type="spellEnd"/>
      <w:r w:rsidRPr="000161A0">
        <w:t xml:space="preserve"> describes the application by </w:t>
      </w:r>
      <w:r w:rsidR="00223F5D" w:rsidRPr="000161A0">
        <w:t xml:space="preserve">Bayer Australia Limited </w:t>
      </w:r>
      <w:r w:rsidRPr="000161A0">
        <w:t xml:space="preserve">(the sponsor) to register </w:t>
      </w:r>
      <w:proofErr w:type="spellStart"/>
      <w:r w:rsidR="00223F5D" w:rsidRPr="000161A0">
        <w:t>Kerendia</w:t>
      </w:r>
      <w:proofErr w:type="spellEnd"/>
      <w:r w:rsidR="00223F5D" w:rsidRPr="000161A0">
        <w:t xml:space="preserve"> </w:t>
      </w:r>
      <w:r w:rsidRPr="000161A0">
        <w:t>(</w:t>
      </w:r>
      <w:proofErr w:type="spellStart"/>
      <w:r w:rsidR="00223F5D" w:rsidRPr="000161A0">
        <w:t>finerenone</w:t>
      </w:r>
      <w:proofErr w:type="spellEnd"/>
      <w:r w:rsidRPr="000161A0">
        <w:t xml:space="preserve">) </w:t>
      </w:r>
      <w:r w:rsidR="00223F5D" w:rsidRPr="000161A0">
        <w:t>10 mg and 20 mg</w:t>
      </w:r>
      <w:r w:rsidRPr="000161A0">
        <w:t xml:space="preserve">, </w:t>
      </w:r>
      <w:r w:rsidR="00223F5D" w:rsidRPr="000161A0">
        <w:t>film coated tablets</w:t>
      </w:r>
      <w:r w:rsidRPr="000161A0">
        <w:t xml:space="preserve"> for the following proposed indication</w:t>
      </w:r>
      <w:r w:rsidR="00CF5DAD" w:rsidRPr="000161A0">
        <w:t>:</w:t>
      </w:r>
    </w:p>
    <w:p w14:paraId="1A1F0E9F" w14:textId="5D03AF9E" w:rsidR="00494CF1" w:rsidRPr="000161A0" w:rsidRDefault="00494CF1" w:rsidP="00494CF1">
      <w:pPr>
        <w:ind w:left="720"/>
        <w:rPr>
          <w:i/>
          <w:iCs/>
        </w:rPr>
      </w:pPr>
      <w:proofErr w:type="spellStart"/>
      <w:r w:rsidRPr="000161A0">
        <w:rPr>
          <w:i/>
          <w:iCs/>
        </w:rPr>
        <w:t>Kerendia</w:t>
      </w:r>
      <w:proofErr w:type="spellEnd"/>
      <w:r w:rsidRPr="000161A0">
        <w:rPr>
          <w:i/>
          <w:iCs/>
        </w:rPr>
        <w:t xml:space="preserve"> is indicated to delay progression of kidney disease and to reduce the risk of major adverse cardiovascular events (cardiovascular death, nonfatal myocardial infarction, non-fatal stroke) and hospitalization for heart failure in adults with </w:t>
      </w:r>
      <w:bookmarkStart w:id="24" w:name="_Hlk101365749"/>
      <w:r w:rsidRPr="000161A0">
        <w:rPr>
          <w:i/>
          <w:iCs/>
        </w:rPr>
        <w:t xml:space="preserve">chronic kidney disease </w:t>
      </w:r>
      <w:bookmarkEnd w:id="24"/>
      <w:r w:rsidRPr="000161A0">
        <w:rPr>
          <w:i/>
          <w:iCs/>
        </w:rPr>
        <w:t>(CKD) and type 2 diabetes (T2D).</w:t>
      </w:r>
    </w:p>
    <w:p w14:paraId="08E21A7D" w14:textId="0569A7C2" w:rsidR="005C4F69" w:rsidRPr="000161A0" w:rsidRDefault="005C4F69" w:rsidP="005C4F69">
      <w:r w:rsidRPr="000161A0">
        <w:t>Type 2 diabetes mellitus is a metabolic disorder characterised by insulin resistance and relative insulin deficiency leading to hyperglycaemia. Diabetic kidney disease (</w:t>
      </w:r>
      <w:r w:rsidR="006E04F0" w:rsidRPr="000161A0">
        <w:t>that is,</w:t>
      </w:r>
      <w:r w:rsidRPr="000161A0">
        <w:t xml:space="preserve"> chronic kidney disease (CKD) in the context of </w:t>
      </w:r>
      <w:r w:rsidR="002051CB" w:rsidRPr="000161A0">
        <w:t>type 2 diabetes mellitus</w:t>
      </w:r>
      <w:r w:rsidRPr="000161A0">
        <w:t xml:space="preserve">) is a highly variable condition characterised by albuminuria and/or decreased glomerular filtration rate (GFR). Cardiovascular morbidity and mortality are frequently associated with </w:t>
      </w:r>
      <w:r w:rsidR="00E1271F">
        <w:t>diabetic kidney disease</w:t>
      </w:r>
      <w:r w:rsidRPr="000161A0">
        <w:t>.</w:t>
      </w:r>
    </w:p>
    <w:p w14:paraId="6A89CE73" w14:textId="41556C62" w:rsidR="005C4F69" w:rsidRPr="000161A0" w:rsidRDefault="005C4F69" w:rsidP="005C4F69">
      <w:r w:rsidRPr="000161A0">
        <w:t xml:space="preserve">Management of </w:t>
      </w:r>
      <w:r w:rsidR="00E1271F">
        <w:t>diabetic kidney disease</w:t>
      </w:r>
      <w:r w:rsidR="00E1271F" w:rsidRPr="000161A0">
        <w:t xml:space="preserve"> </w:t>
      </w:r>
      <w:r w:rsidRPr="000161A0">
        <w:t>usually employs glycaemic control, management of hypertension (typically angiotensin</w:t>
      </w:r>
      <w:r w:rsidR="002051CB" w:rsidRPr="000161A0">
        <w:t>-</w:t>
      </w:r>
      <w:r w:rsidRPr="000161A0">
        <w:t xml:space="preserve">converting enzyme </w:t>
      </w:r>
      <w:r w:rsidR="002051CB" w:rsidRPr="000161A0">
        <w:t xml:space="preserve">inhibitor </w:t>
      </w:r>
      <w:r w:rsidRPr="000161A0">
        <w:t>(</w:t>
      </w:r>
      <w:proofErr w:type="spellStart"/>
      <w:r w:rsidRPr="000161A0">
        <w:t>ACE</w:t>
      </w:r>
      <w:r w:rsidR="002051CB" w:rsidRPr="000161A0">
        <w:t>i</w:t>
      </w:r>
      <w:proofErr w:type="spellEnd"/>
      <w:r w:rsidRPr="000161A0">
        <w:t>) or angiotensin receptor blockers (ARB), but not both), and lifestyle modification. Additional to agents primarily utilised for glycaemic control, glucagon</w:t>
      </w:r>
      <w:r w:rsidR="000D61D1" w:rsidRPr="000161A0">
        <w:t xml:space="preserve"> </w:t>
      </w:r>
      <w:r w:rsidRPr="000161A0">
        <w:t>like peptide 1 (GLP-1) receptor agonists (</w:t>
      </w:r>
      <w:r w:rsidR="00B227A0" w:rsidRPr="000161A0">
        <w:t>for example,</w:t>
      </w:r>
      <w:r w:rsidRPr="000161A0">
        <w:t xml:space="preserve"> for cardiovascular and renal benefits), or sodium</w:t>
      </w:r>
      <w:r w:rsidR="000D61D1" w:rsidRPr="000161A0">
        <w:t xml:space="preserve"> </w:t>
      </w:r>
      <w:r w:rsidRPr="000161A0">
        <w:t>glucose co-transporter 2 (SGLT-2) inhibitors (</w:t>
      </w:r>
      <w:r w:rsidR="00B227A0" w:rsidRPr="000161A0">
        <w:t>for example,</w:t>
      </w:r>
      <w:r w:rsidRPr="000161A0">
        <w:t xml:space="preserve"> for severe albuminuria) are usually given.</w:t>
      </w:r>
    </w:p>
    <w:p w14:paraId="43C1F2A9" w14:textId="052BBA35" w:rsidR="005C4F69" w:rsidRPr="000161A0" w:rsidRDefault="005C4F69" w:rsidP="005C4F69">
      <w:r w:rsidRPr="000161A0">
        <w:t xml:space="preserve">Non-steroidal, selective mineralocorticoid receptor antagonists (MRA) such as spironolactone or eplerenone are not currently indicated for </w:t>
      </w:r>
      <w:r w:rsidR="00E1271F">
        <w:t>diabetic kidney disease</w:t>
      </w:r>
      <w:r w:rsidRPr="000161A0">
        <w:t>.</w:t>
      </w:r>
    </w:p>
    <w:p w14:paraId="37648C93" w14:textId="7993251E" w:rsidR="00384B76" w:rsidRPr="000161A0" w:rsidRDefault="00384B76" w:rsidP="00384B76">
      <w:proofErr w:type="spellStart"/>
      <w:r w:rsidRPr="000161A0">
        <w:t>Finerenone</w:t>
      </w:r>
      <w:proofErr w:type="spellEnd"/>
      <w:r w:rsidRPr="000161A0">
        <w:t xml:space="preserve"> is a nonsteroidal antagonist of the mineralocorticoid receptor that potently attenuates inflammation and fibrosis mediated by mineralocorticoid receptor overactivation. The mineralocorticoid receptor is expressed in the kidneys, </w:t>
      </w:r>
      <w:proofErr w:type="gramStart"/>
      <w:r w:rsidRPr="000161A0">
        <w:t>heart</w:t>
      </w:r>
      <w:proofErr w:type="gramEnd"/>
      <w:r w:rsidRPr="000161A0">
        <w:t xml:space="preserve"> and blood vessels where </w:t>
      </w:r>
      <w:proofErr w:type="spellStart"/>
      <w:r w:rsidRPr="000161A0">
        <w:t>finerenone</w:t>
      </w:r>
      <w:proofErr w:type="spellEnd"/>
      <w:r w:rsidRPr="000161A0">
        <w:t xml:space="preserve"> also counteracts sodium retention and hypertrophic processes. </w:t>
      </w:r>
      <w:proofErr w:type="spellStart"/>
      <w:r w:rsidRPr="000161A0">
        <w:t>Finerenone</w:t>
      </w:r>
      <w:proofErr w:type="spellEnd"/>
      <w:r w:rsidRPr="000161A0">
        <w:t xml:space="preserve"> has high selectivity for the mineralocorticoid receptor due to its nonsteroidal structure and bulky binding mode. </w:t>
      </w:r>
      <w:proofErr w:type="spellStart"/>
      <w:r w:rsidRPr="000161A0">
        <w:t>Finerenone</w:t>
      </w:r>
      <w:proofErr w:type="spellEnd"/>
      <w:r w:rsidRPr="000161A0">
        <w:t xml:space="preserve"> has no relevant affinity for </w:t>
      </w:r>
      <w:r w:rsidR="00E1271F">
        <w:t xml:space="preserve">the </w:t>
      </w:r>
      <w:r w:rsidRPr="000161A0">
        <w:t xml:space="preserve">androgen, progesterone, </w:t>
      </w:r>
      <w:r w:rsidR="00E1271F">
        <w:t>o</w:t>
      </w:r>
      <w:r w:rsidR="00AE32E0" w:rsidRPr="000161A0">
        <w:t>estrogen,</w:t>
      </w:r>
      <w:r w:rsidRPr="000161A0">
        <w:t xml:space="preserve"> </w:t>
      </w:r>
      <w:r w:rsidR="00E1271F">
        <w:t>or</w:t>
      </w:r>
      <w:r w:rsidR="00E1271F" w:rsidRPr="000161A0">
        <w:t xml:space="preserve"> </w:t>
      </w:r>
      <w:r w:rsidRPr="000161A0">
        <w:t xml:space="preserve">glucocorticoid receptors and therefore does not cause sex hormone-related adverse events (for example, gynecomastia). Its binding to the mineralocorticoid receptor leads to a specific receptor ligand complex that blocks </w:t>
      </w:r>
      <w:r w:rsidRPr="000161A0">
        <w:lastRenderedPageBreak/>
        <w:t>recruitment of transcriptional coactivators implicated in the expression of pro</w:t>
      </w:r>
      <w:r w:rsidR="00F4700D" w:rsidRPr="000161A0">
        <w:noBreakHyphen/>
      </w:r>
      <w:r w:rsidRPr="000161A0">
        <w:t>inflammatory and pro-fibrotic mediators.</w:t>
      </w:r>
    </w:p>
    <w:p w14:paraId="42766A45" w14:textId="744C6DBE" w:rsidR="00250271" w:rsidRPr="000161A0" w:rsidRDefault="00250271" w:rsidP="00494CF1">
      <w:r w:rsidRPr="000161A0">
        <w:t xml:space="preserve">This application was evaluated as part of the </w:t>
      </w:r>
      <w:r w:rsidR="00223F5D" w:rsidRPr="000161A0">
        <w:t xml:space="preserve">Australia-Canada-Singapore-Switzerland-United Kingdom (ACCESS) </w:t>
      </w:r>
      <w:r w:rsidRPr="000161A0">
        <w:t xml:space="preserve">Consortium, with work-sharing between the TGA, Health Sciences Authority Singapore and </w:t>
      </w:r>
      <w:proofErr w:type="spellStart"/>
      <w:r w:rsidRPr="000161A0">
        <w:t>Swissmedic</w:t>
      </w:r>
      <w:proofErr w:type="spellEnd"/>
      <w:r w:rsidRPr="000161A0">
        <w:t>. Each regulator made independent decisions regarding approval (market authorisation) of the new medicine.</w:t>
      </w:r>
    </w:p>
    <w:p w14:paraId="76361DCA" w14:textId="77777777" w:rsidR="008E7846" w:rsidRPr="000161A0" w:rsidRDefault="00386150" w:rsidP="008E7846">
      <w:pPr>
        <w:pStyle w:val="Heading3"/>
      </w:pPr>
      <w:bookmarkStart w:id="25" w:name="_Toc314842485"/>
      <w:bookmarkStart w:id="26" w:name="_Toc247691504"/>
      <w:bookmarkStart w:id="27" w:name="_Toc104899479"/>
      <w:r w:rsidRPr="000161A0">
        <w:t>Regulatory s</w:t>
      </w:r>
      <w:r w:rsidR="008E7846" w:rsidRPr="000161A0">
        <w:t>tatus</w:t>
      </w:r>
      <w:bookmarkEnd w:id="25"/>
      <w:bookmarkEnd w:id="26"/>
      <w:bookmarkEnd w:id="27"/>
    </w:p>
    <w:p w14:paraId="1521CD3D" w14:textId="3CC3C419" w:rsidR="00940A89" w:rsidRPr="000161A0" w:rsidRDefault="00006FAB" w:rsidP="00940A89">
      <w:bookmarkStart w:id="28" w:name="_Toc247691505"/>
      <w:bookmarkStart w:id="29" w:name="_Toc314842486"/>
      <w:r w:rsidRPr="000161A0">
        <w:t>This product is considered a new chemical entity for Australian regulatory purposes.</w:t>
      </w:r>
    </w:p>
    <w:p w14:paraId="34C97CB8" w14:textId="08786AD8" w:rsidR="00006FAB" w:rsidRDefault="00006FAB" w:rsidP="00006FAB">
      <w:r w:rsidRPr="000161A0">
        <w:t xml:space="preserve">At the time the TGA considered this application, a similar application had been approved in </w:t>
      </w:r>
      <w:r w:rsidR="00077DB4" w:rsidRPr="000161A0">
        <w:t>the United States of America on 9 July 2021. Similar applications were</w:t>
      </w:r>
      <w:r w:rsidRPr="000161A0">
        <w:t xml:space="preserve"> under consideration in </w:t>
      </w:r>
      <w:r w:rsidR="00077DB4" w:rsidRPr="000161A0">
        <w:t>the European Union (EU) (submitted on 6 November 2020), Japan (submitted on 26 November 2020), Switzerland (submitted on 30 November 2020), Singapore (submitted on 30 November 2020) and Canada (submitted on 12 February 2021).</w:t>
      </w:r>
    </w:p>
    <w:p w14:paraId="0EA7996B" w14:textId="212E386F" w:rsidR="00D26499" w:rsidRPr="000161A0" w:rsidRDefault="00D26499" w:rsidP="00006FAB">
      <w:r>
        <w:fldChar w:fldCharType="begin"/>
      </w:r>
      <w:r>
        <w:instrText xml:space="preserve"> REF _Ref101333817 \h </w:instrText>
      </w:r>
      <w:r>
        <w:fldChar w:fldCharType="separate"/>
      </w:r>
      <w:r w:rsidR="001C5336" w:rsidRPr="00110614">
        <w:t xml:space="preserve">Table </w:t>
      </w:r>
      <w:r w:rsidR="001C5336">
        <w:rPr>
          <w:noProof/>
        </w:rPr>
        <w:t>1</w:t>
      </w:r>
      <w:r>
        <w:fldChar w:fldCharType="end"/>
      </w:r>
      <w:r>
        <w:t>, shown below, summarises these applications and provides the indications where approved.</w:t>
      </w:r>
    </w:p>
    <w:p w14:paraId="30D8D505" w14:textId="55201C83" w:rsidR="00324E45" w:rsidRPr="00110614" w:rsidRDefault="00324E45" w:rsidP="00110614">
      <w:pPr>
        <w:pStyle w:val="TableTitle"/>
      </w:pPr>
      <w:bookmarkStart w:id="30" w:name="_Ref101333817"/>
      <w:r w:rsidRPr="00110614">
        <w:t xml:space="preserve">Table </w:t>
      </w:r>
      <w:fldSimple w:instr=" SEQ Table \* ARABIC ">
        <w:r w:rsidR="001C5336">
          <w:rPr>
            <w:noProof/>
          </w:rPr>
          <w:t>1</w:t>
        </w:r>
      </w:fldSimple>
      <w:bookmarkEnd w:id="30"/>
      <w:r w:rsidRPr="00110614">
        <w:t>: International regulatory status</w:t>
      </w:r>
    </w:p>
    <w:tbl>
      <w:tblPr>
        <w:tblStyle w:val="TableTGAblue"/>
        <w:tblW w:w="0" w:type="auto"/>
        <w:tblLook w:val="04A0" w:firstRow="1" w:lastRow="0" w:firstColumn="1" w:lastColumn="0" w:noHBand="0" w:noVBand="1"/>
      </w:tblPr>
      <w:tblGrid>
        <w:gridCol w:w="1512"/>
        <w:gridCol w:w="2201"/>
        <w:gridCol w:w="1693"/>
        <w:gridCol w:w="3088"/>
      </w:tblGrid>
      <w:tr w:rsidR="00006FAB" w:rsidRPr="000161A0" w14:paraId="7AB49253" w14:textId="77777777" w:rsidTr="00077DB4">
        <w:trPr>
          <w:cnfStyle w:val="100000000000" w:firstRow="1" w:lastRow="0" w:firstColumn="0" w:lastColumn="0" w:oddVBand="0" w:evenVBand="0" w:oddHBand="0" w:evenHBand="0" w:firstRowFirstColumn="0" w:firstRowLastColumn="0" w:lastRowFirstColumn="0" w:lastRowLastColumn="0"/>
        </w:trPr>
        <w:tc>
          <w:tcPr>
            <w:tcW w:w="1271" w:type="dxa"/>
            <w:tcBorders>
              <w:top w:val="single" w:sz="4" w:space="0" w:color="auto"/>
              <w:left w:val="single" w:sz="4" w:space="0" w:color="auto"/>
              <w:bottom w:val="single" w:sz="4" w:space="0" w:color="auto"/>
              <w:right w:val="single" w:sz="4" w:space="0" w:color="auto"/>
            </w:tcBorders>
          </w:tcPr>
          <w:p w14:paraId="09710141" w14:textId="77777777" w:rsidR="00006FAB" w:rsidRPr="000161A0" w:rsidRDefault="00006FAB" w:rsidP="00006FAB">
            <w:pPr>
              <w:ind w:left="0" w:right="0"/>
            </w:pPr>
            <w:r w:rsidRPr="000161A0">
              <w:t>Region</w:t>
            </w:r>
          </w:p>
        </w:tc>
        <w:tc>
          <w:tcPr>
            <w:tcW w:w="1559" w:type="dxa"/>
            <w:tcBorders>
              <w:top w:val="single" w:sz="4" w:space="0" w:color="auto"/>
              <w:left w:val="single" w:sz="4" w:space="0" w:color="auto"/>
              <w:bottom w:val="single" w:sz="4" w:space="0" w:color="auto"/>
              <w:right w:val="single" w:sz="4" w:space="0" w:color="auto"/>
            </w:tcBorders>
          </w:tcPr>
          <w:p w14:paraId="4F49C552" w14:textId="77777777" w:rsidR="00006FAB" w:rsidRPr="000161A0" w:rsidRDefault="00006FAB" w:rsidP="00006FAB">
            <w:pPr>
              <w:ind w:left="0" w:right="0"/>
            </w:pPr>
            <w:r w:rsidRPr="000161A0">
              <w:t>Submission date</w:t>
            </w:r>
          </w:p>
        </w:tc>
        <w:tc>
          <w:tcPr>
            <w:tcW w:w="1701" w:type="dxa"/>
            <w:tcBorders>
              <w:top w:val="single" w:sz="4" w:space="0" w:color="auto"/>
              <w:left w:val="single" w:sz="4" w:space="0" w:color="auto"/>
              <w:bottom w:val="single" w:sz="4" w:space="0" w:color="auto"/>
              <w:right w:val="single" w:sz="4" w:space="0" w:color="auto"/>
            </w:tcBorders>
          </w:tcPr>
          <w:p w14:paraId="5C23C928" w14:textId="77777777" w:rsidR="00006FAB" w:rsidRPr="000161A0" w:rsidRDefault="00006FAB" w:rsidP="00006FAB">
            <w:pPr>
              <w:ind w:left="0" w:right="0"/>
            </w:pPr>
            <w:r w:rsidRPr="000161A0">
              <w:t>Status</w:t>
            </w:r>
          </w:p>
        </w:tc>
        <w:tc>
          <w:tcPr>
            <w:tcW w:w="3963" w:type="dxa"/>
            <w:tcBorders>
              <w:top w:val="single" w:sz="4" w:space="0" w:color="auto"/>
              <w:left w:val="single" w:sz="4" w:space="0" w:color="auto"/>
              <w:bottom w:val="single" w:sz="4" w:space="0" w:color="auto"/>
              <w:right w:val="single" w:sz="4" w:space="0" w:color="auto"/>
            </w:tcBorders>
          </w:tcPr>
          <w:p w14:paraId="63E8F2B9" w14:textId="77777777" w:rsidR="00006FAB" w:rsidRPr="000161A0" w:rsidRDefault="00006FAB" w:rsidP="00006FAB">
            <w:pPr>
              <w:ind w:left="0" w:right="0"/>
            </w:pPr>
            <w:r w:rsidRPr="000161A0">
              <w:t>Approved indications</w:t>
            </w:r>
          </w:p>
        </w:tc>
      </w:tr>
      <w:tr w:rsidR="00006FAB" w:rsidRPr="000161A0" w14:paraId="52C1CCD7" w14:textId="77777777" w:rsidTr="00077DB4">
        <w:tc>
          <w:tcPr>
            <w:tcW w:w="1271" w:type="dxa"/>
            <w:tcBorders>
              <w:top w:val="single" w:sz="4" w:space="0" w:color="auto"/>
            </w:tcBorders>
          </w:tcPr>
          <w:p w14:paraId="7C5E624D" w14:textId="23C8909A" w:rsidR="00006FAB" w:rsidRPr="000161A0" w:rsidRDefault="00077DB4" w:rsidP="00006FAB">
            <w:pPr>
              <w:ind w:left="0" w:right="0"/>
            </w:pPr>
            <w:r w:rsidRPr="000161A0">
              <w:t>United States of America</w:t>
            </w:r>
          </w:p>
        </w:tc>
        <w:tc>
          <w:tcPr>
            <w:tcW w:w="1559" w:type="dxa"/>
            <w:tcBorders>
              <w:top w:val="single" w:sz="4" w:space="0" w:color="auto"/>
            </w:tcBorders>
          </w:tcPr>
          <w:p w14:paraId="4BEE1065" w14:textId="680F299D" w:rsidR="00006FAB" w:rsidRPr="000161A0" w:rsidRDefault="00077DB4" w:rsidP="00006FAB">
            <w:pPr>
              <w:ind w:left="0" w:right="0"/>
            </w:pPr>
            <w:r w:rsidRPr="000161A0">
              <w:t>6 November 2020</w:t>
            </w:r>
          </w:p>
        </w:tc>
        <w:tc>
          <w:tcPr>
            <w:tcW w:w="1701" w:type="dxa"/>
            <w:tcBorders>
              <w:top w:val="single" w:sz="4" w:space="0" w:color="auto"/>
            </w:tcBorders>
          </w:tcPr>
          <w:p w14:paraId="06F7C63E" w14:textId="13A14D6A" w:rsidR="00006FAB" w:rsidRPr="000161A0" w:rsidRDefault="00006FAB" w:rsidP="00006FAB">
            <w:pPr>
              <w:ind w:left="0" w:right="0"/>
            </w:pPr>
            <w:r w:rsidRPr="000161A0">
              <w:t xml:space="preserve">Approved on </w:t>
            </w:r>
            <w:r w:rsidR="00077DB4" w:rsidRPr="000161A0">
              <w:t>9 July 2021</w:t>
            </w:r>
          </w:p>
        </w:tc>
        <w:tc>
          <w:tcPr>
            <w:tcW w:w="3963" w:type="dxa"/>
            <w:tcBorders>
              <w:top w:val="single" w:sz="4" w:space="0" w:color="auto"/>
            </w:tcBorders>
          </w:tcPr>
          <w:p w14:paraId="6A7CD9F0" w14:textId="7111D302" w:rsidR="00006FAB" w:rsidRPr="000161A0" w:rsidRDefault="00077DB4" w:rsidP="00077DB4">
            <w:pPr>
              <w:ind w:left="0"/>
              <w:rPr>
                <w:i/>
                <w:iCs/>
              </w:rPr>
            </w:pPr>
            <w:proofErr w:type="spellStart"/>
            <w:r w:rsidRPr="000161A0">
              <w:rPr>
                <w:i/>
                <w:iCs/>
              </w:rPr>
              <w:t>Kerendia</w:t>
            </w:r>
            <w:proofErr w:type="spellEnd"/>
            <w:r w:rsidRPr="000161A0">
              <w:rPr>
                <w:i/>
                <w:iCs/>
              </w:rPr>
              <w:t xml:space="preserve"> is indicated to reduce the risk of sustained eGFR decline, end-stage kidney disease, cardiovascular death, non-fatal myocardial infarction, and hospitalization for heart failure in adult patients with chronic kidney disease (CKD) associated with type 2 diabetes (T2D).</w:t>
            </w:r>
          </w:p>
        </w:tc>
      </w:tr>
      <w:tr w:rsidR="00006FAB" w:rsidRPr="000161A0" w14:paraId="3D8678C9" w14:textId="77777777" w:rsidTr="00077DB4">
        <w:tc>
          <w:tcPr>
            <w:tcW w:w="1271" w:type="dxa"/>
          </w:tcPr>
          <w:p w14:paraId="6FDC2939" w14:textId="7827C475" w:rsidR="00006FAB" w:rsidRPr="000161A0" w:rsidRDefault="00077DB4" w:rsidP="00006FAB">
            <w:pPr>
              <w:ind w:left="0" w:right="0"/>
            </w:pPr>
            <w:r w:rsidRPr="000161A0">
              <w:t>European Union</w:t>
            </w:r>
          </w:p>
        </w:tc>
        <w:tc>
          <w:tcPr>
            <w:tcW w:w="1559" w:type="dxa"/>
          </w:tcPr>
          <w:p w14:paraId="6C2656BB" w14:textId="16F823AB" w:rsidR="00006FAB" w:rsidRPr="000161A0" w:rsidRDefault="00077DB4" w:rsidP="00006FAB">
            <w:pPr>
              <w:ind w:left="0" w:right="0"/>
            </w:pPr>
            <w:r w:rsidRPr="000161A0">
              <w:t>6 November 2020</w:t>
            </w:r>
          </w:p>
        </w:tc>
        <w:tc>
          <w:tcPr>
            <w:tcW w:w="1701" w:type="dxa"/>
          </w:tcPr>
          <w:p w14:paraId="15DA3AD9" w14:textId="77777777" w:rsidR="00006FAB" w:rsidRPr="000161A0" w:rsidRDefault="00006FAB" w:rsidP="00006FAB">
            <w:pPr>
              <w:ind w:left="0" w:right="0"/>
            </w:pPr>
            <w:r w:rsidRPr="000161A0">
              <w:t>Under consideration</w:t>
            </w:r>
          </w:p>
        </w:tc>
        <w:tc>
          <w:tcPr>
            <w:tcW w:w="3963" w:type="dxa"/>
          </w:tcPr>
          <w:p w14:paraId="7010547F" w14:textId="77777777" w:rsidR="00006FAB" w:rsidRPr="000161A0" w:rsidRDefault="00006FAB" w:rsidP="00006FAB">
            <w:pPr>
              <w:ind w:left="0" w:right="0"/>
            </w:pPr>
            <w:r w:rsidRPr="000161A0">
              <w:t>Under consideration</w:t>
            </w:r>
          </w:p>
        </w:tc>
      </w:tr>
      <w:tr w:rsidR="00077DB4" w:rsidRPr="000161A0" w14:paraId="6369B5BE" w14:textId="77777777" w:rsidTr="00077DB4">
        <w:tc>
          <w:tcPr>
            <w:tcW w:w="1271" w:type="dxa"/>
          </w:tcPr>
          <w:p w14:paraId="58CA5A2C" w14:textId="0EBF1F9B" w:rsidR="00077DB4" w:rsidRPr="000161A0" w:rsidRDefault="00077DB4" w:rsidP="00077DB4">
            <w:pPr>
              <w:ind w:left="0"/>
            </w:pPr>
            <w:r w:rsidRPr="000161A0">
              <w:t>Japan</w:t>
            </w:r>
          </w:p>
        </w:tc>
        <w:tc>
          <w:tcPr>
            <w:tcW w:w="1559" w:type="dxa"/>
          </w:tcPr>
          <w:p w14:paraId="65F22F49" w14:textId="44AB01A2" w:rsidR="00077DB4" w:rsidRPr="000161A0" w:rsidRDefault="00077DB4" w:rsidP="00077DB4">
            <w:pPr>
              <w:ind w:left="0"/>
            </w:pPr>
            <w:r w:rsidRPr="000161A0">
              <w:t>26 November 2020</w:t>
            </w:r>
          </w:p>
        </w:tc>
        <w:tc>
          <w:tcPr>
            <w:tcW w:w="1701" w:type="dxa"/>
          </w:tcPr>
          <w:p w14:paraId="170CF38A" w14:textId="759AF16F" w:rsidR="00077DB4" w:rsidRPr="000161A0" w:rsidRDefault="00077DB4" w:rsidP="00077DB4">
            <w:pPr>
              <w:ind w:left="0"/>
            </w:pPr>
            <w:r w:rsidRPr="000161A0">
              <w:t>Under consideration</w:t>
            </w:r>
          </w:p>
        </w:tc>
        <w:tc>
          <w:tcPr>
            <w:tcW w:w="3963" w:type="dxa"/>
          </w:tcPr>
          <w:p w14:paraId="66E7BDD0" w14:textId="7E373EEA" w:rsidR="00077DB4" w:rsidRPr="000161A0" w:rsidRDefault="00077DB4" w:rsidP="00077DB4">
            <w:pPr>
              <w:ind w:left="0"/>
            </w:pPr>
            <w:r w:rsidRPr="000161A0">
              <w:t>Under consideration</w:t>
            </w:r>
          </w:p>
        </w:tc>
      </w:tr>
      <w:tr w:rsidR="00077DB4" w:rsidRPr="000161A0" w14:paraId="2EADB93A" w14:textId="77777777" w:rsidTr="00077DB4">
        <w:tc>
          <w:tcPr>
            <w:tcW w:w="1271" w:type="dxa"/>
          </w:tcPr>
          <w:p w14:paraId="7A7B8B91" w14:textId="6A686D02" w:rsidR="00077DB4" w:rsidRPr="000161A0" w:rsidRDefault="00077DB4" w:rsidP="00077DB4">
            <w:pPr>
              <w:ind w:left="0"/>
            </w:pPr>
            <w:r w:rsidRPr="000161A0">
              <w:t>Switzerland</w:t>
            </w:r>
          </w:p>
        </w:tc>
        <w:tc>
          <w:tcPr>
            <w:tcW w:w="1559" w:type="dxa"/>
          </w:tcPr>
          <w:p w14:paraId="70A62618" w14:textId="574CDF03" w:rsidR="00077DB4" w:rsidRPr="000161A0" w:rsidRDefault="00077DB4" w:rsidP="00077DB4">
            <w:pPr>
              <w:ind w:left="0"/>
            </w:pPr>
            <w:r w:rsidRPr="000161A0">
              <w:t>30 November 2020</w:t>
            </w:r>
          </w:p>
        </w:tc>
        <w:tc>
          <w:tcPr>
            <w:tcW w:w="1701" w:type="dxa"/>
          </w:tcPr>
          <w:p w14:paraId="311060A1" w14:textId="2875932A" w:rsidR="00077DB4" w:rsidRPr="000161A0" w:rsidRDefault="00077DB4" w:rsidP="00077DB4">
            <w:pPr>
              <w:ind w:left="0"/>
            </w:pPr>
            <w:r w:rsidRPr="000161A0">
              <w:t>Under consideration</w:t>
            </w:r>
          </w:p>
        </w:tc>
        <w:tc>
          <w:tcPr>
            <w:tcW w:w="3963" w:type="dxa"/>
          </w:tcPr>
          <w:p w14:paraId="5C57C858" w14:textId="419B8B59" w:rsidR="00077DB4" w:rsidRPr="000161A0" w:rsidRDefault="00077DB4" w:rsidP="00077DB4">
            <w:pPr>
              <w:ind w:left="0"/>
            </w:pPr>
            <w:r w:rsidRPr="000161A0">
              <w:t>Under consideration</w:t>
            </w:r>
          </w:p>
        </w:tc>
      </w:tr>
      <w:tr w:rsidR="00077DB4" w:rsidRPr="000161A0" w14:paraId="1BE7D08E" w14:textId="77777777" w:rsidTr="00077DB4">
        <w:tc>
          <w:tcPr>
            <w:tcW w:w="1271" w:type="dxa"/>
          </w:tcPr>
          <w:p w14:paraId="0BFB7588" w14:textId="5AE3A2CD" w:rsidR="00077DB4" w:rsidRPr="000161A0" w:rsidRDefault="00077DB4" w:rsidP="00077DB4">
            <w:pPr>
              <w:ind w:left="0"/>
            </w:pPr>
            <w:r w:rsidRPr="000161A0">
              <w:t>Singapore</w:t>
            </w:r>
          </w:p>
        </w:tc>
        <w:tc>
          <w:tcPr>
            <w:tcW w:w="1559" w:type="dxa"/>
          </w:tcPr>
          <w:p w14:paraId="48D8A47E" w14:textId="2827382D" w:rsidR="00077DB4" w:rsidRPr="000161A0" w:rsidRDefault="00077DB4" w:rsidP="00077DB4">
            <w:pPr>
              <w:ind w:left="0"/>
            </w:pPr>
            <w:r w:rsidRPr="000161A0">
              <w:t>30 November 2020</w:t>
            </w:r>
          </w:p>
        </w:tc>
        <w:tc>
          <w:tcPr>
            <w:tcW w:w="1701" w:type="dxa"/>
          </w:tcPr>
          <w:p w14:paraId="3A2B578E" w14:textId="073DAE0D" w:rsidR="00077DB4" w:rsidRPr="000161A0" w:rsidRDefault="00077DB4" w:rsidP="00077DB4">
            <w:pPr>
              <w:ind w:left="0"/>
            </w:pPr>
            <w:r w:rsidRPr="000161A0">
              <w:t>Under consideration</w:t>
            </w:r>
          </w:p>
        </w:tc>
        <w:tc>
          <w:tcPr>
            <w:tcW w:w="3963" w:type="dxa"/>
          </w:tcPr>
          <w:p w14:paraId="2BCABE00" w14:textId="644ADE98" w:rsidR="00077DB4" w:rsidRPr="000161A0" w:rsidRDefault="00077DB4" w:rsidP="00077DB4">
            <w:pPr>
              <w:ind w:left="0"/>
            </w:pPr>
            <w:r w:rsidRPr="000161A0">
              <w:t>Under consideration</w:t>
            </w:r>
          </w:p>
        </w:tc>
      </w:tr>
      <w:tr w:rsidR="00077DB4" w:rsidRPr="000161A0" w14:paraId="50817F3E" w14:textId="77777777" w:rsidTr="00077DB4">
        <w:tc>
          <w:tcPr>
            <w:tcW w:w="1271" w:type="dxa"/>
          </w:tcPr>
          <w:p w14:paraId="050CC236" w14:textId="01B06EE0" w:rsidR="00077DB4" w:rsidRPr="000161A0" w:rsidRDefault="00077DB4" w:rsidP="00077DB4">
            <w:pPr>
              <w:ind w:left="0"/>
            </w:pPr>
            <w:r w:rsidRPr="000161A0">
              <w:t>Canada</w:t>
            </w:r>
          </w:p>
        </w:tc>
        <w:tc>
          <w:tcPr>
            <w:tcW w:w="1559" w:type="dxa"/>
          </w:tcPr>
          <w:p w14:paraId="558354AD" w14:textId="4E0CDABE" w:rsidR="00077DB4" w:rsidRPr="000161A0" w:rsidRDefault="00077DB4" w:rsidP="00077DB4">
            <w:pPr>
              <w:ind w:left="0"/>
            </w:pPr>
            <w:r w:rsidRPr="000161A0">
              <w:t>12 February 2021</w:t>
            </w:r>
          </w:p>
        </w:tc>
        <w:tc>
          <w:tcPr>
            <w:tcW w:w="1701" w:type="dxa"/>
          </w:tcPr>
          <w:p w14:paraId="2A54607E" w14:textId="274A5E10" w:rsidR="00077DB4" w:rsidRPr="000161A0" w:rsidRDefault="00077DB4" w:rsidP="00077DB4">
            <w:pPr>
              <w:ind w:left="0"/>
            </w:pPr>
            <w:r w:rsidRPr="000161A0">
              <w:t>Under consideration</w:t>
            </w:r>
          </w:p>
        </w:tc>
        <w:tc>
          <w:tcPr>
            <w:tcW w:w="3963" w:type="dxa"/>
          </w:tcPr>
          <w:p w14:paraId="02068DFB" w14:textId="6B07546A" w:rsidR="00077DB4" w:rsidRPr="000161A0" w:rsidRDefault="00077DB4" w:rsidP="00077DB4">
            <w:pPr>
              <w:ind w:left="0"/>
            </w:pPr>
            <w:r w:rsidRPr="000161A0">
              <w:t>Under consideration</w:t>
            </w:r>
          </w:p>
        </w:tc>
      </w:tr>
    </w:tbl>
    <w:p w14:paraId="6AD4792E" w14:textId="77777777" w:rsidR="008E7846" w:rsidRPr="000161A0" w:rsidRDefault="008E7846" w:rsidP="00940A89">
      <w:pPr>
        <w:pStyle w:val="Heading3"/>
      </w:pPr>
      <w:bookmarkStart w:id="31" w:name="_Toc104899480"/>
      <w:r w:rsidRPr="000161A0">
        <w:lastRenderedPageBreak/>
        <w:t>Product Information</w:t>
      </w:r>
      <w:bookmarkEnd w:id="28"/>
      <w:bookmarkEnd w:id="29"/>
      <w:bookmarkEnd w:id="31"/>
    </w:p>
    <w:p w14:paraId="66E6004E" w14:textId="0537BCCA" w:rsidR="00006FAB" w:rsidRPr="000161A0" w:rsidRDefault="006136D7" w:rsidP="00223F5D">
      <w:bookmarkStart w:id="32" w:name="_Toc247691506"/>
      <w:bookmarkStart w:id="33" w:name="_Toc314842487"/>
      <w:r w:rsidRPr="000161A0">
        <w:t xml:space="preserve">The Product Information (PI) approved with the submission which is described in this </w:t>
      </w:r>
      <w:proofErr w:type="spellStart"/>
      <w:r w:rsidRPr="000161A0">
        <w:t>AusPAR</w:t>
      </w:r>
      <w:proofErr w:type="spellEnd"/>
      <w:r w:rsidRPr="000161A0">
        <w:t xml:space="preserve"> can be found as Attachment 1. For the most recent PI, please refer to the TGA website at </w:t>
      </w:r>
      <w:r w:rsidR="00441C3F" w:rsidRPr="000161A0">
        <w:t>&lt;</w:t>
      </w:r>
      <w:hyperlink r:id="rId16" w:history="1">
        <w:r w:rsidR="00441C3F" w:rsidRPr="000161A0">
          <w:rPr>
            <w:rStyle w:val="Hyperlink"/>
          </w:rPr>
          <w:t>https://www.tga.gov.au/product-information-pi</w:t>
        </w:r>
      </w:hyperlink>
      <w:r w:rsidR="00441C3F" w:rsidRPr="000161A0">
        <w:t>&gt;</w:t>
      </w:r>
      <w:r w:rsidR="00940A89" w:rsidRPr="000161A0">
        <w:t>.</w:t>
      </w:r>
    </w:p>
    <w:p w14:paraId="20A6AFA4" w14:textId="77777777" w:rsidR="00500337" w:rsidRPr="000161A0" w:rsidRDefault="00500337" w:rsidP="00500337">
      <w:pPr>
        <w:pStyle w:val="Heading2"/>
      </w:pPr>
      <w:bookmarkStart w:id="34" w:name="_Toc504480011"/>
      <w:bookmarkStart w:id="35" w:name="_Toc104899481"/>
      <w:r w:rsidRPr="000161A0">
        <w:t>II. Registration timeline</w:t>
      </w:r>
      <w:bookmarkEnd w:id="34"/>
      <w:bookmarkEnd w:id="35"/>
    </w:p>
    <w:p w14:paraId="35ACF15C" w14:textId="77777777" w:rsidR="00500337" w:rsidRPr="000161A0" w:rsidRDefault="00500337" w:rsidP="00500337">
      <w:r w:rsidRPr="000161A0">
        <w:t xml:space="preserve">The following table captures the key steps and dates for this </w:t>
      </w:r>
      <w:proofErr w:type="gramStart"/>
      <w:r w:rsidRPr="000161A0">
        <w:t>application</w:t>
      </w:r>
      <w:proofErr w:type="gramEnd"/>
      <w:r w:rsidRPr="000161A0">
        <w:t xml:space="preserve"> and which are detailed and discussed in this </w:t>
      </w:r>
      <w:proofErr w:type="spellStart"/>
      <w:r w:rsidRPr="000161A0">
        <w:t>AusPAR</w:t>
      </w:r>
      <w:proofErr w:type="spellEnd"/>
      <w:r w:rsidRPr="000161A0">
        <w:t>.</w:t>
      </w:r>
    </w:p>
    <w:p w14:paraId="0584BBDE" w14:textId="4F7EEFDC" w:rsidR="006A58A8" w:rsidRPr="00110614" w:rsidRDefault="00D26499" w:rsidP="00110614">
      <w:pPr>
        <w:pStyle w:val="TableTitle"/>
      </w:pPr>
      <w:r w:rsidRPr="00110614">
        <w:t xml:space="preserve">Table </w:t>
      </w:r>
      <w:fldSimple w:instr=" SEQ Table \* ARABIC ">
        <w:r w:rsidR="001C5336">
          <w:rPr>
            <w:noProof/>
          </w:rPr>
          <w:t>2</w:t>
        </w:r>
      </w:fldSimple>
      <w:r w:rsidR="00006FAB" w:rsidRPr="00110614">
        <w:t>:</w:t>
      </w:r>
      <w:r w:rsidR="006A58A8" w:rsidRPr="00110614">
        <w:t xml:space="preserve"> Timeline for Submission </w:t>
      </w:r>
      <w:r w:rsidR="00494CF1" w:rsidRPr="00110614">
        <w:t>PM-2020-05944-1-5</w:t>
      </w:r>
    </w:p>
    <w:tbl>
      <w:tblPr>
        <w:tblStyle w:val="TableTGAblue"/>
        <w:tblW w:w="0" w:type="auto"/>
        <w:tblLook w:val="04A0" w:firstRow="1" w:lastRow="0" w:firstColumn="1" w:lastColumn="0" w:noHBand="0" w:noVBand="1"/>
      </w:tblPr>
      <w:tblGrid>
        <w:gridCol w:w="5949"/>
        <w:gridCol w:w="2545"/>
      </w:tblGrid>
      <w:tr w:rsidR="00500337" w:rsidRPr="000161A0" w14:paraId="525B23A6" w14:textId="77777777" w:rsidTr="001F221C">
        <w:trPr>
          <w:cnfStyle w:val="100000000000" w:firstRow="1" w:lastRow="0" w:firstColumn="0" w:lastColumn="0" w:oddVBand="0" w:evenVBand="0" w:oddHBand="0" w:evenHBand="0" w:firstRowFirstColumn="0" w:firstRowLastColumn="0" w:lastRowFirstColumn="0" w:lastRowLastColumn="0"/>
          <w:cantSplit/>
        </w:trPr>
        <w:tc>
          <w:tcPr>
            <w:tcW w:w="5949" w:type="dxa"/>
            <w:tcBorders>
              <w:top w:val="single" w:sz="4" w:space="0" w:color="auto"/>
              <w:left w:val="single" w:sz="4" w:space="0" w:color="auto"/>
              <w:bottom w:val="single" w:sz="4" w:space="0" w:color="auto"/>
              <w:right w:val="single" w:sz="4" w:space="0" w:color="auto"/>
            </w:tcBorders>
          </w:tcPr>
          <w:p w14:paraId="245399E3" w14:textId="77777777" w:rsidR="00500337" w:rsidRPr="000161A0" w:rsidRDefault="00500337" w:rsidP="00500337">
            <w:pPr>
              <w:ind w:left="0" w:right="0"/>
            </w:pPr>
            <w:r w:rsidRPr="000161A0">
              <w:t>Description</w:t>
            </w:r>
          </w:p>
        </w:tc>
        <w:tc>
          <w:tcPr>
            <w:tcW w:w="2545" w:type="dxa"/>
            <w:tcBorders>
              <w:top w:val="single" w:sz="4" w:space="0" w:color="auto"/>
              <w:left w:val="single" w:sz="4" w:space="0" w:color="auto"/>
              <w:bottom w:val="single" w:sz="4" w:space="0" w:color="auto"/>
              <w:right w:val="single" w:sz="4" w:space="0" w:color="auto"/>
            </w:tcBorders>
          </w:tcPr>
          <w:p w14:paraId="364363DF" w14:textId="77777777" w:rsidR="00500337" w:rsidRPr="000161A0" w:rsidRDefault="00500337" w:rsidP="00500337">
            <w:pPr>
              <w:ind w:left="0" w:right="0"/>
            </w:pPr>
            <w:r w:rsidRPr="000161A0">
              <w:t>Date</w:t>
            </w:r>
          </w:p>
        </w:tc>
      </w:tr>
      <w:tr w:rsidR="00223F5D" w:rsidRPr="000161A0" w14:paraId="1C1C855E" w14:textId="77777777" w:rsidTr="001F221C">
        <w:tc>
          <w:tcPr>
            <w:tcW w:w="5949" w:type="dxa"/>
            <w:tcBorders>
              <w:top w:val="single" w:sz="4" w:space="0" w:color="auto"/>
            </w:tcBorders>
          </w:tcPr>
          <w:p w14:paraId="0D7375A5" w14:textId="77777777" w:rsidR="00223F5D" w:rsidRPr="000161A0" w:rsidRDefault="00223F5D" w:rsidP="00223F5D">
            <w:pPr>
              <w:ind w:left="0" w:right="0"/>
            </w:pPr>
            <w:r w:rsidRPr="000161A0">
              <w:t>Submission dossier accepted and first round evaluation commenced</w:t>
            </w:r>
          </w:p>
        </w:tc>
        <w:tc>
          <w:tcPr>
            <w:tcW w:w="2545" w:type="dxa"/>
            <w:tcBorders>
              <w:top w:val="single" w:sz="4" w:space="0" w:color="auto"/>
            </w:tcBorders>
          </w:tcPr>
          <w:p w14:paraId="2174E25B" w14:textId="265C92AD" w:rsidR="00223F5D" w:rsidRPr="000161A0" w:rsidRDefault="00223F5D" w:rsidP="00223F5D">
            <w:pPr>
              <w:ind w:left="0" w:right="0"/>
            </w:pPr>
            <w:r w:rsidRPr="000161A0">
              <w:rPr>
                <w:color w:val="auto"/>
              </w:rPr>
              <w:t>4 January 2021</w:t>
            </w:r>
          </w:p>
        </w:tc>
      </w:tr>
      <w:tr w:rsidR="00223F5D" w:rsidRPr="000161A0" w14:paraId="5C708EA5" w14:textId="77777777" w:rsidTr="001F221C">
        <w:tc>
          <w:tcPr>
            <w:tcW w:w="5949" w:type="dxa"/>
          </w:tcPr>
          <w:p w14:paraId="0D35257E" w14:textId="77777777" w:rsidR="00223F5D" w:rsidRPr="000161A0" w:rsidRDefault="00223F5D" w:rsidP="00223F5D">
            <w:pPr>
              <w:ind w:left="0" w:right="0"/>
            </w:pPr>
            <w:r w:rsidRPr="000161A0">
              <w:t>First round evaluation completed</w:t>
            </w:r>
          </w:p>
        </w:tc>
        <w:tc>
          <w:tcPr>
            <w:tcW w:w="2545" w:type="dxa"/>
          </w:tcPr>
          <w:p w14:paraId="4AEC0B0B" w14:textId="4873B7A9" w:rsidR="00223F5D" w:rsidRPr="000161A0" w:rsidRDefault="00223F5D" w:rsidP="00223F5D">
            <w:pPr>
              <w:ind w:left="0" w:right="0"/>
            </w:pPr>
            <w:r w:rsidRPr="000161A0">
              <w:rPr>
                <w:color w:val="auto"/>
              </w:rPr>
              <w:t>30 April 2021</w:t>
            </w:r>
          </w:p>
        </w:tc>
      </w:tr>
      <w:tr w:rsidR="00223F5D" w:rsidRPr="000161A0" w14:paraId="51BF0090" w14:textId="77777777" w:rsidTr="001F221C">
        <w:tc>
          <w:tcPr>
            <w:tcW w:w="5949" w:type="dxa"/>
          </w:tcPr>
          <w:p w14:paraId="651D2E20" w14:textId="77777777" w:rsidR="00223F5D" w:rsidRPr="000161A0" w:rsidRDefault="00223F5D" w:rsidP="00223F5D">
            <w:pPr>
              <w:ind w:left="0" w:right="0"/>
            </w:pPr>
            <w:r w:rsidRPr="000161A0">
              <w:t>Sponsor provides responses on questions raised in first round evaluation</w:t>
            </w:r>
          </w:p>
        </w:tc>
        <w:tc>
          <w:tcPr>
            <w:tcW w:w="2545" w:type="dxa"/>
          </w:tcPr>
          <w:p w14:paraId="2B7F67D4" w14:textId="1A59ACCF" w:rsidR="00223F5D" w:rsidRPr="000161A0" w:rsidRDefault="00223F5D" w:rsidP="00223F5D">
            <w:pPr>
              <w:ind w:left="0" w:right="0"/>
            </w:pPr>
            <w:r w:rsidRPr="000161A0">
              <w:rPr>
                <w:color w:val="auto"/>
              </w:rPr>
              <w:t>28 June 2021</w:t>
            </w:r>
          </w:p>
        </w:tc>
      </w:tr>
      <w:tr w:rsidR="00223F5D" w:rsidRPr="000161A0" w14:paraId="7925ABBB" w14:textId="77777777" w:rsidTr="001F221C">
        <w:tc>
          <w:tcPr>
            <w:tcW w:w="5949" w:type="dxa"/>
          </w:tcPr>
          <w:p w14:paraId="27857845" w14:textId="77777777" w:rsidR="00223F5D" w:rsidRPr="000161A0" w:rsidRDefault="00223F5D" w:rsidP="00223F5D">
            <w:pPr>
              <w:ind w:left="0" w:right="0"/>
            </w:pPr>
            <w:r w:rsidRPr="000161A0">
              <w:t>Second round evaluation completed</w:t>
            </w:r>
          </w:p>
        </w:tc>
        <w:tc>
          <w:tcPr>
            <w:tcW w:w="2545" w:type="dxa"/>
          </w:tcPr>
          <w:p w14:paraId="4663AE61" w14:textId="7D472F94" w:rsidR="00223F5D" w:rsidRPr="000161A0" w:rsidRDefault="00223F5D" w:rsidP="00223F5D">
            <w:pPr>
              <w:ind w:left="0" w:right="0"/>
            </w:pPr>
            <w:r w:rsidRPr="000161A0">
              <w:rPr>
                <w:color w:val="auto"/>
              </w:rPr>
              <w:t>19 August 2021</w:t>
            </w:r>
          </w:p>
        </w:tc>
      </w:tr>
      <w:tr w:rsidR="00223F5D" w:rsidRPr="000161A0" w14:paraId="6439BB59" w14:textId="77777777" w:rsidTr="001F221C">
        <w:tc>
          <w:tcPr>
            <w:tcW w:w="5949" w:type="dxa"/>
          </w:tcPr>
          <w:p w14:paraId="353A25BC" w14:textId="5C3B44DA" w:rsidR="00223F5D" w:rsidRPr="000161A0" w:rsidRDefault="00223F5D" w:rsidP="00223F5D">
            <w:pPr>
              <w:ind w:left="0" w:right="0"/>
            </w:pPr>
            <w:r w:rsidRPr="000161A0">
              <w:t>Delegate’s Overall benefit-risk assessment and request for Advisory Committee advice</w:t>
            </w:r>
          </w:p>
        </w:tc>
        <w:tc>
          <w:tcPr>
            <w:tcW w:w="2545" w:type="dxa"/>
          </w:tcPr>
          <w:p w14:paraId="12C6806E" w14:textId="2EF92B51" w:rsidR="00223F5D" w:rsidRPr="000161A0" w:rsidRDefault="00223F5D" w:rsidP="00223F5D">
            <w:pPr>
              <w:ind w:left="0" w:right="0"/>
            </w:pPr>
            <w:r w:rsidRPr="000161A0">
              <w:rPr>
                <w:color w:val="auto"/>
              </w:rPr>
              <w:t>2 September 2021</w:t>
            </w:r>
          </w:p>
        </w:tc>
      </w:tr>
      <w:tr w:rsidR="00223F5D" w:rsidRPr="000161A0" w14:paraId="4212F907" w14:textId="77777777" w:rsidTr="001F221C">
        <w:tc>
          <w:tcPr>
            <w:tcW w:w="5949" w:type="dxa"/>
          </w:tcPr>
          <w:p w14:paraId="15D538CD" w14:textId="77777777" w:rsidR="00223F5D" w:rsidRPr="000161A0" w:rsidRDefault="00223F5D" w:rsidP="00223F5D">
            <w:pPr>
              <w:ind w:left="0" w:right="0"/>
            </w:pPr>
            <w:r w:rsidRPr="000161A0">
              <w:t>Sponsor’s pre-Advisory Committee response</w:t>
            </w:r>
          </w:p>
        </w:tc>
        <w:tc>
          <w:tcPr>
            <w:tcW w:w="2545" w:type="dxa"/>
          </w:tcPr>
          <w:p w14:paraId="2FF0C06E" w14:textId="27FF814B" w:rsidR="00223F5D" w:rsidRPr="000161A0" w:rsidRDefault="00223F5D" w:rsidP="00223F5D">
            <w:pPr>
              <w:ind w:left="0" w:right="0"/>
            </w:pPr>
            <w:r w:rsidRPr="000161A0">
              <w:rPr>
                <w:color w:val="auto"/>
              </w:rPr>
              <w:t>14 September 2021</w:t>
            </w:r>
          </w:p>
        </w:tc>
      </w:tr>
      <w:tr w:rsidR="00223F5D" w:rsidRPr="000161A0" w14:paraId="2B1382D1" w14:textId="77777777" w:rsidTr="001F221C">
        <w:tc>
          <w:tcPr>
            <w:tcW w:w="5949" w:type="dxa"/>
          </w:tcPr>
          <w:p w14:paraId="6CE85CCE" w14:textId="77777777" w:rsidR="00223F5D" w:rsidRPr="000161A0" w:rsidRDefault="00223F5D" w:rsidP="00223F5D">
            <w:pPr>
              <w:ind w:left="0" w:right="0"/>
            </w:pPr>
            <w:r w:rsidRPr="000161A0">
              <w:t>Advisory Committee meeting</w:t>
            </w:r>
          </w:p>
        </w:tc>
        <w:tc>
          <w:tcPr>
            <w:tcW w:w="2545" w:type="dxa"/>
          </w:tcPr>
          <w:p w14:paraId="293D2DD1" w14:textId="100FDCEF" w:rsidR="00223F5D" w:rsidRPr="000161A0" w:rsidRDefault="00223F5D" w:rsidP="00223F5D">
            <w:pPr>
              <w:ind w:left="0" w:right="0"/>
            </w:pPr>
            <w:r w:rsidRPr="000161A0">
              <w:rPr>
                <w:color w:val="auto"/>
              </w:rPr>
              <w:t>30 September 2021 and 1 October 2021</w:t>
            </w:r>
          </w:p>
        </w:tc>
      </w:tr>
      <w:tr w:rsidR="00223F5D" w:rsidRPr="000161A0" w14:paraId="3513CE28" w14:textId="77777777" w:rsidTr="001F221C">
        <w:tc>
          <w:tcPr>
            <w:tcW w:w="5949" w:type="dxa"/>
          </w:tcPr>
          <w:p w14:paraId="268E683D" w14:textId="77777777" w:rsidR="00223F5D" w:rsidRPr="000161A0" w:rsidRDefault="00223F5D" w:rsidP="00223F5D">
            <w:pPr>
              <w:ind w:left="0" w:right="0"/>
            </w:pPr>
            <w:r w:rsidRPr="000161A0">
              <w:t>Registration decision (Outcome)</w:t>
            </w:r>
          </w:p>
        </w:tc>
        <w:tc>
          <w:tcPr>
            <w:tcW w:w="2545" w:type="dxa"/>
          </w:tcPr>
          <w:p w14:paraId="4041BD9C" w14:textId="4B9B89A0" w:rsidR="00223F5D" w:rsidRPr="000161A0" w:rsidRDefault="00223F5D" w:rsidP="00223F5D">
            <w:pPr>
              <w:ind w:left="0" w:right="0"/>
            </w:pPr>
            <w:r w:rsidRPr="000161A0">
              <w:rPr>
                <w:color w:val="auto"/>
              </w:rPr>
              <w:t>18 November 2021</w:t>
            </w:r>
          </w:p>
        </w:tc>
      </w:tr>
      <w:tr w:rsidR="00223F5D" w:rsidRPr="000161A0" w14:paraId="6652BB5E" w14:textId="77777777" w:rsidTr="001F221C">
        <w:tc>
          <w:tcPr>
            <w:tcW w:w="5949" w:type="dxa"/>
          </w:tcPr>
          <w:p w14:paraId="53D8AF1E" w14:textId="77777777" w:rsidR="00223F5D" w:rsidRPr="000161A0" w:rsidRDefault="00223F5D" w:rsidP="00223F5D">
            <w:pPr>
              <w:ind w:left="0" w:right="0"/>
            </w:pPr>
            <w:r w:rsidRPr="000161A0">
              <w:t>Completion of administrative activities and registration on the ARTG</w:t>
            </w:r>
          </w:p>
        </w:tc>
        <w:tc>
          <w:tcPr>
            <w:tcW w:w="2545" w:type="dxa"/>
          </w:tcPr>
          <w:p w14:paraId="3AC302E4" w14:textId="28FB9FEF" w:rsidR="00223F5D" w:rsidRPr="000161A0" w:rsidRDefault="00223F5D" w:rsidP="00223F5D">
            <w:pPr>
              <w:ind w:left="0" w:right="0"/>
            </w:pPr>
            <w:r w:rsidRPr="000161A0">
              <w:rPr>
                <w:color w:val="auto"/>
              </w:rPr>
              <w:t>25 November 2021</w:t>
            </w:r>
          </w:p>
        </w:tc>
      </w:tr>
      <w:tr w:rsidR="00223F5D" w:rsidRPr="000161A0" w14:paraId="1493C405" w14:textId="77777777" w:rsidTr="001F221C">
        <w:tc>
          <w:tcPr>
            <w:tcW w:w="5949" w:type="dxa"/>
          </w:tcPr>
          <w:p w14:paraId="0EEAFD7D" w14:textId="77777777" w:rsidR="00223F5D" w:rsidRPr="000161A0" w:rsidRDefault="00223F5D" w:rsidP="00223F5D">
            <w:pPr>
              <w:ind w:left="0" w:right="0"/>
            </w:pPr>
            <w:r w:rsidRPr="000161A0">
              <w:t>Number of working days from submission dossier acceptance to registration decision*</w:t>
            </w:r>
          </w:p>
        </w:tc>
        <w:tc>
          <w:tcPr>
            <w:tcW w:w="2545" w:type="dxa"/>
          </w:tcPr>
          <w:p w14:paraId="680B4CF2" w14:textId="58336160" w:rsidR="00223F5D" w:rsidRPr="000161A0" w:rsidRDefault="00223F5D" w:rsidP="00223F5D">
            <w:pPr>
              <w:ind w:left="0" w:right="0"/>
            </w:pPr>
            <w:r w:rsidRPr="000161A0">
              <w:rPr>
                <w:color w:val="auto"/>
              </w:rPr>
              <w:t>181</w:t>
            </w:r>
          </w:p>
        </w:tc>
      </w:tr>
    </w:tbl>
    <w:p w14:paraId="03D3C112" w14:textId="77777777" w:rsidR="00500337" w:rsidRPr="000161A0" w:rsidRDefault="00500337" w:rsidP="00500337">
      <w:pPr>
        <w:pStyle w:val="TableDescription"/>
      </w:pPr>
      <w:r w:rsidRPr="000161A0">
        <w:t>*</w:t>
      </w:r>
      <w:r w:rsidR="00BF3774" w:rsidRPr="000161A0">
        <w:t xml:space="preserve">Statutory </w:t>
      </w:r>
      <w:r w:rsidRPr="000161A0">
        <w:t>timeframe for standard applications is 2</w:t>
      </w:r>
      <w:r w:rsidR="00BF3774" w:rsidRPr="000161A0">
        <w:t>55</w:t>
      </w:r>
      <w:r w:rsidRPr="000161A0">
        <w:t xml:space="preserve"> working days</w:t>
      </w:r>
    </w:p>
    <w:p w14:paraId="3FB5F360" w14:textId="77777777" w:rsidR="008E7846" w:rsidRPr="000161A0" w:rsidRDefault="00456765" w:rsidP="008E7846">
      <w:pPr>
        <w:pStyle w:val="Heading2"/>
      </w:pPr>
      <w:bookmarkStart w:id="36" w:name="_Toc196046504"/>
      <w:bookmarkStart w:id="37" w:name="_Toc247691527"/>
      <w:bookmarkStart w:id="38" w:name="_Toc314842510"/>
      <w:bookmarkStart w:id="39" w:name="_Toc163441390"/>
      <w:bookmarkStart w:id="40" w:name="_Toc104899482"/>
      <w:bookmarkEnd w:id="1"/>
      <w:bookmarkEnd w:id="32"/>
      <w:bookmarkEnd w:id="33"/>
      <w:r w:rsidRPr="000161A0">
        <w:t>I</w:t>
      </w:r>
      <w:r w:rsidR="00DA64CB" w:rsidRPr="000161A0">
        <w:t>I</w:t>
      </w:r>
      <w:r w:rsidR="008E7846" w:rsidRPr="000161A0">
        <w:t xml:space="preserve">I. </w:t>
      </w:r>
      <w:r w:rsidR="00006FAB" w:rsidRPr="000161A0">
        <w:t xml:space="preserve">Submission overview </w:t>
      </w:r>
      <w:r w:rsidR="008E7846" w:rsidRPr="000161A0">
        <w:t>and risk/benefit assessment</w:t>
      </w:r>
      <w:bookmarkEnd w:id="36"/>
      <w:bookmarkEnd w:id="37"/>
      <w:bookmarkEnd w:id="38"/>
      <w:bookmarkEnd w:id="40"/>
    </w:p>
    <w:p w14:paraId="4246792F" w14:textId="77777777" w:rsidR="00006FAB" w:rsidRPr="000161A0" w:rsidRDefault="00006FAB" w:rsidP="00006FAB">
      <w:bookmarkStart w:id="41" w:name="_Toc247691528"/>
      <w:r w:rsidRPr="000161A0">
        <w:t>The submission was summarised in the following Delegate’s overview and recommendations.</w:t>
      </w:r>
    </w:p>
    <w:p w14:paraId="3A707443" w14:textId="4167B783" w:rsidR="00006FAB" w:rsidRPr="000161A0" w:rsidRDefault="00006FAB" w:rsidP="00006FAB">
      <w:r w:rsidRPr="000161A0">
        <w:t>This section is a TGA summary of wording used in TGA’s evaluation report, which discussed numerous aspects of overseas evaluation reports and included some information that was commercial-in-confidence.</w:t>
      </w:r>
    </w:p>
    <w:p w14:paraId="3C831FFD" w14:textId="77777777" w:rsidR="001F221C" w:rsidRDefault="001F221C" w:rsidP="00EE0A94">
      <w:bookmarkStart w:id="42" w:name="_Hlk97819128"/>
    </w:p>
    <w:p w14:paraId="79626E66" w14:textId="77777777" w:rsidR="001F221C" w:rsidRDefault="001F221C" w:rsidP="00EE0A94"/>
    <w:p w14:paraId="74AE675A" w14:textId="0D6F1417" w:rsidR="00EE0A94" w:rsidRPr="000161A0" w:rsidRDefault="00EE0A94" w:rsidP="00EE0A94">
      <w:r w:rsidRPr="000161A0">
        <w:lastRenderedPageBreak/>
        <w:t>Relevant guidelines or guidance documents referred to by the Delegate are listed below:</w:t>
      </w:r>
    </w:p>
    <w:bookmarkEnd w:id="42"/>
    <w:p w14:paraId="035BFC6B" w14:textId="58AF18D9" w:rsidR="00EE0A94" w:rsidRPr="000161A0" w:rsidRDefault="00EE0A94" w:rsidP="00EE0A94">
      <w:pPr>
        <w:pStyle w:val="ListBullet"/>
      </w:pPr>
      <w:r w:rsidRPr="000161A0">
        <w:t xml:space="preserve">European Medicines Agency (EMA), Committee </w:t>
      </w:r>
      <w:r w:rsidR="00384B76" w:rsidRPr="000161A0">
        <w:t xml:space="preserve">for </w:t>
      </w:r>
      <w:r w:rsidRPr="000161A0">
        <w:t xml:space="preserve">Medicinal Products </w:t>
      </w:r>
      <w:r w:rsidR="00384B76" w:rsidRPr="000161A0">
        <w:t xml:space="preserve">for </w:t>
      </w:r>
      <w:r w:rsidRPr="000161A0">
        <w:t xml:space="preserve">Human Use </w:t>
      </w:r>
      <w:r w:rsidR="00384B76" w:rsidRPr="000161A0">
        <w:t>(</w:t>
      </w:r>
      <w:r w:rsidRPr="000161A0">
        <w:t>CHMP</w:t>
      </w:r>
      <w:r w:rsidR="00384B76" w:rsidRPr="000161A0">
        <w:t xml:space="preserve">), </w:t>
      </w:r>
      <w:r w:rsidRPr="000161A0">
        <w:t xml:space="preserve">Guideline </w:t>
      </w:r>
      <w:r w:rsidR="00384B76" w:rsidRPr="000161A0">
        <w:t xml:space="preserve">on the Clinical Investigation of Medicinal Products to Prevent Development/Slow Progression of Chronic Renal Insufficiency, </w:t>
      </w:r>
      <w:r w:rsidRPr="000161A0">
        <w:t>EMA/CHMP/500825/2016, 15 September 2016.</w:t>
      </w:r>
    </w:p>
    <w:p w14:paraId="47874976" w14:textId="28DB0B3F" w:rsidR="00077DB4" w:rsidRPr="000161A0" w:rsidRDefault="00384B76" w:rsidP="00384B76">
      <w:pPr>
        <w:pStyle w:val="ListBullet"/>
      </w:pPr>
      <w:r w:rsidRPr="000161A0">
        <w:t>European Medicines Evaluation Agency (</w:t>
      </w:r>
      <w:r w:rsidR="00EE0A94" w:rsidRPr="000161A0">
        <w:t>EMEA</w:t>
      </w:r>
      <w:r w:rsidRPr="000161A0">
        <w:t>)</w:t>
      </w:r>
      <w:r w:rsidR="00EE0A94" w:rsidRPr="000161A0">
        <w:t xml:space="preserve">, </w:t>
      </w:r>
      <w:r w:rsidRPr="000161A0">
        <w:t xml:space="preserve">Committee </w:t>
      </w:r>
      <w:r w:rsidR="00D26499">
        <w:t>f</w:t>
      </w:r>
      <w:r w:rsidRPr="000161A0">
        <w:t xml:space="preserve">or Proprietary Medicinal Products </w:t>
      </w:r>
      <w:r w:rsidR="00EE0A94" w:rsidRPr="000161A0">
        <w:t>(CPMP)</w:t>
      </w:r>
      <w:r w:rsidRPr="000161A0">
        <w:t>, Points to Consider on Application with 1. Meta-Analyses; 2. One Pivotal Study, CPMP/EWP/2330/99, 31 May 2001.</w:t>
      </w:r>
    </w:p>
    <w:p w14:paraId="4E898DF6" w14:textId="77777777" w:rsidR="008E7846" w:rsidRPr="000161A0" w:rsidRDefault="008E7846" w:rsidP="008E7846">
      <w:pPr>
        <w:pStyle w:val="Heading3"/>
      </w:pPr>
      <w:bookmarkStart w:id="43" w:name="_Toc314842511"/>
      <w:bookmarkStart w:id="44" w:name="_Toc104899483"/>
      <w:r w:rsidRPr="000161A0">
        <w:t>Quality</w:t>
      </w:r>
      <w:bookmarkEnd w:id="41"/>
      <w:bookmarkEnd w:id="43"/>
      <w:bookmarkEnd w:id="44"/>
    </w:p>
    <w:p w14:paraId="1ED935E9" w14:textId="77777777" w:rsidR="00715CC8" w:rsidRPr="000161A0" w:rsidRDefault="00715CC8" w:rsidP="00715CC8">
      <w:r w:rsidRPr="000161A0">
        <w:t xml:space="preserve">The administrative, product usage, chemical and pharmaceutical data submitted in support of this application have been evaluated in accordance with the Australian legislation, </w:t>
      </w:r>
      <w:proofErr w:type="spellStart"/>
      <w:r w:rsidRPr="000161A0">
        <w:t>pharmacopoeial</w:t>
      </w:r>
      <w:proofErr w:type="spellEnd"/>
      <w:r w:rsidRPr="000161A0">
        <w:t xml:space="preserve"> standards and relevant technical guidelines adopted by the TGA.</w:t>
      </w:r>
    </w:p>
    <w:p w14:paraId="593BC2EA" w14:textId="0229C759" w:rsidR="00715CC8" w:rsidRPr="000161A0" w:rsidRDefault="00715CC8" w:rsidP="00715CC8">
      <w:r w:rsidRPr="000161A0">
        <w:t>Chemical structure of the drug substance (</w:t>
      </w:r>
      <w:proofErr w:type="spellStart"/>
      <w:r w:rsidRPr="000161A0">
        <w:t>finerenone</w:t>
      </w:r>
      <w:proofErr w:type="spellEnd"/>
      <w:r w:rsidRPr="000161A0">
        <w:t xml:space="preserve">) is shown in </w:t>
      </w:r>
      <w:r w:rsidRPr="000161A0">
        <w:fldChar w:fldCharType="begin"/>
      </w:r>
      <w:r w:rsidRPr="000161A0">
        <w:instrText xml:space="preserve"> REF _Ref101268520 \h </w:instrText>
      </w:r>
      <w:r w:rsidR="000161A0" w:rsidRPr="000161A0">
        <w:instrText xml:space="preserve"> \* MERGEFORMAT </w:instrText>
      </w:r>
      <w:r w:rsidRPr="000161A0">
        <w:fldChar w:fldCharType="separate"/>
      </w:r>
      <w:r w:rsidR="001C5336" w:rsidRPr="00110614">
        <w:t xml:space="preserve">Figure </w:t>
      </w:r>
      <w:r w:rsidR="001C5336">
        <w:rPr>
          <w:noProof/>
        </w:rPr>
        <w:t>1</w:t>
      </w:r>
      <w:r w:rsidRPr="000161A0">
        <w:fldChar w:fldCharType="end"/>
      </w:r>
      <w:r w:rsidRPr="000161A0">
        <w:t xml:space="preserve"> below.</w:t>
      </w:r>
    </w:p>
    <w:p w14:paraId="64B17F72" w14:textId="788C91EA" w:rsidR="00715CC8" w:rsidRPr="00110614" w:rsidRDefault="00715CC8" w:rsidP="00110614">
      <w:pPr>
        <w:pStyle w:val="FigureTitle"/>
      </w:pPr>
      <w:bookmarkStart w:id="45" w:name="_Ref101268520"/>
      <w:r w:rsidRPr="00110614">
        <w:t xml:space="preserve">Figure </w:t>
      </w:r>
      <w:fldSimple w:instr=" SEQ Figure \* ARABIC ">
        <w:r w:rsidR="001C5336">
          <w:rPr>
            <w:noProof/>
          </w:rPr>
          <w:t>1</w:t>
        </w:r>
      </w:fldSimple>
      <w:bookmarkEnd w:id="45"/>
      <w:r w:rsidRPr="00110614">
        <w:t xml:space="preserve">: Chemical structure of </w:t>
      </w:r>
      <w:proofErr w:type="spellStart"/>
      <w:r w:rsidRPr="00110614">
        <w:t>finerenone</w:t>
      </w:r>
      <w:proofErr w:type="spellEnd"/>
    </w:p>
    <w:p w14:paraId="08731C99" w14:textId="77777777" w:rsidR="00715CC8" w:rsidRPr="000161A0" w:rsidRDefault="00715CC8" w:rsidP="00715CC8">
      <w:r w:rsidRPr="000161A0">
        <w:rPr>
          <w:noProof/>
          <w:lang w:val="en-GB" w:eastAsia="en-GB"/>
        </w:rPr>
        <w:drawing>
          <wp:inline distT="0" distB="0" distL="0" distR="0" wp14:anchorId="431CC770" wp14:editId="62272AB5">
            <wp:extent cx="1524000" cy="1943100"/>
            <wp:effectExtent l="0" t="0" r="0" b="0"/>
            <wp:docPr id="1" name="Picture 1" descr="Figure 1: Chemical structure of finere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emical structure of fineren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943100"/>
                    </a:xfrm>
                    <a:prstGeom prst="rect">
                      <a:avLst/>
                    </a:prstGeom>
                    <a:noFill/>
                    <a:ln>
                      <a:noFill/>
                    </a:ln>
                  </pic:spPr>
                </pic:pic>
              </a:graphicData>
            </a:graphic>
          </wp:inline>
        </w:drawing>
      </w:r>
    </w:p>
    <w:p w14:paraId="3B56ABA7" w14:textId="17AD53BD" w:rsidR="00BE646E" w:rsidRPr="000161A0" w:rsidRDefault="00BE646E" w:rsidP="00BE646E">
      <w:r w:rsidRPr="000161A0">
        <w:t>The intended dose and maximum daily dose</w:t>
      </w:r>
      <w:r w:rsidR="00384B76" w:rsidRPr="000161A0">
        <w:t xml:space="preserve"> of </w:t>
      </w:r>
      <w:proofErr w:type="spellStart"/>
      <w:r w:rsidR="00384B76" w:rsidRPr="000161A0">
        <w:t>Kerendia</w:t>
      </w:r>
      <w:proofErr w:type="spellEnd"/>
      <w:r w:rsidRPr="000161A0">
        <w:t xml:space="preserve"> is one 20 mg tablet taken once daily with water, and with or without food. Tablets may be crushed and taken orally if swallowing the whole tablet is problematic.</w:t>
      </w:r>
    </w:p>
    <w:p w14:paraId="433426D3" w14:textId="3209F08B" w:rsidR="00E1271F" w:rsidRDefault="00BE646E" w:rsidP="00E1271F">
      <w:r w:rsidRPr="000161A0">
        <w:t>The</w:t>
      </w:r>
      <w:r w:rsidR="00E1271F">
        <w:t xml:space="preserve"> </w:t>
      </w:r>
      <w:proofErr w:type="spellStart"/>
      <w:r w:rsidR="00E1271F">
        <w:t>Kerendia</w:t>
      </w:r>
      <w:proofErr w:type="spellEnd"/>
      <w:r w:rsidR="00E1271F">
        <w:t xml:space="preserve"> </w:t>
      </w:r>
      <w:r w:rsidRPr="000161A0">
        <w:t xml:space="preserve">10 mg </w:t>
      </w:r>
      <w:r w:rsidR="00E1271F">
        <w:t xml:space="preserve">film-coated tablet is a </w:t>
      </w:r>
      <w:r w:rsidR="00384B76" w:rsidRPr="000161A0">
        <w:t>pink, oval</w:t>
      </w:r>
      <w:r w:rsidR="00E1271F">
        <w:t>-</w:t>
      </w:r>
      <w:r w:rsidR="00384B76" w:rsidRPr="000161A0">
        <w:t xml:space="preserve">oblong </w:t>
      </w:r>
      <w:r w:rsidRPr="000161A0">
        <w:t>tablet</w:t>
      </w:r>
      <w:r w:rsidR="00E1271F">
        <w:t xml:space="preserve"> with a length of 10 mm and a width of 5 mm, marked ‘10’ on one side and ‘FI’ on the other side.</w:t>
      </w:r>
    </w:p>
    <w:p w14:paraId="6248C1F6" w14:textId="639EC5B1" w:rsidR="00E1271F" w:rsidRDefault="00E1271F" w:rsidP="00E1271F">
      <w:r>
        <w:t xml:space="preserve">The </w:t>
      </w:r>
      <w:proofErr w:type="spellStart"/>
      <w:r>
        <w:t>Kerendia</w:t>
      </w:r>
      <w:proofErr w:type="spellEnd"/>
      <w:r>
        <w:t xml:space="preserve"> </w:t>
      </w:r>
      <w:r w:rsidR="00BE646E" w:rsidRPr="000161A0">
        <w:t xml:space="preserve">20 mg </w:t>
      </w:r>
      <w:r>
        <w:t xml:space="preserve">film-coated tablet is a </w:t>
      </w:r>
      <w:r w:rsidR="00384B76" w:rsidRPr="000161A0">
        <w:t>y</w:t>
      </w:r>
      <w:r w:rsidR="00BE646E" w:rsidRPr="000161A0">
        <w:t>ellow</w:t>
      </w:r>
      <w:r>
        <w:t>,</w:t>
      </w:r>
      <w:r w:rsidR="00BE646E" w:rsidRPr="000161A0">
        <w:t xml:space="preserve"> oval</w:t>
      </w:r>
      <w:r>
        <w:t>-</w:t>
      </w:r>
      <w:r w:rsidR="00BE646E" w:rsidRPr="000161A0">
        <w:t>oblong tablet</w:t>
      </w:r>
      <w:r>
        <w:t xml:space="preserve"> with a length of 10 mm and a width of 5 mm, marked ´20´ on one side and ´FI´ on the other side.</w:t>
      </w:r>
    </w:p>
    <w:p w14:paraId="6B405AFB" w14:textId="28F8780C" w:rsidR="00BE646E" w:rsidRPr="000161A0" w:rsidRDefault="00BE646E" w:rsidP="00715CC8">
      <w:r w:rsidRPr="000161A0">
        <w:t xml:space="preserve">The proposed packaging and pack sizes are </w:t>
      </w:r>
      <w:r w:rsidR="00715CC8" w:rsidRPr="000161A0">
        <w:t>polyvinyl chloride</w:t>
      </w:r>
      <w:r w:rsidRPr="000161A0">
        <w:t>/</w:t>
      </w:r>
      <w:r w:rsidR="00715CC8" w:rsidRPr="000161A0">
        <w:t>polyvinylidene chloride</w:t>
      </w:r>
      <w:r w:rsidRPr="000161A0">
        <w:t>/</w:t>
      </w:r>
      <w:r w:rsidR="00715CC8" w:rsidRPr="000161A0">
        <w:t xml:space="preserve">aluminium </w:t>
      </w:r>
      <w:r w:rsidRPr="000161A0">
        <w:t>blister strips of 10 or 14 tablets in cardboard cartons in combinations of 14 tablets (1</w:t>
      </w:r>
      <w:r w:rsidR="00384B76" w:rsidRPr="000161A0">
        <w:t xml:space="preserve"> </w:t>
      </w:r>
      <w:r w:rsidRPr="000161A0">
        <w:t>x</w:t>
      </w:r>
      <w:r w:rsidR="00384B76" w:rsidRPr="000161A0">
        <w:t xml:space="preserve"> </w:t>
      </w:r>
      <w:r w:rsidRPr="000161A0">
        <w:t>14 tablet strip), 28 tablets (2</w:t>
      </w:r>
      <w:r w:rsidR="00384B76" w:rsidRPr="000161A0">
        <w:t xml:space="preserve"> </w:t>
      </w:r>
      <w:r w:rsidRPr="000161A0">
        <w:t>x 14 tablet strips), 98 (7</w:t>
      </w:r>
      <w:r w:rsidR="00384B76" w:rsidRPr="000161A0">
        <w:t xml:space="preserve"> </w:t>
      </w:r>
      <w:r w:rsidRPr="000161A0">
        <w:t>x 14 tablet strips) or 100 tablets (10</w:t>
      </w:r>
      <w:r w:rsidR="00384B76" w:rsidRPr="000161A0">
        <w:t xml:space="preserve"> </w:t>
      </w:r>
      <w:r w:rsidRPr="000161A0">
        <w:t>x 10 tablet strips). The strips are placed in a cardboard carton primary pack.</w:t>
      </w:r>
    </w:p>
    <w:p w14:paraId="01DC9E91" w14:textId="45659ADA" w:rsidR="002C253F" w:rsidRPr="000161A0" w:rsidRDefault="002C253F" w:rsidP="00BE646E">
      <w:bookmarkStart w:id="46" w:name="_Toc314842512"/>
      <w:r w:rsidRPr="000161A0">
        <w:t>The proposed shelf life is 3 years when stored below 30</w:t>
      </w:r>
      <w:r w:rsidRPr="000161A0">
        <w:sym w:font="Symbol" w:char="F0B0"/>
      </w:r>
      <w:r w:rsidRPr="000161A0">
        <w:t>C.</w:t>
      </w:r>
    </w:p>
    <w:p w14:paraId="0E110A0C" w14:textId="77777777" w:rsidR="00077DB4" w:rsidRPr="000161A0" w:rsidRDefault="00077DB4" w:rsidP="00BE646E">
      <w:r w:rsidRPr="000161A0">
        <w:t>Approval is recommended from a pharmaceutical chemistry and quality control perspective.</w:t>
      </w:r>
    </w:p>
    <w:p w14:paraId="3D4CF375" w14:textId="77777777" w:rsidR="008E7846" w:rsidRPr="000161A0" w:rsidRDefault="008E7846" w:rsidP="008E7846">
      <w:pPr>
        <w:pStyle w:val="Heading3"/>
      </w:pPr>
      <w:bookmarkStart w:id="47" w:name="_Toc104899484"/>
      <w:r w:rsidRPr="000161A0">
        <w:lastRenderedPageBreak/>
        <w:t>Nonclinical</w:t>
      </w:r>
      <w:bookmarkEnd w:id="46"/>
      <w:bookmarkEnd w:id="47"/>
    </w:p>
    <w:p w14:paraId="6FA0ADDB" w14:textId="0EC2AA18" w:rsidR="002C253F" w:rsidRPr="000161A0" w:rsidRDefault="00715CC8" w:rsidP="00077DB4">
      <w:bookmarkStart w:id="48" w:name="_Toc247691530"/>
      <w:bookmarkStart w:id="49" w:name="_Toc314842513"/>
      <w:r w:rsidRPr="000161A0">
        <w:t>The nonclinical</w:t>
      </w:r>
      <w:r w:rsidR="00077DB4" w:rsidRPr="000161A0">
        <w:t xml:space="preserve"> data</w:t>
      </w:r>
      <w:r w:rsidRPr="000161A0">
        <w:t xml:space="preserve"> submitted by the sponsor</w:t>
      </w:r>
      <w:r w:rsidR="00077DB4" w:rsidRPr="000161A0">
        <w:t xml:space="preserve"> are adequate and support the safety of </w:t>
      </w:r>
      <w:proofErr w:type="spellStart"/>
      <w:r w:rsidR="00077DB4" w:rsidRPr="000161A0">
        <w:t>finerenone</w:t>
      </w:r>
      <w:proofErr w:type="spellEnd"/>
      <w:r w:rsidR="00077DB4" w:rsidRPr="000161A0">
        <w:t>.</w:t>
      </w:r>
    </w:p>
    <w:p w14:paraId="0CE830F7" w14:textId="2D0D3B17" w:rsidR="00077DB4" w:rsidRPr="000161A0" w:rsidRDefault="00077DB4" w:rsidP="00077DB4">
      <w:r w:rsidRPr="000161A0">
        <w:t xml:space="preserve">There are no nonclinical objections to the registration of </w:t>
      </w:r>
      <w:proofErr w:type="spellStart"/>
      <w:r w:rsidRPr="000161A0">
        <w:t>Kerendia</w:t>
      </w:r>
      <w:proofErr w:type="spellEnd"/>
      <w:r w:rsidRPr="000161A0">
        <w:t xml:space="preserve"> for the proposed indication.</w:t>
      </w:r>
    </w:p>
    <w:p w14:paraId="0DD5E912" w14:textId="77777777" w:rsidR="008E7846" w:rsidRPr="000161A0" w:rsidRDefault="008E7846" w:rsidP="008E7846">
      <w:pPr>
        <w:pStyle w:val="Heading3"/>
      </w:pPr>
      <w:bookmarkStart w:id="50" w:name="_Toc104899485"/>
      <w:r w:rsidRPr="000161A0">
        <w:t>Clinical</w:t>
      </w:r>
      <w:bookmarkEnd w:id="48"/>
      <w:bookmarkEnd w:id="49"/>
      <w:bookmarkEnd w:id="50"/>
    </w:p>
    <w:p w14:paraId="28AE0AA7" w14:textId="3F3D4FC3" w:rsidR="00715CC8" w:rsidRPr="000161A0" w:rsidRDefault="00077DB4" w:rsidP="00715CC8">
      <w:bookmarkStart w:id="51" w:name="_Toc314842514"/>
      <w:r w:rsidRPr="000161A0">
        <w:t xml:space="preserve">Clinical development program for patients with </w:t>
      </w:r>
      <w:r w:rsidR="00E1271F">
        <w:t>chronic kidney disease</w:t>
      </w:r>
      <w:r w:rsidRPr="000161A0">
        <w:t xml:space="preserve"> consists of 35</w:t>
      </w:r>
      <w:r w:rsidR="00E1271F">
        <w:t> </w:t>
      </w:r>
      <w:r w:rsidRPr="000161A0">
        <w:t>studies:</w:t>
      </w:r>
    </w:p>
    <w:p w14:paraId="5E788254" w14:textId="77777777" w:rsidR="00715CC8" w:rsidRPr="000161A0" w:rsidRDefault="00077DB4" w:rsidP="00715CC8">
      <w:pPr>
        <w:pStyle w:val="ListBullet"/>
      </w:pPr>
      <w:r w:rsidRPr="000161A0">
        <w:t xml:space="preserve">28 </w:t>
      </w:r>
      <w:r w:rsidR="00715CC8" w:rsidRPr="000161A0">
        <w:t>P</w:t>
      </w:r>
      <w:r w:rsidRPr="000161A0">
        <w:t xml:space="preserve">hase </w:t>
      </w:r>
      <w:r w:rsidR="00715CC8" w:rsidRPr="000161A0">
        <w:t>I</w:t>
      </w:r>
      <w:r w:rsidRPr="000161A0">
        <w:t xml:space="preserve"> pharmacology studies</w:t>
      </w:r>
    </w:p>
    <w:p w14:paraId="6FB68F8E" w14:textId="77777777" w:rsidR="00715CC8" w:rsidRPr="000161A0" w:rsidRDefault="00077DB4" w:rsidP="00715CC8">
      <w:pPr>
        <w:pStyle w:val="ListBullet"/>
      </w:pPr>
      <w:r w:rsidRPr="000161A0">
        <w:t xml:space="preserve">5 </w:t>
      </w:r>
      <w:r w:rsidR="00715CC8" w:rsidRPr="000161A0">
        <w:t>Phase</w:t>
      </w:r>
      <w:r w:rsidRPr="000161A0">
        <w:t xml:space="preserve"> </w:t>
      </w:r>
      <w:r w:rsidR="00715CC8" w:rsidRPr="000161A0">
        <w:t>II</w:t>
      </w:r>
      <w:r w:rsidRPr="000161A0">
        <w:t xml:space="preserve"> studies</w:t>
      </w:r>
    </w:p>
    <w:p w14:paraId="48B62DAF" w14:textId="77777777" w:rsidR="00E1271F" w:rsidRDefault="00077DB4" w:rsidP="00715CC8">
      <w:pPr>
        <w:pStyle w:val="ListBullet"/>
      </w:pPr>
      <w:r w:rsidRPr="000161A0">
        <w:t xml:space="preserve">2 pivotal </w:t>
      </w:r>
      <w:r w:rsidR="00715CC8" w:rsidRPr="000161A0">
        <w:t>Phase</w:t>
      </w:r>
      <w:r w:rsidRPr="000161A0">
        <w:t xml:space="preserve"> </w:t>
      </w:r>
      <w:r w:rsidR="00715CC8" w:rsidRPr="000161A0">
        <w:t>III</w:t>
      </w:r>
      <w:r w:rsidRPr="000161A0">
        <w:t xml:space="preserve"> studies</w:t>
      </w:r>
      <w:r w:rsidR="00E1271F">
        <w:t>:</w:t>
      </w:r>
    </w:p>
    <w:p w14:paraId="76283E17" w14:textId="127202D2" w:rsidR="00E1271F" w:rsidRDefault="0023308B" w:rsidP="00457391">
      <w:pPr>
        <w:pStyle w:val="ListBullet2"/>
      </w:pPr>
      <w:bookmarkStart w:id="52" w:name="_Hlk101275465"/>
      <w:r w:rsidRPr="000161A0">
        <w:t xml:space="preserve">Study 16244 </w:t>
      </w:r>
      <w:bookmarkEnd w:id="52"/>
      <w:r w:rsidRPr="000161A0">
        <w:t xml:space="preserve">(also known as </w:t>
      </w:r>
      <w:r w:rsidR="00715CC8" w:rsidRPr="000161A0">
        <w:t xml:space="preserve">the </w:t>
      </w:r>
      <w:r w:rsidR="00077DB4" w:rsidRPr="000161A0">
        <w:t xml:space="preserve">FIDELIO-DKD </w:t>
      </w:r>
      <w:r w:rsidR="00715CC8" w:rsidRPr="000161A0">
        <w:t>trial</w:t>
      </w:r>
      <w:r w:rsidRPr="000161A0">
        <w:t>)</w:t>
      </w:r>
      <w:r w:rsidR="00E1271F">
        <w:t>, a pivotal study submitted with a full dataset; and</w:t>
      </w:r>
    </w:p>
    <w:p w14:paraId="75E428AE" w14:textId="6A3E8A5E" w:rsidR="00077DB4" w:rsidRPr="000161A0" w:rsidRDefault="0023308B" w:rsidP="00457391">
      <w:pPr>
        <w:pStyle w:val="ListBullet2"/>
      </w:pPr>
      <w:r w:rsidRPr="000161A0">
        <w:t xml:space="preserve">Study 17530 (also known as </w:t>
      </w:r>
      <w:r w:rsidR="00715CC8" w:rsidRPr="000161A0">
        <w:t xml:space="preserve">the </w:t>
      </w:r>
      <w:r w:rsidR="00077DB4" w:rsidRPr="000161A0">
        <w:t>FIGARO-DKD</w:t>
      </w:r>
      <w:r w:rsidR="00715CC8" w:rsidRPr="000161A0">
        <w:t xml:space="preserve"> trial</w:t>
      </w:r>
      <w:r w:rsidRPr="000161A0">
        <w:t>)</w:t>
      </w:r>
      <w:r w:rsidR="00077DB4" w:rsidRPr="000161A0">
        <w:t>, top</w:t>
      </w:r>
      <w:r w:rsidR="00E1271F">
        <w:t>-</w:t>
      </w:r>
      <w:r w:rsidR="00077DB4" w:rsidRPr="000161A0">
        <w:t xml:space="preserve">line results were only provided at </w:t>
      </w:r>
      <w:r w:rsidR="00715CC8" w:rsidRPr="000161A0">
        <w:t>the second round of evaluation</w:t>
      </w:r>
      <w:r w:rsidR="00077DB4" w:rsidRPr="000161A0">
        <w:t>).</w:t>
      </w:r>
    </w:p>
    <w:p w14:paraId="4CF98DA0" w14:textId="77777777" w:rsidR="00077DB4" w:rsidRPr="000161A0" w:rsidRDefault="00077DB4" w:rsidP="009253EA">
      <w:pPr>
        <w:pStyle w:val="Heading4"/>
      </w:pPr>
      <w:r w:rsidRPr="000161A0">
        <w:t>Pharmacology</w:t>
      </w:r>
    </w:p>
    <w:p w14:paraId="1CBB1B0E" w14:textId="77777777" w:rsidR="00077DB4" w:rsidRPr="000161A0" w:rsidRDefault="00077DB4" w:rsidP="009253EA">
      <w:pPr>
        <w:pStyle w:val="Heading5"/>
      </w:pPr>
      <w:r w:rsidRPr="000161A0">
        <w:t>Pharmacology study overview</w:t>
      </w:r>
    </w:p>
    <w:p w14:paraId="51099917" w14:textId="649AABD2" w:rsidR="00077DB4" w:rsidRPr="000161A0" w:rsidRDefault="00715CC8" w:rsidP="009253EA">
      <w:proofErr w:type="gramStart"/>
      <w:r w:rsidRPr="000161A0">
        <w:t>Twenty eight</w:t>
      </w:r>
      <w:proofErr w:type="gramEnd"/>
      <w:r w:rsidRPr="000161A0">
        <w:t xml:space="preserve"> (</w:t>
      </w:r>
      <w:r w:rsidR="00077DB4" w:rsidRPr="000161A0">
        <w:t>28</w:t>
      </w:r>
      <w:r w:rsidRPr="000161A0">
        <w:t>)</w:t>
      </w:r>
      <w:r w:rsidR="00077DB4" w:rsidRPr="000161A0">
        <w:t xml:space="preserve"> Phase </w:t>
      </w:r>
      <w:r w:rsidRPr="000161A0">
        <w:t>I</w:t>
      </w:r>
      <w:r w:rsidR="00077DB4" w:rsidRPr="000161A0">
        <w:t xml:space="preserve"> pharmacology studies supported this application (22 single</w:t>
      </w:r>
      <w:r w:rsidRPr="000161A0">
        <w:t xml:space="preserve"> </w:t>
      </w:r>
      <w:r w:rsidR="00077DB4" w:rsidRPr="000161A0">
        <w:t>dose, and 6 multiple</w:t>
      </w:r>
      <w:r w:rsidRPr="000161A0">
        <w:t xml:space="preserve"> </w:t>
      </w:r>
      <w:r w:rsidR="00077DB4" w:rsidRPr="000161A0">
        <w:t>dose studies)</w:t>
      </w:r>
      <w:r w:rsidR="00E1271F">
        <w:t xml:space="preserve">, as listed in </w:t>
      </w:r>
      <w:r w:rsidR="00873467" w:rsidRPr="000161A0">
        <w:fldChar w:fldCharType="begin"/>
      </w:r>
      <w:r w:rsidR="00873467" w:rsidRPr="000161A0">
        <w:instrText xml:space="preserve"> REF _Ref80109400 \h </w:instrText>
      </w:r>
      <w:r w:rsidR="000161A0" w:rsidRPr="000161A0">
        <w:instrText xml:space="preserve"> \* MERGEFORMAT </w:instrText>
      </w:r>
      <w:r w:rsidR="00873467" w:rsidRPr="000161A0">
        <w:fldChar w:fldCharType="separate"/>
      </w:r>
      <w:r w:rsidR="001C5336" w:rsidRPr="00110614">
        <w:t xml:space="preserve">Table </w:t>
      </w:r>
      <w:r w:rsidR="001C5336">
        <w:rPr>
          <w:noProof/>
        </w:rPr>
        <w:t>3</w:t>
      </w:r>
      <w:r w:rsidR="00873467" w:rsidRPr="000161A0">
        <w:fldChar w:fldCharType="end"/>
      </w:r>
      <w:r w:rsidR="00905477">
        <w:t xml:space="preserve"> and </w:t>
      </w:r>
      <w:r w:rsidR="00905477">
        <w:fldChar w:fldCharType="begin"/>
      </w:r>
      <w:r w:rsidR="00905477">
        <w:instrText xml:space="preserve"> REF _Ref101353733 \h </w:instrText>
      </w:r>
      <w:r w:rsidR="00905477">
        <w:fldChar w:fldCharType="separate"/>
      </w:r>
      <w:r w:rsidR="001C5336" w:rsidRPr="00110614">
        <w:t xml:space="preserve">Table </w:t>
      </w:r>
      <w:r w:rsidR="001C5336">
        <w:rPr>
          <w:noProof/>
        </w:rPr>
        <w:t>4</w:t>
      </w:r>
      <w:r w:rsidR="00905477">
        <w:fldChar w:fldCharType="end"/>
      </w:r>
      <w:r w:rsidR="00E1271F">
        <w:t>, below</w:t>
      </w:r>
      <w:r w:rsidR="00077DB4" w:rsidRPr="000161A0">
        <w:t xml:space="preserve">. </w:t>
      </w:r>
      <w:r w:rsidR="00873467" w:rsidRPr="000161A0">
        <w:t xml:space="preserve">Three </w:t>
      </w:r>
      <w:r w:rsidR="00077DB4" w:rsidRPr="000161A0">
        <w:t xml:space="preserve">relevant population </w:t>
      </w:r>
      <w:r w:rsidR="00873467" w:rsidRPr="000161A0">
        <w:t>pharmacokinetics (</w:t>
      </w:r>
      <w:r w:rsidR="00077DB4" w:rsidRPr="000161A0">
        <w:t>PK</w:t>
      </w:r>
      <w:r w:rsidR="00873467" w:rsidRPr="000161A0">
        <w:t>)</w:t>
      </w:r>
      <w:r w:rsidR="00077DB4" w:rsidRPr="000161A0">
        <w:t>/</w:t>
      </w:r>
      <w:r w:rsidR="00873467" w:rsidRPr="000161A0">
        <w:t>pharmacodynamics (</w:t>
      </w:r>
      <w:r w:rsidR="00077DB4" w:rsidRPr="000161A0">
        <w:t>PD</w:t>
      </w:r>
      <w:r w:rsidR="00873467" w:rsidRPr="000161A0">
        <w:t>)</w:t>
      </w:r>
      <w:r w:rsidR="00077DB4" w:rsidRPr="000161A0">
        <w:t xml:space="preserve"> analyses were conducted.</w:t>
      </w:r>
    </w:p>
    <w:p w14:paraId="67FADF90" w14:textId="396BFFB8" w:rsidR="00721E0D" w:rsidRPr="00110614" w:rsidRDefault="00873467" w:rsidP="00110614">
      <w:pPr>
        <w:pStyle w:val="TableTitle"/>
      </w:pPr>
      <w:bookmarkStart w:id="53" w:name="_Ref80109400"/>
      <w:r w:rsidRPr="00110614">
        <w:t xml:space="preserve">Table </w:t>
      </w:r>
      <w:fldSimple w:instr=" SEQ Table \* ARABIC ">
        <w:r w:rsidR="001C5336">
          <w:rPr>
            <w:noProof/>
          </w:rPr>
          <w:t>3</w:t>
        </w:r>
      </w:fldSimple>
      <w:bookmarkEnd w:id="53"/>
      <w:r w:rsidRPr="00110614">
        <w:t>: Overview of Phase I development program studies</w:t>
      </w:r>
      <w:r w:rsidR="00905477" w:rsidRPr="00110614">
        <w:t xml:space="preserve"> - l</w:t>
      </w:r>
      <w:r w:rsidR="00721E0D" w:rsidRPr="00110614">
        <w:t xml:space="preserve">ist of </w:t>
      </w:r>
      <w:r w:rsidR="00905477" w:rsidRPr="00110614">
        <w:t>single dose</w:t>
      </w:r>
      <w:r w:rsidR="00721E0D" w:rsidRPr="00110614">
        <w:t xml:space="preserve"> clinical pharmacology studies conducted in healthy subjects and the number of placebo and </w:t>
      </w:r>
      <w:proofErr w:type="spellStart"/>
      <w:r w:rsidR="00721E0D" w:rsidRPr="00110614">
        <w:t>finerenone</w:t>
      </w:r>
      <w:proofErr w:type="spellEnd"/>
      <w:r w:rsidR="00721E0D" w:rsidRPr="00110614">
        <w:t xml:space="preserve"> (alone or in combination with interaction drug) treatment periods</w:t>
      </w:r>
    </w:p>
    <w:p w14:paraId="19EBDFB7" w14:textId="1AE8C3D5" w:rsidR="00721E0D" w:rsidRDefault="00721E0D" w:rsidP="00110614">
      <w:r>
        <w:rPr>
          <w:noProof/>
          <w:lang w:val="en-GB" w:eastAsia="en-GB"/>
        </w:rPr>
        <w:drawing>
          <wp:inline distT="0" distB="0" distL="0" distR="0" wp14:anchorId="47794352" wp14:editId="08D3A043">
            <wp:extent cx="5400040" cy="2580091"/>
            <wp:effectExtent l="0" t="0" r="0" b="0"/>
            <wp:docPr id="28" name="Picture 28" descr="Table 3: Overview of Phase I development program studies - list of single dose clinical pharmacology studies conducted in healthy subjects and the number of placebo and finerenone (alone or in combination with interaction drug)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3: Overview of Phase I development program studies - list of single dose clinical pharmacology studies conducted in healthy subjects and the number of placebo and finerenone (alone or in combination with interaction drug) treatment periods"/>
                    <pic:cNvPicPr/>
                  </pic:nvPicPr>
                  <pic:blipFill>
                    <a:blip r:embed="rId18"/>
                    <a:stretch>
                      <a:fillRect/>
                    </a:stretch>
                  </pic:blipFill>
                  <pic:spPr>
                    <a:xfrm>
                      <a:off x="0" y="0"/>
                      <a:ext cx="5409404" cy="2584565"/>
                    </a:xfrm>
                    <a:prstGeom prst="rect">
                      <a:avLst/>
                    </a:prstGeom>
                  </pic:spPr>
                </pic:pic>
              </a:graphicData>
            </a:graphic>
          </wp:inline>
        </w:drawing>
      </w:r>
    </w:p>
    <w:p w14:paraId="3634FC01" w14:textId="38C19F32" w:rsidR="00721E0D" w:rsidRPr="00721E0D" w:rsidRDefault="00721E0D" w:rsidP="00721E0D">
      <w:pPr>
        <w:pStyle w:val="TableDescription"/>
      </w:pPr>
      <w:r w:rsidRPr="00721E0D">
        <w:t xml:space="preserve">a Study used oral </w:t>
      </w:r>
      <w:r w:rsidR="00376DEC" w:rsidRPr="00376DEC">
        <w:t xml:space="preserve">polyethylene glycol </w:t>
      </w:r>
      <w:r w:rsidRPr="00721E0D">
        <w:t>solution</w:t>
      </w:r>
    </w:p>
    <w:p w14:paraId="29B47580" w14:textId="77777777" w:rsidR="00721E0D" w:rsidRPr="00721E0D" w:rsidRDefault="00721E0D" w:rsidP="00721E0D">
      <w:pPr>
        <w:pStyle w:val="TableDescription"/>
      </w:pPr>
      <w:r w:rsidRPr="00721E0D">
        <w:t>b Study used tablet, see further footnotes if other formulations were also included</w:t>
      </w:r>
    </w:p>
    <w:p w14:paraId="0B0C7FC0" w14:textId="326CE7C7" w:rsidR="00721E0D" w:rsidRPr="00721E0D" w:rsidRDefault="00721E0D" w:rsidP="00721E0D">
      <w:pPr>
        <w:pStyle w:val="TableDescription"/>
      </w:pPr>
      <w:r w:rsidRPr="00721E0D">
        <w:t xml:space="preserve">c </w:t>
      </w:r>
      <w:r w:rsidR="00376DEC">
        <w:t xml:space="preserve">Carbon 14 </w:t>
      </w:r>
      <w:r w:rsidRPr="00721E0D">
        <w:t>[</w:t>
      </w:r>
      <w:r w:rsidRPr="00376DEC">
        <w:rPr>
          <w:vertAlign w:val="superscript"/>
        </w:rPr>
        <w:t>14</w:t>
      </w:r>
      <w:r w:rsidRPr="00721E0D">
        <w:t xml:space="preserve">C] </w:t>
      </w:r>
      <w:proofErr w:type="spellStart"/>
      <w:r w:rsidRPr="00721E0D">
        <w:t>finerenone</w:t>
      </w:r>
      <w:proofErr w:type="spellEnd"/>
      <w:r w:rsidRPr="00721E0D">
        <w:t xml:space="preserve"> (oral aqueous solution) was administered in Part B following comparison with tablet in part A of study</w:t>
      </w:r>
    </w:p>
    <w:p w14:paraId="4BC5AB2D" w14:textId="3FC90110" w:rsidR="00721E0D" w:rsidRPr="00721E0D" w:rsidRDefault="00721E0D" w:rsidP="00721E0D">
      <w:pPr>
        <w:pStyle w:val="TableDescription"/>
      </w:pPr>
      <w:r w:rsidRPr="00721E0D">
        <w:lastRenderedPageBreak/>
        <w:t xml:space="preserve">d Single oral administration of 20 mg </w:t>
      </w:r>
      <w:proofErr w:type="spellStart"/>
      <w:r w:rsidRPr="00721E0D">
        <w:t>finerenone</w:t>
      </w:r>
      <w:proofErr w:type="spellEnd"/>
      <w:r w:rsidRPr="00721E0D">
        <w:t xml:space="preserve"> (Treatment A) from multiple dose Study 14505 was included in the single dose integrated safety analysis, multiple dose treatments from the study</w:t>
      </w:r>
      <w:r>
        <w:t xml:space="preserve"> </w:t>
      </w:r>
      <w:r w:rsidRPr="00721E0D">
        <w:t>were included in the multiple dose integrated safety analysis</w:t>
      </w:r>
    </w:p>
    <w:p w14:paraId="7944C86B" w14:textId="77052172" w:rsidR="00721E0D" w:rsidRPr="00721E0D" w:rsidRDefault="00721E0D" w:rsidP="00721E0D">
      <w:pPr>
        <w:pStyle w:val="TableDescription"/>
      </w:pPr>
      <w:r w:rsidRPr="00721E0D">
        <w:t>e 0.25, 0.5 and 1.0 mg were administered intravenously, 5 mg was administered orally as tablet</w:t>
      </w:r>
    </w:p>
    <w:p w14:paraId="5EC9A05D" w14:textId="0FD57C10" w:rsidR="00721E0D" w:rsidRPr="00721E0D" w:rsidRDefault="00721E0D" w:rsidP="00721E0D">
      <w:pPr>
        <w:pStyle w:val="TableDescription"/>
      </w:pPr>
      <w:r w:rsidRPr="00721E0D">
        <w:t xml:space="preserve">f Suspension for </w:t>
      </w:r>
      <w:r w:rsidR="00376DEC" w:rsidRPr="00721E0D">
        <w:t>paediatric</w:t>
      </w:r>
      <w:r w:rsidRPr="00721E0D">
        <w:t xml:space="preserve"> use, crushed/resuspended tablet, or tablet was administered</w:t>
      </w:r>
    </w:p>
    <w:p w14:paraId="7819F469" w14:textId="4897CAAB" w:rsidR="00721E0D" w:rsidRPr="00721E0D" w:rsidRDefault="00721E0D" w:rsidP="00721E0D">
      <w:pPr>
        <w:pStyle w:val="TableDescription"/>
      </w:pPr>
      <w:r w:rsidRPr="00721E0D">
        <w:t xml:space="preserve">g Study evaluated prototypes of </w:t>
      </w:r>
      <w:proofErr w:type="spellStart"/>
      <w:r w:rsidRPr="00721E0D">
        <w:t>orodispersible</w:t>
      </w:r>
      <w:proofErr w:type="spellEnd"/>
      <w:r w:rsidRPr="00721E0D">
        <w:t xml:space="preserve"> tablets for </w:t>
      </w:r>
      <w:r w:rsidR="00376DEC" w:rsidRPr="00721E0D">
        <w:t>paediatric</w:t>
      </w:r>
      <w:r w:rsidRPr="00721E0D">
        <w:t xml:space="preserve"> use</w:t>
      </w:r>
    </w:p>
    <w:p w14:paraId="16C25E2D" w14:textId="77777777" w:rsidR="00721E0D" w:rsidRPr="00721E0D" w:rsidRDefault="00721E0D" w:rsidP="00721E0D">
      <w:pPr>
        <w:pStyle w:val="TableDescription"/>
      </w:pPr>
      <w:r w:rsidRPr="00721E0D">
        <w:t xml:space="preserve">h </w:t>
      </w:r>
      <w:proofErr w:type="spellStart"/>
      <w:r w:rsidRPr="00721E0D">
        <w:t>ConsiGma</w:t>
      </w:r>
      <w:proofErr w:type="spellEnd"/>
      <w:r w:rsidRPr="00721E0D">
        <w:t xml:space="preserve"> denotes prototype of continuously manufactured tablet</w:t>
      </w:r>
    </w:p>
    <w:p w14:paraId="39A3ABE8" w14:textId="7C9A38BF" w:rsidR="00721E0D" w:rsidRPr="00721E0D" w:rsidRDefault="00721E0D" w:rsidP="00721E0D">
      <w:pPr>
        <w:pStyle w:val="TableDescription"/>
      </w:pPr>
      <w:r w:rsidRPr="00721E0D">
        <w:t xml:space="preserve">Dose correction was made for </w:t>
      </w:r>
      <w:r w:rsidR="00376DEC" w:rsidRPr="00376DEC">
        <w:t>polyethylene glycol</w:t>
      </w:r>
      <w:r w:rsidR="00376DEC" w:rsidRPr="00721E0D">
        <w:t xml:space="preserve"> </w:t>
      </w:r>
      <w:r w:rsidRPr="00721E0D">
        <w:t xml:space="preserve">solution </w:t>
      </w:r>
      <w:r w:rsidR="00376DEC">
        <w:t>versus</w:t>
      </w:r>
      <w:r w:rsidRPr="00721E0D">
        <w:t xml:space="preserve"> tablet x mg </w:t>
      </w:r>
      <w:proofErr w:type="spellStart"/>
      <w:r w:rsidRPr="00721E0D">
        <w:t>finerenone</w:t>
      </w:r>
      <w:proofErr w:type="spellEnd"/>
      <w:r w:rsidRPr="00721E0D">
        <w:t xml:space="preserve">: </w:t>
      </w:r>
      <w:r w:rsidR="00376DEC" w:rsidRPr="00376DEC">
        <w:t>polyethylene glycol</w:t>
      </w:r>
      <w:r w:rsidRPr="00721E0D">
        <w:t xml:space="preserve"> solution considered as 0.5</w:t>
      </w:r>
      <w:r w:rsidR="00376DEC">
        <w:t xml:space="preserve"> </w:t>
      </w:r>
      <w:r w:rsidRPr="00721E0D">
        <w:t xml:space="preserve">x mg </w:t>
      </w:r>
      <w:proofErr w:type="spellStart"/>
      <w:r w:rsidRPr="00721E0D">
        <w:t>finerenone</w:t>
      </w:r>
      <w:proofErr w:type="spellEnd"/>
      <w:r w:rsidRPr="00721E0D">
        <w:t>.</w:t>
      </w:r>
    </w:p>
    <w:p w14:paraId="6EAD9074" w14:textId="25C7E94B" w:rsidR="00721E0D" w:rsidRDefault="00721E0D" w:rsidP="00721E0D">
      <w:pPr>
        <w:pStyle w:val="TableDescription"/>
      </w:pPr>
      <w:r w:rsidRPr="00721E0D">
        <w:t xml:space="preserve">10 mg </w:t>
      </w:r>
      <w:proofErr w:type="spellStart"/>
      <w:r w:rsidRPr="00721E0D">
        <w:t>finerenone</w:t>
      </w:r>
      <w:proofErr w:type="spellEnd"/>
      <w:r w:rsidRPr="00721E0D">
        <w:t xml:space="preserve"> aqueous solution and 10 mg </w:t>
      </w:r>
      <w:proofErr w:type="spellStart"/>
      <w:r w:rsidRPr="00721E0D">
        <w:t>finerenone</w:t>
      </w:r>
      <w:proofErr w:type="spellEnd"/>
      <w:r w:rsidRPr="00721E0D">
        <w:t xml:space="preserve"> aqueous solution blended with 3.33 MBq (90</w:t>
      </w:r>
      <w:r w:rsidR="00376DEC">
        <w:t> </w:t>
      </w:r>
      <w:proofErr w:type="spellStart"/>
      <w:r w:rsidRPr="00721E0D">
        <w:t>μCi</w:t>
      </w:r>
      <w:proofErr w:type="spellEnd"/>
      <w:r w:rsidRPr="00721E0D">
        <w:t>) [</w:t>
      </w:r>
      <w:r w:rsidRPr="00376DEC">
        <w:rPr>
          <w:vertAlign w:val="superscript"/>
        </w:rPr>
        <w:t>14</w:t>
      </w:r>
      <w:r w:rsidRPr="00721E0D">
        <w:t>C] BAY 94-8862</w:t>
      </w:r>
      <w:r w:rsidR="00376DEC">
        <w:t xml:space="preserve"> (sponsor’s drug development code)</w:t>
      </w:r>
      <w:r w:rsidRPr="00721E0D">
        <w:t xml:space="preserve"> considered as 10 mg </w:t>
      </w:r>
      <w:proofErr w:type="spellStart"/>
      <w:r w:rsidRPr="00721E0D">
        <w:t>finerenone</w:t>
      </w:r>
      <w:proofErr w:type="spellEnd"/>
    </w:p>
    <w:p w14:paraId="31F3D6CF" w14:textId="4699095B" w:rsidR="00905477" w:rsidRPr="00110614" w:rsidRDefault="00905477" w:rsidP="00110614">
      <w:pPr>
        <w:pStyle w:val="TableTitle"/>
      </w:pPr>
      <w:bookmarkStart w:id="54" w:name="_Ref101353733"/>
      <w:r w:rsidRPr="00110614">
        <w:t xml:space="preserve">Table </w:t>
      </w:r>
      <w:fldSimple w:instr=" SEQ Table \* ARABIC ">
        <w:r w:rsidR="001C5336">
          <w:rPr>
            <w:noProof/>
          </w:rPr>
          <w:t>4</w:t>
        </w:r>
      </w:fldSimple>
      <w:bookmarkEnd w:id="54"/>
      <w:r w:rsidRPr="00110614">
        <w:t xml:space="preserve">: Overview of Phase I development program studies - list of multiple dose clinical pharmacology studies conducted in healthy subjects and the number of placebo and </w:t>
      </w:r>
      <w:proofErr w:type="spellStart"/>
      <w:r w:rsidRPr="00110614">
        <w:t>finerenone</w:t>
      </w:r>
      <w:proofErr w:type="spellEnd"/>
      <w:r w:rsidRPr="00110614">
        <w:t xml:space="preserve"> (alone or in combination with interaction drug) treatment periods</w:t>
      </w:r>
    </w:p>
    <w:p w14:paraId="3A8E9C81" w14:textId="5504A18F" w:rsidR="00873467" w:rsidRPr="000161A0" w:rsidRDefault="00905477" w:rsidP="00110614">
      <w:r>
        <w:rPr>
          <w:noProof/>
          <w:lang w:val="en-GB" w:eastAsia="en-GB"/>
        </w:rPr>
        <w:drawing>
          <wp:inline distT="0" distB="0" distL="0" distR="0" wp14:anchorId="5A331024" wp14:editId="5ECDBEA1">
            <wp:extent cx="5400040" cy="1091565"/>
            <wp:effectExtent l="0" t="0" r="0" b="0"/>
            <wp:docPr id="29" name="Picture 29" descr="Table 4: Overview of Phase I development program studies - list of multiple dose clinical pharmacology studies conducted in healthy subjects and the number of placebo and finerenone (alone or in combination with interaction drug)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4: Overview of Phase I development program studies - list of multiple dose clinical pharmacology studies conducted in healthy subjects and the number of placebo and finerenone (alone or in combination with interaction drug) treatment periods"/>
                    <pic:cNvPicPr/>
                  </pic:nvPicPr>
                  <pic:blipFill>
                    <a:blip r:embed="rId19"/>
                    <a:stretch>
                      <a:fillRect/>
                    </a:stretch>
                  </pic:blipFill>
                  <pic:spPr>
                    <a:xfrm>
                      <a:off x="0" y="0"/>
                      <a:ext cx="5400040" cy="1091565"/>
                    </a:xfrm>
                    <a:prstGeom prst="rect">
                      <a:avLst/>
                    </a:prstGeom>
                  </pic:spPr>
                </pic:pic>
              </a:graphicData>
            </a:graphic>
          </wp:inline>
        </w:drawing>
      </w:r>
    </w:p>
    <w:p w14:paraId="4264D4C6" w14:textId="02886B01" w:rsidR="00376DEC" w:rsidRPr="00905477" w:rsidRDefault="00376DEC" w:rsidP="00376DEC">
      <w:pPr>
        <w:pStyle w:val="TableDescription"/>
      </w:pPr>
      <w:r w:rsidRPr="00905477">
        <w:t>BID</w:t>
      </w:r>
      <w:r>
        <w:t xml:space="preserve"> =</w:t>
      </w:r>
      <w:r w:rsidRPr="00905477">
        <w:t xml:space="preserve"> twice daily</w:t>
      </w:r>
      <w:r>
        <w:t>;</w:t>
      </w:r>
      <w:r w:rsidRPr="00905477">
        <w:t xml:space="preserve"> OD</w:t>
      </w:r>
      <w:r>
        <w:t xml:space="preserve"> =</w:t>
      </w:r>
      <w:r w:rsidRPr="00905477">
        <w:t xml:space="preserve"> once daily</w:t>
      </w:r>
      <w:r>
        <w:t>.</w:t>
      </w:r>
    </w:p>
    <w:p w14:paraId="44EB5C41" w14:textId="77777777" w:rsidR="00905477" w:rsidRPr="00905477" w:rsidRDefault="00905477" w:rsidP="00905477">
      <w:pPr>
        <w:pStyle w:val="TableDescription"/>
      </w:pPr>
      <w:r w:rsidRPr="00905477">
        <w:t>b Study used tablet</w:t>
      </w:r>
    </w:p>
    <w:p w14:paraId="4F5D775B" w14:textId="5A238E79" w:rsidR="00905477" w:rsidRPr="00905477" w:rsidRDefault="00905477" w:rsidP="00905477">
      <w:pPr>
        <w:pStyle w:val="TableDescription"/>
      </w:pPr>
      <w:r w:rsidRPr="00905477">
        <w:t xml:space="preserve">d Single oral administration of 20 mg </w:t>
      </w:r>
      <w:proofErr w:type="spellStart"/>
      <w:r w:rsidRPr="00905477">
        <w:t>finerenone</w:t>
      </w:r>
      <w:proofErr w:type="spellEnd"/>
      <w:r w:rsidRPr="00905477">
        <w:t xml:space="preserve"> (Treatment A) from multiple dose Study 14505 was included in the single dose integrated safety analysis, multiple dose treatments from the study</w:t>
      </w:r>
      <w:r>
        <w:t xml:space="preserve"> </w:t>
      </w:r>
      <w:r w:rsidRPr="00905477">
        <w:t>were included in the multiple dose integrated safety analysis</w:t>
      </w:r>
    </w:p>
    <w:p w14:paraId="7842D940" w14:textId="2698C311" w:rsidR="00077DB4" w:rsidRPr="000161A0" w:rsidRDefault="00077DB4" w:rsidP="009253EA">
      <w:pPr>
        <w:pStyle w:val="Heading5"/>
      </w:pPr>
      <w:r w:rsidRPr="000161A0">
        <w:t>Pharmacokinetics</w:t>
      </w:r>
    </w:p>
    <w:p w14:paraId="37955A8C" w14:textId="7F533BD5" w:rsidR="00077DB4" w:rsidRPr="000161A0" w:rsidRDefault="00077DB4" w:rsidP="009253EA">
      <w:r w:rsidRPr="000161A0">
        <w:t>Only pharmacology data relating to the proposed tablet presentation (not the oral solution or other presentations) are summarised.</w:t>
      </w:r>
    </w:p>
    <w:p w14:paraId="77BF6EB8" w14:textId="77777777" w:rsidR="00077DB4" w:rsidRPr="000161A0" w:rsidRDefault="00077DB4" w:rsidP="009253EA">
      <w:pPr>
        <w:pStyle w:val="Heading6"/>
      </w:pPr>
      <w:r w:rsidRPr="000161A0">
        <w:t>Absorption</w:t>
      </w:r>
    </w:p>
    <w:p w14:paraId="06077C16" w14:textId="23629AD0" w:rsidR="00077DB4" w:rsidRPr="000161A0" w:rsidRDefault="00077DB4" w:rsidP="008D1BF5">
      <w:proofErr w:type="spellStart"/>
      <w:r w:rsidRPr="000161A0">
        <w:t>Finerenone</w:t>
      </w:r>
      <w:proofErr w:type="spellEnd"/>
      <w:r w:rsidRPr="000161A0">
        <w:t xml:space="preserve"> is a </w:t>
      </w:r>
      <w:r w:rsidR="00873467" w:rsidRPr="000161A0">
        <w:t>Biopharmaceutics Classification System (</w:t>
      </w:r>
      <w:r w:rsidRPr="000161A0">
        <w:t>BCS</w:t>
      </w:r>
      <w:r w:rsidR="00873467" w:rsidRPr="000161A0">
        <w:t>)</w:t>
      </w:r>
      <w:r w:rsidR="00A753D1" w:rsidRPr="000161A0">
        <w:rPr>
          <w:rStyle w:val="FootnoteReference"/>
        </w:rPr>
        <w:footnoteReference w:id="2"/>
      </w:r>
      <w:r w:rsidRPr="000161A0">
        <w:t xml:space="preserve"> II drug (low solubility, high permeability). While fasting, it is rapidly and almost completely absorbed after oral administration</w:t>
      </w:r>
      <w:r w:rsidR="00E1271F">
        <w:t xml:space="preserve"> with a </w:t>
      </w:r>
      <w:r w:rsidR="00E1271F" w:rsidRPr="000161A0">
        <w:t xml:space="preserve">time </w:t>
      </w:r>
      <w:r w:rsidR="00E1271F">
        <w:t>of m</w:t>
      </w:r>
      <w:r w:rsidR="00E1271F" w:rsidRPr="000161A0">
        <w:t xml:space="preserve">aximum plasma concentration </w:t>
      </w:r>
      <w:r w:rsidR="00E1271F">
        <w:t>(</w:t>
      </w:r>
      <w:proofErr w:type="spellStart"/>
      <w:r w:rsidR="00E1271F" w:rsidRPr="000161A0">
        <w:t>T</w:t>
      </w:r>
      <w:r w:rsidR="00E1271F" w:rsidRPr="000161A0">
        <w:rPr>
          <w:vertAlign w:val="subscript"/>
        </w:rPr>
        <w:t>max</w:t>
      </w:r>
      <w:proofErr w:type="spellEnd"/>
      <w:r w:rsidR="00E1271F">
        <w:t>)</w:t>
      </w:r>
      <w:r w:rsidR="00E1271F" w:rsidRPr="000161A0">
        <w:t xml:space="preserve"> </w:t>
      </w:r>
      <w:r w:rsidR="00E1271F">
        <w:t xml:space="preserve">of </w:t>
      </w:r>
      <w:r w:rsidR="00E1271F" w:rsidRPr="000161A0">
        <w:t>0.5 to 1.25 hours)</w:t>
      </w:r>
      <w:r w:rsidRPr="000161A0">
        <w:t xml:space="preserve">. Intake with high fat, high calorie food increased the </w:t>
      </w:r>
      <w:r w:rsidR="000161A0">
        <w:t>a</w:t>
      </w:r>
      <w:r w:rsidR="000161A0" w:rsidRPr="000161A0">
        <w:t>rea under the concentration</w:t>
      </w:r>
      <w:r w:rsidR="00E1271F">
        <w:noBreakHyphen/>
      </w:r>
      <w:r w:rsidR="000161A0" w:rsidRPr="000161A0">
        <w:t>time curve</w:t>
      </w:r>
      <w:r w:rsidR="000161A0">
        <w:t xml:space="preserve"> (</w:t>
      </w:r>
      <w:r w:rsidRPr="000161A0">
        <w:t>AUC</w:t>
      </w:r>
      <w:r w:rsidR="000161A0">
        <w:t>)</w:t>
      </w:r>
      <w:r w:rsidRPr="000161A0">
        <w:t xml:space="preserve"> by 21%, reduced </w:t>
      </w:r>
      <w:r w:rsidR="008D1BF5" w:rsidRPr="000161A0">
        <w:t xml:space="preserve">maximum observed drug concentration </w:t>
      </w:r>
      <w:r w:rsidR="001E39CD" w:rsidRPr="000161A0">
        <w:t>(</w:t>
      </w:r>
      <w:proofErr w:type="spellStart"/>
      <w:r w:rsidRPr="000161A0">
        <w:t>C</w:t>
      </w:r>
      <w:r w:rsidRPr="000161A0">
        <w:rPr>
          <w:vertAlign w:val="subscript"/>
        </w:rPr>
        <w:t>max</w:t>
      </w:r>
      <w:proofErr w:type="spellEnd"/>
      <w:r w:rsidR="001E39CD" w:rsidRPr="000161A0">
        <w:t>)</w:t>
      </w:r>
      <w:r w:rsidRPr="000161A0">
        <w:t xml:space="preserve"> by 18.7%, and increased the </w:t>
      </w:r>
      <w:proofErr w:type="spellStart"/>
      <w:r w:rsidR="000161A0">
        <w:t>T</w:t>
      </w:r>
      <w:r w:rsidR="00873467" w:rsidRPr="000161A0">
        <w:rPr>
          <w:vertAlign w:val="subscript"/>
        </w:rPr>
        <w:t>max</w:t>
      </w:r>
      <w:proofErr w:type="spellEnd"/>
      <w:r w:rsidRPr="000161A0">
        <w:t xml:space="preserve"> from 0.75 to 2.5 hours (Study 16536). Intake with apple sauce (thick food) reduced the </w:t>
      </w:r>
      <w:proofErr w:type="spellStart"/>
      <w:r w:rsidR="00873467" w:rsidRPr="000161A0">
        <w:t>C</w:t>
      </w:r>
      <w:r w:rsidR="00873467" w:rsidRPr="000161A0">
        <w:rPr>
          <w:vertAlign w:val="subscript"/>
        </w:rPr>
        <w:t>max</w:t>
      </w:r>
      <w:proofErr w:type="spellEnd"/>
      <w:r w:rsidRPr="000161A0">
        <w:t xml:space="preserve"> by 11% and AUC by 18.4% (Study 16538). The differences are not likely clinically relevant.</w:t>
      </w:r>
    </w:p>
    <w:p w14:paraId="6830198D" w14:textId="29472575" w:rsidR="00077DB4" w:rsidRPr="000161A0" w:rsidRDefault="00077DB4" w:rsidP="009253EA">
      <w:r w:rsidRPr="000161A0">
        <w:t>The absolute bioavailability was 43.5% due to first</w:t>
      </w:r>
      <w:r w:rsidR="00873467" w:rsidRPr="000161A0">
        <w:t xml:space="preserve"> </w:t>
      </w:r>
      <w:r w:rsidRPr="000161A0">
        <w:t xml:space="preserve">pass metabolism with a hepatic extraction ratio of 0.244 and a gut wall extraction ratio of 0.425 (Study 16535). </w:t>
      </w:r>
      <w:proofErr w:type="spellStart"/>
      <w:r w:rsidRPr="000161A0">
        <w:t>Finerenone</w:t>
      </w:r>
      <w:proofErr w:type="spellEnd"/>
      <w:r w:rsidRPr="000161A0">
        <w:t xml:space="preserve"> has a plasma half</w:t>
      </w:r>
      <w:r w:rsidR="00FE4641">
        <w:noBreakHyphen/>
      </w:r>
      <w:r w:rsidRPr="000161A0">
        <w:t xml:space="preserve">life of 2 to 3 hours and has no pharmacologically active metabolites. </w:t>
      </w:r>
      <w:proofErr w:type="spellStart"/>
      <w:r w:rsidRPr="000161A0">
        <w:t>Finerenone</w:t>
      </w:r>
      <w:proofErr w:type="spellEnd"/>
      <w:r w:rsidRPr="000161A0">
        <w:t xml:space="preserve"> is not a substrate of the efflux transporter </w:t>
      </w:r>
      <w:r w:rsidR="00873467" w:rsidRPr="000161A0">
        <w:t>P-glycoprotein</w:t>
      </w:r>
      <w:r w:rsidRPr="000161A0">
        <w:t xml:space="preserve"> </w:t>
      </w:r>
      <w:r w:rsidRPr="000161A0">
        <w:rPr>
          <w:i/>
          <w:iCs/>
        </w:rPr>
        <w:t>in vivo</w:t>
      </w:r>
      <w:r w:rsidRPr="000161A0">
        <w:t>.</w:t>
      </w:r>
    </w:p>
    <w:p w14:paraId="185133F4" w14:textId="7CBC23ED" w:rsidR="00077DB4" w:rsidRPr="000161A0" w:rsidRDefault="00077DB4" w:rsidP="009253EA">
      <w:r w:rsidRPr="000161A0">
        <w:lastRenderedPageBreak/>
        <w:t>Dose proportionality was demonstrated (for tablets) for the proposed dose range for Caucasian and Asian subjects (Studies 16536, 13785, 15528, 15171</w:t>
      </w:r>
      <w:r w:rsidR="00873467" w:rsidRPr="000161A0">
        <w:t xml:space="preserve"> and</w:t>
      </w:r>
      <w:r w:rsidRPr="000161A0">
        <w:t xml:space="preserve"> 16537). There was a low degree of accumulation after multiple dosing (including for metabolites that displayed higher degrees, but with a ratio below 2) (Studies 13785</w:t>
      </w:r>
      <w:r w:rsidR="00873467" w:rsidRPr="000161A0">
        <w:t xml:space="preserve"> and</w:t>
      </w:r>
      <w:r w:rsidRPr="000161A0">
        <w:t xml:space="preserve"> 15171).</w:t>
      </w:r>
    </w:p>
    <w:p w14:paraId="7E42E989" w14:textId="77777777" w:rsidR="00077DB4" w:rsidRPr="000161A0" w:rsidRDefault="00077DB4" w:rsidP="009253EA">
      <w:pPr>
        <w:pStyle w:val="Heading6"/>
      </w:pPr>
      <w:r w:rsidRPr="000161A0">
        <w:t>Distribution</w:t>
      </w:r>
    </w:p>
    <w:p w14:paraId="68061B10" w14:textId="77777777" w:rsidR="00077DB4" w:rsidRPr="000161A0" w:rsidRDefault="00077DB4" w:rsidP="009253EA">
      <w:r w:rsidRPr="000161A0">
        <w:t>The volume of distribution at steady state (</w:t>
      </w:r>
      <w:proofErr w:type="spellStart"/>
      <w:r w:rsidRPr="000161A0">
        <w:t>V</w:t>
      </w:r>
      <w:r w:rsidRPr="000161A0">
        <w:rPr>
          <w:vertAlign w:val="subscript"/>
        </w:rPr>
        <w:t>ss</w:t>
      </w:r>
      <w:proofErr w:type="spellEnd"/>
      <w:r w:rsidRPr="000161A0">
        <w:t>) is 52.6 L (Study 16535).</w:t>
      </w:r>
    </w:p>
    <w:p w14:paraId="4D491D0A" w14:textId="77777777" w:rsidR="00077DB4" w:rsidRPr="000161A0" w:rsidRDefault="00077DB4" w:rsidP="009253EA">
      <w:r w:rsidRPr="000161A0">
        <w:t xml:space="preserve">The proportion bound in human plasma protein </w:t>
      </w:r>
      <w:r w:rsidRPr="000161A0">
        <w:rPr>
          <w:i/>
          <w:iCs/>
        </w:rPr>
        <w:t>in vitro</w:t>
      </w:r>
      <w:r w:rsidRPr="000161A0">
        <w:t xml:space="preserve"> is 91.7% (lower at higher doses due to saturation), with serum albumin being the main binding protein. Renal impairment had no major impact on the plasma protein binding of </w:t>
      </w:r>
      <w:proofErr w:type="spellStart"/>
      <w:r w:rsidRPr="000161A0">
        <w:t>finerenone</w:t>
      </w:r>
      <w:proofErr w:type="spellEnd"/>
      <w:r w:rsidRPr="000161A0">
        <w:t xml:space="preserve"> and its metabolites (Study 14509). The ex vivo fraction unbound of </w:t>
      </w:r>
      <w:proofErr w:type="spellStart"/>
      <w:r w:rsidRPr="000161A0">
        <w:t>finerenone</w:t>
      </w:r>
      <w:proofErr w:type="spellEnd"/>
      <w:r w:rsidRPr="000161A0">
        <w:t xml:space="preserve"> was 12.2% higher in subjects with moderate hepatic impairment compared to healthy controls (Study 14510).</w:t>
      </w:r>
    </w:p>
    <w:p w14:paraId="08EBD583" w14:textId="77777777" w:rsidR="00077DB4" w:rsidRPr="000161A0" w:rsidRDefault="00077DB4" w:rsidP="009253EA">
      <w:r w:rsidRPr="000161A0">
        <w:t xml:space="preserve">The mean blood to plasma ratio based was 0.65, indicating that </w:t>
      </w:r>
      <w:proofErr w:type="spellStart"/>
      <w:r w:rsidRPr="000161A0">
        <w:t>finerenone</w:t>
      </w:r>
      <w:proofErr w:type="spellEnd"/>
      <w:r w:rsidRPr="000161A0">
        <w:t xml:space="preserve"> mainly distributes in plasma (Study 14502).</w:t>
      </w:r>
    </w:p>
    <w:p w14:paraId="5A6AC400" w14:textId="77777777" w:rsidR="00077DB4" w:rsidRPr="000161A0" w:rsidRDefault="00077DB4" w:rsidP="009253EA">
      <w:pPr>
        <w:pStyle w:val="Heading6"/>
      </w:pPr>
      <w:r w:rsidRPr="000161A0">
        <w:t>Metabolism</w:t>
      </w:r>
    </w:p>
    <w:p w14:paraId="4CEE23CB" w14:textId="77777777" w:rsidR="00077DB4" w:rsidRPr="000161A0" w:rsidRDefault="00077DB4" w:rsidP="009253EA">
      <w:proofErr w:type="spellStart"/>
      <w:r w:rsidRPr="000161A0">
        <w:t>Finerenone</w:t>
      </w:r>
      <w:proofErr w:type="spellEnd"/>
      <w:r w:rsidRPr="000161A0">
        <w:t xml:space="preserve"> is administered as a pure S-enantiomer without racemisation detected in plasma.</w:t>
      </w:r>
    </w:p>
    <w:p w14:paraId="66DFFCE2" w14:textId="40DF1048" w:rsidR="00077DB4" w:rsidRPr="000161A0" w:rsidRDefault="00077DB4" w:rsidP="009253EA">
      <w:r w:rsidRPr="000161A0">
        <w:rPr>
          <w:i/>
          <w:iCs/>
        </w:rPr>
        <w:t>In vivo</w:t>
      </w:r>
      <w:r w:rsidRPr="000161A0">
        <w:t>, 87</w:t>
      </w:r>
      <w:r w:rsidR="00873467" w:rsidRPr="000161A0">
        <w:t xml:space="preserve">% to </w:t>
      </w:r>
      <w:r w:rsidRPr="000161A0">
        <w:t xml:space="preserve">89% of metabolic clearance in vivo is attributed to </w:t>
      </w:r>
      <w:r w:rsidR="001D3BD3" w:rsidRPr="000161A0">
        <w:t>cytochrome P450</w:t>
      </w:r>
      <w:bookmarkStart w:id="55" w:name="_Ref101281105"/>
      <w:r w:rsidR="001D3BD3" w:rsidRPr="000161A0">
        <w:t>;</w:t>
      </w:r>
      <w:r w:rsidR="001D3BD3" w:rsidRPr="000161A0">
        <w:rPr>
          <w:rStyle w:val="FootnoteReference"/>
        </w:rPr>
        <w:footnoteReference w:id="3"/>
      </w:r>
      <w:bookmarkEnd w:id="55"/>
      <w:r w:rsidR="001D3BD3" w:rsidRPr="000161A0">
        <w:t xml:space="preserve"> </w:t>
      </w:r>
      <w:r w:rsidR="0057249C" w:rsidRPr="0057249C">
        <w:t>isoenzyme 3A4</w:t>
      </w:r>
      <w:r w:rsidR="001D3BD3" w:rsidRPr="000161A0">
        <w:t>3A4 (</w:t>
      </w:r>
      <w:r w:rsidRPr="000161A0">
        <w:t>CYP3A4</w:t>
      </w:r>
      <w:r w:rsidR="001D3BD3" w:rsidRPr="000161A0">
        <w:t>)</w:t>
      </w:r>
      <w:r w:rsidRPr="000161A0">
        <w:t xml:space="preserve"> and approx</w:t>
      </w:r>
      <w:r w:rsidR="00B85982" w:rsidRPr="000161A0">
        <w:t>imately</w:t>
      </w:r>
      <w:r w:rsidRPr="000161A0">
        <w:t xml:space="preserve"> 10% to </w:t>
      </w:r>
      <w:r w:rsidR="001D3BD3" w:rsidRPr="000161A0">
        <w:t xml:space="preserve">cytochrome P450 </w:t>
      </w:r>
      <w:r w:rsidR="0057249C" w:rsidRPr="0057249C">
        <w:t xml:space="preserve">isoenzyme </w:t>
      </w:r>
      <w:r w:rsidR="001D3BD3" w:rsidRPr="000161A0">
        <w:t>2C8 (</w:t>
      </w:r>
      <w:r w:rsidRPr="000161A0">
        <w:t>CYP2C8</w:t>
      </w:r>
      <w:r w:rsidR="001D3BD3" w:rsidRPr="000161A0">
        <w:t>)</w:t>
      </w:r>
      <w:r w:rsidRPr="000161A0">
        <w:t xml:space="preserve">. </w:t>
      </w:r>
      <w:proofErr w:type="spellStart"/>
      <w:r w:rsidRPr="000161A0">
        <w:t>Finerenone</w:t>
      </w:r>
      <w:proofErr w:type="spellEnd"/>
      <w:r w:rsidRPr="000161A0">
        <w:t xml:space="preserve"> was not a substrate for </w:t>
      </w:r>
      <w:r w:rsidR="00873467" w:rsidRPr="000161A0">
        <w:t>uridine 5'-diphospho-glucuronosyltransferase</w:t>
      </w:r>
      <w:r w:rsidRPr="000161A0">
        <w:t>s.</w:t>
      </w:r>
    </w:p>
    <w:p w14:paraId="39F557A6" w14:textId="3CD85F51" w:rsidR="00077DB4" w:rsidRPr="000161A0" w:rsidRDefault="00077DB4" w:rsidP="009253EA">
      <w:r w:rsidRPr="000161A0">
        <w:t>Four major metabolites were found in plasma which are pharmacologically inactive (Study</w:t>
      </w:r>
      <w:r w:rsidR="00873467" w:rsidRPr="000161A0">
        <w:t> </w:t>
      </w:r>
      <w:r w:rsidRPr="000161A0">
        <w:t>13785). Additionally, minor metabolites were detected (Study 14502).</w:t>
      </w:r>
    </w:p>
    <w:p w14:paraId="14304437" w14:textId="77777777" w:rsidR="00077DB4" w:rsidRPr="000161A0" w:rsidRDefault="00077DB4" w:rsidP="009253EA">
      <w:pPr>
        <w:pStyle w:val="Heading6"/>
      </w:pPr>
      <w:r w:rsidRPr="000161A0">
        <w:t>Elimination and excretion</w:t>
      </w:r>
    </w:p>
    <w:p w14:paraId="1AB59B58" w14:textId="0BA1CD76" w:rsidR="00077DB4" w:rsidRPr="000161A0" w:rsidRDefault="00077DB4" w:rsidP="009253EA">
      <w:r w:rsidRPr="000161A0">
        <w:t xml:space="preserve">The elimination of </w:t>
      </w:r>
      <w:proofErr w:type="spellStart"/>
      <w:r w:rsidRPr="000161A0">
        <w:t>finerenone</w:t>
      </w:r>
      <w:proofErr w:type="spellEnd"/>
      <w:r w:rsidRPr="000161A0">
        <w:t xml:space="preserve"> from plasma is rapid with an elimination </w:t>
      </w:r>
      <w:r w:rsidR="00FE4641" w:rsidRPr="000161A0">
        <w:t>half-life</w:t>
      </w:r>
      <w:r w:rsidRPr="000161A0">
        <w:t xml:space="preserve"> of </w:t>
      </w:r>
      <w:r w:rsidR="00B85982" w:rsidRPr="000161A0">
        <w:t>approximately</w:t>
      </w:r>
      <w:r w:rsidRPr="000161A0">
        <w:t xml:space="preserve"> 2 to 3 hours (Study 16535). The systemic blood clearance is </w:t>
      </w:r>
      <w:r w:rsidR="00B85982" w:rsidRPr="000161A0">
        <w:t>approximately</w:t>
      </w:r>
      <w:r w:rsidRPr="000161A0">
        <w:t xml:space="preserve"> 25 L/h.</w:t>
      </w:r>
    </w:p>
    <w:p w14:paraId="44153CA3" w14:textId="00AF62FF" w:rsidR="00077DB4" w:rsidRPr="000161A0" w:rsidRDefault="00077DB4" w:rsidP="009253EA">
      <w:r w:rsidRPr="000161A0">
        <w:t xml:space="preserve">After administration of a single </w:t>
      </w:r>
      <w:r w:rsidR="001D3BD3" w:rsidRPr="000161A0">
        <w:t>carbon 14</w:t>
      </w:r>
      <w:r w:rsidR="001D3BD3" w:rsidRPr="000161A0">
        <w:rPr>
          <w:rStyle w:val="CommentReference"/>
        </w:rPr>
        <w:t xml:space="preserve"> </w:t>
      </w:r>
      <w:r w:rsidR="001D3BD3" w:rsidRPr="000161A0">
        <w:t>labelled</w:t>
      </w:r>
      <w:r w:rsidRPr="000161A0">
        <w:t xml:space="preserve"> dose, 79.6 % and 21.2 % of the radioactive dose were excreted in urine and faeces, respectively (Study 14502), mostly as metabolites. Excretion of unchanged </w:t>
      </w:r>
      <w:proofErr w:type="spellStart"/>
      <w:r w:rsidRPr="000161A0">
        <w:t>finerenone</w:t>
      </w:r>
      <w:proofErr w:type="spellEnd"/>
      <w:r w:rsidRPr="000161A0">
        <w:t xml:space="preserve"> is minimal (&lt;</w:t>
      </w:r>
      <w:r w:rsidR="00873467" w:rsidRPr="000161A0">
        <w:t> </w:t>
      </w:r>
      <w:r w:rsidRPr="000161A0">
        <w:t>1% of dose in the urine due to glomerular filtration, and &lt;</w:t>
      </w:r>
      <w:r w:rsidR="00873467" w:rsidRPr="000161A0">
        <w:t> </w:t>
      </w:r>
      <w:r w:rsidRPr="000161A0">
        <w:t xml:space="preserve">0.2% in faeces) (Study 16535). Most of </w:t>
      </w:r>
      <w:proofErr w:type="spellStart"/>
      <w:r w:rsidRPr="000161A0">
        <w:t>finerenone</w:t>
      </w:r>
      <w:proofErr w:type="spellEnd"/>
      <w:r w:rsidRPr="000161A0">
        <w:t xml:space="preserve"> or metabolites in urine and faeces were excreted within 48 h</w:t>
      </w:r>
      <w:r w:rsidR="0023308B" w:rsidRPr="000161A0">
        <w:t>ours</w:t>
      </w:r>
      <w:r w:rsidRPr="000161A0">
        <w:t xml:space="preserve"> and 96 h</w:t>
      </w:r>
      <w:r w:rsidR="0023308B" w:rsidRPr="000161A0">
        <w:t>ours</w:t>
      </w:r>
      <w:r w:rsidRPr="000161A0">
        <w:t xml:space="preserve"> post-dose, respectively (Study 14502).</w:t>
      </w:r>
    </w:p>
    <w:p w14:paraId="7DC3FF7E" w14:textId="77777777" w:rsidR="00077DB4" w:rsidRPr="000161A0" w:rsidRDefault="00077DB4" w:rsidP="009253EA">
      <w:pPr>
        <w:pStyle w:val="Heading6"/>
      </w:pPr>
      <w:r w:rsidRPr="000161A0">
        <w:t>Special populations (intrinsic factors)</w:t>
      </w:r>
    </w:p>
    <w:p w14:paraId="632D9383" w14:textId="405AD24F" w:rsidR="00077DB4" w:rsidRPr="000161A0" w:rsidRDefault="00077DB4" w:rsidP="00873467">
      <w:r w:rsidRPr="000161A0">
        <w:t xml:space="preserve">An overview of intrinsic factor effects is </w:t>
      </w:r>
      <w:r w:rsidR="00FE4641">
        <w:t>shown in</w:t>
      </w:r>
      <w:r w:rsidR="00FE4641" w:rsidRPr="000161A0">
        <w:t xml:space="preserve"> </w:t>
      </w:r>
      <w:r w:rsidR="00873467" w:rsidRPr="000161A0">
        <w:fldChar w:fldCharType="begin"/>
      </w:r>
      <w:r w:rsidR="00873467" w:rsidRPr="000161A0">
        <w:instrText xml:space="preserve"> REF _Ref80880032 \h  \* MERGEFORMAT </w:instrText>
      </w:r>
      <w:r w:rsidR="00873467" w:rsidRPr="000161A0">
        <w:fldChar w:fldCharType="separate"/>
      </w:r>
      <w:r w:rsidR="001C5336" w:rsidRPr="00110614">
        <w:t xml:space="preserve">Table </w:t>
      </w:r>
      <w:r w:rsidR="001C5336">
        <w:t>5</w:t>
      </w:r>
      <w:r w:rsidR="00873467" w:rsidRPr="000161A0">
        <w:fldChar w:fldCharType="end"/>
      </w:r>
      <w:r w:rsidR="00873467" w:rsidRPr="000161A0">
        <w:t xml:space="preserve"> and </w:t>
      </w:r>
      <w:r w:rsidR="00B85982" w:rsidRPr="000161A0">
        <w:fldChar w:fldCharType="begin"/>
      </w:r>
      <w:r w:rsidR="00B85982" w:rsidRPr="000161A0">
        <w:instrText xml:space="preserve"> REF _Ref80880784 \h </w:instrText>
      </w:r>
      <w:r w:rsidR="000161A0" w:rsidRPr="000161A0">
        <w:instrText xml:space="preserve"> \* MERGEFORMAT </w:instrText>
      </w:r>
      <w:r w:rsidR="00B85982" w:rsidRPr="000161A0">
        <w:fldChar w:fldCharType="separate"/>
      </w:r>
      <w:r w:rsidR="001C5336" w:rsidRPr="00110614">
        <w:t xml:space="preserve">Figure </w:t>
      </w:r>
      <w:r w:rsidR="001C5336">
        <w:rPr>
          <w:noProof/>
        </w:rPr>
        <w:t>2</w:t>
      </w:r>
      <w:r w:rsidR="00B85982" w:rsidRPr="000161A0">
        <w:fldChar w:fldCharType="end"/>
      </w:r>
      <w:r w:rsidR="00873467" w:rsidRPr="000161A0">
        <w:t xml:space="preserve"> below</w:t>
      </w:r>
      <w:r w:rsidRPr="000161A0">
        <w:t>.</w:t>
      </w:r>
    </w:p>
    <w:p w14:paraId="743D028E" w14:textId="2E5473A5" w:rsidR="00873467" w:rsidRPr="00110614" w:rsidRDefault="00873467" w:rsidP="00110614">
      <w:pPr>
        <w:pStyle w:val="TableTitle"/>
      </w:pPr>
      <w:bookmarkStart w:id="56" w:name="_Ref80880032"/>
      <w:r w:rsidRPr="00110614">
        <w:lastRenderedPageBreak/>
        <w:t xml:space="preserve">Table </w:t>
      </w:r>
      <w:fldSimple w:instr=" SEQ Table \* ARABIC ">
        <w:r w:rsidR="001C5336">
          <w:rPr>
            <w:noProof/>
          </w:rPr>
          <w:t>5</w:t>
        </w:r>
      </w:fldSimple>
      <w:bookmarkEnd w:id="56"/>
      <w:r w:rsidR="001A5A50" w:rsidRPr="00110614">
        <w:t>:</w:t>
      </w:r>
      <w:r w:rsidRPr="00110614">
        <w:t xml:space="preserve"> Impact of intrinsic factors on </w:t>
      </w:r>
      <w:proofErr w:type="spellStart"/>
      <w:r w:rsidRPr="00110614">
        <w:t>finerenone</w:t>
      </w:r>
      <w:proofErr w:type="spellEnd"/>
      <w:r w:rsidRPr="00110614">
        <w:t xml:space="preserve"> exposure</w:t>
      </w:r>
      <w:r w:rsidR="00197CD0" w:rsidRPr="00110614">
        <w:t xml:space="preserve"> (pharmacokinetics set)</w:t>
      </w:r>
    </w:p>
    <w:p w14:paraId="1CFA5E2B" w14:textId="09D105D1" w:rsidR="001A5A50" w:rsidRDefault="001A5A50" w:rsidP="00110614">
      <w:r>
        <w:rPr>
          <w:noProof/>
          <w:lang w:val="en-GB" w:eastAsia="en-GB"/>
        </w:rPr>
        <w:drawing>
          <wp:inline distT="0" distB="0" distL="0" distR="0" wp14:anchorId="48877832" wp14:editId="2242B7A8">
            <wp:extent cx="5400040" cy="5069205"/>
            <wp:effectExtent l="0" t="0" r="0" b="0"/>
            <wp:docPr id="12" name="Picture 12" descr="Table 5: Impact of intrinsic factors on finerenone exposure (pharmacokinetic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5: Impact of intrinsic factors on finerenone exposure (pharmacokinetics set)"/>
                    <pic:cNvPicPr/>
                  </pic:nvPicPr>
                  <pic:blipFill>
                    <a:blip r:embed="rId20"/>
                    <a:stretch>
                      <a:fillRect/>
                    </a:stretch>
                  </pic:blipFill>
                  <pic:spPr>
                    <a:xfrm>
                      <a:off x="0" y="0"/>
                      <a:ext cx="5400040" cy="5069205"/>
                    </a:xfrm>
                    <a:prstGeom prst="rect">
                      <a:avLst/>
                    </a:prstGeom>
                  </pic:spPr>
                </pic:pic>
              </a:graphicData>
            </a:graphic>
          </wp:inline>
        </w:drawing>
      </w:r>
    </w:p>
    <w:p w14:paraId="77D039DB" w14:textId="154BCE05" w:rsidR="00197CD0" w:rsidRPr="0057249C" w:rsidRDefault="00197CD0" w:rsidP="0057249C">
      <w:pPr>
        <w:pStyle w:val="TableDescription"/>
      </w:pPr>
      <w:r w:rsidRPr="0057249C">
        <w:t>AUC =</w:t>
      </w:r>
      <w:r w:rsidR="00376DEC" w:rsidRPr="0057249C">
        <w:t xml:space="preserve"> area under the concentration time curve</w:t>
      </w:r>
      <w:r w:rsidR="000F5A5B">
        <w:t>;</w:t>
      </w:r>
      <w:r w:rsidR="0057249C" w:rsidRPr="0057249C">
        <w:t xml:space="preserve"> CI = confidence interval</w:t>
      </w:r>
      <w:r w:rsidR="000F5A5B">
        <w:t>;</w:t>
      </w:r>
      <w:r w:rsidR="0057249C" w:rsidRPr="0057249C">
        <w:t xml:space="preserve"> CL</w:t>
      </w:r>
      <w:r w:rsidR="0057249C" w:rsidRPr="0057249C">
        <w:rPr>
          <w:vertAlign w:val="subscript"/>
        </w:rPr>
        <w:t>CR</w:t>
      </w:r>
      <w:r w:rsidR="0057249C" w:rsidRPr="0057249C">
        <w:t xml:space="preserve"> = creatinine clearance; </w:t>
      </w:r>
      <w:proofErr w:type="spellStart"/>
      <w:r w:rsidRPr="0057249C">
        <w:t>C</w:t>
      </w:r>
      <w:r w:rsidRPr="0057249C">
        <w:rPr>
          <w:vertAlign w:val="subscript"/>
        </w:rPr>
        <w:t>max</w:t>
      </w:r>
      <w:proofErr w:type="spellEnd"/>
      <w:r w:rsidR="0057249C">
        <w:t> </w:t>
      </w:r>
      <w:r w:rsidRPr="0057249C">
        <w:t>=</w:t>
      </w:r>
      <w:r w:rsidR="00376DEC" w:rsidRPr="0057249C">
        <w:t xml:space="preserve"> maximum observed drug concentration</w:t>
      </w:r>
      <w:r w:rsidR="0057249C" w:rsidRPr="0057249C">
        <w:t xml:space="preserve">; </w:t>
      </w:r>
      <w:proofErr w:type="spellStart"/>
      <w:proofErr w:type="gramStart"/>
      <w:r w:rsidRPr="0057249C">
        <w:t>C</w:t>
      </w:r>
      <w:r w:rsidRPr="0057249C">
        <w:rPr>
          <w:vertAlign w:val="subscript"/>
        </w:rPr>
        <w:t>max,md</w:t>
      </w:r>
      <w:proofErr w:type="spellEnd"/>
      <w:proofErr w:type="gramEnd"/>
      <w:r w:rsidRPr="0057249C">
        <w:t xml:space="preserve"> =</w:t>
      </w:r>
      <w:r w:rsidR="0057249C" w:rsidRPr="0057249C">
        <w:t xml:space="preserve"> </w:t>
      </w:r>
      <w:proofErr w:type="spellStart"/>
      <w:r w:rsidR="0057249C" w:rsidRPr="0057249C">
        <w:t>C</w:t>
      </w:r>
      <w:r w:rsidR="0057249C" w:rsidRPr="0057249C">
        <w:rPr>
          <w:vertAlign w:val="subscript"/>
        </w:rPr>
        <w:t>max</w:t>
      </w:r>
      <w:proofErr w:type="spellEnd"/>
      <w:r w:rsidR="0057249C" w:rsidRPr="0057249C">
        <w:t xml:space="preserve"> in measured matrix after multiple dose administration during a dosage interval; </w:t>
      </w:r>
      <w:r w:rsidR="003B3A20">
        <w:t>D = dose</w:t>
      </w:r>
      <w:r w:rsidR="000F5A5B">
        <w:t>;</w:t>
      </w:r>
      <w:r w:rsidR="003B3A20">
        <w:t xml:space="preserve"> </w:t>
      </w:r>
      <w:r w:rsidR="0057249C" w:rsidRPr="0057249C">
        <w:t xml:space="preserve">PD = pharmacodynamics; </w:t>
      </w:r>
      <w:r w:rsidRPr="0057249C">
        <w:t>PK =</w:t>
      </w:r>
      <w:r w:rsidR="0057249C" w:rsidRPr="0057249C">
        <w:t xml:space="preserve"> pharmacokinetics.</w:t>
      </w:r>
    </w:p>
    <w:p w14:paraId="29A5615E" w14:textId="45A3B909" w:rsidR="00197CD0" w:rsidRPr="00197CD0" w:rsidRDefault="00197CD0" w:rsidP="00197CD0">
      <w:pPr>
        <w:pStyle w:val="TableDescription"/>
      </w:pPr>
      <w:proofErr w:type="spellStart"/>
      <w:r w:rsidRPr="00197CD0">
        <w:t>a</w:t>
      </w:r>
      <w:proofErr w:type="spellEnd"/>
      <w:r w:rsidRPr="00197CD0">
        <w:t xml:space="preserve"> </w:t>
      </w:r>
      <w:proofErr w:type="gramStart"/>
      <w:r w:rsidRPr="00197CD0">
        <w:t>The</w:t>
      </w:r>
      <w:proofErr w:type="gramEnd"/>
      <w:r w:rsidRPr="00197CD0">
        <w:t xml:space="preserve"> report also contains a comparison of exposure data at steady-state (not included in this table),</w:t>
      </w:r>
      <w:r>
        <w:t xml:space="preserve"> </w:t>
      </w:r>
      <w:r w:rsidRPr="00197CD0">
        <w:t>where the sample-size is much smaller (</w:t>
      </w:r>
      <w:proofErr w:type="spellStart"/>
      <w:r w:rsidRPr="00197CD0">
        <w:t>N</w:t>
      </w:r>
      <w:r w:rsidRPr="00197CD0">
        <w:rPr>
          <w:vertAlign w:val="subscript"/>
        </w:rPr>
        <w:t>total</w:t>
      </w:r>
      <w:proofErr w:type="spellEnd"/>
      <w:r>
        <w:t xml:space="preserve"> </w:t>
      </w:r>
      <w:r w:rsidRPr="00197CD0">
        <w:t>=</w:t>
      </w:r>
      <w:r>
        <w:t xml:space="preserve"> </w:t>
      </w:r>
      <w:r w:rsidRPr="00197CD0">
        <w:t>96) compared to the single dose dataset (</w:t>
      </w:r>
      <w:proofErr w:type="spellStart"/>
      <w:r w:rsidRPr="00197CD0">
        <w:t>N</w:t>
      </w:r>
      <w:r w:rsidRPr="00197CD0">
        <w:rPr>
          <w:vertAlign w:val="subscript"/>
        </w:rPr>
        <w:t>total</w:t>
      </w:r>
      <w:proofErr w:type="spellEnd"/>
      <w:r>
        <w:t xml:space="preserve"> </w:t>
      </w:r>
      <w:r w:rsidRPr="00197CD0">
        <w:t>=</w:t>
      </w:r>
      <w:r>
        <w:t xml:space="preserve"> </w:t>
      </w:r>
      <w:r w:rsidRPr="00197CD0">
        <w:t>476).</w:t>
      </w:r>
    </w:p>
    <w:p w14:paraId="6397F38D" w14:textId="31C3D606" w:rsidR="00873467" w:rsidRDefault="00197CD0" w:rsidP="00197CD0">
      <w:pPr>
        <w:pStyle w:val="TableDescription"/>
      </w:pPr>
      <w:r w:rsidRPr="00197CD0">
        <w:t>b Ratios include one moderately impaired subject with unusually high exposure.</w:t>
      </w:r>
      <w:r>
        <w:t xml:space="preserve"> </w:t>
      </w:r>
      <w:r w:rsidRPr="00197CD0">
        <w:t xml:space="preserve">Point estimates and 90% CIs for ratio of AUC and </w:t>
      </w:r>
      <w:proofErr w:type="spellStart"/>
      <w:r w:rsidRPr="00197CD0">
        <w:t>C</w:t>
      </w:r>
      <w:r w:rsidRPr="00197CD0">
        <w:rPr>
          <w:vertAlign w:val="subscript"/>
        </w:rPr>
        <w:t>max</w:t>
      </w:r>
      <w:proofErr w:type="spellEnd"/>
      <w:r w:rsidRPr="00197CD0">
        <w:t xml:space="preserve"> excluding this subject equal 133.68% (83.71%;</w:t>
      </w:r>
      <w:r>
        <w:t xml:space="preserve"> </w:t>
      </w:r>
      <w:r w:rsidRPr="00197CD0">
        <w:t>213.50%) and 103.77% (71.38%; 150.87%) (moderate impairment/control).</w:t>
      </w:r>
    </w:p>
    <w:p w14:paraId="40F672B4" w14:textId="2B2C9933" w:rsidR="00FE4641" w:rsidRPr="00197CD0" w:rsidRDefault="00FE4641" w:rsidP="00197CD0">
      <w:pPr>
        <w:pStyle w:val="TableDescription"/>
      </w:pPr>
      <w:r>
        <w:t>Hepatic function: Child-Pugh classification (</w:t>
      </w:r>
      <w:r w:rsidRPr="00FE4641">
        <w:t>prognosis of chronic liver disease, in particular cirrhosis</w:t>
      </w:r>
      <w:r>
        <w:t>) Child</w:t>
      </w:r>
      <w:r>
        <w:noBreakHyphen/>
        <w:t>Pugh A = best prognosis; Child-Pugh B = moderate prognosis.</w:t>
      </w:r>
    </w:p>
    <w:p w14:paraId="18C3A838" w14:textId="48FCAE4F" w:rsidR="00873467" w:rsidRPr="00110614" w:rsidRDefault="00B85982" w:rsidP="00110614">
      <w:pPr>
        <w:pStyle w:val="FigureTitle"/>
      </w:pPr>
      <w:bookmarkStart w:id="57" w:name="_Ref80880784"/>
      <w:r w:rsidRPr="00110614">
        <w:lastRenderedPageBreak/>
        <w:t xml:space="preserve">Figure </w:t>
      </w:r>
      <w:fldSimple w:instr=" SEQ Figure \* ARABIC ">
        <w:r w:rsidR="001C5336">
          <w:rPr>
            <w:noProof/>
          </w:rPr>
          <w:t>2</w:t>
        </w:r>
      </w:fldSimple>
      <w:bookmarkEnd w:id="57"/>
      <w:r w:rsidR="001D0726" w:rsidRPr="00110614">
        <w:t>: Study 14563</w:t>
      </w:r>
      <w:r w:rsidR="00873467" w:rsidRPr="00110614">
        <w:t xml:space="preserve"> Effect of extrinsic factors on </w:t>
      </w:r>
      <w:proofErr w:type="spellStart"/>
      <w:r w:rsidR="00873467" w:rsidRPr="00110614">
        <w:t>finerenone</w:t>
      </w:r>
      <w:proofErr w:type="spellEnd"/>
      <w:r w:rsidR="00873467" w:rsidRPr="00110614">
        <w:t xml:space="preserve"> exposure</w:t>
      </w:r>
    </w:p>
    <w:p w14:paraId="3FB0947B" w14:textId="4A470578" w:rsidR="00873467" w:rsidRDefault="001D0726" w:rsidP="00110614">
      <w:r>
        <w:rPr>
          <w:noProof/>
          <w:lang w:val="en-GB" w:eastAsia="en-GB"/>
        </w:rPr>
        <w:drawing>
          <wp:inline distT="0" distB="0" distL="0" distR="0" wp14:anchorId="62CE438F" wp14:editId="41835C82">
            <wp:extent cx="5400040" cy="4364990"/>
            <wp:effectExtent l="0" t="0" r="0" b="0"/>
            <wp:docPr id="3" name="Picture 3" descr="Figure 2: Study 14563 Effect of extrinsic factors on finerenon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tudy 14563 Effect of extrinsic factors on finerenone exposure"/>
                    <pic:cNvPicPr/>
                  </pic:nvPicPr>
                  <pic:blipFill>
                    <a:blip r:embed="rId21"/>
                    <a:stretch>
                      <a:fillRect/>
                    </a:stretch>
                  </pic:blipFill>
                  <pic:spPr>
                    <a:xfrm>
                      <a:off x="0" y="0"/>
                      <a:ext cx="5400040" cy="4364990"/>
                    </a:xfrm>
                    <a:prstGeom prst="rect">
                      <a:avLst/>
                    </a:prstGeom>
                  </pic:spPr>
                </pic:pic>
              </a:graphicData>
            </a:graphic>
          </wp:inline>
        </w:drawing>
      </w:r>
    </w:p>
    <w:p w14:paraId="206A6B4A" w14:textId="2B8B1EF6" w:rsidR="001D0726" w:rsidRPr="003B3A20" w:rsidRDefault="0057249C" w:rsidP="008278F2">
      <w:pPr>
        <w:pStyle w:val="FigureDescription"/>
      </w:pPr>
      <w:r w:rsidRPr="003B3A20">
        <w:t xml:space="preserve">AUC = area under the </w:t>
      </w:r>
      <w:r w:rsidRPr="008278F2">
        <w:t>concentration</w:t>
      </w:r>
      <w:r w:rsidRPr="003B3A20">
        <w:t xml:space="preserve"> time curve</w:t>
      </w:r>
      <w:r w:rsidR="003B3A20" w:rsidRPr="003B3A20">
        <w:t xml:space="preserve">; </w:t>
      </w:r>
      <w:proofErr w:type="gramStart"/>
      <w:r w:rsidR="003B3A20" w:rsidRPr="003B3A20">
        <w:t>AUC(</w:t>
      </w:r>
      <w:proofErr w:type="gramEnd"/>
      <w:r w:rsidR="003B3A20" w:rsidRPr="003B3A20">
        <w:t xml:space="preserve">0-24)MD = AUC from time 0 to 24 hour after multiple dose; </w:t>
      </w:r>
      <w:r w:rsidRPr="003B3A20">
        <w:t>CI = confidence interval</w:t>
      </w:r>
      <w:r w:rsidR="003B3A20" w:rsidRPr="003B3A20">
        <w:t xml:space="preserve">; </w:t>
      </w:r>
      <w:r w:rsidRPr="003B3A20">
        <w:t>C</w:t>
      </w:r>
      <w:r w:rsidR="003B3A20" w:rsidRPr="003B3A20">
        <w:t>MAX</w:t>
      </w:r>
      <w:r w:rsidRPr="003B3A20">
        <w:t xml:space="preserve"> = maximum observed drug concentration</w:t>
      </w:r>
      <w:r w:rsidR="003B3A20" w:rsidRPr="003B3A20">
        <w:t>; CMAX,MD</w:t>
      </w:r>
      <w:r w:rsidR="00FE4641">
        <w:t> </w:t>
      </w:r>
      <w:r w:rsidR="003B3A20" w:rsidRPr="003B3A20">
        <w:t>=</w:t>
      </w:r>
      <w:r w:rsidR="00FE4641">
        <w:t> </w:t>
      </w:r>
      <w:r w:rsidR="003B3A20" w:rsidRPr="003B3A20">
        <w:t xml:space="preserve">CMAX in measured matrix after multiple dose administration during a dosage interval; </w:t>
      </w:r>
      <w:r w:rsidRPr="003B3A20">
        <w:t>CYP2C8 = cytochrome P450 isoenzyme 2C8</w:t>
      </w:r>
      <w:r w:rsidR="003B3A20" w:rsidRPr="003B3A20">
        <w:t xml:space="preserve">; </w:t>
      </w:r>
      <w:r w:rsidR="001D0726" w:rsidRPr="003B3A20">
        <w:t>CYP3A4</w:t>
      </w:r>
      <w:r w:rsidRPr="003B3A20">
        <w:t xml:space="preserve"> = </w:t>
      </w:r>
      <w:bookmarkStart w:id="58" w:name="_Hlk101360099"/>
      <w:r w:rsidRPr="003B3A20">
        <w:t>cytochrome P450 isoenzyme 3A4</w:t>
      </w:r>
      <w:bookmarkEnd w:id="58"/>
      <w:r w:rsidR="003B3A20" w:rsidRPr="003B3A20">
        <w:t xml:space="preserve">; D = dose; </w:t>
      </w:r>
      <w:r w:rsidR="001D0726" w:rsidRPr="003B3A20">
        <w:t>P</w:t>
      </w:r>
      <w:r w:rsidR="00FE4641">
        <w:noBreakHyphen/>
      </w:r>
      <w:proofErr w:type="spellStart"/>
      <w:r w:rsidR="001D0726" w:rsidRPr="003B3A20">
        <w:t>gp</w:t>
      </w:r>
      <w:proofErr w:type="spellEnd"/>
      <w:r w:rsidR="00FE4641">
        <w:t> </w:t>
      </w:r>
      <w:r w:rsidRPr="003B3A20">
        <w:t>= p-glycoprotein</w:t>
      </w:r>
      <w:r w:rsidR="003B3A20" w:rsidRPr="003B3A20">
        <w:t xml:space="preserve">; </w:t>
      </w:r>
      <w:r w:rsidR="001D0726" w:rsidRPr="003B3A20">
        <w:t>pH</w:t>
      </w:r>
      <w:r w:rsidRPr="003B3A20">
        <w:t xml:space="preserve"> = potential of hydrogen</w:t>
      </w:r>
      <w:r w:rsidR="003B3A20" w:rsidRPr="003B3A20">
        <w:t>.</w:t>
      </w:r>
    </w:p>
    <w:p w14:paraId="645C4022" w14:textId="603593BB" w:rsidR="001D0726" w:rsidRPr="003B3A20" w:rsidRDefault="001D0726" w:rsidP="008278F2">
      <w:pPr>
        <w:pStyle w:val="FigureDescription"/>
      </w:pPr>
      <w:r w:rsidRPr="003B3A20">
        <w:t xml:space="preserve">a </w:t>
      </w:r>
      <w:proofErr w:type="gramStart"/>
      <w:r w:rsidRPr="003B3A20">
        <w:t>Based on</w:t>
      </w:r>
      <w:proofErr w:type="gramEnd"/>
      <w:r w:rsidRPr="003B3A20">
        <w:t xml:space="preserve"> </w:t>
      </w:r>
      <w:r w:rsidR="003B3A20" w:rsidRPr="003B3A20">
        <w:t>population pharmacokinetic (</w:t>
      </w:r>
      <w:proofErr w:type="spellStart"/>
      <w:r w:rsidR="003B3A20" w:rsidRPr="003B3A20">
        <w:t>PopPK</w:t>
      </w:r>
      <w:proofErr w:type="spellEnd"/>
      <w:r w:rsidR="003B3A20" w:rsidRPr="003B3A20">
        <w:t>) A</w:t>
      </w:r>
      <w:r w:rsidRPr="003B3A20">
        <w:t xml:space="preserve">nalysis 13880 of Study 14563, where use of the weak CYP3A4 inhibitor amiodarone resulted in a 17.4% lower </w:t>
      </w:r>
      <w:r w:rsidR="003B3A20" w:rsidRPr="003B3A20">
        <w:t>apparent oral clearance (</w:t>
      </w:r>
      <w:r w:rsidRPr="003B3A20">
        <w:t>CL/F</w:t>
      </w:r>
      <w:r w:rsidR="003B3A20" w:rsidRPr="003B3A20">
        <w:t>)</w:t>
      </w:r>
      <w:r w:rsidRPr="003B3A20">
        <w:t>1 after forward inclusion. However, the inclusion of this covariate effect did not significantly improve model predictions and was, therefore, not included in the final model.</w:t>
      </w:r>
    </w:p>
    <w:p w14:paraId="66E99699" w14:textId="77777777" w:rsidR="009253EA" w:rsidRPr="000161A0" w:rsidRDefault="00077DB4" w:rsidP="009253EA">
      <w:pPr>
        <w:pStyle w:val="Heading7"/>
        <w:rPr>
          <w:sz w:val="22"/>
          <w:szCs w:val="28"/>
        </w:rPr>
      </w:pPr>
      <w:r w:rsidRPr="000161A0">
        <w:rPr>
          <w:sz w:val="22"/>
          <w:szCs w:val="28"/>
        </w:rPr>
        <w:t>Age and biological sex</w:t>
      </w:r>
    </w:p>
    <w:p w14:paraId="6680E37A" w14:textId="0B60879E" w:rsidR="00077DB4" w:rsidRPr="000161A0" w:rsidRDefault="00FE4641" w:rsidP="009253EA">
      <w:r>
        <w:t>Age and biological sex</w:t>
      </w:r>
      <w:r w:rsidRPr="000161A0">
        <w:t xml:space="preserve"> </w:t>
      </w:r>
      <w:r w:rsidR="00077DB4" w:rsidRPr="000161A0">
        <w:t xml:space="preserve">had no major impact on the exposure of </w:t>
      </w:r>
      <w:proofErr w:type="spellStart"/>
      <w:r w:rsidR="00F4700D" w:rsidRPr="000161A0">
        <w:t>finerenone</w:t>
      </w:r>
      <w:proofErr w:type="spellEnd"/>
      <w:r w:rsidR="00F4700D" w:rsidRPr="000161A0">
        <w:t xml:space="preserve"> metabolites M1</w:t>
      </w:r>
      <w:r w:rsidR="00077DB4" w:rsidRPr="000161A0">
        <w:t xml:space="preserve">, </w:t>
      </w:r>
      <w:r w:rsidR="00F4700D" w:rsidRPr="000161A0">
        <w:t>M2</w:t>
      </w:r>
      <w:r w:rsidR="00077DB4" w:rsidRPr="000161A0">
        <w:t xml:space="preserve">, and M3 (Study 14508; </w:t>
      </w:r>
      <w:proofErr w:type="spellStart"/>
      <w:r w:rsidR="00077DB4" w:rsidRPr="000161A0">
        <w:t>PopPK</w:t>
      </w:r>
      <w:proofErr w:type="spellEnd"/>
      <w:r w:rsidR="00077DB4" w:rsidRPr="000161A0">
        <w:t xml:space="preserve"> </w:t>
      </w:r>
      <w:r w:rsidR="00873467" w:rsidRPr="000161A0">
        <w:t>A</w:t>
      </w:r>
      <w:r w:rsidR="00077DB4" w:rsidRPr="000161A0">
        <w:t xml:space="preserve">nalysis 13880; </w:t>
      </w:r>
      <w:r w:rsidR="00E50C3E">
        <w:t>d</w:t>
      </w:r>
      <w:r w:rsidR="00E50C3E" w:rsidRPr="00E50C3E">
        <w:t>iabetic kidney disease</w:t>
      </w:r>
      <w:r w:rsidR="00077DB4" w:rsidRPr="000161A0">
        <w:t xml:space="preserve"> </w:t>
      </w:r>
      <w:proofErr w:type="spellStart"/>
      <w:r w:rsidR="00077DB4" w:rsidRPr="000161A0">
        <w:t>PopPK</w:t>
      </w:r>
      <w:proofErr w:type="spellEnd"/>
      <w:r w:rsidR="00077DB4" w:rsidRPr="000161A0">
        <w:t xml:space="preserve"> </w:t>
      </w:r>
      <w:r w:rsidR="00873467" w:rsidRPr="000161A0">
        <w:t>A</w:t>
      </w:r>
      <w:r w:rsidR="00077DB4" w:rsidRPr="000161A0">
        <w:t>nalysis 18523).</w:t>
      </w:r>
    </w:p>
    <w:p w14:paraId="519EC5FB" w14:textId="439F2EE9" w:rsidR="009253EA" w:rsidRPr="000161A0" w:rsidRDefault="009253EA" w:rsidP="009253EA">
      <w:pPr>
        <w:pStyle w:val="Heading7"/>
        <w:rPr>
          <w:sz w:val="22"/>
          <w:szCs w:val="28"/>
        </w:rPr>
      </w:pPr>
      <w:r w:rsidRPr="000161A0">
        <w:rPr>
          <w:sz w:val="22"/>
          <w:szCs w:val="28"/>
        </w:rPr>
        <w:t>Ethnicity</w:t>
      </w:r>
    </w:p>
    <w:p w14:paraId="79A3A5D2" w14:textId="61FCFFC0" w:rsidR="00077DB4" w:rsidRPr="000161A0" w:rsidRDefault="00077DB4" w:rsidP="009253EA">
      <w:r w:rsidRPr="000161A0">
        <w:t xml:space="preserve">There were no major differences in </w:t>
      </w:r>
      <w:proofErr w:type="spellStart"/>
      <w:r w:rsidRPr="000161A0">
        <w:t>finerenone</w:t>
      </w:r>
      <w:proofErr w:type="spellEnd"/>
      <w:r w:rsidRPr="000161A0">
        <w:t xml:space="preserve"> exposure between Asians and Caucasians after accounting for body weight (in healthy subjects, patients with diabetic nephropathy, and </w:t>
      </w:r>
      <w:r w:rsidR="00FE4641">
        <w:t>diabetic kidney disease</w:t>
      </w:r>
      <w:r w:rsidRPr="000161A0">
        <w:t>) (</w:t>
      </w:r>
      <w:r w:rsidR="00873467" w:rsidRPr="000161A0">
        <w:t>diabetic nephropathy</w:t>
      </w:r>
      <w:r w:rsidRPr="000161A0">
        <w:t xml:space="preserve"> </w:t>
      </w:r>
      <w:proofErr w:type="spellStart"/>
      <w:r w:rsidRPr="000161A0">
        <w:t>PopPK</w:t>
      </w:r>
      <w:proofErr w:type="spellEnd"/>
      <w:r w:rsidRPr="000161A0">
        <w:t xml:space="preserve"> Analysis 17024; </w:t>
      </w:r>
      <w:r w:rsidR="00EE3542" w:rsidRPr="00EE3542">
        <w:t xml:space="preserve">diabetic kidney disease </w:t>
      </w:r>
      <w:proofErr w:type="spellStart"/>
      <w:r w:rsidRPr="000161A0">
        <w:t>PopPK</w:t>
      </w:r>
      <w:proofErr w:type="spellEnd"/>
      <w:r w:rsidRPr="000161A0">
        <w:t xml:space="preserve"> Analysis 18523).</w:t>
      </w:r>
    </w:p>
    <w:p w14:paraId="6476074D" w14:textId="77777777" w:rsidR="009253EA" w:rsidRPr="000161A0" w:rsidRDefault="00077DB4" w:rsidP="009253EA">
      <w:pPr>
        <w:pStyle w:val="Heading7"/>
        <w:rPr>
          <w:sz w:val="22"/>
          <w:szCs w:val="28"/>
        </w:rPr>
      </w:pPr>
      <w:r w:rsidRPr="000161A0">
        <w:rPr>
          <w:sz w:val="22"/>
          <w:szCs w:val="28"/>
        </w:rPr>
        <w:t>Renal impairment</w:t>
      </w:r>
    </w:p>
    <w:p w14:paraId="161D55B7" w14:textId="358525CD" w:rsidR="00077DB4" w:rsidRPr="000161A0" w:rsidRDefault="00077DB4" w:rsidP="009253EA">
      <w:r w:rsidRPr="000161A0">
        <w:t xml:space="preserve">Mild, </w:t>
      </w:r>
      <w:proofErr w:type="gramStart"/>
      <w:r w:rsidRPr="000161A0">
        <w:t>moderate</w:t>
      </w:r>
      <w:proofErr w:type="gramEnd"/>
      <w:r w:rsidRPr="000161A0">
        <w:t xml:space="preserve"> or severe renal impairment had no major impact on </w:t>
      </w:r>
      <w:proofErr w:type="spellStart"/>
      <w:r w:rsidRPr="000161A0">
        <w:t>finerenone</w:t>
      </w:r>
      <w:proofErr w:type="spellEnd"/>
      <w:r w:rsidRPr="000161A0">
        <w:t xml:space="preserve"> </w:t>
      </w:r>
      <w:proofErr w:type="spellStart"/>
      <w:r w:rsidR="00873467" w:rsidRPr="000161A0">
        <w:t>C</w:t>
      </w:r>
      <w:r w:rsidR="00873467" w:rsidRPr="000161A0">
        <w:rPr>
          <w:vertAlign w:val="subscript"/>
        </w:rPr>
        <w:t>max</w:t>
      </w:r>
      <w:proofErr w:type="spellEnd"/>
      <w:r w:rsidRPr="000161A0">
        <w:t xml:space="preserve"> and AUC. There was a 1.36-fold increase of AUC in subjects with severe renal impairment compared to healthy controls (Study 14509). Despite its relatively small effect on </w:t>
      </w:r>
      <w:proofErr w:type="spellStart"/>
      <w:r w:rsidRPr="000161A0">
        <w:t>finerenone</w:t>
      </w:r>
      <w:proofErr w:type="spellEnd"/>
      <w:r w:rsidRPr="000161A0">
        <w:t xml:space="preserve"> exposure, renal function (</w:t>
      </w:r>
      <w:r w:rsidR="001D3BD3" w:rsidRPr="000161A0">
        <w:t>estimated glomerular filtration rate (</w:t>
      </w:r>
      <w:r w:rsidRPr="000161A0">
        <w:t>eGFR</w:t>
      </w:r>
      <w:r w:rsidR="001D3BD3" w:rsidRPr="000161A0">
        <w:t>)</w:t>
      </w:r>
      <w:r w:rsidRPr="000161A0">
        <w:t xml:space="preserve"> </w:t>
      </w:r>
      <w:r w:rsidR="00873467" w:rsidRPr="000161A0">
        <w:lastRenderedPageBreak/>
        <w:t>modification of diet in renal disease</w:t>
      </w:r>
      <w:r w:rsidRPr="000161A0">
        <w:t xml:space="preserve">) was a statistically significant covariate of </w:t>
      </w:r>
      <w:r w:rsidR="000161A0" w:rsidRPr="000161A0">
        <w:t xml:space="preserve">apparent oral clearance </w:t>
      </w:r>
      <w:r w:rsidR="000161A0">
        <w:t>(</w:t>
      </w:r>
      <w:r w:rsidRPr="000161A0">
        <w:t>CL/F</w:t>
      </w:r>
      <w:r w:rsidR="000161A0">
        <w:t>)</w:t>
      </w:r>
      <w:r w:rsidRPr="000161A0">
        <w:t xml:space="preserve"> alone or of CL/F and </w:t>
      </w:r>
      <w:bookmarkStart w:id="59" w:name="_Hlk101362122"/>
      <w:r w:rsidR="00E56D10">
        <w:t>fraction absorbed (</w:t>
      </w:r>
      <w:r w:rsidR="000161A0">
        <w:t>b</w:t>
      </w:r>
      <w:r w:rsidR="000161A0" w:rsidRPr="000161A0">
        <w:t>ioavailability</w:t>
      </w:r>
      <w:r w:rsidR="00E56D10">
        <w:t>)</w:t>
      </w:r>
      <w:r w:rsidRPr="000161A0">
        <w:t xml:space="preserve"> </w:t>
      </w:r>
      <w:bookmarkEnd w:id="59"/>
      <w:r w:rsidRPr="000161A0">
        <w:t xml:space="preserve">in all population </w:t>
      </w:r>
      <w:r w:rsidR="008D1BF5" w:rsidRPr="000161A0">
        <w:t>pharmacokinetic (</w:t>
      </w:r>
      <w:proofErr w:type="spellStart"/>
      <w:r w:rsidR="008D1BF5" w:rsidRPr="000161A0">
        <w:t>Pop</w:t>
      </w:r>
      <w:r w:rsidRPr="000161A0">
        <w:t>PK</w:t>
      </w:r>
      <w:proofErr w:type="spellEnd"/>
      <w:r w:rsidR="008D1BF5" w:rsidRPr="000161A0">
        <w:t>)</w:t>
      </w:r>
      <w:r w:rsidRPr="000161A0">
        <w:t xml:space="preserve"> analyses. The most likely explanation of this finding is an alteration of hepatic CYP activity due to the accumulation of uremic toxins in </w:t>
      </w:r>
      <w:r w:rsidR="00FE4641">
        <w:t>diabetic kidney disease</w:t>
      </w:r>
      <w:r w:rsidRPr="000161A0">
        <w:t>.</w:t>
      </w:r>
    </w:p>
    <w:p w14:paraId="27E65411" w14:textId="77777777" w:rsidR="009253EA" w:rsidRPr="000161A0" w:rsidRDefault="00077DB4" w:rsidP="009253EA">
      <w:pPr>
        <w:pStyle w:val="Heading7"/>
        <w:rPr>
          <w:sz w:val="22"/>
          <w:szCs w:val="28"/>
        </w:rPr>
      </w:pPr>
      <w:r w:rsidRPr="000161A0">
        <w:rPr>
          <w:sz w:val="22"/>
          <w:szCs w:val="28"/>
        </w:rPr>
        <w:t>Metabolites</w:t>
      </w:r>
    </w:p>
    <w:p w14:paraId="7E6DFAA9" w14:textId="0D77FF07" w:rsidR="00077DB4" w:rsidRPr="000161A0" w:rsidRDefault="00077DB4" w:rsidP="009253EA">
      <w:r w:rsidRPr="000161A0">
        <w:t xml:space="preserve">Similar results were observed for </w:t>
      </w:r>
      <w:proofErr w:type="spellStart"/>
      <w:r w:rsidR="00F4700D" w:rsidRPr="000161A0">
        <w:t>finerenone</w:t>
      </w:r>
      <w:proofErr w:type="spellEnd"/>
      <w:r w:rsidR="00F4700D" w:rsidRPr="000161A0">
        <w:t xml:space="preserve"> metabolite </w:t>
      </w:r>
      <w:r w:rsidRPr="000161A0">
        <w:t xml:space="preserve">M1, but the increase of AUC was slightly higher in subjects with moderate (1.74-fold </w:t>
      </w:r>
      <w:r w:rsidR="00CC1BDF" w:rsidRPr="000161A0">
        <w:t>increase</w:t>
      </w:r>
      <w:r w:rsidRPr="000161A0">
        <w:t xml:space="preserve">) or severe renal impairment (1.63-fold </w:t>
      </w:r>
      <w:r w:rsidR="00CC1BDF" w:rsidRPr="000161A0">
        <w:t>increase</w:t>
      </w:r>
      <w:r w:rsidRPr="000161A0">
        <w:t xml:space="preserve">). </w:t>
      </w:r>
      <w:proofErr w:type="spellStart"/>
      <w:r w:rsidR="00F4700D" w:rsidRPr="000161A0">
        <w:t>Finerenone</w:t>
      </w:r>
      <w:proofErr w:type="spellEnd"/>
      <w:r w:rsidR="00F4700D" w:rsidRPr="000161A0">
        <w:t xml:space="preserve"> metabolites </w:t>
      </w:r>
      <w:r w:rsidRPr="000161A0">
        <w:t xml:space="preserve">M2 and M3 were subject to a higher degree of renal elimination. Consequently, the impact of renal impairment on their exposure was more pronounced. Renal impairment had the largest impact on </w:t>
      </w:r>
      <w:proofErr w:type="spellStart"/>
      <w:r w:rsidR="00F4700D" w:rsidRPr="000161A0">
        <w:t>finerenone</w:t>
      </w:r>
      <w:proofErr w:type="spellEnd"/>
      <w:r w:rsidR="00F4700D" w:rsidRPr="000161A0">
        <w:t xml:space="preserve"> metabolite </w:t>
      </w:r>
      <w:r w:rsidRPr="000161A0">
        <w:t>M3 exposure. In subjects with severe renal impairment, a 2.5-fold and 5.9-fold increase of</w:t>
      </w:r>
      <w:r w:rsidR="00F4700D" w:rsidRPr="000161A0">
        <w:t xml:space="preserve"> </w:t>
      </w:r>
      <w:proofErr w:type="spellStart"/>
      <w:r w:rsidR="00F4700D" w:rsidRPr="000161A0">
        <w:t>finerenone</w:t>
      </w:r>
      <w:proofErr w:type="spellEnd"/>
      <w:r w:rsidR="00F4700D" w:rsidRPr="000161A0">
        <w:t xml:space="preserve"> metabolite</w:t>
      </w:r>
      <w:r w:rsidRPr="000161A0">
        <w:t xml:space="preserve"> M3 </w:t>
      </w:r>
      <w:proofErr w:type="spellStart"/>
      <w:r w:rsidR="00873467" w:rsidRPr="000161A0">
        <w:t>C</w:t>
      </w:r>
      <w:r w:rsidR="00873467" w:rsidRPr="000161A0">
        <w:rPr>
          <w:vertAlign w:val="subscript"/>
        </w:rPr>
        <w:t>max</w:t>
      </w:r>
      <w:proofErr w:type="spellEnd"/>
      <w:r w:rsidRPr="000161A0">
        <w:t xml:space="preserve"> and AUC was observed, respectively (Study 14509). The metabolites are not pharmacologically active. The </w:t>
      </w:r>
      <w:r w:rsidR="00CC1BDF" w:rsidRPr="000161A0">
        <w:t>significance</w:t>
      </w:r>
      <w:r w:rsidRPr="000161A0">
        <w:t xml:space="preserve"> of elevated concentrations in renal impairment remains uncertain.</w:t>
      </w:r>
    </w:p>
    <w:p w14:paraId="1E6B6240" w14:textId="77777777" w:rsidR="009253EA" w:rsidRPr="000161A0" w:rsidRDefault="00077DB4" w:rsidP="009253EA">
      <w:pPr>
        <w:pStyle w:val="Heading7"/>
        <w:rPr>
          <w:sz w:val="22"/>
          <w:szCs w:val="28"/>
        </w:rPr>
      </w:pPr>
      <w:r w:rsidRPr="000161A0">
        <w:rPr>
          <w:sz w:val="22"/>
          <w:szCs w:val="28"/>
        </w:rPr>
        <w:t>Hepatic impairment</w:t>
      </w:r>
    </w:p>
    <w:p w14:paraId="5C36138A" w14:textId="5DFD0385" w:rsidR="00077DB4" w:rsidRPr="000161A0" w:rsidRDefault="00077DB4" w:rsidP="009253EA">
      <w:r w:rsidRPr="000161A0">
        <w:t xml:space="preserve">Mild or moderate hepatic impairment had no major effect on total and unbound </w:t>
      </w:r>
      <w:proofErr w:type="spellStart"/>
      <w:r w:rsidRPr="000161A0">
        <w:t>finerenone</w:t>
      </w:r>
      <w:proofErr w:type="spellEnd"/>
      <w:r w:rsidRPr="000161A0">
        <w:t>/metabolite exposure. The largest effects observed were a 1.38-fold and 1.55</w:t>
      </w:r>
      <w:r w:rsidR="00CC1BDF" w:rsidRPr="000161A0">
        <w:noBreakHyphen/>
      </w:r>
      <w:r w:rsidRPr="000161A0">
        <w:t>fold increase of total and unbound AUC in subjects with moderate hepatic impairment (Study 14510). Subjects with severe hepatic impairment and the plasma protein binding of the metabolites in subjects with hepatic impairment were not investigated.</w:t>
      </w:r>
    </w:p>
    <w:p w14:paraId="21986F93" w14:textId="77777777" w:rsidR="00077DB4" w:rsidRPr="000161A0" w:rsidRDefault="00077DB4" w:rsidP="00077DB4">
      <w:pPr>
        <w:pStyle w:val="Heading6"/>
        <w:spacing w:line="240" w:lineRule="auto"/>
      </w:pPr>
      <w:r w:rsidRPr="000161A0">
        <w:t>Drug-drug interactions</w:t>
      </w:r>
    </w:p>
    <w:p w14:paraId="6FFD1717" w14:textId="77777777" w:rsidR="00077DB4" w:rsidRPr="000161A0" w:rsidRDefault="00077DB4" w:rsidP="009253EA">
      <w:pPr>
        <w:pStyle w:val="Heading7"/>
        <w:rPr>
          <w:sz w:val="22"/>
          <w:szCs w:val="28"/>
        </w:rPr>
      </w:pPr>
      <w:r w:rsidRPr="000161A0">
        <w:rPr>
          <w:sz w:val="22"/>
          <w:szCs w:val="28"/>
        </w:rPr>
        <w:t xml:space="preserve">Effects on </w:t>
      </w:r>
      <w:proofErr w:type="spellStart"/>
      <w:r w:rsidRPr="000161A0">
        <w:rPr>
          <w:sz w:val="22"/>
          <w:szCs w:val="28"/>
        </w:rPr>
        <w:t>finerenone</w:t>
      </w:r>
      <w:proofErr w:type="spellEnd"/>
      <w:r w:rsidRPr="000161A0">
        <w:rPr>
          <w:sz w:val="22"/>
          <w:szCs w:val="28"/>
        </w:rPr>
        <w:t xml:space="preserve"> due to extrinsic factors</w:t>
      </w:r>
    </w:p>
    <w:p w14:paraId="5B6BD280" w14:textId="4DE7AF3A" w:rsidR="00077DB4" w:rsidRPr="000161A0" w:rsidRDefault="00077DB4" w:rsidP="00B85982">
      <w:r w:rsidRPr="000161A0">
        <w:t xml:space="preserve">An overview of tested interactions is at </w:t>
      </w:r>
      <w:r w:rsidR="00B85982" w:rsidRPr="000161A0">
        <w:fldChar w:fldCharType="begin"/>
      </w:r>
      <w:r w:rsidR="00B85982" w:rsidRPr="000161A0">
        <w:instrText xml:space="preserve"> REF _Ref80880784 \h </w:instrText>
      </w:r>
      <w:r w:rsidR="000161A0" w:rsidRPr="000161A0">
        <w:instrText xml:space="preserve"> \* MERGEFORMAT </w:instrText>
      </w:r>
      <w:r w:rsidR="00B85982" w:rsidRPr="000161A0">
        <w:fldChar w:fldCharType="separate"/>
      </w:r>
      <w:r w:rsidR="001C5336" w:rsidRPr="00110614">
        <w:t xml:space="preserve">Figure </w:t>
      </w:r>
      <w:r w:rsidR="001C5336">
        <w:rPr>
          <w:noProof/>
        </w:rPr>
        <w:t>2</w:t>
      </w:r>
      <w:r w:rsidR="00B85982" w:rsidRPr="000161A0">
        <w:fldChar w:fldCharType="end"/>
      </w:r>
      <w:r w:rsidRPr="000161A0">
        <w:t xml:space="preserve">. Available data suggest that </w:t>
      </w:r>
      <w:proofErr w:type="spellStart"/>
      <w:r w:rsidRPr="000161A0">
        <w:t>finerenone</w:t>
      </w:r>
      <w:proofErr w:type="spellEnd"/>
      <w:r w:rsidRPr="000161A0">
        <w:t xml:space="preserve"> is a sensitive CYP3A4 substrate. </w:t>
      </w:r>
      <w:r w:rsidRPr="000161A0">
        <w:rPr>
          <w:i/>
          <w:iCs/>
        </w:rPr>
        <w:t>In vivo</w:t>
      </w:r>
      <w:r w:rsidRPr="000161A0">
        <w:t>, 87</w:t>
      </w:r>
      <w:r w:rsidR="00B85982" w:rsidRPr="000161A0">
        <w:t xml:space="preserve">% to </w:t>
      </w:r>
      <w:r w:rsidRPr="000161A0">
        <w:t xml:space="preserve">89% of metabolic clearance is attributed to CYP3A4, and </w:t>
      </w:r>
      <w:r w:rsidR="00B85982" w:rsidRPr="000161A0">
        <w:t>approximately</w:t>
      </w:r>
      <w:r w:rsidRPr="000161A0">
        <w:t xml:space="preserve"> 10% to CYP2C8. CYP3A4 inhibitors or inducers of this enzyme were the only identified extrinsic factors of potential relevance. Co-administration with</w:t>
      </w:r>
      <w:r w:rsidR="00B85982" w:rsidRPr="000161A0">
        <w:t xml:space="preserve"> the following</w:t>
      </w:r>
      <w:r w:rsidRPr="000161A0">
        <w:t>:</w:t>
      </w:r>
    </w:p>
    <w:p w14:paraId="52777029" w14:textId="77777777" w:rsidR="00077DB4" w:rsidRPr="000161A0" w:rsidRDefault="00077DB4" w:rsidP="009253EA">
      <w:pPr>
        <w:pStyle w:val="ListBullet"/>
      </w:pPr>
      <w:r w:rsidRPr="000161A0">
        <w:t xml:space="preserve">strong CYP3A4 inhibitors is </w:t>
      </w:r>
      <w:proofErr w:type="gramStart"/>
      <w:r w:rsidRPr="000161A0">
        <w:t>contraindicated;</w:t>
      </w:r>
      <w:proofErr w:type="gramEnd"/>
    </w:p>
    <w:p w14:paraId="4B16B1CE" w14:textId="77777777" w:rsidR="00077DB4" w:rsidRPr="000161A0" w:rsidRDefault="00077DB4" w:rsidP="009253EA">
      <w:pPr>
        <w:pStyle w:val="ListBullet"/>
      </w:pPr>
      <w:r w:rsidRPr="000161A0">
        <w:t xml:space="preserve">moderate or weak CYP3A4 inhibitors requires monitoring of serum potassium </w:t>
      </w:r>
      <w:proofErr w:type="gramStart"/>
      <w:r w:rsidRPr="000161A0">
        <w:t>levels;</w:t>
      </w:r>
      <w:proofErr w:type="gramEnd"/>
    </w:p>
    <w:p w14:paraId="40B00EAB" w14:textId="77777777" w:rsidR="00077DB4" w:rsidRPr="000161A0" w:rsidRDefault="00077DB4" w:rsidP="009253EA">
      <w:pPr>
        <w:pStyle w:val="ListBullet"/>
      </w:pPr>
      <w:r w:rsidRPr="000161A0">
        <w:t>strong and moderate CYP3A4 inducers should be avoided.</w:t>
      </w:r>
    </w:p>
    <w:p w14:paraId="3D2F8000" w14:textId="7F0DEB2A" w:rsidR="00077DB4" w:rsidRPr="000161A0" w:rsidRDefault="00077DB4" w:rsidP="009253EA">
      <w:pPr>
        <w:pStyle w:val="Heading7"/>
        <w:rPr>
          <w:sz w:val="22"/>
          <w:szCs w:val="28"/>
        </w:rPr>
      </w:pPr>
      <w:r w:rsidRPr="000161A0">
        <w:rPr>
          <w:sz w:val="22"/>
          <w:szCs w:val="28"/>
        </w:rPr>
        <w:t xml:space="preserve">Effects of </w:t>
      </w:r>
      <w:proofErr w:type="spellStart"/>
      <w:r w:rsidRPr="000161A0">
        <w:rPr>
          <w:sz w:val="22"/>
          <w:szCs w:val="28"/>
        </w:rPr>
        <w:t>finerenone</w:t>
      </w:r>
      <w:proofErr w:type="spellEnd"/>
      <w:r w:rsidRPr="000161A0">
        <w:rPr>
          <w:sz w:val="22"/>
          <w:szCs w:val="28"/>
        </w:rPr>
        <w:t xml:space="preserve"> on the </w:t>
      </w:r>
      <w:r w:rsidR="00B85982" w:rsidRPr="000161A0">
        <w:rPr>
          <w:sz w:val="22"/>
          <w:szCs w:val="28"/>
        </w:rPr>
        <w:t>pharmacokinetics</w:t>
      </w:r>
      <w:r w:rsidRPr="000161A0">
        <w:rPr>
          <w:sz w:val="22"/>
          <w:szCs w:val="28"/>
        </w:rPr>
        <w:t xml:space="preserve"> of co-medications</w:t>
      </w:r>
    </w:p>
    <w:p w14:paraId="624E5D95" w14:textId="7C8D5888" w:rsidR="00077DB4" w:rsidRPr="000161A0" w:rsidRDefault="00077DB4" w:rsidP="009253EA">
      <w:r w:rsidRPr="000161A0">
        <w:t xml:space="preserve">An overview of tested interactions is at </w:t>
      </w:r>
      <w:r w:rsidR="00B85982" w:rsidRPr="000161A0">
        <w:fldChar w:fldCharType="begin"/>
      </w:r>
      <w:r w:rsidR="00B85982" w:rsidRPr="000161A0">
        <w:instrText xml:space="preserve"> REF _Ref101270985 \h </w:instrText>
      </w:r>
      <w:r w:rsidR="000161A0" w:rsidRPr="000161A0">
        <w:instrText xml:space="preserve"> \* MERGEFORMAT </w:instrText>
      </w:r>
      <w:r w:rsidR="00B85982" w:rsidRPr="000161A0">
        <w:fldChar w:fldCharType="separate"/>
      </w:r>
      <w:r w:rsidR="001C5336" w:rsidRPr="00110614">
        <w:t xml:space="preserve">Figure </w:t>
      </w:r>
      <w:r w:rsidR="001C5336">
        <w:rPr>
          <w:noProof/>
        </w:rPr>
        <w:t>3</w:t>
      </w:r>
      <w:r w:rsidR="00B85982" w:rsidRPr="000161A0">
        <w:fldChar w:fldCharType="end"/>
      </w:r>
      <w:r w:rsidR="00B85982" w:rsidRPr="000161A0">
        <w:t xml:space="preserve"> below.</w:t>
      </w:r>
    </w:p>
    <w:p w14:paraId="330E54E2" w14:textId="011233FF" w:rsidR="00110614" w:rsidRPr="00110614" w:rsidRDefault="00B85982" w:rsidP="00110614">
      <w:pPr>
        <w:pStyle w:val="FigureTitle"/>
      </w:pPr>
      <w:bookmarkStart w:id="60" w:name="_Ref101270985"/>
      <w:r w:rsidRPr="00110614">
        <w:lastRenderedPageBreak/>
        <w:t xml:space="preserve">Figure </w:t>
      </w:r>
      <w:fldSimple w:instr=" SEQ Figure \* ARABIC ">
        <w:r w:rsidR="001C5336">
          <w:rPr>
            <w:noProof/>
          </w:rPr>
          <w:t>3</w:t>
        </w:r>
      </w:fldSimple>
      <w:bookmarkEnd w:id="60"/>
      <w:r w:rsidRPr="00110614">
        <w:t xml:space="preserve">: Effect of </w:t>
      </w:r>
      <w:proofErr w:type="spellStart"/>
      <w:r w:rsidRPr="00110614">
        <w:t>finerenone</w:t>
      </w:r>
      <w:proofErr w:type="spellEnd"/>
      <w:r w:rsidRPr="00110614">
        <w:t xml:space="preserve"> 20 mg tablet on substrate pharmacokinetics</w:t>
      </w:r>
      <w:r w:rsidR="00197CD0" w:rsidRPr="00110614">
        <w:t xml:space="preserve"> (pharmacokinetics set)</w:t>
      </w:r>
    </w:p>
    <w:p w14:paraId="1A15FD0F" w14:textId="57354E6B" w:rsidR="00B85982" w:rsidRPr="000161A0" w:rsidRDefault="00197CD0" w:rsidP="00110614">
      <w:pPr>
        <w:rPr>
          <w:lang w:eastAsia="ja-JP"/>
        </w:rPr>
      </w:pPr>
      <w:r>
        <w:rPr>
          <w:noProof/>
          <w:lang w:val="en-GB" w:eastAsia="en-GB"/>
        </w:rPr>
        <w:drawing>
          <wp:inline distT="0" distB="0" distL="0" distR="0" wp14:anchorId="52AB5869" wp14:editId="28E9316C">
            <wp:extent cx="4740728" cy="4314821"/>
            <wp:effectExtent l="0" t="0" r="3175" b="0"/>
            <wp:docPr id="25" name="Picture 25" descr="Figure 3: Effect of finerenone 20 mg tablet on substrate pharmacokinetics (pharmacokinetic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Effect of finerenone 20 mg tablet on substrate pharmacokinetics (pharmacokinetics set)"/>
                    <pic:cNvPicPr/>
                  </pic:nvPicPr>
                  <pic:blipFill>
                    <a:blip r:embed="rId22"/>
                    <a:stretch>
                      <a:fillRect/>
                    </a:stretch>
                  </pic:blipFill>
                  <pic:spPr>
                    <a:xfrm>
                      <a:off x="0" y="0"/>
                      <a:ext cx="4752283" cy="4325338"/>
                    </a:xfrm>
                    <a:prstGeom prst="rect">
                      <a:avLst/>
                    </a:prstGeom>
                  </pic:spPr>
                </pic:pic>
              </a:graphicData>
            </a:graphic>
          </wp:inline>
        </w:drawing>
      </w:r>
    </w:p>
    <w:p w14:paraId="6F4B4A35" w14:textId="3C8BB892" w:rsidR="00197CD0" w:rsidRPr="009B3C2D" w:rsidRDefault="003B3A20" w:rsidP="008278F2">
      <w:pPr>
        <w:pStyle w:val="FigureDescription"/>
      </w:pPr>
      <w:r w:rsidRPr="009B3C2D">
        <w:t xml:space="preserve">AUC = area under the concentration time curve; </w:t>
      </w:r>
      <w:proofErr w:type="gramStart"/>
      <w:r w:rsidRPr="009B3C2D">
        <w:t>AUCTAU(</w:t>
      </w:r>
      <w:proofErr w:type="gramEnd"/>
      <w:r w:rsidRPr="009B3C2D">
        <w:t xml:space="preserve">0-24)MD = AUC </w:t>
      </w:r>
      <w:r w:rsidR="009B3C2D" w:rsidRPr="009B3C2D">
        <w:t xml:space="preserve">over dosing interval </w:t>
      </w:r>
      <w:r w:rsidRPr="009B3C2D">
        <w:t>from time 0 to 24 hour after multiple dose; CI = confidence interval; CMAX = maximum observed drug concentration; CTROUGH =trough concentration; CYP2C8 = cytochrome P450 isoenzyme 2C8; CYP3A4 = cytochrome P450 isoenzyme 3A4; h = hour.</w:t>
      </w:r>
    </w:p>
    <w:p w14:paraId="7369184F" w14:textId="12A4C32B" w:rsidR="00077DB4" w:rsidRPr="000161A0" w:rsidRDefault="00077DB4" w:rsidP="00B85982">
      <w:r w:rsidRPr="000161A0">
        <w:t xml:space="preserve">The potentially relevant induction and inhibition of CYP3A4 </w:t>
      </w:r>
      <w:r w:rsidRPr="000161A0">
        <w:rPr>
          <w:i/>
          <w:iCs/>
        </w:rPr>
        <w:t>in vitro</w:t>
      </w:r>
      <w:r w:rsidRPr="000161A0">
        <w:t xml:space="preserve"> by </w:t>
      </w:r>
      <w:proofErr w:type="spellStart"/>
      <w:r w:rsidRPr="000161A0">
        <w:t>finerenone</w:t>
      </w:r>
      <w:proofErr w:type="spellEnd"/>
      <w:r w:rsidRPr="000161A0">
        <w:t xml:space="preserve"> and/or its metabolites was not confirmed in </w:t>
      </w:r>
      <w:r w:rsidRPr="000161A0">
        <w:rPr>
          <w:i/>
          <w:iCs/>
        </w:rPr>
        <w:t>in vivo</w:t>
      </w:r>
      <w:r w:rsidRPr="000161A0">
        <w:t xml:space="preserve"> studies. The much weaker </w:t>
      </w:r>
      <w:r w:rsidRPr="000161A0">
        <w:rPr>
          <w:i/>
          <w:iCs/>
        </w:rPr>
        <w:t>in vitro</w:t>
      </w:r>
      <w:r w:rsidRPr="000161A0">
        <w:t xml:space="preserve"> effect on CYP2C8 was confirmed </w:t>
      </w:r>
      <w:r w:rsidRPr="000161A0">
        <w:rPr>
          <w:i/>
          <w:iCs/>
        </w:rPr>
        <w:t>in vivo</w:t>
      </w:r>
      <w:r w:rsidRPr="000161A0">
        <w:t xml:space="preserve">. </w:t>
      </w:r>
      <w:proofErr w:type="spellStart"/>
      <w:r w:rsidRPr="000161A0">
        <w:t>Finerenone</w:t>
      </w:r>
      <w:proofErr w:type="spellEnd"/>
      <w:r w:rsidRPr="000161A0">
        <w:t xml:space="preserve"> and its metabolites did not inhibit </w:t>
      </w:r>
      <w:r w:rsidR="00873467" w:rsidRPr="000161A0">
        <w:t>P</w:t>
      </w:r>
      <w:r w:rsidR="00B85982" w:rsidRPr="000161A0">
        <w:noBreakHyphen/>
      </w:r>
      <w:r w:rsidR="00873467" w:rsidRPr="000161A0">
        <w:t>glycoprotein</w:t>
      </w:r>
      <w:r w:rsidRPr="000161A0">
        <w:t xml:space="preserve"> at clinically relevant concentrations. Available data indicated a non-significant effect of </w:t>
      </w:r>
      <w:proofErr w:type="spellStart"/>
      <w:r w:rsidRPr="000161A0">
        <w:t>finerenone</w:t>
      </w:r>
      <w:proofErr w:type="spellEnd"/>
      <w:r w:rsidRPr="000161A0">
        <w:t xml:space="preserve"> on </w:t>
      </w:r>
      <w:r w:rsidR="00B85982" w:rsidRPr="000161A0">
        <w:t>breast cancer resistance protein (</w:t>
      </w:r>
      <w:r w:rsidRPr="000161A0">
        <w:t>BCRP</w:t>
      </w:r>
      <w:r w:rsidR="00B85982" w:rsidRPr="000161A0">
        <w:t>)</w:t>
      </w:r>
      <w:r w:rsidRPr="000161A0">
        <w:t xml:space="preserve"> and </w:t>
      </w:r>
      <w:r w:rsidR="00B85982" w:rsidRPr="000161A0">
        <w:t>organic anion transporting polypeptide (</w:t>
      </w:r>
      <w:r w:rsidRPr="000161A0">
        <w:t>OATP</w:t>
      </w:r>
      <w:r w:rsidR="00B85982" w:rsidRPr="000161A0">
        <w:t>)</w:t>
      </w:r>
      <w:r w:rsidRPr="000161A0">
        <w:t xml:space="preserve"> substrates. Digoxin interactions are discussed separately.</w:t>
      </w:r>
    </w:p>
    <w:p w14:paraId="21D68038" w14:textId="4973DB99" w:rsidR="00077DB4" w:rsidRPr="000161A0" w:rsidRDefault="00077DB4" w:rsidP="009253EA">
      <w:pPr>
        <w:pStyle w:val="Heading5"/>
      </w:pPr>
      <w:r w:rsidRPr="000161A0">
        <w:t>Pharmacodynamics</w:t>
      </w:r>
    </w:p>
    <w:p w14:paraId="3D019F03" w14:textId="62483D4D" w:rsidR="00077DB4" w:rsidRPr="000161A0" w:rsidRDefault="00FE4641" w:rsidP="009253EA">
      <w:pPr>
        <w:pStyle w:val="Heading6"/>
      </w:pPr>
      <w:r>
        <w:t xml:space="preserve">Cardiac </w:t>
      </w:r>
      <w:r w:rsidR="00077DB4" w:rsidRPr="000161A0">
        <w:t>QT</w:t>
      </w:r>
      <w:r w:rsidR="00D62B5E">
        <w:t xml:space="preserve"> </w:t>
      </w:r>
      <w:r>
        <w:t>interval</w:t>
      </w:r>
      <w:r w:rsidR="00077DB4" w:rsidRPr="000161A0">
        <w:t xml:space="preserve"> data</w:t>
      </w:r>
    </w:p>
    <w:p w14:paraId="023E188D" w14:textId="15FC089F" w:rsidR="00077DB4" w:rsidRPr="000161A0" w:rsidRDefault="00077DB4" w:rsidP="009253EA">
      <w:r w:rsidRPr="000161A0">
        <w:t xml:space="preserve">No clinically relevant </w:t>
      </w:r>
      <w:r w:rsidR="00384B76" w:rsidRPr="000161A0">
        <w:t>mineralocorticoid receptor</w:t>
      </w:r>
      <w:r w:rsidRPr="000161A0">
        <w:t xml:space="preserve"> antagonism</w:t>
      </w:r>
      <w:r w:rsidR="00B85982" w:rsidRPr="000161A0">
        <w:t xml:space="preserve"> </w:t>
      </w:r>
      <w:r w:rsidRPr="000161A0">
        <w:t>related PD effects were detected up to the highest single dose of 80 mg and the highest multiple dose treatment of 40</w:t>
      </w:r>
      <w:r w:rsidR="00B85982" w:rsidRPr="000161A0">
        <w:t> </w:t>
      </w:r>
      <w:r w:rsidRPr="000161A0">
        <w:t xml:space="preserve">mg for 10 days. No </w:t>
      </w:r>
      <w:r w:rsidR="001D3BD3" w:rsidRPr="000161A0">
        <w:t>corrected QT interval (QTc)</w:t>
      </w:r>
      <w:r w:rsidR="001D3BD3" w:rsidRPr="000161A0">
        <w:rPr>
          <w:rStyle w:val="FootnoteReference"/>
        </w:rPr>
        <w:footnoteReference w:id="4"/>
      </w:r>
      <w:r w:rsidRPr="000161A0">
        <w:t xml:space="preserve"> prolongation was detected for clinical doses (Study 15113).</w:t>
      </w:r>
    </w:p>
    <w:p w14:paraId="23408043" w14:textId="5007F334" w:rsidR="00077DB4" w:rsidRPr="000161A0" w:rsidRDefault="00077DB4" w:rsidP="009253EA">
      <w:pPr>
        <w:pStyle w:val="Heading6"/>
      </w:pPr>
      <w:r w:rsidRPr="000161A0">
        <w:lastRenderedPageBreak/>
        <w:t>Exposure</w:t>
      </w:r>
      <w:r w:rsidR="00D62B5E">
        <w:noBreakHyphen/>
      </w:r>
      <w:r w:rsidRPr="000161A0">
        <w:t>response modelling</w:t>
      </w:r>
    </w:p>
    <w:p w14:paraId="7C85562B" w14:textId="5C09E18A" w:rsidR="00077DB4" w:rsidRPr="000161A0" w:rsidRDefault="00077DB4" w:rsidP="009253EA">
      <w:r w:rsidRPr="000161A0">
        <w:t>Exposure</w:t>
      </w:r>
      <w:r w:rsidR="00D62B5E">
        <w:noBreakHyphen/>
      </w:r>
      <w:r w:rsidRPr="000161A0">
        <w:t xml:space="preserve">response relationships were investigated based on data from </w:t>
      </w:r>
      <w:r w:rsidR="00B85982" w:rsidRPr="000161A0">
        <w:t xml:space="preserve">the </w:t>
      </w:r>
      <w:r w:rsidRPr="000161A0">
        <w:t xml:space="preserve">ARTS-DN </w:t>
      </w:r>
      <w:r w:rsidR="00B85982" w:rsidRPr="000161A0">
        <w:t xml:space="preserve">trial </w:t>
      </w:r>
      <w:r w:rsidRPr="000161A0">
        <w:t xml:space="preserve">(Study 16243) and </w:t>
      </w:r>
      <w:r w:rsidR="00B85982" w:rsidRPr="000161A0">
        <w:t xml:space="preserve">the </w:t>
      </w:r>
      <w:r w:rsidRPr="000161A0">
        <w:t>ARTS-DN Japan</w:t>
      </w:r>
      <w:r w:rsidR="00B85982" w:rsidRPr="000161A0">
        <w:t xml:space="preserve"> trial</w:t>
      </w:r>
      <w:r w:rsidRPr="000161A0">
        <w:t xml:space="preserve"> (Study 16816) using indirect response models for</w:t>
      </w:r>
      <w:r w:rsidR="00B85982" w:rsidRPr="000161A0">
        <w:t xml:space="preserve"> urine albumin-to-creatinine ratio</w:t>
      </w:r>
      <w:r w:rsidRPr="000161A0">
        <w:t xml:space="preserve"> </w:t>
      </w:r>
      <w:r w:rsidR="00B85982" w:rsidRPr="000161A0">
        <w:t>(</w:t>
      </w:r>
      <w:r w:rsidRPr="000161A0">
        <w:t>UACR</w:t>
      </w:r>
      <w:r w:rsidR="00B85982" w:rsidRPr="000161A0">
        <w:t>)</w:t>
      </w:r>
      <w:r w:rsidRPr="000161A0">
        <w:t>, eGFR, and serum potassium (</w:t>
      </w:r>
      <w:proofErr w:type="spellStart"/>
      <w:r w:rsidRPr="000161A0">
        <w:t>PopPK</w:t>
      </w:r>
      <w:proofErr w:type="spellEnd"/>
      <w:r w:rsidRPr="000161A0">
        <w:t xml:space="preserve">/PD analysis 17024). The dose-exposure-response modelling and simulation indicates that effects were largely saturated at </w:t>
      </w:r>
      <w:proofErr w:type="spellStart"/>
      <w:r w:rsidRPr="000161A0">
        <w:t>finerenone</w:t>
      </w:r>
      <w:proofErr w:type="spellEnd"/>
      <w:r w:rsidRPr="000161A0">
        <w:t xml:space="preserve"> 20 mg.</w:t>
      </w:r>
    </w:p>
    <w:p w14:paraId="22479992" w14:textId="18602405" w:rsidR="00077DB4" w:rsidRPr="000161A0" w:rsidRDefault="00077DB4" w:rsidP="009253EA">
      <w:pPr>
        <w:pStyle w:val="Heading5"/>
      </w:pPr>
      <w:r w:rsidRPr="000161A0">
        <w:t xml:space="preserve">Population </w:t>
      </w:r>
      <w:r w:rsidR="00B85982" w:rsidRPr="000161A0">
        <w:t xml:space="preserve">pharmacokinetics and pharmacodynamics </w:t>
      </w:r>
      <w:r w:rsidRPr="000161A0">
        <w:t>data</w:t>
      </w:r>
    </w:p>
    <w:p w14:paraId="2CAE6A56" w14:textId="3A321D4A" w:rsidR="00B85982" w:rsidRPr="000161A0" w:rsidRDefault="00077DB4" w:rsidP="009253EA">
      <w:r w:rsidRPr="000161A0">
        <w:t>Three relevant population PK/PD analyses were conducted</w:t>
      </w:r>
      <w:r w:rsidR="00B85982" w:rsidRPr="000161A0">
        <w:t>:</w:t>
      </w:r>
    </w:p>
    <w:p w14:paraId="127FD66E" w14:textId="38391F50" w:rsidR="00B85982" w:rsidRPr="000161A0" w:rsidRDefault="00077DB4" w:rsidP="00B85982">
      <w:pPr>
        <w:pStyle w:val="ListBullet"/>
      </w:pPr>
      <w:proofErr w:type="spellStart"/>
      <w:r w:rsidRPr="000161A0">
        <w:t>PopPK</w:t>
      </w:r>
      <w:proofErr w:type="spellEnd"/>
      <w:r w:rsidRPr="000161A0">
        <w:t xml:space="preserve"> Analysis 13880 (healthy and </w:t>
      </w:r>
      <w:r w:rsidR="00B85982" w:rsidRPr="000161A0">
        <w:t xml:space="preserve">congestive heart failure </w:t>
      </w:r>
      <w:r w:rsidRPr="000161A0">
        <w:t>patients)</w:t>
      </w:r>
    </w:p>
    <w:p w14:paraId="74895F84" w14:textId="77777777" w:rsidR="00B85982" w:rsidRPr="000161A0" w:rsidRDefault="00077DB4" w:rsidP="00B85982">
      <w:pPr>
        <w:pStyle w:val="ListBullet"/>
      </w:pPr>
      <w:proofErr w:type="spellStart"/>
      <w:r w:rsidRPr="000161A0">
        <w:t>PopPK</w:t>
      </w:r>
      <w:proofErr w:type="spellEnd"/>
      <w:r w:rsidRPr="000161A0">
        <w:t xml:space="preserve"> Analysis 17024 (diabetic nephropathy patients)</w:t>
      </w:r>
    </w:p>
    <w:p w14:paraId="4C4C4647" w14:textId="021E4833" w:rsidR="00B85982" w:rsidRPr="000161A0" w:rsidRDefault="00077DB4" w:rsidP="00B85982">
      <w:pPr>
        <w:pStyle w:val="ListBullet"/>
      </w:pPr>
      <w:proofErr w:type="spellStart"/>
      <w:r w:rsidRPr="000161A0">
        <w:t>PopPK</w:t>
      </w:r>
      <w:proofErr w:type="spellEnd"/>
      <w:r w:rsidRPr="000161A0">
        <w:t xml:space="preserve"> Analysis 18523 (</w:t>
      </w:r>
      <w:r w:rsidR="00D62B5E">
        <w:t>diabetic kidney disease</w:t>
      </w:r>
      <w:r w:rsidR="00D62B5E" w:rsidRPr="000161A0">
        <w:t xml:space="preserve"> </w:t>
      </w:r>
      <w:r w:rsidRPr="000161A0">
        <w:t>patients).</w:t>
      </w:r>
    </w:p>
    <w:p w14:paraId="2FDB49E3" w14:textId="15D8FA8E" w:rsidR="00077DB4" w:rsidRPr="000161A0" w:rsidRDefault="00077DB4" w:rsidP="0023308B">
      <w:r w:rsidRPr="000161A0">
        <w:t xml:space="preserve">Overall, the </w:t>
      </w:r>
      <w:proofErr w:type="spellStart"/>
      <w:r w:rsidRPr="000161A0">
        <w:t>finerenone</w:t>
      </w:r>
      <w:proofErr w:type="spellEnd"/>
      <w:r w:rsidRPr="000161A0">
        <w:t xml:space="preserve"> PK profile was similar in healthy subjects, </w:t>
      </w:r>
      <w:r w:rsidR="00873467" w:rsidRPr="000161A0">
        <w:t xml:space="preserve">diabetic </w:t>
      </w:r>
      <w:proofErr w:type="gramStart"/>
      <w:r w:rsidR="00873467" w:rsidRPr="000161A0">
        <w:t>nephropathy</w:t>
      </w:r>
      <w:proofErr w:type="gramEnd"/>
      <w:r w:rsidRPr="000161A0">
        <w:t xml:space="preserve"> and </w:t>
      </w:r>
      <w:r w:rsidR="00D62B5E">
        <w:t>diabetic kidney disease</w:t>
      </w:r>
      <w:r w:rsidR="00D62B5E" w:rsidRPr="000161A0">
        <w:t xml:space="preserve"> </w:t>
      </w:r>
      <w:r w:rsidRPr="000161A0">
        <w:t xml:space="preserve">patients. In the </w:t>
      </w:r>
      <w:proofErr w:type="spellStart"/>
      <w:r w:rsidRPr="000161A0">
        <w:t>PopPK</w:t>
      </w:r>
      <w:proofErr w:type="spellEnd"/>
      <w:r w:rsidRPr="000161A0">
        <w:t xml:space="preserve"> Analysis 18523, the impact of all investigated covariates on </w:t>
      </w:r>
      <w:proofErr w:type="spellStart"/>
      <w:r w:rsidRPr="000161A0">
        <w:t>finerenone</w:t>
      </w:r>
      <w:proofErr w:type="spellEnd"/>
      <w:r w:rsidRPr="000161A0">
        <w:t xml:space="preserve"> exposure was low (</w:t>
      </w:r>
      <w:r w:rsidR="0023308B" w:rsidRPr="000161A0">
        <w:t xml:space="preserve">see </w:t>
      </w:r>
      <w:r w:rsidRPr="000161A0">
        <w:fldChar w:fldCharType="begin"/>
      </w:r>
      <w:r w:rsidRPr="000161A0">
        <w:instrText xml:space="preserve"> REF _Ref81295911 \h </w:instrText>
      </w:r>
      <w:r w:rsidR="009253EA" w:rsidRPr="000161A0">
        <w:instrText xml:space="preserve"> \* MERGEFORMAT </w:instrText>
      </w:r>
      <w:r w:rsidRPr="000161A0">
        <w:fldChar w:fldCharType="separate"/>
      </w:r>
      <w:r w:rsidR="001C5336" w:rsidRPr="00110614">
        <w:t xml:space="preserve">Table </w:t>
      </w:r>
      <w:r w:rsidR="001C5336">
        <w:t>6</w:t>
      </w:r>
      <w:r w:rsidRPr="000161A0">
        <w:fldChar w:fldCharType="end"/>
      </w:r>
      <w:r w:rsidR="0023308B" w:rsidRPr="000161A0">
        <w:t xml:space="preserve"> below</w:t>
      </w:r>
      <w:r w:rsidRPr="000161A0">
        <w:t>).</w:t>
      </w:r>
    </w:p>
    <w:p w14:paraId="7E40A122" w14:textId="0D00D411" w:rsidR="00B85982" w:rsidRPr="00110614" w:rsidRDefault="00B85982" w:rsidP="00110614">
      <w:pPr>
        <w:pStyle w:val="TableTitle"/>
      </w:pPr>
      <w:bookmarkStart w:id="61" w:name="_Ref81295911"/>
      <w:r w:rsidRPr="00110614">
        <w:lastRenderedPageBreak/>
        <w:t xml:space="preserve">Table </w:t>
      </w:r>
      <w:fldSimple w:instr=" SEQ Table \* ARABIC ">
        <w:r w:rsidR="001C5336">
          <w:rPr>
            <w:noProof/>
          </w:rPr>
          <w:t>6</w:t>
        </w:r>
      </w:fldSimple>
      <w:bookmarkEnd w:id="61"/>
      <w:r w:rsidR="0023308B" w:rsidRPr="00110614">
        <w:t>:</w:t>
      </w:r>
      <w:r w:rsidRPr="00110614">
        <w:t xml:space="preserve"> Study 18523</w:t>
      </w:r>
      <w:r w:rsidR="0023308B" w:rsidRPr="00110614">
        <w:t xml:space="preserve"> </w:t>
      </w:r>
      <w:r w:rsidRPr="00110614">
        <w:t>Overview of covariate effects</w:t>
      </w:r>
    </w:p>
    <w:p w14:paraId="10728021" w14:textId="6070996D" w:rsidR="00B85982" w:rsidRDefault="00B85982" w:rsidP="00110614">
      <w:r w:rsidRPr="000161A0">
        <w:rPr>
          <w:noProof/>
          <w:lang w:val="en-GB" w:eastAsia="en-GB"/>
        </w:rPr>
        <w:drawing>
          <wp:inline distT="0" distB="0" distL="0" distR="0" wp14:anchorId="13AA1F53" wp14:editId="785ED9BF">
            <wp:extent cx="5187043" cy="6689252"/>
            <wp:effectExtent l="0" t="0" r="0" b="0"/>
            <wp:docPr id="1105" name="Grafik 1105" descr="Table 6: Study 18523 Overview of covariat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Grafik 1105" descr="Table 6: Study 18523 Overview of covariate effects"/>
                    <pic:cNvPicPr/>
                  </pic:nvPicPr>
                  <pic:blipFill>
                    <a:blip r:embed="rId23"/>
                    <a:stretch>
                      <a:fillRect/>
                    </a:stretch>
                  </pic:blipFill>
                  <pic:spPr>
                    <a:xfrm>
                      <a:off x="0" y="0"/>
                      <a:ext cx="5203876" cy="6710960"/>
                    </a:xfrm>
                    <a:prstGeom prst="rect">
                      <a:avLst/>
                    </a:prstGeom>
                  </pic:spPr>
                </pic:pic>
              </a:graphicData>
            </a:graphic>
          </wp:inline>
        </w:drawing>
      </w:r>
    </w:p>
    <w:p w14:paraId="5CF641E0" w14:textId="1B10A069" w:rsidR="00E56D10" w:rsidRPr="00E56D10" w:rsidRDefault="00E56D10" w:rsidP="008278F2">
      <w:pPr>
        <w:pStyle w:val="TableDescription"/>
      </w:pPr>
      <w:proofErr w:type="spellStart"/>
      <w:r w:rsidRPr="00E56D10">
        <w:t>AUC</w:t>
      </w:r>
      <w:proofErr w:type="gramStart"/>
      <w:r w:rsidRPr="00E56D10">
        <w:rPr>
          <w:vertAlign w:val="subscript"/>
        </w:rPr>
        <w:t>τ,md</w:t>
      </w:r>
      <w:proofErr w:type="spellEnd"/>
      <w:proofErr w:type="gramEnd"/>
      <w:r w:rsidRPr="00E56D10">
        <w:t xml:space="preserve"> = AUC during any dose interval after multiple dose; BW0 = body weight; </w:t>
      </w:r>
      <w:proofErr w:type="spellStart"/>
      <w:r w:rsidRPr="00E56D10">
        <w:t>C</w:t>
      </w:r>
      <w:r w:rsidRPr="00E56D10">
        <w:rPr>
          <w:vertAlign w:val="subscript"/>
        </w:rPr>
        <w:t>max,md</w:t>
      </w:r>
      <w:proofErr w:type="spellEnd"/>
      <w:r w:rsidRPr="00E56D10">
        <w:t xml:space="preserve"> = </w:t>
      </w:r>
      <w:r>
        <w:t>m</w:t>
      </w:r>
      <w:r w:rsidRPr="000161A0">
        <w:t>aximum observed drug concentration</w:t>
      </w:r>
      <w:r w:rsidRPr="00E56D10">
        <w:t xml:space="preserve"> in measured matrix after multiple dose administration during a dosage interval; CREA = creatinine; CL/F = apparent oral clearance; eGFR = estimated glomerular filtration rate; EPI = epidemiology collaboration; ERFREP = time varying eGFR-EPI; F = fraction absorbed (bioavailability); GGT = gamma glutamyl transferase; HGHT = body height; </w:t>
      </w:r>
      <w:proofErr w:type="spellStart"/>
      <w:r w:rsidRPr="00E56D10">
        <w:t>Vc</w:t>
      </w:r>
      <w:proofErr w:type="spellEnd"/>
      <w:r w:rsidRPr="00E56D10">
        <w:t>/F = apparent central volume.</w:t>
      </w:r>
    </w:p>
    <w:p w14:paraId="0AAE46C3" w14:textId="500C6E16" w:rsidR="00077DB4" w:rsidRPr="000161A0" w:rsidRDefault="00077DB4" w:rsidP="008D1BF5">
      <w:r w:rsidRPr="000161A0">
        <w:t xml:space="preserve">In </w:t>
      </w:r>
      <w:r w:rsidR="00D62B5E">
        <w:t xml:space="preserve">the </w:t>
      </w:r>
      <w:proofErr w:type="spellStart"/>
      <w:r w:rsidRPr="000161A0">
        <w:t>PopPK</w:t>
      </w:r>
      <w:proofErr w:type="spellEnd"/>
      <w:r w:rsidRPr="000161A0">
        <w:t xml:space="preserve"> analyses of </w:t>
      </w:r>
      <w:r w:rsidR="0023308B" w:rsidRPr="000161A0">
        <w:t>Study 16244</w:t>
      </w:r>
      <w:r w:rsidRPr="000161A0">
        <w:t xml:space="preserve">, body weight was a statistically significant covariate on </w:t>
      </w:r>
      <w:r w:rsidR="00F4700D" w:rsidRPr="000161A0">
        <w:t xml:space="preserve">apparent volume of distribution </w:t>
      </w:r>
      <w:r w:rsidRPr="000161A0">
        <w:t xml:space="preserve">(19% increase and 15% decrease in </w:t>
      </w:r>
      <w:proofErr w:type="spellStart"/>
      <w:r w:rsidR="008D1BF5" w:rsidRPr="000161A0">
        <w:t>C</w:t>
      </w:r>
      <w:r w:rsidR="008D1BF5" w:rsidRPr="000161A0">
        <w:rPr>
          <w:vertAlign w:val="subscript"/>
        </w:rPr>
        <w:t>max</w:t>
      </w:r>
      <w:proofErr w:type="spellEnd"/>
      <w:r w:rsidR="008D1BF5" w:rsidRPr="000161A0">
        <w:t xml:space="preserve"> in measured matrix after multiple dose administration during a dosage interval </w:t>
      </w:r>
      <w:r w:rsidR="00376DEC">
        <w:t>(</w:t>
      </w:r>
      <w:proofErr w:type="spellStart"/>
      <w:proofErr w:type="gramStart"/>
      <w:r w:rsidR="00873467" w:rsidRPr="000161A0">
        <w:t>C</w:t>
      </w:r>
      <w:r w:rsidR="00873467" w:rsidRPr="000161A0">
        <w:rPr>
          <w:vertAlign w:val="subscript"/>
        </w:rPr>
        <w:t>max</w:t>
      </w:r>
      <w:r w:rsidRPr="000161A0">
        <w:t>,</w:t>
      </w:r>
      <w:r w:rsidRPr="000161A0">
        <w:rPr>
          <w:vertAlign w:val="subscript"/>
        </w:rPr>
        <w:t>md</w:t>
      </w:r>
      <w:proofErr w:type="spellEnd"/>
      <w:proofErr w:type="gramEnd"/>
      <w:r w:rsidR="00376DEC">
        <w:t>)</w:t>
      </w:r>
      <w:r w:rsidRPr="000161A0">
        <w:t xml:space="preserve">, respectively, at the </w:t>
      </w:r>
      <w:r w:rsidR="0023308B" w:rsidRPr="000161A0">
        <w:t>fifth</w:t>
      </w:r>
      <w:r w:rsidRPr="000161A0">
        <w:t xml:space="preserve"> and </w:t>
      </w:r>
      <w:r w:rsidR="0023308B" w:rsidRPr="000161A0">
        <w:t>ninety fifth</w:t>
      </w:r>
      <w:r w:rsidRPr="000161A0">
        <w:t xml:space="preserve"> percentiles of the body weight distribution (58.0 and 121 kg), compared to the median), but there was no effect on AUC.</w:t>
      </w:r>
    </w:p>
    <w:p w14:paraId="767782C5" w14:textId="77777777" w:rsidR="00077DB4" w:rsidRPr="000161A0" w:rsidRDefault="00077DB4" w:rsidP="009253EA">
      <w:pPr>
        <w:pStyle w:val="Heading4"/>
      </w:pPr>
      <w:r w:rsidRPr="000161A0">
        <w:lastRenderedPageBreak/>
        <w:t>Efficacy</w:t>
      </w:r>
    </w:p>
    <w:p w14:paraId="61E0BEDE" w14:textId="311F52AE" w:rsidR="00077DB4" w:rsidRPr="000161A0" w:rsidRDefault="0023308B" w:rsidP="009253EA">
      <w:r w:rsidRPr="000161A0">
        <w:t>Two</w:t>
      </w:r>
      <w:r w:rsidR="00077DB4" w:rsidRPr="000161A0">
        <w:t xml:space="preserve"> pivotal </w:t>
      </w:r>
      <w:r w:rsidR="00715CC8" w:rsidRPr="000161A0">
        <w:t>Phase</w:t>
      </w:r>
      <w:r w:rsidR="00077DB4" w:rsidRPr="000161A0">
        <w:t xml:space="preserve"> </w:t>
      </w:r>
      <w:r w:rsidR="00715CC8" w:rsidRPr="000161A0">
        <w:t>III</w:t>
      </w:r>
      <w:r w:rsidR="00077DB4" w:rsidRPr="000161A0">
        <w:t xml:space="preserve"> studies (</w:t>
      </w:r>
      <w:r w:rsidRPr="000161A0">
        <w:t xml:space="preserve">Studies 16244 </w:t>
      </w:r>
      <w:r w:rsidR="00077DB4" w:rsidRPr="000161A0">
        <w:t xml:space="preserve">and </w:t>
      </w:r>
      <w:r w:rsidRPr="000161A0">
        <w:t>17530</w:t>
      </w:r>
      <w:r w:rsidR="00077DB4" w:rsidRPr="000161A0">
        <w:t xml:space="preserve">) investigated </w:t>
      </w:r>
      <w:r w:rsidR="00D62B5E">
        <w:t>diabetic kidney disease</w:t>
      </w:r>
      <w:r w:rsidR="00077DB4" w:rsidRPr="000161A0">
        <w:t xml:space="preserve">, but only a full dataset from </w:t>
      </w:r>
      <w:r w:rsidRPr="000161A0">
        <w:t xml:space="preserve">Study 16244 </w:t>
      </w:r>
      <w:r w:rsidR="00077DB4" w:rsidRPr="000161A0">
        <w:t xml:space="preserve">was submitted with this application. The efficacy claims for </w:t>
      </w:r>
      <w:proofErr w:type="spellStart"/>
      <w:r w:rsidR="00077DB4" w:rsidRPr="000161A0">
        <w:t>finerenone</w:t>
      </w:r>
      <w:proofErr w:type="spellEnd"/>
      <w:r w:rsidR="00077DB4" w:rsidRPr="000161A0">
        <w:t xml:space="preserve"> in the proposed indication are based on </w:t>
      </w:r>
      <w:r w:rsidRPr="000161A0">
        <w:t>Study 16244</w:t>
      </w:r>
      <w:r w:rsidR="00077DB4" w:rsidRPr="000161A0">
        <w:t>.</w:t>
      </w:r>
    </w:p>
    <w:p w14:paraId="06073BDE" w14:textId="3904EF66" w:rsidR="00077DB4" w:rsidRPr="000161A0" w:rsidRDefault="00077DB4" w:rsidP="009253EA">
      <w:pPr>
        <w:pStyle w:val="Heading5"/>
      </w:pPr>
      <w:r w:rsidRPr="000161A0">
        <w:t>Study 16244</w:t>
      </w:r>
    </w:p>
    <w:p w14:paraId="5E9078BB" w14:textId="1CE17226" w:rsidR="00077DB4" w:rsidRPr="000161A0" w:rsidRDefault="0023308B" w:rsidP="009253EA">
      <w:pPr>
        <w:pStyle w:val="Heading6"/>
      </w:pPr>
      <w:r w:rsidRPr="000161A0">
        <w:t xml:space="preserve">Study </w:t>
      </w:r>
      <w:r w:rsidR="00D62B5E">
        <w:t>overview</w:t>
      </w:r>
    </w:p>
    <w:p w14:paraId="677489E7" w14:textId="721AA21E" w:rsidR="00077DB4" w:rsidRPr="000161A0" w:rsidRDefault="0023308B" w:rsidP="009253EA">
      <w:r w:rsidRPr="000161A0">
        <w:t xml:space="preserve">Study 16244 </w:t>
      </w:r>
      <w:r w:rsidR="00D62B5E">
        <w:t xml:space="preserve">(also known as the </w:t>
      </w:r>
      <w:r w:rsidR="00D62B5E" w:rsidRPr="000161A0">
        <w:t>FIDELIO-DKD</w:t>
      </w:r>
      <w:r w:rsidR="00D62B5E">
        <w:t xml:space="preserve"> trial)</w:t>
      </w:r>
      <w:r w:rsidR="00D62B5E" w:rsidRPr="000161A0">
        <w:t xml:space="preserve"> </w:t>
      </w:r>
      <w:r w:rsidRPr="000161A0">
        <w:t xml:space="preserve">is a </w:t>
      </w:r>
      <w:r w:rsidR="00077DB4" w:rsidRPr="000161A0">
        <w:t xml:space="preserve">Phase </w:t>
      </w:r>
      <w:r w:rsidR="00715CC8" w:rsidRPr="000161A0">
        <w:t>III</w:t>
      </w:r>
      <w:r w:rsidR="00077DB4" w:rsidRPr="000161A0">
        <w:t>, randomised, double</w:t>
      </w:r>
      <w:r w:rsidRPr="000161A0">
        <w:t xml:space="preserve"> </w:t>
      </w:r>
      <w:r w:rsidR="00077DB4" w:rsidRPr="000161A0">
        <w:t>blind, multi-centre (1024 centres in 48</w:t>
      </w:r>
      <w:r w:rsidRPr="000161A0">
        <w:t> </w:t>
      </w:r>
      <w:r w:rsidR="00077DB4" w:rsidRPr="000161A0">
        <w:t>countries), parallel</w:t>
      </w:r>
      <w:r w:rsidRPr="000161A0">
        <w:t xml:space="preserve"> </w:t>
      </w:r>
      <w:r w:rsidR="00077DB4" w:rsidRPr="000161A0">
        <w:t xml:space="preserve">group, </w:t>
      </w:r>
      <w:proofErr w:type="gramStart"/>
      <w:r w:rsidR="00077DB4" w:rsidRPr="000161A0">
        <w:t>placebo</w:t>
      </w:r>
      <w:r w:rsidRPr="000161A0">
        <w:t xml:space="preserve"> </w:t>
      </w:r>
      <w:r w:rsidR="00077DB4" w:rsidRPr="000161A0">
        <w:t>controlled</w:t>
      </w:r>
      <w:proofErr w:type="gramEnd"/>
      <w:r w:rsidR="00077DB4" w:rsidRPr="000161A0">
        <w:t xml:space="preserve"> study to assess the efficacy and safety of </w:t>
      </w:r>
      <w:proofErr w:type="spellStart"/>
      <w:r w:rsidR="00077DB4" w:rsidRPr="000161A0">
        <w:t>finerenone</w:t>
      </w:r>
      <w:proofErr w:type="spellEnd"/>
      <w:r w:rsidR="00077DB4" w:rsidRPr="000161A0">
        <w:t xml:space="preserve"> for the treatment of </w:t>
      </w:r>
      <w:r w:rsidR="00D62B5E">
        <w:t>diabetic kidney disease</w:t>
      </w:r>
      <w:r w:rsidR="00D62B5E" w:rsidRPr="000161A0">
        <w:t xml:space="preserve"> </w:t>
      </w:r>
      <w:r w:rsidR="00077DB4" w:rsidRPr="000161A0">
        <w:t xml:space="preserve">in patients with </w:t>
      </w:r>
      <w:r w:rsidR="002051CB" w:rsidRPr="000161A0">
        <w:t>t</w:t>
      </w:r>
      <w:r w:rsidR="00077DB4" w:rsidRPr="000161A0">
        <w:t>ype 2 diabetes mellitus in 5674</w:t>
      </w:r>
      <w:r w:rsidRPr="000161A0">
        <w:t> </w:t>
      </w:r>
      <w:r w:rsidR="00077DB4" w:rsidRPr="000161A0">
        <w:t>adult patients.</w:t>
      </w:r>
    </w:p>
    <w:p w14:paraId="1676BEAD" w14:textId="02CA42A0" w:rsidR="0023308B" w:rsidRDefault="00077DB4" w:rsidP="0091409E">
      <w:r w:rsidRPr="000161A0">
        <w:t>The trial enrolled adult patients aged ≥</w:t>
      </w:r>
      <w:r w:rsidR="0023308B" w:rsidRPr="000161A0">
        <w:t> </w:t>
      </w:r>
      <w:r w:rsidRPr="000161A0">
        <w:t xml:space="preserve">18 years with </w:t>
      </w:r>
      <w:r w:rsidR="002051CB" w:rsidRPr="000161A0">
        <w:t>type 2 diabetes mellitus</w:t>
      </w:r>
      <w:r w:rsidRPr="000161A0">
        <w:t xml:space="preserve"> and </w:t>
      </w:r>
      <w:r w:rsidR="00D62B5E">
        <w:t>diabetic kidney disease</w:t>
      </w:r>
      <w:r w:rsidR="00D62B5E" w:rsidRPr="000161A0">
        <w:t xml:space="preserve"> </w:t>
      </w:r>
      <w:r w:rsidRPr="000161A0">
        <w:t xml:space="preserve">who had already received treatment with an </w:t>
      </w:r>
      <w:r w:rsidR="00D62B5E">
        <w:t>angiotensin-converting enzyme inhibitor (</w:t>
      </w:r>
      <w:proofErr w:type="spellStart"/>
      <w:r w:rsidRPr="000161A0">
        <w:t>ACE</w:t>
      </w:r>
      <w:r w:rsidR="000D61D1" w:rsidRPr="000161A0">
        <w:t>i</w:t>
      </w:r>
      <w:proofErr w:type="spellEnd"/>
      <w:r w:rsidR="00D62B5E">
        <w:t>)</w:t>
      </w:r>
      <w:r w:rsidRPr="000161A0">
        <w:t xml:space="preserve"> or </w:t>
      </w:r>
      <w:r w:rsidR="00D62B5E">
        <w:t>an angiotensin receptor blocker (</w:t>
      </w:r>
      <w:r w:rsidRPr="000161A0">
        <w:t>ARB</w:t>
      </w:r>
      <w:r w:rsidR="00D62B5E">
        <w:t>)</w:t>
      </w:r>
      <w:r w:rsidRPr="000161A0">
        <w:t>, and with serum potassium levels of ≤</w:t>
      </w:r>
      <w:r w:rsidR="0023308B" w:rsidRPr="000161A0">
        <w:t> </w:t>
      </w:r>
      <w:r w:rsidRPr="000161A0">
        <w:t xml:space="preserve">4.8 mmol/L. </w:t>
      </w:r>
      <w:r w:rsidR="0091409E">
        <w:t>The complete list of</w:t>
      </w:r>
      <w:r w:rsidRPr="000161A0">
        <w:t xml:space="preserve"> inclusion and exclusion criteria </w:t>
      </w:r>
      <w:r w:rsidR="0091409E">
        <w:t>are</w:t>
      </w:r>
      <w:r w:rsidRPr="000161A0">
        <w:t xml:space="preserve"> </w:t>
      </w:r>
      <w:r w:rsidR="0091409E">
        <w:t xml:space="preserve">beyond the scope of this </w:t>
      </w:r>
      <w:proofErr w:type="spellStart"/>
      <w:r w:rsidR="0091409E">
        <w:t>AusPAR</w:t>
      </w:r>
      <w:proofErr w:type="spellEnd"/>
      <w:r w:rsidR="0091409E">
        <w:t>.</w:t>
      </w:r>
    </w:p>
    <w:p w14:paraId="4888BE21" w14:textId="723A3AC9" w:rsidR="00D62B5E" w:rsidRPr="000161A0" w:rsidRDefault="00D62B5E" w:rsidP="009E7BAC">
      <w:pPr>
        <w:pStyle w:val="Heading6"/>
      </w:pPr>
      <w:r>
        <w:t>Study endpoints</w:t>
      </w:r>
    </w:p>
    <w:p w14:paraId="05FDDEE1" w14:textId="1919643F" w:rsidR="00077DB4" w:rsidRPr="000161A0" w:rsidRDefault="00077DB4" w:rsidP="00077DB4">
      <w:pPr>
        <w:keepNext/>
        <w:shd w:val="clear" w:color="auto" w:fill="FFFFFF" w:themeFill="background1"/>
        <w:spacing w:after="80" w:line="240" w:lineRule="auto"/>
        <w:rPr>
          <w:color w:val="000000" w:themeColor="text1"/>
        </w:rPr>
      </w:pPr>
      <w:r w:rsidRPr="000161A0">
        <w:rPr>
          <w:color w:val="000000" w:themeColor="text1"/>
        </w:rPr>
        <w:t>The primary and secondary endpoints were</w:t>
      </w:r>
      <w:r w:rsidR="00BD7195" w:rsidRPr="000161A0">
        <w:rPr>
          <w:color w:val="000000" w:themeColor="text1"/>
        </w:rPr>
        <w:t xml:space="preserve"> shown in </w:t>
      </w:r>
      <w:r w:rsidR="00BD7195" w:rsidRPr="000161A0">
        <w:rPr>
          <w:color w:val="000000" w:themeColor="text1"/>
        </w:rPr>
        <w:fldChar w:fldCharType="begin"/>
      </w:r>
      <w:r w:rsidR="00BD7195" w:rsidRPr="000161A0">
        <w:rPr>
          <w:color w:val="000000" w:themeColor="text1"/>
        </w:rPr>
        <w:instrText xml:space="preserve"> REF _Ref101272342 \h </w:instrText>
      </w:r>
      <w:r w:rsidR="000161A0" w:rsidRPr="000161A0">
        <w:rPr>
          <w:color w:val="000000" w:themeColor="text1"/>
        </w:rPr>
        <w:instrText xml:space="preserve"> \* MERGEFORMAT </w:instrText>
      </w:r>
      <w:r w:rsidR="00BD7195" w:rsidRPr="000161A0">
        <w:rPr>
          <w:color w:val="000000" w:themeColor="text1"/>
        </w:rPr>
      </w:r>
      <w:r w:rsidR="00BD7195" w:rsidRPr="000161A0">
        <w:rPr>
          <w:color w:val="000000" w:themeColor="text1"/>
        </w:rPr>
        <w:fldChar w:fldCharType="separate"/>
      </w:r>
      <w:r w:rsidR="001C5336" w:rsidRPr="00110614">
        <w:t xml:space="preserve">Table </w:t>
      </w:r>
      <w:r w:rsidR="001C5336">
        <w:rPr>
          <w:noProof/>
        </w:rPr>
        <w:t>7</w:t>
      </w:r>
      <w:r w:rsidR="00BD7195" w:rsidRPr="000161A0">
        <w:rPr>
          <w:color w:val="000000" w:themeColor="text1"/>
        </w:rPr>
        <w:fldChar w:fldCharType="end"/>
      </w:r>
      <w:r w:rsidR="00BD7195" w:rsidRPr="000161A0">
        <w:rPr>
          <w:color w:val="000000" w:themeColor="text1"/>
        </w:rPr>
        <w:t xml:space="preserve"> below.</w:t>
      </w:r>
    </w:p>
    <w:p w14:paraId="78932CFF" w14:textId="2E3F17AE" w:rsidR="00BD7195" w:rsidRPr="00110614" w:rsidRDefault="00BD7195" w:rsidP="00110614">
      <w:pPr>
        <w:pStyle w:val="TableTitle"/>
      </w:pPr>
      <w:bookmarkStart w:id="62" w:name="_Ref101272342"/>
      <w:r w:rsidRPr="00110614">
        <w:t xml:space="preserve">Table </w:t>
      </w:r>
      <w:fldSimple w:instr=" SEQ Table \* ARABIC ">
        <w:r w:rsidR="001C5336">
          <w:rPr>
            <w:noProof/>
          </w:rPr>
          <w:t>7</w:t>
        </w:r>
      </w:fldSimple>
      <w:bookmarkEnd w:id="62"/>
      <w:r w:rsidRPr="00110614">
        <w:t>: Study 16244 Primary and secondary endpoints</w:t>
      </w:r>
    </w:p>
    <w:tbl>
      <w:tblPr>
        <w:tblStyle w:val="TableGrid"/>
        <w:tblW w:w="0" w:type="auto"/>
        <w:tblLook w:val="04A0" w:firstRow="1" w:lastRow="0" w:firstColumn="1" w:lastColumn="0" w:noHBand="0" w:noVBand="1"/>
      </w:tblPr>
      <w:tblGrid>
        <w:gridCol w:w="1382"/>
        <w:gridCol w:w="7112"/>
      </w:tblGrid>
      <w:tr w:rsidR="00077DB4" w:rsidRPr="000161A0" w14:paraId="39A9E8B6" w14:textId="77777777" w:rsidTr="00535478">
        <w:trPr>
          <w:trHeight w:val="610"/>
        </w:trPr>
        <w:tc>
          <w:tcPr>
            <w:tcW w:w="1400" w:type="dxa"/>
            <w:shd w:val="clear" w:color="auto" w:fill="FFFFFF" w:themeFill="background1"/>
            <w:vAlign w:val="center"/>
          </w:tcPr>
          <w:p w14:paraId="775C139C" w14:textId="126C05B1" w:rsidR="00077DB4" w:rsidRPr="000161A0" w:rsidRDefault="00077DB4" w:rsidP="00077DB4">
            <w:pPr>
              <w:spacing w:before="60" w:after="60" w:line="240" w:lineRule="auto"/>
              <w:rPr>
                <w:b/>
                <w:bCs/>
                <w:sz w:val="20"/>
                <w:szCs w:val="20"/>
              </w:rPr>
            </w:pPr>
            <w:r w:rsidRPr="000161A0">
              <w:rPr>
                <w:b/>
                <w:bCs/>
                <w:sz w:val="20"/>
                <w:szCs w:val="20"/>
              </w:rPr>
              <w:t>Primary</w:t>
            </w:r>
          </w:p>
        </w:tc>
        <w:tc>
          <w:tcPr>
            <w:tcW w:w="7616" w:type="dxa"/>
            <w:tcBorders>
              <w:bottom w:val="single" w:sz="4" w:space="0" w:color="auto"/>
            </w:tcBorders>
            <w:shd w:val="clear" w:color="auto" w:fill="FFFFFF" w:themeFill="background1"/>
            <w:vAlign w:val="center"/>
          </w:tcPr>
          <w:p w14:paraId="22693884" w14:textId="56503762" w:rsidR="00077DB4" w:rsidRPr="00197CD0" w:rsidRDefault="00077DB4" w:rsidP="00077DB4">
            <w:pPr>
              <w:spacing w:before="60" w:after="60" w:line="240" w:lineRule="auto"/>
              <w:rPr>
                <w:sz w:val="20"/>
                <w:szCs w:val="20"/>
              </w:rPr>
            </w:pPr>
            <w:r w:rsidRPr="00197CD0">
              <w:rPr>
                <w:sz w:val="20"/>
                <w:szCs w:val="20"/>
              </w:rPr>
              <w:t xml:space="preserve">Time to first occurrence of the composite renal endpoint: onset of kidney failure, sustained decrease of eGFR ≥40% from </w:t>
            </w:r>
            <w:r w:rsidR="00BD7195" w:rsidRPr="00197CD0">
              <w:rPr>
                <w:sz w:val="20"/>
                <w:szCs w:val="20"/>
              </w:rPr>
              <w:t>Baseline</w:t>
            </w:r>
            <w:r w:rsidRPr="00197CD0">
              <w:rPr>
                <w:sz w:val="20"/>
                <w:szCs w:val="20"/>
              </w:rPr>
              <w:t xml:space="preserve"> for ≥4 weeks, or renal death.</w:t>
            </w:r>
          </w:p>
        </w:tc>
      </w:tr>
      <w:tr w:rsidR="00077DB4" w:rsidRPr="000161A0" w14:paraId="37FF4656" w14:textId="77777777" w:rsidTr="00535478">
        <w:trPr>
          <w:trHeight w:val="610"/>
        </w:trPr>
        <w:tc>
          <w:tcPr>
            <w:tcW w:w="1400" w:type="dxa"/>
            <w:shd w:val="clear" w:color="auto" w:fill="FFFFFF" w:themeFill="background1"/>
            <w:vAlign w:val="center"/>
          </w:tcPr>
          <w:p w14:paraId="46514FE7" w14:textId="77777777" w:rsidR="00077DB4" w:rsidRPr="000161A0" w:rsidRDefault="00077DB4" w:rsidP="00077DB4">
            <w:pPr>
              <w:spacing w:before="60" w:after="60" w:line="240" w:lineRule="auto"/>
              <w:rPr>
                <w:b/>
                <w:bCs/>
                <w:sz w:val="20"/>
                <w:szCs w:val="20"/>
              </w:rPr>
            </w:pPr>
            <w:r w:rsidRPr="000161A0">
              <w:rPr>
                <w:b/>
                <w:bCs/>
                <w:sz w:val="20"/>
                <w:szCs w:val="20"/>
              </w:rPr>
              <w:t>Key secondary</w:t>
            </w:r>
          </w:p>
        </w:tc>
        <w:tc>
          <w:tcPr>
            <w:tcW w:w="7616" w:type="dxa"/>
            <w:tcBorders>
              <w:bottom w:val="single" w:sz="4" w:space="0" w:color="auto"/>
            </w:tcBorders>
            <w:shd w:val="clear" w:color="auto" w:fill="FFFFFF" w:themeFill="background1"/>
            <w:vAlign w:val="center"/>
          </w:tcPr>
          <w:p w14:paraId="38733D31" w14:textId="11006742" w:rsidR="00077DB4" w:rsidRPr="000161A0" w:rsidRDefault="00077DB4" w:rsidP="00077DB4">
            <w:pPr>
              <w:spacing w:before="60" w:after="60" w:line="240" w:lineRule="auto"/>
              <w:rPr>
                <w:sz w:val="20"/>
                <w:szCs w:val="20"/>
              </w:rPr>
            </w:pPr>
            <w:r w:rsidRPr="000161A0">
              <w:rPr>
                <w:sz w:val="20"/>
                <w:szCs w:val="20"/>
              </w:rPr>
              <w:t xml:space="preserve">Time to first </w:t>
            </w:r>
            <w:r w:rsidRPr="00535478">
              <w:rPr>
                <w:sz w:val="20"/>
                <w:szCs w:val="20"/>
              </w:rPr>
              <w:t xml:space="preserve">occurrence of the composite </w:t>
            </w:r>
            <w:r w:rsidR="009C3C5E" w:rsidRPr="00535478">
              <w:rPr>
                <w:sz w:val="20"/>
                <w:szCs w:val="20"/>
              </w:rPr>
              <w:t xml:space="preserve">cardiovascular </w:t>
            </w:r>
            <w:r w:rsidRPr="00535478">
              <w:rPr>
                <w:sz w:val="20"/>
                <w:szCs w:val="20"/>
              </w:rPr>
              <w:t xml:space="preserve">endpoint: cardiovascular death or non-fatal </w:t>
            </w:r>
            <w:r w:rsidR="009C3C5E" w:rsidRPr="00535478">
              <w:rPr>
                <w:sz w:val="20"/>
                <w:szCs w:val="20"/>
              </w:rPr>
              <w:t xml:space="preserve">cardiovascular </w:t>
            </w:r>
            <w:r w:rsidRPr="00535478">
              <w:rPr>
                <w:sz w:val="20"/>
                <w:szCs w:val="20"/>
              </w:rPr>
              <w:t>events (</w:t>
            </w:r>
            <w:r w:rsidR="006E04F0" w:rsidRPr="00535478">
              <w:t>that is,</w:t>
            </w:r>
            <w:r w:rsidRPr="00535478">
              <w:rPr>
                <w:sz w:val="20"/>
                <w:szCs w:val="20"/>
              </w:rPr>
              <w:t xml:space="preserve"> myocardial infarction, stroke, or hospitalisation for </w:t>
            </w:r>
            <w:r w:rsidR="000C4309" w:rsidRPr="00535478">
              <w:rPr>
                <w:sz w:val="20"/>
                <w:szCs w:val="20"/>
              </w:rPr>
              <w:t>heart failure</w:t>
            </w:r>
            <w:r w:rsidRPr="00535478">
              <w:rPr>
                <w:sz w:val="20"/>
                <w:szCs w:val="20"/>
              </w:rPr>
              <w:t>)</w:t>
            </w:r>
          </w:p>
        </w:tc>
      </w:tr>
      <w:tr w:rsidR="00077DB4" w:rsidRPr="000161A0" w14:paraId="545D39DA" w14:textId="77777777" w:rsidTr="00077DB4">
        <w:trPr>
          <w:trHeight w:val="49"/>
        </w:trPr>
        <w:tc>
          <w:tcPr>
            <w:tcW w:w="1400" w:type="dxa"/>
            <w:vMerge w:val="restart"/>
            <w:shd w:val="clear" w:color="auto" w:fill="FFFFFF" w:themeFill="background1"/>
            <w:vAlign w:val="center"/>
          </w:tcPr>
          <w:p w14:paraId="573A1A4C" w14:textId="77777777" w:rsidR="00077DB4" w:rsidRPr="000161A0" w:rsidRDefault="00077DB4" w:rsidP="00077DB4">
            <w:pPr>
              <w:spacing w:before="60" w:after="60" w:line="240" w:lineRule="auto"/>
              <w:rPr>
                <w:b/>
                <w:bCs/>
                <w:sz w:val="20"/>
                <w:szCs w:val="20"/>
              </w:rPr>
            </w:pPr>
            <w:r w:rsidRPr="000161A0">
              <w:rPr>
                <w:b/>
                <w:bCs/>
                <w:sz w:val="20"/>
                <w:szCs w:val="20"/>
              </w:rPr>
              <w:t>Secondary</w:t>
            </w:r>
          </w:p>
        </w:tc>
        <w:tc>
          <w:tcPr>
            <w:tcW w:w="7616" w:type="dxa"/>
            <w:tcBorders>
              <w:top w:val="nil"/>
              <w:bottom w:val="nil"/>
            </w:tcBorders>
            <w:shd w:val="clear" w:color="auto" w:fill="FFFFFF" w:themeFill="background1"/>
            <w:vAlign w:val="center"/>
          </w:tcPr>
          <w:p w14:paraId="6B0FB344" w14:textId="77777777" w:rsidR="00077DB4" w:rsidRPr="000161A0" w:rsidRDefault="00077DB4" w:rsidP="00077DB4">
            <w:pPr>
              <w:spacing w:before="60" w:after="60" w:line="240" w:lineRule="auto"/>
              <w:rPr>
                <w:sz w:val="20"/>
                <w:szCs w:val="20"/>
              </w:rPr>
            </w:pPr>
            <w:r w:rsidRPr="000161A0">
              <w:rPr>
                <w:sz w:val="20"/>
                <w:szCs w:val="20"/>
              </w:rPr>
              <w:t>Time to all-cause mortality</w:t>
            </w:r>
          </w:p>
        </w:tc>
      </w:tr>
      <w:tr w:rsidR="00077DB4" w:rsidRPr="000161A0" w14:paraId="07EB224C" w14:textId="77777777" w:rsidTr="00077DB4">
        <w:trPr>
          <w:trHeight w:val="49"/>
        </w:trPr>
        <w:tc>
          <w:tcPr>
            <w:tcW w:w="1400" w:type="dxa"/>
            <w:vMerge/>
            <w:shd w:val="clear" w:color="auto" w:fill="FFFFFF" w:themeFill="background1"/>
            <w:vAlign w:val="center"/>
          </w:tcPr>
          <w:p w14:paraId="17814DAB" w14:textId="77777777" w:rsidR="00077DB4" w:rsidRPr="000161A0" w:rsidRDefault="00077DB4" w:rsidP="00077DB4">
            <w:pPr>
              <w:spacing w:before="60" w:after="60" w:line="240" w:lineRule="auto"/>
              <w:rPr>
                <w:sz w:val="20"/>
                <w:szCs w:val="20"/>
              </w:rPr>
            </w:pPr>
          </w:p>
        </w:tc>
        <w:tc>
          <w:tcPr>
            <w:tcW w:w="7616" w:type="dxa"/>
            <w:tcBorders>
              <w:top w:val="nil"/>
              <w:bottom w:val="nil"/>
            </w:tcBorders>
            <w:shd w:val="clear" w:color="auto" w:fill="FFFFFF" w:themeFill="background1"/>
            <w:vAlign w:val="center"/>
          </w:tcPr>
          <w:p w14:paraId="568D5B0F" w14:textId="77777777" w:rsidR="00077DB4" w:rsidRPr="000161A0" w:rsidRDefault="00077DB4" w:rsidP="00077DB4">
            <w:pPr>
              <w:spacing w:before="60" w:after="60" w:line="240" w:lineRule="auto"/>
              <w:rPr>
                <w:sz w:val="20"/>
                <w:szCs w:val="20"/>
              </w:rPr>
            </w:pPr>
            <w:r w:rsidRPr="000161A0">
              <w:rPr>
                <w:sz w:val="20"/>
                <w:szCs w:val="20"/>
              </w:rPr>
              <w:t>Time to all-cause hospitalisation</w:t>
            </w:r>
          </w:p>
        </w:tc>
      </w:tr>
      <w:tr w:rsidR="00077DB4" w:rsidRPr="000161A0" w14:paraId="5A63C4D3" w14:textId="77777777" w:rsidTr="00077DB4">
        <w:trPr>
          <w:trHeight w:val="49"/>
        </w:trPr>
        <w:tc>
          <w:tcPr>
            <w:tcW w:w="1400" w:type="dxa"/>
            <w:vMerge/>
            <w:shd w:val="clear" w:color="auto" w:fill="FFFFFF" w:themeFill="background1"/>
            <w:vAlign w:val="center"/>
          </w:tcPr>
          <w:p w14:paraId="628F7AE6" w14:textId="77777777" w:rsidR="00077DB4" w:rsidRPr="000161A0" w:rsidRDefault="00077DB4" w:rsidP="00077DB4">
            <w:pPr>
              <w:spacing w:before="60" w:after="60" w:line="240" w:lineRule="auto"/>
              <w:rPr>
                <w:sz w:val="20"/>
                <w:szCs w:val="20"/>
              </w:rPr>
            </w:pPr>
          </w:p>
        </w:tc>
        <w:tc>
          <w:tcPr>
            <w:tcW w:w="7616" w:type="dxa"/>
            <w:tcBorders>
              <w:top w:val="nil"/>
              <w:bottom w:val="nil"/>
            </w:tcBorders>
            <w:shd w:val="clear" w:color="auto" w:fill="FFFFFF" w:themeFill="background1"/>
            <w:vAlign w:val="center"/>
          </w:tcPr>
          <w:p w14:paraId="356AB9B9" w14:textId="42E9BD45" w:rsidR="00077DB4" w:rsidRPr="000161A0" w:rsidRDefault="00077DB4" w:rsidP="00077DB4">
            <w:pPr>
              <w:spacing w:before="60" w:after="60" w:line="240" w:lineRule="auto"/>
              <w:rPr>
                <w:sz w:val="20"/>
                <w:szCs w:val="20"/>
              </w:rPr>
            </w:pPr>
            <w:r w:rsidRPr="000161A0">
              <w:rPr>
                <w:sz w:val="20"/>
                <w:szCs w:val="20"/>
              </w:rPr>
              <w:t xml:space="preserve">Change in </w:t>
            </w:r>
            <w:r w:rsidR="00535478">
              <w:rPr>
                <w:sz w:val="20"/>
                <w:szCs w:val="20"/>
              </w:rPr>
              <w:t>u</w:t>
            </w:r>
            <w:r w:rsidR="00535478" w:rsidRPr="00535478">
              <w:rPr>
                <w:sz w:val="20"/>
                <w:szCs w:val="20"/>
              </w:rPr>
              <w:t>rine albumin-to-creatinine ratio</w:t>
            </w:r>
            <w:r w:rsidRPr="000161A0">
              <w:rPr>
                <w:sz w:val="20"/>
                <w:szCs w:val="20"/>
              </w:rPr>
              <w:t xml:space="preserve"> from </w:t>
            </w:r>
            <w:r w:rsidR="00BD7195" w:rsidRPr="000161A0">
              <w:rPr>
                <w:sz w:val="20"/>
                <w:szCs w:val="20"/>
              </w:rPr>
              <w:t>Baseline</w:t>
            </w:r>
            <w:r w:rsidRPr="000161A0">
              <w:rPr>
                <w:sz w:val="20"/>
                <w:szCs w:val="20"/>
              </w:rPr>
              <w:t xml:space="preserve"> to Month 4</w:t>
            </w:r>
          </w:p>
        </w:tc>
      </w:tr>
      <w:tr w:rsidR="00077DB4" w:rsidRPr="000161A0" w14:paraId="727C0B1D" w14:textId="77777777" w:rsidTr="00077DB4">
        <w:trPr>
          <w:trHeight w:val="42"/>
        </w:trPr>
        <w:tc>
          <w:tcPr>
            <w:tcW w:w="1400" w:type="dxa"/>
            <w:vMerge/>
            <w:shd w:val="clear" w:color="auto" w:fill="FFFFFF" w:themeFill="background1"/>
            <w:vAlign w:val="center"/>
          </w:tcPr>
          <w:p w14:paraId="4082AB98" w14:textId="77777777" w:rsidR="00077DB4" w:rsidRPr="000161A0" w:rsidRDefault="00077DB4" w:rsidP="00077DB4">
            <w:pPr>
              <w:spacing w:before="60" w:after="60" w:line="240" w:lineRule="auto"/>
              <w:rPr>
                <w:sz w:val="20"/>
                <w:szCs w:val="20"/>
              </w:rPr>
            </w:pPr>
          </w:p>
        </w:tc>
        <w:tc>
          <w:tcPr>
            <w:tcW w:w="7616" w:type="dxa"/>
            <w:tcBorders>
              <w:top w:val="nil"/>
              <w:bottom w:val="single" w:sz="4" w:space="0" w:color="auto"/>
            </w:tcBorders>
            <w:shd w:val="clear" w:color="auto" w:fill="FFFFFF" w:themeFill="background1"/>
            <w:vAlign w:val="center"/>
          </w:tcPr>
          <w:p w14:paraId="6FFDB0FF" w14:textId="7735285E" w:rsidR="00077DB4" w:rsidRPr="000161A0" w:rsidRDefault="00077DB4" w:rsidP="00077DB4">
            <w:pPr>
              <w:spacing w:before="60" w:after="60" w:line="240" w:lineRule="auto"/>
              <w:rPr>
                <w:sz w:val="20"/>
                <w:szCs w:val="20"/>
              </w:rPr>
            </w:pPr>
            <w:r w:rsidRPr="000161A0">
              <w:rPr>
                <w:sz w:val="20"/>
                <w:szCs w:val="20"/>
              </w:rPr>
              <w:t xml:space="preserve">Time to first occurrence of the following renal composite endpoint: onset of kidney failure, a sustained decrease in eGFR of ≥ 57% from </w:t>
            </w:r>
            <w:r w:rsidR="00BD7195" w:rsidRPr="000161A0">
              <w:rPr>
                <w:sz w:val="20"/>
                <w:szCs w:val="20"/>
              </w:rPr>
              <w:t>Baseline</w:t>
            </w:r>
            <w:r w:rsidRPr="000161A0">
              <w:rPr>
                <w:sz w:val="20"/>
                <w:szCs w:val="20"/>
              </w:rPr>
              <w:t xml:space="preserve"> over at least 4 weeks or renal death</w:t>
            </w:r>
          </w:p>
        </w:tc>
      </w:tr>
    </w:tbl>
    <w:p w14:paraId="4F959E05" w14:textId="49A01037" w:rsidR="00535478" w:rsidRDefault="00535478" w:rsidP="00535478">
      <w:pPr>
        <w:pStyle w:val="TableDescription"/>
      </w:pPr>
      <w:r>
        <w:t>eGFR = e</w:t>
      </w:r>
      <w:r w:rsidRPr="000161A0">
        <w:t>stimated glomerular filtration rate</w:t>
      </w:r>
      <w:r>
        <w:t>.</w:t>
      </w:r>
    </w:p>
    <w:p w14:paraId="28F1A508" w14:textId="3B92A3CC" w:rsidR="00BD7195" w:rsidRDefault="00077DB4" w:rsidP="001F221C">
      <w:r w:rsidRPr="000161A0">
        <w:t>Confirmatory statistics were performed in a pre-planned sequential design.</w:t>
      </w:r>
    </w:p>
    <w:p w14:paraId="03A28F19" w14:textId="05CB157A" w:rsidR="00D62B5E" w:rsidRPr="000161A0" w:rsidRDefault="00D62B5E" w:rsidP="001F221C">
      <w:pPr>
        <w:pStyle w:val="Heading6"/>
      </w:pPr>
      <w:r>
        <w:lastRenderedPageBreak/>
        <w:t>Study design</w:t>
      </w:r>
    </w:p>
    <w:p w14:paraId="4CE2CC30" w14:textId="30F6251F" w:rsidR="00BD7195" w:rsidRDefault="00BD7195" w:rsidP="001F221C">
      <w:pPr>
        <w:pStyle w:val="FigureTitle"/>
      </w:pPr>
      <w:r w:rsidRPr="001F221C">
        <w:t>Figure</w:t>
      </w:r>
      <w:r w:rsidRPr="00110614">
        <w:t xml:space="preserve"> </w:t>
      </w:r>
      <w:fldSimple w:instr=" SEQ Figure \* ARABIC ">
        <w:r w:rsidR="001C5336">
          <w:rPr>
            <w:noProof/>
          </w:rPr>
          <w:t>4</w:t>
        </w:r>
      </w:fldSimple>
      <w:r w:rsidRPr="00110614">
        <w:t>: Study 16244 Study design</w:t>
      </w:r>
    </w:p>
    <w:p w14:paraId="2DA29B16" w14:textId="25B4CD0C" w:rsidR="00077DB4" w:rsidRDefault="00D91780" w:rsidP="008278F2">
      <w:r>
        <w:rPr>
          <w:noProof/>
          <w:lang w:val="en-GB" w:eastAsia="en-GB"/>
        </w:rPr>
        <w:drawing>
          <wp:inline distT="0" distB="0" distL="0" distR="0" wp14:anchorId="0AD34CC6" wp14:editId="2CAA09FE">
            <wp:extent cx="5025542" cy="2706607"/>
            <wp:effectExtent l="0" t="0" r="3810" b="0"/>
            <wp:docPr id="460" name="Picture 460" descr="Figure 4: Study 16244 Study design&#10;&#10;Study 16244 was a randomised, double blind, placebo controlled, parallel group, multicenter, event driven Phase III study.&#10;&#10;Run-in period (4 to 16 weeks)&#10;Subjects with written informed consent who completed the Run-in Visit and met all eligibility criteria were enrolled into a mandatory Run-in Period, the purpose of which was to ensure that the subject’s standard of care therapy including treatment with angiotensin converting enzyme inhibitor or angiotensin receptor blockers was optimised and that all inclusion and exclusion criteria were met at the screening visit.&#10;&#10;Screening period (up to 2 weeks)&#10;At the end of the run-in period, a screening visit to confirm the subject’s eligibility took place within ≤2 weeks prior to the planned randomisation. At this visit, it was assessed whether the subject still met all eligibility criteria.&#10;&#10;Treatment period&#10;Eligible subjects were randomised to receive once daily oral doses of finerenone (10 mg or 20 mg) or placebo in addition to their standard of care therapy. There were up to 4 planned visits (including randomisation at Visit 1) in the first 4 months; thereafter visits took place every 4 months until the end of the study. Study drug dose could&#10;be up titrated from Visit 2 (Month 1) onwards or down titrated at any point (even between scheduled visits) according to potassium and estimated glomerular filtration rate changes. Upon official announcement of the completion of the trial, all subjects were invited for an end-of-study visit.&#10;&#10;Follow-up period&#10;The period between the subject’s last intake of study drug and last visit in the study is referred to as the ‘Follow-up Period’. Scheduled visits continued even if the study drug treatment was discontinued. For a subject who withdrew from study drug permanently but did not withdraw from the study, the follow-up period was the period between the permanent discontinuation visit (as soon as possible following permanent discontinuation of study drug) and the end-of-study visit. For a subject who discontinued treatment at the end-of-study Visit, the follow-up period was the period between the end-of-study and post-treatment visits. All subjects who withdrew consent were followed up for vital status if they did not sign the Declaration of Obj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Figure 4: Study 16244 Study design&#10;&#10;Study 16244 was a randomised, double blind, placebo controlled, parallel group, multicenter, event driven Phase III study.&#10;&#10;Run-in period (4 to 16 weeks)&#10;Subjects with written informed consent who completed the Run-in Visit and met all eligibility criteria were enrolled into a mandatory Run-in Period, the purpose of which was to ensure that the subject’s standard of care therapy including treatment with angiotensin converting enzyme inhibitor or angiotensin receptor blockers was optimised and that all inclusion and exclusion criteria were met at the screening visit.&#10;&#10;Screening period (up to 2 weeks)&#10;At the end of the run-in period, a screening visit to confirm the subject’s eligibility took place within ≤2 weeks prior to the planned randomisation. At this visit, it was assessed whether the subject still met all eligibility criteria.&#10;&#10;Treatment period&#10;Eligible subjects were randomised to receive once daily oral doses of finerenone (10 mg or 20 mg) or placebo in addition to their standard of care therapy. There were up to 4 planned visits (including randomisation at Visit 1) in the first 4 months; thereafter visits took place every 4 months until the end of the study. Study drug dose could&#10;be up titrated from Visit 2 (Month 1) onwards or down titrated at any point (even between scheduled visits) according to potassium and estimated glomerular filtration rate changes. Upon official announcement of the completion of the trial, all subjects were invited for an end-of-study visit.&#10;&#10;Follow-up period&#10;The period between the subject’s last intake of study drug and last visit in the study is referred to as the ‘Follow-up Period’. Scheduled visits continued even if the study drug treatment was discontinued. For a subject who withdrew from study drug permanently but did not withdraw from the study, the follow-up period was the period between the permanent discontinuation visit (as soon as possible following permanent discontinuation of study drug) and the end-of-study visit. For a subject who discontinued treatment at the end-of-study Visit, the follow-up period was the period between the end-of-study and post-treatment visits. All subjects who withdrew consent were followed up for vital status if they did not sign the Declaration of Objection form."/>
                    <pic:cNvPicPr/>
                  </pic:nvPicPr>
                  <pic:blipFill>
                    <a:blip r:embed="rId24"/>
                    <a:stretch>
                      <a:fillRect/>
                    </a:stretch>
                  </pic:blipFill>
                  <pic:spPr>
                    <a:xfrm>
                      <a:off x="0" y="0"/>
                      <a:ext cx="5063847" cy="2727237"/>
                    </a:xfrm>
                    <a:prstGeom prst="rect">
                      <a:avLst/>
                    </a:prstGeom>
                  </pic:spPr>
                </pic:pic>
              </a:graphicData>
            </a:graphic>
          </wp:inline>
        </w:drawing>
      </w:r>
    </w:p>
    <w:p w14:paraId="5ED7F2EE" w14:textId="04ECD07A" w:rsidR="00D91780" w:rsidRPr="00D91780" w:rsidRDefault="00D91780" w:rsidP="008278F2">
      <w:pPr>
        <w:pStyle w:val="FigureDescription"/>
      </w:pPr>
      <w:r w:rsidRPr="00D91780">
        <w:t xml:space="preserve">eGFR = estimated glomerular filtration rate; EOS = end-of-study; OD = once daily; PD = permanent discontinuation; </w:t>
      </w:r>
      <w:proofErr w:type="spellStart"/>
      <w:r w:rsidRPr="00D91780">
        <w:t>Trt</w:t>
      </w:r>
      <w:proofErr w:type="spellEnd"/>
      <w:r w:rsidRPr="00D91780">
        <w:t xml:space="preserve"> = treatment; V = visit.</w:t>
      </w:r>
    </w:p>
    <w:p w14:paraId="2CF45B99" w14:textId="77777777" w:rsidR="00D91780" w:rsidRPr="00D91780" w:rsidRDefault="00D91780" w:rsidP="008278F2">
      <w:pPr>
        <w:pStyle w:val="FigureDescription"/>
      </w:pPr>
      <w:r w:rsidRPr="00D91780">
        <w:t>* Scheduled visits continued even if treatment with study drug was discontinued</w:t>
      </w:r>
    </w:p>
    <w:p w14:paraId="356AD273" w14:textId="473C64CE" w:rsidR="00D91780" w:rsidRPr="00D91780" w:rsidRDefault="00D91780" w:rsidP="008278F2">
      <w:pPr>
        <w:pStyle w:val="FigureDescription"/>
      </w:pPr>
      <w:r w:rsidRPr="00D91780">
        <w:t>† permanent discontinuation visit conducted only after permanent withdrawal from treatment</w:t>
      </w:r>
    </w:p>
    <w:p w14:paraId="5E1865C2" w14:textId="6D4D09E8" w:rsidR="00D91780" w:rsidRPr="00D91780" w:rsidRDefault="00D91780" w:rsidP="008278F2">
      <w:pPr>
        <w:pStyle w:val="FigureDescription"/>
      </w:pPr>
      <w:r w:rsidRPr="00D91780">
        <w:t>†† End-of-study visit conducted after notification of end-of-study by the sponsor</w:t>
      </w:r>
    </w:p>
    <w:p w14:paraId="6904B777" w14:textId="27A1EAAB" w:rsidR="00D91780" w:rsidRPr="00D91780" w:rsidRDefault="00D91780" w:rsidP="008278F2">
      <w:pPr>
        <w:pStyle w:val="FigureDescription"/>
      </w:pPr>
      <w:r w:rsidRPr="00D91780">
        <w:t>‡ Post-treatment visit for all subjects on study drug treatment at end-of-study.</w:t>
      </w:r>
    </w:p>
    <w:p w14:paraId="34E03D94" w14:textId="77777777" w:rsidR="004A74D1" w:rsidRPr="000161A0" w:rsidRDefault="004A74D1" w:rsidP="009E7BAC">
      <w:pPr>
        <w:pStyle w:val="Heading6"/>
      </w:pPr>
      <w:r w:rsidRPr="000161A0">
        <w:t>Baseline characteristics</w:t>
      </w:r>
    </w:p>
    <w:p w14:paraId="19A72E22" w14:textId="7795192A" w:rsidR="004A74D1" w:rsidRDefault="004A74D1" w:rsidP="004A74D1">
      <w:r w:rsidRPr="000161A0">
        <w:t xml:space="preserve">There were no significant differences between treatment arms in age (median approximately 66 years), sex (68.9% males), region, ethnicity (approximately 65% White and approximately 25% Asian; some Australian patients, but no Indigenous Australian patients), </w:t>
      </w:r>
      <w:r w:rsidRPr="002569EC">
        <w:t xml:space="preserve">cardiovascular disease </w:t>
      </w:r>
      <w:r w:rsidRPr="000161A0">
        <w:t>and co-medications (</w:t>
      </w:r>
      <w:r>
        <w:t xml:space="preserve">see </w:t>
      </w:r>
      <w:r>
        <w:fldChar w:fldCharType="begin"/>
      </w:r>
      <w:r>
        <w:instrText xml:space="preserve"> REF _Ref103669321 \h </w:instrText>
      </w:r>
      <w:r>
        <w:fldChar w:fldCharType="separate"/>
      </w:r>
      <w:r w:rsidR="001C5336" w:rsidRPr="00110614">
        <w:t xml:space="preserve">Table </w:t>
      </w:r>
      <w:r w:rsidR="001C5336">
        <w:rPr>
          <w:noProof/>
        </w:rPr>
        <w:t>8</w:t>
      </w:r>
      <w:r w:rsidR="001C5336" w:rsidRPr="00110614">
        <w:t>: Study 16244 Baseline demographic characteristics (full analysis set)</w:t>
      </w:r>
      <w:r>
        <w:fldChar w:fldCharType="end"/>
      </w:r>
      <w:r w:rsidRPr="000161A0">
        <w:fldChar w:fldCharType="begin"/>
      </w:r>
      <w:r w:rsidRPr="000161A0">
        <w:instrText xml:space="preserve"> REF _Ref80950540 \h  \* MERGEFORMAT </w:instrText>
      </w:r>
      <w:r w:rsidRPr="000161A0">
        <w:fldChar w:fldCharType="separate"/>
      </w:r>
      <w:r w:rsidR="001C5336">
        <w:rPr>
          <w:b/>
          <w:bCs/>
          <w:lang w:val="en-US"/>
        </w:rPr>
        <w:t>Error! Reference source not found.</w:t>
      </w:r>
      <w:r w:rsidRPr="000161A0">
        <w:fldChar w:fldCharType="end"/>
      </w:r>
      <w:r w:rsidRPr="000161A0">
        <w:t>). The median haemoglobin A1c or glycated haemoglobin (HbA1c)</w:t>
      </w:r>
      <w:r w:rsidRPr="000161A0">
        <w:rPr>
          <w:rStyle w:val="FootnoteReference"/>
        </w:rPr>
        <w:footnoteReference w:id="5"/>
      </w:r>
      <w:r w:rsidRPr="000161A0">
        <w:t xml:space="preserve"> was approximately 7.7%, the median type 2 diabetes mellitus duration approximately 16 years, &gt;</w:t>
      </w:r>
      <w:r w:rsidR="008278F2">
        <w:t xml:space="preserve"> </w:t>
      </w:r>
      <w:r w:rsidRPr="000161A0">
        <w:t xml:space="preserve">45% of the enrolled study participants had diabetic retinopathy, and almost </w:t>
      </w:r>
      <w:r>
        <w:t>two thirds</w:t>
      </w:r>
      <w:r w:rsidRPr="000161A0">
        <w:t xml:space="preserve"> received insulin treatment. For the UACR, there was a marginal imbalance between treatment arms (798.79 mg/g (</w:t>
      </w:r>
      <w:proofErr w:type="spellStart"/>
      <w:r w:rsidRPr="000161A0">
        <w:t>finerenone</w:t>
      </w:r>
      <w:proofErr w:type="spellEnd"/>
      <w:r w:rsidRPr="000161A0">
        <w:t>) versus 814.73 mg/g (placebo)) (</w:t>
      </w:r>
      <w:r w:rsidRPr="000161A0">
        <w:fldChar w:fldCharType="begin"/>
      </w:r>
      <w:r w:rsidRPr="000161A0">
        <w:instrText xml:space="preserve"> REF _Ref80950431 \h  \* MERGEFORMAT </w:instrText>
      </w:r>
      <w:r w:rsidRPr="000161A0">
        <w:fldChar w:fldCharType="separate"/>
      </w:r>
      <w:r w:rsidR="001C5336" w:rsidRPr="00110614">
        <w:t xml:space="preserve">Table </w:t>
      </w:r>
      <w:r w:rsidR="001C5336">
        <w:t>9</w:t>
      </w:r>
      <w:r w:rsidRPr="000161A0">
        <w:fldChar w:fldCharType="end"/>
      </w:r>
      <w:r w:rsidRPr="000161A0">
        <w:t>).</w:t>
      </w:r>
    </w:p>
    <w:p w14:paraId="131FEB72" w14:textId="5E1CFF95" w:rsidR="004A74D1" w:rsidRPr="000161A0" w:rsidRDefault="004A74D1" w:rsidP="001F221C">
      <w:r w:rsidRPr="000161A0">
        <w:t xml:space="preserve">Patients received either </w:t>
      </w:r>
      <w:proofErr w:type="spellStart"/>
      <w:r w:rsidRPr="000161A0">
        <w:t>finerenone</w:t>
      </w:r>
      <w:proofErr w:type="spellEnd"/>
      <w:r w:rsidRPr="000161A0">
        <w:t xml:space="preserve"> (10 mg or 20 mg) or placebo additional to standard of care for type 2 diabetes mellitus (approximately 97% at Baseline) and other co</w:t>
      </w:r>
      <w:r w:rsidRPr="000161A0">
        <w:noBreakHyphen/>
        <w:t xml:space="preserve">morbidities (for example, statins (approximately 74% at Baseline), beta-blockers (approximately 52% at Baseline), ARB (approximately 65% at Baseline), </w:t>
      </w:r>
      <w:proofErr w:type="spellStart"/>
      <w:r w:rsidRPr="000161A0">
        <w:t>ACEi</w:t>
      </w:r>
      <w:proofErr w:type="spellEnd"/>
      <w:r w:rsidRPr="000161A0">
        <w:t xml:space="preserve"> (approximately 34% at Baseline), and diuretic</w:t>
      </w:r>
      <w:r>
        <w:t>s</w:t>
      </w:r>
      <w:r w:rsidRPr="000161A0">
        <w:t xml:space="preserve"> (approximately 56% at Baseline)). Small </w:t>
      </w:r>
      <w:r w:rsidRPr="000161A0">
        <w:lastRenderedPageBreak/>
        <w:t xml:space="preserve">numbers were on SGLT-2 inhibitors (approximately 4.5%) and GLP-1 receptor agonists (approximately 7%) (see </w:t>
      </w:r>
      <w:r w:rsidRPr="000161A0">
        <w:fldChar w:fldCharType="begin"/>
      </w:r>
      <w:r w:rsidRPr="000161A0">
        <w:instrText xml:space="preserve"> REF _Ref80950431 \h  \* MERGEFORMAT </w:instrText>
      </w:r>
      <w:r w:rsidRPr="000161A0">
        <w:fldChar w:fldCharType="separate"/>
      </w:r>
      <w:r w:rsidR="001C5336" w:rsidRPr="001C5336">
        <w:rPr>
          <w:lang w:val="en-US"/>
        </w:rPr>
        <w:t>Table 9</w:t>
      </w:r>
      <w:r w:rsidRPr="000161A0">
        <w:fldChar w:fldCharType="end"/>
      </w:r>
      <w:r w:rsidRPr="000161A0">
        <w:t xml:space="preserve"> below</w:t>
      </w:r>
      <w:r>
        <w:t>).</w:t>
      </w:r>
    </w:p>
    <w:p w14:paraId="3DA1A040" w14:textId="19256B1E" w:rsidR="004A74D1" w:rsidRPr="00110614" w:rsidRDefault="004A74D1" w:rsidP="004A74D1">
      <w:pPr>
        <w:pStyle w:val="TableTitle"/>
      </w:pPr>
      <w:bookmarkStart w:id="63" w:name="_Ref103669321"/>
      <w:r w:rsidRPr="00110614">
        <w:t xml:space="preserve">Table </w:t>
      </w:r>
      <w:fldSimple w:instr=" SEQ Table \* ARABIC ">
        <w:r w:rsidR="001C5336">
          <w:rPr>
            <w:noProof/>
          </w:rPr>
          <w:t>8</w:t>
        </w:r>
      </w:fldSimple>
      <w:r w:rsidRPr="00110614">
        <w:t>: Study 16244 Baseline demographic characteristics (full analysis set)</w:t>
      </w:r>
      <w:bookmarkEnd w:id="63"/>
    </w:p>
    <w:p w14:paraId="7C8D7F2E" w14:textId="77777777" w:rsidR="004A74D1" w:rsidRDefault="004A74D1" w:rsidP="004A74D1">
      <w:pPr>
        <w:rPr>
          <w:lang w:eastAsia="ja-JP"/>
        </w:rPr>
      </w:pPr>
      <w:r>
        <w:rPr>
          <w:noProof/>
          <w:lang w:val="en-GB" w:eastAsia="en-GB"/>
        </w:rPr>
        <w:drawing>
          <wp:inline distT="0" distB="0" distL="0" distR="0" wp14:anchorId="036E04F1" wp14:editId="734638A3">
            <wp:extent cx="5400040" cy="7478395"/>
            <wp:effectExtent l="0" t="0" r="0" b="8255"/>
            <wp:docPr id="2" name="Picture 2" descr="Table 8: Study 16244 Baseline demographic characteristic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8: Study 16244 Baseline demographic characteristics (full analysis set)"/>
                    <pic:cNvPicPr/>
                  </pic:nvPicPr>
                  <pic:blipFill>
                    <a:blip r:embed="rId25"/>
                    <a:stretch>
                      <a:fillRect/>
                    </a:stretch>
                  </pic:blipFill>
                  <pic:spPr>
                    <a:xfrm>
                      <a:off x="0" y="0"/>
                      <a:ext cx="5400040" cy="7478395"/>
                    </a:xfrm>
                    <a:prstGeom prst="rect">
                      <a:avLst/>
                    </a:prstGeom>
                  </pic:spPr>
                </pic:pic>
              </a:graphicData>
            </a:graphic>
          </wp:inline>
        </w:drawing>
      </w:r>
    </w:p>
    <w:p w14:paraId="5B54EFEF" w14:textId="77777777" w:rsidR="004A74D1" w:rsidRPr="00B0558A" w:rsidRDefault="004A74D1" w:rsidP="004A74D1">
      <w:pPr>
        <w:pStyle w:val="TableDescription"/>
      </w:pPr>
      <w:r w:rsidRPr="00B0558A">
        <w:t>BMI = body mass index</w:t>
      </w:r>
      <w:r>
        <w:t>;</w:t>
      </w:r>
      <w:r w:rsidRPr="00B0558A">
        <w:t xml:space="preserve"> N = number of subjects</w:t>
      </w:r>
      <w:r>
        <w:t>;</w:t>
      </w:r>
      <w:r w:rsidRPr="00B0558A">
        <w:t xml:space="preserve"> n = number of subjects in category</w:t>
      </w:r>
      <w:r>
        <w:t>;</w:t>
      </w:r>
      <w:r w:rsidRPr="00B0558A">
        <w:t xml:space="preserve"> Q = quartile</w:t>
      </w:r>
      <w:r>
        <w:t>;</w:t>
      </w:r>
      <w:r w:rsidRPr="00B0558A">
        <w:t xml:space="preserve"> SD = standard deviation.</w:t>
      </w:r>
    </w:p>
    <w:p w14:paraId="64859723" w14:textId="77777777" w:rsidR="004A74D1" w:rsidRPr="00B0558A" w:rsidRDefault="004A74D1" w:rsidP="004A74D1">
      <w:pPr>
        <w:pStyle w:val="TableDescription"/>
      </w:pPr>
      <w:r w:rsidRPr="00B0558A">
        <w:t>Race ‘multiple’: subjects who reported that they belong to more than one race. Region ‘Others’: New Zealand, South Africa, Australia.</w:t>
      </w:r>
    </w:p>
    <w:p w14:paraId="49380684" w14:textId="5E046F3E" w:rsidR="005974D0" w:rsidRDefault="005974D0" w:rsidP="009E7BAC">
      <w:pPr>
        <w:pStyle w:val="Heading6"/>
      </w:pPr>
      <w:r>
        <w:lastRenderedPageBreak/>
        <w:t>Participant flow</w:t>
      </w:r>
    </w:p>
    <w:p w14:paraId="74040875" w14:textId="0D7E816E" w:rsidR="004A74D1" w:rsidRPr="000161A0" w:rsidRDefault="004A74D1" w:rsidP="004A74D1">
      <w:r w:rsidRPr="000161A0">
        <w:t>The median treatment duration was 27 months accounting to a total exposure of 6346 patient-years (</w:t>
      </w:r>
      <w:proofErr w:type="spellStart"/>
      <w:r w:rsidRPr="000161A0">
        <w:t>finerenone</w:t>
      </w:r>
      <w:proofErr w:type="spellEnd"/>
      <w:r w:rsidRPr="000161A0">
        <w:t>) and 6431 patient-years (placebo) in the two treatment arms.</w:t>
      </w:r>
    </w:p>
    <w:p w14:paraId="2FC05921" w14:textId="18D8AE01" w:rsidR="004A74D1" w:rsidRDefault="004A74D1" w:rsidP="009253EA">
      <w:r w:rsidRPr="000161A0">
        <w:t xml:space="preserve">13,911 patients were enrolled/screened (8,177 of those were screening failures), 5,734 were randomised (5,674 in full analysis set), and 5,656 completed the study (but not necessarily completed treatment). 1,623 subjects (822 (29.0%) for </w:t>
      </w:r>
      <w:proofErr w:type="spellStart"/>
      <w:r w:rsidRPr="000161A0">
        <w:t>finerenone</w:t>
      </w:r>
      <w:proofErr w:type="spellEnd"/>
      <w:r w:rsidRPr="000161A0">
        <w:t xml:space="preserve"> arm versus 801 (28.2%) for placebo) did not complete randomised treatment: due to adverse events (AEs) or outcome events (10.9% versus 10.3%), withdrawal by the subject (5.5% versus 5.9%), physicians’ decision (5.2% versus 3.8%), and death (4.6% versus</w:t>
      </w:r>
      <w:r>
        <w:t xml:space="preserve"> 5.5%).</w:t>
      </w:r>
    </w:p>
    <w:p w14:paraId="72EB8C64" w14:textId="365FA4C4" w:rsidR="00BD7195" w:rsidRPr="00110614" w:rsidRDefault="00BD7195" w:rsidP="001F221C">
      <w:pPr>
        <w:pStyle w:val="TableTitle"/>
      </w:pPr>
      <w:bookmarkStart w:id="64" w:name="_Ref80950431"/>
      <w:r w:rsidRPr="00110614">
        <w:lastRenderedPageBreak/>
        <w:t xml:space="preserve">Table </w:t>
      </w:r>
      <w:fldSimple w:instr=" SEQ Table \* ARABIC ">
        <w:r w:rsidR="001C5336">
          <w:rPr>
            <w:noProof/>
          </w:rPr>
          <w:t>9</w:t>
        </w:r>
      </w:fldSimple>
      <w:bookmarkEnd w:id="64"/>
      <w:r w:rsidRPr="00110614">
        <w:t>: Study 16244 Baseline disease characteristics (full analysis set)</w:t>
      </w:r>
    </w:p>
    <w:p w14:paraId="5175C280" w14:textId="628F088E" w:rsidR="00BD7195" w:rsidRDefault="00BD7195" w:rsidP="00110614">
      <w:pPr>
        <w:rPr>
          <w:lang w:eastAsia="ja-JP"/>
        </w:rPr>
      </w:pPr>
      <w:r w:rsidRPr="000161A0">
        <w:rPr>
          <w:noProof/>
          <w:lang w:val="en-GB" w:eastAsia="en-GB"/>
        </w:rPr>
        <w:drawing>
          <wp:inline distT="0" distB="0" distL="0" distR="0" wp14:anchorId="5CD53BAB" wp14:editId="773649D9">
            <wp:extent cx="5731510" cy="7492365"/>
            <wp:effectExtent l="0" t="0" r="2540" b="0"/>
            <wp:docPr id="15" name="Picture 15" descr="Table 9: Study 16244 Baseline disease characteristic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9: Study 16244 Baseline disease characteristics (full analysis s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492365"/>
                    </a:xfrm>
                    <a:prstGeom prst="rect">
                      <a:avLst/>
                    </a:prstGeom>
                    <a:noFill/>
                    <a:ln>
                      <a:noFill/>
                    </a:ln>
                  </pic:spPr>
                </pic:pic>
              </a:graphicData>
            </a:graphic>
          </wp:inline>
        </w:drawing>
      </w:r>
    </w:p>
    <w:p w14:paraId="2448181D" w14:textId="525AD6C7" w:rsidR="00AD1287" w:rsidRPr="00B0558A" w:rsidRDefault="00AD1287" w:rsidP="00B0558A">
      <w:pPr>
        <w:pStyle w:val="TableDescription"/>
      </w:pPr>
      <w:r w:rsidRPr="00B0558A">
        <w:t xml:space="preserve">eGFR = estimated glomerular filtration rate; FAS = full analysis set; N = </w:t>
      </w:r>
      <w:r w:rsidR="000F5A5B" w:rsidRPr="000F5A5B">
        <w:t>number of subjects</w:t>
      </w:r>
      <w:r w:rsidRPr="00B0558A">
        <w:t xml:space="preserve">; n = </w:t>
      </w:r>
      <w:r w:rsidR="000F5A5B" w:rsidRPr="000F5A5B">
        <w:t>number of subjects in category</w:t>
      </w:r>
      <w:r w:rsidRPr="00B0558A">
        <w:t xml:space="preserve">; </w:t>
      </w:r>
      <w:r w:rsidR="00B0558A" w:rsidRPr="00B0558A">
        <w:t>Q = quartile</w:t>
      </w:r>
      <w:r w:rsidRPr="00B0558A">
        <w:t>; SD = standard deviation; UACR = urine albumin-to-creatinine ratio.</w:t>
      </w:r>
    </w:p>
    <w:p w14:paraId="240408D3" w14:textId="586D0FC9" w:rsidR="009253EA" w:rsidRPr="000161A0" w:rsidRDefault="005974D0" w:rsidP="009E7BAC">
      <w:pPr>
        <w:pStyle w:val="Heading6"/>
      </w:pPr>
      <w:r>
        <w:t>Study drug</w:t>
      </w:r>
      <w:r w:rsidR="00875D7E">
        <w:t xml:space="preserve"> and dose</w:t>
      </w:r>
    </w:p>
    <w:p w14:paraId="6A14423C" w14:textId="55BBBC7F" w:rsidR="00077DB4" w:rsidRPr="000161A0" w:rsidRDefault="00077DB4" w:rsidP="009253EA">
      <w:r w:rsidRPr="000161A0">
        <w:t xml:space="preserve">The starting dose of </w:t>
      </w:r>
      <w:proofErr w:type="spellStart"/>
      <w:r w:rsidRPr="000161A0">
        <w:t>finerenone</w:t>
      </w:r>
      <w:proofErr w:type="spellEnd"/>
      <w:r w:rsidRPr="000161A0">
        <w:t xml:space="preserve"> depended on the eGFR: eGFR 25 to &lt;60 mL/min/1.73</w:t>
      </w:r>
      <w:r w:rsidR="00BD7195" w:rsidRPr="000161A0">
        <w:t> </w:t>
      </w:r>
      <w:r w:rsidRPr="000161A0">
        <w:t>m² received 10 mg daily, eGFR ≥</w:t>
      </w:r>
      <w:r w:rsidR="00BD7195" w:rsidRPr="000161A0">
        <w:t> </w:t>
      </w:r>
      <w:r w:rsidRPr="000161A0">
        <w:t xml:space="preserve">60 mL/min/1.73 m² were assigned to the higher dose of </w:t>
      </w:r>
      <w:proofErr w:type="spellStart"/>
      <w:r w:rsidRPr="000161A0">
        <w:t>finerenone</w:t>
      </w:r>
      <w:proofErr w:type="spellEnd"/>
      <w:r w:rsidRPr="000161A0">
        <w:t xml:space="preserve"> (20 mg) or placebo.</w:t>
      </w:r>
    </w:p>
    <w:p w14:paraId="263DE45F" w14:textId="73D78305" w:rsidR="00077DB4" w:rsidRPr="000161A0" w:rsidRDefault="00077DB4" w:rsidP="00D30839">
      <w:r w:rsidRPr="000161A0">
        <w:lastRenderedPageBreak/>
        <w:t>If on 10</w:t>
      </w:r>
      <w:r w:rsidR="00BD7195" w:rsidRPr="000161A0">
        <w:t> </w:t>
      </w:r>
      <w:r w:rsidRPr="000161A0">
        <w:t>mg, up</w:t>
      </w:r>
      <w:r w:rsidR="00BD7195" w:rsidRPr="000161A0">
        <w:t>-</w:t>
      </w:r>
      <w:r w:rsidRPr="000161A0">
        <w:t>titration was possible based on eGFR and potassium levels (</w:t>
      </w:r>
      <w:r w:rsidRPr="000161A0">
        <w:fldChar w:fldCharType="begin"/>
      </w:r>
      <w:r w:rsidRPr="000161A0">
        <w:instrText xml:space="preserve"> REF _Ref80962853 \h  \* MERGEFORMAT </w:instrText>
      </w:r>
      <w:r w:rsidRPr="000161A0">
        <w:fldChar w:fldCharType="separate"/>
      </w:r>
      <w:r w:rsidR="001C5336" w:rsidRPr="00110614">
        <w:t xml:space="preserve">Table </w:t>
      </w:r>
      <w:r w:rsidR="001C5336">
        <w:t>10</w:t>
      </w:r>
      <w:r w:rsidRPr="000161A0">
        <w:fldChar w:fldCharType="end"/>
      </w:r>
      <w:r w:rsidRPr="000161A0">
        <w:t>). The study drug was stopped, if potassium levels were &gt;</w:t>
      </w:r>
      <w:r w:rsidR="00D30839" w:rsidRPr="000161A0">
        <w:t xml:space="preserve"> </w:t>
      </w:r>
      <w:r w:rsidRPr="000161A0">
        <w:t>5.5 mmol/L, and could only be restarted (using the 10 mg daily dose) once the concentration was ≤</w:t>
      </w:r>
      <w:r w:rsidR="00D30839" w:rsidRPr="000161A0">
        <w:t xml:space="preserve"> </w:t>
      </w:r>
      <w:r w:rsidRPr="000161A0">
        <w:t>5.0 mmol/L (</w:t>
      </w:r>
      <w:r w:rsidRPr="000161A0">
        <w:fldChar w:fldCharType="begin"/>
      </w:r>
      <w:r w:rsidRPr="000161A0">
        <w:instrText xml:space="preserve"> REF _Ref80962853 \h  \* MERGEFORMAT </w:instrText>
      </w:r>
      <w:r w:rsidRPr="000161A0">
        <w:fldChar w:fldCharType="separate"/>
      </w:r>
      <w:r w:rsidR="001C5336" w:rsidRPr="00110614">
        <w:t xml:space="preserve">Table </w:t>
      </w:r>
      <w:r w:rsidR="001C5336">
        <w:t>10</w:t>
      </w:r>
      <w:r w:rsidRPr="000161A0">
        <w:fldChar w:fldCharType="end"/>
      </w:r>
      <w:r w:rsidRPr="000161A0">
        <w:t xml:space="preserve"> and </w:t>
      </w:r>
      <w:r w:rsidRPr="000161A0">
        <w:fldChar w:fldCharType="begin"/>
      </w:r>
      <w:r w:rsidRPr="000161A0">
        <w:instrText xml:space="preserve"> REF _Ref80963246 \h  \* MERGEFORMAT </w:instrText>
      </w:r>
      <w:r w:rsidRPr="000161A0">
        <w:fldChar w:fldCharType="separate"/>
      </w:r>
      <w:r w:rsidR="001C5336" w:rsidRPr="00110614">
        <w:t xml:space="preserve">Table </w:t>
      </w:r>
      <w:r w:rsidR="001C5336">
        <w:t>11</w:t>
      </w:r>
      <w:r w:rsidRPr="000161A0">
        <w:fldChar w:fldCharType="end"/>
      </w:r>
      <w:r w:rsidRPr="000161A0">
        <w:t>).</w:t>
      </w:r>
    </w:p>
    <w:p w14:paraId="0E2B6D31" w14:textId="7AB25BD0" w:rsidR="00D30839" w:rsidRPr="00110614" w:rsidRDefault="00D30839" w:rsidP="008278F2">
      <w:pPr>
        <w:pStyle w:val="TableTitle"/>
      </w:pPr>
      <w:bookmarkStart w:id="65" w:name="_Ref80962853"/>
      <w:r w:rsidRPr="00110614">
        <w:t xml:space="preserve">Table </w:t>
      </w:r>
      <w:fldSimple w:instr=" SEQ Table \* ARABIC ">
        <w:r w:rsidR="001C5336">
          <w:rPr>
            <w:noProof/>
          </w:rPr>
          <w:t>10</w:t>
        </w:r>
      </w:fldSimple>
      <w:bookmarkEnd w:id="65"/>
      <w:r w:rsidRPr="00110614">
        <w:t xml:space="preserve">: </w:t>
      </w:r>
      <w:bookmarkStart w:id="66" w:name="_Hlk80963076"/>
      <w:r w:rsidRPr="00110614">
        <w:t xml:space="preserve">Study 16244 </w:t>
      </w:r>
      <w:bookmarkEnd w:id="66"/>
      <w:r w:rsidRPr="008278F2">
        <w:t>Dosage</w:t>
      </w:r>
      <w:r w:rsidRPr="00110614">
        <w:t xml:space="preserve"> of study drug</w:t>
      </w:r>
    </w:p>
    <w:p w14:paraId="3308BA15" w14:textId="4AD4DE06" w:rsidR="00D30839" w:rsidRDefault="00AD1287" w:rsidP="00110614">
      <w:pPr>
        <w:rPr>
          <w:lang w:eastAsia="ja-JP"/>
        </w:rPr>
      </w:pPr>
      <w:r>
        <w:rPr>
          <w:noProof/>
          <w:lang w:val="en-GB" w:eastAsia="en-GB"/>
        </w:rPr>
        <w:drawing>
          <wp:inline distT="0" distB="0" distL="0" distR="0" wp14:anchorId="6C2575D7" wp14:editId="1F176751">
            <wp:extent cx="5400040" cy="3864428"/>
            <wp:effectExtent l="0" t="0" r="0" b="3175"/>
            <wp:docPr id="458" name="Picture 458" descr="Table 10: Study 16244 Dosage of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Table 10: Study 16244 Dosage of study drug"/>
                    <pic:cNvPicPr/>
                  </pic:nvPicPr>
                  <pic:blipFill>
                    <a:blip r:embed="rId27"/>
                    <a:stretch>
                      <a:fillRect/>
                    </a:stretch>
                  </pic:blipFill>
                  <pic:spPr>
                    <a:xfrm>
                      <a:off x="0" y="0"/>
                      <a:ext cx="5403130" cy="3866639"/>
                    </a:xfrm>
                    <a:prstGeom prst="rect">
                      <a:avLst/>
                    </a:prstGeom>
                  </pic:spPr>
                </pic:pic>
              </a:graphicData>
            </a:graphic>
          </wp:inline>
        </w:drawing>
      </w:r>
    </w:p>
    <w:p w14:paraId="19FC0AC3" w14:textId="1D6C9069" w:rsidR="00AD1287" w:rsidRPr="00AD1287" w:rsidRDefault="00AD1287" w:rsidP="00AD1287">
      <w:pPr>
        <w:pStyle w:val="TableDescription"/>
      </w:pPr>
      <w:r>
        <w:t xml:space="preserve">eCRF = </w:t>
      </w:r>
      <w:r w:rsidRPr="00AD1287">
        <w:t>electronic case report form</w:t>
      </w:r>
      <w:r>
        <w:t xml:space="preserve">; </w:t>
      </w:r>
      <w:r w:rsidRPr="00AD1287">
        <w:t>eGFR = estimated glomerular filtration rate; OD = once daily.</w:t>
      </w:r>
    </w:p>
    <w:p w14:paraId="2CB2A2D9" w14:textId="753593DB" w:rsidR="00AD1287" w:rsidRPr="00AD1287" w:rsidRDefault="00AD1287" w:rsidP="00AD1287">
      <w:pPr>
        <w:pStyle w:val="TableDescription"/>
      </w:pPr>
      <w:r w:rsidRPr="00AD1287">
        <w:t>a Potassium and eGFR according to local laboratory values.</w:t>
      </w:r>
    </w:p>
    <w:p w14:paraId="2EBD75A1" w14:textId="1A7DCEF3" w:rsidR="00D30839" w:rsidRPr="00110614" w:rsidRDefault="00D30839" w:rsidP="00110614">
      <w:pPr>
        <w:pStyle w:val="TableTitle"/>
      </w:pPr>
      <w:bookmarkStart w:id="67" w:name="_Ref80963246"/>
      <w:r w:rsidRPr="00110614">
        <w:lastRenderedPageBreak/>
        <w:t xml:space="preserve">Table </w:t>
      </w:r>
      <w:fldSimple w:instr=" SEQ Table \* ARABIC ">
        <w:r w:rsidR="001C5336">
          <w:rPr>
            <w:noProof/>
          </w:rPr>
          <w:t>11</w:t>
        </w:r>
      </w:fldSimple>
      <w:bookmarkEnd w:id="67"/>
      <w:r w:rsidRPr="00110614">
        <w:t>: Study 16244 Dosing and titration information (safety analysis set)</w:t>
      </w:r>
    </w:p>
    <w:p w14:paraId="33DE5263" w14:textId="6417B48B" w:rsidR="00FD3A0F" w:rsidRDefault="00FD3A0F" w:rsidP="00110614">
      <w:pPr>
        <w:rPr>
          <w:lang w:eastAsia="ja-JP"/>
        </w:rPr>
      </w:pPr>
      <w:r>
        <w:rPr>
          <w:noProof/>
          <w:lang w:val="en-GB" w:eastAsia="en-GB"/>
        </w:rPr>
        <w:drawing>
          <wp:inline distT="0" distB="0" distL="0" distR="0" wp14:anchorId="354ADA4E" wp14:editId="743A7D20">
            <wp:extent cx="5400040" cy="5501640"/>
            <wp:effectExtent l="0" t="0" r="0" b="3810"/>
            <wp:docPr id="7" name="Picture 7" descr="Table 11: Study 16244 Dosing and titration inform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11: Study 16244 Dosing and titration information (safety analysis set)"/>
                    <pic:cNvPicPr/>
                  </pic:nvPicPr>
                  <pic:blipFill>
                    <a:blip r:embed="rId28"/>
                    <a:stretch>
                      <a:fillRect/>
                    </a:stretch>
                  </pic:blipFill>
                  <pic:spPr>
                    <a:xfrm>
                      <a:off x="0" y="0"/>
                      <a:ext cx="5400040" cy="5501640"/>
                    </a:xfrm>
                    <a:prstGeom prst="rect">
                      <a:avLst/>
                    </a:prstGeom>
                  </pic:spPr>
                </pic:pic>
              </a:graphicData>
            </a:graphic>
          </wp:inline>
        </w:drawing>
      </w:r>
    </w:p>
    <w:p w14:paraId="17E55ABE" w14:textId="5F37BAB4" w:rsidR="00FD3A0F" w:rsidRPr="00B0558A" w:rsidRDefault="00FD3A0F" w:rsidP="00B0558A">
      <w:pPr>
        <w:pStyle w:val="TableDescription"/>
      </w:pPr>
      <w:r w:rsidRPr="00B0558A">
        <w:t>eGFR = estimated glomerular filtration rate</w:t>
      </w:r>
      <w:r w:rsidR="000F5A5B">
        <w:t>;</w:t>
      </w:r>
      <w:r w:rsidRPr="00B0558A">
        <w:t xml:space="preserve"> N = number of subjects in the </w:t>
      </w:r>
      <w:r w:rsidR="00B0558A" w:rsidRPr="00B0558A">
        <w:t>safety analysis set</w:t>
      </w:r>
      <w:r w:rsidR="000F5A5B">
        <w:t>;</w:t>
      </w:r>
      <w:r w:rsidRPr="00B0558A">
        <w:t xml:space="preserve"> n = number of subjects in category</w:t>
      </w:r>
      <w:r w:rsidR="000F5A5B">
        <w:t>;</w:t>
      </w:r>
      <w:r w:rsidRPr="00B0558A">
        <w:t xml:space="preserve"> OD = once daily</w:t>
      </w:r>
      <w:r w:rsidR="00B0558A" w:rsidRPr="00B0558A">
        <w:t>.</w:t>
      </w:r>
    </w:p>
    <w:p w14:paraId="7D21C84D" w14:textId="77777777" w:rsidR="00FD3A0F" w:rsidRPr="00B0558A" w:rsidRDefault="00FD3A0F" w:rsidP="00B0558A">
      <w:pPr>
        <w:pStyle w:val="TableDescription"/>
      </w:pPr>
      <w:r w:rsidRPr="00B0558A">
        <w:t>The titration status includes sham titration.</w:t>
      </w:r>
    </w:p>
    <w:p w14:paraId="140E3FF7" w14:textId="77777777" w:rsidR="00FD3A0F" w:rsidRPr="00B0558A" w:rsidRDefault="00FD3A0F" w:rsidP="00B0558A">
      <w:pPr>
        <w:pStyle w:val="TableDescription"/>
      </w:pPr>
      <w:proofErr w:type="spellStart"/>
      <w:r w:rsidRPr="00B0558A">
        <w:t>a</w:t>
      </w:r>
      <w:proofErr w:type="spellEnd"/>
      <w:r w:rsidRPr="00B0558A">
        <w:t xml:space="preserve"> </w:t>
      </w:r>
      <w:proofErr w:type="gramStart"/>
      <w:r w:rsidRPr="00B0558A">
        <w:t>The</w:t>
      </w:r>
      <w:proofErr w:type="gramEnd"/>
      <w:r w:rsidRPr="00B0558A">
        <w:t xml:space="preserve"> overall summary (never up-titrated) includes subjects discontinued which have not reached the respective visits.</w:t>
      </w:r>
    </w:p>
    <w:p w14:paraId="01B8A24D" w14:textId="716F1464" w:rsidR="00FD3A0F" w:rsidRPr="00B0558A" w:rsidRDefault="00FD3A0F" w:rsidP="00B0558A">
      <w:pPr>
        <w:pStyle w:val="TableDescription"/>
      </w:pPr>
      <w:r w:rsidRPr="00B0558A">
        <w:t xml:space="preserve">b Up-titration = </w:t>
      </w:r>
      <w:r w:rsidR="00B0558A" w:rsidRPr="00B0558A">
        <w:t>y</w:t>
      </w:r>
      <w:r w:rsidRPr="00B0558A">
        <w:t>es, if local potassium value ≤</w:t>
      </w:r>
      <w:r w:rsidR="00B0558A" w:rsidRPr="00B0558A">
        <w:t xml:space="preserve"> </w:t>
      </w:r>
      <w:r w:rsidRPr="00B0558A">
        <w:t>4.8 mmol/L at the respective visit and eGFR decrease (local laboratory value)</w:t>
      </w:r>
    </w:p>
    <w:p w14:paraId="233726F6" w14:textId="77777777" w:rsidR="00FD3A0F" w:rsidRPr="00B0558A" w:rsidRDefault="00FD3A0F" w:rsidP="00B0558A">
      <w:pPr>
        <w:pStyle w:val="TableDescription"/>
      </w:pPr>
      <w:r w:rsidRPr="00B0558A">
        <w:t>is less than 30% below the value measured at the last regular visit.</w:t>
      </w:r>
    </w:p>
    <w:p w14:paraId="1122938A" w14:textId="03B4C9EB" w:rsidR="00FD3A0F" w:rsidRPr="00B0558A" w:rsidRDefault="00FD3A0F" w:rsidP="00B0558A">
      <w:pPr>
        <w:pStyle w:val="TableDescription"/>
      </w:pPr>
      <w:r w:rsidRPr="00B0558A">
        <w:t xml:space="preserve">c </w:t>
      </w:r>
      <w:proofErr w:type="gramStart"/>
      <w:r w:rsidRPr="00B0558A">
        <w:t>The</w:t>
      </w:r>
      <w:proofErr w:type="gramEnd"/>
      <w:r w:rsidRPr="00B0558A">
        <w:t xml:space="preserve"> number of subjects not dispensed with 20 mg overall are the number of subjects not treated with 20 mg in at least one visit. One subject can have different reasons for not up-titrating to 20 mg and can thus be counted under different reasons.</w:t>
      </w:r>
    </w:p>
    <w:p w14:paraId="0EF3666E" w14:textId="29714F3A" w:rsidR="00FD3A0F" w:rsidRPr="00B0558A" w:rsidRDefault="00FD3A0F" w:rsidP="00B0558A">
      <w:pPr>
        <w:pStyle w:val="TableDescription"/>
      </w:pPr>
      <w:r w:rsidRPr="00B0558A">
        <w:t>d A subject could be down-titrated more than once or have a temporary interruption more than once during the study. In case of multiple down-titrations or interruptions for the same subject, it is possible that the subject had different reasons on the multiple occasions so that the subject was counted under each reason.</w:t>
      </w:r>
    </w:p>
    <w:p w14:paraId="5F384E94" w14:textId="270EF186" w:rsidR="00D30839" w:rsidRPr="00B0558A" w:rsidRDefault="00FD3A0F" w:rsidP="00B0558A">
      <w:pPr>
        <w:pStyle w:val="TableDescription"/>
      </w:pPr>
      <w:r w:rsidRPr="00B0558A">
        <w:t>e Dose resulting from down-titration or study drug interruption.</w:t>
      </w:r>
    </w:p>
    <w:p w14:paraId="7F175C04" w14:textId="77777777" w:rsidR="00077DB4" w:rsidRPr="000161A0" w:rsidRDefault="00077DB4" w:rsidP="009253EA">
      <w:pPr>
        <w:pStyle w:val="Heading6"/>
      </w:pPr>
      <w:r w:rsidRPr="000161A0">
        <w:lastRenderedPageBreak/>
        <w:t>Magnitude of the treatment effect and its clinical significance</w:t>
      </w:r>
    </w:p>
    <w:p w14:paraId="3E321385" w14:textId="15B08893" w:rsidR="00077DB4" w:rsidRPr="000161A0" w:rsidRDefault="00077DB4" w:rsidP="009253EA">
      <w:r w:rsidRPr="000161A0">
        <w:t>Primary endpoint results (composite of kidney failure, sustained decrease of eGFR ≥</w:t>
      </w:r>
      <w:r w:rsidR="00D30839" w:rsidRPr="000161A0">
        <w:t> </w:t>
      </w:r>
      <w:r w:rsidRPr="000161A0">
        <w:t xml:space="preserve">40%, or renal death) support superiority of </w:t>
      </w:r>
      <w:proofErr w:type="spellStart"/>
      <w:r w:rsidRPr="000161A0">
        <w:t>finerenone</w:t>
      </w:r>
      <w:proofErr w:type="spellEnd"/>
      <w:r w:rsidRPr="000161A0">
        <w:t xml:space="preserve"> </w:t>
      </w:r>
      <w:r w:rsidR="00B227A0" w:rsidRPr="000161A0">
        <w:t>versus</w:t>
      </w:r>
      <w:r w:rsidRPr="000161A0">
        <w:t xml:space="preserve"> placebo with regard to the progression of </w:t>
      </w:r>
      <w:r w:rsidR="00875D7E">
        <w:t>diabetic kidney disease</w:t>
      </w:r>
      <w:r w:rsidRPr="000161A0">
        <w:t xml:space="preserve">: primary endpoint events occurred in 504 subjects (17.8%; 7.59 events per 100 patient-years) in the </w:t>
      </w:r>
      <w:proofErr w:type="spellStart"/>
      <w:r w:rsidRPr="000161A0">
        <w:t>finerenone</w:t>
      </w:r>
      <w:proofErr w:type="spellEnd"/>
      <w:r w:rsidRPr="000161A0">
        <w:t xml:space="preserve"> arm </w:t>
      </w:r>
      <w:r w:rsidR="00B227A0" w:rsidRPr="000161A0">
        <w:t>versus</w:t>
      </w:r>
      <w:r w:rsidRPr="000161A0">
        <w:t xml:space="preserve"> 600 subjects (21.1%, 9.08 events per 100 patient-years) in the placebo arm (</w:t>
      </w:r>
      <w:r w:rsidR="00D30839" w:rsidRPr="000161A0">
        <w:t>hazard ratio (</w:t>
      </w:r>
      <w:r w:rsidRPr="000161A0">
        <w:t>HR</w:t>
      </w:r>
      <w:r w:rsidR="00D30839" w:rsidRPr="000161A0">
        <w:t>)</w:t>
      </w:r>
      <w:r w:rsidRPr="000161A0">
        <w:t xml:space="preserve"> </w:t>
      </w:r>
      <w:r w:rsidR="005974D0">
        <w:t xml:space="preserve">= 0.825; </w:t>
      </w:r>
      <w:r w:rsidRPr="000161A0">
        <w:t xml:space="preserve">95% </w:t>
      </w:r>
      <w:r w:rsidR="00D30839" w:rsidRPr="000161A0">
        <w:t>confidence interval (</w:t>
      </w:r>
      <w:r w:rsidRPr="000161A0">
        <w:t>CI) = 0.732</w:t>
      </w:r>
      <w:r w:rsidR="000C4309" w:rsidRPr="000161A0">
        <w:t xml:space="preserve">, </w:t>
      </w:r>
      <w:r w:rsidRPr="000161A0">
        <w:t>0.928) (</w:t>
      </w:r>
      <w:r w:rsidR="005974D0">
        <w:t xml:space="preserve">see </w:t>
      </w:r>
      <w:r w:rsidRPr="000161A0">
        <w:fldChar w:fldCharType="begin"/>
      </w:r>
      <w:r w:rsidRPr="000161A0">
        <w:instrText xml:space="preserve"> REF _Ref80269954 \h  \* MERGEFORMAT </w:instrText>
      </w:r>
      <w:r w:rsidRPr="000161A0">
        <w:fldChar w:fldCharType="separate"/>
      </w:r>
      <w:r w:rsidR="001C5336" w:rsidRPr="00110614">
        <w:t xml:space="preserve">Table </w:t>
      </w:r>
      <w:r w:rsidR="001C5336">
        <w:t>12</w:t>
      </w:r>
      <w:r w:rsidRPr="000161A0">
        <w:fldChar w:fldCharType="end"/>
      </w:r>
      <w:r w:rsidRPr="000161A0">
        <w:t>).</w:t>
      </w:r>
    </w:p>
    <w:p w14:paraId="222397C8" w14:textId="76C33253" w:rsidR="00077DB4" w:rsidRPr="000161A0" w:rsidRDefault="00077DB4" w:rsidP="009253EA">
      <w:r w:rsidRPr="000161A0">
        <w:t xml:space="preserve">The absolute risk reduction (ARR) of the primary endpoint was 3.4% (with the </w:t>
      </w:r>
      <w:r w:rsidR="000C4309" w:rsidRPr="000161A0">
        <w:t xml:space="preserve">number needed to treat </w:t>
      </w:r>
      <w:r w:rsidRPr="000161A0">
        <w:t>over the whole study period being &lt;</w:t>
      </w:r>
      <w:r w:rsidR="00875D7E">
        <w:t xml:space="preserve"> </w:t>
      </w:r>
      <w:r w:rsidRPr="000161A0">
        <w:t>30).</w:t>
      </w:r>
    </w:p>
    <w:p w14:paraId="4A828B8D" w14:textId="2993F937" w:rsidR="00077DB4" w:rsidRPr="00110614" w:rsidRDefault="00077DB4" w:rsidP="00110614">
      <w:pPr>
        <w:pStyle w:val="TableTitle"/>
      </w:pPr>
      <w:bookmarkStart w:id="68" w:name="_Ref80269954"/>
      <w:r w:rsidRPr="00110614">
        <w:t xml:space="preserve">Table </w:t>
      </w:r>
      <w:fldSimple w:instr=" SEQ Table \* ARABIC ">
        <w:r w:rsidR="001C5336">
          <w:rPr>
            <w:noProof/>
          </w:rPr>
          <w:t>12</w:t>
        </w:r>
      </w:fldSimple>
      <w:bookmarkEnd w:id="68"/>
      <w:r w:rsidR="000C4309" w:rsidRPr="00110614">
        <w:t>:</w:t>
      </w:r>
      <w:r w:rsidRPr="00110614">
        <w:t xml:space="preserve"> </w:t>
      </w:r>
      <w:r w:rsidR="0023308B" w:rsidRPr="00110614">
        <w:t>Study 16244</w:t>
      </w:r>
      <w:r w:rsidRPr="00110614">
        <w:t xml:space="preserve"> Primary renal composite endpoint results (</w:t>
      </w:r>
      <w:r w:rsidR="00D30839" w:rsidRPr="00110614">
        <w:t>full analysis set</w:t>
      </w:r>
      <w:r w:rsidRPr="00110614">
        <w:t>)</w:t>
      </w:r>
    </w:p>
    <w:p w14:paraId="3E321745" w14:textId="6B84A07B" w:rsidR="00905477" w:rsidRDefault="00905477" w:rsidP="00110614">
      <w:r>
        <w:rPr>
          <w:noProof/>
          <w:lang w:val="en-GB" w:eastAsia="en-GB"/>
        </w:rPr>
        <w:drawing>
          <wp:inline distT="0" distB="0" distL="0" distR="0" wp14:anchorId="51A3E1A5" wp14:editId="72DFF57B">
            <wp:extent cx="5400040" cy="2252345"/>
            <wp:effectExtent l="0" t="0" r="0" b="0"/>
            <wp:docPr id="31" name="Picture 31" descr="Table 12: Study 16244 Primary renal composite endpoint resul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12: Study 16244 Primary renal composite endpoint results (full analysis set)"/>
                    <pic:cNvPicPr/>
                  </pic:nvPicPr>
                  <pic:blipFill>
                    <a:blip r:embed="rId29"/>
                    <a:stretch>
                      <a:fillRect/>
                    </a:stretch>
                  </pic:blipFill>
                  <pic:spPr>
                    <a:xfrm>
                      <a:off x="0" y="0"/>
                      <a:ext cx="5400040" cy="2252345"/>
                    </a:xfrm>
                    <a:prstGeom prst="rect">
                      <a:avLst/>
                    </a:prstGeom>
                  </pic:spPr>
                </pic:pic>
              </a:graphicData>
            </a:graphic>
          </wp:inline>
        </w:drawing>
      </w:r>
    </w:p>
    <w:p w14:paraId="35EAEBB5" w14:textId="5B0DDEAC" w:rsidR="000F5A5B" w:rsidRDefault="00B0558A" w:rsidP="00B0558A">
      <w:pPr>
        <w:pStyle w:val="TableDescription"/>
      </w:pPr>
      <w:r w:rsidRPr="00B0558A">
        <w:t>CI = confidence interval</w:t>
      </w:r>
      <w:r w:rsidR="000F5A5B">
        <w:t>;</w:t>
      </w:r>
      <w:r w:rsidRPr="00B0558A">
        <w:t xml:space="preserve"> eGFR = estimated glomerular filtration rate</w:t>
      </w:r>
      <w:r w:rsidR="000F5A5B">
        <w:t>;</w:t>
      </w:r>
      <w:r w:rsidRPr="00B0558A">
        <w:t xml:space="preserve"> ESRD = end-stage renal disease</w:t>
      </w:r>
      <w:r w:rsidR="000F5A5B">
        <w:t>;</w:t>
      </w:r>
      <w:r w:rsidRPr="00B0558A">
        <w:t xml:space="preserve"> </w:t>
      </w:r>
      <w:r w:rsidRPr="00C56B31">
        <w:t>HR</w:t>
      </w:r>
      <w:r>
        <w:t> </w:t>
      </w:r>
      <w:r w:rsidRPr="00C56B31">
        <w:t xml:space="preserve">= </w:t>
      </w:r>
      <w:bookmarkStart w:id="69" w:name="_Hlk101363895"/>
      <w:r w:rsidRPr="00C56B31">
        <w:t xml:space="preserve">hazard ratio </w:t>
      </w:r>
      <w:bookmarkEnd w:id="69"/>
      <w:r w:rsidRPr="00C56B31">
        <w:t>for the</w:t>
      </w:r>
      <w:r>
        <w:t xml:space="preserve"> </w:t>
      </w:r>
      <w:r w:rsidRPr="00C56B31">
        <w:t xml:space="preserve">comparison of </w:t>
      </w:r>
      <w:proofErr w:type="spellStart"/>
      <w:r w:rsidRPr="00C56B31">
        <w:t>finerenone</w:t>
      </w:r>
      <w:proofErr w:type="spellEnd"/>
      <w:r w:rsidRPr="00C56B31">
        <w:t xml:space="preserve"> versus placebo</w:t>
      </w:r>
      <w:r w:rsidR="000F5A5B">
        <w:t>;</w:t>
      </w:r>
      <w:r w:rsidRPr="00B0558A">
        <w:t xml:space="preserve"> N = number of subjects</w:t>
      </w:r>
      <w:r w:rsidR="000F5A5B">
        <w:t>;</w:t>
      </w:r>
      <w:r w:rsidRPr="00B0558A">
        <w:t xml:space="preserve"> n = number of subjects with event</w:t>
      </w:r>
      <w:r w:rsidR="000F5A5B">
        <w:t>;</w:t>
      </w:r>
      <w:r w:rsidRPr="00B0558A">
        <w:t xml:space="preserve"> n/100 p-</w:t>
      </w:r>
      <w:proofErr w:type="spellStart"/>
      <w:r w:rsidRPr="00B0558A">
        <w:t>yrs</w:t>
      </w:r>
      <w:proofErr w:type="spellEnd"/>
      <w:r w:rsidRPr="00B0558A">
        <w:t xml:space="preserve"> = incidence rate</w:t>
      </w:r>
      <w:r w:rsidR="000F5A5B">
        <w:t>;</w:t>
      </w:r>
      <w:r w:rsidRPr="00B0558A">
        <w:t xml:space="preserve"> p-</w:t>
      </w:r>
      <w:proofErr w:type="spellStart"/>
      <w:r w:rsidRPr="00B0558A">
        <w:t>yrs</w:t>
      </w:r>
      <w:proofErr w:type="spellEnd"/>
      <w:r w:rsidRPr="00B0558A">
        <w:t xml:space="preserve"> = patient years</w:t>
      </w:r>
      <w:r w:rsidR="000F5A5B">
        <w:t>.</w:t>
      </w:r>
    </w:p>
    <w:p w14:paraId="36304359" w14:textId="12CCEE42" w:rsidR="00B0558A" w:rsidRPr="00B0558A" w:rsidRDefault="000F5A5B" w:rsidP="00B0558A">
      <w:pPr>
        <w:pStyle w:val="TableDescription"/>
      </w:pPr>
      <w:r>
        <w:t>R</w:t>
      </w:r>
      <w:r w:rsidR="00B0558A" w:rsidRPr="00B0558A">
        <w:t xml:space="preserve">enal composite endpoint = onset of kidney failure, sustained decrease of eGFR ≥40% from </w:t>
      </w:r>
      <w:r>
        <w:t>B</w:t>
      </w:r>
      <w:r w:rsidR="00B0558A" w:rsidRPr="00B0558A">
        <w:t>aseline over at least 4 weeks, or renal death.</w:t>
      </w:r>
    </w:p>
    <w:p w14:paraId="27529E4E" w14:textId="1281B358" w:rsidR="00C56B31" w:rsidRPr="00B0558A" w:rsidRDefault="00905477" w:rsidP="00B0558A">
      <w:pPr>
        <w:pStyle w:val="TableDescription"/>
      </w:pPr>
      <w:r w:rsidRPr="00B0558A">
        <w:t>For composite outcomes and each component, the first event after randomi</w:t>
      </w:r>
      <w:r w:rsidR="00B0558A" w:rsidRPr="00B0558A">
        <w:t>s</w:t>
      </w:r>
      <w:r w:rsidRPr="00B0558A">
        <w:t>ation is considered. Subsequent events of the same type are not shown.</w:t>
      </w:r>
    </w:p>
    <w:p w14:paraId="10794BE6" w14:textId="795C3DD5" w:rsidR="00905477" w:rsidRPr="00B0558A" w:rsidRDefault="00B0558A" w:rsidP="00B0558A">
      <w:pPr>
        <w:pStyle w:val="TableDescription"/>
      </w:pPr>
      <w:r w:rsidRPr="00B0558A">
        <w:t>P</w:t>
      </w:r>
      <w:r w:rsidR="00905477" w:rsidRPr="00B0558A">
        <w:t>-value: two-sided p-value from log</w:t>
      </w:r>
      <w:r w:rsidRPr="00B0558A">
        <w:t>-</w:t>
      </w:r>
      <w:r w:rsidR="00905477" w:rsidRPr="00B0558A">
        <w:t>rank test, stratified</w:t>
      </w:r>
      <w:r w:rsidRPr="00B0558A">
        <w:t>.</w:t>
      </w:r>
    </w:p>
    <w:p w14:paraId="1AAD281F" w14:textId="375EE92E" w:rsidR="00077DB4" w:rsidRPr="000161A0" w:rsidRDefault="00077DB4" w:rsidP="009253EA">
      <w:r w:rsidRPr="000161A0">
        <w:t>Sensitivity analyses supported the robustness of the primary endpoint findings. The HR (95% CI) derived from the on-treatment analysis in the per-protocol</w:t>
      </w:r>
      <w:r w:rsidR="001D3BD3" w:rsidRPr="000161A0">
        <w:t>;</w:t>
      </w:r>
      <w:r w:rsidR="001D3BD3" w:rsidRPr="000161A0">
        <w:rPr>
          <w:rStyle w:val="FootnoteReference"/>
        </w:rPr>
        <w:footnoteReference w:id="6"/>
      </w:r>
      <w:r w:rsidRPr="000161A0">
        <w:t xml:space="preserve"> population was 0.764</w:t>
      </w:r>
      <w:r w:rsidR="000C4309" w:rsidRPr="000161A0">
        <w:t> </w:t>
      </w:r>
      <w:r w:rsidRPr="000161A0">
        <w:t>(0.660</w:t>
      </w:r>
      <w:r w:rsidR="000C4309" w:rsidRPr="000161A0">
        <w:t xml:space="preserve">, </w:t>
      </w:r>
      <w:r w:rsidRPr="000161A0">
        <w:t>0.885).</w:t>
      </w:r>
    </w:p>
    <w:p w14:paraId="7FE8EB39" w14:textId="6491B746" w:rsidR="00077DB4" w:rsidRPr="000161A0" w:rsidRDefault="00077DB4" w:rsidP="009253EA">
      <w:r w:rsidRPr="000161A0">
        <w:t xml:space="preserve">Key secondary endpoint results (composite of </w:t>
      </w:r>
      <w:r w:rsidR="000C4309" w:rsidRPr="000161A0">
        <w:t xml:space="preserve">cardiovascular </w:t>
      </w:r>
      <w:r w:rsidRPr="000161A0">
        <w:t xml:space="preserve">death, non-fatal </w:t>
      </w:r>
      <w:r w:rsidR="000C4309" w:rsidRPr="000161A0">
        <w:t>myocardial infarction</w:t>
      </w:r>
      <w:r w:rsidRPr="000161A0">
        <w:t xml:space="preserve">, non-fatal stroke, hospitalisation for </w:t>
      </w:r>
      <w:r w:rsidR="000C4309" w:rsidRPr="000161A0">
        <w:t>heart failure</w:t>
      </w:r>
      <w:r w:rsidRPr="000161A0">
        <w:t>) were favourable overall (HR (95% CI): 0.860 (0.747</w:t>
      </w:r>
      <w:r w:rsidR="000C4309" w:rsidRPr="000161A0">
        <w:t xml:space="preserve">, </w:t>
      </w:r>
      <w:r w:rsidRPr="000161A0">
        <w:t>0.989)) (</w:t>
      </w:r>
      <w:r w:rsidRPr="000161A0">
        <w:fldChar w:fldCharType="begin"/>
      </w:r>
      <w:r w:rsidRPr="000161A0">
        <w:instrText xml:space="preserve"> REF _Ref80271171 \h  \* MERGEFORMAT </w:instrText>
      </w:r>
      <w:r w:rsidRPr="000161A0">
        <w:fldChar w:fldCharType="separate"/>
      </w:r>
      <w:r w:rsidR="001C5336" w:rsidRPr="00110614">
        <w:t xml:space="preserve">Table </w:t>
      </w:r>
      <w:r w:rsidR="001C5336">
        <w:t>13</w:t>
      </w:r>
      <w:r w:rsidRPr="000161A0">
        <w:fldChar w:fldCharType="end"/>
      </w:r>
      <w:r w:rsidRPr="000161A0">
        <w:t>). However, one component showed an unfavourable effect: ‘non-fatal stroke’ with a HR (95% CI): 1.027 (0.765</w:t>
      </w:r>
      <w:r w:rsidR="000C4309" w:rsidRPr="000161A0">
        <w:t xml:space="preserve">, </w:t>
      </w:r>
      <w:r w:rsidRPr="000161A0">
        <w:t>1.380). The overall result was statistically significant, but not the individual components.</w:t>
      </w:r>
    </w:p>
    <w:p w14:paraId="2594F23A" w14:textId="23FFE714" w:rsidR="00077DB4" w:rsidRPr="000161A0" w:rsidRDefault="00077DB4" w:rsidP="009253EA">
      <w:r w:rsidRPr="000161A0">
        <w:t xml:space="preserve">The HR </w:t>
      </w:r>
      <w:r w:rsidR="00B227A0" w:rsidRPr="000161A0">
        <w:t>(</w:t>
      </w:r>
      <w:r w:rsidRPr="000161A0">
        <w:t>95% CI</w:t>
      </w:r>
      <w:r w:rsidR="00B227A0" w:rsidRPr="000161A0">
        <w:t>)</w:t>
      </w:r>
      <w:r w:rsidRPr="000161A0">
        <w:t xml:space="preserve"> derived from the on-treatment analysis in the per-protocol population was 0.819 </w:t>
      </w:r>
      <w:r w:rsidR="00B227A0" w:rsidRPr="000161A0">
        <w:t>(</w:t>
      </w:r>
      <w:r w:rsidRPr="000161A0">
        <w:t>0.686</w:t>
      </w:r>
      <w:r w:rsidR="000C4309" w:rsidRPr="000161A0">
        <w:t xml:space="preserve">, </w:t>
      </w:r>
      <w:r w:rsidRPr="000161A0">
        <w:t>0.978</w:t>
      </w:r>
      <w:r w:rsidR="00B227A0" w:rsidRPr="000161A0">
        <w:t>)</w:t>
      </w:r>
      <w:r w:rsidRPr="000161A0">
        <w:t xml:space="preserve"> (p</w:t>
      </w:r>
      <w:r w:rsidR="000C4309" w:rsidRPr="000161A0">
        <w:t xml:space="preserve"> </w:t>
      </w:r>
      <w:r w:rsidRPr="000161A0">
        <w:t>=</w:t>
      </w:r>
      <w:r w:rsidR="000C4309" w:rsidRPr="000161A0">
        <w:t xml:space="preserve"> </w:t>
      </w:r>
      <w:r w:rsidRPr="000161A0">
        <w:t>0.0272).</w:t>
      </w:r>
    </w:p>
    <w:p w14:paraId="5E1D731C" w14:textId="35626848" w:rsidR="00077DB4" w:rsidRPr="00110614" w:rsidRDefault="00077DB4" w:rsidP="00110614">
      <w:pPr>
        <w:pStyle w:val="TableTitle"/>
      </w:pPr>
      <w:bookmarkStart w:id="70" w:name="_Ref80271171"/>
      <w:r w:rsidRPr="00110614">
        <w:lastRenderedPageBreak/>
        <w:t xml:space="preserve">Table </w:t>
      </w:r>
      <w:fldSimple w:instr=" SEQ Table \* ARABIC ">
        <w:r w:rsidR="001C5336">
          <w:rPr>
            <w:noProof/>
          </w:rPr>
          <w:t>13</w:t>
        </w:r>
      </w:fldSimple>
      <w:bookmarkEnd w:id="70"/>
      <w:r w:rsidR="000C4309" w:rsidRPr="00110614">
        <w:t>:</w:t>
      </w:r>
      <w:r w:rsidRPr="00110614">
        <w:t xml:space="preserve"> </w:t>
      </w:r>
      <w:r w:rsidR="0023308B" w:rsidRPr="00110614">
        <w:t>Study 16244</w:t>
      </w:r>
      <w:r w:rsidRPr="00110614">
        <w:t xml:space="preserve"> Key secondary </w:t>
      </w:r>
      <w:r w:rsidR="000C4309" w:rsidRPr="00110614">
        <w:t xml:space="preserve">cardiovascular </w:t>
      </w:r>
      <w:r w:rsidRPr="00110614">
        <w:t>composite endpoint results (</w:t>
      </w:r>
      <w:r w:rsidR="00D30839" w:rsidRPr="00110614">
        <w:t>full analysis set</w:t>
      </w:r>
      <w:r w:rsidRPr="00110614">
        <w:t>)</w:t>
      </w:r>
    </w:p>
    <w:p w14:paraId="62A2B307" w14:textId="00B66961" w:rsidR="00C56B31" w:rsidRPr="000161A0" w:rsidRDefault="00C56B31" w:rsidP="00110614">
      <w:r>
        <w:rPr>
          <w:noProof/>
          <w:lang w:val="en-GB" w:eastAsia="en-GB"/>
        </w:rPr>
        <w:drawing>
          <wp:inline distT="0" distB="0" distL="0" distR="0" wp14:anchorId="70F55CEA" wp14:editId="7E08AE69">
            <wp:extent cx="5400040" cy="1985010"/>
            <wp:effectExtent l="0" t="0" r="0" b="0"/>
            <wp:docPr id="448" name="Picture 448" descr="Table 13: Study 16244 Key secondary cardiovascular composite endpoint resul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Table 13: Study 16244 Key secondary cardiovascular composite endpoint results (full analysis set)"/>
                    <pic:cNvPicPr/>
                  </pic:nvPicPr>
                  <pic:blipFill>
                    <a:blip r:embed="rId30"/>
                    <a:stretch>
                      <a:fillRect/>
                    </a:stretch>
                  </pic:blipFill>
                  <pic:spPr>
                    <a:xfrm>
                      <a:off x="0" y="0"/>
                      <a:ext cx="5400040" cy="1985010"/>
                    </a:xfrm>
                    <a:prstGeom prst="rect">
                      <a:avLst/>
                    </a:prstGeom>
                  </pic:spPr>
                </pic:pic>
              </a:graphicData>
            </a:graphic>
          </wp:inline>
        </w:drawing>
      </w:r>
    </w:p>
    <w:p w14:paraId="62DE4F92" w14:textId="05F4D496" w:rsidR="00B0558A" w:rsidRPr="00B0558A" w:rsidRDefault="00B0558A" w:rsidP="00B0558A">
      <w:pPr>
        <w:pStyle w:val="TableDescription"/>
      </w:pPr>
      <w:r w:rsidRPr="00B0558A">
        <w:t>CI = confidence interval</w:t>
      </w:r>
      <w:r w:rsidR="000F5A5B">
        <w:t>;</w:t>
      </w:r>
      <w:r w:rsidRPr="00B0558A">
        <w:t xml:space="preserve"> CV = cardiovascular</w:t>
      </w:r>
      <w:r w:rsidR="000F5A5B">
        <w:t xml:space="preserve">; </w:t>
      </w:r>
      <w:r w:rsidRPr="00B0558A">
        <w:t>CV composite endpoint = CV death</w:t>
      </w:r>
      <w:r w:rsidR="000F5A5B">
        <w:t>;</w:t>
      </w:r>
      <w:r w:rsidRPr="00B0558A">
        <w:t xml:space="preserve"> non-fatal myocardial infarction, non-fatal stroke, or hospitalisation for heart failure</w:t>
      </w:r>
      <w:r w:rsidR="000F5A5B">
        <w:t>;</w:t>
      </w:r>
      <w:r w:rsidRPr="00B0558A">
        <w:t xml:space="preserve"> HR = hazard ratio for the comparison of </w:t>
      </w:r>
      <w:proofErr w:type="spellStart"/>
      <w:r w:rsidRPr="00B0558A">
        <w:t>finerenone</w:t>
      </w:r>
      <w:proofErr w:type="spellEnd"/>
      <w:r w:rsidRPr="00B0558A">
        <w:t xml:space="preserve"> versus placebo</w:t>
      </w:r>
      <w:r w:rsidR="000F5A5B">
        <w:t>;</w:t>
      </w:r>
      <w:r w:rsidRPr="00B0558A">
        <w:t xml:space="preserve"> MI = myocardial infarction</w:t>
      </w:r>
      <w:r w:rsidR="000F5A5B">
        <w:t>;</w:t>
      </w:r>
      <w:r w:rsidRPr="00B0558A">
        <w:t xml:space="preserve"> N = number of subjects</w:t>
      </w:r>
      <w:r w:rsidR="000F5A5B">
        <w:t xml:space="preserve">; </w:t>
      </w:r>
      <w:r w:rsidRPr="00B0558A">
        <w:t>n = number of subjects with event</w:t>
      </w:r>
      <w:r w:rsidR="000F5A5B">
        <w:t>;</w:t>
      </w:r>
      <w:r w:rsidRPr="00B0558A">
        <w:t xml:space="preserve"> n/100 p-</w:t>
      </w:r>
      <w:proofErr w:type="spellStart"/>
      <w:r w:rsidRPr="00B0558A">
        <w:t>yrs</w:t>
      </w:r>
      <w:proofErr w:type="spellEnd"/>
      <w:r w:rsidRPr="00B0558A">
        <w:t xml:space="preserve"> = incidence rate</w:t>
      </w:r>
      <w:r w:rsidR="000F5A5B">
        <w:t>;</w:t>
      </w:r>
      <w:r w:rsidRPr="00B0558A">
        <w:t xml:space="preserve"> p-</w:t>
      </w:r>
      <w:proofErr w:type="spellStart"/>
      <w:r w:rsidRPr="00B0558A">
        <w:t>yrs</w:t>
      </w:r>
      <w:proofErr w:type="spellEnd"/>
      <w:r w:rsidRPr="00B0558A">
        <w:t xml:space="preserve"> = patient years.</w:t>
      </w:r>
    </w:p>
    <w:p w14:paraId="6A60ED0B" w14:textId="6B465F1F" w:rsidR="00C56B31" w:rsidRPr="00B0558A" w:rsidRDefault="00C56B31" w:rsidP="00B0558A">
      <w:pPr>
        <w:pStyle w:val="TableDescription"/>
      </w:pPr>
      <w:r w:rsidRPr="00B0558A">
        <w:t>For composite outcomes and each component, the first event after randomi</w:t>
      </w:r>
      <w:r w:rsidR="00B0558A" w:rsidRPr="00B0558A">
        <w:t>s</w:t>
      </w:r>
      <w:r w:rsidRPr="00B0558A">
        <w:t>ation is considered. Subsequent events of the same type are not shown.</w:t>
      </w:r>
    </w:p>
    <w:p w14:paraId="45863709" w14:textId="7FD61B9C" w:rsidR="00C56B31" w:rsidRPr="00B0558A" w:rsidRDefault="00B0558A" w:rsidP="00B0558A">
      <w:pPr>
        <w:pStyle w:val="TableDescription"/>
      </w:pPr>
      <w:r w:rsidRPr="00B0558A">
        <w:t>P</w:t>
      </w:r>
      <w:r w:rsidR="00C56B31" w:rsidRPr="00B0558A">
        <w:t>-value: two-sided p-value from log</w:t>
      </w:r>
      <w:r w:rsidRPr="00B0558A">
        <w:t>-</w:t>
      </w:r>
      <w:r w:rsidR="00C56B31" w:rsidRPr="00B0558A">
        <w:t>rank test, stratified</w:t>
      </w:r>
      <w:r w:rsidRPr="00B0558A">
        <w:t>.</w:t>
      </w:r>
    </w:p>
    <w:p w14:paraId="6A826F70" w14:textId="2B67B200" w:rsidR="00077DB4" w:rsidRPr="000161A0" w:rsidRDefault="00077DB4" w:rsidP="009253EA">
      <w:r w:rsidRPr="000161A0">
        <w:t xml:space="preserve">Results from secondary and exploratory renal endpoints were generally comparable to those for the primary endpoint. </w:t>
      </w:r>
      <w:proofErr w:type="spellStart"/>
      <w:r w:rsidRPr="000161A0">
        <w:t>Finerenone</w:t>
      </w:r>
      <w:proofErr w:type="spellEnd"/>
      <w:r w:rsidRPr="000161A0">
        <w:t xml:space="preserve"> numerically reduced all-cause mortality (HR</w:t>
      </w:r>
      <w:r w:rsidR="005974D0">
        <w:t> </w:t>
      </w:r>
      <w:r w:rsidR="00B227A0" w:rsidRPr="000161A0">
        <w:t>(</w:t>
      </w:r>
      <w:r w:rsidRPr="000161A0">
        <w:t>95% CI</w:t>
      </w:r>
      <w:r w:rsidR="00B227A0" w:rsidRPr="000161A0">
        <w:t>)</w:t>
      </w:r>
      <w:r w:rsidRPr="000161A0">
        <w:t xml:space="preserve">: 0.895 </w:t>
      </w:r>
      <w:r w:rsidR="00B227A0" w:rsidRPr="000161A0">
        <w:t>(</w:t>
      </w:r>
      <w:r w:rsidRPr="000161A0">
        <w:t>0.746</w:t>
      </w:r>
      <w:r w:rsidR="000C4309" w:rsidRPr="000161A0">
        <w:t xml:space="preserve">, </w:t>
      </w:r>
      <w:r w:rsidRPr="000161A0">
        <w:t>1.075</w:t>
      </w:r>
      <w:r w:rsidR="00B227A0" w:rsidRPr="000161A0">
        <w:t>)</w:t>
      </w:r>
      <w:r w:rsidRPr="000161A0">
        <w:t xml:space="preserve">; ARR 0.9%) and all-cause hospitalisations (HR </w:t>
      </w:r>
      <w:r w:rsidR="00B227A0" w:rsidRPr="000161A0">
        <w:t>(</w:t>
      </w:r>
      <w:r w:rsidRPr="000161A0">
        <w:t>95% CI</w:t>
      </w:r>
      <w:r w:rsidR="00B227A0" w:rsidRPr="000161A0">
        <w:t>)</w:t>
      </w:r>
      <w:r w:rsidRPr="000161A0">
        <w:t xml:space="preserve">: 0.946 </w:t>
      </w:r>
      <w:r w:rsidR="00B227A0" w:rsidRPr="000161A0">
        <w:t>(</w:t>
      </w:r>
      <w:r w:rsidRPr="000161A0">
        <w:t>0.876</w:t>
      </w:r>
      <w:r w:rsidR="000C4309" w:rsidRPr="000161A0">
        <w:t xml:space="preserve">, </w:t>
      </w:r>
      <w:r w:rsidRPr="000161A0">
        <w:t>1.022</w:t>
      </w:r>
      <w:r w:rsidR="00B227A0" w:rsidRPr="000161A0">
        <w:t>)</w:t>
      </w:r>
      <w:r w:rsidRPr="000161A0">
        <w:t>; ARR 1.9%), but this was not statistically significant.</w:t>
      </w:r>
    </w:p>
    <w:p w14:paraId="225C5DD7" w14:textId="77777777" w:rsidR="009253EA" w:rsidRPr="000161A0" w:rsidRDefault="00077DB4" w:rsidP="009E7BAC">
      <w:pPr>
        <w:pStyle w:val="Heading6"/>
      </w:pPr>
      <w:r w:rsidRPr="000161A0">
        <w:t>Subgroup analysis</w:t>
      </w:r>
    </w:p>
    <w:p w14:paraId="28FA0749" w14:textId="1410DC32" w:rsidR="00077DB4" w:rsidRPr="000161A0" w:rsidRDefault="00077DB4" w:rsidP="009253EA">
      <w:r w:rsidRPr="000161A0">
        <w:t>The results for the primary endpoint were largely consistent across subgroups, but some findings suggest heterogeneity for the following factors: regions, age, renal function, and concomitant use of SGLT</w:t>
      </w:r>
      <w:r w:rsidR="00BD7195" w:rsidRPr="000161A0">
        <w:t>-</w:t>
      </w:r>
      <w:r w:rsidRPr="000161A0">
        <w:t>2 inhibitors and GLP-1</w:t>
      </w:r>
      <w:r w:rsidR="009C3C5E" w:rsidRPr="000161A0">
        <w:t xml:space="preserve"> receptor-agonists </w:t>
      </w:r>
      <w:r w:rsidRPr="000161A0">
        <w:t>(</w:t>
      </w:r>
      <w:r w:rsidR="00875D7E">
        <w:t xml:space="preserve">see </w:t>
      </w:r>
      <w:r w:rsidRPr="000161A0">
        <w:fldChar w:fldCharType="begin"/>
      </w:r>
      <w:r w:rsidRPr="000161A0">
        <w:instrText xml:space="preserve"> REF _Ref80093508 \h  \* MERGEFORMAT </w:instrText>
      </w:r>
      <w:r w:rsidRPr="000161A0">
        <w:fldChar w:fldCharType="separate"/>
      </w:r>
      <w:r w:rsidR="001C5336" w:rsidRPr="001C5336">
        <w:rPr>
          <w:lang w:val="en-US"/>
        </w:rPr>
        <w:t>Table 14</w:t>
      </w:r>
      <w:r w:rsidRPr="000161A0">
        <w:fldChar w:fldCharType="end"/>
      </w:r>
      <w:r w:rsidRPr="000161A0">
        <w:t>).</w:t>
      </w:r>
    </w:p>
    <w:p w14:paraId="09528C2E" w14:textId="0DBC6860" w:rsidR="00946375" w:rsidRPr="00110614" w:rsidRDefault="00946375" w:rsidP="00110614">
      <w:pPr>
        <w:pStyle w:val="TableTitle"/>
      </w:pPr>
      <w:bookmarkStart w:id="71" w:name="_Ref80093508"/>
      <w:r w:rsidRPr="00110614">
        <w:t xml:space="preserve">Table </w:t>
      </w:r>
      <w:fldSimple w:instr=" SEQ Table \* ARABIC ">
        <w:r w:rsidR="001C5336">
          <w:rPr>
            <w:noProof/>
          </w:rPr>
          <w:t>14</w:t>
        </w:r>
      </w:fldSimple>
      <w:bookmarkEnd w:id="71"/>
      <w:r w:rsidRPr="00110614">
        <w:t>: Study 16244 Primary endpoint results by subgroup</w:t>
      </w:r>
    </w:p>
    <w:tbl>
      <w:tblPr>
        <w:tblStyle w:val="TableTGAblue"/>
        <w:tblW w:w="0" w:type="auto"/>
        <w:tblLook w:val="04A0" w:firstRow="1" w:lastRow="0" w:firstColumn="1" w:lastColumn="0" w:noHBand="0" w:noVBand="1"/>
      </w:tblPr>
      <w:tblGrid>
        <w:gridCol w:w="2286"/>
        <w:gridCol w:w="1953"/>
        <w:gridCol w:w="2476"/>
        <w:gridCol w:w="1769"/>
      </w:tblGrid>
      <w:tr w:rsidR="00946375" w:rsidRPr="000161A0" w14:paraId="13266508" w14:textId="77777777" w:rsidTr="00691412">
        <w:trPr>
          <w:cnfStyle w:val="100000000000" w:firstRow="1" w:lastRow="0" w:firstColumn="0" w:lastColumn="0" w:oddVBand="0" w:evenVBand="0" w:oddHBand="0" w:evenHBand="0" w:firstRowFirstColumn="0" w:firstRowLastColumn="0" w:lastRowFirstColumn="0" w:lastRowLastColumn="0"/>
        </w:trPr>
        <w:tc>
          <w:tcPr>
            <w:tcW w:w="2453" w:type="dxa"/>
          </w:tcPr>
          <w:p w14:paraId="3ED8686C" w14:textId="77777777" w:rsidR="00946375" w:rsidRPr="00691412" w:rsidRDefault="00946375" w:rsidP="00691412">
            <w:pPr>
              <w:pStyle w:val="Tabletext"/>
              <w:ind w:left="0" w:right="0"/>
            </w:pPr>
            <w:r w:rsidRPr="009E7BAC">
              <w:rPr>
                <w:sz w:val="20"/>
              </w:rPr>
              <w:t>Subgroup factor</w:t>
            </w:r>
          </w:p>
        </w:tc>
        <w:tc>
          <w:tcPr>
            <w:tcW w:w="2080" w:type="dxa"/>
          </w:tcPr>
          <w:p w14:paraId="0F2ADB6B" w14:textId="77777777" w:rsidR="00946375" w:rsidRPr="009E7BAC" w:rsidRDefault="00946375" w:rsidP="00691412">
            <w:pPr>
              <w:pStyle w:val="Tabletext"/>
              <w:ind w:left="0" w:right="0"/>
              <w:rPr>
                <w:sz w:val="20"/>
              </w:rPr>
            </w:pPr>
            <w:r w:rsidRPr="009E7BAC">
              <w:rPr>
                <w:sz w:val="20"/>
              </w:rPr>
              <w:t>Subgroup level</w:t>
            </w:r>
          </w:p>
        </w:tc>
        <w:tc>
          <w:tcPr>
            <w:tcW w:w="2619" w:type="dxa"/>
          </w:tcPr>
          <w:p w14:paraId="7A3045B9" w14:textId="0DBCE2FE" w:rsidR="00946375" w:rsidRPr="00691412" w:rsidRDefault="00946375" w:rsidP="00691412">
            <w:pPr>
              <w:pStyle w:val="Tabletext"/>
              <w:ind w:left="0" w:right="0"/>
            </w:pPr>
            <w:r w:rsidRPr="00691412">
              <w:t>H</w:t>
            </w:r>
            <w:r w:rsidR="00875D7E">
              <w:t>azard ratio</w:t>
            </w:r>
            <w:r w:rsidRPr="00691412">
              <w:t xml:space="preserve"> </w:t>
            </w:r>
            <w:r w:rsidR="00691412">
              <w:t>(</w:t>
            </w:r>
            <w:r w:rsidRPr="00691412">
              <w:t>95%</w:t>
            </w:r>
            <w:r w:rsidR="00875D7E">
              <w:t> confidence intervals</w:t>
            </w:r>
            <w:r w:rsidR="00691412">
              <w:t>)</w:t>
            </w:r>
          </w:p>
        </w:tc>
        <w:tc>
          <w:tcPr>
            <w:tcW w:w="1864" w:type="dxa"/>
          </w:tcPr>
          <w:p w14:paraId="28EFD0B4" w14:textId="28528F92" w:rsidR="00946375" w:rsidRPr="00691412" w:rsidRDefault="00946375" w:rsidP="00691412">
            <w:pPr>
              <w:pStyle w:val="Tabletext"/>
              <w:ind w:left="0" w:right="0"/>
              <w:rPr>
                <w:b w:val="0"/>
              </w:rPr>
            </w:pPr>
            <w:r w:rsidRPr="009E7BAC">
              <w:rPr>
                <w:sz w:val="20"/>
              </w:rPr>
              <w:t>Interaction p</w:t>
            </w:r>
            <w:r w:rsidR="00691412" w:rsidRPr="009E7BAC">
              <w:rPr>
                <w:sz w:val="20"/>
              </w:rPr>
              <w:noBreakHyphen/>
            </w:r>
            <w:r w:rsidRPr="009E7BAC">
              <w:rPr>
                <w:sz w:val="20"/>
              </w:rPr>
              <w:t>value</w:t>
            </w:r>
          </w:p>
        </w:tc>
      </w:tr>
      <w:tr w:rsidR="00946375" w:rsidRPr="000161A0" w14:paraId="7F756C60" w14:textId="77777777" w:rsidTr="00691412">
        <w:trPr>
          <w:trHeight w:val="553"/>
        </w:trPr>
        <w:tc>
          <w:tcPr>
            <w:tcW w:w="2453" w:type="dxa"/>
          </w:tcPr>
          <w:p w14:paraId="42FE9D00" w14:textId="77777777" w:rsidR="00946375" w:rsidRPr="00691412" w:rsidRDefault="00946375" w:rsidP="00691412">
            <w:pPr>
              <w:pStyle w:val="Tabletext"/>
              <w:ind w:left="0" w:right="0"/>
            </w:pPr>
            <w:r w:rsidRPr="00691412">
              <w:t>History of CVD</w:t>
            </w:r>
          </w:p>
        </w:tc>
        <w:tc>
          <w:tcPr>
            <w:tcW w:w="2080" w:type="dxa"/>
          </w:tcPr>
          <w:p w14:paraId="3CD9F293" w14:textId="77777777" w:rsidR="00946375" w:rsidRPr="00691412" w:rsidRDefault="00946375" w:rsidP="00691412">
            <w:pPr>
              <w:pStyle w:val="Tabletext"/>
              <w:ind w:left="0" w:right="0"/>
            </w:pPr>
            <w:r w:rsidRPr="00691412">
              <w:t>Present</w:t>
            </w:r>
            <w:r w:rsidRPr="00691412">
              <w:br/>
              <w:t>Absent</w:t>
            </w:r>
          </w:p>
        </w:tc>
        <w:tc>
          <w:tcPr>
            <w:tcW w:w="2619" w:type="dxa"/>
          </w:tcPr>
          <w:p w14:paraId="103BC89F" w14:textId="6199AA90" w:rsidR="00946375" w:rsidRPr="00691412" w:rsidRDefault="00946375" w:rsidP="00691412">
            <w:pPr>
              <w:pStyle w:val="Tabletext"/>
              <w:ind w:left="0" w:right="0"/>
            </w:pPr>
            <w:r w:rsidRPr="00691412">
              <w:t xml:space="preserve">0.70 </w:t>
            </w:r>
            <w:r w:rsidR="00691412">
              <w:t>(</w:t>
            </w:r>
            <w:r w:rsidRPr="00691412">
              <w:t>0.58</w:t>
            </w:r>
            <w:r w:rsidR="00875D7E">
              <w:t xml:space="preserve">; </w:t>
            </w:r>
            <w:r w:rsidRPr="00691412">
              <w:t>0.84</w:t>
            </w:r>
            <w:r w:rsidR="00691412">
              <w:t>)</w:t>
            </w:r>
            <w:r w:rsidRPr="00691412">
              <w:br/>
              <w:t xml:space="preserve">0.94 </w:t>
            </w:r>
            <w:r w:rsidR="00691412">
              <w:t>(</w:t>
            </w:r>
            <w:r w:rsidRPr="00691412">
              <w:t>0.80</w:t>
            </w:r>
            <w:r w:rsidR="00875D7E">
              <w:t xml:space="preserve">; </w:t>
            </w:r>
            <w:r w:rsidRPr="00691412">
              <w:t>1.09</w:t>
            </w:r>
            <w:r w:rsidR="00691412">
              <w:t>)</w:t>
            </w:r>
          </w:p>
        </w:tc>
        <w:tc>
          <w:tcPr>
            <w:tcW w:w="1864" w:type="dxa"/>
          </w:tcPr>
          <w:p w14:paraId="608C3FB8" w14:textId="77777777" w:rsidR="00946375" w:rsidRPr="00691412" w:rsidRDefault="00946375" w:rsidP="00691412">
            <w:pPr>
              <w:pStyle w:val="Tabletext"/>
              <w:ind w:left="0" w:right="0"/>
            </w:pPr>
            <w:r w:rsidRPr="00691412">
              <w:t>0.0160</w:t>
            </w:r>
          </w:p>
        </w:tc>
      </w:tr>
      <w:tr w:rsidR="00946375" w:rsidRPr="000161A0" w14:paraId="739D5302" w14:textId="77777777" w:rsidTr="00691412">
        <w:tc>
          <w:tcPr>
            <w:tcW w:w="2453" w:type="dxa"/>
            <w:vMerge w:val="restart"/>
          </w:tcPr>
          <w:p w14:paraId="5EADBC79" w14:textId="1123B3B3" w:rsidR="00946375" w:rsidRPr="00691412" w:rsidRDefault="00946375" w:rsidP="00222E90">
            <w:pPr>
              <w:pStyle w:val="Tabletext"/>
              <w:ind w:left="0" w:right="0"/>
            </w:pPr>
            <w:r w:rsidRPr="00691412">
              <w:t xml:space="preserve">Baseline BMI </w:t>
            </w:r>
            <w:r w:rsidR="00691412">
              <w:t>(</w:t>
            </w:r>
            <w:r w:rsidRPr="00691412">
              <w:t>kg/m</w:t>
            </w:r>
            <w:r w:rsidRPr="00691412">
              <w:rPr>
                <w:vertAlign w:val="superscript"/>
              </w:rPr>
              <w:t>2</w:t>
            </w:r>
            <w:r w:rsidR="00691412" w:rsidRPr="00691412">
              <w:t>)</w:t>
            </w:r>
          </w:p>
        </w:tc>
        <w:tc>
          <w:tcPr>
            <w:tcW w:w="2080" w:type="dxa"/>
          </w:tcPr>
          <w:p w14:paraId="4A245F8C" w14:textId="77777777" w:rsidR="00946375" w:rsidRPr="00691412" w:rsidRDefault="00946375" w:rsidP="00691412">
            <w:pPr>
              <w:pStyle w:val="Tabletext"/>
              <w:ind w:left="0" w:right="0"/>
            </w:pPr>
            <w:r w:rsidRPr="00691412">
              <w:t>&lt; 30</w:t>
            </w:r>
            <w:r w:rsidRPr="00691412">
              <w:br/>
              <w:t>≥ 30</w:t>
            </w:r>
          </w:p>
        </w:tc>
        <w:tc>
          <w:tcPr>
            <w:tcW w:w="2619" w:type="dxa"/>
          </w:tcPr>
          <w:p w14:paraId="707265C8" w14:textId="01DC829F" w:rsidR="00946375" w:rsidRPr="00691412" w:rsidRDefault="00946375" w:rsidP="00691412">
            <w:pPr>
              <w:pStyle w:val="Tabletext"/>
              <w:ind w:left="0" w:right="0"/>
            </w:pPr>
            <w:r w:rsidRPr="00691412">
              <w:t xml:space="preserve">0.68 </w:t>
            </w:r>
            <w:r w:rsidR="00691412">
              <w:t>(</w:t>
            </w:r>
            <w:r w:rsidRPr="00691412">
              <w:t>0.58</w:t>
            </w:r>
            <w:r w:rsidR="00875D7E">
              <w:t xml:space="preserve">; </w:t>
            </w:r>
            <w:r w:rsidRPr="00691412">
              <w:t>0.81</w:t>
            </w:r>
            <w:r w:rsidR="00691412">
              <w:t>)</w:t>
            </w:r>
            <w:r w:rsidRPr="00691412">
              <w:br/>
              <w:t xml:space="preserve">0.98 </w:t>
            </w:r>
            <w:r w:rsidR="00691412">
              <w:t>(</w:t>
            </w:r>
            <w:r w:rsidRPr="00691412">
              <w:t>0.83</w:t>
            </w:r>
            <w:r w:rsidR="00875D7E">
              <w:t xml:space="preserve">; </w:t>
            </w:r>
            <w:r w:rsidRPr="00691412">
              <w:t>1.17</w:t>
            </w:r>
            <w:r w:rsidR="00691412">
              <w:t>)</w:t>
            </w:r>
          </w:p>
        </w:tc>
        <w:tc>
          <w:tcPr>
            <w:tcW w:w="1864" w:type="dxa"/>
          </w:tcPr>
          <w:p w14:paraId="6FB7A762" w14:textId="77777777" w:rsidR="00946375" w:rsidRPr="00691412" w:rsidRDefault="00946375" w:rsidP="00691412">
            <w:pPr>
              <w:pStyle w:val="Tabletext"/>
              <w:ind w:left="0" w:right="0"/>
            </w:pPr>
            <w:r w:rsidRPr="00691412">
              <w:t>0.0028</w:t>
            </w:r>
          </w:p>
        </w:tc>
      </w:tr>
      <w:tr w:rsidR="00946375" w:rsidRPr="000161A0" w14:paraId="0964B0E9" w14:textId="77777777" w:rsidTr="00691412">
        <w:tc>
          <w:tcPr>
            <w:tcW w:w="2453" w:type="dxa"/>
            <w:vMerge/>
          </w:tcPr>
          <w:p w14:paraId="75867008" w14:textId="77777777" w:rsidR="00946375" w:rsidRPr="00691412" w:rsidRDefault="00946375" w:rsidP="00691412">
            <w:pPr>
              <w:pStyle w:val="Tabletext"/>
              <w:ind w:left="0" w:right="0"/>
            </w:pPr>
          </w:p>
        </w:tc>
        <w:tc>
          <w:tcPr>
            <w:tcW w:w="2080" w:type="dxa"/>
          </w:tcPr>
          <w:p w14:paraId="4184C9EF" w14:textId="7083A117" w:rsidR="00946375" w:rsidRPr="00691412" w:rsidRDefault="00946375" w:rsidP="00691412">
            <w:pPr>
              <w:pStyle w:val="Tabletext"/>
              <w:ind w:left="0" w:right="0"/>
            </w:pPr>
            <w:r w:rsidRPr="00691412">
              <w:t>&lt;</w:t>
            </w:r>
            <w:r w:rsidR="00875D7E">
              <w:t xml:space="preserve"> </w:t>
            </w:r>
            <w:r w:rsidRPr="00691412">
              <w:t>20</w:t>
            </w:r>
            <w:r w:rsidRPr="00691412">
              <w:br/>
              <w:t>20 &lt;</w:t>
            </w:r>
            <w:r w:rsidR="00875D7E">
              <w:t xml:space="preserve"> </w:t>
            </w:r>
            <w:r w:rsidRPr="00691412">
              <w:t>25</w:t>
            </w:r>
            <w:r w:rsidRPr="00691412">
              <w:br/>
              <w:t>25 &lt;</w:t>
            </w:r>
            <w:r w:rsidR="00875D7E">
              <w:t xml:space="preserve"> </w:t>
            </w:r>
            <w:r w:rsidRPr="00691412">
              <w:t>30</w:t>
            </w:r>
            <w:r w:rsidRPr="00691412">
              <w:br/>
              <w:t>30 &lt;</w:t>
            </w:r>
            <w:r w:rsidR="00875D7E">
              <w:t xml:space="preserve"> </w:t>
            </w:r>
            <w:r w:rsidRPr="00691412">
              <w:t>35</w:t>
            </w:r>
            <w:r w:rsidRPr="00691412">
              <w:br/>
              <w:t>≥</w:t>
            </w:r>
            <w:r w:rsidR="00875D7E">
              <w:t xml:space="preserve"> </w:t>
            </w:r>
            <w:r w:rsidRPr="00691412">
              <w:t>35</w:t>
            </w:r>
          </w:p>
        </w:tc>
        <w:tc>
          <w:tcPr>
            <w:tcW w:w="2619" w:type="dxa"/>
          </w:tcPr>
          <w:p w14:paraId="1E43A660" w14:textId="5AA12CDC" w:rsidR="00946375" w:rsidRPr="00691412" w:rsidRDefault="00946375" w:rsidP="00691412">
            <w:pPr>
              <w:pStyle w:val="Tabletext"/>
              <w:ind w:left="0" w:right="0"/>
            </w:pPr>
            <w:r w:rsidRPr="00691412">
              <w:t xml:space="preserve">0.96 </w:t>
            </w:r>
            <w:r w:rsidR="00691412">
              <w:t>(</w:t>
            </w:r>
            <w:r w:rsidRPr="00691412">
              <w:t>0.28</w:t>
            </w:r>
            <w:r w:rsidR="00875D7E">
              <w:t xml:space="preserve">; </w:t>
            </w:r>
            <w:r w:rsidRPr="00691412">
              <w:t>3.33</w:t>
            </w:r>
            <w:r w:rsidR="00691412">
              <w:t>)</w:t>
            </w:r>
            <w:r w:rsidRPr="00691412">
              <w:br/>
              <w:t xml:space="preserve">0.80 </w:t>
            </w:r>
            <w:r w:rsidR="00691412">
              <w:t>(</w:t>
            </w:r>
            <w:r w:rsidRPr="00691412">
              <w:t>0.59</w:t>
            </w:r>
            <w:r w:rsidR="00875D7E">
              <w:t xml:space="preserve">; </w:t>
            </w:r>
            <w:r w:rsidRPr="00691412">
              <w:t>1.07</w:t>
            </w:r>
            <w:r w:rsidR="00691412">
              <w:t>)</w:t>
            </w:r>
            <w:r w:rsidRPr="00691412">
              <w:br/>
              <w:t xml:space="preserve">0.63 </w:t>
            </w:r>
            <w:r w:rsidR="00691412">
              <w:t>(</w:t>
            </w:r>
            <w:r w:rsidRPr="00691412">
              <w:t>0.51</w:t>
            </w:r>
            <w:r w:rsidR="00875D7E">
              <w:t xml:space="preserve">; </w:t>
            </w:r>
            <w:r w:rsidRPr="00691412">
              <w:t>0.78</w:t>
            </w:r>
            <w:r w:rsidR="00691412">
              <w:t>)</w:t>
            </w:r>
            <w:r w:rsidRPr="00691412">
              <w:br/>
              <w:t xml:space="preserve">0.87 </w:t>
            </w:r>
            <w:r w:rsidR="00691412">
              <w:t>(</w:t>
            </w:r>
            <w:r w:rsidRPr="00691412">
              <w:t>0.70</w:t>
            </w:r>
            <w:r w:rsidR="00875D7E">
              <w:t xml:space="preserve">; </w:t>
            </w:r>
            <w:r w:rsidRPr="00691412">
              <w:t>1.09</w:t>
            </w:r>
            <w:r w:rsidR="00691412">
              <w:t>)</w:t>
            </w:r>
            <w:r w:rsidRPr="00691412">
              <w:br/>
              <w:t xml:space="preserve">1.16 </w:t>
            </w:r>
            <w:r w:rsidR="00691412">
              <w:t>(</w:t>
            </w:r>
            <w:r w:rsidRPr="00691412">
              <w:t>0.90</w:t>
            </w:r>
            <w:r w:rsidR="00875D7E">
              <w:t xml:space="preserve">; </w:t>
            </w:r>
            <w:r w:rsidRPr="00691412">
              <w:t>1.49</w:t>
            </w:r>
            <w:r w:rsidR="00691412">
              <w:t>)</w:t>
            </w:r>
          </w:p>
        </w:tc>
        <w:tc>
          <w:tcPr>
            <w:tcW w:w="1864" w:type="dxa"/>
          </w:tcPr>
          <w:p w14:paraId="24526E78" w14:textId="77777777" w:rsidR="00946375" w:rsidRPr="00691412" w:rsidRDefault="00946375" w:rsidP="00691412">
            <w:pPr>
              <w:pStyle w:val="Tabletext"/>
              <w:ind w:left="0" w:right="0"/>
            </w:pPr>
            <w:r w:rsidRPr="00691412">
              <w:t>0.0091</w:t>
            </w:r>
          </w:p>
        </w:tc>
      </w:tr>
      <w:tr w:rsidR="00946375" w:rsidRPr="000161A0" w14:paraId="5A61B3C7" w14:textId="77777777" w:rsidTr="00691412">
        <w:tc>
          <w:tcPr>
            <w:tcW w:w="2453" w:type="dxa"/>
          </w:tcPr>
          <w:p w14:paraId="76E3A0C6" w14:textId="77777777" w:rsidR="00946375" w:rsidRPr="00691412" w:rsidRDefault="00946375" w:rsidP="00691412">
            <w:pPr>
              <w:pStyle w:val="Tabletext"/>
              <w:ind w:left="0" w:right="0"/>
            </w:pPr>
            <w:r w:rsidRPr="00691412">
              <w:t>Baseline waist circumference</w:t>
            </w:r>
          </w:p>
        </w:tc>
        <w:tc>
          <w:tcPr>
            <w:tcW w:w="2080" w:type="dxa"/>
          </w:tcPr>
          <w:p w14:paraId="159BCCBC" w14:textId="77777777" w:rsidR="00946375" w:rsidRPr="00691412" w:rsidRDefault="00946375" w:rsidP="00691412">
            <w:pPr>
              <w:pStyle w:val="Tabletext"/>
              <w:ind w:left="0" w:right="0"/>
            </w:pPr>
            <w:r w:rsidRPr="00691412">
              <w:t>normal</w:t>
            </w:r>
            <w:r w:rsidRPr="00691412">
              <w:br/>
              <w:t>increased</w:t>
            </w:r>
            <w:r w:rsidRPr="00691412">
              <w:br/>
              <w:t>substantially increased</w:t>
            </w:r>
          </w:p>
        </w:tc>
        <w:tc>
          <w:tcPr>
            <w:tcW w:w="2619" w:type="dxa"/>
          </w:tcPr>
          <w:p w14:paraId="150A0511" w14:textId="50FE4E93" w:rsidR="00946375" w:rsidRPr="00691412" w:rsidRDefault="00946375" w:rsidP="00691412">
            <w:pPr>
              <w:pStyle w:val="Tabletext"/>
              <w:ind w:left="0" w:right="0"/>
            </w:pPr>
            <w:r w:rsidRPr="00691412">
              <w:t xml:space="preserve">0.84 </w:t>
            </w:r>
            <w:r w:rsidR="00691412">
              <w:t>(</w:t>
            </w:r>
            <w:r w:rsidRPr="00691412">
              <w:t>0.62</w:t>
            </w:r>
            <w:r w:rsidR="00875D7E">
              <w:t xml:space="preserve">; </w:t>
            </w:r>
            <w:r w:rsidRPr="00691412">
              <w:t>1.13</w:t>
            </w:r>
            <w:r w:rsidR="00691412">
              <w:t>)</w:t>
            </w:r>
            <w:r w:rsidRPr="00691412">
              <w:br/>
              <w:t xml:space="preserve">0.60 </w:t>
            </w:r>
            <w:r w:rsidR="00691412">
              <w:t>(</w:t>
            </w:r>
            <w:r w:rsidRPr="00691412">
              <w:t>0.46</w:t>
            </w:r>
            <w:r w:rsidR="00875D7E">
              <w:t xml:space="preserve">; </w:t>
            </w:r>
            <w:r w:rsidRPr="00691412">
              <w:t>0.79</w:t>
            </w:r>
            <w:r w:rsidR="00691412">
              <w:t>)</w:t>
            </w:r>
            <w:r w:rsidRPr="00691412">
              <w:br/>
              <w:t xml:space="preserve">0.91 </w:t>
            </w:r>
            <w:r w:rsidR="00691412">
              <w:t>(</w:t>
            </w:r>
            <w:r w:rsidRPr="00691412">
              <w:t>0.79</w:t>
            </w:r>
            <w:r w:rsidR="00875D7E">
              <w:t xml:space="preserve">; </w:t>
            </w:r>
            <w:r w:rsidRPr="00691412">
              <w:t>1.06</w:t>
            </w:r>
            <w:r w:rsidR="00691412">
              <w:t>)</w:t>
            </w:r>
          </w:p>
        </w:tc>
        <w:tc>
          <w:tcPr>
            <w:tcW w:w="1864" w:type="dxa"/>
          </w:tcPr>
          <w:p w14:paraId="3C711C91" w14:textId="77777777" w:rsidR="00946375" w:rsidRPr="00691412" w:rsidRDefault="00946375" w:rsidP="00691412">
            <w:pPr>
              <w:pStyle w:val="Tabletext"/>
              <w:ind w:left="0" w:right="0"/>
            </w:pPr>
            <w:r w:rsidRPr="00691412">
              <w:t>0.0274</w:t>
            </w:r>
          </w:p>
        </w:tc>
      </w:tr>
      <w:tr w:rsidR="00946375" w:rsidRPr="000161A0" w14:paraId="0B54FAE1" w14:textId="77777777" w:rsidTr="00691412">
        <w:trPr>
          <w:trHeight w:val="699"/>
        </w:trPr>
        <w:tc>
          <w:tcPr>
            <w:tcW w:w="2453" w:type="dxa"/>
          </w:tcPr>
          <w:p w14:paraId="713AAF9C" w14:textId="77777777" w:rsidR="00946375" w:rsidRPr="00691412" w:rsidRDefault="00946375" w:rsidP="00691412">
            <w:pPr>
              <w:pStyle w:val="Tabletext"/>
              <w:ind w:left="0" w:right="0"/>
            </w:pPr>
            <w:r w:rsidRPr="00691412">
              <w:lastRenderedPageBreak/>
              <w:t>DPP-4 inhibitor use</w:t>
            </w:r>
          </w:p>
        </w:tc>
        <w:tc>
          <w:tcPr>
            <w:tcW w:w="2080" w:type="dxa"/>
          </w:tcPr>
          <w:p w14:paraId="736FD719" w14:textId="77777777" w:rsidR="00946375" w:rsidRPr="00691412" w:rsidRDefault="00946375" w:rsidP="00691412">
            <w:pPr>
              <w:pStyle w:val="Tabletext"/>
              <w:ind w:left="0" w:right="0"/>
            </w:pPr>
            <w:r w:rsidRPr="00691412">
              <w:t>No</w:t>
            </w:r>
            <w:r w:rsidRPr="00691412">
              <w:br/>
              <w:t>Yes</w:t>
            </w:r>
          </w:p>
        </w:tc>
        <w:tc>
          <w:tcPr>
            <w:tcW w:w="2619" w:type="dxa"/>
          </w:tcPr>
          <w:p w14:paraId="249BDBC9" w14:textId="47194B3F" w:rsidR="00946375" w:rsidRPr="00691412" w:rsidRDefault="00946375" w:rsidP="00691412">
            <w:pPr>
              <w:pStyle w:val="Tabletext"/>
              <w:ind w:left="0" w:right="0"/>
            </w:pPr>
            <w:r w:rsidRPr="00691412">
              <w:t xml:space="preserve">0.77 </w:t>
            </w:r>
            <w:r w:rsidR="00691412">
              <w:t>(</w:t>
            </w:r>
            <w:r w:rsidRPr="00691412">
              <w:t>0.67</w:t>
            </w:r>
            <w:r w:rsidR="00875D7E">
              <w:t xml:space="preserve">; </w:t>
            </w:r>
            <w:r w:rsidRPr="00691412">
              <w:t>0.88</w:t>
            </w:r>
            <w:r w:rsidR="00691412">
              <w:t>)</w:t>
            </w:r>
            <w:r w:rsidRPr="00691412">
              <w:br/>
              <w:t xml:space="preserve">0.98 </w:t>
            </w:r>
            <w:r w:rsidR="00691412">
              <w:t>(</w:t>
            </w:r>
            <w:r w:rsidRPr="00691412">
              <w:t>0.79;1.23</w:t>
            </w:r>
            <w:r w:rsidR="00691412">
              <w:t>)</w:t>
            </w:r>
          </w:p>
        </w:tc>
        <w:tc>
          <w:tcPr>
            <w:tcW w:w="1864" w:type="dxa"/>
          </w:tcPr>
          <w:p w14:paraId="0A4B71AF" w14:textId="77777777" w:rsidR="00946375" w:rsidRPr="00691412" w:rsidRDefault="00946375" w:rsidP="00691412">
            <w:pPr>
              <w:pStyle w:val="Tabletext"/>
              <w:ind w:left="0" w:right="0"/>
            </w:pPr>
            <w:r w:rsidRPr="00691412">
              <w:t>0.0680</w:t>
            </w:r>
          </w:p>
        </w:tc>
      </w:tr>
      <w:tr w:rsidR="00946375" w:rsidRPr="000161A0" w14:paraId="20E3DF03" w14:textId="77777777" w:rsidTr="00691412">
        <w:trPr>
          <w:trHeight w:val="699"/>
        </w:trPr>
        <w:tc>
          <w:tcPr>
            <w:tcW w:w="2453" w:type="dxa"/>
          </w:tcPr>
          <w:p w14:paraId="562934F9" w14:textId="70A584AC" w:rsidR="00946375" w:rsidRPr="00691412" w:rsidRDefault="00946375" w:rsidP="00691412">
            <w:pPr>
              <w:pStyle w:val="Tabletext"/>
              <w:ind w:left="0" w:right="0"/>
            </w:pPr>
            <w:r w:rsidRPr="00691412">
              <w:t>SGLT</w:t>
            </w:r>
            <w:r w:rsidR="00B0558A">
              <w:t>-</w:t>
            </w:r>
            <w:r w:rsidRPr="00691412">
              <w:t>2 inhibitor use</w:t>
            </w:r>
          </w:p>
        </w:tc>
        <w:tc>
          <w:tcPr>
            <w:tcW w:w="2080" w:type="dxa"/>
          </w:tcPr>
          <w:p w14:paraId="05E206E2" w14:textId="77777777" w:rsidR="00946375" w:rsidRPr="00691412" w:rsidRDefault="00946375" w:rsidP="00691412">
            <w:pPr>
              <w:pStyle w:val="Tabletext"/>
              <w:ind w:left="0" w:right="0"/>
            </w:pPr>
            <w:r w:rsidRPr="00691412">
              <w:t>No</w:t>
            </w:r>
            <w:r w:rsidRPr="00691412">
              <w:br/>
              <w:t>Yes</w:t>
            </w:r>
          </w:p>
        </w:tc>
        <w:tc>
          <w:tcPr>
            <w:tcW w:w="2619" w:type="dxa"/>
          </w:tcPr>
          <w:p w14:paraId="4B2EB816" w14:textId="365D04D9" w:rsidR="00946375" w:rsidRPr="00691412" w:rsidRDefault="00946375" w:rsidP="00691412">
            <w:pPr>
              <w:pStyle w:val="Tabletext"/>
              <w:ind w:left="0" w:right="0"/>
            </w:pPr>
            <w:r w:rsidRPr="00691412">
              <w:t xml:space="preserve">0.82 </w:t>
            </w:r>
            <w:r w:rsidR="00691412">
              <w:t>(</w:t>
            </w:r>
            <w:r w:rsidRPr="00691412">
              <w:t>0.72;0.92</w:t>
            </w:r>
            <w:r w:rsidR="00691412">
              <w:t>)</w:t>
            </w:r>
            <w:r w:rsidRPr="00691412">
              <w:br/>
              <w:t xml:space="preserve">1.38 </w:t>
            </w:r>
            <w:r w:rsidR="00691412">
              <w:t>(</w:t>
            </w:r>
            <w:r w:rsidRPr="00691412">
              <w:t>0.61;3.10</w:t>
            </w:r>
            <w:r w:rsidR="00691412">
              <w:t>)</w:t>
            </w:r>
          </w:p>
        </w:tc>
        <w:tc>
          <w:tcPr>
            <w:tcW w:w="1864" w:type="dxa"/>
          </w:tcPr>
          <w:p w14:paraId="5A58EF5E" w14:textId="77777777" w:rsidR="00946375" w:rsidRPr="00691412" w:rsidRDefault="00946375" w:rsidP="00691412">
            <w:pPr>
              <w:pStyle w:val="Tabletext"/>
              <w:ind w:left="0" w:right="0"/>
            </w:pPr>
            <w:r w:rsidRPr="00691412">
              <w:t>0.2114</w:t>
            </w:r>
          </w:p>
        </w:tc>
      </w:tr>
      <w:tr w:rsidR="00946375" w:rsidRPr="000161A0" w14:paraId="1DC5043D" w14:textId="77777777" w:rsidTr="00691412">
        <w:trPr>
          <w:trHeight w:val="735"/>
        </w:trPr>
        <w:tc>
          <w:tcPr>
            <w:tcW w:w="2453" w:type="dxa"/>
          </w:tcPr>
          <w:p w14:paraId="60EF4536" w14:textId="7C5B9030" w:rsidR="00946375" w:rsidRPr="00691412" w:rsidRDefault="00946375" w:rsidP="00691412">
            <w:pPr>
              <w:pStyle w:val="Tabletext"/>
              <w:ind w:left="0" w:right="0"/>
            </w:pPr>
            <w:r w:rsidRPr="00691412">
              <w:t xml:space="preserve">GLP-1 </w:t>
            </w:r>
            <w:r w:rsidR="009C3C5E" w:rsidRPr="00691412">
              <w:t xml:space="preserve">receptor agonists </w:t>
            </w:r>
            <w:r w:rsidRPr="00691412">
              <w:t>use</w:t>
            </w:r>
          </w:p>
        </w:tc>
        <w:tc>
          <w:tcPr>
            <w:tcW w:w="2080" w:type="dxa"/>
          </w:tcPr>
          <w:p w14:paraId="563F21A0" w14:textId="77777777" w:rsidR="00946375" w:rsidRPr="00691412" w:rsidRDefault="00946375" w:rsidP="00691412">
            <w:pPr>
              <w:pStyle w:val="Tabletext"/>
              <w:ind w:left="0" w:right="0"/>
            </w:pPr>
            <w:r w:rsidRPr="00691412">
              <w:t>No</w:t>
            </w:r>
            <w:r w:rsidRPr="00691412">
              <w:br/>
              <w:t>Yes</w:t>
            </w:r>
          </w:p>
        </w:tc>
        <w:tc>
          <w:tcPr>
            <w:tcW w:w="2619" w:type="dxa"/>
          </w:tcPr>
          <w:p w14:paraId="4EF9DE60" w14:textId="043DCE04" w:rsidR="00946375" w:rsidRPr="00691412" w:rsidRDefault="00946375" w:rsidP="00691412">
            <w:pPr>
              <w:pStyle w:val="Tabletext"/>
              <w:ind w:left="0" w:right="0"/>
            </w:pPr>
            <w:r w:rsidRPr="00691412">
              <w:t xml:space="preserve">0.80 </w:t>
            </w:r>
            <w:r w:rsidR="00691412">
              <w:t>(</w:t>
            </w:r>
            <w:r w:rsidRPr="00691412">
              <w:t>0.71;0.91</w:t>
            </w:r>
            <w:r w:rsidR="00691412">
              <w:t>)</w:t>
            </w:r>
            <w:r w:rsidRPr="00691412">
              <w:br/>
              <w:t xml:space="preserve">1.17 </w:t>
            </w:r>
            <w:r w:rsidR="00691412">
              <w:t>(</w:t>
            </w:r>
            <w:r w:rsidRPr="00691412">
              <w:t>0.71;1.90</w:t>
            </w:r>
            <w:r w:rsidR="00691412">
              <w:t>)</w:t>
            </w:r>
          </w:p>
        </w:tc>
        <w:tc>
          <w:tcPr>
            <w:tcW w:w="1864" w:type="dxa"/>
          </w:tcPr>
          <w:p w14:paraId="62D4EE40" w14:textId="77777777" w:rsidR="00946375" w:rsidRPr="00691412" w:rsidRDefault="00946375" w:rsidP="00691412">
            <w:pPr>
              <w:pStyle w:val="Tabletext"/>
              <w:ind w:left="0" w:right="0"/>
            </w:pPr>
            <w:r w:rsidRPr="00691412">
              <w:t>0.1502</w:t>
            </w:r>
          </w:p>
        </w:tc>
      </w:tr>
      <w:tr w:rsidR="00946375" w:rsidRPr="000161A0" w14:paraId="1629FAE4" w14:textId="77777777" w:rsidTr="00691412">
        <w:tc>
          <w:tcPr>
            <w:tcW w:w="2453" w:type="dxa"/>
            <w:vMerge w:val="restart"/>
          </w:tcPr>
          <w:p w14:paraId="2A405CB9" w14:textId="306894AB" w:rsidR="00946375" w:rsidRPr="00691412" w:rsidRDefault="00946375">
            <w:pPr>
              <w:pStyle w:val="Tabletext"/>
              <w:ind w:left="0" w:right="0"/>
            </w:pPr>
            <w:r w:rsidRPr="00691412">
              <w:t>Co-medication</w:t>
            </w:r>
            <w:r w:rsidRPr="00691412">
              <w:br/>
              <w:t xml:space="preserve">with </w:t>
            </w:r>
            <w:r w:rsidR="00875D7E">
              <w:t>drug-drug interaction</w:t>
            </w:r>
            <w:r w:rsidR="00875D7E" w:rsidRPr="00691412">
              <w:t xml:space="preserve"> </w:t>
            </w:r>
            <w:r w:rsidRPr="00691412">
              <w:t>through</w:t>
            </w:r>
            <w:r w:rsidRPr="00691412">
              <w:br/>
              <w:t>CYP3A4</w:t>
            </w:r>
          </w:p>
        </w:tc>
        <w:tc>
          <w:tcPr>
            <w:tcW w:w="2080" w:type="dxa"/>
          </w:tcPr>
          <w:p w14:paraId="0231E068" w14:textId="77777777" w:rsidR="00946375" w:rsidRPr="00691412" w:rsidRDefault="00946375" w:rsidP="00691412">
            <w:pPr>
              <w:pStyle w:val="Tabletext"/>
              <w:ind w:left="0" w:right="0"/>
            </w:pPr>
            <w:r w:rsidRPr="00691412">
              <w:t>Inhibitor</w:t>
            </w:r>
          </w:p>
          <w:p w14:paraId="4E7A95ED" w14:textId="77777777" w:rsidR="00946375" w:rsidRPr="00691412" w:rsidRDefault="00946375" w:rsidP="00691412">
            <w:pPr>
              <w:pStyle w:val="Tabletext"/>
              <w:ind w:left="0" w:right="0"/>
            </w:pPr>
            <w:r w:rsidRPr="00691412">
              <w:t>strong</w:t>
            </w:r>
            <w:r w:rsidRPr="00691412">
              <w:br/>
              <w:t>unclassified</w:t>
            </w:r>
            <w:r w:rsidRPr="00691412">
              <w:br/>
              <w:t>moderate inhibitor</w:t>
            </w:r>
            <w:r w:rsidRPr="00691412">
              <w:br/>
              <w:t>weak inhibitor</w:t>
            </w:r>
            <w:r w:rsidRPr="00691412">
              <w:br/>
              <w:t>none</w:t>
            </w:r>
          </w:p>
        </w:tc>
        <w:tc>
          <w:tcPr>
            <w:tcW w:w="2619" w:type="dxa"/>
          </w:tcPr>
          <w:p w14:paraId="4FD67C04" w14:textId="77777777" w:rsidR="00946375" w:rsidRPr="00691412" w:rsidRDefault="00946375" w:rsidP="00691412">
            <w:pPr>
              <w:pStyle w:val="Tabletext"/>
              <w:ind w:left="0" w:right="0"/>
            </w:pPr>
          </w:p>
          <w:p w14:paraId="72608AE7" w14:textId="5D519000" w:rsidR="00946375" w:rsidRPr="00691412" w:rsidRDefault="00946375" w:rsidP="00691412">
            <w:pPr>
              <w:pStyle w:val="Tabletext"/>
              <w:ind w:left="0" w:right="0"/>
            </w:pPr>
            <w:r w:rsidRPr="00691412">
              <w:t xml:space="preserve">1.32 </w:t>
            </w:r>
            <w:r w:rsidR="00691412">
              <w:t>(</w:t>
            </w:r>
            <w:r w:rsidRPr="00691412">
              <w:t>0.35-4.93</w:t>
            </w:r>
            <w:r w:rsidR="00691412">
              <w:t>)</w:t>
            </w:r>
            <w:r w:rsidRPr="00691412">
              <w:br/>
              <w:t xml:space="preserve">0.86 </w:t>
            </w:r>
            <w:r w:rsidR="00691412">
              <w:t>(</w:t>
            </w:r>
            <w:r w:rsidRPr="00691412">
              <w:t>0.30-2.49</w:t>
            </w:r>
            <w:r w:rsidR="00691412">
              <w:t>)</w:t>
            </w:r>
            <w:r w:rsidRPr="00691412">
              <w:br/>
              <w:t xml:space="preserve">0.94 </w:t>
            </w:r>
            <w:r w:rsidR="00691412">
              <w:t>(</w:t>
            </w:r>
            <w:r w:rsidRPr="00691412">
              <w:t>0.43-2.08</w:t>
            </w:r>
            <w:r w:rsidR="00691412">
              <w:t>)</w:t>
            </w:r>
            <w:r w:rsidRPr="00691412">
              <w:br/>
              <w:t xml:space="preserve">0.80 </w:t>
            </w:r>
            <w:r w:rsidR="00691412">
              <w:t>(</w:t>
            </w:r>
            <w:r w:rsidRPr="00691412">
              <w:t>0.69-0.92</w:t>
            </w:r>
            <w:r w:rsidR="00691412">
              <w:t>)</w:t>
            </w:r>
            <w:r w:rsidRPr="00691412">
              <w:br/>
              <w:t xml:space="preserve">0.86 </w:t>
            </w:r>
            <w:r w:rsidR="00691412">
              <w:t>(</w:t>
            </w:r>
            <w:r w:rsidRPr="00691412">
              <w:t>0.70-1.07</w:t>
            </w:r>
            <w:r w:rsidR="00691412">
              <w:t>)</w:t>
            </w:r>
          </w:p>
        </w:tc>
        <w:tc>
          <w:tcPr>
            <w:tcW w:w="1864" w:type="dxa"/>
          </w:tcPr>
          <w:p w14:paraId="7CBDBDDE" w14:textId="77777777" w:rsidR="00946375" w:rsidRPr="00691412" w:rsidRDefault="00946375" w:rsidP="00691412">
            <w:pPr>
              <w:pStyle w:val="Tabletext"/>
              <w:ind w:left="0" w:right="0"/>
            </w:pPr>
            <w:r w:rsidRPr="00691412">
              <w:t>0.9094</w:t>
            </w:r>
          </w:p>
        </w:tc>
      </w:tr>
      <w:tr w:rsidR="00946375" w:rsidRPr="000161A0" w14:paraId="4F1012FE" w14:textId="77777777" w:rsidTr="00691412">
        <w:tc>
          <w:tcPr>
            <w:tcW w:w="2453" w:type="dxa"/>
            <w:vMerge/>
          </w:tcPr>
          <w:p w14:paraId="638ABF70" w14:textId="77777777" w:rsidR="00946375" w:rsidRPr="00691412" w:rsidRDefault="00946375" w:rsidP="00691412">
            <w:pPr>
              <w:pStyle w:val="Tabletext"/>
              <w:ind w:left="0" w:right="0"/>
            </w:pPr>
          </w:p>
        </w:tc>
        <w:tc>
          <w:tcPr>
            <w:tcW w:w="2080" w:type="dxa"/>
          </w:tcPr>
          <w:p w14:paraId="5CDF17E2" w14:textId="77777777" w:rsidR="00946375" w:rsidRPr="00691412" w:rsidRDefault="00946375" w:rsidP="00691412">
            <w:pPr>
              <w:pStyle w:val="Tabletext"/>
              <w:ind w:left="0" w:right="0"/>
            </w:pPr>
            <w:r w:rsidRPr="00691412">
              <w:t>Inducer</w:t>
            </w:r>
          </w:p>
          <w:p w14:paraId="75A41E07" w14:textId="77777777" w:rsidR="00946375" w:rsidRPr="00691412" w:rsidRDefault="00946375" w:rsidP="00691412">
            <w:pPr>
              <w:pStyle w:val="Tabletext"/>
              <w:ind w:left="0" w:right="0"/>
            </w:pPr>
            <w:r w:rsidRPr="00691412">
              <w:t>strong</w:t>
            </w:r>
            <w:r w:rsidRPr="00691412">
              <w:br/>
              <w:t>unclassified</w:t>
            </w:r>
            <w:r w:rsidRPr="00691412">
              <w:br/>
              <w:t>moderate</w:t>
            </w:r>
            <w:r w:rsidRPr="00691412">
              <w:br/>
              <w:t>weak inducer</w:t>
            </w:r>
            <w:r w:rsidRPr="00691412">
              <w:br/>
              <w:t>none</w:t>
            </w:r>
          </w:p>
        </w:tc>
        <w:tc>
          <w:tcPr>
            <w:tcW w:w="2619" w:type="dxa"/>
          </w:tcPr>
          <w:p w14:paraId="3420E615" w14:textId="77777777" w:rsidR="00946375" w:rsidRPr="00691412" w:rsidRDefault="00946375" w:rsidP="00691412">
            <w:pPr>
              <w:pStyle w:val="Tabletext"/>
              <w:ind w:left="0" w:right="0"/>
            </w:pPr>
          </w:p>
          <w:p w14:paraId="6D279110" w14:textId="2669315B" w:rsidR="00946375" w:rsidRPr="00691412" w:rsidRDefault="00946375" w:rsidP="00691412">
            <w:pPr>
              <w:pStyle w:val="Tabletext"/>
              <w:ind w:left="0" w:right="0"/>
            </w:pPr>
            <w:r w:rsidRPr="00691412">
              <w:t xml:space="preserve">not calculated (no events) </w:t>
            </w:r>
            <w:r w:rsidRPr="00691412">
              <w:br/>
              <w:t xml:space="preserve">1.80 </w:t>
            </w:r>
            <w:r w:rsidR="00691412">
              <w:t>(</w:t>
            </w:r>
            <w:r w:rsidRPr="00691412">
              <w:t>0.46-6.98</w:t>
            </w:r>
            <w:r w:rsidR="00691412">
              <w:t>)</w:t>
            </w:r>
            <w:r w:rsidRPr="00691412">
              <w:br/>
              <w:t xml:space="preserve">3.73 </w:t>
            </w:r>
            <w:r w:rsidR="00691412">
              <w:t>(</w:t>
            </w:r>
            <w:r w:rsidRPr="00691412">
              <w:t>0.68-20.5</w:t>
            </w:r>
            <w:r w:rsidR="00691412">
              <w:t>)</w:t>
            </w:r>
            <w:r w:rsidRPr="00691412">
              <w:br/>
              <w:t xml:space="preserve">0.78 </w:t>
            </w:r>
            <w:r w:rsidR="00691412">
              <w:t>(</w:t>
            </w:r>
            <w:r w:rsidRPr="00691412">
              <w:t>0.43-1.42</w:t>
            </w:r>
            <w:r w:rsidR="00691412">
              <w:t>)</w:t>
            </w:r>
            <w:r w:rsidRPr="00691412">
              <w:br/>
              <w:t xml:space="preserve">0.82 </w:t>
            </w:r>
            <w:r w:rsidR="00691412">
              <w:t>(</w:t>
            </w:r>
            <w:r w:rsidRPr="00691412">
              <w:t>0.62-0.92</w:t>
            </w:r>
            <w:r w:rsidR="00691412">
              <w:t>)</w:t>
            </w:r>
          </w:p>
        </w:tc>
        <w:tc>
          <w:tcPr>
            <w:tcW w:w="1864" w:type="dxa"/>
          </w:tcPr>
          <w:p w14:paraId="21F5000F" w14:textId="77777777" w:rsidR="00946375" w:rsidRPr="00691412" w:rsidRDefault="00946375" w:rsidP="00691412">
            <w:pPr>
              <w:pStyle w:val="Tabletext"/>
              <w:ind w:left="0" w:right="0"/>
            </w:pPr>
            <w:r w:rsidRPr="00691412">
              <w:t>not calculated</w:t>
            </w:r>
          </w:p>
        </w:tc>
      </w:tr>
      <w:tr w:rsidR="00946375" w:rsidRPr="000161A0" w14:paraId="1A93C260" w14:textId="77777777" w:rsidTr="00691412">
        <w:tc>
          <w:tcPr>
            <w:tcW w:w="2453" w:type="dxa"/>
          </w:tcPr>
          <w:p w14:paraId="36B5886B" w14:textId="77777777" w:rsidR="00946375" w:rsidRPr="00691412" w:rsidRDefault="00946375" w:rsidP="00691412">
            <w:pPr>
              <w:pStyle w:val="Tabletext"/>
              <w:ind w:left="0" w:right="0"/>
            </w:pPr>
            <w:r w:rsidRPr="00691412">
              <w:t>Potassium supplement use</w:t>
            </w:r>
          </w:p>
        </w:tc>
        <w:tc>
          <w:tcPr>
            <w:tcW w:w="2080" w:type="dxa"/>
          </w:tcPr>
          <w:p w14:paraId="6D3F4B28" w14:textId="77777777" w:rsidR="00946375" w:rsidRPr="00691412" w:rsidRDefault="00946375" w:rsidP="00691412">
            <w:pPr>
              <w:pStyle w:val="Tabletext"/>
              <w:ind w:left="0" w:right="0"/>
            </w:pPr>
            <w:r w:rsidRPr="00691412">
              <w:t>No</w:t>
            </w:r>
            <w:r w:rsidRPr="00691412">
              <w:br/>
              <w:t>Yes</w:t>
            </w:r>
          </w:p>
        </w:tc>
        <w:tc>
          <w:tcPr>
            <w:tcW w:w="2619" w:type="dxa"/>
          </w:tcPr>
          <w:p w14:paraId="30333904" w14:textId="30916EE6" w:rsidR="00946375" w:rsidRPr="00691412" w:rsidRDefault="00946375" w:rsidP="00691412">
            <w:pPr>
              <w:pStyle w:val="Tabletext"/>
              <w:ind w:left="0" w:right="0"/>
            </w:pPr>
            <w:r w:rsidRPr="00691412">
              <w:t xml:space="preserve">0.84 </w:t>
            </w:r>
            <w:r w:rsidR="00691412">
              <w:t>(</w:t>
            </w:r>
            <w:r w:rsidRPr="00691412">
              <w:t>0.74-0.94</w:t>
            </w:r>
            <w:r w:rsidR="00691412">
              <w:t>)</w:t>
            </w:r>
            <w:r w:rsidRPr="00691412">
              <w:br/>
              <w:t xml:space="preserve">0.52 </w:t>
            </w:r>
            <w:r w:rsidR="00691412">
              <w:t>(</w:t>
            </w:r>
            <w:r w:rsidRPr="00691412">
              <w:t>0.27-1.01</w:t>
            </w:r>
            <w:r w:rsidR="00691412">
              <w:t>)</w:t>
            </w:r>
          </w:p>
        </w:tc>
        <w:tc>
          <w:tcPr>
            <w:tcW w:w="1864" w:type="dxa"/>
          </w:tcPr>
          <w:p w14:paraId="381F0F1E" w14:textId="77777777" w:rsidR="00946375" w:rsidRPr="00691412" w:rsidRDefault="00946375" w:rsidP="00691412">
            <w:pPr>
              <w:pStyle w:val="Tabletext"/>
              <w:ind w:left="0" w:right="0"/>
            </w:pPr>
            <w:r w:rsidRPr="00691412">
              <w:t>0.1654</w:t>
            </w:r>
          </w:p>
        </w:tc>
      </w:tr>
    </w:tbl>
    <w:p w14:paraId="4D618F5F" w14:textId="0111696D" w:rsidR="002569EC" w:rsidRPr="002569EC" w:rsidRDefault="002569EC" w:rsidP="002569EC">
      <w:pPr>
        <w:pStyle w:val="TableDescription"/>
      </w:pPr>
      <w:bookmarkStart w:id="72" w:name="_Hlk101363701"/>
      <w:r w:rsidRPr="002569EC">
        <w:t>BMI = body mass index; CVD = cardiovascular disease; CYP3A4 = cytochrome P450 isoenzyme 3A4; DPP</w:t>
      </w:r>
      <w:r w:rsidR="00875D7E">
        <w:noBreakHyphen/>
      </w:r>
      <w:r w:rsidRPr="002569EC">
        <w:t>4 = dipeptidyl peptidase-4; GLP-1 = glucagon like peptide 1; SGLT-2 = sodium glucose co-transporter 2.</w:t>
      </w:r>
    </w:p>
    <w:bookmarkEnd w:id="72"/>
    <w:p w14:paraId="1AF64F11" w14:textId="565849A4" w:rsidR="00077DB4" w:rsidRPr="000161A0" w:rsidRDefault="00077DB4" w:rsidP="009253EA">
      <w:pPr>
        <w:pStyle w:val="Heading5"/>
      </w:pPr>
      <w:r w:rsidRPr="000161A0">
        <w:t>Study 17530</w:t>
      </w:r>
    </w:p>
    <w:p w14:paraId="764406F4" w14:textId="113F7565" w:rsidR="00077DB4" w:rsidRPr="000161A0" w:rsidRDefault="00875D7E" w:rsidP="009253EA">
      <w:r>
        <w:t>This study (also known as the FIGARO-DKD trial) was n</w:t>
      </w:r>
      <w:r w:rsidR="00077DB4" w:rsidRPr="000161A0">
        <w:t>ot considered, as no data</w:t>
      </w:r>
      <w:r>
        <w:t xml:space="preserve"> was</w:t>
      </w:r>
      <w:r w:rsidR="00077DB4" w:rsidRPr="000161A0">
        <w:t xml:space="preserve"> submitted with this </w:t>
      </w:r>
      <w:r>
        <w:t>submission</w:t>
      </w:r>
      <w:r w:rsidR="00077DB4" w:rsidRPr="000161A0">
        <w:t>.</w:t>
      </w:r>
    </w:p>
    <w:p w14:paraId="2ACBBF4B" w14:textId="2F2C3CAA" w:rsidR="00077DB4" w:rsidRPr="000161A0" w:rsidRDefault="00077DB4" w:rsidP="009253EA">
      <w:pPr>
        <w:pStyle w:val="Heading5"/>
      </w:pPr>
      <w:r w:rsidRPr="000161A0">
        <w:t xml:space="preserve">Phase </w:t>
      </w:r>
      <w:r w:rsidR="00715CC8" w:rsidRPr="000161A0">
        <w:t>II</w:t>
      </w:r>
      <w:r w:rsidRPr="000161A0">
        <w:t xml:space="preserve"> studies</w:t>
      </w:r>
    </w:p>
    <w:p w14:paraId="65767570" w14:textId="48C557A4" w:rsidR="00077DB4" w:rsidRPr="000161A0" w:rsidRDefault="00077DB4" w:rsidP="00946375">
      <w:r w:rsidRPr="000161A0">
        <w:t xml:space="preserve">The design and dose selection of </w:t>
      </w:r>
      <w:r w:rsidR="0023308B" w:rsidRPr="000161A0">
        <w:t xml:space="preserve">Study 16244 </w:t>
      </w:r>
      <w:r w:rsidRPr="000161A0">
        <w:t xml:space="preserve">was informed by the results of the Phase </w:t>
      </w:r>
      <w:r w:rsidR="00715CC8" w:rsidRPr="000161A0">
        <w:t>II</w:t>
      </w:r>
      <w:r w:rsidRPr="000161A0">
        <w:t xml:space="preserve"> program (</w:t>
      </w:r>
      <w:r w:rsidR="00875D7E">
        <w:t xml:space="preserve">see </w:t>
      </w:r>
      <w:r w:rsidRPr="000161A0">
        <w:fldChar w:fldCharType="begin"/>
      </w:r>
      <w:r w:rsidRPr="000161A0">
        <w:instrText xml:space="preserve"> REF _Ref81295991 \h </w:instrText>
      </w:r>
      <w:r w:rsidR="009253EA" w:rsidRPr="000161A0">
        <w:instrText xml:space="preserve"> \* MERGEFORMAT </w:instrText>
      </w:r>
      <w:r w:rsidRPr="000161A0">
        <w:fldChar w:fldCharType="separate"/>
      </w:r>
      <w:r w:rsidR="001C5336" w:rsidRPr="00110614">
        <w:t xml:space="preserve">Table </w:t>
      </w:r>
      <w:r w:rsidR="001C5336">
        <w:t>15</w:t>
      </w:r>
      <w:r w:rsidRPr="000161A0">
        <w:fldChar w:fldCharType="end"/>
      </w:r>
      <w:r w:rsidRPr="000161A0">
        <w:t xml:space="preserve">). The chosen </w:t>
      </w:r>
      <w:proofErr w:type="spellStart"/>
      <w:r w:rsidRPr="000161A0">
        <w:t>finerenone</w:t>
      </w:r>
      <w:proofErr w:type="spellEnd"/>
      <w:r w:rsidRPr="000161A0">
        <w:t xml:space="preserve"> dose of 10 mg to 20 mg once daily was informed by data from these Phase </w:t>
      </w:r>
      <w:r w:rsidR="00715CC8" w:rsidRPr="000161A0">
        <w:t>II</w:t>
      </w:r>
      <w:r w:rsidRPr="000161A0">
        <w:t xml:space="preserve"> studies. Furthermore, </w:t>
      </w:r>
      <w:proofErr w:type="spellStart"/>
      <w:r w:rsidRPr="000161A0">
        <w:t>finerenone</w:t>
      </w:r>
      <w:proofErr w:type="spellEnd"/>
      <w:r w:rsidRPr="000161A0">
        <w:t xml:space="preserve"> appeared to be safe in that dose range.</w:t>
      </w:r>
    </w:p>
    <w:p w14:paraId="63B1C613" w14:textId="4799D65B" w:rsidR="00946375" w:rsidRPr="00110614" w:rsidRDefault="00946375" w:rsidP="00110614">
      <w:pPr>
        <w:pStyle w:val="TableTitle"/>
      </w:pPr>
      <w:bookmarkStart w:id="73" w:name="_Ref81295991"/>
      <w:r w:rsidRPr="00110614">
        <w:lastRenderedPageBreak/>
        <w:t xml:space="preserve">Table </w:t>
      </w:r>
      <w:fldSimple w:instr=" SEQ Table \* ARABIC ">
        <w:r w:rsidR="001C5336">
          <w:rPr>
            <w:noProof/>
          </w:rPr>
          <w:t>15</w:t>
        </w:r>
      </w:fldSimple>
      <w:bookmarkEnd w:id="73"/>
      <w:r w:rsidRPr="00110614">
        <w:t>: Overview of Phase II development program studies</w:t>
      </w:r>
    </w:p>
    <w:p w14:paraId="718DB04F" w14:textId="7731D3F0" w:rsidR="00946375" w:rsidRDefault="00C56B31" w:rsidP="00110614">
      <w:pPr>
        <w:rPr>
          <w:lang w:eastAsia="ja-JP"/>
        </w:rPr>
      </w:pPr>
      <w:r>
        <w:rPr>
          <w:noProof/>
          <w:lang w:val="en-GB" w:eastAsia="en-GB"/>
        </w:rPr>
        <w:drawing>
          <wp:inline distT="0" distB="0" distL="0" distR="0" wp14:anchorId="6144EF1B" wp14:editId="329C0C6B">
            <wp:extent cx="5400040" cy="3324860"/>
            <wp:effectExtent l="0" t="0" r="0" b="8890"/>
            <wp:docPr id="449" name="Picture 449" descr="Table 15: Overview of Phase II development progra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Table 15: Overview of Phase II development program studies"/>
                    <pic:cNvPicPr/>
                  </pic:nvPicPr>
                  <pic:blipFill>
                    <a:blip r:embed="rId31"/>
                    <a:stretch>
                      <a:fillRect/>
                    </a:stretch>
                  </pic:blipFill>
                  <pic:spPr>
                    <a:xfrm>
                      <a:off x="0" y="0"/>
                      <a:ext cx="5400040" cy="3324860"/>
                    </a:xfrm>
                    <a:prstGeom prst="rect">
                      <a:avLst/>
                    </a:prstGeom>
                  </pic:spPr>
                </pic:pic>
              </a:graphicData>
            </a:graphic>
          </wp:inline>
        </w:drawing>
      </w:r>
    </w:p>
    <w:p w14:paraId="5900CFC7" w14:textId="78284BC8" w:rsidR="00153E7F" w:rsidRPr="00153E7F" w:rsidRDefault="00153E7F" w:rsidP="00153E7F">
      <w:pPr>
        <w:pStyle w:val="TableDescription"/>
      </w:pPr>
      <w:bookmarkStart w:id="74" w:name="_Hlk101365712"/>
      <w:r w:rsidRPr="00153E7F">
        <w:t xml:space="preserve">CHF = congestive heart failure; CKD = chronic kidney disease; </w:t>
      </w:r>
      <w:r w:rsidR="00875D7E">
        <w:t xml:space="preserve">FAS = full analysis set; </w:t>
      </w:r>
      <w:proofErr w:type="spellStart"/>
      <w:r w:rsidRPr="00153E7F">
        <w:t>NTproBNP</w:t>
      </w:r>
      <w:proofErr w:type="spellEnd"/>
      <w:r w:rsidR="00875D7E">
        <w:t> </w:t>
      </w:r>
      <w:r w:rsidRPr="00153E7F">
        <w:t>=</w:t>
      </w:r>
      <w:r w:rsidR="00875D7E">
        <w:t> </w:t>
      </w:r>
      <w:r w:rsidRPr="00153E7F">
        <w:t>N</w:t>
      </w:r>
      <w:r w:rsidR="00875D7E">
        <w:noBreakHyphen/>
      </w:r>
      <w:r w:rsidRPr="00153E7F">
        <w:t xml:space="preserve">terminal B type natriuretic peptide; </w:t>
      </w:r>
      <w:r w:rsidR="00875D7E">
        <w:t xml:space="preserve">PK = pharmacokinetics; </w:t>
      </w:r>
      <w:r w:rsidRPr="00153E7F">
        <w:t>T2D = type 2 diabetes; UACR</w:t>
      </w:r>
      <w:r w:rsidR="00875D7E">
        <w:t> </w:t>
      </w:r>
      <w:r w:rsidRPr="00153E7F">
        <w:t>= urine albumin-to-creatinine ratio.</w:t>
      </w:r>
    </w:p>
    <w:bookmarkEnd w:id="74"/>
    <w:p w14:paraId="0C8437B0" w14:textId="77777777" w:rsidR="00077DB4" w:rsidRPr="000161A0" w:rsidRDefault="00077DB4" w:rsidP="009253EA">
      <w:pPr>
        <w:pStyle w:val="Heading4"/>
      </w:pPr>
      <w:r w:rsidRPr="000161A0">
        <w:t>Safety</w:t>
      </w:r>
    </w:p>
    <w:p w14:paraId="475900ED" w14:textId="3CF02D4C" w:rsidR="00077DB4" w:rsidRPr="000161A0" w:rsidRDefault="00077DB4" w:rsidP="009253EA">
      <w:r w:rsidRPr="000161A0">
        <w:t xml:space="preserve">Safety data are mainly based on </w:t>
      </w:r>
      <w:r w:rsidR="0023308B" w:rsidRPr="000161A0">
        <w:t>Study 16244</w:t>
      </w:r>
      <w:r w:rsidRPr="000161A0">
        <w:t xml:space="preserve">, as this was the largest dataset in the target population at proposed clinical doses. Pooling the safety data from </w:t>
      </w:r>
      <w:r w:rsidR="0023308B" w:rsidRPr="000161A0">
        <w:t xml:space="preserve">Study 16244 </w:t>
      </w:r>
      <w:r w:rsidRPr="000161A0">
        <w:t xml:space="preserve">with Phase </w:t>
      </w:r>
      <w:r w:rsidR="00715CC8" w:rsidRPr="000161A0">
        <w:t>I</w:t>
      </w:r>
      <w:r w:rsidRPr="000161A0">
        <w:t xml:space="preserve"> or </w:t>
      </w:r>
      <w:r w:rsidR="00715CC8" w:rsidRPr="000161A0">
        <w:t>II</w:t>
      </w:r>
      <w:r w:rsidRPr="000161A0">
        <w:t xml:space="preserve"> data was not considered to provide additional insight given major differences in the study size, duration of follow-up, patient populations and in study design.</w:t>
      </w:r>
    </w:p>
    <w:p w14:paraId="3C856175" w14:textId="77777777" w:rsidR="00077DB4" w:rsidRPr="000161A0" w:rsidRDefault="00077DB4" w:rsidP="009253EA">
      <w:pPr>
        <w:pStyle w:val="Heading5"/>
      </w:pPr>
      <w:r w:rsidRPr="000161A0">
        <w:t>Exposure</w:t>
      </w:r>
    </w:p>
    <w:p w14:paraId="63F8ABC7" w14:textId="5C837A06" w:rsidR="00077DB4" w:rsidRPr="000161A0" w:rsidRDefault="00077DB4" w:rsidP="009253EA">
      <w:r w:rsidRPr="000161A0">
        <w:t xml:space="preserve">Exposure was balanced between the treatment arms (2827 </w:t>
      </w:r>
      <w:r w:rsidR="004B5CAE">
        <w:t>patients</w:t>
      </w:r>
      <w:r w:rsidR="00875D7E">
        <w:t xml:space="preserve"> </w:t>
      </w:r>
      <w:r w:rsidRPr="000161A0">
        <w:t xml:space="preserve">for </w:t>
      </w:r>
      <w:proofErr w:type="spellStart"/>
      <w:r w:rsidRPr="000161A0">
        <w:t>finerenone</w:t>
      </w:r>
      <w:proofErr w:type="spellEnd"/>
      <w:r w:rsidRPr="000161A0">
        <w:t xml:space="preserve"> </w:t>
      </w:r>
      <w:r w:rsidR="00B227A0" w:rsidRPr="000161A0">
        <w:t>versus</w:t>
      </w:r>
      <w:r w:rsidRPr="000161A0">
        <w:t xml:space="preserve"> 2831 </w:t>
      </w:r>
      <w:r w:rsidR="004B5CAE">
        <w:t>patients</w:t>
      </w:r>
      <w:r w:rsidR="00875D7E">
        <w:t xml:space="preserve"> </w:t>
      </w:r>
      <w:r w:rsidRPr="000161A0">
        <w:t>for placebo) over a median treatment duration of approximately 27 months (87% for ≥</w:t>
      </w:r>
      <w:r w:rsidR="00946375" w:rsidRPr="000161A0">
        <w:t> </w:t>
      </w:r>
      <w:r w:rsidRPr="000161A0">
        <w:t>12</w:t>
      </w:r>
      <w:r w:rsidR="00946375" w:rsidRPr="000161A0">
        <w:t> </w:t>
      </w:r>
      <w:r w:rsidRPr="000161A0">
        <w:t>months, 58% for ≥</w:t>
      </w:r>
      <w:r w:rsidR="00946375" w:rsidRPr="000161A0">
        <w:t> </w:t>
      </w:r>
      <w:r w:rsidRPr="000161A0">
        <w:t>24 months, and 25% for ≥</w:t>
      </w:r>
      <w:r w:rsidR="00946375" w:rsidRPr="000161A0">
        <w:t> </w:t>
      </w:r>
      <w:r w:rsidRPr="000161A0">
        <w:t xml:space="preserve">36 months). Adjustment of study drug dosage was allowed at any time during </w:t>
      </w:r>
      <w:r w:rsidR="0023308B" w:rsidRPr="000161A0">
        <w:t xml:space="preserve">Study 16244 </w:t>
      </w:r>
      <w:r w:rsidRPr="000161A0">
        <w:t xml:space="preserve">based on the subject’s eGFR and serum potassium levels with a mean daily dose of 15.14 </w:t>
      </w:r>
      <w:r w:rsidR="00B227A0" w:rsidRPr="000161A0">
        <w:t>versus</w:t>
      </w:r>
      <w:r w:rsidRPr="000161A0">
        <w:t xml:space="preserve"> 16.48</w:t>
      </w:r>
      <w:r w:rsidR="00946375" w:rsidRPr="000161A0">
        <w:t> </w:t>
      </w:r>
      <w:r w:rsidRPr="000161A0">
        <w:t>mg (sham titration for placebo).</w:t>
      </w:r>
    </w:p>
    <w:p w14:paraId="55E2EF2C" w14:textId="77777777" w:rsidR="00077DB4" w:rsidRPr="000161A0" w:rsidRDefault="00077DB4" w:rsidP="009253EA">
      <w:r w:rsidRPr="000161A0">
        <w:t>Overall exposure and mean daily dose were lower in both treatment arms in subjects with a hyperkalaemia event during the study compared to those without an event.</w:t>
      </w:r>
    </w:p>
    <w:p w14:paraId="7DFE4AD0" w14:textId="65068DE8" w:rsidR="00077DB4" w:rsidRPr="000161A0" w:rsidRDefault="00077DB4" w:rsidP="009253EA">
      <w:pPr>
        <w:pStyle w:val="Heading5"/>
      </w:pPr>
      <w:r w:rsidRPr="000161A0">
        <w:t>Adverse event</w:t>
      </w:r>
      <w:r w:rsidR="004B5CAE">
        <w:t>s</w:t>
      </w:r>
    </w:p>
    <w:p w14:paraId="1F8919FB" w14:textId="2BF2256B" w:rsidR="00077DB4" w:rsidRPr="000161A0" w:rsidRDefault="00077DB4" w:rsidP="009253EA">
      <w:r w:rsidRPr="000161A0">
        <w:t xml:space="preserve">Overall, the incidence of </w:t>
      </w:r>
      <w:r w:rsidR="00946375" w:rsidRPr="000161A0">
        <w:t>treatment</w:t>
      </w:r>
      <w:r w:rsidR="004B5CAE">
        <w:noBreakHyphen/>
      </w:r>
      <w:r w:rsidR="00946375" w:rsidRPr="000161A0">
        <w:t>emergent adverse events (</w:t>
      </w:r>
      <w:r w:rsidRPr="000161A0">
        <w:t>TEAEs</w:t>
      </w:r>
      <w:r w:rsidR="00946375" w:rsidRPr="000161A0">
        <w:t>)</w:t>
      </w:r>
      <w:r w:rsidRPr="000161A0">
        <w:t xml:space="preserve"> was similar between the treatment arms. </w:t>
      </w:r>
      <w:proofErr w:type="spellStart"/>
      <w:r w:rsidRPr="000161A0">
        <w:t>Finerenone</w:t>
      </w:r>
      <w:proofErr w:type="spellEnd"/>
      <w:r w:rsidR="00946375" w:rsidRPr="000161A0">
        <w:t xml:space="preserve"> </w:t>
      </w:r>
      <w:r w:rsidRPr="000161A0">
        <w:t xml:space="preserve">treated patients had a higher TEAE incidence leading to permanent treatment discontinuation (7.3 </w:t>
      </w:r>
      <w:r w:rsidR="00B227A0" w:rsidRPr="000161A0">
        <w:t>versus</w:t>
      </w:r>
      <w:r w:rsidR="002D3F17" w:rsidRPr="000161A0">
        <w:t xml:space="preserve"> </w:t>
      </w:r>
      <w:r w:rsidRPr="000161A0">
        <w:t>5.9%), while the incidence of serious TEAEs leading to treatment discontinuation was balanced between treatment arms (2.7</w:t>
      </w:r>
      <w:r w:rsidR="00946375" w:rsidRPr="000161A0">
        <w:t> </w:t>
      </w:r>
      <w:r w:rsidR="00B227A0" w:rsidRPr="000161A0">
        <w:t>versus</w:t>
      </w:r>
      <w:r w:rsidRPr="000161A0">
        <w:t xml:space="preserve"> 2.8%). Common (≥</w:t>
      </w:r>
      <w:r w:rsidR="00946375" w:rsidRPr="000161A0">
        <w:t xml:space="preserve"> </w:t>
      </w:r>
      <w:r w:rsidRPr="000161A0">
        <w:t xml:space="preserve">5% in any treatment arm) TEAEs by </w:t>
      </w:r>
      <w:r w:rsidR="00946375" w:rsidRPr="000161A0">
        <w:t>Preferred Term</w:t>
      </w:r>
      <w:r w:rsidRPr="000161A0">
        <w:t xml:space="preserve"> (</w:t>
      </w:r>
      <w:r w:rsidR="00946375" w:rsidRPr="000161A0">
        <w:t>safety analysis set</w:t>
      </w:r>
      <w:r w:rsidRPr="000161A0">
        <w:t xml:space="preserve">) are shown in </w:t>
      </w:r>
      <w:r w:rsidRPr="000161A0">
        <w:fldChar w:fldCharType="begin"/>
      </w:r>
      <w:r w:rsidRPr="000161A0">
        <w:instrText xml:space="preserve"> REF _Ref80967427 \h  \* MERGEFORMAT </w:instrText>
      </w:r>
      <w:r w:rsidRPr="000161A0">
        <w:fldChar w:fldCharType="separate"/>
      </w:r>
      <w:r w:rsidR="001C5336" w:rsidRPr="001C5336">
        <w:rPr>
          <w:lang w:val="en-US"/>
        </w:rPr>
        <w:t>Table 16</w:t>
      </w:r>
      <w:r w:rsidRPr="000161A0">
        <w:fldChar w:fldCharType="end"/>
      </w:r>
      <w:r w:rsidRPr="000161A0">
        <w:t xml:space="preserve">. Most subjects (nearly 80%) with TEAEs in the </w:t>
      </w:r>
      <w:proofErr w:type="spellStart"/>
      <w:r w:rsidRPr="000161A0">
        <w:t>finerenone</w:t>
      </w:r>
      <w:proofErr w:type="spellEnd"/>
      <w:r w:rsidRPr="000161A0">
        <w:t xml:space="preserve"> arm had a maximum intensity of mild or moderate.</w:t>
      </w:r>
    </w:p>
    <w:p w14:paraId="1DFA2BBA" w14:textId="6C68FC1A" w:rsidR="00946375" w:rsidRPr="00110614" w:rsidRDefault="00946375" w:rsidP="00110614">
      <w:pPr>
        <w:pStyle w:val="TableTitle"/>
      </w:pPr>
      <w:bookmarkStart w:id="75" w:name="_Ref80967427"/>
      <w:r w:rsidRPr="00110614">
        <w:lastRenderedPageBreak/>
        <w:t xml:space="preserve">Table </w:t>
      </w:r>
      <w:fldSimple w:instr=" SEQ Table \* ARABIC ">
        <w:r w:rsidR="001C5336">
          <w:rPr>
            <w:noProof/>
          </w:rPr>
          <w:t>16</w:t>
        </w:r>
      </w:fldSimple>
      <w:bookmarkEnd w:id="75"/>
      <w:r w:rsidR="00F9794F" w:rsidRPr="00110614">
        <w:t>:</w:t>
      </w:r>
      <w:r w:rsidRPr="00110614">
        <w:t xml:space="preserve"> Study 16244 Common (≥</w:t>
      </w:r>
      <w:r w:rsidR="00F9794F" w:rsidRPr="00110614">
        <w:t xml:space="preserve"> </w:t>
      </w:r>
      <w:r w:rsidRPr="00110614">
        <w:t xml:space="preserve">5% in any treatment arm) </w:t>
      </w:r>
      <w:r w:rsidR="00F9794F" w:rsidRPr="00110614">
        <w:t>treatment</w:t>
      </w:r>
      <w:r w:rsidR="004B5CAE">
        <w:noBreakHyphen/>
      </w:r>
      <w:r w:rsidR="00F9794F" w:rsidRPr="00110614">
        <w:t xml:space="preserve">emergent adverse events </w:t>
      </w:r>
      <w:r w:rsidRPr="00110614">
        <w:t xml:space="preserve">by </w:t>
      </w:r>
      <w:r w:rsidR="00F9794F" w:rsidRPr="00110614">
        <w:t xml:space="preserve">Preferred Term </w:t>
      </w:r>
      <w:r w:rsidRPr="00110614">
        <w:t>(</w:t>
      </w:r>
      <w:r w:rsidR="00F9794F" w:rsidRPr="00110614">
        <w:t>safety analysis set</w:t>
      </w:r>
      <w:r w:rsidRPr="00110614">
        <w:t>)</w:t>
      </w:r>
    </w:p>
    <w:p w14:paraId="09E613D2" w14:textId="6BD26513" w:rsidR="00C56B31" w:rsidRPr="000161A0" w:rsidRDefault="00C56B31" w:rsidP="00110614">
      <w:pPr>
        <w:rPr>
          <w:color w:val="000000" w:themeColor="text1"/>
        </w:rPr>
      </w:pPr>
      <w:r>
        <w:rPr>
          <w:noProof/>
          <w:lang w:val="en-GB" w:eastAsia="en-GB"/>
        </w:rPr>
        <w:drawing>
          <wp:inline distT="0" distB="0" distL="0" distR="0" wp14:anchorId="017C6D56" wp14:editId="1A508EBD">
            <wp:extent cx="5400040" cy="2494280"/>
            <wp:effectExtent l="0" t="0" r="0" b="1270"/>
            <wp:docPr id="450" name="Picture 450" descr="Table 16: Study 16244 Common (≥ 5% in any treatment arm) treatment emergent adverse events by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able 16: Study 16244 Common (≥ 5% in any treatment arm) treatment emergent adverse events by Preferred Term (safety analysis set)"/>
                    <pic:cNvPicPr/>
                  </pic:nvPicPr>
                  <pic:blipFill>
                    <a:blip r:embed="rId32"/>
                    <a:stretch>
                      <a:fillRect/>
                    </a:stretch>
                  </pic:blipFill>
                  <pic:spPr>
                    <a:xfrm>
                      <a:off x="0" y="0"/>
                      <a:ext cx="5400040" cy="2494280"/>
                    </a:xfrm>
                    <a:prstGeom prst="rect">
                      <a:avLst/>
                    </a:prstGeom>
                  </pic:spPr>
                </pic:pic>
              </a:graphicData>
            </a:graphic>
          </wp:inline>
        </w:drawing>
      </w:r>
    </w:p>
    <w:p w14:paraId="515FF854" w14:textId="2675F256" w:rsidR="00153E7F" w:rsidRPr="00C56B31" w:rsidRDefault="00153E7F" w:rsidP="00153E7F">
      <w:pPr>
        <w:pStyle w:val="TableDescription"/>
      </w:pPr>
      <w:r w:rsidRPr="00C56B31">
        <w:t>MedDRA = Medical Dictionary for Regulatory Activities</w:t>
      </w:r>
      <w:r w:rsidR="000F5A5B">
        <w:t>;</w:t>
      </w:r>
      <w:r w:rsidRPr="00C56B31">
        <w:t xml:space="preserve"> N = number of subjects</w:t>
      </w:r>
      <w:r w:rsidR="000F5A5B">
        <w:t>;</w:t>
      </w:r>
      <w:r w:rsidRPr="00C56B31">
        <w:t xml:space="preserve"> PT = </w:t>
      </w:r>
      <w:r w:rsidR="000F5A5B" w:rsidRPr="00C56B31">
        <w:t>Preferred Term</w:t>
      </w:r>
      <w:r w:rsidR="000F5A5B">
        <w:t>.</w:t>
      </w:r>
    </w:p>
    <w:p w14:paraId="5ABF2138" w14:textId="77777777" w:rsidR="00C56B31" w:rsidRPr="00C56B31" w:rsidRDefault="00C56B31" w:rsidP="00C56B31">
      <w:pPr>
        <w:pStyle w:val="TableDescription"/>
      </w:pPr>
      <w:r w:rsidRPr="00C56B31">
        <w:t xml:space="preserve">The events are displayed with descending frequency in the </w:t>
      </w:r>
      <w:proofErr w:type="spellStart"/>
      <w:r w:rsidRPr="00C56B31">
        <w:t>finerenone</w:t>
      </w:r>
      <w:proofErr w:type="spellEnd"/>
      <w:r w:rsidRPr="00C56B31">
        <w:t xml:space="preserve"> group.</w:t>
      </w:r>
    </w:p>
    <w:p w14:paraId="69B674F1" w14:textId="6260B486" w:rsidR="00077DB4" w:rsidRPr="000161A0" w:rsidRDefault="00F9794F" w:rsidP="009253EA">
      <w:r w:rsidRPr="000161A0">
        <w:t>Treatment</w:t>
      </w:r>
      <w:r w:rsidR="004B5CAE">
        <w:noBreakHyphen/>
      </w:r>
      <w:r w:rsidRPr="000161A0">
        <w:t xml:space="preserve">emergent adverse events </w:t>
      </w:r>
      <w:r w:rsidR="00077DB4" w:rsidRPr="000161A0">
        <w:t>noticeably more frequent (</w:t>
      </w:r>
      <w:r w:rsidR="004B5CAE">
        <w:t xml:space="preserve">that is, an </w:t>
      </w:r>
      <w:r w:rsidR="00077DB4" w:rsidRPr="000161A0">
        <w:t>increase in incidence ≥</w:t>
      </w:r>
      <w:r w:rsidRPr="000161A0">
        <w:t> </w:t>
      </w:r>
      <w:r w:rsidR="00077DB4" w:rsidRPr="000161A0">
        <w:t xml:space="preserve">1%) in </w:t>
      </w:r>
      <w:proofErr w:type="spellStart"/>
      <w:r w:rsidR="00077DB4" w:rsidRPr="000161A0">
        <w:t>finerenone</w:t>
      </w:r>
      <w:proofErr w:type="spellEnd"/>
      <w:r w:rsidR="004B5CAE">
        <w:noBreakHyphen/>
      </w:r>
      <w:r w:rsidR="00077DB4" w:rsidRPr="000161A0">
        <w:t>treated patients</w:t>
      </w:r>
      <w:r w:rsidR="004B5CAE">
        <w:t xml:space="preserve"> versus placebo-treated patients</w:t>
      </w:r>
      <w:r w:rsidR="00077DB4" w:rsidRPr="000161A0">
        <w:t xml:space="preserve"> were hyperkalaemia (446 </w:t>
      </w:r>
      <w:r w:rsidR="00B227A0" w:rsidRPr="000161A0">
        <w:t>(</w:t>
      </w:r>
      <w:r w:rsidR="00077DB4" w:rsidRPr="000161A0">
        <w:t>15.8%</w:t>
      </w:r>
      <w:r w:rsidR="00B227A0" w:rsidRPr="000161A0">
        <w:t>)</w:t>
      </w:r>
      <w:r w:rsidR="00077DB4" w:rsidRPr="000161A0">
        <w:t xml:space="preserve"> </w:t>
      </w:r>
      <w:r w:rsidR="00B227A0" w:rsidRPr="000161A0">
        <w:t>versus</w:t>
      </w:r>
      <w:r w:rsidR="00077DB4" w:rsidRPr="000161A0">
        <w:t xml:space="preserve"> 221 </w:t>
      </w:r>
      <w:r w:rsidR="00B227A0" w:rsidRPr="000161A0">
        <w:t>(</w:t>
      </w:r>
      <w:r w:rsidR="00077DB4" w:rsidRPr="000161A0">
        <w:t>7.8%</w:t>
      </w:r>
      <w:r w:rsidR="00B227A0" w:rsidRPr="000161A0">
        <w:t>)</w:t>
      </w:r>
      <w:r w:rsidR="00077DB4" w:rsidRPr="000161A0">
        <w:t>)</w:t>
      </w:r>
      <w:r w:rsidR="004B5CAE">
        <w:t>;</w:t>
      </w:r>
      <w:r w:rsidR="00077DB4" w:rsidRPr="000161A0">
        <w:t xml:space="preserve"> </w:t>
      </w:r>
      <w:r w:rsidR="004B5CAE">
        <w:t>glomerular filtration rate</w:t>
      </w:r>
      <w:r w:rsidR="004B5CAE" w:rsidRPr="000161A0">
        <w:t xml:space="preserve"> </w:t>
      </w:r>
      <w:r w:rsidR="00077DB4" w:rsidRPr="000161A0">
        <w:t xml:space="preserve">decreased (179 </w:t>
      </w:r>
      <w:r w:rsidR="00B227A0" w:rsidRPr="000161A0">
        <w:t>(</w:t>
      </w:r>
      <w:r w:rsidR="00077DB4" w:rsidRPr="000161A0">
        <w:t>6.3%</w:t>
      </w:r>
      <w:r w:rsidR="00B227A0" w:rsidRPr="000161A0">
        <w:t>)</w:t>
      </w:r>
      <w:r w:rsidR="00077DB4" w:rsidRPr="000161A0">
        <w:t xml:space="preserve"> </w:t>
      </w:r>
      <w:r w:rsidR="00B227A0" w:rsidRPr="000161A0">
        <w:t>versus</w:t>
      </w:r>
      <w:r w:rsidR="00077DB4" w:rsidRPr="000161A0">
        <w:t xml:space="preserve"> 133 </w:t>
      </w:r>
      <w:r w:rsidR="00B227A0" w:rsidRPr="000161A0">
        <w:t>(</w:t>
      </w:r>
      <w:r w:rsidR="00077DB4" w:rsidRPr="000161A0">
        <w:t>4.7%</w:t>
      </w:r>
      <w:r w:rsidR="00B227A0" w:rsidRPr="000161A0">
        <w:t>)</w:t>
      </w:r>
      <w:r w:rsidR="00077DB4" w:rsidRPr="000161A0">
        <w:t>)</w:t>
      </w:r>
      <w:r w:rsidR="004B5CAE">
        <w:t>;</w:t>
      </w:r>
      <w:r w:rsidR="00077DB4" w:rsidRPr="000161A0">
        <w:t xml:space="preserve"> hypotension (126 </w:t>
      </w:r>
      <w:r w:rsidR="00B227A0" w:rsidRPr="000161A0">
        <w:t>(</w:t>
      </w:r>
      <w:r w:rsidR="00077DB4" w:rsidRPr="000161A0">
        <w:t>4.5%</w:t>
      </w:r>
      <w:r w:rsidR="00B227A0" w:rsidRPr="000161A0">
        <w:t>)</w:t>
      </w:r>
      <w:r w:rsidR="00077DB4" w:rsidRPr="000161A0">
        <w:t xml:space="preserve"> </w:t>
      </w:r>
      <w:r w:rsidR="00B227A0" w:rsidRPr="000161A0">
        <w:t>versus</w:t>
      </w:r>
      <w:r w:rsidR="00077DB4" w:rsidRPr="000161A0">
        <w:t xml:space="preserve"> 87 </w:t>
      </w:r>
      <w:r w:rsidR="00B227A0" w:rsidRPr="000161A0">
        <w:t>(</w:t>
      </w:r>
      <w:r w:rsidR="00077DB4" w:rsidRPr="000161A0">
        <w:t>3.1%</w:t>
      </w:r>
      <w:r w:rsidR="00B227A0" w:rsidRPr="000161A0">
        <w:t>)</w:t>
      </w:r>
      <w:r w:rsidR="00077DB4" w:rsidRPr="000161A0">
        <w:t>)</w:t>
      </w:r>
      <w:r w:rsidR="004B5CAE">
        <w:t>;</w:t>
      </w:r>
      <w:r w:rsidR="00077DB4" w:rsidRPr="000161A0">
        <w:t xml:space="preserve"> pruritus (104 </w:t>
      </w:r>
      <w:r w:rsidR="00B227A0" w:rsidRPr="000161A0">
        <w:t>(</w:t>
      </w:r>
      <w:r w:rsidR="00077DB4" w:rsidRPr="000161A0">
        <w:t>3.7</w:t>
      </w:r>
      <w:r w:rsidR="00B227A0" w:rsidRPr="000161A0">
        <w:t>)</w:t>
      </w:r>
      <w:r w:rsidR="00077DB4" w:rsidRPr="000161A0">
        <w:t xml:space="preserve"> </w:t>
      </w:r>
      <w:r w:rsidR="00B227A0" w:rsidRPr="000161A0">
        <w:t>versus</w:t>
      </w:r>
      <w:r w:rsidR="00077DB4" w:rsidRPr="000161A0">
        <w:t xml:space="preserve"> 73 </w:t>
      </w:r>
      <w:r w:rsidR="00B227A0" w:rsidRPr="000161A0">
        <w:t>(</w:t>
      </w:r>
      <w:r w:rsidR="00077DB4" w:rsidRPr="000161A0">
        <w:t>2.6%</w:t>
      </w:r>
      <w:r w:rsidR="00B227A0" w:rsidRPr="000161A0">
        <w:t>)</w:t>
      </w:r>
      <w:r w:rsidR="00077DB4" w:rsidRPr="000161A0">
        <w:t>)</w:t>
      </w:r>
      <w:r w:rsidR="004B5CAE">
        <w:t>;</w:t>
      </w:r>
      <w:r w:rsidR="00077DB4" w:rsidRPr="000161A0">
        <w:t xml:space="preserve"> and blood potassium increased (81 </w:t>
      </w:r>
      <w:r w:rsidR="00B227A0" w:rsidRPr="000161A0">
        <w:t>(</w:t>
      </w:r>
      <w:r w:rsidR="00077DB4" w:rsidRPr="000161A0">
        <w:t>2.9%</w:t>
      </w:r>
      <w:r w:rsidR="00B227A0" w:rsidRPr="000161A0">
        <w:t>)</w:t>
      </w:r>
      <w:r w:rsidR="00077DB4" w:rsidRPr="000161A0">
        <w:t xml:space="preserve"> </w:t>
      </w:r>
      <w:r w:rsidR="00B227A0" w:rsidRPr="000161A0">
        <w:t>versus</w:t>
      </w:r>
      <w:r w:rsidR="00077DB4" w:rsidRPr="000161A0">
        <w:t xml:space="preserve"> 40 </w:t>
      </w:r>
      <w:r w:rsidR="00B227A0" w:rsidRPr="000161A0">
        <w:t>(</w:t>
      </w:r>
      <w:r w:rsidR="00077DB4" w:rsidRPr="000161A0">
        <w:t>1.4%</w:t>
      </w:r>
      <w:r w:rsidR="00B227A0" w:rsidRPr="000161A0">
        <w:t>)</w:t>
      </w:r>
      <w:r w:rsidR="00077DB4" w:rsidRPr="000161A0">
        <w:t>) (</w:t>
      </w:r>
      <w:r w:rsidR="004B5CAE">
        <w:t xml:space="preserve">see </w:t>
      </w:r>
      <w:r w:rsidR="00077DB4" w:rsidRPr="000161A0">
        <w:fldChar w:fldCharType="begin"/>
      </w:r>
      <w:r w:rsidR="00077DB4" w:rsidRPr="000161A0">
        <w:instrText xml:space="preserve"> REF _Ref80967597 \h  \* MERGEFORMAT </w:instrText>
      </w:r>
      <w:r w:rsidR="00077DB4" w:rsidRPr="000161A0">
        <w:fldChar w:fldCharType="separate"/>
      </w:r>
      <w:r w:rsidR="001C5336" w:rsidRPr="00110614">
        <w:t xml:space="preserve">Table </w:t>
      </w:r>
      <w:r w:rsidR="001C5336">
        <w:t>17</w:t>
      </w:r>
      <w:r w:rsidR="00077DB4" w:rsidRPr="000161A0">
        <w:fldChar w:fldCharType="end"/>
      </w:r>
      <w:r w:rsidR="00077DB4" w:rsidRPr="000161A0">
        <w:t>). Consistent with this, the increased overall incidence of study drug</w:t>
      </w:r>
      <w:r w:rsidRPr="000161A0">
        <w:t xml:space="preserve"> </w:t>
      </w:r>
      <w:r w:rsidR="00077DB4" w:rsidRPr="000161A0">
        <w:t xml:space="preserve">related TEAEs (22.9% </w:t>
      </w:r>
      <w:r w:rsidR="00B227A0" w:rsidRPr="000161A0">
        <w:t>versus</w:t>
      </w:r>
      <w:r w:rsidR="00077DB4" w:rsidRPr="000161A0">
        <w:t xml:space="preserve"> 15.9%) was primarily driven by the </w:t>
      </w:r>
      <w:r w:rsidR="00A753D1" w:rsidRPr="000161A0">
        <w:t>Medical Dictionary for Regulatory Activities (MedDRA);</w:t>
      </w:r>
      <w:r w:rsidR="00A753D1" w:rsidRPr="000161A0">
        <w:rPr>
          <w:rStyle w:val="FootnoteReference"/>
        </w:rPr>
        <w:footnoteReference w:id="7"/>
      </w:r>
      <w:r w:rsidR="00077DB4" w:rsidRPr="000161A0">
        <w:t xml:space="preserve"> </w:t>
      </w:r>
      <w:r w:rsidR="00946375" w:rsidRPr="000161A0">
        <w:t>Preferred Term</w:t>
      </w:r>
      <w:r w:rsidR="00077DB4" w:rsidRPr="000161A0">
        <w:t xml:space="preserve">s ‘hyperkalaemia’ and ‘blood potassium increased’ (11.8% </w:t>
      </w:r>
      <w:r w:rsidR="00B227A0" w:rsidRPr="000161A0">
        <w:t>versus</w:t>
      </w:r>
      <w:r w:rsidR="00077DB4" w:rsidRPr="000161A0">
        <w:t xml:space="preserve"> 4.8%).</w:t>
      </w:r>
    </w:p>
    <w:p w14:paraId="17B13BB0" w14:textId="694AE804" w:rsidR="00077DB4" w:rsidRPr="000161A0" w:rsidRDefault="00F9794F" w:rsidP="00077DB4">
      <w:pPr>
        <w:spacing w:line="240" w:lineRule="auto"/>
      </w:pPr>
      <w:r w:rsidRPr="000161A0">
        <w:t xml:space="preserve">Treatment emergent adverse events </w:t>
      </w:r>
      <w:r w:rsidR="00077DB4" w:rsidRPr="000161A0">
        <w:t xml:space="preserve">observed less frequently in </w:t>
      </w:r>
      <w:proofErr w:type="spellStart"/>
      <w:r w:rsidR="00077DB4" w:rsidRPr="000161A0">
        <w:t>finerenone</w:t>
      </w:r>
      <w:proofErr w:type="spellEnd"/>
      <w:r w:rsidR="00077DB4" w:rsidRPr="000161A0">
        <w:t>-treated subjects included peripheral oedema, hypertension, hypoglycaemia, pneumonia, constipation, hypokalaemia, cardiac failure, and syncope (</w:t>
      </w:r>
      <w:r w:rsidR="00077DB4" w:rsidRPr="000161A0">
        <w:fldChar w:fldCharType="begin"/>
      </w:r>
      <w:r w:rsidR="00077DB4" w:rsidRPr="000161A0">
        <w:instrText xml:space="preserve"> REF _Ref80967597 \h  \* MERGEFORMAT </w:instrText>
      </w:r>
      <w:r w:rsidR="00077DB4" w:rsidRPr="000161A0">
        <w:fldChar w:fldCharType="separate"/>
      </w:r>
      <w:r w:rsidR="001C5336" w:rsidRPr="00110614">
        <w:t xml:space="preserve">Table </w:t>
      </w:r>
      <w:r w:rsidR="001C5336">
        <w:rPr>
          <w:noProof/>
        </w:rPr>
        <w:t>17</w:t>
      </w:r>
      <w:r w:rsidR="00077DB4" w:rsidRPr="000161A0">
        <w:fldChar w:fldCharType="end"/>
      </w:r>
      <w:r w:rsidR="00077DB4" w:rsidRPr="000161A0">
        <w:t>).</w:t>
      </w:r>
      <w:bookmarkStart w:id="76" w:name="_Toc454358910"/>
      <w:bookmarkEnd w:id="76"/>
    </w:p>
    <w:p w14:paraId="054B8544" w14:textId="67BFF5AA" w:rsidR="00077DB4" w:rsidRPr="000161A0" w:rsidRDefault="00077DB4" w:rsidP="009253EA">
      <w:pPr>
        <w:pStyle w:val="Heading5"/>
      </w:pPr>
      <w:r w:rsidRPr="000161A0">
        <w:t xml:space="preserve">Treatment related adverse </w:t>
      </w:r>
      <w:r w:rsidR="004B5CAE">
        <w:t>events (adverse drug reactions)</w:t>
      </w:r>
    </w:p>
    <w:p w14:paraId="3D442944" w14:textId="1503652A" w:rsidR="00077DB4" w:rsidRPr="000161A0" w:rsidRDefault="00F9794F" w:rsidP="009253EA">
      <w:r w:rsidRPr="000161A0">
        <w:t>Six hundred and forty</w:t>
      </w:r>
      <w:r w:rsidR="004B5CAE">
        <w:noBreakHyphen/>
      </w:r>
      <w:r w:rsidRPr="000161A0">
        <w:t>six (</w:t>
      </w:r>
      <w:r w:rsidR="00077DB4" w:rsidRPr="000161A0">
        <w:t>646</w:t>
      </w:r>
      <w:r w:rsidRPr="000161A0">
        <w:t>)</w:t>
      </w:r>
      <w:r w:rsidR="00077DB4" w:rsidRPr="000161A0">
        <w:t xml:space="preserve"> subjects (22.9%) in the </w:t>
      </w:r>
      <w:proofErr w:type="spellStart"/>
      <w:r w:rsidR="00077DB4" w:rsidRPr="000161A0">
        <w:t>finerenone</w:t>
      </w:r>
      <w:proofErr w:type="spellEnd"/>
      <w:r w:rsidR="00077DB4" w:rsidRPr="000161A0">
        <w:t xml:space="preserve"> arm reported study drug related TEAEs (most commonly hyperkalaemia) compared with 449 subjects (15.9%) in the placebo arm (</w:t>
      </w:r>
      <w:r w:rsidR="00077DB4" w:rsidRPr="000161A0">
        <w:fldChar w:fldCharType="begin"/>
      </w:r>
      <w:r w:rsidR="00077DB4" w:rsidRPr="000161A0">
        <w:instrText xml:space="preserve"> REF _Ref81043035 \h  \* MERGEFORMAT </w:instrText>
      </w:r>
      <w:r w:rsidR="00077DB4" w:rsidRPr="000161A0">
        <w:fldChar w:fldCharType="separate"/>
      </w:r>
      <w:r w:rsidR="001C5336" w:rsidRPr="00110614">
        <w:t xml:space="preserve">Table </w:t>
      </w:r>
      <w:r w:rsidR="001C5336">
        <w:t>18</w:t>
      </w:r>
      <w:r w:rsidR="00077DB4" w:rsidRPr="000161A0">
        <w:fldChar w:fldCharType="end"/>
      </w:r>
      <w:r w:rsidR="00077DB4" w:rsidRPr="000161A0">
        <w:t>).</w:t>
      </w:r>
    </w:p>
    <w:p w14:paraId="7AEFEBF1" w14:textId="4E98F833" w:rsidR="00077DB4" w:rsidRPr="00110614" w:rsidRDefault="00077DB4" w:rsidP="00110614">
      <w:pPr>
        <w:pStyle w:val="TableTitle"/>
      </w:pPr>
      <w:bookmarkStart w:id="77" w:name="_Ref80967597"/>
      <w:r w:rsidRPr="00110614">
        <w:lastRenderedPageBreak/>
        <w:t xml:space="preserve">Table </w:t>
      </w:r>
      <w:fldSimple w:instr=" SEQ Table \* ARABIC ">
        <w:r w:rsidR="001C5336">
          <w:rPr>
            <w:noProof/>
          </w:rPr>
          <w:t>17</w:t>
        </w:r>
      </w:fldSimple>
      <w:bookmarkEnd w:id="77"/>
      <w:r w:rsidR="00F9794F" w:rsidRPr="00110614">
        <w:t>:</w:t>
      </w:r>
      <w:r w:rsidRPr="00110614">
        <w:t xml:space="preserve"> </w:t>
      </w:r>
      <w:r w:rsidR="0023308B" w:rsidRPr="00110614">
        <w:t>Study 16244</w:t>
      </w:r>
      <w:r w:rsidRPr="00110614">
        <w:t xml:space="preserve"> </w:t>
      </w:r>
      <w:r w:rsidR="00F9794F" w:rsidRPr="00110614">
        <w:t xml:space="preserve">Treatment emergent adverse events </w:t>
      </w:r>
      <w:r w:rsidRPr="00110614">
        <w:t>with a difference of ≥</w:t>
      </w:r>
      <w:r w:rsidR="006400BB">
        <w:t> </w:t>
      </w:r>
      <w:r w:rsidRPr="00110614">
        <w:t xml:space="preserve">1% of subjects between treatment arms by </w:t>
      </w:r>
      <w:r w:rsidR="00946375" w:rsidRPr="00110614">
        <w:t>Preferred Term</w:t>
      </w:r>
      <w:r w:rsidRPr="00110614">
        <w:t xml:space="preserve"> (</w:t>
      </w:r>
      <w:r w:rsidR="00946375" w:rsidRPr="00110614">
        <w:t>safety analysis set</w:t>
      </w:r>
      <w:r w:rsidRPr="00110614">
        <w:t>)</w:t>
      </w:r>
    </w:p>
    <w:p w14:paraId="5342906A" w14:textId="0111D1B8" w:rsidR="00C56B31" w:rsidRDefault="00C56B31" w:rsidP="00110614">
      <w:r>
        <w:rPr>
          <w:noProof/>
          <w:lang w:val="en-GB" w:eastAsia="en-GB"/>
        </w:rPr>
        <w:drawing>
          <wp:inline distT="0" distB="0" distL="0" distR="0" wp14:anchorId="71F389DE" wp14:editId="6F32D659">
            <wp:extent cx="5400040" cy="2204085"/>
            <wp:effectExtent l="0" t="0" r="0" b="5715"/>
            <wp:docPr id="451" name="Picture 451" descr="Table 17: Study 16244 Treatment emergent adverse events with a difference of ≥ 1% of subjects between treatment arms by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able 17: Study 16244 Treatment emergent adverse events with a difference of ≥ 1% of subjects between treatment arms by Preferred Term (safety analysis set)"/>
                    <pic:cNvPicPr/>
                  </pic:nvPicPr>
                  <pic:blipFill>
                    <a:blip r:embed="rId33"/>
                    <a:stretch>
                      <a:fillRect/>
                    </a:stretch>
                  </pic:blipFill>
                  <pic:spPr>
                    <a:xfrm>
                      <a:off x="0" y="0"/>
                      <a:ext cx="5400040" cy="2204085"/>
                    </a:xfrm>
                    <a:prstGeom prst="rect">
                      <a:avLst/>
                    </a:prstGeom>
                  </pic:spPr>
                </pic:pic>
              </a:graphicData>
            </a:graphic>
          </wp:inline>
        </w:drawing>
      </w:r>
    </w:p>
    <w:p w14:paraId="6C78DFFB" w14:textId="685DE702" w:rsidR="00153E7F" w:rsidRPr="00C56B31" w:rsidRDefault="00153E7F" w:rsidP="00153E7F">
      <w:pPr>
        <w:pStyle w:val="TableDescription"/>
      </w:pPr>
      <w:r w:rsidRPr="00C56B31">
        <w:t>MedDRA = Medical Dictionary for Regulatory Activities</w:t>
      </w:r>
      <w:r w:rsidR="000F5A5B">
        <w:t>;</w:t>
      </w:r>
      <w:r w:rsidRPr="00C56B31">
        <w:t xml:space="preserve"> N = number of subjects</w:t>
      </w:r>
      <w:r w:rsidR="000F5A5B">
        <w:t>;</w:t>
      </w:r>
      <w:r w:rsidRPr="00C56B31">
        <w:t xml:space="preserve"> PT = </w:t>
      </w:r>
      <w:r w:rsidR="000F5A5B" w:rsidRPr="00C56B31">
        <w:t>Preferred Term</w:t>
      </w:r>
      <w:r>
        <w:t>.</w:t>
      </w:r>
    </w:p>
    <w:p w14:paraId="0C29D49C" w14:textId="77777777" w:rsidR="00C56B31" w:rsidRPr="00C56B31" w:rsidRDefault="00C56B31" w:rsidP="00C56B31">
      <w:pPr>
        <w:pStyle w:val="TableDescription"/>
      </w:pPr>
      <w:r w:rsidRPr="00C56B31">
        <w:t xml:space="preserve">The events are displayed with descending frequency in the </w:t>
      </w:r>
      <w:proofErr w:type="spellStart"/>
      <w:r w:rsidRPr="00C56B31">
        <w:t>finerenone</w:t>
      </w:r>
      <w:proofErr w:type="spellEnd"/>
      <w:r w:rsidRPr="00C56B31">
        <w:t xml:space="preserve"> group.</w:t>
      </w:r>
    </w:p>
    <w:p w14:paraId="42926569" w14:textId="513EA6DE" w:rsidR="00077DB4" w:rsidRDefault="00077DB4" w:rsidP="00110614">
      <w:pPr>
        <w:pStyle w:val="TableTitle"/>
      </w:pPr>
      <w:bookmarkStart w:id="78" w:name="_Ref81043035"/>
      <w:r w:rsidRPr="00110614">
        <w:t xml:space="preserve">Table </w:t>
      </w:r>
      <w:fldSimple w:instr=" SEQ Table \* ARABIC ">
        <w:r w:rsidR="001C5336">
          <w:rPr>
            <w:noProof/>
          </w:rPr>
          <w:t>18</w:t>
        </w:r>
      </w:fldSimple>
      <w:bookmarkEnd w:id="78"/>
      <w:r w:rsidR="00F9794F" w:rsidRPr="00110614">
        <w:t>:</w:t>
      </w:r>
      <w:r w:rsidRPr="00110614">
        <w:t xml:space="preserve"> </w:t>
      </w:r>
      <w:r w:rsidR="0023308B" w:rsidRPr="00110614">
        <w:t>Study 16244</w:t>
      </w:r>
      <w:r w:rsidRPr="00110614">
        <w:t xml:space="preserve"> Study</w:t>
      </w:r>
      <w:r w:rsidR="00F9794F" w:rsidRPr="00110614">
        <w:t xml:space="preserve"> </w:t>
      </w:r>
      <w:r w:rsidRPr="00110614">
        <w:t xml:space="preserve">drug related </w:t>
      </w:r>
      <w:r w:rsidR="00F9794F" w:rsidRPr="00110614">
        <w:t xml:space="preserve">treatment emergent adverse events </w:t>
      </w:r>
      <w:r w:rsidRPr="00110614">
        <w:t>(≥</w:t>
      </w:r>
      <w:r w:rsidR="0081427B">
        <w:t> </w:t>
      </w:r>
      <w:r w:rsidRPr="00110614">
        <w:t xml:space="preserve">0.5%) by most frequent </w:t>
      </w:r>
      <w:r w:rsidR="00946375" w:rsidRPr="00110614">
        <w:t>Preferred Term</w:t>
      </w:r>
      <w:r w:rsidRPr="00110614">
        <w:t xml:space="preserve"> (</w:t>
      </w:r>
      <w:r w:rsidR="00946375" w:rsidRPr="00110614">
        <w:t>safety analysis set</w:t>
      </w:r>
      <w:r w:rsidRPr="00110614">
        <w:t>)</w:t>
      </w:r>
    </w:p>
    <w:p w14:paraId="05493754" w14:textId="4F20755B" w:rsidR="00077DB4" w:rsidRDefault="00153E7F" w:rsidP="00153E7F">
      <w:r>
        <w:rPr>
          <w:noProof/>
          <w:lang w:val="en-GB" w:eastAsia="en-GB"/>
        </w:rPr>
        <w:drawing>
          <wp:inline distT="0" distB="0" distL="0" distR="0" wp14:anchorId="04067611" wp14:editId="7189140C">
            <wp:extent cx="5400040" cy="2628900"/>
            <wp:effectExtent l="0" t="0" r="0" b="0"/>
            <wp:docPr id="459" name="Picture 459" descr="Table 18: Study 16244 Study drug related treatment emergent adverse events (≥ 0.5%) by most frequent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able 18: Study 16244 Study drug related treatment emergent adverse events (≥ 0.5%) by most frequent Preferred Term (safety analysis set)"/>
                    <pic:cNvPicPr/>
                  </pic:nvPicPr>
                  <pic:blipFill>
                    <a:blip r:embed="rId34"/>
                    <a:stretch>
                      <a:fillRect/>
                    </a:stretch>
                  </pic:blipFill>
                  <pic:spPr>
                    <a:xfrm>
                      <a:off x="0" y="0"/>
                      <a:ext cx="5400040" cy="2628900"/>
                    </a:xfrm>
                    <a:prstGeom prst="rect">
                      <a:avLst/>
                    </a:prstGeom>
                  </pic:spPr>
                </pic:pic>
              </a:graphicData>
            </a:graphic>
          </wp:inline>
        </w:drawing>
      </w:r>
    </w:p>
    <w:p w14:paraId="5A08CB47" w14:textId="0932BB06" w:rsidR="00153E7F" w:rsidRPr="00153E7F" w:rsidRDefault="00153E7F" w:rsidP="00153E7F">
      <w:pPr>
        <w:pStyle w:val="TableDescription"/>
      </w:pPr>
      <w:r w:rsidRPr="00153E7F">
        <w:t>MedDRA = Medical Dictionary for Regulatory Activities</w:t>
      </w:r>
      <w:r w:rsidR="000F5A5B">
        <w:t>;</w:t>
      </w:r>
      <w:r w:rsidRPr="00153E7F">
        <w:t xml:space="preserve"> N = number of subjects.</w:t>
      </w:r>
    </w:p>
    <w:p w14:paraId="2328ED36" w14:textId="6B4B4C06" w:rsidR="00153E7F" w:rsidRPr="00153E7F" w:rsidRDefault="00153E7F" w:rsidP="00153E7F">
      <w:pPr>
        <w:pStyle w:val="TableDescription"/>
      </w:pPr>
      <w:r w:rsidRPr="00153E7F">
        <w:t xml:space="preserve">The most common events for either treatment arm </w:t>
      </w:r>
      <w:r w:rsidR="0081427B" w:rsidRPr="00153E7F">
        <w:t>is</w:t>
      </w:r>
      <w:r w:rsidRPr="00153E7F">
        <w:t xml:space="preserve"> displayed, with the corresponding events in the other treatment arm.</w:t>
      </w:r>
    </w:p>
    <w:p w14:paraId="5E89D2E4" w14:textId="5EC9DEB6" w:rsidR="00153E7F" w:rsidRPr="00153E7F" w:rsidRDefault="00153E7F" w:rsidP="00153E7F">
      <w:pPr>
        <w:pStyle w:val="TableDescription"/>
      </w:pPr>
      <w:r w:rsidRPr="00153E7F">
        <w:t xml:space="preserve">The events are displayed with descending frequency in the </w:t>
      </w:r>
      <w:proofErr w:type="spellStart"/>
      <w:r w:rsidRPr="00153E7F">
        <w:t>finerenone</w:t>
      </w:r>
      <w:proofErr w:type="spellEnd"/>
      <w:r w:rsidRPr="00153E7F">
        <w:t xml:space="preserve"> group.</w:t>
      </w:r>
    </w:p>
    <w:p w14:paraId="5F11C0B3" w14:textId="04760F73" w:rsidR="00153E7F" w:rsidRPr="00153E7F" w:rsidRDefault="00153E7F" w:rsidP="00153E7F">
      <w:pPr>
        <w:pStyle w:val="TableDescription"/>
      </w:pPr>
      <w:r w:rsidRPr="00153E7F">
        <w:t xml:space="preserve">A subject is counted only once within each </w:t>
      </w:r>
      <w:r w:rsidR="000F5A5B" w:rsidRPr="00153E7F">
        <w:t xml:space="preserve">Preferred Term </w:t>
      </w:r>
      <w:r w:rsidRPr="00153E7F">
        <w:t>or any primary System Organ Class.</w:t>
      </w:r>
    </w:p>
    <w:p w14:paraId="64DC3E3F" w14:textId="77777777" w:rsidR="00077DB4" w:rsidRPr="000161A0" w:rsidRDefault="00077DB4" w:rsidP="009253EA">
      <w:pPr>
        <w:pStyle w:val="Heading5"/>
      </w:pPr>
      <w:r w:rsidRPr="000161A0">
        <w:t>Deaths</w:t>
      </w:r>
    </w:p>
    <w:p w14:paraId="704CE195" w14:textId="2E349E8E" w:rsidR="00077DB4" w:rsidRPr="000161A0" w:rsidRDefault="00F9794F" w:rsidP="009253EA">
      <w:r w:rsidRPr="000161A0">
        <w:t>Treatment</w:t>
      </w:r>
      <w:r w:rsidR="004B5CAE">
        <w:noBreakHyphen/>
      </w:r>
      <w:r w:rsidRPr="000161A0">
        <w:t xml:space="preserve">emergent adverse events </w:t>
      </w:r>
      <w:r w:rsidR="00077DB4" w:rsidRPr="000161A0">
        <w:t xml:space="preserve">resulting in death (excluding outcome events) were reported in fewer subjects in the </w:t>
      </w:r>
      <w:proofErr w:type="spellStart"/>
      <w:r w:rsidR="00077DB4" w:rsidRPr="000161A0">
        <w:t>finerenone</w:t>
      </w:r>
      <w:proofErr w:type="spellEnd"/>
      <w:r w:rsidR="00077DB4" w:rsidRPr="000161A0">
        <w:t xml:space="preserve"> arm</w:t>
      </w:r>
      <w:r w:rsidR="004B5CAE">
        <w:t xml:space="preserve"> compared to the placebo arm</w:t>
      </w:r>
      <w:r w:rsidR="00077DB4" w:rsidRPr="000161A0">
        <w:t xml:space="preserve"> (1.1 </w:t>
      </w:r>
      <w:r w:rsidR="00B227A0" w:rsidRPr="000161A0">
        <w:t>versus</w:t>
      </w:r>
      <w:r w:rsidR="00077DB4" w:rsidRPr="000161A0">
        <w:t xml:space="preserve"> 1.8%). 89 subjects (3.1%) died due to </w:t>
      </w:r>
      <w:r w:rsidR="004B5CAE">
        <w:t>TEAEs</w:t>
      </w:r>
      <w:r w:rsidR="00077DB4" w:rsidRPr="000161A0">
        <w:t xml:space="preserve"> or outcome events in the </w:t>
      </w:r>
      <w:proofErr w:type="spellStart"/>
      <w:r w:rsidR="00077DB4" w:rsidRPr="000161A0">
        <w:t>finerenone</w:t>
      </w:r>
      <w:proofErr w:type="spellEnd"/>
      <w:r w:rsidR="00077DB4" w:rsidRPr="000161A0">
        <w:t xml:space="preserve"> group and 135 (4.8%) in the placebo arm. Further details are in </w:t>
      </w:r>
      <w:r w:rsidR="00077DB4" w:rsidRPr="000161A0">
        <w:fldChar w:fldCharType="begin"/>
      </w:r>
      <w:r w:rsidR="00077DB4" w:rsidRPr="000161A0">
        <w:instrText xml:space="preserve"> REF _Ref80968867 \h  \* MERGEFORMAT </w:instrText>
      </w:r>
      <w:r w:rsidR="00077DB4" w:rsidRPr="000161A0">
        <w:fldChar w:fldCharType="separate"/>
      </w:r>
      <w:r w:rsidR="001C5336" w:rsidRPr="001C5336">
        <w:rPr>
          <w:lang w:val="en-US"/>
        </w:rPr>
        <w:t>Table 19</w:t>
      </w:r>
      <w:r w:rsidR="00077DB4" w:rsidRPr="000161A0">
        <w:fldChar w:fldCharType="end"/>
      </w:r>
      <w:r w:rsidR="004B5CAE">
        <w:t>, shown below.</w:t>
      </w:r>
    </w:p>
    <w:p w14:paraId="2716F5D5" w14:textId="0DCDC15B" w:rsidR="00F9794F" w:rsidRPr="00110614" w:rsidRDefault="00F9794F" w:rsidP="00110614">
      <w:pPr>
        <w:pStyle w:val="TableTitle"/>
      </w:pPr>
      <w:bookmarkStart w:id="79" w:name="_Ref80968867"/>
      <w:r w:rsidRPr="00110614">
        <w:lastRenderedPageBreak/>
        <w:t xml:space="preserve">Table </w:t>
      </w:r>
      <w:fldSimple w:instr=" SEQ Table \* ARABIC ">
        <w:r w:rsidR="001C5336">
          <w:rPr>
            <w:noProof/>
          </w:rPr>
          <w:t>19</w:t>
        </w:r>
      </w:fldSimple>
      <w:bookmarkEnd w:id="79"/>
      <w:r w:rsidRPr="00110614">
        <w:t>: Study 16244 Adjudicated reasons for death (safety analysis set)</w:t>
      </w:r>
    </w:p>
    <w:p w14:paraId="65707A76" w14:textId="2181E21F" w:rsidR="00F9794F" w:rsidRDefault="00C56B31" w:rsidP="00110614">
      <w:pPr>
        <w:rPr>
          <w:color w:val="000000" w:themeColor="text1"/>
        </w:rPr>
      </w:pPr>
      <w:r>
        <w:rPr>
          <w:noProof/>
          <w:lang w:val="en-GB" w:eastAsia="en-GB"/>
        </w:rPr>
        <w:drawing>
          <wp:inline distT="0" distB="0" distL="0" distR="0" wp14:anchorId="4005D6F2" wp14:editId="151506B3">
            <wp:extent cx="5400040" cy="2971165"/>
            <wp:effectExtent l="0" t="0" r="0" b="635"/>
            <wp:docPr id="453" name="Picture 453" descr="Table 19: Study 16244 Adjudicated reasons for death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Table 19: Study 16244 Adjudicated reasons for death (safety analysis set)"/>
                    <pic:cNvPicPr/>
                  </pic:nvPicPr>
                  <pic:blipFill>
                    <a:blip r:embed="rId35"/>
                    <a:stretch>
                      <a:fillRect/>
                    </a:stretch>
                  </pic:blipFill>
                  <pic:spPr>
                    <a:xfrm>
                      <a:off x="0" y="0"/>
                      <a:ext cx="5400040" cy="2971165"/>
                    </a:xfrm>
                    <a:prstGeom prst="rect">
                      <a:avLst/>
                    </a:prstGeom>
                  </pic:spPr>
                </pic:pic>
              </a:graphicData>
            </a:graphic>
          </wp:inline>
        </w:drawing>
      </w:r>
    </w:p>
    <w:p w14:paraId="39FCBA51" w14:textId="33CD930D" w:rsidR="000F5A5B" w:rsidRPr="000F5A5B" w:rsidRDefault="000F5A5B" w:rsidP="000F5A5B">
      <w:pPr>
        <w:pStyle w:val="TableDescription"/>
      </w:pPr>
      <w:r w:rsidRPr="000F5A5B">
        <w:t>N = number of subjects.</w:t>
      </w:r>
    </w:p>
    <w:p w14:paraId="39968868" w14:textId="4FF8DF89" w:rsidR="00C56B31" w:rsidRPr="000F5A5B" w:rsidRDefault="00C56B31" w:rsidP="000F5A5B">
      <w:pPr>
        <w:pStyle w:val="TableDescription"/>
      </w:pPr>
      <w:r w:rsidRPr="000F5A5B">
        <w:t>Events were adjudicated by an independent adjudication committee and considered from randomi</w:t>
      </w:r>
      <w:r w:rsidR="000F5A5B">
        <w:t>s</w:t>
      </w:r>
      <w:r w:rsidRPr="000F5A5B">
        <w:t xml:space="preserve">ation up until the </w:t>
      </w:r>
      <w:r w:rsidR="000F5A5B" w:rsidRPr="000F5A5B">
        <w:t>end of study visit</w:t>
      </w:r>
      <w:r w:rsidRPr="000F5A5B">
        <w:t>.</w:t>
      </w:r>
    </w:p>
    <w:p w14:paraId="50770425" w14:textId="77777777" w:rsidR="00077DB4" w:rsidRPr="000161A0" w:rsidRDefault="00077DB4" w:rsidP="009253EA">
      <w:pPr>
        <w:pStyle w:val="Heading5"/>
      </w:pPr>
      <w:r w:rsidRPr="000161A0">
        <w:t>Serious adverse events</w:t>
      </w:r>
    </w:p>
    <w:p w14:paraId="00E6D264" w14:textId="144F070B" w:rsidR="00077DB4" w:rsidRPr="000161A0" w:rsidRDefault="00077DB4" w:rsidP="009253EA">
      <w:r w:rsidRPr="000161A0">
        <w:t xml:space="preserve">The incidence of serious TEAEs was numerically lower in the </w:t>
      </w:r>
      <w:proofErr w:type="spellStart"/>
      <w:r w:rsidRPr="000161A0">
        <w:t>finerenone</w:t>
      </w:r>
      <w:proofErr w:type="spellEnd"/>
      <w:r w:rsidRPr="000161A0">
        <w:t xml:space="preserve"> arm compared to placebo. Serious TEAEs more frequently reported in the </w:t>
      </w:r>
      <w:proofErr w:type="spellStart"/>
      <w:r w:rsidRPr="000161A0">
        <w:t>finerenone</w:t>
      </w:r>
      <w:proofErr w:type="spellEnd"/>
      <w:r w:rsidRPr="000161A0">
        <w:t xml:space="preserve"> arm</w:t>
      </w:r>
      <w:r w:rsidR="004B5CAE">
        <w:t xml:space="preserve"> versus placebo arm</w:t>
      </w:r>
      <w:r w:rsidRPr="000161A0">
        <w:t xml:space="preserve"> were acute kidney injury (2.0% </w:t>
      </w:r>
      <w:r w:rsidR="00B227A0" w:rsidRPr="000161A0">
        <w:t>versus</w:t>
      </w:r>
      <w:r w:rsidRPr="000161A0">
        <w:t xml:space="preserve"> 1.8%), hyperkalaemia (1.5% </w:t>
      </w:r>
      <w:r w:rsidR="00B227A0" w:rsidRPr="000161A0">
        <w:t>versus</w:t>
      </w:r>
      <w:r w:rsidRPr="000161A0">
        <w:t xml:space="preserve"> 0.4%), cellulitis (0.9% </w:t>
      </w:r>
      <w:r w:rsidR="00B227A0" w:rsidRPr="000161A0">
        <w:t>versus</w:t>
      </w:r>
      <w:r w:rsidRPr="000161A0">
        <w:t xml:space="preserve"> 0.8%), and cataract (0.7% </w:t>
      </w:r>
      <w:r w:rsidR="00B227A0" w:rsidRPr="000161A0">
        <w:t>versus</w:t>
      </w:r>
      <w:r w:rsidRPr="000161A0">
        <w:t xml:space="preserve"> 0.4%). Serious TEAEs assessed as related to study treatment were generally infrequent (1.7% </w:t>
      </w:r>
      <w:r w:rsidR="00B227A0" w:rsidRPr="000161A0">
        <w:t>versus</w:t>
      </w:r>
      <w:r w:rsidRPr="000161A0">
        <w:t xml:space="preserve"> 1.2%) with hyperkalaemia (0.8% </w:t>
      </w:r>
      <w:r w:rsidR="00B227A0" w:rsidRPr="000161A0">
        <w:t>versus</w:t>
      </w:r>
      <w:r w:rsidRPr="000161A0">
        <w:t xml:space="preserve"> 0.2%) and acute kidney injury (0.3% </w:t>
      </w:r>
      <w:r w:rsidR="00B227A0" w:rsidRPr="000161A0">
        <w:t>versus</w:t>
      </w:r>
      <w:r w:rsidRPr="000161A0">
        <w:t xml:space="preserve"> 0.2%) being most common.</w:t>
      </w:r>
    </w:p>
    <w:p w14:paraId="3221FCBA" w14:textId="77777777" w:rsidR="00077DB4" w:rsidRPr="000161A0" w:rsidRDefault="00077DB4" w:rsidP="009253EA">
      <w:pPr>
        <w:pStyle w:val="Heading5"/>
      </w:pPr>
      <w:r w:rsidRPr="000161A0">
        <w:t>Discontinuations</w:t>
      </w:r>
    </w:p>
    <w:p w14:paraId="5CE94077" w14:textId="769184B6" w:rsidR="00077DB4" w:rsidRPr="000161A0" w:rsidRDefault="00077DB4" w:rsidP="009253EA">
      <w:r w:rsidRPr="000161A0">
        <w:t xml:space="preserve">Treatment interruption in </w:t>
      </w:r>
      <w:r w:rsidR="00AB55F7" w:rsidRPr="000161A0">
        <w:t>at least</w:t>
      </w:r>
      <w:r w:rsidR="00F9794F" w:rsidRPr="000161A0">
        <w:t xml:space="preserve"> one</w:t>
      </w:r>
      <w:r w:rsidRPr="000161A0">
        <w:t xml:space="preserve"> visit was more frequent in the </w:t>
      </w:r>
      <w:proofErr w:type="spellStart"/>
      <w:r w:rsidRPr="000161A0">
        <w:t>finerenone</w:t>
      </w:r>
      <w:proofErr w:type="spellEnd"/>
      <w:r w:rsidRPr="000161A0">
        <w:t xml:space="preserve"> arm (53.6%) compared to placebo (45.0%). </w:t>
      </w:r>
      <w:r w:rsidR="004B5CAE">
        <w:t>The m</w:t>
      </w:r>
      <w:r w:rsidRPr="000161A0">
        <w:t xml:space="preserve">ost common reasons were AEs or outcome events (31.4 versus 27.3%) and blood potassium level (18.2 </w:t>
      </w:r>
      <w:r w:rsidR="00B227A0" w:rsidRPr="000161A0">
        <w:t>versus</w:t>
      </w:r>
      <w:r w:rsidRPr="000161A0">
        <w:t xml:space="preserve"> 8.5%).</w:t>
      </w:r>
    </w:p>
    <w:p w14:paraId="7B5AF2DA" w14:textId="77777777" w:rsidR="00077DB4" w:rsidRPr="000161A0" w:rsidRDefault="00077DB4" w:rsidP="009253EA">
      <w:pPr>
        <w:pStyle w:val="Heading5"/>
      </w:pPr>
      <w:r w:rsidRPr="000161A0">
        <w:t>Adverse events of special interest</w:t>
      </w:r>
    </w:p>
    <w:p w14:paraId="6B2380A4" w14:textId="0EC0C919" w:rsidR="00077DB4" w:rsidRPr="000161A0" w:rsidRDefault="00077DB4" w:rsidP="009253EA">
      <w:r w:rsidRPr="000161A0">
        <w:t xml:space="preserve">Hyperkalaemia can occur in advanced CKD and </w:t>
      </w:r>
      <w:r w:rsidR="009C3C5E" w:rsidRPr="000161A0">
        <w:t>type 2 diabetes</w:t>
      </w:r>
      <w:r w:rsidRPr="000161A0">
        <w:t xml:space="preserve"> and may be aggravated by </w:t>
      </w:r>
      <w:proofErr w:type="spellStart"/>
      <w:r w:rsidRPr="000161A0">
        <w:t>ACE</w:t>
      </w:r>
      <w:r w:rsidR="002051CB" w:rsidRPr="000161A0">
        <w:t>i</w:t>
      </w:r>
      <w:proofErr w:type="spellEnd"/>
      <w:r w:rsidRPr="000161A0">
        <w:t>, ARB or MRA</w:t>
      </w:r>
      <w:r w:rsidR="004B5CAE">
        <w:t xml:space="preserve"> treatment</w:t>
      </w:r>
      <w:r w:rsidRPr="000161A0">
        <w:t xml:space="preserve">. There was a nearly 2-fold incidence increase (mean difference </w:t>
      </w:r>
      <w:r w:rsidR="006E04F0" w:rsidRPr="000161A0">
        <w:t xml:space="preserve">approximately </w:t>
      </w:r>
      <w:r w:rsidRPr="000161A0">
        <w:t xml:space="preserve">0.2 mmol/L) compared to placebo with </w:t>
      </w:r>
      <w:r w:rsidR="006E04F0" w:rsidRPr="000161A0">
        <w:t xml:space="preserve">approximately </w:t>
      </w:r>
      <w:r w:rsidR="004B5CAE">
        <w:t>two thirds</w:t>
      </w:r>
      <w:r w:rsidRPr="000161A0">
        <w:t xml:space="preserve"> considered to be related to study drug. No hyperkalaemia events resulted in death; most were mild or moderate, and most recovered. There was no imbalance </w:t>
      </w:r>
      <w:proofErr w:type="gramStart"/>
      <w:r w:rsidRPr="000161A0">
        <w:t>with regard to</w:t>
      </w:r>
      <w:proofErr w:type="gramEnd"/>
      <w:r w:rsidRPr="000161A0">
        <w:t xml:space="preserve"> events related hyperkalaemia (</w:t>
      </w:r>
      <w:r w:rsidR="00B227A0" w:rsidRPr="000161A0">
        <w:t>for example,</w:t>
      </w:r>
      <w:r w:rsidRPr="000161A0">
        <w:t xml:space="preserve"> cardiac or neurological disorders; hospitalisations) (</w:t>
      </w:r>
      <w:r w:rsidR="004B5CAE">
        <w:t xml:space="preserve">see </w:t>
      </w:r>
      <w:r w:rsidRPr="000161A0">
        <w:fldChar w:fldCharType="begin"/>
      </w:r>
      <w:r w:rsidRPr="000161A0">
        <w:instrText xml:space="preserve"> REF _Ref80972199 \h  \* MERGEFORMAT </w:instrText>
      </w:r>
      <w:r w:rsidRPr="000161A0">
        <w:fldChar w:fldCharType="separate"/>
      </w:r>
      <w:r w:rsidR="001C5336" w:rsidRPr="001C5336">
        <w:rPr>
          <w:lang w:val="en-US"/>
        </w:rPr>
        <w:t>Table 20</w:t>
      </w:r>
      <w:r w:rsidRPr="000161A0">
        <w:fldChar w:fldCharType="end"/>
      </w:r>
      <w:r w:rsidRPr="000161A0">
        <w:t>). Serum potassium of &gt;</w:t>
      </w:r>
      <w:r w:rsidR="00AB55F7" w:rsidRPr="000161A0">
        <w:t xml:space="preserve"> </w:t>
      </w:r>
      <w:r w:rsidRPr="000161A0">
        <w:t>5.5 mmol/L (&gt;</w:t>
      </w:r>
      <w:r w:rsidR="00AB55F7" w:rsidRPr="000161A0">
        <w:t xml:space="preserve"> </w:t>
      </w:r>
      <w:r w:rsidRPr="000161A0">
        <w:t xml:space="preserve">6 mmol/L) at any time during treatment was reported for 21.4% and 9.2% (4.5% and 1.4%) of subjects in the </w:t>
      </w:r>
      <w:proofErr w:type="spellStart"/>
      <w:r w:rsidRPr="000161A0">
        <w:t>finerenone</w:t>
      </w:r>
      <w:proofErr w:type="spellEnd"/>
      <w:r w:rsidRPr="000161A0">
        <w:t xml:space="preserve"> and placebo arms, respectively.</w:t>
      </w:r>
    </w:p>
    <w:p w14:paraId="3FA86EB1" w14:textId="3AF0871C" w:rsidR="00AB55F7" w:rsidRPr="00110614" w:rsidRDefault="00AB55F7" w:rsidP="00110614">
      <w:pPr>
        <w:pStyle w:val="TableTitle"/>
      </w:pPr>
      <w:bookmarkStart w:id="80" w:name="_Ref80972199"/>
      <w:r w:rsidRPr="00110614">
        <w:lastRenderedPageBreak/>
        <w:t xml:space="preserve">Table </w:t>
      </w:r>
      <w:fldSimple w:instr=" SEQ Table \* ARABIC ">
        <w:r w:rsidR="001C5336">
          <w:rPr>
            <w:noProof/>
          </w:rPr>
          <w:t>20</w:t>
        </w:r>
      </w:fldSimple>
      <w:bookmarkEnd w:id="80"/>
      <w:r w:rsidRPr="00110614">
        <w:t>: Study 16244 Hyperkalaemia treatment</w:t>
      </w:r>
      <w:r w:rsidR="001E46D2">
        <w:noBreakHyphen/>
      </w:r>
      <w:r w:rsidRPr="00110614">
        <w:t>emergent adverse events (safety analysis set)</w:t>
      </w:r>
    </w:p>
    <w:p w14:paraId="19006827" w14:textId="0BADD9B4" w:rsidR="00AB55F7" w:rsidRDefault="00AB55F7" w:rsidP="00110614">
      <w:r w:rsidRPr="000161A0">
        <w:rPr>
          <w:noProof/>
          <w:lang w:val="en-GB" w:eastAsia="en-GB"/>
        </w:rPr>
        <w:drawing>
          <wp:inline distT="0" distB="0" distL="0" distR="0" wp14:anchorId="39255CF4" wp14:editId="0EDEC1F3">
            <wp:extent cx="5241471" cy="3393477"/>
            <wp:effectExtent l="0" t="0" r="0" b="0"/>
            <wp:docPr id="992" name="Grafik 992" descr="Table 20: Study 16244 Hyperkalaemia treatment 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Grafik 992" descr="Table 20: Study 16244 Hyperkalaemia treatment emergent adverse events (safety analysis set)"/>
                    <pic:cNvPicPr/>
                  </pic:nvPicPr>
                  <pic:blipFill rotWithShape="1">
                    <a:blip r:embed="rId36"/>
                    <a:srcRect l="343" t="10144" r="5035" b="2143"/>
                    <a:stretch/>
                  </pic:blipFill>
                  <pic:spPr bwMode="auto">
                    <a:xfrm>
                      <a:off x="0" y="0"/>
                      <a:ext cx="5265686" cy="3409154"/>
                    </a:xfrm>
                    <a:prstGeom prst="rect">
                      <a:avLst/>
                    </a:prstGeom>
                    <a:ln>
                      <a:noFill/>
                    </a:ln>
                    <a:extLst>
                      <a:ext uri="{53640926-AAD7-44D8-BBD7-CCE9431645EC}">
                        <a14:shadowObscured xmlns:a14="http://schemas.microsoft.com/office/drawing/2010/main"/>
                      </a:ext>
                    </a:extLst>
                  </pic:spPr>
                </pic:pic>
              </a:graphicData>
            </a:graphic>
          </wp:inline>
        </w:drawing>
      </w:r>
    </w:p>
    <w:p w14:paraId="00353293" w14:textId="709C5C9A" w:rsidR="00E65953" w:rsidRPr="00E65953" w:rsidRDefault="00E65953" w:rsidP="00E65953">
      <w:pPr>
        <w:pStyle w:val="TableDescription"/>
      </w:pPr>
      <w:r w:rsidRPr="00E65953">
        <w:t>Den = denominator</w:t>
      </w:r>
      <w:r w:rsidR="000F5A5B">
        <w:t>;</w:t>
      </w:r>
      <w:r w:rsidRPr="00E65953">
        <w:t xml:space="preserve"> N = number of subjects</w:t>
      </w:r>
      <w:r w:rsidR="000F5A5B">
        <w:t>;</w:t>
      </w:r>
      <w:r w:rsidRPr="00E65953">
        <w:t xml:space="preserve"> Num = numerator</w:t>
      </w:r>
      <w:r w:rsidR="000F5A5B">
        <w:t xml:space="preserve">; </w:t>
      </w:r>
      <w:r w:rsidRPr="00E65953">
        <w:t>TEAE = treatment</w:t>
      </w:r>
      <w:r w:rsidR="0081427B">
        <w:t xml:space="preserve"> </w:t>
      </w:r>
      <w:r w:rsidRPr="00E65953">
        <w:t>emergent adverse event</w:t>
      </w:r>
      <w:r w:rsidR="0081427B">
        <w:t>.</w:t>
      </w:r>
    </w:p>
    <w:p w14:paraId="350C4017" w14:textId="5CEF41C6" w:rsidR="00E65953" w:rsidRPr="00E65953" w:rsidRDefault="00E65953" w:rsidP="00E65953">
      <w:pPr>
        <w:pStyle w:val="TableDescription"/>
      </w:pPr>
      <w:r w:rsidRPr="00E65953">
        <w:t xml:space="preserve">a. All interruptions are excluded from the person-time at risk, </w:t>
      </w:r>
      <w:r w:rsidR="000F5A5B">
        <w:t>that is,</w:t>
      </w:r>
      <w:r w:rsidRPr="00E65953">
        <w:t xml:space="preserve"> for subjects with an interruption, events in the period from interruption start + 3 days until end of interruption are not considered.</w:t>
      </w:r>
    </w:p>
    <w:p w14:paraId="32038A53" w14:textId="0E5E9799" w:rsidR="00E65953" w:rsidRPr="00E65953" w:rsidRDefault="00E65953" w:rsidP="00E65953">
      <w:pPr>
        <w:pStyle w:val="TableDescription"/>
      </w:pPr>
      <w:r w:rsidRPr="00E65953">
        <w:t xml:space="preserve">All </w:t>
      </w:r>
      <w:r w:rsidR="000F5A5B" w:rsidRPr="00E65953">
        <w:t>hyperkalaemia</w:t>
      </w:r>
      <w:r w:rsidRPr="00E65953">
        <w:t xml:space="preserve"> adverse events are considered, including events occurring on the same day.</w:t>
      </w:r>
    </w:p>
    <w:p w14:paraId="1C4AEFF2" w14:textId="16374FC5" w:rsidR="00E65953" w:rsidRPr="00E65953" w:rsidRDefault="00E65953" w:rsidP="00E65953">
      <w:pPr>
        <w:pStyle w:val="TableDescription"/>
      </w:pPr>
      <w:r w:rsidRPr="00E65953">
        <w:t>b. The denominator (Den) represents all subjects at risk for a treatment</w:t>
      </w:r>
      <w:r w:rsidR="0081427B">
        <w:t xml:space="preserve"> </w:t>
      </w:r>
      <w:r w:rsidRPr="00E65953">
        <w:t>emergent laboratory abnormality. Subjects must have both a baseline and post-baseline treatment</w:t>
      </w:r>
      <w:r w:rsidR="0081427B">
        <w:t xml:space="preserve"> </w:t>
      </w:r>
      <w:r w:rsidRPr="00E65953">
        <w:t>emergent value and the baseline value must be in the expected range for that criterion. The numerator (Num) represents the number of subjects at risk with at least one treatment</w:t>
      </w:r>
      <w:r w:rsidR="000F5A5B">
        <w:t xml:space="preserve"> </w:t>
      </w:r>
      <w:r w:rsidRPr="00E65953">
        <w:t>emergent laboratory assessment meeting the criterion. For treatment</w:t>
      </w:r>
      <w:r w:rsidR="0081427B">
        <w:t xml:space="preserve"> </w:t>
      </w:r>
      <w:r w:rsidRPr="00E65953">
        <w:t>emergent only assessments from start of treatment until 3 days after any temporary or permanent interruption of study drug are considered.</w:t>
      </w:r>
    </w:p>
    <w:p w14:paraId="4C0AFFB3" w14:textId="57D8530C" w:rsidR="00077DB4" w:rsidRPr="000161A0" w:rsidRDefault="00077DB4" w:rsidP="009253EA">
      <w:r w:rsidRPr="000161A0">
        <w:t xml:space="preserve">A </w:t>
      </w:r>
      <w:r w:rsidRPr="00E50C3E">
        <w:rPr>
          <w:i/>
        </w:rPr>
        <w:t>post</w:t>
      </w:r>
      <w:r w:rsidR="001E46D2">
        <w:rPr>
          <w:i/>
        </w:rPr>
        <w:t>-</w:t>
      </w:r>
      <w:r w:rsidRPr="00E50C3E">
        <w:rPr>
          <w:i/>
        </w:rPr>
        <w:t>hoc</w:t>
      </w:r>
      <w:r w:rsidRPr="000161A0">
        <w:t xml:space="preserve"> subgroup analysis suggested that patients with an eGFR ≥</w:t>
      </w:r>
      <w:r w:rsidR="00AB55F7" w:rsidRPr="000161A0">
        <w:t xml:space="preserve"> </w:t>
      </w:r>
      <w:r w:rsidRPr="000161A0">
        <w:t>60 mL/min/1.73</w:t>
      </w:r>
      <w:r w:rsidR="00AB55F7" w:rsidRPr="000161A0">
        <w:t> </w:t>
      </w:r>
      <w:r w:rsidRPr="000161A0">
        <w:t>m</w:t>
      </w:r>
      <w:r w:rsidRPr="000161A0">
        <w:rPr>
          <w:vertAlign w:val="superscript"/>
        </w:rPr>
        <w:t>2</w:t>
      </w:r>
      <w:r w:rsidRPr="000161A0">
        <w:t xml:space="preserve"> at </w:t>
      </w:r>
      <w:r w:rsidR="00BD7195" w:rsidRPr="000161A0">
        <w:t>Baseline</w:t>
      </w:r>
      <w:r w:rsidRPr="000161A0">
        <w:t xml:space="preserve"> were less vulnerable (smallest difference between treatment groups), and that the following were more vulnerable: Asian patients, patients with a history of hyperkalaemia, and patients with a higher baseline potassium level.</w:t>
      </w:r>
    </w:p>
    <w:p w14:paraId="5D005410" w14:textId="17789E40" w:rsidR="00077DB4" w:rsidRPr="000161A0" w:rsidRDefault="00077DB4" w:rsidP="009253EA">
      <w:r w:rsidRPr="000161A0">
        <w:t xml:space="preserve">Worsening of renal function TEAEs resulting in hospitalisation or discontinuation were balanced between treatment arms. Acute decreases in GFR were more frequently observed in the </w:t>
      </w:r>
      <w:proofErr w:type="spellStart"/>
      <w:r w:rsidRPr="000161A0">
        <w:t>finerenone</w:t>
      </w:r>
      <w:proofErr w:type="spellEnd"/>
      <w:r w:rsidRPr="000161A0">
        <w:t xml:space="preserve"> arm (6.3% </w:t>
      </w:r>
      <w:r w:rsidR="00B227A0" w:rsidRPr="000161A0">
        <w:t>versus</w:t>
      </w:r>
      <w:r w:rsidRPr="000161A0">
        <w:t xml:space="preserve"> 4.7%). Serious events (5 </w:t>
      </w:r>
      <w:r w:rsidR="00B227A0" w:rsidRPr="000161A0">
        <w:t>(</w:t>
      </w:r>
      <w:r w:rsidRPr="000161A0">
        <w:t>0.2%</w:t>
      </w:r>
      <w:r w:rsidR="00B227A0" w:rsidRPr="000161A0">
        <w:t>)</w:t>
      </w:r>
      <w:r w:rsidRPr="000161A0">
        <w:t xml:space="preserve"> </w:t>
      </w:r>
      <w:r w:rsidR="00B227A0" w:rsidRPr="000161A0">
        <w:t>versus</w:t>
      </w:r>
      <w:r w:rsidRPr="000161A0">
        <w:t xml:space="preserve"> 4</w:t>
      </w:r>
      <w:r w:rsidR="00AB55F7" w:rsidRPr="000161A0">
        <w:t> </w:t>
      </w:r>
      <w:r w:rsidRPr="000161A0">
        <w:t xml:space="preserve">subjects </w:t>
      </w:r>
      <w:r w:rsidR="00B227A0" w:rsidRPr="000161A0">
        <w:t>(</w:t>
      </w:r>
      <w:r w:rsidRPr="000161A0">
        <w:t>0.1%</w:t>
      </w:r>
      <w:r w:rsidR="00B227A0" w:rsidRPr="000161A0">
        <w:t>)</w:t>
      </w:r>
      <w:r w:rsidRPr="000161A0">
        <w:t xml:space="preserve">) or events leading to permanent discontinuation (7 </w:t>
      </w:r>
      <w:r w:rsidR="00B227A0" w:rsidRPr="000161A0">
        <w:t>(</w:t>
      </w:r>
      <w:r w:rsidRPr="000161A0">
        <w:t>0.2%</w:t>
      </w:r>
      <w:r w:rsidR="00B227A0" w:rsidRPr="000161A0">
        <w:t>)</w:t>
      </w:r>
      <w:r w:rsidRPr="000161A0">
        <w:t xml:space="preserve"> </w:t>
      </w:r>
      <w:r w:rsidR="00B227A0" w:rsidRPr="000161A0">
        <w:t>versus</w:t>
      </w:r>
      <w:r w:rsidRPr="000161A0">
        <w:t xml:space="preserve"> 8 </w:t>
      </w:r>
      <w:r w:rsidR="00B227A0" w:rsidRPr="000161A0">
        <w:t>(</w:t>
      </w:r>
      <w:r w:rsidRPr="000161A0">
        <w:t>0.3%</w:t>
      </w:r>
      <w:r w:rsidR="00B227A0" w:rsidRPr="000161A0">
        <w:t>)</w:t>
      </w:r>
      <w:r w:rsidRPr="000161A0">
        <w:t>) were rare and balanced between treatment groups (</w:t>
      </w:r>
      <w:r w:rsidR="001E46D2">
        <w:t xml:space="preserve">see </w:t>
      </w:r>
      <w:r w:rsidRPr="000161A0">
        <w:fldChar w:fldCharType="begin"/>
      </w:r>
      <w:r w:rsidRPr="000161A0">
        <w:instrText xml:space="preserve"> REF _Ref80972202 \h  \* MERGEFORMAT </w:instrText>
      </w:r>
      <w:r w:rsidRPr="000161A0">
        <w:fldChar w:fldCharType="separate"/>
      </w:r>
      <w:r w:rsidR="001C5336" w:rsidRPr="001C5336">
        <w:rPr>
          <w:lang w:val="en-US"/>
        </w:rPr>
        <w:t>Table 21</w:t>
      </w:r>
      <w:r w:rsidRPr="000161A0">
        <w:fldChar w:fldCharType="end"/>
      </w:r>
      <w:r w:rsidRPr="000161A0">
        <w:t>).</w:t>
      </w:r>
    </w:p>
    <w:p w14:paraId="2D848F6A" w14:textId="7F2A2F82" w:rsidR="00AB55F7" w:rsidRPr="00110614" w:rsidRDefault="00AB55F7" w:rsidP="00110614">
      <w:pPr>
        <w:pStyle w:val="TableTitle"/>
      </w:pPr>
      <w:bookmarkStart w:id="81" w:name="_Ref80972202"/>
      <w:r w:rsidRPr="00110614">
        <w:lastRenderedPageBreak/>
        <w:t xml:space="preserve">Table </w:t>
      </w:r>
      <w:fldSimple w:instr=" SEQ Table \* ARABIC ">
        <w:r w:rsidR="001C5336">
          <w:rPr>
            <w:noProof/>
          </w:rPr>
          <w:t>21</w:t>
        </w:r>
      </w:fldSimple>
      <w:bookmarkEnd w:id="81"/>
      <w:r w:rsidRPr="00110614">
        <w:t>: Study 16244 Worsening of renal function treatment</w:t>
      </w:r>
      <w:r w:rsidR="001E46D2">
        <w:noBreakHyphen/>
      </w:r>
      <w:r w:rsidRPr="00110614">
        <w:t>emergent adverse events (safety analysis set)</w:t>
      </w:r>
    </w:p>
    <w:p w14:paraId="70DCFE7D" w14:textId="3CBA478B" w:rsidR="00E65953" w:rsidRDefault="00E65953" w:rsidP="00110614">
      <w:r>
        <w:rPr>
          <w:noProof/>
          <w:lang w:val="en-GB" w:eastAsia="en-GB"/>
        </w:rPr>
        <w:drawing>
          <wp:inline distT="0" distB="0" distL="0" distR="0" wp14:anchorId="525565B3" wp14:editId="53D48047">
            <wp:extent cx="5400040" cy="3279140"/>
            <wp:effectExtent l="0" t="0" r="0" b="0"/>
            <wp:docPr id="455" name="Picture 455" descr="Table 21: Study 16244 Worsening of renal function treatment 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able 21: Study 16244 Worsening of renal function treatment emergent adverse events (safety analysis set)"/>
                    <pic:cNvPicPr/>
                  </pic:nvPicPr>
                  <pic:blipFill>
                    <a:blip r:embed="rId37"/>
                    <a:stretch>
                      <a:fillRect/>
                    </a:stretch>
                  </pic:blipFill>
                  <pic:spPr>
                    <a:xfrm>
                      <a:off x="0" y="0"/>
                      <a:ext cx="5400040" cy="3279140"/>
                    </a:xfrm>
                    <a:prstGeom prst="rect">
                      <a:avLst/>
                    </a:prstGeom>
                  </pic:spPr>
                </pic:pic>
              </a:graphicData>
            </a:graphic>
          </wp:inline>
        </w:drawing>
      </w:r>
    </w:p>
    <w:p w14:paraId="5B8FD7CA" w14:textId="76252D75" w:rsidR="00E65953" w:rsidRPr="00E65953" w:rsidRDefault="00E65953" w:rsidP="00E65953">
      <w:pPr>
        <w:pStyle w:val="TableDescription"/>
      </w:pPr>
      <w:r w:rsidRPr="00E65953">
        <w:t>Den = denominator</w:t>
      </w:r>
      <w:r w:rsidR="000F5A5B">
        <w:t>;</w:t>
      </w:r>
      <w:r w:rsidRPr="00E65953">
        <w:t xml:space="preserve"> eGFR = estimated glomerular filtration rate</w:t>
      </w:r>
      <w:r w:rsidR="000F5A5B">
        <w:t>;</w:t>
      </w:r>
      <w:r w:rsidRPr="00E65953">
        <w:t xml:space="preserve"> N = number of subjects</w:t>
      </w:r>
      <w:r w:rsidR="000F5A5B">
        <w:t>;</w:t>
      </w:r>
      <w:r w:rsidRPr="00E65953">
        <w:t xml:space="preserve"> Num = numerator</w:t>
      </w:r>
      <w:r w:rsidR="000F5A5B">
        <w:t>;</w:t>
      </w:r>
      <w:r w:rsidRPr="00E65953">
        <w:t xml:space="preserve"> PT = </w:t>
      </w:r>
      <w:r w:rsidR="000F5A5B" w:rsidRPr="00E65953">
        <w:t>Preferred</w:t>
      </w:r>
      <w:r w:rsidR="000F5A5B">
        <w:t xml:space="preserve"> </w:t>
      </w:r>
      <w:r w:rsidR="000F5A5B" w:rsidRPr="00E65953">
        <w:t>Term</w:t>
      </w:r>
      <w:r w:rsidR="000F5A5B">
        <w:t>;</w:t>
      </w:r>
      <w:r w:rsidRPr="00E65953">
        <w:t xml:space="preserve"> TEAE = treatment</w:t>
      </w:r>
      <w:r w:rsidR="0081427B">
        <w:t xml:space="preserve"> </w:t>
      </w:r>
      <w:r w:rsidRPr="00E65953">
        <w:t>emergent adverse event</w:t>
      </w:r>
      <w:r w:rsidR="000F5A5B">
        <w:t>.</w:t>
      </w:r>
    </w:p>
    <w:p w14:paraId="0C19FF99" w14:textId="3DDA8497" w:rsidR="00E65953" w:rsidRPr="00E65953" w:rsidRDefault="00E65953" w:rsidP="00E65953">
      <w:pPr>
        <w:pStyle w:val="TableDescription"/>
      </w:pPr>
      <w:proofErr w:type="spellStart"/>
      <w:r w:rsidRPr="00E65953">
        <w:t>a</w:t>
      </w:r>
      <w:proofErr w:type="spellEnd"/>
      <w:r w:rsidRPr="00E65953">
        <w:t xml:space="preserve"> </w:t>
      </w:r>
      <w:proofErr w:type="gramStart"/>
      <w:r w:rsidRPr="00E65953">
        <w:t>The</w:t>
      </w:r>
      <w:proofErr w:type="gramEnd"/>
      <w:r w:rsidRPr="00E65953">
        <w:t xml:space="preserve"> denominator (Den) represents all subjects at risk for a treatment</w:t>
      </w:r>
      <w:r w:rsidR="0081427B">
        <w:t xml:space="preserve"> </w:t>
      </w:r>
      <w:r w:rsidRPr="00E65953">
        <w:t>emergent laboratory abnormality. Subjects must</w:t>
      </w:r>
      <w:r>
        <w:t xml:space="preserve"> </w:t>
      </w:r>
      <w:r w:rsidRPr="00E65953">
        <w:t>have both a baseline and post-baseline treatment</w:t>
      </w:r>
      <w:r w:rsidR="0081427B">
        <w:t xml:space="preserve"> </w:t>
      </w:r>
      <w:r w:rsidRPr="00E65953">
        <w:t>emergent value and the baseline value must be in the expected range</w:t>
      </w:r>
      <w:r>
        <w:t xml:space="preserve"> </w:t>
      </w:r>
      <w:r w:rsidRPr="00E65953">
        <w:t>for that criterion. The numerator (Num) represents the number of subjects at risk with at least one treatment</w:t>
      </w:r>
      <w:r w:rsidR="0081427B">
        <w:t xml:space="preserve"> </w:t>
      </w:r>
      <w:r w:rsidRPr="00E65953">
        <w:t>emergent</w:t>
      </w:r>
      <w:r>
        <w:t xml:space="preserve"> </w:t>
      </w:r>
      <w:r w:rsidRPr="00E65953">
        <w:t>laboratory assessment meeting the criterion. For treatment</w:t>
      </w:r>
      <w:r w:rsidR="0081427B">
        <w:t xml:space="preserve"> </w:t>
      </w:r>
      <w:r w:rsidRPr="00E65953">
        <w:t>emergent only assessments from start of treatment until 3</w:t>
      </w:r>
      <w:r>
        <w:t xml:space="preserve"> </w:t>
      </w:r>
      <w:r w:rsidRPr="00E65953">
        <w:t>days after any temporary or permanent interruption of study drug are considered.</w:t>
      </w:r>
    </w:p>
    <w:p w14:paraId="4724FD5B" w14:textId="3716D01B" w:rsidR="009253EA" w:rsidRPr="000161A0" w:rsidRDefault="00077DB4" w:rsidP="009253EA">
      <w:pPr>
        <w:pStyle w:val="Heading6"/>
      </w:pPr>
      <w:r w:rsidRPr="000161A0">
        <w:t xml:space="preserve">Other </w:t>
      </w:r>
      <w:r w:rsidR="00AB55F7" w:rsidRPr="000161A0">
        <w:t>treatment</w:t>
      </w:r>
      <w:r w:rsidR="001E46D2">
        <w:t>-</w:t>
      </w:r>
      <w:r w:rsidR="00AB55F7" w:rsidRPr="000161A0">
        <w:t xml:space="preserve">emergent adverse events </w:t>
      </w:r>
      <w:r w:rsidRPr="000161A0">
        <w:t xml:space="preserve">associated with </w:t>
      </w:r>
      <w:r w:rsidR="00AB55F7" w:rsidRPr="000161A0">
        <w:t>mineralocorticoid receptor antagonist</w:t>
      </w:r>
      <w:r w:rsidRPr="000161A0">
        <w:t xml:space="preserve"> mode of action</w:t>
      </w:r>
    </w:p>
    <w:p w14:paraId="70A5C213" w14:textId="2FEFA6B1" w:rsidR="00077DB4" w:rsidRPr="000161A0" w:rsidRDefault="00077DB4" w:rsidP="009253EA">
      <w:r w:rsidRPr="000161A0">
        <w:t>Hypotension and hyponatr</w:t>
      </w:r>
      <w:r w:rsidR="001E46D2">
        <w:t>a</w:t>
      </w:r>
      <w:r w:rsidRPr="000161A0">
        <w:t>emia (as expected TEAEs) were generally non-serious and manageable. TEAEs related to gynecomastia or breast pain were balanced between the treatment arms.</w:t>
      </w:r>
    </w:p>
    <w:p w14:paraId="2213520F" w14:textId="77777777" w:rsidR="00077DB4" w:rsidRPr="000161A0" w:rsidRDefault="00077DB4" w:rsidP="009253EA">
      <w:pPr>
        <w:pStyle w:val="Heading5"/>
      </w:pPr>
      <w:r w:rsidRPr="000161A0">
        <w:t>Safety in special populations</w:t>
      </w:r>
    </w:p>
    <w:p w14:paraId="1EACC03B" w14:textId="77777777" w:rsidR="009253EA" w:rsidRPr="000161A0" w:rsidRDefault="00077DB4" w:rsidP="009253EA">
      <w:pPr>
        <w:pStyle w:val="Heading6"/>
        <w:rPr>
          <w:lang w:eastAsia="ja-JP"/>
        </w:rPr>
      </w:pPr>
      <w:r w:rsidRPr="000161A0">
        <w:rPr>
          <w:lang w:eastAsia="ja-JP"/>
        </w:rPr>
        <w:t>Hepatic impairment</w:t>
      </w:r>
    </w:p>
    <w:p w14:paraId="5A3FC65D" w14:textId="1DBA1FB1" w:rsidR="00077DB4" w:rsidRPr="000161A0" w:rsidRDefault="00077DB4" w:rsidP="009253EA">
      <w:r w:rsidRPr="000161A0">
        <w:t>The classification into Child Pugh</w:t>
      </w:r>
      <w:r w:rsidR="00A753D1" w:rsidRPr="000161A0">
        <w:t>;</w:t>
      </w:r>
      <w:bookmarkStart w:id="82" w:name="_Ref101280981"/>
      <w:r w:rsidR="00A753D1" w:rsidRPr="000161A0">
        <w:rPr>
          <w:rStyle w:val="FootnoteReference"/>
        </w:rPr>
        <w:footnoteReference w:id="8"/>
      </w:r>
      <w:bookmarkEnd w:id="82"/>
      <w:r w:rsidRPr="000161A0">
        <w:t xml:space="preserve"> A or B was not definite. Only a very small number of patients were classified with certainty, making an interpretation difficult. Patients with severe hepatic impairment (Child Pugh C)</w:t>
      </w:r>
      <w:r w:rsidR="00A753D1" w:rsidRPr="000161A0">
        <w:rPr>
          <w:vertAlign w:val="superscript"/>
        </w:rPr>
        <w:fldChar w:fldCharType="begin"/>
      </w:r>
      <w:r w:rsidR="00A753D1" w:rsidRPr="000161A0">
        <w:rPr>
          <w:vertAlign w:val="superscript"/>
        </w:rPr>
        <w:instrText xml:space="preserve"> NOTEREF _Ref101280981 \h  \* MERGEFORMAT </w:instrText>
      </w:r>
      <w:r w:rsidR="00A753D1" w:rsidRPr="000161A0">
        <w:rPr>
          <w:vertAlign w:val="superscript"/>
        </w:rPr>
      </w:r>
      <w:r w:rsidR="00A753D1" w:rsidRPr="000161A0">
        <w:rPr>
          <w:vertAlign w:val="superscript"/>
        </w:rPr>
        <w:fldChar w:fldCharType="separate"/>
      </w:r>
      <w:r w:rsidR="001C5336">
        <w:rPr>
          <w:vertAlign w:val="superscript"/>
        </w:rPr>
        <w:t>8</w:t>
      </w:r>
      <w:r w:rsidR="00A753D1" w:rsidRPr="000161A0">
        <w:rPr>
          <w:vertAlign w:val="superscript"/>
        </w:rPr>
        <w:fldChar w:fldCharType="end"/>
      </w:r>
      <w:r w:rsidRPr="000161A0">
        <w:t xml:space="preserve"> have not been studied.</w:t>
      </w:r>
    </w:p>
    <w:p w14:paraId="5BA9D179" w14:textId="44845C1E" w:rsidR="00077DB4" w:rsidRPr="000161A0" w:rsidRDefault="00077DB4" w:rsidP="009253EA">
      <w:r w:rsidRPr="000161A0">
        <w:t>The proportion of subjects with any TEAE was higher in hepatic impairment compared to without; Child Pugh B patients were usually worse than Child Pugh A. However, the events appeared to be balanced between treatment and placebo groups, except for the imbalances also found in patients without hepatic impairment (</w:t>
      </w:r>
      <w:r w:rsidRPr="000161A0">
        <w:fldChar w:fldCharType="begin"/>
      </w:r>
      <w:r w:rsidRPr="000161A0">
        <w:instrText xml:space="preserve"> REF _Ref80973526 \h  \* MERGEFORMAT </w:instrText>
      </w:r>
      <w:r w:rsidRPr="000161A0">
        <w:fldChar w:fldCharType="separate"/>
      </w:r>
      <w:r w:rsidR="001C5336" w:rsidRPr="001C5336">
        <w:rPr>
          <w:lang w:val="en-US"/>
        </w:rPr>
        <w:t>Table 22</w:t>
      </w:r>
      <w:r w:rsidRPr="000161A0">
        <w:fldChar w:fldCharType="end"/>
      </w:r>
      <w:r w:rsidRPr="000161A0">
        <w:t>).</w:t>
      </w:r>
    </w:p>
    <w:p w14:paraId="71567054" w14:textId="1A3E4C14" w:rsidR="00AB55F7" w:rsidRPr="00110614" w:rsidRDefault="00AB55F7" w:rsidP="00110614">
      <w:pPr>
        <w:pStyle w:val="TableTitle"/>
      </w:pPr>
      <w:bookmarkStart w:id="83" w:name="_Ref80973526"/>
      <w:r w:rsidRPr="00110614">
        <w:lastRenderedPageBreak/>
        <w:t xml:space="preserve">Table </w:t>
      </w:r>
      <w:fldSimple w:instr=" SEQ Table \* ARABIC ">
        <w:r w:rsidR="001C5336">
          <w:rPr>
            <w:noProof/>
          </w:rPr>
          <w:t>22</w:t>
        </w:r>
      </w:fldSimple>
      <w:bookmarkEnd w:id="83"/>
      <w:r w:rsidRPr="00110614">
        <w:t>: Study 16244 Overall summary of treatment</w:t>
      </w:r>
      <w:r w:rsidR="001E46D2">
        <w:t>-</w:t>
      </w:r>
      <w:r w:rsidRPr="00110614">
        <w:t>emergent adverse events by hepatic impairment (safety analysis set)</w:t>
      </w:r>
    </w:p>
    <w:p w14:paraId="207CA08F" w14:textId="28EB1095" w:rsidR="00E65953" w:rsidRDefault="00E65953" w:rsidP="00110614">
      <w:r>
        <w:rPr>
          <w:noProof/>
          <w:lang w:val="en-GB" w:eastAsia="en-GB"/>
        </w:rPr>
        <w:drawing>
          <wp:inline distT="0" distB="0" distL="0" distR="0" wp14:anchorId="6FAEBA1A" wp14:editId="43944151">
            <wp:extent cx="5400040" cy="3580765"/>
            <wp:effectExtent l="0" t="0" r="0" b="635"/>
            <wp:docPr id="456" name="Picture 456" descr="Table 22: Study 16244 Overall summary of treatment-emergent adverse events by hepatic impair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able 22: Study 16244 Overall summary of treatment-emergent adverse events by hepatic impairment (safety analysis set)"/>
                    <pic:cNvPicPr/>
                  </pic:nvPicPr>
                  <pic:blipFill>
                    <a:blip r:embed="rId38"/>
                    <a:stretch>
                      <a:fillRect/>
                    </a:stretch>
                  </pic:blipFill>
                  <pic:spPr>
                    <a:xfrm>
                      <a:off x="0" y="0"/>
                      <a:ext cx="5400040" cy="3580765"/>
                    </a:xfrm>
                    <a:prstGeom prst="rect">
                      <a:avLst/>
                    </a:prstGeom>
                  </pic:spPr>
                </pic:pic>
              </a:graphicData>
            </a:graphic>
          </wp:inline>
        </w:drawing>
      </w:r>
    </w:p>
    <w:p w14:paraId="12A57A6C" w14:textId="1E78A7BA" w:rsidR="00AA23D0" w:rsidRPr="00AA23D0" w:rsidRDefault="00AA23D0" w:rsidP="00AA23D0">
      <w:pPr>
        <w:pStyle w:val="TableDescription"/>
      </w:pPr>
      <w:r w:rsidRPr="00AA23D0">
        <w:t>AE = adverse event</w:t>
      </w:r>
      <w:r w:rsidR="00501D4F">
        <w:t>;</w:t>
      </w:r>
      <w:r w:rsidRPr="00AA23D0">
        <w:t xml:space="preserve"> N = number of subjects</w:t>
      </w:r>
      <w:r w:rsidR="00501D4F">
        <w:t>;</w:t>
      </w:r>
      <w:r w:rsidRPr="00AA23D0">
        <w:t xml:space="preserve"> SAE = serious adverse event</w:t>
      </w:r>
      <w:r w:rsidR="00501D4F">
        <w:t>;</w:t>
      </w:r>
      <w:r w:rsidRPr="00AA23D0">
        <w:t xml:space="preserve"> SAF = safety analysis set</w:t>
      </w:r>
      <w:r w:rsidR="00501D4F">
        <w:t>;</w:t>
      </w:r>
      <w:r w:rsidRPr="00AA23D0">
        <w:t xml:space="preserve"> TEAE</w:t>
      </w:r>
      <w:r w:rsidR="00501D4F">
        <w:t> </w:t>
      </w:r>
      <w:r w:rsidRPr="00AA23D0">
        <w:t>= treatment emergent adverse event</w:t>
      </w:r>
    </w:p>
    <w:p w14:paraId="67667495" w14:textId="77777777" w:rsidR="009253EA" w:rsidRPr="000161A0" w:rsidRDefault="00077DB4" w:rsidP="009253EA">
      <w:pPr>
        <w:pStyle w:val="Heading6"/>
        <w:rPr>
          <w:lang w:eastAsia="ja-JP"/>
        </w:rPr>
      </w:pPr>
      <w:r w:rsidRPr="000161A0">
        <w:rPr>
          <w:lang w:eastAsia="ja-JP"/>
        </w:rPr>
        <w:t>Pregnancy or breast feeding</w:t>
      </w:r>
    </w:p>
    <w:p w14:paraId="1CD5FA2F" w14:textId="202FDE0E" w:rsidR="00077DB4" w:rsidRPr="000161A0" w:rsidRDefault="00077DB4" w:rsidP="009253EA">
      <w:r w:rsidRPr="000161A0">
        <w:t>No clinical data are available.</w:t>
      </w:r>
    </w:p>
    <w:p w14:paraId="57EB8DC7" w14:textId="3941E42D" w:rsidR="00077DB4" w:rsidRPr="000161A0" w:rsidRDefault="00077DB4" w:rsidP="009253EA">
      <w:r w:rsidRPr="000161A0">
        <w:t xml:space="preserve">In the pre-and postnatal developmental toxicity study in rats, adverse effects on </w:t>
      </w:r>
      <w:proofErr w:type="spellStart"/>
      <w:r w:rsidRPr="000161A0">
        <w:t>fetal</w:t>
      </w:r>
      <w:proofErr w:type="spellEnd"/>
      <w:r w:rsidRPr="000161A0">
        <w:t xml:space="preserve"> and pup development were found. It is unknown if </w:t>
      </w:r>
      <w:proofErr w:type="spellStart"/>
      <w:r w:rsidRPr="000161A0">
        <w:t>finerenone</w:t>
      </w:r>
      <w:proofErr w:type="spellEnd"/>
      <w:r w:rsidRPr="000161A0">
        <w:t xml:space="preserve"> or its metabolites are excreted into human breast milk. Available data in animals have shown secretion of </w:t>
      </w:r>
      <w:proofErr w:type="spellStart"/>
      <w:r w:rsidRPr="000161A0">
        <w:t>finerenone</w:t>
      </w:r>
      <w:proofErr w:type="spellEnd"/>
      <w:r w:rsidRPr="000161A0">
        <w:t xml:space="preserve"> and/or metabolites into milk.</w:t>
      </w:r>
    </w:p>
    <w:p w14:paraId="02AAE7AF" w14:textId="77777777" w:rsidR="00077DB4" w:rsidRPr="000161A0" w:rsidRDefault="00077DB4" w:rsidP="009253EA">
      <w:r w:rsidRPr="000161A0">
        <w:t xml:space="preserve">Women of childbearing potential should use effective contraception during treatment with </w:t>
      </w:r>
      <w:proofErr w:type="spellStart"/>
      <w:r w:rsidRPr="000161A0">
        <w:t>finerenone</w:t>
      </w:r>
      <w:proofErr w:type="spellEnd"/>
      <w:r w:rsidRPr="000161A0">
        <w:t xml:space="preserve">. Breastfeeding should be discontinued if use of </w:t>
      </w:r>
      <w:proofErr w:type="spellStart"/>
      <w:r w:rsidRPr="000161A0">
        <w:t>finerenone</w:t>
      </w:r>
      <w:proofErr w:type="spellEnd"/>
      <w:r w:rsidRPr="000161A0">
        <w:t xml:space="preserve"> is considered essential.</w:t>
      </w:r>
    </w:p>
    <w:p w14:paraId="7186D6A0" w14:textId="3A404C24" w:rsidR="00077DB4" w:rsidRPr="000161A0" w:rsidRDefault="00077DB4" w:rsidP="009253EA">
      <w:r w:rsidRPr="000161A0">
        <w:t>Pregnancy Category D</w:t>
      </w:r>
      <w:r w:rsidR="001D3BD3" w:rsidRPr="000161A0">
        <w:t>;</w:t>
      </w:r>
      <w:r w:rsidR="001D3BD3" w:rsidRPr="000161A0">
        <w:rPr>
          <w:rStyle w:val="FootnoteReference"/>
        </w:rPr>
        <w:footnoteReference w:id="9"/>
      </w:r>
      <w:r w:rsidRPr="000161A0">
        <w:t xml:space="preserve"> is proposed.</w:t>
      </w:r>
    </w:p>
    <w:p w14:paraId="5CE49EDA" w14:textId="77777777" w:rsidR="00077DB4" w:rsidRPr="000161A0" w:rsidRDefault="00077DB4" w:rsidP="009253EA">
      <w:pPr>
        <w:pStyle w:val="Heading5"/>
      </w:pPr>
      <w:bookmarkStart w:id="84" w:name="_Toc241374326"/>
      <w:bookmarkStart w:id="85" w:name="_Ref272333048"/>
      <w:bookmarkStart w:id="86" w:name="_Toc272414679"/>
      <w:bookmarkStart w:id="87" w:name="_Toc290888543"/>
      <w:bookmarkStart w:id="88" w:name="_Toc416353758"/>
      <w:bookmarkStart w:id="89" w:name="_Toc421005301"/>
      <w:bookmarkStart w:id="90" w:name="_Toc432079182"/>
      <w:bookmarkStart w:id="91" w:name="_Toc432080755"/>
      <w:bookmarkStart w:id="92" w:name="_Toc61186017"/>
      <w:r w:rsidRPr="000161A0">
        <w:t>Post-market experience</w:t>
      </w:r>
      <w:bookmarkEnd w:id="84"/>
      <w:bookmarkEnd w:id="85"/>
      <w:bookmarkEnd w:id="86"/>
      <w:bookmarkEnd w:id="87"/>
      <w:bookmarkEnd w:id="88"/>
      <w:bookmarkEnd w:id="89"/>
      <w:bookmarkEnd w:id="90"/>
      <w:bookmarkEnd w:id="91"/>
      <w:bookmarkEnd w:id="92"/>
    </w:p>
    <w:p w14:paraId="0C92132A" w14:textId="0B61BD63" w:rsidR="00077DB4" w:rsidRPr="000161A0" w:rsidRDefault="00077DB4" w:rsidP="009253EA">
      <w:r w:rsidRPr="000161A0">
        <w:t xml:space="preserve">No data </w:t>
      </w:r>
      <w:r w:rsidR="001E46D2">
        <w:t xml:space="preserve">is </w:t>
      </w:r>
      <w:r w:rsidRPr="000161A0">
        <w:t>available.</w:t>
      </w:r>
    </w:p>
    <w:p w14:paraId="1729723D" w14:textId="77777777" w:rsidR="008E7846" w:rsidRPr="000161A0" w:rsidRDefault="00386150" w:rsidP="007B6132">
      <w:pPr>
        <w:pStyle w:val="Heading3"/>
        <w:rPr>
          <w:lang w:eastAsia="en-AU"/>
        </w:rPr>
      </w:pPr>
      <w:bookmarkStart w:id="93" w:name="_Toc104899486"/>
      <w:r w:rsidRPr="000161A0">
        <w:rPr>
          <w:lang w:eastAsia="en-AU"/>
        </w:rPr>
        <w:t>Risk m</w:t>
      </w:r>
      <w:r w:rsidR="008E7846" w:rsidRPr="000161A0">
        <w:rPr>
          <w:lang w:eastAsia="en-AU"/>
        </w:rPr>
        <w:t xml:space="preserve">anagement </w:t>
      </w:r>
      <w:r w:rsidRPr="000161A0">
        <w:rPr>
          <w:lang w:eastAsia="en-AU"/>
        </w:rPr>
        <w:t>p</w:t>
      </w:r>
      <w:r w:rsidR="008E7846" w:rsidRPr="000161A0">
        <w:rPr>
          <w:lang w:eastAsia="en-AU"/>
        </w:rPr>
        <w:t>lan</w:t>
      </w:r>
      <w:bookmarkEnd w:id="51"/>
      <w:bookmarkEnd w:id="93"/>
    </w:p>
    <w:p w14:paraId="4DCE2DB9" w14:textId="7C7DB711" w:rsidR="009253EA" w:rsidRPr="000161A0" w:rsidRDefault="00A80387" w:rsidP="009253EA">
      <w:r w:rsidRPr="000161A0">
        <w:t>The sponsor</w:t>
      </w:r>
      <w:r w:rsidR="009253EA" w:rsidRPr="000161A0">
        <w:t xml:space="preserve"> has submitted EU-</w:t>
      </w:r>
      <w:r w:rsidRPr="000161A0">
        <w:t>risk management plan (</w:t>
      </w:r>
      <w:r w:rsidR="009253EA" w:rsidRPr="000161A0">
        <w:t>RMP</w:t>
      </w:r>
      <w:r w:rsidRPr="000161A0">
        <w:t>)</w:t>
      </w:r>
      <w:r w:rsidR="009253EA" w:rsidRPr="000161A0">
        <w:t xml:space="preserve"> version 0.1 (dated 22</w:t>
      </w:r>
      <w:r w:rsidRPr="000161A0">
        <w:t> </w:t>
      </w:r>
      <w:r w:rsidR="009253EA" w:rsidRPr="000161A0">
        <w:t xml:space="preserve">October 2020; </w:t>
      </w:r>
      <w:r w:rsidRPr="000161A0">
        <w:t>data lock point (</w:t>
      </w:r>
      <w:r w:rsidR="009253EA" w:rsidRPr="000161A0">
        <w:t>DLP</w:t>
      </w:r>
      <w:r w:rsidRPr="000161A0">
        <w:t>)</w:t>
      </w:r>
      <w:r w:rsidR="009253EA" w:rsidRPr="000161A0">
        <w:t xml:space="preserve"> 15 October 2020) and </w:t>
      </w:r>
      <w:r w:rsidRPr="000161A0">
        <w:t>Australia specific annex (</w:t>
      </w:r>
      <w:r w:rsidR="009253EA" w:rsidRPr="000161A0">
        <w:t>ASA</w:t>
      </w:r>
      <w:r w:rsidRPr="000161A0">
        <w:t>)</w:t>
      </w:r>
      <w:r w:rsidR="009253EA" w:rsidRPr="000161A0">
        <w:t xml:space="preserve"> version 1.0 (dated 6 November 2020) in support of this application.</w:t>
      </w:r>
    </w:p>
    <w:p w14:paraId="088A46AE" w14:textId="2FF313D3" w:rsidR="007D53B6" w:rsidRPr="000161A0" w:rsidRDefault="007D53B6" w:rsidP="007D53B6">
      <w:r w:rsidRPr="000161A0">
        <w:lastRenderedPageBreak/>
        <w:t xml:space="preserve">The summary of safety concerns and their associated risk monitoring and mitigation strategies are summarised in </w:t>
      </w:r>
      <w:r w:rsidR="009253EA" w:rsidRPr="000161A0">
        <w:fldChar w:fldCharType="begin"/>
      </w:r>
      <w:r w:rsidR="009253EA" w:rsidRPr="000161A0">
        <w:instrText xml:space="preserve"> REF _Ref101257715 \h </w:instrText>
      </w:r>
      <w:r w:rsidR="000161A0" w:rsidRPr="000161A0">
        <w:instrText xml:space="preserve"> \* MERGEFORMAT </w:instrText>
      </w:r>
      <w:r w:rsidR="009253EA" w:rsidRPr="000161A0">
        <w:fldChar w:fldCharType="separate"/>
      </w:r>
      <w:r w:rsidR="001C5336" w:rsidRPr="00110614">
        <w:t xml:space="preserve">Table </w:t>
      </w:r>
      <w:r w:rsidR="001C5336">
        <w:rPr>
          <w:noProof/>
        </w:rPr>
        <w:t>23</w:t>
      </w:r>
      <w:r w:rsidR="009253EA" w:rsidRPr="000161A0">
        <w:fldChar w:fldCharType="end"/>
      </w:r>
      <w:r w:rsidRPr="000161A0">
        <w:t>.</w:t>
      </w:r>
      <w:r w:rsidRPr="000161A0">
        <w:rPr>
          <w:rStyle w:val="FootnoteReference"/>
        </w:rPr>
        <w:footnoteReference w:id="10"/>
      </w:r>
    </w:p>
    <w:p w14:paraId="3C22D7FC" w14:textId="017A7256" w:rsidR="009253EA" w:rsidRPr="00110614" w:rsidRDefault="009253EA" w:rsidP="00110614">
      <w:pPr>
        <w:pStyle w:val="TableTitle"/>
      </w:pPr>
      <w:bookmarkStart w:id="94" w:name="_Ref101257715"/>
      <w:r w:rsidRPr="00110614">
        <w:t xml:space="preserve">Table </w:t>
      </w:r>
      <w:fldSimple w:instr=" SEQ Table \* ARABIC ">
        <w:r w:rsidR="001C5336">
          <w:rPr>
            <w:noProof/>
          </w:rPr>
          <w:t>23</w:t>
        </w:r>
      </w:fldSimple>
      <w:bookmarkEnd w:id="94"/>
      <w:r w:rsidRPr="00110614">
        <w:t xml:space="preserve">: </w:t>
      </w:r>
      <w:r w:rsidR="00A80387" w:rsidRPr="00110614">
        <w:t>S</w:t>
      </w:r>
      <w:r w:rsidRPr="00110614">
        <w:t>ummary of safety concerns</w:t>
      </w:r>
    </w:p>
    <w:tbl>
      <w:tblPr>
        <w:tblStyle w:val="TableTGAblue"/>
        <w:tblW w:w="8500" w:type="dxa"/>
        <w:tblLayout w:type="fixed"/>
        <w:tblLook w:val="04A0" w:firstRow="1" w:lastRow="0" w:firstColumn="1" w:lastColumn="0" w:noHBand="0" w:noVBand="1"/>
      </w:tblPr>
      <w:tblGrid>
        <w:gridCol w:w="2547"/>
        <w:gridCol w:w="1701"/>
        <w:gridCol w:w="992"/>
        <w:gridCol w:w="1134"/>
        <w:gridCol w:w="992"/>
        <w:gridCol w:w="1134"/>
      </w:tblGrid>
      <w:tr w:rsidR="009253EA" w:rsidRPr="000161A0" w14:paraId="4E8C0572" w14:textId="77777777" w:rsidTr="009253EA">
        <w:trPr>
          <w:cnfStyle w:val="100000000000" w:firstRow="1" w:lastRow="0" w:firstColumn="0" w:lastColumn="0" w:oddVBand="0" w:evenVBand="0" w:oddHBand="0" w:evenHBand="0" w:firstRowFirstColumn="0" w:firstRowLastColumn="0" w:lastRowFirstColumn="0" w:lastRowLastColumn="0"/>
          <w:trHeight w:val="131"/>
        </w:trPr>
        <w:tc>
          <w:tcPr>
            <w:tcW w:w="4248" w:type="dxa"/>
            <w:gridSpan w:val="2"/>
            <w:vMerge w:val="restart"/>
            <w:tcBorders>
              <w:top w:val="single" w:sz="4" w:space="0" w:color="auto"/>
              <w:left w:val="single" w:sz="4" w:space="0" w:color="auto"/>
              <w:bottom w:val="single" w:sz="4" w:space="0" w:color="auto"/>
              <w:right w:val="single" w:sz="4" w:space="0" w:color="auto"/>
            </w:tcBorders>
          </w:tcPr>
          <w:p w14:paraId="3120F9FE" w14:textId="77777777" w:rsidR="009253EA" w:rsidRPr="000161A0" w:rsidRDefault="009253EA" w:rsidP="009253EA">
            <w:pPr>
              <w:pStyle w:val="Tabletext"/>
              <w:ind w:left="0" w:right="0"/>
            </w:pPr>
            <w:r w:rsidRPr="000161A0">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59234D6E" w14:textId="77777777" w:rsidR="009253EA" w:rsidRPr="000161A0" w:rsidRDefault="009253EA" w:rsidP="009253EA">
            <w:pPr>
              <w:pStyle w:val="Tabletext"/>
              <w:ind w:left="0" w:right="0"/>
              <w:rPr>
                <w:sz w:val="18"/>
              </w:rPr>
            </w:pPr>
            <w:r w:rsidRPr="000161A0">
              <w:rPr>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tcPr>
          <w:p w14:paraId="3A5E4BBB" w14:textId="2E9ECCAF" w:rsidR="009253EA" w:rsidRPr="000161A0" w:rsidRDefault="009253EA" w:rsidP="009253EA">
            <w:pPr>
              <w:pStyle w:val="Tabletext"/>
              <w:ind w:left="0" w:right="0"/>
              <w:rPr>
                <w:sz w:val="18"/>
              </w:rPr>
            </w:pPr>
            <w:r w:rsidRPr="000161A0">
              <w:rPr>
                <w:sz w:val="18"/>
              </w:rPr>
              <w:t xml:space="preserve">Risk </w:t>
            </w:r>
            <w:r w:rsidR="00A80387" w:rsidRPr="000161A0">
              <w:rPr>
                <w:sz w:val="18"/>
              </w:rPr>
              <w:t>m</w:t>
            </w:r>
            <w:r w:rsidRPr="000161A0">
              <w:rPr>
                <w:sz w:val="18"/>
              </w:rPr>
              <w:t>inimisation</w:t>
            </w:r>
          </w:p>
        </w:tc>
      </w:tr>
      <w:tr w:rsidR="009253EA" w:rsidRPr="000161A0" w14:paraId="77478593" w14:textId="77777777" w:rsidTr="009253EA">
        <w:trPr>
          <w:trHeight w:val="150"/>
        </w:trPr>
        <w:tc>
          <w:tcPr>
            <w:tcW w:w="4248" w:type="dxa"/>
            <w:gridSpan w:val="2"/>
            <w:vMerge/>
            <w:tcBorders>
              <w:top w:val="single" w:sz="4" w:space="0" w:color="auto"/>
              <w:left w:val="single" w:sz="4" w:space="0" w:color="auto"/>
              <w:bottom w:val="single" w:sz="4" w:space="0" w:color="auto"/>
              <w:right w:val="single" w:sz="4" w:space="0" w:color="auto"/>
            </w:tcBorders>
            <w:shd w:val="clear" w:color="auto" w:fill="006DA7"/>
          </w:tcPr>
          <w:p w14:paraId="6CB9CF50" w14:textId="77777777" w:rsidR="009253EA" w:rsidRPr="000161A0" w:rsidRDefault="009253EA" w:rsidP="009253EA">
            <w:pPr>
              <w:pStyle w:val="Tabletext"/>
              <w:ind w:left="0" w:right="0"/>
              <w:rPr>
                <w:b/>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2F53154B" w14:textId="77777777" w:rsidR="009253EA" w:rsidRPr="000161A0" w:rsidRDefault="009253EA" w:rsidP="009253EA">
            <w:pPr>
              <w:pStyle w:val="Tabletext"/>
              <w:ind w:left="0" w:right="0"/>
              <w:rPr>
                <w:b/>
                <w:color w:val="FFFFFF" w:themeColor="background1"/>
                <w:sz w:val="18"/>
              </w:rPr>
            </w:pPr>
            <w:r w:rsidRPr="000161A0">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164A102" w14:textId="77777777" w:rsidR="009253EA" w:rsidRPr="000161A0" w:rsidRDefault="009253EA" w:rsidP="009253EA">
            <w:pPr>
              <w:pStyle w:val="Tabletext"/>
              <w:ind w:left="0" w:right="0"/>
              <w:rPr>
                <w:b/>
                <w:color w:val="FFFFFF" w:themeColor="background1"/>
                <w:sz w:val="18"/>
              </w:rPr>
            </w:pPr>
            <w:r w:rsidRPr="000161A0">
              <w:rPr>
                <w:b/>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2C819D7F" w14:textId="77777777" w:rsidR="009253EA" w:rsidRPr="000161A0" w:rsidRDefault="009253EA" w:rsidP="009253EA">
            <w:pPr>
              <w:pStyle w:val="Tabletext"/>
              <w:ind w:left="0" w:right="0"/>
              <w:rPr>
                <w:b/>
                <w:color w:val="FFFFFF" w:themeColor="background1"/>
                <w:sz w:val="18"/>
              </w:rPr>
            </w:pPr>
            <w:r w:rsidRPr="000161A0">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0383EDD4" w14:textId="77777777" w:rsidR="009253EA" w:rsidRPr="000161A0" w:rsidRDefault="009253EA" w:rsidP="009253EA">
            <w:pPr>
              <w:pStyle w:val="Tabletext"/>
              <w:ind w:left="0" w:right="0"/>
              <w:rPr>
                <w:b/>
                <w:color w:val="FFFFFF" w:themeColor="background1"/>
                <w:sz w:val="18"/>
              </w:rPr>
            </w:pPr>
            <w:r w:rsidRPr="000161A0">
              <w:rPr>
                <w:b/>
                <w:color w:val="FFFFFF" w:themeColor="background1"/>
                <w:sz w:val="18"/>
              </w:rPr>
              <w:t>Additional</w:t>
            </w:r>
          </w:p>
        </w:tc>
      </w:tr>
      <w:tr w:rsidR="009253EA" w:rsidRPr="000161A0" w14:paraId="4F5EDAE0" w14:textId="77777777" w:rsidTr="009253EA">
        <w:trPr>
          <w:trHeight w:val="137"/>
        </w:trPr>
        <w:tc>
          <w:tcPr>
            <w:tcW w:w="2547" w:type="dxa"/>
            <w:tcBorders>
              <w:top w:val="single" w:sz="4" w:space="0" w:color="auto"/>
            </w:tcBorders>
          </w:tcPr>
          <w:p w14:paraId="0DDC5503" w14:textId="77777777" w:rsidR="009253EA" w:rsidRPr="000161A0" w:rsidRDefault="009253EA" w:rsidP="009253EA">
            <w:pPr>
              <w:pStyle w:val="Tabletext"/>
              <w:ind w:left="0" w:right="0"/>
              <w:rPr>
                <w:b/>
              </w:rPr>
            </w:pPr>
            <w:r w:rsidRPr="000161A0">
              <w:rPr>
                <w:b/>
              </w:rPr>
              <w:t>Important identified risks</w:t>
            </w:r>
          </w:p>
        </w:tc>
        <w:tc>
          <w:tcPr>
            <w:tcW w:w="1701" w:type="dxa"/>
            <w:tcBorders>
              <w:top w:val="single" w:sz="4" w:space="0" w:color="auto"/>
            </w:tcBorders>
          </w:tcPr>
          <w:p w14:paraId="58B60A43" w14:textId="77777777" w:rsidR="009253EA" w:rsidRPr="000161A0" w:rsidRDefault="009253EA" w:rsidP="009253EA">
            <w:pPr>
              <w:pStyle w:val="Tabletext"/>
              <w:ind w:left="0" w:right="0"/>
            </w:pPr>
            <w:r w:rsidRPr="000161A0">
              <w:t>Hyperkalaemia</w:t>
            </w:r>
          </w:p>
        </w:tc>
        <w:tc>
          <w:tcPr>
            <w:tcW w:w="992" w:type="dxa"/>
            <w:tcBorders>
              <w:top w:val="single" w:sz="4" w:space="0" w:color="auto"/>
            </w:tcBorders>
          </w:tcPr>
          <w:p w14:paraId="5AB492B1" w14:textId="77777777" w:rsidR="009253EA" w:rsidRPr="000161A0" w:rsidRDefault="009253EA" w:rsidP="009253EA">
            <w:pPr>
              <w:pStyle w:val="Tabletext"/>
              <w:ind w:left="0" w:right="0"/>
              <w:jc w:val="center"/>
            </w:pPr>
            <w:r w:rsidRPr="000161A0">
              <w:sym w:font="Wingdings" w:char="F0FC"/>
            </w:r>
          </w:p>
        </w:tc>
        <w:tc>
          <w:tcPr>
            <w:tcW w:w="1134" w:type="dxa"/>
            <w:tcBorders>
              <w:top w:val="single" w:sz="4" w:space="0" w:color="auto"/>
            </w:tcBorders>
          </w:tcPr>
          <w:p w14:paraId="5C6C6EC9" w14:textId="77777777" w:rsidR="009253EA" w:rsidRPr="000161A0" w:rsidRDefault="009253EA" w:rsidP="009253EA">
            <w:pPr>
              <w:pStyle w:val="Tabletext"/>
              <w:ind w:left="0" w:right="0"/>
              <w:jc w:val="center"/>
            </w:pPr>
            <w:r w:rsidRPr="000161A0">
              <w:t>–</w:t>
            </w:r>
          </w:p>
        </w:tc>
        <w:tc>
          <w:tcPr>
            <w:tcW w:w="992" w:type="dxa"/>
            <w:tcBorders>
              <w:top w:val="single" w:sz="4" w:space="0" w:color="auto"/>
            </w:tcBorders>
          </w:tcPr>
          <w:p w14:paraId="46E2F0BB" w14:textId="77777777" w:rsidR="009253EA" w:rsidRPr="000161A0" w:rsidRDefault="009253EA" w:rsidP="009253EA">
            <w:pPr>
              <w:pStyle w:val="Tabletext"/>
              <w:ind w:left="0" w:right="0"/>
              <w:jc w:val="center"/>
            </w:pPr>
            <w:r w:rsidRPr="000161A0">
              <w:sym w:font="Wingdings" w:char="F0FC"/>
            </w:r>
          </w:p>
        </w:tc>
        <w:tc>
          <w:tcPr>
            <w:tcW w:w="1134" w:type="dxa"/>
            <w:tcBorders>
              <w:top w:val="single" w:sz="4" w:space="0" w:color="auto"/>
            </w:tcBorders>
          </w:tcPr>
          <w:p w14:paraId="0B3A1C5D" w14:textId="77777777" w:rsidR="009253EA" w:rsidRPr="000161A0" w:rsidRDefault="009253EA" w:rsidP="009253EA">
            <w:pPr>
              <w:pStyle w:val="Tabletext"/>
              <w:ind w:left="0" w:right="0"/>
              <w:jc w:val="center"/>
            </w:pPr>
            <w:r w:rsidRPr="000161A0">
              <w:t>–</w:t>
            </w:r>
          </w:p>
        </w:tc>
      </w:tr>
      <w:tr w:rsidR="009253EA" w:rsidRPr="000161A0" w14:paraId="4A3761C4" w14:textId="77777777" w:rsidTr="009253EA">
        <w:trPr>
          <w:trHeight w:val="159"/>
        </w:trPr>
        <w:tc>
          <w:tcPr>
            <w:tcW w:w="2547" w:type="dxa"/>
          </w:tcPr>
          <w:p w14:paraId="04FF9AF8" w14:textId="77777777" w:rsidR="009253EA" w:rsidRPr="000161A0" w:rsidRDefault="009253EA" w:rsidP="009253EA">
            <w:pPr>
              <w:pStyle w:val="Tabletext"/>
              <w:ind w:left="0" w:right="0"/>
              <w:rPr>
                <w:b/>
              </w:rPr>
            </w:pPr>
            <w:r w:rsidRPr="000161A0">
              <w:rPr>
                <w:b/>
              </w:rPr>
              <w:t>Important potential risks</w:t>
            </w:r>
          </w:p>
        </w:tc>
        <w:tc>
          <w:tcPr>
            <w:tcW w:w="1701" w:type="dxa"/>
          </w:tcPr>
          <w:p w14:paraId="5CE8DC88" w14:textId="77777777" w:rsidR="009253EA" w:rsidRPr="000161A0" w:rsidRDefault="009253EA" w:rsidP="009253EA">
            <w:pPr>
              <w:pStyle w:val="Tabletext"/>
              <w:ind w:left="0" w:right="0"/>
            </w:pPr>
            <w:r w:rsidRPr="000161A0">
              <w:t>None</w:t>
            </w:r>
          </w:p>
        </w:tc>
        <w:tc>
          <w:tcPr>
            <w:tcW w:w="992" w:type="dxa"/>
          </w:tcPr>
          <w:p w14:paraId="6C612F56" w14:textId="77777777" w:rsidR="009253EA" w:rsidRPr="000161A0" w:rsidRDefault="009253EA" w:rsidP="009253EA">
            <w:pPr>
              <w:pStyle w:val="Tabletext"/>
              <w:ind w:left="0" w:right="0"/>
              <w:jc w:val="center"/>
            </w:pPr>
            <w:r w:rsidRPr="000161A0">
              <w:t>–</w:t>
            </w:r>
          </w:p>
        </w:tc>
        <w:tc>
          <w:tcPr>
            <w:tcW w:w="1134" w:type="dxa"/>
          </w:tcPr>
          <w:p w14:paraId="6761DF97" w14:textId="77777777" w:rsidR="009253EA" w:rsidRPr="000161A0" w:rsidRDefault="009253EA" w:rsidP="009253EA">
            <w:pPr>
              <w:pStyle w:val="Tabletext"/>
              <w:ind w:left="0" w:right="0"/>
              <w:jc w:val="center"/>
            </w:pPr>
            <w:r w:rsidRPr="000161A0">
              <w:t>–</w:t>
            </w:r>
          </w:p>
        </w:tc>
        <w:tc>
          <w:tcPr>
            <w:tcW w:w="992" w:type="dxa"/>
          </w:tcPr>
          <w:p w14:paraId="30CB8CAE" w14:textId="77777777" w:rsidR="009253EA" w:rsidRPr="000161A0" w:rsidRDefault="009253EA" w:rsidP="009253EA">
            <w:pPr>
              <w:pStyle w:val="Tabletext"/>
              <w:ind w:left="0" w:right="0"/>
              <w:jc w:val="center"/>
            </w:pPr>
            <w:r w:rsidRPr="000161A0">
              <w:t>–</w:t>
            </w:r>
          </w:p>
        </w:tc>
        <w:tc>
          <w:tcPr>
            <w:tcW w:w="1134" w:type="dxa"/>
          </w:tcPr>
          <w:p w14:paraId="0BE0CD79" w14:textId="77777777" w:rsidR="009253EA" w:rsidRPr="000161A0" w:rsidRDefault="009253EA" w:rsidP="009253EA">
            <w:pPr>
              <w:pStyle w:val="Tabletext"/>
              <w:ind w:left="0" w:right="0"/>
              <w:jc w:val="center"/>
            </w:pPr>
            <w:r w:rsidRPr="000161A0">
              <w:t>–</w:t>
            </w:r>
          </w:p>
        </w:tc>
      </w:tr>
      <w:tr w:rsidR="009253EA" w:rsidRPr="000161A0" w14:paraId="25FA23AD" w14:textId="77777777" w:rsidTr="009253EA">
        <w:trPr>
          <w:trHeight w:val="178"/>
        </w:trPr>
        <w:tc>
          <w:tcPr>
            <w:tcW w:w="2547" w:type="dxa"/>
          </w:tcPr>
          <w:p w14:paraId="49AE68A1" w14:textId="77777777" w:rsidR="009253EA" w:rsidRPr="000161A0" w:rsidRDefault="009253EA" w:rsidP="009253EA">
            <w:pPr>
              <w:pStyle w:val="Tabletext"/>
              <w:ind w:left="0" w:right="0"/>
              <w:rPr>
                <w:b/>
              </w:rPr>
            </w:pPr>
            <w:r w:rsidRPr="000161A0">
              <w:rPr>
                <w:b/>
              </w:rPr>
              <w:t>Missing information</w:t>
            </w:r>
          </w:p>
        </w:tc>
        <w:tc>
          <w:tcPr>
            <w:tcW w:w="1701" w:type="dxa"/>
          </w:tcPr>
          <w:p w14:paraId="42F0CCD1" w14:textId="77777777" w:rsidR="009253EA" w:rsidRPr="000161A0" w:rsidRDefault="009253EA" w:rsidP="009253EA">
            <w:pPr>
              <w:pStyle w:val="Tabletext"/>
              <w:ind w:left="0" w:right="0"/>
            </w:pPr>
            <w:r w:rsidRPr="000161A0">
              <w:t>None</w:t>
            </w:r>
          </w:p>
        </w:tc>
        <w:tc>
          <w:tcPr>
            <w:tcW w:w="992" w:type="dxa"/>
          </w:tcPr>
          <w:p w14:paraId="2AEE5015" w14:textId="77777777" w:rsidR="009253EA" w:rsidRPr="000161A0" w:rsidRDefault="009253EA" w:rsidP="009253EA">
            <w:pPr>
              <w:pStyle w:val="Tabletext"/>
              <w:ind w:left="0" w:right="0"/>
              <w:jc w:val="center"/>
            </w:pPr>
            <w:r w:rsidRPr="000161A0">
              <w:t>–</w:t>
            </w:r>
          </w:p>
        </w:tc>
        <w:tc>
          <w:tcPr>
            <w:tcW w:w="1134" w:type="dxa"/>
          </w:tcPr>
          <w:p w14:paraId="13830D86" w14:textId="77777777" w:rsidR="009253EA" w:rsidRPr="000161A0" w:rsidRDefault="009253EA" w:rsidP="009253EA">
            <w:pPr>
              <w:pStyle w:val="Tabletext"/>
              <w:ind w:left="0" w:right="0"/>
              <w:jc w:val="center"/>
            </w:pPr>
            <w:r w:rsidRPr="000161A0">
              <w:t>–</w:t>
            </w:r>
          </w:p>
        </w:tc>
        <w:tc>
          <w:tcPr>
            <w:tcW w:w="992" w:type="dxa"/>
          </w:tcPr>
          <w:p w14:paraId="25AA83A1" w14:textId="77777777" w:rsidR="009253EA" w:rsidRPr="000161A0" w:rsidRDefault="009253EA" w:rsidP="009253EA">
            <w:pPr>
              <w:pStyle w:val="Tabletext"/>
              <w:ind w:left="0" w:right="0"/>
              <w:jc w:val="center"/>
            </w:pPr>
            <w:r w:rsidRPr="000161A0">
              <w:t>–</w:t>
            </w:r>
          </w:p>
        </w:tc>
        <w:tc>
          <w:tcPr>
            <w:tcW w:w="1134" w:type="dxa"/>
          </w:tcPr>
          <w:p w14:paraId="198888F0" w14:textId="77777777" w:rsidR="009253EA" w:rsidRPr="000161A0" w:rsidRDefault="009253EA" w:rsidP="009253EA">
            <w:pPr>
              <w:pStyle w:val="Tabletext"/>
              <w:ind w:left="0" w:right="0"/>
              <w:jc w:val="center"/>
            </w:pPr>
            <w:r w:rsidRPr="000161A0">
              <w:t>–</w:t>
            </w:r>
          </w:p>
        </w:tc>
      </w:tr>
    </w:tbl>
    <w:p w14:paraId="396D86F3" w14:textId="77777777" w:rsidR="009253EA" w:rsidRPr="000161A0" w:rsidRDefault="009253EA" w:rsidP="009253EA">
      <w:pPr>
        <w:pStyle w:val="ListBullet"/>
      </w:pPr>
      <w:r w:rsidRPr="000161A0">
        <w:t>The summary of safety concerns is acceptable. No new safety concerns have been identified during evaluation.</w:t>
      </w:r>
    </w:p>
    <w:p w14:paraId="39DEEA40" w14:textId="77777777" w:rsidR="009253EA" w:rsidRPr="000161A0" w:rsidRDefault="009253EA" w:rsidP="009253EA">
      <w:pPr>
        <w:pStyle w:val="ListBullet"/>
      </w:pPr>
      <w:r w:rsidRPr="000161A0">
        <w:t>Routine pharmacovigilance activities only are proposed which is acceptable given the safety concerns.</w:t>
      </w:r>
    </w:p>
    <w:p w14:paraId="5DB970AB" w14:textId="4E51F757" w:rsidR="009253EA" w:rsidRPr="000161A0" w:rsidRDefault="009253EA" w:rsidP="009253EA">
      <w:pPr>
        <w:pStyle w:val="ListBullet"/>
      </w:pPr>
      <w:r w:rsidRPr="000161A0">
        <w:t xml:space="preserve">Routine risk minimisation activities only are proposed which is acceptable as </w:t>
      </w:r>
      <w:proofErr w:type="spellStart"/>
      <w:r w:rsidRPr="000161A0">
        <w:t>finerenone</w:t>
      </w:r>
      <w:proofErr w:type="spellEnd"/>
      <w:r w:rsidRPr="000161A0">
        <w:t xml:space="preserve"> is an oral formulation and the safety concerns are adequately addressed in the PI/</w:t>
      </w:r>
      <w:r w:rsidR="00A80387" w:rsidRPr="000161A0">
        <w:t>Consumer Medicines Information (</w:t>
      </w:r>
      <w:r w:rsidRPr="000161A0">
        <w:t>CMI</w:t>
      </w:r>
      <w:r w:rsidR="00A80387" w:rsidRPr="000161A0">
        <w:t>)</w:t>
      </w:r>
      <w:r w:rsidRPr="000161A0">
        <w:t>.</w:t>
      </w:r>
    </w:p>
    <w:p w14:paraId="79E9498F" w14:textId="77777777" w:rsidR="008E7846" w:rsidRPr="000161A0" w:rsidRDefault="00AA0ED0" w:rsidP="008E7846">
      <w:pPr>
        <w:pStyle w:val="Heading3"/>
      </w:pPr>
      <w:bookmarkStart w:id="95" w:name="_Toc247691531"/>
      <w:bookmarkStart w:id="96" w:name="_Toc314842515"/>
      <w:bookmarkStart w:id="97" w:name="_Toc196046505"/>
      <w:bookmarkStart w:id="98" w:name="_Toc196046949"/>
      <w:bookmarkStart w:id="99" w:name="_Toc104899487"/>
      <w:r w:rsidRPr="000161A0">
        <w:t>Risk-benefit a</w:t>
      </w:r>
      <w:r w:rsidR="008E7846" w:rsidRPr="000161A0">
        <w:t>nalysis</w:t>
      </w:r>
      <w:bookmarkEnd w:id="95"/>
      <w:bookmarkEnd w:id="96"/>
      <w:bookmarkEnd w:id="99"/>
    </w:p>
    <w:p w14:paraId="05B7FA80" w14:textId="77777777" w:rsidR="00D23139" w:rsidRPr="000161A0" w:rsidRDefault="007D53B6" w:rsidP="00D23139">
      <w:pPr>
        <w:pStyle w:val="Heading4"/>
      </w:pPr>
      <w:r w:rsidRPr="000161A0">
        <w:t>Delegate’s considerations</w:t>
      </w:r>
    </w:p>
    <w:p w14:paraId="60EFDD95" w14:textId="77777777" w:rsidR="009253EA" w:rsidRPr="000161A0" w:rsidRDefault="009253EA" w:rsidP="009253EA">
      <w:pPr>
        <w:pStyle w:val="Heading5"/>
      </w:pPr>
      <w:r w:rsidRPr="000161A0">
        <w:t>Efficacy</w:t>
      </w:r>
    </w:p>
    <w:p w14:paraId="6D1481FB" w14:textId="77777777" w:rsidR="009253EA" w:rsidRPr="000161A0" w:rsidRDefault="009253EA" w:rsidP="009253EA">
      <w:pPr>
        <w:pStyle w:val="Heading6"/>
        <w:rPr>
          <w:lang w:eastAsia="ja-JP"/>
        </w:rPr>
      </w:pPr>
      <w:r w:rsidRPr="000161A0">
        <w:rPr>
          <w:lang w:eastAsia="ja-JP"/>
        </w:rPr>
        <w:t>Clinical trial data</w:t>
      </w:r>
    </w:p>
    <w:p w14:paraId="46CB66C1" w14:textId="1585F4F3" w:rsidR="009253EA" w:rsidRPr="000161A0" w:rsidRDefault="009253EA" w:rsidP="009253EA">
      <w:r w:rsidRPr="000161A0">
        <w:t xml:space="preserve">Only one </w:t>
      </w:r>
      <w:r w:rsidR="00715CC8" w:rsidRPr="000161A0">
        <w:t>Phase</w:t>
      </w:r>
      <w:r w:rsidRPr="000161A0">
        <w:t xml:space="preserve"> </w:t>
      </w:r>
      <w:r w:rsidR="00715CC8" w:rsidRPr="000161A0">
        <w:t>III</w:t>
      </w:r>
      <w:r w:rsidRPr="000161A0">
        <w:t xml:space="preserve"> pivotal study (</w:t>
      </w:r>
      <w:r w:rsidR="0023308B" w:rsidRPr="000161A0">
        <w:t>Study 16244</w:t>
      </w:r>
      <w:r w:rsidRPr="000161A0">
        <w:t xml:space="preserve">) was presented to support this </w:t>
      </w:r>
      <w:r w:rsidR="001E46D2">
        <w:t>submission</w:t>
      </w:r>
      <w:r w:rsidRPr="000161A0">
        <w:t xml:space="preserve">. It investigated 5674 adults with </w:t>
      </w:r>
      <w:r w:rsidR="001E46D2">
        <w:t>diabetic kidney disease</w:t>
      </w:r>
      <w:r w:rsidR="001E46D2" w:rsidRPr="000161A0">
        <w:t xml:space="preserve"> </w:t>
      </w:r>
      <w:r w:rsidRPr="000161A0">
        <w:t xml:space="preserve">with </w:t>
      </w:r>
      <w:r w:rsidR="002051CB" w:rsidRPr="000161A0">
        <w:t>t</w:t>
      </w:r>
      <w:r w:rsidRPr="000161A0">
        <w:t xml:space="preserve">ype 2 diabetes mellitus for a median </w:t>
      </w:r>
      <w:r w:rsidR="001E46D2">
        <w:t xml:space="preserve">duration of </w:t>
      </w:r>
      <w:r w:rsidRPr="000161A0">
        <w:t>27</w:t>
      </w:r>
      <w:r w:rsidR="00A80387" w:rsidRPr="000161A0">
        <w:t> </w:t>
      </w:r>
      <w:r w:rsidRPr="000161A0">
        <w:t>months. The study was reasonably well planned and conducted. The composite endpoints used were reasonable, but prone to potential multiplicity issues.</w:t>
      </w:r>
    </w:p>
    <w:p w14:paraId="0431DB99" w14:textId="06B26593" w:rsidR="009253EA" w:rsidRPr="000161A0" w:rsidRDefault="00A80387" w:rsidP="009253EA">
      <w:pPr>
        <w:pStyle w:val="Heading7"/>
        <w:rPr>
          <w:sz w:val="22"/>
          <w:szCs w:val="28"/>
        </w:rPr>
      </w:pPr>
      <w:r w:rsidRPr="000161A0">
        <w:rPr>
          <w:sz w:val="22"/>
          <w:szCs w:val="28"/>
        </w:rPr>
        <w:t xml:space="preserve">Diabetic kidney disease </w:t>
      </w:r>
      <w:r w:rsidR="009253EA" w:rsidRPr="000161A0">
        <w:rPr>
          <w:sz w:val="22"/>
          <w:szCs w:val="28"/>
        </w:rPr>
        <w:t>target population and generalisability</w:t>
      </w:r>
    </w:p>
    <w:p w14:paraId="07C23C20" w14:textId="54182CFB" w:rsidR="009253EA" w:rsidRPr="000161A0" w:rsidRDefault="0023308B" w:rsidP="009253EA">
      <w:r w:rsidRPr="000161A0">
        <w:t xml:space="preserve">Study 16244 </w:t>
      </w:r>
      <w:r w:rsidR="009253EA" w:rsidRPr="000161A0">
        <w:t xml:space="preserve">investigated relevant clinical doses in a population generalisable to the general Australian </w:t>
      </w:r>
      <w:r w:rsidR="002051CB" w:rsidRPr="000161A0">
        <w:t>type 2 diabetes mellitus</w:t>
      </w:r>
      <w:r w:rsidR="009253EA" w:rsidRPr="000161A0">
        <w:t xml:space="preserve"> </w:t>
      </w:r>
      <w:r w:rsidR="001E46D2">
        <w:t>diabetic kidney disease</w:t>
      </w:r>
      <w:r w:rsidR="001E46D2" w:rsidRPr="000161A0">
        <w:t xml:space="preserve"> </w:t>
      </w:r>
      <w:r w:rsidR="009253EA" w:rsidRPr="000161A0">
        <w:t>population. The</w:t>
      </w:r>
      <w:r w:rsidR="001E46D2">
        <w:t> </w:t>
      </w:r>
      <w:r w:rsidR="009253EA" w:rsidRPr="000161A0">
        <w:t>median eGFR was 43</w:t>
      </w:r>
      <w:r w:rsidR="00A80387" w:rsidRPr="000161A0">
        <w:t> </w:t>
      </w:r>
      <w:r w:rsidR="009253EA" w:rsidRPr="000161A0">
        <w:t>m</w:t>
      </w:r>
      <w:r w:rsidR="00A80387" w:rsidRPr="000161A0">
        <w:t>L</w:t>
      </w:r>
      <w:r w:rsidR="009253EA" w:rsidRPr="000161A0">
        <w:t>/min/1.73</w:t>
      </w:r>
      <w:r w:rsidR="006E04F0" w:rsidRPr="000161A0">
        <w:t> </w:t>
      </w:r>
      <w:r w:rsidR="009253EA" w:rsidRPr="000161A0">
        <w:t>m</w:t>
      </w:r>
      <w:r w:rsidR="009253EA" w:rsidRPr="000161A0">
        <w:rPr>
          <w:vertAlign w:val="superscript"/>
        </w:rPr>
        <w:t>2</w:t>
      </w:r>
      <w:r w:rsidR="009253EA" w:rsidRPr="000161A0">
        <w:t>; nearly 90% of the patients had an eGFR</w:t>
      </w:r>
      <w:r w:rsidR="001E46D2">
        <w:t> </w:t>
      </w:r>
      <w:r w:rsidR="009253EA" w:rsidRPr="000161A0">
        <w:t>&lt;</w:t>
      </w:r>
      <w:r w:rsidR="001E46D2">
        <w:t> </w:t>
      </w:r>
      <w:r w:rsidR="009253EA" w:rsidRPr="000161A0">
        <w:t>60</w:t>
      </w:r>
      <w:r w:rsidR="001E46D2">
        <w:t> </w:t>
      </w:r>
      <w:r w:rsidR="009253EA" w:rsidRPr="000161A0">
        <w:t>m</w:t>
      </w:r>
      <w:r w:rsidR="00A80387" w:rsidRPr="000161A0">
        <w:t>L</w:t>
      </w:r>
      <w:r w:rsidR="009253EA" w:rsidRPr="000161A0">
        <w:t>/min/1.73</w:t>
      </w:r>
      <w:r w:rsidR="006E04F0" w:rsidRPr="000161A0">
        <w:t> </w:t>
      </w:r>
      <w:r w:rsidR="009253EA" w:rsidRPr="000161A0">
        <w:t>m</w:t>
      </w:r>
      <w:r w:rsidR="009253EA" w:rsidRPr="000161A0">
        <w:rPr>
          <w:vertAlign w:val="superscript"/>
        </w:rPr>
        <w:t>2</w:t>
      </w:r>
      <w:r w:rsidR="009253EA" w:rsidRPr="000161A0">
        <w:t>; and the UACR geometric mean was </w:t>
      </w:r>
      <w:r w:rsidR="006E04F0" w:rsidRPr="000161A0">
        <w:t xml:space="preserve">approximately </w:t>
      </w:r>
      <w:r w:rsidR="009253EA" w:rsidRPr="000161A0">
        <w:t>800 mg/g. However, despite having study centres in Australia, no Indigenous Australian patients were enrolled.</w:t>
      </w:r>
    </w:p>
    <w:p w14:paraId="41894C4D" w14:textId="3E82878E" w:rsidR="009253EA" w:rsidRPr="000161A0" w:rsidRDefault="009253EA" w:rsidP="009253EA">
      <w:bookmarkStart w:id="100" w:name="_Hlk81137680"/>
      <w:r w:rsidRPr="000161A0">
        <w:lastRenderedPageBreak/>
        <w:t xml:space="preserve">It is important to emphasise that the results only apply to the </w:t>
      </w:r>
      <w:r w:rsidR="001E46D2">
        <w:t>diabetic kidney disease</w:t>
      </w:r>
      <w:r w:rsidR="001E46D2" w:rsidRPr="000161A0">
        <w:t xml:space="preserve"> </w:t>
      </w:r>
      <w:r w:rsidRPr="000161A0">
        <w:t xml:space="preserve">population, not to all </w:t>
      </w:r>
      <w:r w:rsidR="002051CB" w:rsidRPr="000161A0">
        <w:t>type 2 diabetes mellitus</w:t>
      </w:r>
      <w:r w:rsidRPr="000161A0">
        <w:t xml:space="preserve"> patients.</w:t>
      </w:r>
    </w:p>
    <w:bookmarkEnd w:id="100"/>
    <w:p w14:paraId="4B40F40C" w14:textId="13F5D841" w:rsidR="009253EA" w:rsidRPr="000161A0" w:rsidRDefault="00A80387" w:rsidP="009253EA">
      <w:pPr>
        <w:pStyle w:val="Heading7"/>
        <w:rPr>
          <w:sz w:val="22"/>
          <w:szCs w:val="28"/>
        </w:rPr>
      </w:pPr>
      <w:r w:rsidRPr="000161A0">
        <w:rPr>
          <w:sz w:val="22"/>
          <w:szCs w:val="28"/>
        </w:rPr>
        <w:t xml:space="preserve">Diabetic kidney disease </w:t>
      </w:r>
      <w:r w:rsidR="009253EA" w:rsidRPr="000161A0">
        <w:rPr>
          <w:sz w:val="22"/>
          <w:szCs w:val="28"/>
        </w:rPr>
        <w:t>treatment effect</w:t>
      </w:r>
    </w:p>
    <w:p w14:paraId="15DF548B" w14:textId="29F86652" w:rsidR="009253EA" w:rsidRPr="000161A0" w:rsidRDefault="009253EA" w:rsidP="009253EA">
      <w:r w:rsidRPr="000161A0">
        <w:t>All components of the primary renal composite endpoint (composite of kidney failure, sustained decrease of eGFR ≥</w:t>
      </w:r>
      <w:r w:rsidR="00A80387" w:rsidRPr="000161A0">
        <w:t xml:space="preserve"> </w:t>
      </w:r>
      <w:r w:rsidRPr="000161A0">
        <w:t>40%, or renal death) had favourable results (</w:t>
      </w:r>
      <w:r w:rsidR="001E46D2">
        <w:t>c</w:t>
      </w:r>
      <w:r w:rsidR="001E46D2" w:rsidRPr="000161A0">
        <w:t xml:space="preserve">ombined </w:t>
      </w:r>
      <w:r w:rsidRPr="000161A0">
        <w:t>HR (95% CI) = 0.825 (0.732</w:t>
      </w:r>
      <w:r w:rsidR="00A80387" w:rsidRPr="000161A0">
        <w:t xml:space="preserve">, </w:t>
      </w:r>
      <w:r w:rsidRPr="000161A0">
        <w:t>0.928)) (</w:t>
      </w:r>
      <w:r w:rsidR="001E46D2">
        <w:t xml:space="preserve">see </w:t>
      </w:r>
      <w:r w:rsidRPr="000161A0">
        <w:fldChar w:fldCharType="begin"/>
      </w:r>
      <w:r w:rsidRPr="000161A0">
        <w:instrText xml:space="preserve"> REF _Ref80269954 \h  \* MERGEFORMAT </w:instrText>
      </w:r>
      <w:r w:rsidRPr="000161A0">
        <w:fldChar w:fldCharType="separate"/>
      </w:r>
      <w:r w:rsidR="001C5336" w:rsidRPr="00110614">
        <w:t xml:space="preserve">Table </w:t>
      </w:r>
      <w:r w:rsidR="001C5336">
        <w:t>12</w:t>
      </w:r>
      <w:r w:rsidRPr="000161A0">
        <w:fldChar w:fldCharType="end"/>
      </w:r>
      <w:r w:rsidRPr="000161A0">
        <w:t>), except for ‘renal death’ which did not have sufficient events in either group. ‘Sustained decrease of eGFR ≥</w:t>
      </w:r>
      <w:r w:rsidR="00B14A1E" w:rsidRPr="000161A0">
        <w:t xml:space="preserve"> </w:t>
      </w:r>
      <w:r w:rsidRPr="000161A0">
        <w:t xml:space="preserve">40% from </w:t>
      </w:r>
      <w:r w:rsidR="00BD7195" w:rsidRPr="000161A0">
        <w:t>Baseline</w:t>
      </w:r>
      <w:r w:rsidRPr="000161A0">
        <w:t xml:space="preserve"> for ≥</w:t>
      </w:r>
      <w:r w:rsidR="00A80387" w:rsidRPr="000161A0">
        <w:t> </w:t>
      </w:r>
      <w:r w:rsidRPr="000161A0">
        <w:t>4</w:t>
      </w:r>
      <w:r w:rsidR="00A80387" w:rsidRPr="000161A0">
        <w:t> </w:t>
      </w:r>
      <w:r w:rsidRPr="000161A0">
        <w:t>weeks’ appeared to be the main driver, and was statistically significant on its own, unlike the other components (not necessarily expected for a composite endpoint). Results from secondary and exploratory renal endpoints were generally supportive of the primary result.</w:t>
      </w:r>
    </w:p>
    <w:p w14:paraId="33BB065A" w14:textId="6C23B72D" w:rsidR="009253EA" w:rsidRPr="000161A0" w:rsidRDefault="009253EA" w:rsidP="009253EA">
      <w:pPr>
        <w:pStyle w:val="Heading7"/>
        <w:rPr>
          <w:sz w:val="22"/>
          <w:szCs w:val="28"/>
        </w:rPr>
      </w:pPr>
      <w:r w:rsidRPr="000161A0">
        <w:rPr>
          <w:sz w:val="22"/>
          <w:szCs w:val="28"/>
        </w:rPr>
        <w:t xml:space="preserve">Timing of </w:t>
      </w:r>
      <w:r w:rsidR="00A80387" w:rsidRPr="000161A0">
        <w:rPr>
          <w:sz w:val="22"/>
          <w:szCs w:val="28"/>
        </w:rPr>
        <w:t>diabetic kidney disease</w:t>
      </w:r>
      <w:r w:rsidRPr="000161A0">
        <w:rPr>
          <w:sz w:val="22"/>
          <w:szCs w:val="28"/>
        </w:rPr>
        <w:t xml:space="preserve"> treatment effect</w:t>
      </w:r>
    </w:p>
    <w:p w14:paraId="2F5E5FD6" w14:textId="77777777" w:rsidR="001C5336" w:rsidRPr="000161A0" w:rsidRDefault="009253EA" w:rsidP="009C3C5E">
      <w:r w:rsidRPr="000161A0">
        <w:t>The risk reduction became apparent ≥</w:t>
      </w:r>
      <w:r w:rsidR="00A80387" w:rsidRPr="000161A0">
        <w:t xml:space="preserve"> </w:t>
      </w:r>
      <w:r w:rsidRPr="000161A0">
        <w:t>12 months following treatment onset and persisted thereafter (</w:t>
      </w:r>
      <w:r w:rsidRPr="000161A0">
        <w:fldChar w:fldCharType="begin"/>
      </w:r>
      <w:r w:rsidRPr="000161A0">
        <w:instrText xml:space="preserve"> REF _Ref81232182 \h  \* MERGEFORMAT </w:instrText>
      </w:r>
      <w:r w:rsidRPr="000161A0">
        <w:fldChar w:fldCharType="separate"/>
      </w:r>
    </w:p>
    <w:p w14:paraId="2AE95A7B" w14:textId="62056DA5" w:rsidR="009C3C5E" w:rsidRPr="000161A0" w:rsidRDefault="001C5336" w:rsidP="009C3C5E">
      <w:r w:rsidRPr="00110614">
        <w:t xml:space="preserve">Figure </w:t>
      </w:r>
      <w:r>
        <w:t>5</w:t>
      </w:r>
      <w:r w:rsidR="009253EA" w:rsidRPr="000161A0">
        <w:fldChar w:fldCharType="end"/>
      </w:r>
      <w:r w:rsidR="009253EA" w:rsidRPr="000161A0">
        <w:t>). Patients may suffer from an initial decrease in GFR after having commenced treatment.</w:t>
      </w:r>
      <w:bookmarkStart w:id="101" w:name="_Ref81232182"/>
    </w:p>
    <w:p w14:paraId="388C72C4" w14:textId="5377F2D7" w:rsidR="009C3C5E" w:rsidRPr="00110614" w:rsidRDefault="009C3C5E" w:rsidP="00110614">
      <w:pPr>
        <w:pStyle w:val="FigureTitle"/>
      </w:pPr>
      <w:r w:rsidRPr="00110614">
        <w:t xml:space="preserve">Figure </w:t>
      </w:r>
      <w:fldSimple w:instr=" SEQ Figure \* ARABIC ">
        <w:r w:rsidR="001C5336">
          <w:rPr>
            <w:noProof/>
          </w:rPr>
          <w:t>5</w:t>
        </w:r>
      </w:fldSimple>
      <w:bookmarkEnd w:id="101"/>
      <w:r w:rsidRPr="00110614">
        <w:t>: Primary renal composite endpoint: Kaplan-Meier plot for time to first occurrence (full analysis set)</w:t>
      </w:r>
    </w:p>
    <w:p w14:paraId="76188975" w14:textId="52DA20AA" w:rsidR="009C3C5E" w:rsidRDefault="00DA7408" w:rsidP="00110614">
      <w:pPr>
        <w:rPr>
          <w:lang w:eastAsia="ja-JP"/>
        </w:rPr>
      </w:pPr>
      <w:r>
        <w:rPr>
          <w:noProof/>
          <w:lang w:val="en-GB" w:eastAsia="en-GB"/>
        </w:rPr>
        <w:drawing>
          <wp:inline distT="0" distB="0" distL="0" distR="0" wp14:anchorId="138E8782" wp14:editId="16728C8C">
            <wp:extent cx="5400040" cy="3425825"/>
            <wp:effectExtent l="0" t="0" r="0" b="3175"/>
            <wp:docPr id="457" name="Picture 457" descr="Figure 5: Primary renal composite endpoint: Kaplan-Meier plot for time to first occurrenc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Figure 5: Primary renal composite endpoint: Kaplan-Meier plot for time to first occurrence (full analysis set)"/>
                    <pic:cNvPicPr/>
                  </pic:nvPicPr>
                  <pic:blipFill>
                    <a:blip r:embed="rId39"/>
                    <a:stretch>
                      <a:fillRect/>
                    </a:stretch>
                  </pic:blipFill>
                  <pic:spPr>
                    <a:xfrm>
                      <a:off x="0" y="0"/>
                      <a:ext cx="5400040" cy="3425825"/>
                    </a:xfrm>
                    <a:prstGeom prst="rect">
                      <a:avLst/>
                    </a:prstGeom>
                  </pic:spPr>
                </pic:pic>
              </a:graphicData>
            </a:graphic>
          </wp:inline>
        </w:drawing>
      </w:r>
    </w:p>
    <w:p w14:paraId="72D1CE0F" w14:textId="7F72F888" w:rsidR="00DA7408" w:rsidRPr="000161A0" w:rsidRDefault="0081427B" w:rsidP="0035650B">
      <w:pPr>
        <w:pStyle w:val="FigureDescription"/>
        <w:rPr>
          <w:lang w:eastAsia="ja-JP"/>
        </w:rPr>
      </w:pPr>
      <w:r w:rsidRPr="00E56D10">
        <w:t>eGFR = estimated glomerular filtration rate</w:t>
      </w:r>
      <w:r>
        <w:t xml:space="preserve">; </w:t>
      </w:r>
      <w:r w:rsidR="00DA7408">
        <w:rPr>
          <w:lang w:eastAsia="ja-JP"/>
        </w:rPr>
        <w:t>N = number of subjects</w:t>
      </w:r>
      <w:r>
        <w:rPr>
          <w:lang w:eastAsia="ja-JP"/>
        </w:rPr>
        <w:t>.</w:t>
      </w:r>
    </w:p>
    <w:p w14:paraId="08ADC295" w14:textId="59FE45D5" w:rsidR="009253EA" w:rsidRPr="000161A0" w:rsidRDefault="009C3C5E" w:rsidP="009253EA">
      <w:pPr>
        <w:pStyle w:val="Heading7"/>
        <w:rPr>
          <w:sz w:val="22"/>
          <w:szCs w:val="28"/>
        </w:rPr>
      </w:pPr>
      <w:r w:rsidRPr="000161A0">
        <w:rPr>
          <w:sz w:val="22"/>
          <w:szCs w:val="28"/>
        </w:rPr>
        <w:t xml:space="preserve">Cardiovascular </w:t>
      </w:r>
      <w:r w:rsidR="009253EA" w:rsidRPr="000161A0">
        <w:rPr>
          <w:sz w:val="22"/>
          <w:szCs w:val="28"/>
        </w:rPr>
        <w:t>and other endpoint results</w:t>
      </w:r>
    </w:p>
    <w:p w14:paraId="0D0E8042" w14:textId="631FC83D" w:rsidR="009253EA" w:rsidRPr="000161A0" w:rsidRDefault="009253EA" w:rsidP="009253EA">
      <w:r w:rsidRPr="000161A0">
        <w:t xml:space="preserve">The key secondary endpoint results (composite of </w:t>
      </w:r>
      <w:r w:rsidR="009C3C5E" w:rsidRPr="000161A0">
        <w:t xml:space="preserve">cardiovascular </w:t>
      </w:r>
      <w:r w:rsidRPr="000161A0">
        <w:t xml:space="preserve">death, non-fatal </w:t>
      </w:r>
      <w:r w:rsidR="000C4309" w:rsidRPr="000161A0">
        <w:t>myocardial infarction</w:t>
      </w:r>
      <w:r w:rsidRPr="000161A0">
        <w:t xml:space="preserve">, non-fatal stroke, hospitalisation for </w:t>
      </w:r>
      <w:r w:rsidR="000C4309" w:rsidRPr="000161A0">
        <w:t>heart failure</w:t>
      </w:r>
      <w:r w:rsidRPr="000161A0">
        <w:t>) were favourable overall (HR (95% CI): 0.860 (0.747</w:t>
      </w:r>
      <w:r w:rsidR="009C3C5E" w:rsidRPr="000161A0">
        <w:t xml:space="preserve">, </w:t>
      </w:r>
      <w:r w:rsidRPr="000161A0">
        <w:t>0.989)) (</w:t>
      </w:r>
      <w:r w:rsidR="001E46D2">
        <w:t xml:space="preserve">see </w:t>
      </w:r>
      <w:r w:rsidRPr="000161A0">
        <w:fldChar w:fldCharType="begin"/>
      </w:r>
      <w:r w:rsidRPr="000161A0">
        <w:instrText xml:space="preserve"> REF _Ref80271171 \h  \* MERGEFORMAT </w:instrText>
      </w:r>
      <w:r w:rsidRPr="000161A0">
        <w:fldChar w:fldCharType="separate"/>
      </w:r>
      <w:r w:rsidR="001C5336" w:rsidRPr="00110614">
        <w:t xml:space="preserve">Table </w:t>
      </w:r>
      <w:r w:rsidR="001C5336">
        <w:t>13</w:t>
      </w:r>
      <w:r w:rsidRPr="000161A0">
        <w:fldChar w:fldCharType="end"/>
      </w:r>
      <w:r w:rsidRPr="000161A0">
        <w:t>), but not supported by all components. The beneficial overall effect appeared to be driven by all components of the secondary endpoint except for ‘non-fatal stroke’ (</w:t>
      </w:r>
      <w:r w:rsidR="001E46D2">
        <w:t xml:space="preserve">see </w:t>
      </w:r>
      <w:r w:rsidRPr="000161A0">
        <w:fldChar w:fldCharType="begin"/>
      </w:r>
      <w:r w:rsidRPr="000161A0">
        <w:instrText xml:space="preserve"> REF _Ref80271171 \h  \* MERGEFORMAT </w:instrText>
      </w:r>
      <w:r w:rsidRPr="000161A0">
        <w:fldChar w:fldCharType="separate"/>
      </w:r>
      <w:r w:rsidR="001C5336" w:rsidRPr="00110614">
        <w:t xml:space="preserve">Table </w:t>
      </w:r>
      <w:r w:rsidR="001C5336">
        <w:t>13</w:t>
      </w:r>
      <w:r w:rsidRPr="000161A0">
        <w:fldChar w:fldCharType="end"/>
      </w:r>
      <w:r w:rsidRPr="000161A0">
        <w:t>) and occurred early on. The component that showed an unfavourable effect was ‘non-fatal stroke’ with a HR (95% CI): 1.027 (0.765</w:t>
      </w:r>
      <w:r w:rsidR="009C3C5E" w:rsidRPr="000161A0">
        <w:t xml:space="preserve">, </w:t>
      </w:r>
      <w:r w:rsidRPr="000161A0">
        <w:t>1.380), but this was not statistically significant.</w:t>
      </w:r>
    </w:p>
    <w:p w14:paraId="005B2B50" w14:textId="1948C0EA" w:rsidR="009253EA" w:rsidRPr="000161A0" w:rsidRDefault="009253EA" w:rsidP="009253EA">
      <w:r w:rsidRPr="000161A0">
        <w:lastRenderedPageBreak/>
        <w:t xml:space="preserve">Furthermore, the following also indicated non-significant, but numerically favourable results: all-cause mortality (HR </w:t>
      </w:r>
      <w:r w:rsidR="00B227A0" w:rsidRPr="000161A0">
        <w:t>(</w:t>
      </w:r>
      <w:r w:rsidRPr="000161A0">
        <w:t>95% CI</w:t>
      </w:r>
      <w:r w:rsidR="00B227A0" w:rsidRPr="000161A0">
        <w:t>)</w:t>
      </w:r>
      <w:r w:rsidRPr="000161A0">
        <w:t xml:space="preserve">: 0.895 </w:t>
      </w:r>
      <w:r w:rsidR="00B227A0" w:rsidRPr="000161A0">
        <w:t>(</w:t>
      </w:r>
      <w:r w:rsidRPr="000161A0">
        <w:t>0.746</w:t>
      </w:r>
      <w:r w:rsidR="009C3C5E" w:rsidRPr="000161A0">
        <w:t xml:space="preserve">, </w:t>
      </w:r>
      <w:r w:rsidRPr="000161A0">
        <w:t>1.075</w:t>
      </w:r>
      <w:r w:rsidR="00B227A0" w:rsidRPr="000161A0">
        <w:t>)</w:t>
      </w:r>
      <w:r w:rsidRPr="000161A0">
        <w:t xml:space="preserve">) and all-cause hospitalisations (HR </w:t>
      </w:r>
      <w:r w:rsidR="00B227A0" w:rsidRPr="000161A0">
        <w:t>(</w:t>
      </w:r>
      <w:r w:rsidRPr="000161A0">
        <w:t>95% CI</w:t>
      </w:r>
      <w:r w:rsidR="00B227A0" w:rsidRPr="000161A0">
        <w:t>)</w:t>
      </w:r>
      <w:r w:rsidRPr="000161A0">
        <w:t xml:space="preserve">: 0.946 </w:t>
      </w:r>
      <w:r w:rsidR="00B227A0" w:rsidRPr="000161A0">
        <w:t>(</w:t>
      </w:r>
      <w:r w:rsidRPr="000161A0">
        <w:t>0.876</w:t>
      </w:r>
      <w:r w:rsidR="009C3C5E" w:rsidRPr="000161A0">
        <w:t xml:space="preserve">, </w:t>
      </w:r>
      <w:r w:rsidRPr="000161A0">
        <w:t>1.022</w:t>
      </w:r>
      <w:r w:rsidR="00B227A0" w:rsidRPr="000161A0">
        <w:t>)</w:t>
      </w:r>
      <w:r w:rsidRPr="000161A0">
        <w:t>).</w:t>
      </w:r>
    </w:p>
    <w:p w14:paraId="44994C8B" w14:textId="0BE98BD5" w:rsidR="009253EA" w:rsidRPr="000161A0" w:rsidRDefault="009253EA" w:rsidP="009253EA">
      <w:pPr>
        <w:pStyle w:val="Heading7"/>
        <w:rPr>
          <w:sz w:val="22"/>
          <w:szCs w:val="28"/>
        </w:rPr>
      </w:pPr>
      <w:r w:rsidRPr="000161A0">
        <w:rPr>
          <w:sz w:val="22"/>
          <w:szCs w:val="28"/>
        </w:rPr>
        <w:t xml:space="preserve">Uncertain effect with </w:t>
      </w:r>
      <w:r w:rsidR="00B14A1E" w:rsidRPr="000161A0">
        <w:rPr>
          <w:sz w:val="22"/>
          <w:szCs w:val="28"/>
        </w:rPr>
        <w:t xml:space="preserve">sodium glucose co-transporter 2 </w:t>
      </w:r>
      <w:r w:rsidRPr="000161A0">
        <w:rPr>
          <w:sz w:val="22"/>
          <w:szCs w:val="28"/>
        </w:rPr>
        <w:t xml:space="preserve">inhibitor and </w:t>
      </w:r>
      <w:r w:rsidR="00B14A1E" w:rsidRPr="000161A0">
        <w:rPr>
          <w:sz w:val="22"/>
          <w:szCs w:val="28"/>
        </w:rPr>
        <w:t xml:space="preserve">glucagon like peptide 1 </w:t>
      </w:r>
      <w:r w:rsidR="009C3C5E" w:rsidRPr="000161A0">
        <w:rPr>
          <w:sz w:val="22"/>
          <w:szCs w:val="28"/>
        </w:rPr>
        <w:t xml:space="preserve">receptor-agonist </w:t>
      </w:r>
      <w:r w:rsidRPr="000161A0">
        <w:rPr>
          <w:sz w:val="22"/>
          <w:szCs w:val="28"/>
        </w:rPr>
        <w:t>co-administration</w:t>
      </w:r>
    </w:p>
    <w:p w14:paraId="481A37FB" w14:textId="0C47853A" w:rsidR="009253EA" w:rsidRPr="000161A0" w:rsidRDefault="009253EA" w:rsidP="009253EA">
      <w:r w:rsidRPr="000161A0">
        <w:t xml:space="preserve">Only a small fraction of </w:t>
      </w:r>
      <w:r w:rsidR="0023308B" w:rsidRPr="000161A0">
        <w:t xml:space="preserve">Study 16244 </w:t>
      </w:r>
      <w:r w:rsidRPr="000161A0">
        <w:t>patient population received treatment with SGLT-2 inhibitors (</w:t>
      </w:r>
      <w:r w:rsidR="006E04F0" w:rsidRPr="000161A0">
        <w:t xml:space="preserve">approximately </w:t>
      </w:r>
      <w:r w:rsidRPr="000161A0">
        <w:t>4.5%) or GLP-1 receptor-agonists (</w:t>
      </w:r>
      <w:r w:rsidR="006E04F0" w:rsidRPr="000161A0">
        <w:t xml:space="preserve">approximately </w:t>
      </w:r>
      <w:r w:rsidRPr="000161A0">
        <w:t>7%). The subgroup analysis of the primary endpoint revealed a numerically unfavourable effect for patients on those treatments. The results were not statistically significant, and may be due to heterogeneity, but a true unfavourable effect cannot be excluded with certainty. It would not be unreasonable to include a relevant statement in both the ‘</w:t>
      </w:r>
      <w:r w:rsidR="00B14A1E" w:rsidRPr="000161A0">
        <w:t>P</w:t>
      </w:r>
      <w:r w:rsidRPr="000161A0">
        <w:t>recautions’ and ‘Clinical trials’ sections of the PI.</w:t>
      </w:r>
    </w:p>
    <w:p w14:paraId="30E264FD" w14:textId="77777777" w:rsidR="009253EA" w:rsidRPr="000161A0" w:rsidRDefault="009253EA" w:rsidP="009253EA">
      <w:pPr>
        <w:pStyle w:val="Heading6"/>
      </w:pPr>
      <w:r w:rsidRPr="000161A0">
        <w:t>Implications for the indication</w:t>
      </w:r>
    </w:p>
    <w:p w14:paraId="7848F85A" w14:textId="77777777" w:rsidR="009253EA" w:rsidRPr="000161A0" w:rsidRDefault="009253EA" w:rsidP="009253EA">
      <w:bookmarkStart w:id="102" w:name="_Hlk80210172"/>
      <w:r w:rsidRPr="000161A0">
        <w:t>The originally submitted sponsor proposed indication was:</w:t>
      </w:r>
    </w:p>
    <w:p w14:paraId="226C889D" w14:textId="77777777" w:rsidR="009253EA" w:rsidRPr="000161A0" w:rsidRDefault="009253EA" w:rsidP="009253EA">
      <w:pPr>
        <w:ind w:left="720"/>
        <w:rPr>
          <w:i/>
          <w:iCs/>
        </w:rPr>
      </w:pPr>
      <w:proofErr w:type="spellStart"/>
      <w:r w:rsidRPr="000161A0">
        <w:rPr>
          <w:i/>
          <w:iCs/>
        </w:rPr>
        <w:t>Kerendia</w:t>
      </w:r>
      <w:proofErr w:type="spellEnd"/>
      <w:r w:rsidRPr="000161A0">
        <w:rPr>
          <w:i/>
          <w:iCs/>
        </w:rPr>
        <w:t xml:space="preserve"> is indicated to delay progression of kidney disease and to reduce the risk of major adverse cardiovascular events (cardiovascular death, nonfatal myocardial infarction, non-fatal stroke) and hospitalization for heart failure in adults with chronic kidney disease (CKD) and type 2 diabetes (T2D).</w:t>
      </w:r>
      <w:bookmarkEnd w:id="102"/>
    </w:p>
    <w:p w14:paraId="38C1A283" w14:textId="77777777" w:rsidR="009253EA" w:rsidRPr="000161A0" w:rsidRDefault="009253EA" w:rsidP="009253EA">
      <w:r w:rsidRPr="000161A0">
        <w:t>After receipt of the clinical evaluation report, the sponsor proposed indication was changed to:</w:t>
      </w:r>
    </w:p>
    <w:p w14:paraId="77844D42" w14:textId="34C961BF" w:rsidR="009253EA" w:rsidRPr="000161A0" w:rsidRDefault="00B14A1E" w:rsidP="009253EA">
      <w:pPr>
        <w:ind w:left="720"/>
        <w:rPr>
          <w:i/>
          <w:iCs/>
        </w:rPr>
      </w:pPr>
      <w:proofErr w:type="spellStart"/>
      <w:r w:rsidRPr="000161A0">
        <w:rPr>
          <w:i/>
          <w:iCs/>
        </w:rPr>
        <w:t>Kerendia</w:t>
      </w:r>
      <w:proofErr w:type="spellEnd"/>
      <w:r w:rsidRPr="000161A0">
        <w:rPr>
          <w:i/>
          <w:iCs/>
        </w:rPr>
        <w:t xml:space="preserve"> </w:t>
      </w:r>
      <w:r w:rsidR="009253EA" w:rsidRPr="000161A0">
        <w:rPr>
          <w:i/>
          <w:iCs/>
        </w:rPr>
        <w:t>is indicated to delay progression of kidney disease and to reduce the risk of cardiovascular mortality and morbidity in adults with chronic kidney disease and albuminuria in type 2 diabetes in addition to existing standard of care.</w:t>
      </w:r>
    </w:p>
    <w:p w14:paraId="2994DCBB" w14:textId="7C835F39" w:rsidR="009253EA" w:rsidRPr="000161A0" w:rsidRDefault="00A80387" w:rsidP="009253EA">
      <w:pPr>
        <w:pStyle w:val="Heading7"/>
        <w:rPr>
          <w:sz w:val="22"/>
          <w:szCs w:val="28"/>
        </w:rPr>
      </w:pPr>
      <w:r w:rsidRPr="000161A0">
        <w:rPr>
          <w:sz w:val="22"/>
          <w:szCs w:val="28"/>
        </w:rPr>
        <w:t xml:space="preserve">Diabetic kidney disease </w:t>
      </w:r>
      <w:r w:rsidR="009253EA" w:rsidRPr="000161A0">
        <w:rPr>
          <w:sz w:val="22"/>
          <w:szCs w:val="28"/>
        </w:rPr>
        <w:t>indication</w:t>
      </w:r>
    </w:p>
    <w:p w14:paraId="7BB10B02" w14:textId="77777777" w:rsidR="001C5336" w:rsidRPr="000161A0" w:rsidRDefault="009253EA" w:rsidP="009C3C5E">
      <w:r w:rsidRPr="000161A0">
        <w:t xml:space="preserve">Evidence from 2 pivotal studies is typically expected to support an indication in a larger population group. Only one pivotal Phase </w:t>
      </w:r>
      <w:r w:rsidR="00715CC8" w:rsidRPr="000161A0">
        <w:t>III</w:t>
      </w:r>
      <w:r w:rsidRPr="000161A0">
        <w:t xml:space="preserve"> trial was submitted to support the </w:t>
      </w:r>
      <w:r w:rsidR="001E46D2">
        <w:t>diabetic kidney disease</w:t>
      </w:r>
      <w:r w:rsidR="001E46D2" w:rsidRPr="000161A0">
        <w:t xml:space="preserve"> </w:t>
      </w:r>
      <w:r w:rsidRPr="000161A0">
        <w:t xml:space="preserve">indication. It is acknowledged that </w:t>
      </w:r>
      <w:r w:rsidR="0023308B" w:rsidRPr="000161A0">
        <w:t xml:space="preserve">Study 16244 </w:t>
      </w:r>
      <w:r w:rsidRPr="000161A0">
        <w:t>demonstrated a clinically meaningful nephroprotective effect in the studied population, even though the benefits typically only occurred after 12 months of treatment (</w:t>
      </w:r>
      <w:r w:rsidRPr="000161A0">
        <w:fldChar w:fldCharType="begin"/>
      </w:r>
      <w:r w:rsidRPr="000161A0">
        <w:instrText xml:space="preserve"> REF _Ref81232182 \h  \* MERGEFORMAT </w:instrText>
      </w:r>
      <w:r w:rsidRPr="000161A0">
        <w:fldChar w:fldCharType="separate"/>
      </w:r>
    </w:p>
    <w:p w14:paraId="4EE4C03C" w14:textId="7081DA60" w:rsidR="009253EA" w:rsidRPr="000161A0" w:rsidRDefault="001C5336" w:rsidP="009C3C5E">
      <w:r w:rsidRPr="00110614">
        <w:t xml:space="preserve">Figure </w:t>
      </w:r>
      <w:r>
        <w:t>5</w:t>
      </w:r>
      <w:r w:rsidR="009253EA" w:rsidRPr="000161A0">
        <w:fldChar w:fldCharType="end"/>
      </w:r>
      <w:r w:rsidR="009253EA" w:rsidRPr="000161A0">
        <w:t>). There was evidence for an exposure</w:t>
      </w:r>
      <w:r w:rsidR="00B14A1E" w:rsidRPr="000161A0">
        <w:t xml:space="preserve"> </w:t>
      </w:r>
      <w:r w:rsidR="009253EA" w:rsidRPr="000161A0">
        <w:t xml:space="preserve">response relationship for the renal composite endpoint. An inclusion of a </w:t>
      </w:r>
      <w:r w:rsidR="001E46D2">
        <w:t>diabetic kidney disease</w:t>
      </w:r>
      <w:r w:rsidR="001E46D2" w:rsidRPr="000161A0">
        <w:t xml:space="preserve"> </w:t>
      </w:r>
      <w:r w:rsidR="009253EA" w:rsidRPr="000161A0">
        <w:t>indication is therefore supported in principle.</w:t>
      </w:r>
    </w:p>
    <w:p w14:paraId="38AF9085" w14:textId="53000E26" w:rsidR="009253EA" w:rsidRPr="000161A0" w:rsidRDefault="009253EA" w:rsidP="009C3C5E">
      <w:r w:rsidRPr="000161A0">
        <w:t>The inclusion criteria did not match distinct CKD stages (patients with an eGFR of ≥</w:t>
      </w:r>
      <w:r w:rsidR="00B14A1E" w:rsidRPr="000161A0">
        <w:t xml:space="preserve"> </w:t>
      </w:r>
      <w:r w:rsidRPr="000161A0">
        <w:t>25 to &lt;</w:t>
      </w:r>
      <w:r w:rsidR="00B14A1E" w:rsidRPr="000161A0">
        <w:t> </w:t>
      </w:r>
      <w:r w:rsidRPr="000161A0">
        <w:t>75 m</w:t>
      </w:r>
      <w:r w:rsidR="00A80387" w:rsidRPr="000161A0">
        <w:t>L</w:t>
      </w:r>
      <w:r w:rsidRPr="000161A0">
        <w:t>/min/1.73</w:t>
      </w:r>
      <w:r w:rsidR="006E04F0" w:rsidRPr="000161A0">
        <w:t> </w:t>
      </w:r>
      <w:r w:rsidRPr="000161A0">
        <w:t>m</w:t>
      </w:r>
      <w:r w:rsidRPr="000161A0">
        <w:rPr>
          <w:vertAlign w:val="superscript"/>
        </w:rPr>
        <w:t>2</w:t>
      </w:r>
      <w:r w:rsidRPr="000161A0">
        <w:t xml:space="preserve">, dependent on albuminuria severity) and thus a restriction to certain stages may not be helpful. However, &gt;99% of patients in </w:t>
      </w:r>
      <w:r w:rsidR="0023308B" w:rsidRPr="000161A0">
        <w:t xml:space="preserve">Study 16244 </w:t>
      </w:r>
      <w:r w:rsidRPr="000161A0">
        <w:t xml:space="preserve">had albuminuria at </w:t>
      </w:r>
      <w:r w:rsidR="00BD7195" w:rsidRPr="000161A0">
        <w:t>Baseline</w:t>
      </w:r>
      <w:r w:rsidRPr="000161A0">
        <w:t xml:space="preserve">, and this should be reflected in the indication. Furthermore, it is important to emphasise in the indication that the results only apply to the </w:t>
      </w:r>
      <w:r w:rsidR="001E46D2">
        <w:t>diabetic kidney disease</w:t>
      </w:r>
      <w:r w:rsidR="001E46D2" w:rsidRPr="000161A0">
        <w:t xml:space="preserve"> </w:t>
      </w:r>
      <w:r w:rsidRPr="000161A0">
        <w:t>population (</w:t>
      </w:r>
      <w:r w:rsidR="006E04F0" w:rsidRPr="000161A0">
        <w:t>that is,</w:t>
      </w:r>
      <w:r w:rsidRPr="000161A0">
        <w:t xml:space="preserve"> to CKD associated with </w:t>
      </w:r>
      <w:r w:rsidR="002051CB" w:rsidRPr="000161A0">
        <w:t>type 2 diabetes mellitus</w:t>
      </w:r>
      <w:r w:rsidRPr="000161A0">
        <w:t xml:space="preserve">), and not to all </w:t>
      </w:r>
      <w:r w:rsidR="002051CB" w:rsidRPr="000161A0">
        <w:t>type 2 diabetes mellitus</w:t>
      </w:r>
      <w:r w:rsidRPr="000161A0">
        <w:t xml:space="preserve"> patients. All patients in </w:t>
      </w:r>
      <w:r w:rsidR="0023308B" w:rsidRPr="000161A0">
        <w:t xml:space="preserve">Study 16244 </w:t>
      </w:r>
      <w:r w:rsidRPr="000161A0">
        <w:t xml:space="preserve">were on either an </w:t>
      </w:r>
      <w:proofErr w:type="spellStart"/>
      <w:r w:rsidRPr="000161A0">
        <w:t>ACE</w:t>
      </w:r>
      <w:r w:rsidR="002051CB" w:rsidRPr="000161A0">
        <w:t>i</w:t>
      </w:r>
      <w:proofErr w:type="spellEnd"/>
      <w:r w:rsidRPr="000161A0">
        <w:t xml:space="preserve"> or an ARB which should also be reflected in the indication.</w:t>
      </w:r>
    </w:p>
    <w:p w14:paraId="4248062C" w14:textId="656CE19E" w:rsidR="009253EA" w:rsidRPr="000161A0" w:rsidRDefault="009C3C5E" w:rsidP="009C3C5E">
      <w:pPr>
        <w:pStyle w:val="Heading7"/>
        <w:rPr>
          <w:sz w:val="22"/>
          <w:szCs w:val="28"/>
        </w:rPr>
      </w:pPr>
      <w:r w:rsidRPr="000161A0">
        <w:rPr>
          <w:sz w:val="22"/>
          <w:szCs w:val="28"/>
        </w:rPr>
        <w:t>Cardiovascular</w:t>
      </w:r>
      <w:r w:rsidR="009253EA" w:rsidRPr="000161A0">
        <w:rPr>
          <w:sz w:val="22"/>
          <w:szCs w:val="28"/>
        </w:rPr>
        <w:t xml:space="preserve"> indication</w:t>
      </w:r>
    </w:p>
    <w:p w14:paraId="6021A73D" w14:textId="17F90295" w:rsidR="009253EA" w:rsidRPr="000161A0" w:rsidRDefault="009253EA" w:rsidP="009253EA">
      <w:r w:rsidRPr="000161A0">
        <w:t xml:space="preserve">As stated above, evidence from 2 pivotal studies is typically expected to support an indication in a larger population group. The </w:t>
      </w:r>
      <w:r w:rsidR="009C3C5E" w:rsidRPr="000161A0">
        <w:t xml:space="preserve">cardiovascular </w:t>
      </w:r>
      <w:r w:rsidRPr="000161A0">
        <w:t>indication wording could be interpreted as secondary claims that are not fully supported by the submitted data.</w:t>
      </w:r>
    </w:p>
    <w:p w14:paraId="0619C686" w14:textId="41FF5B6A" w:rsidR="009253EA" w:rsidRPr="000161A0" w:rsidRDefault="009253EA" w:rsidP="009253EA">
      <w:r w:rsidRPr="000161A0">
        <w:t xml:space="preserve">The </w:t>
      </w:r>
      <w:r w:rsidR="009C3C5E" w:rsidRPr="000161A0">
        <w:t>cardiovascular</w:t>
      </w:r>
      <w:r w:rsidRPr="000161A0">
        <w:t xml:space="preserve"> indication is based on a secondary (albeit key secondary) composite endpoint in a single pivotal </w:t>
      </w:r>
      <w:r w:rsidR="00715CC8" w:rsidRPr="000161A0">
        <w:t>Phase</w:t>
      </w:r>
      <w:r w:rsidRPr="000161A0">
        <w:t xml:space="preserve"> </w:t>
      </w:r>
      <w:r w:rsidR="00715CC8" w:rsidRPr="000161A0">
        <w:t>III</w:t>
      </w:r>
      <w:r w:rsidRPr="000161A0">
        <w:t xml:space="preserve"> trial. The presence of an unfavourable component would make it difficult to unequivocally support a specific </w:t>
      </w:r>
      <w:r w:rsidR="009C3C5E" w:rsidRPr="000161A0">
        <w:t>cardiovascular</w:t>
      </w:r>
      <w:r w:rsidRPr="000161A0">
        <w:t xml:space="preserve"> indication for </w:t>
      </w:r>
      <w:proofErr w:type="spellStart"/>
      <w:r w:rsidRPr="000161A0">
        <w:t>finerenone</w:t>
      </w:r>
      <w:proofErr w:type="spellEnd"/>
      <w:r w:rsidRPr="000161A0">
        <w:t xml:space="preserve"> in the absence of other submitted Phase </w:t>
      </w:r>
      <w:r w:rsidR="00715CC8" w:rsidRPr="000161A0">
        <w:t>III</w:t>
      </w:r>
      <w:r w:rsidRPr="000161A0">
        <w:t xml:space="preserve"> evidence. A potentially </w:t>
      </w:r>
      <w:r w:rsidRPr="000161A0">
        <w:lastRenderedPageBreak/>
        <w:t>unfavourable component is present in this case: the ‘non-fatal stroke’ component with a HR (95% CI): 1.027 (0.765</w:t>
      </w:r>
      <w:r w:rsidR="00B14A1E" w:rsidRPr="000161A0">
        <w:t xml:space="preserve">, </w:t>
      </w:r>
      <w:r w:rsidRPr="000161A0">
        <w:t>1.380), even though not statistically significant. It remains uncertain whether this constitutes a predictor of a negative response, but this cannot be excluded. The presence of an unfavourable component in a composite endpoint has the potential to negate the otherwise favourable overall effect. Furthermore, an exposure</w:t>
      </w:r>
      <w:r w:rsidR="00B14A1E" w:rsidRPr="000161A0">
        <w:t xml:space="preserve"> </w:t>
      </w:r>
      <w:r w:rsidRPr="000161A0">
        <w:t xml:space="preserve">response relationship for the </w:t>
      </w:r>
      <w:r w:rsidR="009C3C5E" w:rsidRPr="000161A0">
        <w:t>cardiovascular</w:t>
      </w:r>
      <w:r w:rsidRPr="000161A0">
        <w:t xml:space="preserve"> composite endpoint has not been </w:t>
      </w:r>
      <w:proofErr w:type="gramStart"/>
      <w:r w:rsidRPr="000161A0">
        <w:t>definitely established</w:t>
      </w:r>
      <w:proofErr w:type="gramEnd"/>
      <w:r w:rsidRPr="000161A0">
        <w:t>.</w:t>
      </w:r>
    </w:p>
    <w:p w14:paraId="25E1C3B8" w14:textId="24E51FBD" w:rsidR="009253EA" w:rsidRPr="000161A0" w:rsidRDefault="009253EA" w:rsidP="009253EA">
      <w:r w:rsidRPr="000161A0">
        <w:t xml:space="preserve">It is noted the sponsor has completed another Phase </w:t>
      </w:r>
      <w:r w:rsidR="00715CC8" w:rsidRPr="000161A0">
        <w:t>III</w:t>
      </w:r>
      <w:r w:rsidRPr="000161A0">
        <w:t xml:space="preserve"> clinical trial (</w:t>
      </w:r>
      <w:r w:rsidR="0023308B" w:rsidRPr="000161A0">
        <w:t>Study 17530</w:t>
      </w:r>
      <w:r w:rsidRPr="000161A0">
        <w:t xml:space="preserve">) which includes the same key secondary </w:t>
      </w:r>
      <w:r w:rsidR="009C3C5E" w:rsidRPr="000161A0">
        <w:t>cardiovascular</w:t>
      </w:r>
      <w:r w:rsidRPr="000161A0">
        <w:t xml:space="preserve"> composite endpoint as a primary endpoint. No study report or other comprehensive documentation was submitted with this application, but only top</w:t>
      </w:r>
      <w:r w:rsidR="001E46D2">
        <w:t>-</w:t>
      </w:r>
      <w:r w:rsidRPr="000161A0">
        <w:t>line results that are not sufficient for evaluation.</w:t>
      </w:r>
    </w:p>
    <w:p w14:paraId="611E36CB" w14:textId="4C0E3B4B" w:rsidR="009253EA" w:rsidRPr="000161A0" w:rsidRDefault="009253EA" w:rsidP="009253EA">
      <w:r w:rsidRPr="000161A0">
        <w:t xml:space="preserve">Based on the above, any reference to a </w:t>
      </w:r>
      <w:r w:rsidR="009C3C5E" w:rsidRPr="000161A0">
        <w:t>cardiovascular</w:t>
      </w:r>
      <w:r w:rsidRPr="000161A0">
        <w:t xml:space="preserve"> benefit in the indication is not supported. It would be more prudent to evaluate whether </w:t>
      </w:r>
      <w:r w:rsidR="0023308B" w:rsidRPr="000161A0">
        <w:t>Study 17530</w:t>
      </w:r>
      <w:r w:rsidRPr="000161A0">
        <w:t xml:space="preserve"> and/or other evidence supports such an inclusion.</w:t>
      </w:r>
    </w:p>
    <w:p w14:paraId="5F28F87D" w14:textId="77777777" w:rsidR="009253EA" w:rsidRPr="000161A0" w:rsidRDefault="009253EA" w:rsidP="00E50C3E">
      <w:pPr>
        <w:pStyle w:val="Heading6"/>
      </w:pPr>
      <w:r w:rsidRPr="000161A0">
        <w:t>Delegate proposed indication</w:t>
      </w:r>
    </w:p>
    <w:p w14:paraId="41D1BF15" w14:textId="77777777" w:rsidR="009253EA" w:rsidRPr="000161A0" w:rsidRDefault="009253EA" w:rsidP="009253EA">
      <w:r w:rsidRPr="000161A0">
        <w:t>After careful consideration, the TGA proposed indication is:</w:t>
      </w:r>
    </w:p>
    <w:p w14:paraId="269C6325" w14:textId="77777777" w:rsidR="009253EA" w:rsidRPr="000161A0" w:rsidRDefault="009253EA" w:rsidP="009253EA">
      <w:pPr>
        <w:ind w:left="720"/>
        <w:rPr>
          <w:i/>
          <w:iCs/>
        </w:rPr>
      </w:pPr>
      <w:proofErr w:type="spellStart"/>
      <w:r w:rsidRPr="000161A0">
        <w:rPr>
          <w:i/>
          <w:iCs/>
        </w:rPr>
        <w:t>Kerendia</w:t>
      </w:r>
      <w:proofErr w:type="spellEnd"/>
      <w:r w:rsidRPr="000161A0">
        <w:rPr>
          <w:i/>
          <w:iCs/>
        </w:rPr>
        <w:t xml:space="preserve"> is indicated to delay progression of kidney disease in adults with chronic kidney disease (with albuminuria) associated with type 2 diabetes in addition to standard of care therapy including an angiotensin-converting enzyme inhibitor (</w:t>
      </w:r>
      <w:proofErr w:type="spellStart"/>
      <w:r w:rsidRPr="000161A0">
        <w:rPr>
          <w:i/>
          <w:iCs/>
        </w:rPr>
        <w:t>ACEi</w:t>
      </w:r>
      <w:proofErr w:type="spellEnd"/>
      <w:r w:rsidRPr="000161A0">
        <w:rPr>
          <w:i/>
          <w:iCs/>
        </w:rPr>
        <w:t>) or angiotensin receptor blocker (ARB).</w:t>
      </w:r>
    </w:p>
    <w:p w14:paraId="5894461A" w14:textId="77777777" w:rsidR="009253EA" w:rsidRPr="000161A0" w:rsidRDefault="009253EA" w:rsidP="009253EA">
      <w:pPr>
        <w:pStyle w:val="Heading5"/>
      </w:pPr>
      <w:r w:rsidRPr="000161A0">
        <w:t>Safety</w:t>
      </w:r>
    </w:p>
    <w:p w14:paraId="4B522E1C" w14:textId="2C3066A6" w:rsidR="009253EA" w:rsidRPr="000161A0" w:rsidRDefault="009253EA" w:rsidP="009253EA">
      <w:r w:rsidRPr="000161A0">
        <w:t xml:space="preserve">In the presented clinical trials, there was no prohibitive safety signal for </w:t>
      </w:r>
      <w:proofErr w:type="spellStart"/>
      <w:r w:rsidRPr="000161A0">
        <w:t>finerenone</w:t>
      </w:r>
      <w:proofErr w:type="spellEnd"/>
      <w:r w:rsidRPr="000161A0">
        <w:t xml:space="preserve"> treatment (at both clinical doses of 10 mg </w:t>
      </w:r>
      <w:proofErr w:type="gramStart"/>
      <w:r w:rsidRPr="000161A0">
        <w:t>or</w:t>
      </w:r>
      <w:proofErr w:type="gramEnd"/>
      <w:r w:rsidRPr="000161A0">
        <w:t xml:space="preserve"> 20 mg once daily) for patients with CKD associated with </w:t>
      </w:r>
      <w:r w:rsidR="002051CB" w:rsidRPr="000161A0">
        <w:t>type 2 diabetes mellitus</w:t>
      </w:r>
      <w:r w:rsidRPr="000161A0">
        <w:t xml:space="preserve">. Most relevant safety data were generated in </w:t>
      </w:r>
      <w:r w:rsidR="0023308B" w:rsidRPr="000161A0">
        <w:t>Study 16244</w:t>
      </w:r>
      <w:r w:rsidRPr="000161A0">
        <w:t xml:space="preserve">, in which </w:t>
      </w:r>
      <w:r w:rsidR="00F431AA">
        <w:t>diabetic kidney disease</w:t>
      </w:r>
      <w:r w:rsidR="00F431AA" w:rsidRPr="000161A0">
        <w:t xml:space="preserve"> </w:t>
      </w:r>
      <w:r w:rsidRPr="000161A0">
        <w:t xml:space="preserve">patients received </w:t>
      </w:r>
      <w:proofErr w:type="spellStart"/>
      <w:r w:rsidRPr="000161A0">
        <w:t>finerenone</w:t>
      </w:r>
      <w:proofErr w:type="spellEnd"/>
      <w:r w:rsidRPr="000161A0">
        <w:t xml:space="preserve"> additional to standard of care therapy including </w:t>
      </w:r>
      <w:r w:rsidR="00F431AA">
        <w:t xml:space="preserve">the </w:t>
      </w:r>
      <w:r w:rsidRPr="000161A0">
        <w:t xml:space="preserve">maximum tolerated labelled dose of </w:t>
      </w:r>
      <w:r w:rsidR="00F431AA">
        <w:t xml:space="preserve">an </w:t>
      </w:r>
      <w:proofErr w:type="spellStart"/>
      <w:r w:rsidRPr="000161A0">
        <w:t>ACE</w:t>
      </w:r>
      <w:r w:rsidR="000D61D1" w:rsidRPr="000161A0">
        <w:t>i</w:t>
      </w:r>
      <w:proofErr w:type="spellEnd"/>
      <w:r w:rsidRPr="000161A0">
        <w:t xml:space="preserve"> or ARB.</w:t>
      </w:r>
    </w:p>
    <w:p w14:paraId="2ABFB9C5" w14:textId="46070C00" w:rsidR="009253EA" w:rsidRPr="000161A0" w:rsidRDefault="009253EA" w:rsidP="009253EA">
      <w:r w:rsidRPr="000161A0">
        <w:t xml:space="preserve">The potential safety issues of </w:t>
      </w:r>
      <w:proofErr w:type="spellStart"/>
      <w:r w:rsidRPr="000161A0">
        <w:t>finerenone</w:t>
      </w:r>
      <w:proofErr w:type="spellEnd"/>
      <w:r w:rsidRPr="000161A0">
        <w:t xml:space="preserve"> are mainly associated with its mechanism of action, </w:t>
      </w:r>
      <w:r w:rsidR="00B227A0" w:rsidRPr="000161A0">
        <w:t>for example,</w:t>
      </w:r>
      <w:r w:rsidRPr="000161A0">
        <w:t xml:space="preserve"> increased risk of hyperkalaemia, initial reduction in GFR, hypotension, and hyponatr</w:t>
      </w:r>
      <w:r w:rsidR="00F431AA">
        <w:t>a</w:t>
      </w:r>
      <w:r w:rsidRPr="000161A0">
        <w:t>emia. Major safety concerns with established MRAs (spironolactone and eplerenone) are hyperkalaemia, worsening of renal function, hypotension, and gynecomastia (specifically with spironolactone).</w:t>
      </w:r>
    </w:p>
    <w:p w14:paraId="18468CFE" w14:textId="77777777" w:rsidR="009253EA" w:rsidRPr="000161A0" w:rsidRDefault="009253EA" w:rsidP="008C3C0C">
      <w:pPr>
        <w:pStyle w:val="Heading6"/>
      </w:pPr>
      <w:r w:rsidRPr="000161A0">
        <w:t>Specific safety concerns</w:t>
      </w:r>
    </w:p>
    <w:p w14:paraId="5BB0181F" w14:textId="77777777" w:rsidR="008C3C0C" w:rsidRPr="000161A0" w:rsidRDefault="009253EA" w:rsidP="008C3C0C">
      <w:pPr>
        <w:pStyle w:val="Heading7"/>
        <w:rPr>
          <w:sz w:val="22"/>
          <w:szCs w:val="28"/>
        </w:rPr>
      </w:pPr>
      <w:r w:rsidRPr="000161A0">
        <w:rPr>
          <w:sz w:val="22"/>
          <w:szCs w:val="28"/>
        </w:rPr>
        <w:t>Hyperkalaemia</w:t>
      </w:r>
    </w:p>
    <w:p w14:paraId="659B9841" w14:textId="57DEC55F" w:rsidR="009253EA" w:rsidRPr="000161A0" w:rsidRDefault="008C3C0C" w:rsidP="009253EA">
      <w:r w:rsidRPr="000161A0">
        <w:t>T</w:t>
      </w:r>
      <w:r w:rsidR="009253EA" w:rsidRPr="000161A0">
        <w:t>reatment</w:t>
      </w:r>
      <w:r w:rsidR="00F431AA">
        <w:t>-</w:t>
      </w:r>
      <w:r w:rsidR="009253EA" w:rsidRPr="000161A0">
        <w:t xml:space="preserve">emergent </w:t>
      </w:r>
      <w:r w:rsidRPr="000161A0">
        <w:t>adverse events</w:t>
      </w:r>
      <w:r w:rsidR="009253EA" w:rsidRPr="000161A0">
        <w:t xml:space="preserve"> of clinical significance (</w:t>
      </w:r>
      <w:r w:rsidR="00B227A0" w:rsidRPr="000161A0">
        <w:t>for example,</w:t>
      </w:r>
      <w:r w:rsidR="009253EA" w:rsidRPr="000161A0">
        <w:t xml:space="preserve"> permanent study drug discontinuation or hospitalisation) constituted a small proportion of hyperkalaemia events. There were no hyperkalaemia</w:t>
      </w:r>
      <w:r w:rsidRPr="000161A0">
        <w:t xml:space="preserve"> </w:t>
      </w:r>
      <w:r w:rsidR="009253EA" w:rsidRPr="000161A0">
        <w:t>related fatalities nor any evidence for an increased incidence of other severe hyperkalaemia</w:t>
      </w:r>
      <w:r w:rsidRPr="000161A0">
        <w:t xml:space="preserve"> </w:t>
      </w:r>
      <w:r w:rsidR="009253EA" w:rsidRPr="000161A0">
        <w:t>related clinical manifestations (</w:t>
      </w:r>
      <w:r w:rsidR="00B227A0" w:rsidRPr="000161A0">
        <w:t>for example,</w:t>
      </w:r>
      <w:r w:rsidR="009253EA" w:rsidRPr="000161A0">
        <w:t xml:space="preserve"> arrhythmic or neurological sequelae). It would be important to document patient characteristics predisposing for hyperkalaemia in the PI.</w:t>
      </w:r>
    </w:p>
    <w:p w14:paraId="48BB2E6E" w14:textId="2EE9E7C0" w:rsidR="008C3C0C" w:rsidRPr="000161A0" w:rsidRDefault="009253EA" w:rsidP="008C3C0C">
      <w:pPr>
        <w:pStyle w:val="Heading7"/>
        <w:rPr>
          <w:sz w:val="22"/>
          <w:szCs w:val="28"/>
        </w:rPr>
      </w:pPr>
      <w:r w:rsidRPr="000161A0">
        <w:rPr>
          <w:sz w:val="22"/>
          <w:szCs w:val="28"/>
        </w:rPr>
        <w:t xml:space="preserve">Reduction in </w:t>
      </w:r>
      <w:r w:rsidR="008C3C0C" w:rsidRPr="000161A0">
        <w:rPr>
          <w:sz w:val="22"/>
          <w:szCs w:val="28"/>
        </w:rPr>
        <w:t>glomerular filtration rate</w:t>
      </w:r>
    </w:p>
    <w:p w14:paraId="1D2CE75B" w14:textId="1846A9E7" w:rsidR="009253EA" w:rsidRPr="000161A0" w:rsidRDefault="00F431AA" w:rsidP="009253EA">
      <w:r>
        <w:t>T</w:t>
      </w:r>
      <w:r w:rsidR="009253EA" w:rsidRPr="000161A0">
        <w:t xml:space="preserve">he typical initial reduction in eGFR in </w:t>
      </w:r>
      <w:proofErr w:type="spellStart"/>
      <w:r w:rsidR="009253EA" w:rsidRPr="000161A0">
        <w:t>finerenone</w:t>
      </w:r>
      <w:proofErr w:type="spellEnd"/>
      <w:r w:rsidR="009253EA" w:rsidRPr="000161A0">
        <w:t xml:space="preserve">-treated subjects was followed by long-term preservation of kidney function. Accordingly, events of acute decreases in </w:t>
      </w:r>
      <w:r w:rsidR="002051CB" w:rsidRPr="000161A0">
        <w:t>GFR</w:t>
      </w:r>
      <w:r w:rsidR="009253EA" w:rsidRPr="000161A0">
        <w:t xml:space="preserve"> were more frequent in the </w:t>
      </w:r>
      <w:proofErr w:type="spellStart"/>
      <w:r w:rsidR="009253EA" w:rsidRPr="000161A0">
        <w:t>finerenone</w:t>
      </w:r>
      <w:proofErr w:type="spellEnd"/>
      <w:r w:rsidR="009253EA" w:rsidRPr="000161A0">
        <w:t xml:space="preserve"> arm com</w:t>
      </w:r>
      <w:r w:rsidR="009253EA" w:rsidRPr="000161A0">
        <w:softHyphen/>
        <w:t xml:space="preserve">pared with placebo (6.3% </w:t>
      </w:r>
      <w:r w:rsidR="00B227A0" w:rsidRPr="000161A0">
        <w:t>versus</w:t>
      </w:r>
      <w:r w:rsidR="009253EA" w:rsidRPr="000161A0">
        <w:t xml:space="preserve"> 4.7%). The clinical significance of the initial decline in renal function is uncertain. The incidence of </w:t>
      </w:r>
      <w:r w:rsidR="00F4700D" w:rsidRPr="000161A0">
        <w:t>acute kidney injury</w:t>
      </w:r>
      <w:r w:rsidR="009253EA" w:rsidRPr="000161A0">
        <w:t xml:space="preserve"> was balanced between treatment arms. Other clinically relevant worsening of renal function events was infrequent and balanced between treatment arms.</w:t>
      </w:r>
    </w:p>
    <w:p w14:paraId="5B14C42B" w14:textId="77777777" w:rsidR="008C3C0C" w:rsidRPr="000161A0" w:rsidRDefault="009253EA" w:rsidP="008C3C0C">
      <w:pPr>
        <w:pStyle w:val="Heading7"/>
        <w:rPr>
          <w:sz w:val="22"/>
          <w:szCs w:val="28"/>
        </w:rPr>
      </w:pPr>
      <w:r w:rsidRPr="000161A0">
        <w:rPr>
          <w:sz w:val="22"/>
          <w:szCs w:val="28"/>
        </w:rPr>
        <w:lastRenderedPageBreak/>
        <w:t>Ongoing monitoring</w:t>
      </w:r>
    </w:p>
    <w:p w14:paraId="5EB45D8E" w14:textId="76D16B78" w:rsidR="009253EA" w:rsidRPr="000161A0" w:rsidRDefault="009253EA" w:rsidP="009253EA">
      <w:proofErr w:type="spellStart"/>
      <w:r w:rsidRPr="000161A0">
        <w:t>Finerenone</w:t>
      </w:r>
      <w:proofErr w:type="spellEnd"/>
      <w:r w:rsidRPr="000161A0">
        <w:t xml:space="preserve"> has the potential to increase serum potassium levels, especially with increasing renal or hepatic impairment (recommendation to avoid in severe hepatic impairment). Dose adjustments (based on monitoring of serum potassium and GFR) are crucial and need to be appropriately communicated to prescribers.</w:t>
      </w:r>
    </w:p>
    <w:p w14:paraId="5CFC026E" w14:textId="77777777" w:rsidR="008C3C0C" w:rsidRPr="000161A0" w:rsidRDefault="009253EA" w:rsidP="008C3C0C">
      <w:pPr>
        <w:pStyle w:val="Heading7"/>
        <w:rPr>
          <w:sz w:val="22"/>
          <w:szCs w:val="28"/>
        </w:rPr>
      </w:pPr>
      <w:r w:rsidRPr="000161A0">
        <w:rPr>
          <w:sz w:val="22"/>
          <w:szCs w:val="28"/>
        </w:rPr>
        <w:t>Drug interactions</w:t>
      </w:r>
    </w:p>
    <w:p w14:paraId="48760613" w14:textId="53B8077D" w:rsidR="009253EA" w:rsidRPr="000161A0" w:rsidRDefault="009253EA" w:rsidP="009253EA">
      <w:r w:rsidRPr="000161A0">
        <w:t xml:space="preserve">Potential </w:t>
      </w:r>
      <w:r w:rsidR="008C3C0C" w:rsidRPr="000161A0">
        <w:t>drug-drug interactions</w:t>
      </w:r>
      <w:r w:rsidRPr="000161A0">
        <w:t xml:space="preserve"> with </w:t>
      </w:r>
      <w:proofErr w:type="spellStart"/>
      <w:r w:rsidRPr="000161A0">
        <w:t>finerenone</w:t>
      </w:r>
      <w:proofErr w:type="spellEnd"/>
      <w:r w:rsidRPr="000161A0">
        <w:t xml:space="preserve"> represent an important potential safety concern, especially when resulting in hyperkalaemia. Co-administration with:</w:t>
      </w:r>
    </w:p>
    <w:p w14:paraId="72D3D98C" w14:textId="77777777" w:rsidR="009253EA" w:rsidRPr="000161A0" w:rsidRDefault="009253EA" w:rsidP="009253EA">
      <w:pPr>
        <w:pStyle w:val="ListBullet"/>
      </w:pPr>
      <w:r w:rsidRPr="000161A0">
        <w:t>Strong CYP3A4 inhibitors: contraindicated.</w:t>
      </w:r>
    </w:p>
    <w:p w14:paraId="444DB71C" w14:textId="15446760" w:rsidR="009253EA" w:rsidRPr="000161A0" w:rsidRDefault="009253EA" w:rsidP="009253EA">
      <w:pPr>
        <w:pStyle w:val="ListBullet"/>
      </w:pPr>
      <w:r w:rsidRPr="000161A0">
        <w:t xml:space="preserve">Moderate or weak CYP3A4 </w:t>
      </w:r>
      <w:proofErr w:type="gramStart"/>
      <w:r w:rsidRPr="000161A0">
        <w:t>inhibitors:</w:t>
      </w:r>
      <w:proofErr w:type="gramEnd"/>
      <w:r w:rsidRPr="000161A0">
        <w:t xml:space="preserve"> requires monitoring of serum potassium levels, especially during treatment initiation or dose changes of any drug; a 10 mg dose (instead of 20 mg) was recommended</w:t>
      </w:r>
      <w:r w:rsidR="008C3C0C" w:rsidRPr="000161A0">
        <w:t xml:space="preserve"> by the clinical evaluator</w:t>
      </w:r>
      <w:r w:rsidRPr="000161A0">
        <w:t>, but not implemented by the sponsor (remains unresolved).</w:t>
      </w:r>
    </w:p>
    <w:p w14:paraId="747692B2" w14:textId="508178EB" w:rsidR="009253EA" w:rsidRPr="000161A0" w:rsidRDefault="009253EA" w:rsidP="009253EA">
      <w:pPr>
        <w:pStyle w:val="ListBullet"/>
      </w:pPr>
      <w:r w:rsidRPr="000161A0">
        <w:t xml:space="preserve">In the clinical trial program, the moderate CYP3A4 inhibitor erythromycin led to an increase in AUC (+248%) and </w:t>
      </w:r>
      <w:proofErr w:type="spellStart"/>
      <w:r w:rsidR="00873467" w:rsidRPr="000161A0">
        <w:t>C</w:t>
      </w:r>
      <w:r w:rsidR="00873467" w:rsidRPr="000161A0">
        <w:rPr>
          <w:vertAlign w:val="subscript"/>
        </w:rPr>
        <w:t>max</w:t>
      </w:r>
      <w:proofErr w:type="spellEnd"/>
      <w:r w:rsidRPr="000161A0">
        <w:t xml:space="preserve"> (+88%) of </w:t>
      </w:r>
      <w:proofErr w:type="spellStart"/>
      <w:r w:rsidRPr="000161A0">
        <w:t>finerenone</w:t>
      </w:r>
      <w:proofErr w:type="spellEnd"/>
      <w:r w:rsidRPr="000161A0">
        <w:t xml:space="preserve"> compared to </w:t>
      </w:r>
      <w:proofErr w:type="spellStart"/>
      <w:r w:rsidRPr="000161A0">
        <w:t>finerenone</w:t>
      </w:r>
      <w:proofErr w:type="spellEnd"/>
      <w:r w:rsidRPr="000161A0">
        <w:t xml:space="preserve"> alone. Another moderate inhibitor (verapamil) increased </w:t>
      </w:r>
      <w:proofErr w:type="spellStart"/>
      <w:r w:rsidRPr="000161A0">
        <w:t>finerenone</w:t>
      </w:r>
      <w:proofErr w:type="spellEnd"/>
      <w:r w:rsidRPr="000161A0">
        <w:t xml:space="preserve"> AUC (170%) and </w:t>
      </w:r>
      <w:proofErr w:type="spellStart"/>
      <w:r w:rsidR="00873467" w:rsidRPr="000161A0">
        <w:t>C</w:t>
      </w:r>
      <w:r w:rsidR="00873467" w:rsidRPr="000161A0">
        <w:rPr>
          <w:vertAlign w:val="subscript"/>
        </w:rPr>
        <w:t>max</w:t>
      </w:r>
      <w:proofErr w:type="spellEnd"/>
      <w:r w:rsidRPr="000161A0">
        <w:t xml:space="preserve"> (122%) compared to </w:t>
      </w:r>
      <w:proofErr w:type="spellStart"/>
      <w:r w:rsidRPr="000161A0">
        <w:t>finerenone</w:t>
      </w:r>
      <w:proofErr w:type="spellEnd"/>
      <w:r w:rsidRPr="000161A0">
        <w:t xml:space="preserve"> alone. The use of concomitant moderate CYP3A4 inhibitors is expected to increase </w:t>
      </w:r>
      <w:proofErr w:type="spellStart"/>
      <w:r w:rsidRPr="000161A0">
        <w:t>finerenone</w:t>
      </w:r>
      <w:proofErr w:type="spellEnd"/>
      <w:r w:rsidRPr="000161A0">
        <w:t xml:space="preserve"> exposure. The sponsor’s response essentially states that the resultant exposure would still be lower than the exposure associated with 80 mg of </w:t>
      </w:r>
      <w:proofErr w:type="spellStart"/>
      <w:r w:rsidRPr="000161A0">
        <w:t>finerenone</w:t>
      </w:r>
      <w:proofErr w:type="spellEnd"/>
      <w:r w:rsidRPr="000161A0">
        <w:t xml:space="preserve"> (highest dose tested in the Phase </w:t>
      </w:r>
      <w:r w:rsidR="00715CC8" w:rsidRPr="000161A0">
        <w:t>II</w:t>
      </w:r>
      <w:r w:rsidRPr="000161A0">
        <w:t xml:space="preserve"> studies).</w:t>
      </w:r>
    </w:p>
    <w:p w14:paraId="03E6BB97" w14:textId="77777777" w:rsidR="009253EA" w:rsidRPr="000161A0" w:rsidRDefault="009253EA" w:rsidP="009253EA">
      <w:pPr>
        <w:pStyle w:val="ListBullet"/>
      </w:pPr>
      <w:r w:rsidRPr="000161A0">
        <w:t>Strong and moderate CYP3A4 inducers: should be avoided. The use of alternative co-medications without or with weaker induction potential should be considered.</w:t>
      </w:r>
    </w:p>
    <w:p w14:paraId="45B74C53" w14:textId="06615DC9" w:rsidR="009253EA" w:rsidRPr="000161A0" w:rsidRDefault="009253EA" w:rsidP="009253EA">
      <w:pPr>
        <w:pStyle w:val="ListBullet"/>
      </w:pPr>
      <w:r w:rsidRPr="000161A0">
        <w:t xml:space="preserve">Digoxin: should be avoided in patients with renal impairment in most circumstances. Digoxin interactions were investigated in healthy males in Study 14505. Typically, the 90% CI of the estimated ratios of digoxin AUC fell within 0.9 and 1.11, but the </w:t>
      </w:r>
      <w:r w:rsidR="008C3C0C" w:rsidRPr="000161A0">
        <w:t>trough concentration (</w:t>
      </w:r>
      <w:proofErr w:type="spellStart"/>
      <w:r w:rsidRPr="000161A0">
        <w:t>C</w:t>
      </w:r>
      <w:r w:rsidRPr="000161A0">
        <w:rPr>
          <w:vertAlign w:val="subscript"/>
        </w:rPr>
        <w:t>trough</w:t>
      </w:r>
      <w:proofErr w:type="spellEnd"/>
      <w:r w:rsidR="008C3C0C" w:rsidRPr="000161A0">
        <w:t>)</w:t>
      </w:r>
      <w:r w:rsidRPr="000161A0">
        <w:t xml:space="preserve"> (day 9) was outside that interval (upper bound at 1.2096) (</w:t>
      </w:r>
      <w:r w:rsidRPr="000161A0">
        <w:fldChar w:fldCharType="begin"/>
      </w:r>
      <w:r w:rsidRPr="000161A0">
        <w:instrText xml:space="preserve"> REF _Ref81226874 \h  \* MERGEFORMAT </w:instrText>
      </w:r>
      <w:r w:rsidRPr="000161A0">
        <w:fldChar w:fldCharType="separate"/>
      </w:r>
      <w:r w:rsidR="001C5336" w:rsidRPr="00110614">
        <w:t xml:space="preserve">Table </w:t>
      </w:r>
      <w:r w:rsidR="001C5336">
        <w:rPr>
          <w:noProof/>
        </w:rPr>
        <w:t>24</w:t>
      </w:r>
      <w:r w:rsidRPr="000161A0">
        <w:fldChar w:fldCharType="end"/>
      </w:r>
      <w:r w:rsidRPr="000161A0">
        <w:t>). At this stage, the sponsor</w:t>
      </w:r>
      <w:r w:rsidR="008C3C0C" w:rsidRPr="000161A0">
        <w:t xml:space="preserve"> </w:t>
      </w:r>
      <w:r w:rsidRPr="000161A0">
        <w:t xml:space="preserve">proposed PI wording is: </w:t>
      </w:r>
      <w:r w:rsidRPr="000161A0">
        <w:rPr>
          <w:i/>
          <w:iCs/>
        </w:rPr>
        <w:t xml:space="preserve">‘Lack of mutual pharmacokinetic interaction was demonstrated between </w:t>
      </w:r>
      <w:proofErr w:type="spellStart"/>
      <w:r w:rsidRPr="000161A0">
        <w:rPr>
          <w:i/>
          <w:iCs/>
        </w:rPr>
        <w:t>finerenone</w:t>
      </w:r>
      <w:proofErr w:type="spellEnd"/>
      <w:r w:rsidRPr="000161A0">
        <w:rPr>
          <w:i/>
          <w:iCs/>
        </w:rPr>
        <w:t xml:space="preserve"> and the CYP2C9 substrate warfarin and between </w:t>
      </w:r>
      <w:proofErr w:type="spellStart"/>
      <w:r w:rsidRPr="000161A0">
        <w:rPr>
          <w:i/>
          <w:iCs/>
        </w:rPr>
        <w:t>finerenone</w:t>
      </w:r>
      <w:proofErr w:type="spellEnd"/>
      <w:r w:rsidRPr="000161A0">
        <w:rPr>
          <w:i/>
          <w:iCs/>
        </w:rPr>
        <w:t xml:space="preserve"> and the P-</w:t>
      </w:r>
      <w:proofErr w:type="spellStart"/>
      <w:r w:rsidRPr="000161A0">
        <w:rPr>
          <w:i/>
          <w:iCs/>
        </w:rPr>
        <w:t>gp</w:t>
      </w:r>
      <w:proofErr w:type="spellEnd"/>
      <w:r w:rsidR="00873467" w:rsidRPr="000161A0">
        <w:rPr>
          <w:i/>
          <w:iCs/>
        </w:rPr>
        <w:t xml:space="preserve"> </w:t>
      </w:r>
      <w:r w:rsidR="00873467" w:rsidRPr="000161A0">
        <w:t>[P-</w:t>
      </w:r>
      <w:r w:rsidR="000161A0" w:rsidRPr="000161A0">
        <w:t>glycoprotein</w:t>
      </w:r>
      <w:r w:rsidR="00873467" w:rsidRPr="000161A0">
        <w:t>]</w:t>
      </w:r>
      <w:r w:rsidRPr="000161A0">
        <w:rPr>
          <w:i/>
          <w:iCs/>
        </w:rPr>
        <w:t xml:space="preserve"> substrate digoxin.’</w:t>
      </w:r>
      <w:r w:rsidRPr="000161A0">
        <w:t xml:space="preserve"> This is based on a 0.80 to 1.25 interval, but for narrow therapeutic index medicines, a narrower interval of 0.9 to 1.11 is typically used.</w:t>
      </w:r>
    </w:p>
    <w:p w14:paraId="23F7D609" w14:textId="6DC35F34" w:rsidR="009253EA" w:rsidRPr="00110614" w:rsidRDefault="009253EA" w:rsidP="00110614">
      <w:pPr>
        <w:pStyle w:val="TableTitle"/>
      </w:pPr>
      <w:bookmarkStart w:id="103" w:name="_Ref81226874"/>
      <w:r w:rsidRPr="00110614">
        <w:t xml:space="preserve">Table </w:t>
      </w:r>
      <w:fldSimple w:instr=" SEQ Table \* ARABIC ">
        <w:r w:rsidR="001C5336">
          <w:rPr>
            <w:noProof/>
          </w:rPr>
          <w:t>24</w:t>
        </w:r>
      </w:fldSimple>
      <w:bookmarkEnd w:id="103"/>
      <w:r w:rsidR="008C3C0C" w:rsidRPr="00110614">
        <w:t>:</w:t>
      </w:r>
      <w:r w:rsidRPr="00110614">
        <w:t xml:space="preserve"> Study 14505 </w:t>
      </w:r>
      <w:r w:rsidR="00110614" w:rsidRPr="00110614">
        <w:t>Area under concentration</w:t>
      </w:r>
      <w:r w:rsidR="00F431AA">
        <w:t>-</w:t>
      </w:r>
      <w:r w:rsidR="00110614" w:rsidRPr="00110614">
        <w:t xml:space="preserve">time curve during any dose interval after multiple dose </w:t>
      </w:r>
      <w:r w:rsidRPr="00110614">
        <w:t xml:space="preserve">and </w:t>
      </w:r>
      <w:r w:rsidR="008C3C0C" w:rsidRPr="00110614">
        <w:t>trough concentration</w:t>
      </w:r>
      <w:r w:rsidRPr="00110614">
        <w:t xml:space="preserve"> of digoxin ratios (comparison of digoxin</w:t>
      </w:r>
      <w:r w:rsidR="008C3C0C" w:rsidRPr="00110614">
        <w:t xml:space="preserve"> and </w:t>
      </w:r>
      <w:proofErr w:type="spellStart"/>
      <w:r w:rsidRPr="00110614">
        <w:t>finerenone</w:t>
      </w:r>
      <w:proofErr w:type="spellEnd"/>
      <w:r w:rsidRPr="00110614">
        <w:t xml:space="preserve"> to digoxin alone) (</w:t>
      </w:r>
      <w:r w:rsidR="00DA7408" w:rsidRPr="00110614">
        <w:t>pharmacokinetics set</w:t>
      </w:r>
      <w:r w:rsidRPr="00110614">
        <w:t>)</w:t>
      </w:r>
    </w:p>
    <w:p w14:paraId="75DACE7D" w14:textId="44D925CB" w:rsidR="009253EA" w:rsidRDefault="009253EA" w:rsidP="00110614">
      <w:r w:rsidRPr="000161A0">
        <w:rPr>
          <w:noProof/>
          <w:lang w:val="en-GB" w:eastAsia="en-GB"/>
        </w:rPr>
        <w:drawing>
          <wp:inline distT="0" distB="0" distL="0" distR="0" wp14:anchorId="6A6CA2CA" wp14:editId="7D3E5C5D">
            <wp:extent cx="5152445" cy="840745"/>
            <wp:effectExtent l="0" t="0" r="0" b="0"/>
            <wp:docPr id="815" name="Grafik 815" descr="Table 24: Study 14505 Area under concentration-time curve during any dose interval after multiple dose and trough concentration of digoxin ratios (comparison of digoxin and finerenone to digoxin alone) (pharmacokinetic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Grafik 815" descr="Table 24: Study 14505 Area under concentration-time curve during any dose interval after multiple dose and trough concentration of digoxin ratios (comparison of digoxin and finerenone to digoxin alone) (pharmacokinetics set)"/>
                    <pic:cNvPicPr/>
                  </pic:nvPicPr>
                  <pic:blipFill>
                    <a:blip r:embed="rId40"/>
                    <a:stretch>
                      <a:fillRect/>
                    </a:stretch>
                  </pic:blipFill>
                  <pic:spPr>
                    <a:xfrm>
                      <a:off x="0" y="0"/>
                      <a:ext cx="5300046" cy="864830"/>
                    </a:xfrm>
                    <a:prstGeom prst="rect">
                      <a:avLst/>
                    </a:prstGeom>
                  </pic:spPr>
                </pic:pic>
              </a:graphicData>
            </a:graphic>
          </wp:inline>
        </w:drawing>
      </w:r>
    </w:p>
    <w:p w14:paraId="6497AFD1" w14:textId="1B357BAC" w:rsidR="00DA7408" w:rsidRPr="0081427B" w:rsidRDefault="00DA7408" w:rsidP="0081427B">
      <w:pPr>
        <w:pStyle w:val="TableDescription"/>
      </w:pPr>
      <w:bookmarkStart w:id="104" w:name="_Hlk101361981"/>
      <w:proofErr w:type="spellStart"/>
      <w:proofErr w:type="gramStart"/>
      <w:r w:rsidRPr="0081427B">
        <w:t>AUC</w:t>
      </w:r>
      <w:r w:rsidR="0081427B" w:rsidRPr="0081427B">
        <w:rPr>
          <w:vertAlign w:val="subscript"/>
        </w:rPr>
        <w:t>T</w:t>
      </w:r>
      <w:r w:rsidRPr="0081427B">
        <w:rPr>
          <w:vertAlign w:val="subscript"/>
        </w:rPr>
        <w:t>,md</w:t>
      </w:r>
      <w:proofErr w:type="spellEnd"/>
      <w:proofErr w:type="gramEnd"/>
      <w:r w:rsidRPr="0081427B">
        <w:t xml:space="preserve"> = AUC during any dose interval after multiple dose</w:t>
      </w:r>
      <w:bookmarkEnd w:id="104"/>
      <w:r w:rsidR="0081427B" w:rsidRPr="0081427B">
        <w:t>;</w:t>
      </w:r>
      <w:r w:rsidRPr="0081427B">
        <w:t xml:space="preserve"> </w:t>
      </w:r>
      <w:proofErr w:type="spellStart"/>
      <w:r w:rsidRPr="0081427B">
        <w:t>C</w:t>
      </w:r>
      <w:r w:rsidRPr="0081427B">
        <w:rPr>
          <w:vertAlign w:val="subscript"/>
        </w:rPr>
        <w:t>trough</w:t>
      </w:r>
      <w:proofErr w:type="spellEnd"/>
      <w:r w:rsidRPr="0081427B">
        <w:t xml:space="preserve"> = drug concentration in measured matrix at steady state at the end of a dose</w:t>
      </w:r>
      <w:r w:rsidR="0081427B" w:rsidRPr="0081427B">
        <w:t xml:space="preserve">; </w:t>
      </w:r>
      <w:r w:rsidRPr="0081427B">
        <w:t>CV</w:t>
      </w:r>
      <w:r w:rsidR="0081427B" w:rsidRPr="0081427B">
        <w:t xml:space="preserve"> = coefficient of variation; </w:t>
      </w:r>
      <w:proofErr w:type="spellStart"/>
      <w:r w:rsidRPr="0081427B">
        <w:t>Geom</w:t>
      </w:r>
      <w:proofErr w:type="spellEnd"/>
      <w:r w:rsidR="0081427B" w:rsidRPr="0081427B">
        <w:t xml:space="preserve"> = geometric.</w:t>
      </w:r>
    </w:p>
    <w:p w14:paraId="66308C97" w14:textId="77777777" w:rsidR="009253EA" w:rsidRPr="000161A0" w:rsidRDefault="009253EA" w:rsidP="009253EA">
      <w:pPr>
        <w:pStyle w:val="Heading5"/>
      </w:pPr>
      <w:r w:rsidRPr="000161A0">
        <w:t>Deficiencies of data</w:t>
      </w:r>
    </w:p>
    <w:p w14:paraId="6F8E6E5F" w14:textId="77777777" w:rsidR="009253EA" w:rsidRPr="000161A0" w:rsidRDefault="009253EA" w:rsidP="009253EA">
      <w:pPr>
        <w:spacing w:line="240" w:lineRule="auto"/>
        <w:rPr>
          <w:lang w:eastAsia="ja-JP"/>
        </w:rPr>
      </w:pPr>
      <w:r w:rsidRPr="000161A0">
        <w:rPr>
          <w:lang w:eastAsia="ja-JP"/>
        </w:rPr>
        <w:t>Deficiencies or lack of data include:</w:t>
      </w:r>
    </w:p>
    <w:p w14:paraId="462D1378" w14:textId="61D5B14D" w:rsidR="009253EA" w:rsidRPr="000161A0" w:rsidRDefault="00B14A1E" w:rsidP="009253EA">
      <w:pPr>
        <w:pStyle w:val="ListBullet"/>
        <w:rPr>
          <w:b/>
        </w:rPr>
      </w:pPr>
      <w:r w:rsidRPr="000161A0">
        <w:t>l</w:t>
      </w:r>
      <w:r w:rsidR="009253EA" w:rsidRPr="000161A0">
        <w:t>imited data for co-administration with SGLT-2 inhibitors or GLP-1 receptor-agonists.</w:t>
      </w:r>
    </w:p>
    <w:p w14:paraId="4A50BE3B" w14:textId="0CB08D96" w:rsidR="009253EA" w:rsidRPr="000161A0" w:rsidRDefault="00B14A1E" w:rsidP="009253EA">
      <w:pPr>
        <w:pStyle w:val="ListBullet"/>
      </w:pPr>
      <w:r w:rsidRPr="000161A0">
        <w:t xml:space="preserve">exposure response </w:t>
      </w:r>
      <w:r w:rsidR="009253EA" w:rsidRPr="000161A0">
        <w:t xml:space="preserve">relationship for renal endpoint: The </w:t>
      </w:r>
      <w:r w:rsidRPr="000161A0">
        <w:t xml:space="preserve">exposure response </w:t>
      </w:r>
      <w:r w:rsidR="009253EA" w:rsidRPr="000161A0">
        <w:t xml:space="preserve">analysis of the renal composite endpoint revealed implausible effects of age and </w:t>
      </w:r>
      <w:r w:rsidR="008C3C0C" w:rsidRPr="000161A0">
        <w:t>body mass index</w:t>
      </w:r>
      <w:r w:rsidR="009253EA" w:rsidRPr="000161A0">
        <w:t>, for which no explanation was found.</w:t>
      </w:r>
    </w:p>
    <w:p w14:paraId="169EBCE5" w14:textId="2E218051" w:rsidR="009253EA" w:rsidRPr="000161A0" w:rsidRDefault="00B14A1E" w:rsidP="009253EA">
      <w:pPr>
        <w:pStyle w:val="ListBullet"/>
      </w:pPr>
      <w:r w:rsidRPr="000161A0">
        <w:lastRenderedPageBreak/>
        <w:t>exposure response</w:t>
      </w:r>
      <w:r w:rsidR="009253EA" w:rsidRPr="000161A0">
        <w:t xml:space="preserve"> relationship for </w:t>
      </w:r>
      <w:r w:rsidR="009C3C5E" w:rsidRPr="000161A0">
        <w:t>cardiovascular</w:t>
      </w:r>
      <w:r w:rsidR="009253EA" w:rsidRPr="000161A0">
        <w:t xml:space="preserve"> endpoint: An </w:t>
      </w:r>
      <w:r w:rsidRPr="000161A0">
        <w:t xml:space="preserve">exposure response </w:t>
      </w:r>
      <w:r w:rsidR="009253EA" w:rsidRPr="000161A0">
        <w:t xml:space="preserve">relationship for the </w:t>
      </w:r>
      <w:r w:rsidR="009C3C5E" w:rsidRPr="000161A0">
        <w:t>cardiovascular</w:t>
      </w:r>
      <w:r w:rsidR="009253EA" w:rsidRPr="000161A0">
        <w:t xml:space="preserve"> composite endpoint has not been </w:t>
      </w:r>
      <w:proofErr w:type="gramStart"/>
      <w:r w:rsidR="009253EA" w:rsidRPr="000161A0">
        <w:t>definitely established</w:t>
      </w:r>
      <w:proofErr w:type="gramEnd"/>
      <w:r w:rsidR="009253EA" w:rsidRPr="000161A0">
        <w:t>.</w:t>
      </w:r>
    </w:p>
    <w:p w14:paraId="62C16066" w14:textId="77777777" w:rsidR="009253EA" w:rsidRPr="000161A0" w:rsidRDefault="009253EA" w:rsidP="009253EA">
      <w:pPr>
        <w:pStyle w:val="ListBullet"/>
      </w:pPr>
      <w:r w:rsidRPr="000161A0">
        <w:t>Patients with hepatic impairment: No data in subjects with severe hepatic impairment are available.</w:t>
      </w:r>
    </w:p>
    <w:p w14:paraId="2F9C26A3" w14:textId="77777777" w:rsidR="009253EA" w:rsidRPr="000161A0" w:rsidRDefault="009253EA" w:rsidP="009253EA">
      <w:pPr>
        <w:pStyle w:val="ListBullet"/>
      </w:pPr>
      <w:r w:rsidRPr="000161A0">
        <w:t xml:space="preserve">Potential BCRP, OATP1B1 and OATP1B3 inhibition: The signal of a potential inhibition of BCRP, OATP1B1 and OATP1B3 by </w:t>
      </w:r>
      <w:proofErr w:type="spellStart"/>
      <w:r w:rsidRPr="000161A0">
        <w:t>finerenone</w:t>
      </w:r>
      <w:proofErr w:type="spellEnd"/>
      <w:r w:rsidRPr="000161A0">
        <w:t xml:space="preserve"> and/or its metabolites was not further investigated.</w:t>
      </w:r>
    </w:p>
    <w:p w14:paraId="1482FF2E" w14:textId="77777777" w:rsidR="009253EA" w:rsidRPr="000161A0" w:rsidRDefault="009253EA" w:rsidP="009253EA">
      <w:pPr>
        <w:pStyle w:val="ListBullet"/>
      </w:pPr>
      <w:r w:rsidRPr="000161A0">
        <w:t>Pregnancy and lactation: No clinical data available.</w:t>
      </w:r>
    </w:p>
    <w:p w14:paraId="6A6C89D0" w14:textId="525B74D2" w:rsidR="009253EA" w:rsidRPr="000161A0" w:rsidRDefault="009253EA" w:rsidP="009253EA">
      <w:pPr>
        <w:pStyle w:val="ListBullet"/>
      </w:pPr>
      <w:r w:rsidRPr="000161A0">
        <w:t xml:space="preserve">Indigenous Australians: No clinical data available despite considerable prevalence of </w:t>
      </w:r>
      <w:r w:rsidR="00F431AA">
        <w:t>diabetic kidney disease</w:t>
      </w:r>
      <w:r w:rsidRPr="000161A0">
        <w:t>.</w:t>
      </w:r>
    </w:p>
    <w:p w14:paraId="05D6AAA8" w14:textId="77777777" w:rsidR="00D23139" w:rsidRPr="000161A0" w:rsidRDefault="00D23139" w:rsidP="00D23139">
      <w:pPr>
        <w:pStyle w:val="Heading4"/>
      </w:pPr>
      <w:r w:rsidRPr="000161A0">
        <w:t>Proposed action</w:t>
      </w:r>
    </w:p>
    <w:p w14:paraId="2413245E" w14:textId="69F8C3E5" w:rsidR="009253EA" w:rsidRPr="000161A0" w:rsidRDefault="009253EA" w:rsidP="009253EA">
      <w:r w:rsidRPr="000161A0">
        <w:t xml:space="preserve">A positive benefit-risk balance will be present for </w:t>
      </w:r>
      <w:proofErr w:type="spellStart"/>
      <w:r w:rsidR="008C3C0C" w:rsidRPr="000161A0">
        <w:t>Kerendia</w:t>
      </w:r>
      <w:proofErr w:type="spellEnd"/>
      <w:r w:rsidR="008C3C0C" w:rsidRPr="000161A0">
        <w:t xml:space="preserve"> </w:t>
      </w:r>
      <w:r w:rsidRPr="000161A0">
        <w:t>(</w:t>
      </w:r>
      <w:proofErr w:type="spellStart"/>
      <w:r w:rsidRPr="000161A0">
        <w:t>finerenone</w:t>
      </w:r>
      <w:proofErr w:type="spellEnd"/>
      <w:proofErr w:type="gramStart"/>
      <w:r w:rsidRPr="000161A0">
        <w:t>), if</w:t>
      </w:r>
      <w:proofErr w:type="gramEnd"/>
      <w:r w:rsidRPr="000161A0">
        <w:t xml:space="preserve"> the outstanding issues are resolved favourably. At this stage, this would include:</w:t>
      </w:r>
    </w:p>
    <w:p w14:paraId="0D66F9CD" w14:textId="57ED6790" w:rsidR="009253EA" w:rsidRPr="000161A0" w:rsidRDefault="009253EA" w:rsidP="009253EA">
      <w:pPr>
        <w:pStyle w:val="ListBullet"/>
      </w:pPr>
      <w:r w:rsidRPr="000161A0">
        <w:t xml:space="preserve">Recommendations from the </w:t>
      </w:r>
      <w:r w:rsidR="008C3C0C" w:rsidRPr="000161A0">
        <w:t>Advisory Committee on Medicines (ACM)</w:t>
      </w:r>
    </w:p>
    <w:p w14:paraId="4289E42C" w14:textId="49AAE30B" w:rsidR="009253EA" w:rsidRPr="000161A0" w:rsidRDefault="009253EA" w:rsidP="009253EA">
      <w:pPr>
        <w:pStyle w:val="ListBullet"/>
      </w:pPr>
      <w:r w:rsidRPr="000161A0">
        <w:t>Indication should be amended to reflect the trial population.</w:t>
      </w:r>
    </w:p>
    <w:p w14:paraId="3F033663" w14:textId="34743B2E" w:rsidR="009253EA" w:rsidRPr="000161A0" w:rsidRDefault="009253EA" w:rsidP="009253EA">
      <w:pPr>
        <w:pStyle w:val="ListBullet"/>
      </w:pPr>
      <w:r w:rsidRPr="000161A0">
        <w:t xml:space="preserve">Appropriate changes </w:t>
      </w:r>
      <w:r w:rsidR="008C3C0C" w:rsidRPr="000161A0">
        <w:t xml:space="preserve">of the PI </w:t>
      </w:r>
      <w:r w:rsidRPr="000161A0">
        <w:t xml:space="preserve">should be made, including acceptable wording </w:t>
      </w:r>
      <w:proofErr w:type="gramStart"/>
      <w:r w:rsidRPr="000161A0">
        <w:t>in regard to</w:t>
      </w:r>
      <w:proofErr w:type="gramEnd"/>
      <w:r w:rsidRPr="000161A0">
        <w:t>:</w:t>
      </w:r>
    </w:p>
    <w:p w14:paraId="794A5BF6" w14:textId="643661AD" w:rsidR="009253EA" w:rsidRPr="000161A0" w:rsidRDefault="008C3C0C" w:rsidP="009253EA">
      <w:pPr>
        <w:pStyle w:val="ListBullet2"/>
      </w:pPr>
      <w:r w:rsidRPr="000161A0">
        <w:t>c</w:t>
      </w:r>
      <w:r w:rsidR="009253EA" w:rsidRPr="000161A0">
        <w:t>o-administration with SGLT-2 inhibitors or GLP-1 receptor-</w:t>
      </w:r>
      <w:proofErr w:type="gramStart"/>
      <w:r w:rsidR="009253EA" w:rsidRPr="000161A0">
        <w:t>agonists;</w:t>
      </w:r>
      <w:proofErr w:type="gramEnd"/>
    </w:p>
    <w:p w14:paraId="34B6F111" w14:textId="6FD3075F" w:rsidR="009253EA" w:rsidRPr="000161A0" w:rsidRDefault="008C3C0C" w:rsidP="009253EA">
      <w:pPr>
        <w:pStyle w:val="ListBullet2"/>
      </w:pPr>
      <w:r w:rsidRPr="000161A0">
        <w:t>d</w:t>
      </w:r>
      <w:r w:rsidR="009253EA" w:rsidRPr="000161A0">
        <w:t>ose adjustments in the context of strong and moderate CYP3A4 inducers; and</w:t>
      </w:r>
    </w:p>
    <w:p w14:paraId="694AE706" w14:textId="4D41524C" w:rsidR="009253EA" w:rsidRPr="000161A0" w:rsidRDefault="008C3C0C" w:rsidP="009253EA">
      <w:pPr>
        <w:pStyle w:val="ListBullet2"/>
      </w:pPr>
      <w:r w:rsidRPr="000161A0">
        <w:t>d</w:t>
      </w:r>
      <w:r w:rsidR="009253EA" w:rsidRPr="000161A0">
        <w:t>igoxin interactions.</w:t>
      </w:r>
    </w:p>
    <w:p w14:paraId="798DC6D0" w14:textId="2074E722" w:rsidR="009253EA" w:rsidRPr="000161A0" w:rsidRDefault="008C3C0C" w:rsidP="009253EA">
      <w:pPr>
        <w:pStyle w:val="ListBullet"/>
      </w:pPr>
      <w:r w:rsidRPr="000161A0">
        <w:t xml:space="preserve">Regarding the </w:t>
      </w:r>
      <w:r w:rsidR="009253EA" w:rsidRPr="000161A0">
        <w:t>RMP document</w:t>
      </w:r>
    </w:p>
    <w:p w14:paraId="4F112082" w14:textId="77777777" w:rsidR="009253EA" w:rsidRPr="000161A0" w:rsidRDefault="009253EA" w:rsidP="009253EA">
      <w:pPr>
        <w:pStyle w:val="ListBullet2"/>
      </w:pPr>
      <w:r w:rsidRPr="000161A0">
        <w:t>The following should be considered as additional safety concerns: hypotension; hyponatraemia; acute worsening of renal function; drug interactions with CYP3A4 inhibitors; drug interactions with digoxin.</w:t>
      </w:r>
    </w:p>
    <w:p w14:paraId="7E6C840F" w14:textId="44C47E78" w:rsidR="009253EA" w:rsidRPr="000161A0" w:rsidRDefault="009253EA" w:rsidP="009253EA">
      <w:pPr>
        <w:pStyle w:val="ListBullet2"/>
      </w:pPr>
      <w:r w:rsidRPr="000161A0">
        <w:t xml:space="preserve">The following should be considered as additional </w:t>
      </w:r>
      <w:r w:rsidR="008C3C0C" w:rsidRPr="000161A0">
        <w:t xml:space="preserve">missing information </w:t>
      </w:r>
      <w:r w:rsidRPr="000161A0">
        <w:t xml:space="preserve">items: </w:t>
      </w:r>
      <w:r w:rsidR="008C3C0C" w:rsidRPr="000161A0">
        <w:t>c</w:t>
      </w:r>
      <w:r w:rsidRPr="000161A0">
        <w:t>o</w:t>
      </w:r>
      <w:r w:rsidR="008C3C0C" w:rsidRPr="000161A0">
        <w:noBreakHyphen/>
      </w:r>
      <w:r w:rsidRPr="000161A0">
        <w:t>administration with SGLT-2 inhibitors or GLP-1 receptor-agonists; Use in pregnancy and lactation; Use in severe hepatic impairment; Use in Indigenous Australians (in the A</w:t>
      </w:r>
      <w:r w:rsidR="008C3C0C" w:rsidRPr="000161A0">
        <w:t>SA</w:t>
      </w:r>
      <w:r w:rsidR="00A753D1" w:rsidRPr="000161A0">
        <w:t>;</w:t>
      </w:r>
      <w:r w:rsidR="00A753D1" w:rsidRPr="000161A0">
        <w:rPr>
          <w:rStyle w:val="FootnoteReference"/>
        </w:rPr>
        <w:footnoteReference w:id="11"/>
      </w:r>
      <w:r w:rsidRPr="000161A0">
        <w:t>).</w:t>
      </w:r>
    </w:p>
    <w:p w14:paraId="1273A9FF" w14:textId="77777777" w:rsidR="008E7846" w:rsidRPr="000161A0" w:rsidRDefault="008E7846" w:rsidP="007D53B6">
      <w:pPr>
        <w:pStyle w:val="Heading4"/>
      </w:pPr>
      <w:r w:rsidRPr="000161A0">
        <w:lastRenderedPageBreak/>
        <w:t xml:space="preserve">Advisory Committee </w:t>
      </w:r>
      <w:r w:rsidR="007D53B6" w:rsidRPr="000161A0">
        <w:t>c</w:t>
      </w:r>
      <w:r w:rsidRPr="000161A0">
        <w:t>onsiderations</w:t>
      </w:r>
      <w:r w:rsidR="00456765" w:rsidRPr="000161A0">
        <w:rPr>
          <w:rStyle w:val="FootnoteReference"/>
        </w:rPr>
        <w:footnoteReference w:id="12"/>
      </w:r>
    </w:p>
    <w:p w14:paraId="7A4D5002" w14:textId="77777777" w:rsidR="00744121" w:rsidRPr="000161A0" w:rsidRDefault="00744121" w:rsidP="00744121">
      <w:pPr>
        <w:rPr>
          <w:bCs/>
        </w:rPr>
      </w:pPr>
      <w:bookmarkStart w:id="105" w:name="_Toc247691532"/>
      <w:bookmarkStart w:id="106" w:name="_Toc314842516"/>
      <w:bookmarkEnd w:id="39"/>
      <w:bookmarkEnd w:id="97"/>
      <w:bookmarkEnd w:id="98"/>
      <w:r w:rsidRPr="000161A0">
        <w:rPr>
          <w:bCs/>
        </w:rPr>
        <w:t>The Advisory Committee on Medicines (ACM), having considered the evaluations and the Delegate’s overview, as well as the sponsor’s response to these documents, advised the following.</w:t>
      </w:r>
    </w:p>
    <w:p w14:paraId="03035BA9" w14:textId="77777777" w:rsidR="00744121" w:rsidRPr="000161A0" w:rsidRDefault="00744121" w:rsidP="00744121">
      <w:pPr>
        <w:pStyle w:val="Heading5"/>
      </w:pPr>
      <w:r w:rsidRPr="000161A0">
        <w:t>Specific advice to the Delegate</w:t>
      </w:r>
    </w:p>
    <w:p w14:paraId="21046A14" w14:textId="77777777" w:rsidR="002C253F" w:rsidRPr="000161A0" w:rsidRDefault="002C253F" w:rsidP="002C253F">
      <w:pPr>
        <w:pStyle w:val="Numberbullet0"/>
        <w:rPr>
          <w:b/>
          <w:bCs/>
          <w:i/>
          <w:iCs/>
        </w:rPr>
      </w:pPr>
      <w:r w:rsidRPr="000161A0">
        <w:rPr>
          <w:b/>
          <w:bCs/>
          <w:i/>
          <w:iCs/>
        </w:rPr>
        <w:t>Restriction of indication</w:t>
      </w:r>
    </w:p>
    <w:p w14:paraId="41663B56" w14:textId="77777777" w:rsidR="002C253F" w:rsidRPr="000161A0" w:rsidRDefault="002C253F" w:rsidP="002C253F">
      <w:pPr>
        <w:pStyle w:val="Numberbullet0"/>
        <w:numPr>
          <w:ilvl w:val="0"/>
          <w:numId w:val="0"/>
        </w:numPr>
        <w:ind w:left="425"/>
        <w:rPr>
          <w:b/>
          <w:bCs/>
          <w:i/>
          <w:iCs/>
        </w:rPr>
      </w:pPr>
      <w:r w:rsidRPr="000161A0">
        <w:rPr>
          <w:b/>
          <w:bCs/>
          <w:i/>
          <w:iCs/>
        </w:rPr>
        <w:t xml:space="preserve">Can the ACM comment on the proposed indication, </w:t>
      </w:r>
      <w:proofErr w:type="gramStart"/>
      <w:r w:rsidRPr="000161A0">
        <w:rPr>
          <w:b/>
          <w:bCs/>
          <w:i/>
          <w:iCs/>
        </w:rPr>
        <w:t>in particular in</w:t>
      </w:r>
      <w:proofErr w:type="gramEnd"/>
      <w:r w:rsidRPr="000161A0">
        <w:rPr>
          <w:b/>
          <w:bCs/>
          <w:i/>
          <w:iCs/>
        </w:rPr>
        <w:t xml:space="preserve"> the context of specifying disease characteristics and co-medications used in the pivotal trial?</w:t>
      </w:r>
    </w:p>
    <w:p w14:paraId="09FF2351" w14:textId="199D7741" w:rsidR="002C253F" w:rsidRPr="000161A0" w:rsidRDefault="002C253F" w:rsidP="002C253F">
      <w:r w:rsidRPr="000161A0">
        <w:t xml:space="preserve">The ACM were of the view that the indication should reflect the trial inclusion characteristics, major co-medications, and standard of care used in the FIDELIO-DKD </w:t>
      </w:r>
      <w:r w:rsidR="00F431AA">
        <w:t>trial [Study 16244]</w:t>
      </w:r>
      <w:r w:rsidRPr="000161A0">
        <w:t xml:space="preserve"> and proposed the following indication:</w:t>
      </w:r>
    </w:p>
    <w:p w14:paraId="1BFAA26F" w14:textId="5CE8680D" w:rsidR="002C253F" w:rsidRPr="000161A0" w:rsidRDefault="002C253F" w:rsidP="002C253F">
      <w:pPr>
        <w:ind w:left="720"/>
        <w:rPr>
          <w:i/>
          <w:iCs/>
        </w:rPr>
      </w:pPr>
      <w:proofErr w:type="spellStart"/>
      <w:r w:rsidRPr="000161A0">
        <w:rPr>
          <w:i/>
          <w:iCs/>
        </w:rPr>
        <w:t>Kerendia</w:t>
      </w:r>
      <w:proofErr w:type="spellEnd"/>
      <w:r w:rsidRPr="000161A0">
        <w:rPr>
          <w:i/>
          <w:iCs/>
        </w:rPr>
        <w:t xml:space="preserve"> is indicated to delay progressive decline of kidney function in adults with chronic kidney disease associated with </w:t>
      </w:r>
      <w:r w:rsidR="008C3C0C" w:rsidRPr="000161A0">
        <w:rPr>
          <w:i/>
          <w:iCs/>
        </w:rPr>
        <w:t>t</w:t>
      </w:r>
      <w:r w:rsidRPr="000161A0">
        <w:rPr>
          <w:i/>
          <w:iCs/>
        </w:rPr>
        <w:t>ype 2 diabetes (CKD stage 3 or 4 with albuminuria), in addition to standard of care, where treatment already includes either an angiotensin-converting enzyme inhibitor (</w:t>
      </w:r>
      <w:proofErr w:type="spellStart"/>
      <w:r w:rsidRPr="000161A0">
        <w:rPr>
          <w:i/>
          <w:iCs/>
        </w:rPr>
        <w:t>ACEi</w:t>
      </w:r>
      <w:proofErr w:type="spellEnd"/>
      <w:r w:rsidRPr="000161A0">
        <w:rPr>
          <w:i/>
          <w:iCs/>
        </w:rPr>
        <w:t>) or angiotensin receptor blocker (ARB).</w:t>
      </w:r>
    </w:p>
    <w:p w14:paraId="79364527" w14:textId="706BDE24" w:rsidR="002C253F" w:rsidRPr="000161A0" w:rsidRDefault="002C253F" w:rsidP="002C253F">
      <w:r w:rsidRPr="000161A0">
        <w:t xml:space="preserve">The ACM noted that approximately 86% of FIDELIO-DKD </w:t>
      </w:r>
      <w:r w:rsidR="00F431AA">
        <w:t>trial</w:t>
      </w:r>
      <w:r w:rsidR="00F431AA" w:rsidRPr="000161A0">
        <w:t xml:space="preserve"> </w:t>
      </w:r>
      <w:r w:rsidRPr="000161A0">
        <w:t>participants had an estimated glomerular filtration rate (eGFR) between 25 and 59 mL/min/1.73 m</w:t>
      </w:r>
      <w:r w:rsidR="008C3C0C" w:rsidRPr="000161A0">
        <w:rPr>
          <w:vertAlign w:val="superscript"/>
        </w:rPr>
        <w:t>2</w:t>
      </w:r>
      <w:r w:rsidRPr="000161A0">
        <w:t xml:space="preserve"> (CKD </w:t>
      </w:r>
      <w:r w:rsidR="008C3C0C" w:rsidRPr="000161A0">
        <w:t>stage</w:t>
      </w:r>
      <w:r w:rsidRPr="000161A0">
        <w:t xml:space="preserve"> 3 or 4), with only a small proportion of participants (11%) classified as CKD </w:t>
      </w:r>
      <w:r w:rsidR="008C3C0C" w:rsidRPr="000161A0">
        <w:t>stage</w:t>
      </w:r>
      <w:r w:rsidRPr="000161A0">
        <w:t xml:space="preserve"> 2. On balance, the ACM were of the view that based on the disease characteristics of FIDELIO-DKD </w:t>
      </w:r>
      <w:r w:rsidR="00F431AA">
        <w:t>trial</w:t>
      </w:r>
      <w:r w:rsidR="00F431AA" w:rsidRPr="000161A0">
        <w:t xml:space="preserve"> </w:t>
      </w:r>
      <w:r w:rsidRPr="000161A0">
        <w:t>participants the inclusion of CKD 3 or 4 was most appropriate.</w:t>
      </w:r>
    </w:p>
    <w:p w14:paraId="3207D84A" w14:textId="77777777" w:rsidR="002C253F" w:rsidRPr="000161A0" w:rsidRDefault="002C253F" w:rsidP="002C253F">
      <w:r w:rsidRPr="000161A0">
        <w:t>The ACM were of the view that the inclusion of ‘in addition to standard of care’ would be appropriate to ensure that current care for this complex disease is not unduly altered.</w:t>
      </w:r>
    </w:p>
    <w:p w14:paraId="720150BE" w14:textId="77777777" w:rsidR="002C253F" w:rsidRPr="000161A0" w:rsidRDefault="002C253F" w:rsidP="002C253F">
      <w:r w:rsidRPr="000161A0">
        <w:t>The ACM agreed that it was important for ‘</w:t>
      </w:r>
      <w:proofErr w:type="spellStart"/>
      <w:r w:rsidRPr="000161A0">
        <w:rPr>
          <w:i/>
          <w:iCs/>
        </w:rPr>
        <w:t>ACEi</w:t>
      </w:r>
      <w:proofErr w:type="spellEnd"/>
      <w:r w:rsidRPr="000161A0">
        <w:rPr>
          <w:i/>
          <w:iCs/>
        </w:rPr>
        <w:t xml:space="preserve"> or ARB</w:t>
      </w:r>
      <w:r w:rsidRPr="000161A0">
        <w:t xml:space="preserve">’ to be included within the indication as the study design required patients to be on </w:t>
      </w:r>
      <w:proofErr w:type="spellStart"/>
      <w:r w:rsidRPr="000161A0">
        <w:t>finerenone</w:t>
      </w:r>
      <w:proofErr w:type="spellEnd"/>
      <w:r w:rsidRPr="000161A0">
        <w:t xml:space="preserve"> with an </w:t>
      </w:r>
      <w:proofErr w:type="spellStart"/>
      <w:r w:rsidRPr="000161A0">
        <w:t>ACEi</w:t>
      </w:r>
      <w:proofErr w:type="spellEnd"/>
      <w:r w:rsidRPr="000161A0">
        <w:t xml:space="preserve"> or an ARB, and efficacy without an </w:t>
      </w:r>
      <w:proofErr w:type="spellStart"/>
      <w:r w:rsidRPr="000161A0">
        <w:t>ACEi</w:t>
      </w:r>
      <w:proofErr w:type="spellEnd"/>
      <w:r w:rsidRPr="000161A0">
        <w:t xml:space="preserve"> or an ARB was not established in the study.</w:t>
      </w:r>
    </w:p>
    <w:p w14:paraId="37837C44" w14:textId="75360549" w:rsidR="002C253F" w:rsidRPr="000161A0" w:rsidRDefault="002C253F" w:rsidP="002C253F">
      <w:r w:rsidRPr="000161A0">
        <w:t xml:space="preserve">The ACM advised that co-medications are widely used within this population and no major restrictions on use will likely result from defining parameters as per the FIDELIO-DKD </w:t>
      </w:r>
      <w:r w:rsidR="00F431AA">
        <w:t>trial</w:t>
      </w:r>
      <w:r w:rsidRPr="000161A0">
        <w:t>.</w:t>
      </w:r>
    </w:p>
    <w:p w14:paraId="4A42FE44" w14:textId="77777777" w:rsidR="002C253F" w:rsidRPr="000161A0" w:rsidRDefault="002C253F" w:rsidP="002C253F">
      <w:pPr>
        <w:pStyle w:val="Numberbullet0"/>
        <w:numPr>
          <w:ilvl w:val="0"/>
          <w:numId w:val="25"/>
        </w:numPr>
        <w:rPr>
          <w:b/>
          <w:bCs/>
          <w:i/>
          <w:iCs/>
        </w:rPr>
      </w:pPr>
      <w:r w:rsidRPr="000161A0">
        <w:rPr>
          <w:b/>
          <w:bCs/>
          <w:i/>
          <w:iCs/>
          <w:lang w:eastAsia="ja-JP"/>
        </w:rPr>
        <w:t>Co-administration with SGLT-2 inhibitors or GLP-1 receptor-agonists</w:t>
      </w:r>
    </w:p>
    <w:p w14:paraId="07214E13" w14:textId="4913F3D5" w:rsidR="002C253F" w:rsidRPr="000161A0" w:rsidRDefault="002C253F" w:rsidP="002C253F">
      <w:pPr>
        <w:pStyle w:val="Numberbullet0"/>
        <w:numPr>
          <w:ilvl w:val="0"/>
          <w:numId w:val="0"/>
        </w:numPr>
        <w:ind w:left="425"/>
        <w:rPr>
          <w:b/>
          <w:bCs/>
          <w:i/>
          <w:iCs/>
        </w:rPr>
      </w:pPr>
      <w:r w:rsidRPr="000161A0">
        <w:rPr>
          <w:b/>
          <w:bCs/>
          <w:i/>
          <w:iCs/>
        </w:rPr>
        <w:t xml:space="preserve">Can the ACM comment on restricting co-administration of </w:t>
      </w:r>
      <w:bookmarkStart w:id="107" w:name="_Hlk84348675"/>
      <w:bookmarkStart w:id="108" w:name="_Hlk84349091"/>
      <w:proofErr w:type="spellStart"/>
      <w:r w:rsidRPr="000161A0">
        <w:rPr>
          <w:b/>
          <w:bCs/>
          <w:i/>
          <w:iCs/>
        </w:rPr>
        <w:t>finerenone</w:t>
      </w:r>
      <w:proofErr w:type="spellEnd"/>
      <w:r w:rsidRPr="000161A0">
        <w:rPr>
          <w:b/>
          <w:bCs/>
          <w:i/>
          <w:iCs/>
        </w:rPr>
        <w:t xml:space="preserve"> with SGLT</w:t>
      </w:r>
      <w:r w:rsidR="008C3C0C" w:rsidRPr="000161A0">
        <w:rPr>
          <w:b/>
          <w:bCs/>
          <w:i/>
          <w:iCs/>
        </w:rPr>
        <w:noBreakHyphen/>
      </w:r>
      <w:r w:rsidRPr="000161A0">
        <w:rPr>
          <w:b/>
          <w:bCs/>
          <w:i/>
          <w:iCs/>
        </w:rPr>
        <w:t>2 inhibitors or GLP-1 receptor-agonists</w:t>
      </w:r>
      <w:bookmarkEnd w:id="107"/>
      <w:r w:rsidRPr="000161A0">
        <w:rPr>
          <w:b/>
          <w:bCs/>
          <w:i/>
          <w:iCs/>
        </w:rPr>
        <w:t xml:space="preserve"> </w:t>
      </w:r>
      <w:bookmarkEnd w:id="108"/>
      <w:r w:rsidRPr="000161A0">
        <w:rPr>
          <w:b/>
          <w:bCs/>
          <w:i/>
          <w:iCs/>
        </w:rPr>
        <w:t>at this stage?</w:t>
      </w:r>
    </w:p>
    <w:p w14:paraId="23BCDA70" w14:textId="2476DB05" w:rsidR="002C253F" w:rsidRPr="000161A0" w:rsidRDefault="002C253F" w:rsidP="002C253F">
      <w:r w:rsidRPr="000161A0">
        <w:t xml:space="preserve">The ACM noted the small numbers for co-administration of </w:t>
      </w:r>
      <w:proofErr w:type="spellStart"/>
      <w:r w:rsidRPr="000161A0">
        <w:t>finerenone</w:t>
      </w:r>
      <w:proofErr w:type="spellEnd"/>
      <w:r w:rsidRPr="000161A0">
        <w:t xml:space="preserve"> with SGLT-2 inhibitors (FIDELIO-DKD </w:t>
      </w:r>
      <w:r w:rsidR="00F431AA">
        <w:t xml:space="preserve">trial [Study 16244] </w:t>
      </w:r>
      <w:r w:rsidRPr="000161A0">
        <w:t>4.5%</w:t>
      </w:r>
      <w:r w:rsidR="00F431AA">
        <w:t>;</w:t>
      </w:r>
      <w:r w:rsidRPr="000161A0">
        <w:t xml:space="preserve"> and FIGARO-DKD </w:t>
      </w:r>
      <w:r w:rsidR="00F431AA">
        <w:t xml:space="preserve">trial [Study 17530] </w:t>
      </w:r>
      <w:r w:rsidRPr="000161A0">
        <w:t>8.5%) or GLP-1 receptor-agonists (FIDELIO-DKD 7% and FIGARO-DKD 8.4%). They were of the view that this reflected the prescribing practices and drug availability at the time and noted that SGLT-2 inhibitors or GLP-1 receptor agonists are now more widely prescribed and considered standard of care, where appropriate and indicated.</w:t>
      </w:r>
    </w:p>
    <w:p w14:paraId="1F14C29F" w14:textId="2051591A" w:rsidR="002C253F" w:rsidRPr="000161A0" w:rsidRDefault="002C253F" w:rsidP="002C253F">
      <w:r w:rsidRPr="000161A0">
        <w:t xml:space="preserve">The ACM referred to a subgroup analysis of the FIDELIO-DKD study presented at the American Diabetes Association in June 2021 which stated that SGLT-2 plus </w:t>
      </w:r>
      <w:proofErr w:type="spellStart"/>
      <w:r w:rsidRPr="000161A0">
        <w:t>finerenone</w:t>
      </w:r>
      <w:proofErr w:type="spellEnd"/>
      <w:r w:rsidRPr="000161A0">
        <w:t xml:space="preserve"> had reductions in UACR (P &lt;</w:t>
      </w:r>
      <w:r w:rsidR="008C3C0C" w:rsidRPr="000161A0">
        <w:t xml:space="preserve"> </w:t>
      </w:r>
      <w:r w:rsidRPr="000161A0">
        <w:t xml:space="preserve">0.0001) greater among those using SGLT-2 inhibitors at </w:t>
      </w:r>
      <w:r w:rsidR="00BD7195" w:rsidRPr="000161A0">
        <w:t>Baseline</w:t>
      </w:r>
      <w:r w:rsidRPr="000161A0">
        <w:t xml:space="preserve"> </w:t>
      </w:r>
      <w:r w:rsidRPr="000161A0">
        <w:lastRenderedPageBreak/>
        <w:t>(</w:t>
      </w:r>
      <w:r w:rsidR="00F431AA">
        <w:t>p</w:t>
      </w:r>
      <w:r w:rsidR="008C3C0C" w:rsidRPr="000161A0">
        <w:t xml:space="preserve"> </w:t>
      </w:r>
      <w:r w:rsidRPr="000161A0">
        <w:t>=</w:t>
      </w:r>
      <w:r w:rsidR="008C3C0C" w:rsidRPr="000161A0">
        <w:t xml:space="preserve"> 0</w:t>
      </w:r>
      <w:r w:rsidRPr="000161A0">
        <w:t>.0024). Additionally, treatment</w:t>
      </w:r>
      <w:r w:rsidR="0081427B">
        <w:t xml:space="preserve"> </w:t>
      </w:r>
      <w:r w:rsidRPr="000161A0">
        <w:t>emergent hyperkalaemia events occurred less often in those using SGLT-2 inhibitors compared to those not using an SGLT-2 inhibitor.</w:t>
      </w:r>
    </w:p>
    <w:p w14:paraId="7A7B0F9F" w14:textId="77777777" w:rsidR="002C253F" w:rsidRPr="000161A0" w:rsidRDefault="002C253F" w:rsidP="002C253F">
      <w:r w:rsidRPr="000161A0">
        <w:t xml:space="preserve">The ACM were of the view that there is no requirement to restrict the co-administration of </w:t>
      </w:r>
      <w:proofErr w:type="spellStart"/>
      <w:r w:rsidRPr="000161A0">
        <w:t>finerenone</w:t>
      </w:r>
      <w:proofErr w:type="spellEnd"/>
      <w:r w:rsidRPr="000161A0">
        <w:t xml:space="preserve"> with SGLT-2 inhibitors or GLP-1 receptor agonists. However, the ACM would be supportive of a statement in the PI highlighting the proportion of trial participants that were co-administered with SGLT-2 inhibitors or GLP-1 receptor-agonists.</w:t>
      </w:r>
    </w:p>
    <w:p w14:paraId="5E133A00" w14:textId="77777777" w:rsidR="002C253F" w:rsidRPr="000161A0" w:rsidRDefault="002C253F" w:rsidP="002C253F">
      <w:pPr>
        <w:pStyle w:val="Numberbullet0"/>
        <w:keepNext/>
        <w:numPr>
          <w:ilvl w:val="0"/>
          <w:numId w:val="25"/>
        </w:numPr>
        <w:rPr>
          <w:b/>
          <w:bCs/>
          <w:i/>
          <w:iCs/>
        </w:rPr>
      </w:pPr>
      <w:r w:rsidRPr="000161A0">
        <w:rPr>
          <w:b/>
          <w:bCs/>
          <w:i/>
          <w:iCs/>
          <w:lang w:eastAsia="ja-JP"/>
        </w:rPr>
        <w:t>Drug-drug interactions</w:t>
      </w:r>
    </w:p>
    <w:p w14:paraId="22A4F9ED" w14:textId="77777777" w:rsidR="002C253F" w:rsidRPr="000161A0" w:rsidRDefault="002C253F" w:rsidP="002C253F">
      <w:pPr>
        <w:pStyle w:val="Numberbullet0"/>
        <w:keepNext/>
        <w:numPr>
          <w:ilvl w:val="0"/>
          <w:numId w:val="0"/>
        </w:numPr>
        <w:ind w:left="425"/>
        <w:rPr>
          <w:b/>
          <w:bCs/>
          <w:i/>
          <w:iCs/>
        </w:rPr>
      </w:pPr>
      <w:r w:rsidRPr="000161A0">
        <w:rPr>
          <w:b/>
          <w:bCs/>
          <w:i/>
          <w:iCs/>
        </w:rPr>
        <w:t>Can the ACM comment on potential risk minimisation measures for drug-drug interactions with potentially severe effects (for example, for digoxin)?</w:t>
      </w:r>
    </w:p>
    <w:p w14:paraId="2E14D077" w14:textId="77777777" w:rsidR="002C253F" w:rsidRPr="000161A0" w:rsidRDefault="002C253F" w:rsidP="002C253F">
      <w:r w:rsidRPr="000161A0">
        <w:t>The ACM were of the view that drug-drug interactions have been appropriately documented within the PI.</w:t>
      </w:r>
    </w:p>
    <w:p w14:paraId="6F8E3720" w14:textId="77777777" w:rsidR="002C253F" w:rsidRPr="000161A0" w:rsidRDefault="002C253F" w:rsidP="002C253F">
      <w:r w:rsidRPr="000161A0">
        <w:t>The ACM noted that co-administration with moderate or weak CYP3A4 inhibitors requires monitoring of serum potassium levels and strong and moderate CYP3A4 inducers should be avoided. The ACM agreed that the wording within the proposed Australian PI was appropriate.</w:t>
      </w:r>
    </w:p>
    <w:p w14:paraId="3DE5B4EB" w14:textId="77777777" w:rsidR="002C253F" w:rsidRPr="000161A0" w:rsidRDefault="002C253F" w:rsidP="002C253F">
      <w:r w:rsidRPr="000161A0">
        <w:t xml:space="preserve">The ACM advised that co-administration of </w:t>
      </w:r>
      <w:proofErr w:type="spellStart"/>
      <w:r w:rsidRPr="000161A0">
        <w:t>finerenone</w:t>
      </w:r>
      <w:proofErr w:type="spellEnd"/>
      <w:r w:rsidRPr="000161A0">
        <w:t xml:space="preserve"> with digoxin poses limited risks and is of no particular concern. Furthermore, the ACM advised that digoxin is generally prescribed at a low dose, should renal patients require it.</w:t>
      </w:r>
    </w:p>
    <w:p w14:paraId="305A8399" w14:textId="6CC1B61C" w:rsidR="002C253F" w:rsidRPr="000161A0" w:rsidRDefault="002C253F" w:rsidP="002C253F">
      <w:r w:rsidRPr="000161A0">
        <w:t>Based on the totality of trough concentration (</w:t>
      </w:r>
      <w:proofErr w:type="spellStart"/>
      <w:r w:rsidRPr="000161A0">
        <w:t>C</w:t>
      </w:r>
      <w:r w:rsidRPr="000161A0">
        <w:rPr>
          <w:vertAlign w:val="subscript"/>
        </w:rPr>
        <w:t>trough</w:t>
      </w:r>
      <w:proofErr w:type="spellEnd"/>
      <w:r w:rsidRPr="000161A0">
        <w:t xml:space="preserve">) values in this study, the estimated ratio for digoxin and </w:t>
      </w:r>
      <w:proofErr w:type="spellStart"/>
      <w:r w:rsidRPr="000161A0">
        <w:t>finerenone</w:t>
      </w:r>
      <w:proofErr w:type="spellEnd"/>
      <w:r w:rsidRPr="000161A0">
        <w:t xml:space="preserve"> versus digoxin alone is 1.0274 (95% CI 0.9858, 1.0708), indicating equivalence of digoxin </w:t>
      </w:r>
      <w:proofErr w:type="spellStart"/>
      <w:r w:rsidR="008C3C0C" w:rsidRPr="000161A0">
        <w:t>C</w:t>
      </w:r>
      <w:r w:rsidR="008C3C0C" w:rsidRPr="000161A0">
        <w:rPr>
          <w:vertAlign w:val="subscript"/>
        </w:rPr>
        <w:t>trough</w:t>
      </w:r>
      <w:proofErr w:type="spellEnd"/>
      <w:r w:rsidRPr="000161A0">
        <w:t xml:space="preserve"> within the narrow interval of 0.9 to 1.11. While the ACM questioned the combining of Day 8, 9 and 10 </w:t>
      </w:r>
      <w:proofErr w:type="spellStart"/>
      <w:r w:rsidR="008C3C0C" w:rsidRPr="000161A0">
        <w:t>C</w:t>
      </w:r>
      <w:r w:rsidR="008C3C0C" w:rsidRPr="000161A0">
        <w:rPr>
          <w:vertAlign w:val="subscript"/>
        </w:rPr>
        <w:t>trough</w:t>
      </w:r>
      <w:proofErr w:type="spellEnd"/>
      <w:r w:rsidRPr="000161A0">
        <w:t xml:space="preserve"> values, they were satisfied that no additional risk mitigation measures are required for co-administration of digoxin and </w:t>
      </w:r>
      <w:proofErr w:type="spellStart"/>
      <w:r w:rsidRPr="000161A0">
        <w:t>finerenone</w:t>
      </w:r>
      <w:proofErr w:type="spellEnd"/>
      <w:r w:rsidRPr="000161A0">
        <w:t xml:space="preserve"> versus digoxin alone in this patient group.</w:t>
      </w:r>
    </w:p>
    <w:p w14:paraId="1B775176" w14:textId="77777777" w:rsidR="002C253F" w:rsidRPr="000161A0" w:rsidRDefault="002C253F" w:rsidP="002C253F">
      <w:pPr>
        <w:pStyle w:val="Numberbullet0"/>
        <w:numPr>
          <w:ilvl w:val="0"/>
          <w:numId w:val="25"/>
        </w:numPr>
        <w:rPr>
          <w:b/>
          <w:bCs/>
          <w:i/>
          <w:iCs/>
          <w:lang w:eastAsia="ja-JP"/>
        </w:rPr>
      </w:pPr>
      <w:r w:rsidRPr="000161A0">
        <w:rPr>
          <w:b/>
          <w:bCs/>
          <w:i/>
          <w:iCs/>
          <w:lang w:eastAsia="ja-JP"/>
        </w:rPr>
        <w:t>General</w:t>
      </w:r>
    </w:p>
    <w:p w14:paraId="4B7CDD47" w14:textId="77777777" w:rsidR="002C253F" w:rsidRPr="000161A0" w:rsidRDefault="002C253F" w:rsidP="002C253F">
      <w:pPr>
        <w:pStyle w:val="Numberbullet0"/>
        <w:numPr>
          <w:ilvl w:val="0"/>
          <w:numId w:val="0"/>
        </w:numPr>
        <w:ind w:left="425"/>
        <w:rPr>
          <w:b/>
          <w:bCs/>
          <w:i/>
          <w:iCs/>
          <w:lang w:eastAsia="ja-JP"/>
        </w:rPr>
      </w:pPr>
      <w:r w:rsidRPr="000161A0">
        <w:rPr>
          <w:b/>
          <w:bCs/>
          <w:i/>
          <w:iCs/>
          <w:lang w:eastAsia="ja-JP"/>
        </w:rPr>
        <w:t xml:space="preserve">The committee is also requested to provide advice on any other issues that it thinks may be relevant to a decision on </w:t>
      </w:r>
      <w:proofErr w:type="gramStart"/>
      <w:r w:rsidRPr="000161A0">
        <w:rPr>
          <w:b/>
          <w:bCs/>
          <w:i/>
          <w:iCs/>
          <w:lang w:eastAsia="ja-JP"/>
        </w:rPr>
        <w:t>whether or not</w:t>
      </w:r>
      <w:proofErr w:type="gramEnd"/>
      <w:r w:rsidRPr="000161A0">
        <w:rPr>
          <w:b/>
          <w:bCs/>
          <w:i/>
          <w:iCs/>
          <w:lang w:eastAsia="ja-JP"/>
        </w:rPr>
        <w:t xml:space="preserve"> to approve this application.</w:t>
      </w:r>
    </w:p>
    <w:p w14:paraId="1041DC97" w14:textId="77777777" w:rsidR="002C253F" w:rsidRPr="000161A0" w:rsidRDefault="002C253F" w:rsidP="002C253F">
      <w:r w:rsidRPr="000161A0">
        <w:t xml:space="preserve">In the context of an indication restriction to CKD stages 3 and 4, the ACM recommended commencement of </w:t>
      </w:r>
      <w:proofErr w:type="spellStart"/>
      <w:r w:rsidRPr="000161A0">
        <w:t>Kerendia</w:t>
      </w:r>
      <w:proofErr w:type="spellEnd"/>
      <w:r w:rsidRPr="000161A0">
        <w:t xml:space="preserve"> at the 10 mg dose (if serum potassium ≤ 4.8 mmol/L) and an increase to 20 mg as tolerated and with a stable eGFR and controlled serum potassium (≤ 4.8 mmol/L).</w:t>
      </w:r>
    </w:p>
    <w:p w14:paraId="6F1F5B74" w14:textId="3C4CE90E" w:rsidR="002C253F" w:rsidRPr="000161A0" w:rsidRDefault="002C253F" w:rsidP="002C253F">
      <w:r w:rsidRPr="000161A0">
        <w:t>The ACM noted that the Dosage and Administration section of the US P</w:t>
      </w:r>
      <w:r w:rsidR="00F431AA">
        <w:t>rescribing Information</w:t>
      </w:r>
      <w:r w:rsidRPr="000161A0">
        <w:t xml:space="preserve"> included different wording to the Australian PI and were of the view that the US P</w:t>
      </w:r>
      <w:r w:rsidR="00F431AA">
        <w:t>rescribing Information</w:t>
      </w:r>
      <w:r w:rsidRPr="000161A0">
        <w:t xml:space="preserve"> approach of using tables is much clearer.</w:t>
      </w:r>
    </w:p>
    <w:p w14:paraId="57FEF158" w14:textId="54AB1D86" w:rsidR="00744121" w:rsidRPr="000161A0" w:rsidRDefault="00744121" w:rsidP="00744121">
      <w:pPr>
        <w:pStyle w:val="Heading5"/>
      </w:pPr>
      <w:r w:rsidRPr="000161A0">
        <w:t>Conclusion</w:t>
      </w:r>
    </w:p>
    <w:p w14:paraId="4E4D1709" w14:textId="77777777" w:rsidR="002C253F" w:rsidRPr="000161A0" w:rsidRDefault="002C253F" w:rsidP="002C253F">
      <w:r w:rsidRPr="000161A0">
        <w:t>The ACM considered this product to have an overall positive benefit-risk profile for the indication:</w:t>
      </w:r>
    </w:p>
    <w:p w14:paraId="43988C59" w14:textId="27B9E114" w:rsidR="002C253F" w:rsidRPr="000161A0" w:rsidRDefault="002C253F" w:rsidP="002C253F">
      <w:pPr>
        <w:ind w:left="720"/>
        <w:rPr>
          <w:i/>
          <w:iCs/>
        </w:rPr>
      </w:pPr>
      <w:proofErr w:type="spellStart"/>
      <w:r w:rsidRPr="000161A0">
        <w:rPr>
          <w:i/>
          <w:iCs/>
        </w:rPr>
        <w:t>Kerendia</w:t>
      </w:r>
      <w:proofErr w:type="spellEnd"/>
      <w:r w:rsidRPr="000161A0">
        <w:rPr>
          <w:i/>
          <w:iCs/>
        </w:rPr>
        <w:t xml:space="preserve"> is indicated to delay progressive decline of kidney function in adults with chronic kidney disease associated with </w:t>
      </w:r>
      <w:r w:rsidR="008C3C0C" w:rsidRPr="000161A0">
        <w:rPr>
          <w:i/>
          <w:iCs/>
        </w:rPr>
        <w:t>type</w:t>
      </w:r>
      <w:r w:rsidRPr="000161A0">
        <w:rPr>
          <w:i/>
          <w:iCs/>
        </w:rPr>
        <w:t xml:space="preserve"> 2 diabetes (CKD stage 3 or 4 with albuminuria), in addition to standard of care, where treatment already includes either an angiotensin-converting enzyme inhibitor (</w:t>
      </w:r>
      <w:proofErr w:type="spellStart"/>
      <w:r w:rsidRPr="000161A0">
        <w:rPr>
          <w:i/>
          <w:iCs/>
        </w:rPr>
        <w:t>ACEi</w:t>
      </w:r>
      <w:proofErr w:type="spellEnd"/>
      <w:r w:rsidRPr="000161A0">
        <w:rPr>
          <w:i/>
          <w:iCs/>
        </w:rPr>
        <w:t>) or angiotensin receptor blocker (ARB).</w:t>
      </w:r>
    </w:p>
    <w:p w14:paraId="24EB4992" w14:textId="031809DD" w:rsidR="008E7846" w:rsidRPr="000161A0" w:rsidRDefault="008E7846" w:rsidP="008E7846">
      <w:pPr>
        <w:pStyle w:val="Heading3"/>
      </w:pPr>
      <w:bookmarkStart w:id="109" w:name="_Toc104899488"/>
      <w:r w:rsidRPr="000161A0">
        <w:lastRenderedPageBreak/>
        <w:t>Outcome</w:t>
      </w:r>
      <w:bookmarkEnd w:id="105"/>
      <w:bookmarkEnd w:id="106"/>
      <w:bookmarkEnd w:id="109"/>
    </w:p>
    <w:p w14:paraId="71722D98" w14:textId="28369DA7" w:rsidR="00744121" w:rsidRPr="000161A0" w:rsidRDefault="00744121" w:rsidP="00744121">
      <w:bookmarkStart w:id="110" w:name="_Toc247691533"/>
      <w:bookmarkStart w:id="111" w:name="_Toc314842517"/>
      <w:r w:rsidRPr="000161A0">
        <w:t xml:space="preserve">Based on a review of quality, </w:t>
      </w:r>
      <w:proofErr w:type="gramStart"/>
      <w:r w:rsidRPr="000161A0">
        <w:t>safety</w:t>
      </w:r>
      <w:proofErr w:type="gramEnd"/>
      <w:r w:rsidRPr="000161A0">
        <w:t xml:space="preserve"> and efficacy, the TGA approved the registration of </w:t>
      </w:r>
      <w:proofErr w:type="spellStart"/>
      <w:r w:rsidR="00223F5D" w:rsidRPr="000161A0">
        <w:t>Kerendia</w:t>
      </w:r>
      <w:proofErr w:type="spellEnd"/>
      <w:r w:rsidR="00223F5D" w:rsidRPr="000161A0">
        <w:t xml:space="preserve"> </w:t>
      </w:r>
      <w:r w:rsidRPr="000161A0">
        <w:t>(</w:t>
      </w:r>
      <w:proofErr w:type="spellStart"/>
      <w:r w:rsidR="00223F5D" w:rsidRPr="000161A0">
        <w:t>finerenone</w:t>
      </w:r>
      <w:proofErr w:type="spellEnd"/>
      <w:r w:rsidRPr="000161A0">
        <w:t xml:space="preserve">) </w:t>
      </w:r>
      <w:r w:rsidR="00223F5D" w:rsidRPr="000161A0">
        <w:t>10 mg and 20 mg</w:t>
      </w:r>
      <w:r w:rsidRPr="000161A0">
        <w:t xml:space="preserve">, </w:t>
      </w:r>
      <w:r w:rsidR="00223F5D" w:rsidRPr="000161A0">
        <w:t>film coated tablets</w:t>
      </w:r>
      <w:r w:rsidRPr="000161A0">
        <w:t xml:space="preserve">, </w:t>
      </w:r>
      <w:r w:rsidR="00223F5D" w:rsidRPr="000161A0">
        <w:t>blister pack</w:t>
      </w:r>
      <w:r w:rsidRPr="000161A0">
        <w:t>, indicated for:</w:t>
      </w:r>
    </w:p>
    <w:p w14:paraId="09BDCF4B" w14:textId="149EA0EA" w:rsidR="00223F5D" w:rsidRPr="000161A0" w:rsidRDefault="00223F5D" w:rsidP="00223F5D">
      <w:pPr>
        <w:ind w:left="720"/>
        <w:rPr>
          <w:i/>
          <w:iCs/>
        </w:rPr>
      </w:pPr>
      <w:proofErr w:type="spellStart"/>
      <w:r w:rsidRPr="000161A0">
        <w:rPr>
          <w:i/>
          <w:iCs/>
        </w:rPr>
        <w:t>Kerendia</w:t>
      </w:r>
      <w:proofErr w:type="spellEnd"/>
      <w:r w:rsidRPr="000161A0">
        <w:rPr>
          <w:i/>
          <w:iCs/>
        </w:rPr>
        <w:t xml:space="preserve"> is indicated to delay progressive decline of kidney function in adults with chronic kidney disease associated with </w:t>
      </w:r>
      <w:r w:rsidR="008C3C0C" w:rsidRPr="000161A0">
        <w:rPr>
          <w:i/>
          <w:iCs/>
        </w:rPr>
        <w:t>type</w:t>
      </w:r>
      <w:r w:rsidRPr="000161A0">
        <w:rPr>
          <w:i/>
          <w:iCs/>
        </w:rPr>
        <w:t xml:space="preserve"> 2 diabetes (with albuminuria), in addition to standard of care (see Section 5.1 Pharmacodynamic properties, clinical trials).</w:t>
      </w:r>
    </w:p>
    <w:p w14:paraId="4D419E45" w14:textId="77777777" w:rsidR="00D23139" w:rsidRPr="000161A0" w:rsidRDefault="00D23139" w:rsidP="00D23139">
      <w:pPr>
        <w:pStyle w:val="Heading4"/>
      </w:pPr>
      <w:r w:rsidRPr="000161A0">
        <w:t>Specific conditions of registration applying to these goods</w:t>
      </w:r>
    </w:p>
    <w:p w14:paraId="03226285" w14:textId="77777777" w:rsidR="002C253F" w:rsidRPr="000161A0" w:rsidRDefault="002C253F" w:rsidP="002C253F">
      <w:pPr>
        <w:pStyle w:val="ListBullet"/>
      </w:pPr>
      <w:proofErr w:type="spellStart"/>
      <w:r w:rsidRPr="000161A0">
        <w:t>Kerendia</w:t>
      </w:r>
      <w:proofErr w:type="spellEnd"/>
      <w:r w:rsidRPr="000161A0">
        <w:t xml:space="preserve"> (</w:t>
      </w:r>
      <w:proofErr w:type="spellStart"/>
      <w:r w:rsidRPr="000161A0">
        <w:t>finerenone</w:t>
      </w:r>
      <w:proofErr w:type="spellEnd"/>
      <w:r w:rsidRPr="000161A0">
        <w:t xml:space="preserve">) is to be included in the Black Triangle Scheme. The PI and CMI for </w:t>
      </w:r>
      <w:proofErr w:type="spellStart"/>
      <w:r w:rsidRPr="000161A0">
        <w:t>Kerendia</w:t>
      </w:r>
      <w:proofErr w:type="spellEnd"/>
      <w:r w:rsidRPr="000161A0">
        <w:t xml:space="preserve"> must include the black triangle symbol and mandatory accompanying text for five years, which starts from the date that the sponsor notifies the TGA of supply of the product.</w:t>
      </w:r>
    </w:p>
    <w:p w14:paraId="4427EDB7" w14:textId="76818A56" w:rsidR="002C253F" w:rsidRPr="000161A0" w:rsidRDefault="002C253F" w:rsidP="002C253F">
      <w:pPr>
        <w:pStyle w:val="ListBullet"/>
      </w:pPr>
      <w:r w:rsidRPr="000161A0">
        <w:t xml:space="preserve">The </w:t>
      </w:r>
      <w:proofErr w:type="spellStart"/>
      <w:r w:rsidRPr="000161A0">
        <w:t>Kerendia</w:t>
      </w:r>
      <w:proofErr w:type="spellEnd"/>
      <w:r w:rsidRPr="000161A0">
        <w:t xml:space="preserve"> EU-</w:t>
      </w:r>
      <w:r w:rsidR="008C3C0C" w:rsidRPr="000161A0">
        <w:t xml:space="preserve">risk management plan </w:t>
      </w:r>
      <w:r w:rsidRPr="000161A0">
        <w:t xml:space="preserve">(RMP) (version 0.1, dated 22 October 2020; DLP 15 October 2020) and ASA (version 1.0, dated 6 November 2020) included with </w:t>
      </w:r>
      <w:r w:rsidR="008C3C0C" w:rsidRPr="000161A0">
        <w:t>S</w:t>
      </w:r>
      <w:r w:rsidRPr="000161A0">
        <w:t>ubmission PM-2020-05944-1-5, and any subsequent revisions, as agreed with the TGA will be implemented in Australia.</w:t>
      </w:r>
    </w:p>
    <w:p w14:paraId="417F54D6" w14:textId="77777777" w:rsidR="002C253F" w:rsidRPr="000161A0" w:rsidRDefault="002C253F" w:rsidP="002C253F">
      <w:pPr>
        <w:pStyle w:val="ListBullet"/>
        <w:numPr>
          <w:ilvl w:val="0"/>
          <w:numId w:val="0"/>
        </w:numPr>
        <w:ind w:left="360"/>
      </w:pPr>
      <w:r w:rsidRPr="000161A0">
        <w:t>An obligatory component of risk management plans is routine pharmacovigilance. Routine pharmacovigilance includes the submission of periodic safety update reports (PSURs).</w:t>
      </w:r>
    </w:p>
    <w:p w14:paraId="4CE65F2C" w14:textId="2ED8A194" w:rsidR="002C253F" w:rsidRPr="000161A0" w:rsidRDefault="002C253F" w:rsidP="002C253F">
      <w:pPr>
        <w:pStyle w:val="ListBullet"/>
        <w:numPr>
          <w:ilvl w:val="0"/>
          <w:numId w:val="0"/>
        </w:numPr>
        <w:ind w:left="360"/>
      </w:pPr>
      <w:r w:rsidRPr="000161A0">
        <w:t xml:space="preserve">Unless agreed separately between the supplier who is the recipient of the approval and the TGA, the first report must be submitted to TGA no later than 15 calendar months after the date of </w:t>
      </w:r>
      <w:r w:rsidR="008C3C0C" w:rsidRPr="000161A0">
        <w:t>the</w:t>
      </w:r>
      <w:r w:rsidRPr="000161A0">
        <w:t xml:space="preserve"> approval letter. The subsequent reports must be submitted no less frequently than annually from the date of the first submitted report until the period covered by such reports is not less than three years from the date of </w:t>
      </w:r>
      <w:r w:rsidR="008C3C0C" w:rsidRPr="000161A0">
        <w:t>the</w:t>
      </w:r>
      <w:r w:rsidRPr="000161A0">
        <w:t xml:space="preserve"> approval letter. The annual submission may be made up of two PSURs each covering six months. If the sponsor wishes, the </w:t>
      </w:r>
      <w:proofErr w:type="gramStart"/>
      <w:r w:rsidRPr="000161A0">
        <w:t>six monthly</w:t>
      </w:r>
      <w:proofErr w:type="gramEnd"/>
      <w:r w:rsidRPr="000161A0">
        <w:t xml:space="preserve"> reports may be submitted separately as they become available.</w:t>
      </w:r>
    </w:p>
    <w:p w14:paraId="3CDDF520" w14:textId="0B2574CF" w:rsidR="002C253F" w:rsidRPr="000161A0" w:rsidRDefault="002C253F" w:rsidP="002C253F">
      <w:pPr>
        <w:pStyle w:val="ListBullet"/>
        <w:numPr>
          <w:ilvl w:val="0"/>
          <w:numId w:val="0"/>
        </w:numPr>
        <w:ind w:left="360"/>
      </w:pPr>
      <w:r w:rsidRPr="000161A0">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8C3C0C" w:rsidRPr="000161A0">
        <w:t>the</w:t>
      </w:r>
      <w:r w:rsidRPr="000161A0">
        <w:t xml:space="preserve"> approval letter.</w:t>
      </w:r>
    </w:p>
    <w:p w14:paraId="74C44CEE" w14:textId="678C184E" w:rsidR="002C253F" w:rsidRPr="000161A0" w:rsidRDefault="002C253F" w:rsidP="002C253F">
      <w:pPr>
        <w:pStyle w:val="ListBullet"/>
        <w:numPr>
          <w:ilvl w:val="0"/>
          <w:numId w:val="0"/>
        </w:numPr>
        <w:ind w:left="360"/>
      </w:pPr>
      <w:r w:rsidRPr="000161A0">
        <w:t xml:space="preserve">The reports are to at least meet the requirements for PSURs as described in the European Medicines Agency’s Guideline on </w:t>
      </w:r>
      <w:r w:rsidR="008C3C0C" w:rsidRPr="000161A0">
        <w:t xml:space="preserve">Good Pharmacovigilance Practices </w:t>
      </w:r>
      <w:r w:rsidRPr="000161A0">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7E579F9" w14:textId="2BAAEE3A" w:rsidR="008E7846" w:rsidRPr="000161A0" w:rsidRDefault="00A80B5B" w:rsidP="00D23139">
      <w:pPr>
        <w:pStyle w:val="Heading2"/>
      </w:pPr>
      <w:bookmarkStart w:id="112" w:name="_Toc104899489"/>
      <w:r w:rsidRPr="000161A0">
        <w:t xml:space="preserve">Attachment 1. </w:t>
      </w:r>
      <w:r w:rsidR="008E7846" w:rsidRPr="000161A0">
        <w:t xml:space="preserve">Product </w:t>
      </w:r>
      <w:r w:rsidR="00AA0ED0" w:rsidRPr="000161A0">
        <w:t>I</w:t>
      </w:r>
      <w:r w:rsidR="008E7846" w:rsidRPr="000161A0">
        <w:t>nformation</w:t>
      </w:r>
      <w:bookmarkEnd w:id="110"/>
      <w:bookmarkEnd w:id="111"/>
      <w:bookmarkEnd w:id="112"/>
    </w:p>
    <w:p w14:paraId="19852A50" w14:textId="5261B480" w:rsidR="00C80137" w:rsidRPr="000161A0" w:rsidRDefault="006136D7" w:rsidP="00C80137">
      <w:pPr>
        <w:rPr>
          <w:color w:val="000000"/>
          <w:lang w:eastAsia="en-AU"/>
        </w:rPr>
      </w:pPr>
      <w:r w:rsidRPr="000161A0">
        <w:t xml:space="preserve">The PI for </w:t>
      </w:r>
      <w:proofErr w:type="spellStart"/>
      <w:r w:rsidR="00223F5D" w:rsidRPr="000161A0">
        <w:t>Kerendia</w:t>
      </w:r>
      <w:proofErr w:type="spellEnd"/>
      <w:r w:rsidR="00223F5D" w:rsidRPr="000161A0">
        <w:t xml:space="preserve"> </w:t>
      </w:r>
      <w:r w:rsidRPr="000161A0">
        <w:t xml:space="preserve">approved with the submission which is described in this </w:t>
      </w:r>
      <w:proofErr w:type="spellStart"/>
      <w:r w:rsidRPr="000161A0">
        <w:t>AusPAR</w:t>
      </w:r>
      <w:proofErr w:type="spellEnd"/>
      <w:r w:rsidRPr="000161A0">
        <w:t xml:space="preserve"> is at Attachment 1. For the most recent PI, please refer to the TGA website at </w:t>
      </w:r>
      <w:r w:rsidR="007C6B9B" w:rsidRPr="000161A0">
        <w:t>&lt;</w:t>
      </w:r>
      <w:hyperlink r:id="rId41" w:history="1">
        <w:r w:rsidR="007C6B9B" w:rsidRPr="000161A0">
          <w:rPr>
            <w:rStyle w:val="Hyperlink"/>
          </w:rPr>
          <w:t>https://www.tga.gov.au/product-information-pi</w:t>
        </w:r>
      </w:hyperlink>
      <w:r w:rsidR="007C6B9B" w:rsidRPr="000161A0">
        <w:t>&gt;.</w:t>
      </w:r>
    </w:p>
    <w:p w14:paraId="43AF66A2" w14:textId="4330AC60" w:rsidR="00744121" w:rsidRPr="000161A0" w:rsidRDefault="008E7846" w:rsidP="00B227A0">
      <w:pPr>
        <w:autoSpaceDE w:val="0"/>
        <w:autoSpaceDN w:val="0"/>
        <w:adjustRightInd w:val="0"/>
        <w:spacing w:after="0"/>
        <w:rPr>
          <w:lang w:eastAsia="ja-JP"/>
        </w:rPr>
      </w:pPr>
      <w:r w:rsidRPr="000161A0">
        <w:rPr>
          <w:b/>
        </w:rPr>
        <w:br w:type="page"/>
      </w:r>
    </w:p>
    <w:p w14:paraId="3B013B0E" w14:textId="77777777" w:rsidR="00C80137" w:rsidRPr="000161A0" w:rsidRDefault="00C80137" w:rsidP="003A7F6C">
      <w:pPr>
        <w:pStyle w:val="TableTitle"/>
        <w:sectPr w:rsidR="00C80137" w:rsidRPr="000161A0"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0161A0" w14:paraId="67AC22CE" w14:textId="77777777" w:rsidTr="00A05FA4">
        <w:trPr>
          <w:trHeight w:hRule="exact" w:val="704"/>
        </w:trPr>
        <w:tc>
          <w:tcPr>
            <w:tcW w:w="9175" w:type="dxa"/>
          </w:tcPr>
          <w:p w14:paraId="394358A2" w14:textId="77777777" w:rsidR="001C32CD" w:rsidRPr="000161A0" w:rsidRDefault="001C32CD" w:rsidP="00A05FA4">
            <w:pPr>
              <w:pStyle w:val="TGASignoff"/>
            </w:pPr>
            <w:r w:rsidRPr="000161A0">
              <w:lastRenderedPageBreak/>
              <w:t>Therapeutic Goods Administration</w:t>
            </w:r>
          </w:p>
        </w:tc>
      </w:tr>
      <w:tr w:rsidR="001C32CD" w:rsidRPr="004C239D" w14:paraId="07354105" w14:textId="77777777" w:rsidTr="00A05FA4">
        <w:trPr>
          <w:trHeight w:val="1221"/>
        </w:trPr>
        <w:tc>
          <w:tcPr>
            <w:tcW w:w="9175" w:type="dxa"/>
            <w:tcMar>
              <w:top w:w="28" w:type="dxa"/>
            </w:tcMar>
          </w:tcPr>
          <w:p w14:paraId="51C01E83" w14:textId="77777777" w:rsidR="001C32CD" w:rsidRPr="000161A0" w:rsidRDefault="001C32CD" w:rsidP="00A05FA4">
            <w:pPr>
              <w:pStyle w:val="Address"/>
            </w:pPr>
            <w:r w:rsidRPr="000161A0">
              <w:t>PO Box 100 Woden ACT 2606 Australia</w:t>
            </w:r>
          </w:p>
          <w:p w14:paraId="525F7416" w14:textId="09568418" w:rsidR="001C32CD" w:rsidRPr="000161A0" w:rsidRDefault="001C32CD" w:rsidP="00A05FA4">
            <w:pPr>
              <w:pStyle w:val="Address"/>
            </w:pPr>
            <w:r w:rsidRPr="000161A0">
              <w:t xml:space="preserve">Email: </w:t>
            </w:r>
            <w:hyperlink r:id="rId46" w:history="1">
              <w:r w:rsidRPr="000161A0">
                <w:rPr>
                  <w:rStyle w:val="Hyperlink"/>
                </w:rPr>
                <w:t>info@tga.gov.au</w:t>
              </w:r>
            </w:hyperlink>
            <w:r w:rsidRPr="000161A0">
              <w:t xml:space="preserve">  Phone: 1800 020 </w:t>
            </w:r>
            <w:proofErr w:type="gramStart"/>
            <w:r w:rsidRPr="000161A0">
              <w:t>653  Fax</w:t>
            </w:r>
            <w:proofErr w:type="gramEnd"/>
            <w:r w:rsidRPr="000161A0">
              <w:t>: 02 6232 8605</w:t>
            </w:r>
          </w:p>
          <w:p w14:paraId="32F54A6F" w14:textId="57164E48" w:rsidR="001C32CD" w:rsidRPr="004C239D" w:rsidRDefault="001F221C" w:rsidP="00A05FA4">
            <w:pPr>
              <w:pStyle w:val="Address"/>
              <w:spacing w:line="260" w:lineRule="atLeast"/>
              <w:rPr>
                <w:b/>
                <w:color w:val="0000FF"/>
                <w:u w:val="single"/>
              </w:rPr>
            </w:pPr>
            <w:hyperlink r:id="rId47" w:history="1">
              <w:r w:rsidR="007C6B9B" w:rsidRPr="000161A0">
                <w:rPr>
                  <w:rStyle w:val="Hyperlink"/>
                  <w:b/>
                </w:rPr>
                <w:t>https://www.tga.gov.au</w:t>
              </w:r>
            </w:hyperlink>
          </w:p>
        </w:tc>
      </w:tr>
    </w:tbl>
    <w:p w14:paraId="210C153D"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55E44" w14:textId="77777777" w:rsidR="001F221C" w:rsidRDefault="001F221C" w:rsidP="00C40A36">
      <w:pPr>
        <w:spacing w:after="0"/>
      </w:pPr>
      <w:r>
        <w:separator/>
      </w:r>
    </w:p>
  </w:endnote>
  <w:endnote w:type="continuationSeparator" w:id="0">
    <w:p w14:paraId="4B7F3D7C" w14:textId="77777777" w:rsidR="001F221C" w:rsidRDefault="001F221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7A69" w14:textId="77777777" w:rsidR="001F221C" w:rsidRDefault="001F2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F221C" w:rsidRPr="00487162" w14:paraId="0722E7FF" w14:textId="77777777" w:rsidTr="00DB750B">
      <w:trPr>
        <w:trHeight w:val="269"/>
      </w:trPr>
      <w:tc>
        <w:tcPr>
          <w:tcW w:w="7371" w:type="dxa"/>
          <w:tcMar>
            <w:top w:w="142" w:type="dxa"/>
            <w:bottom w:w="0" w:type="dxa"/>
          </w:tcMar>
        </w:tcPr>
        <w:p w14:paraId="4194C006" w14:textId="3B41B8FF" w:rsidR="001F221C" w:rsidRPr="00487162" w:rsidRDefault="001F221C" w:rsidP="00460036">
          <w:pPr>
            <w:pStyle w:val="Footer"/>
          </w:pPr>
          <w:proofErr w:type="spellStart"/>
          <w:r w:rsidRPr="00487162">
            <w:t>AusPA</w:t>
          </w:r>
          <w:r>
            <w:t>R</w:t>
          </w:r>
          <w:proofErr w:type="spellEnd"/>
          <w:r>
            <w:t xml:space="preserve"> - </w:t>
          </w:r>
          <w:proofErr w:type="spellStart"/>
          <w:r w:rsidRPr="00223F5D">
            <w:t>Kerendia</w:t>
          </w:r>
          <w:proofErr w:type="spellEnd"/>
          <w:r w:rsidRPr="00223F5D">
            <w:t xml:space="preserve"> </w:t>
          </w:r>
          <w:r>
            <w:t>-</w:t>
          </w:r>
          <w:r w:rsidRPr="00460036">
            <w:t xml:space="preserve"> </w:t>
          </w:r>
          <w:proofErr w:type="spellStart"/>
          <w:r w:rsidRPr="00223F5D">
            <w:t>finerenone</w:t>
          </w:r>
          <w:proofErr w:type="spellEnd"/>
          <w:r w:rsidRPr="00223F5D">
            <w:t xml:space="preserve"> </w:t>
          </w:r>
          <w:r>
            <w:t xml:space="preserve">- </w:t>
          </w:r>
          <w:r w:rsidRPr="00223F5D">
            <w:t>Bayer Australia Limited</w:t>
          </w:r>
          <w:r>
            <w:t xml:space="preserve"> - </w:t>
          </w:r>
          <w:r w:rsidRPr="00494CF1">
            <w:t>PM-2020-05944-1-5</w:t>
          </w:r>
          <w:r>
            <w:br/>
            <w:t>FINAL 19 May 2022</w:t>
          </w:r>
        </w:p>
      </w:tc>
      <w:tc>
        <w:tcPr>
          <w:tcW w:w="1490" w:type="dxa"/>
          <w:tcMar>
            <w:top w:w="142" w:type="dxa"/>
            <w:bottom w:w="0" w:type="dxa"/>
          </w:tcMar>
        </w:tcPr>
        <w:p w14:paraId="029772FC" w14:textId="46229400" w:rsidR="001F221C" w:rsidRPr="00487162" w:rsidRDefault="001F221C" w:rsidP="00DB750B">
          <w:pPr>
            <w:pStyle w:val="Footer"/>
            <w:jc w:val="right"/>
          </w:pPr>
          <w:r w:rsidRPr="00487162">
            <w:t xml:space="preserve">Page </w:t>
          </w:r>
          <w:r>
            <w:fldChar w:fldCharType="begin"/>
          </w:r>
          <w:r>
            <w:instrText xml:space="preserve"> PAGE  \* Arabic </w:instrText>
          </w:r>
          <w:r>
            <w:fldChar w:fldCharType="separate"/>
          </w:r>
          <w:r>
            <w:rPr>
              <w:noProof/>
            </w:rPr>
            <w:t>46</w:t>
          </w:r>
          <w:r>
            <w:fldChar w:fldCharType="end"/>
          </w:r>
          <w:r w:rsidRPr="00487162">
            <w:t xml:space="preserve"> of </w:t>
          </w:r>
          <w:fldSimple w:instr=" NUMPAGES  \* Arabic ">
            <w:r>
              <w:rPr>
                <w:noProof/>
              </w:rPr>
              <w:t>47</w:t>
            </w:r>
          </w:fldSimple>
        </w:p>
      </w:tc>
    </w:tr>
  </w:tbl>
  <w:p w14:paraId="612AC8D3" w14:textId="77777777" w:rsidR="001F221C" w:rsidRDefault="001F221C"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6968" w14:textId="77777777" w:rsidR="001F221C" w:rsidRDefault="001F22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F221C" w:rsidRPr="00487162" w14:paraId="631FC696" w14:textId="77777777" w:rsidTr="00E45619">
      <w:trPr>
        <w:trHeight w:val="269"/>
      </w:trPr>
      <w:tc>
        <w:tcPr>
          <w:tcW w:w="4519" w:type="dxa"/>
          <w:tcBorders>
            <w:top w:val="single" w:sz="4" w:space="0" w:color="auto"/>
          </w:tcBorders>
          <w:tcMar>
            <w:top w:w="142" w:type="dxa"/>
            <w:bottom w:w="0" w:type="dxa"/>
          </w:tcMar>
        </w:tcPr>
        <w:p w14:paraId="4CFF524A" w14:textId="77777777" w:rsidR="001F221C" w:rsidRPr="00487162" w:rsidRDefault="001F221C" w:rsidP="00FE1DEE">
          <w:pPr>
            <w:pStyle w:val="Footer"/>
          </w:pPr>
          <w:r w:rsidRPr="00487162">
            <w:t>Document title, Part #, Section # - Section title</w:t>
          </w:r>
        </w:p>
        <w:p w14:paraId="7A04B9D2" w14:textId="77777777" w:rsidR="001F221C" w:rsidRPr="00487162" w:rsidRDefault="001F221C" w:rsidP="00FE1DEE">
          <w:pPr>
            <w:pStyle w:val="Footer"/>
          </w:pPr>
          <w:r w:rsidRPr="00487162">
            <w:t>V1.0 October 2010</w:t>
          </w:r>
        </w:p>
      </w:tc>
      <w:tc>
        <w:tcPr>
          <w:tcW w:w="4342" w:type="dxa"/>
          <w:tcBorders>
            <w:top w:val="single" w:sz="4" w:space="0" w:color="auto"/>
          </w:tcBorders>
          <w:tcMar>
            <w:top w:w="142" w:type="dxa"/>
            <w:bottom w:w="0" w:type="dxa"/>
          </w:tcMar>
        </w:tcPr>
        <w:p w14:paraId="22599E6F" w14:textId="77777777" w:rsidR="001F221C" w:rsidRPr="00487162" w:rsidRDefault="001F221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55126685" w14:textId="77777777" w:rsidR="001F221C" w:rsidRDefault="001F22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1D26" w14:textId="77777777" w:rsidR="001F221C" w:rsidRPr="001C32CD" w:rsidRDefault="001F221C"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F221C" w14:paraId="08767E48" w14:textId="77777777" w:rsidTr="0010601F">
      <w:trPr>
        <w:trHeight w:val="108"/>
      </w:trPr>
      <w:tc>
        <w:tcPr>
          <w:tcW w:w="8875" w:type="dxa"/>
          <w:gridSpan w:val="2"/>
          <w:tcBorders>
            <w:bottom w:val="single" w:sz="4" w:space="0" w:color="auto"/>
          </w:tcBorders>
          <w:tcMar>
            <w:right w:w="284" w:type="dxa"/>
          </w:tcMar>
        </w:tcPr>
        <w:p w14:paraId="350894E1" w14:textId="77777777" w:rsidR="001F221C" w:rsidRDefault="001F221C" w:rsidP="006E08B3">
          <w:pPr>
            <w:pStyle w:val="Heading3"/>
          </w:pPr>
          <w:r>
            <w:t>Copyright</w:t>
          </w:r>
        </w:p>
        <w:p w14:paraId="25443D87" w14:textId="77777777" w:rsidR="001F221C" w:rsidRDefault="001F221C" w:rsidP="006E08B3">
          <w:r>
            <w:rPr>
              <w:rFonts w:cs="Arial"/>
            </w:rPr>
            <w:t>©</w:t>
          </w:r>
          <w:r>
            <w:t xml:space="preserve"> Commonwealth of Australia [add year]</w:t>
          </w:r>
        </w:p>
        <w:p w14:paraId="45F929F3" w14:textId="77777777" w:rsidR="001F221C" w:rsidRDefault="001F221C" w:rsidP="006E08B3"/>
        <w:p w14:paraId="02CB3B2E" w14:textId="77777777" w:rsidR="001F221C" w:rsidRDefault="001F221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9A9F667" w14:textId="77777777" w:rsidR="001F221C" w:rsidRDefault="001F221C" w:rsidP="006E08B3"/>
        <w:p w14:paraId="185EAB15" w14:textId="77777777" w:rsidR="001F221C" w:rsidRDefault="001F221C" w:rsidP="006E08B3">
          <w:pPr>
            <w:pStyle w:val="Heading3"/>
          </w:pPr>
          <w:r>
            <w:t>Confidentiality</w:t>
          </w:r>
        </w:p>
        <w:p w14:paraId="02D6110F" w14:textId="77777777" w:rsidR="001F221C" w:rsidRDefault="001F221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592A6A" w14:textId="77777777" w:rsidR="001F221C" w:rsidRDefault="001F221C" w:rsidP="006E08B3"/>
        <w:p w14:paraId="1CBD06AB" w14:textId="77777777" w:rsidR="001F221C" w:rsidRDefault="001F221C" w:rsidP="006E08B3">
          <w:r>
            <w:t>For submission made by individuals, all personal details, other than your name, will be removed from your submission before it is published on the TGA’s Internet site.</w:t>
          </w:r>
        </w:p>
        <w:p w14:paraId="1AB596A7" w14:textId="77777777" w:rsidR="001F221C" w:rsidRDefault="001F221C" w:rsidP="006E08B3"/>
        <w:p w14:paraId="436157EA" w14:textId="77777777" w:rsidR="001F221C" w:rsidRDefault="001F221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F221C" w14:paraId="1B1CEB98" w14:textId="77777777" w:rsidTr="0010601F">
      <w:trPr>
        <w:trHeight w:val="417"/>
      </w:trPr>
      <w:tc>
        <w:tcPr>
          <w:tcW w:w="4519" w:type="dxa"/>
          <w:tcBorders>
            <w:top w:val="single" w:sz="4" w:space="0" w:color="auto"/>
          </w:tcBorders>
          <w:tcMar>
            <w:top w:w="142" w:type="dxa"/>
            <w:bottom w:w="0" w:type="dxa"/>
          </w:tcMar>
        </w:tcPr>
        <w:p w14:paraId="44D75491" w14:textId="77777777" w:rsidR="001F221C" w:rsidRDefault="001F221C" w:rsidP="006E08B3">
          <w:r>
            <w:t>Document title, Part #, Section # - Section title</w:t>
          </w:r>
        </w:p>
        <w:p w14:paraId="13D4124C" w14:textId="77777777" w:rsidR="001F221C" w:rsidRDefault="001F221C" w:rsidP="006E08B3">
          <w:r>
            <w:t>V1.0 October 2010</w:t>
          </w:r>
        </w:p>
      </w:tc>
      <w:tc>
        <w:tcPr>
          <w:tcW w:w="4356" w:type="dxa"/>
          <w:tcBorders>
            <w:top w:val="single" w:sz="4" w:space="0" w:color="auto"/>
          </w:tcBorders>
          <w:tcMar>
            <w:top w:w="142" w:type="dxa"/>
            <w:bottom w:w="0" w:type="dxa"/>
          </w:tcMar>
        </w:tcPr>
        <w:p w14:paraId="49CEBC5C" w14:textId="77777777" w:rsidR="001F221C" w:rsidRDefault="001F221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F86D559" w14:textId="77777777" w:rsidR="001F221C" w:rsidRDefault="001F22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79661" w14:textId="77777777" w:rsidR="001F221C" w:rsidRDefault="001F221C" w:rsidP="00C40A36">
      <w:pPr>
        <w:spacing w:after="0"/>
      </w:pPr>
      <w:r>
        <w:separator/>
      </w:r>
    </w:p>
  </w:footnote>
  <w:footnote w:type="continuationSeparator" w:id="0">
    <w:p w14:paraId="33A1D273" w14:textId="77777777" w:rsidR="001F221C" w:rsidRDefault="001F221C" w:rsidP="00C40A36">
      <w:pPr>
        <w:spacing w:after="0"/>
      </w:pPr>
      <w:r>
        <w:continuationSeparator/>
      </w:r>
    </w:p>
  </w:footnote>
  <w:footnote w:id="1">
    <w:p w14:paraId="76E30E4B" w14:textId="77777777" w:rsidR="001F221C" w:rsidRDefault="001F221C">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16214AC" w14:textId="5322DF27" w:rsidR="001F221C" w:rsidRDefault="001F221C">
      <w:pPr>
        <w:pStyle w:val="FootnoteText"/>
      </w:pPr>
      <w:r>
        <w:rPr>
          <w:rStyle w:val="FootnoteReference"/>
        </w:rPr>
        <w:footnoteRef/>
      </w:r>
      <w:r>
        <w:t xml:space="preserve"> </w:t>
      </w:r>
      <w:r w:rsidRPr="00A753D1">
        <w:t xml:space="preserve">The </w:t>
      </w:r>
      <w:r w:rsidRPr="00A753D1">
        <w:rPr>
          <w:b/>
          <w:bCs/>
        </w:rPr>
        <w:t>Biopharmaceutics Classification System (BCS)</w:t>
      </w:r>
      <w:r w:rsidRPr="00A753D1">
        <w:t xml:space="preserve"> is a guidance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3">
    <w:p w14:paraId="20ADDAB5" w14:textId="77777777" w:rsidR="001F221C" w:rsidRDefault="001F221C" w:rsidP="001D3BD3">
      <w:pPr>
        <w:pStyle w:val="FootnoteText"/>
      </w:pPr>
      <w:r>
        <w:rPr>
          <w:rStyle w:val="FootnoteReference"/>
        </w:rPr>
        <w:footnoteRef/>
      </w:r>
      <w:r>
        <w:t xml:space="preserve"> </w:t>
      </w:r>
      <w:r w:rsidRPr="00A753D1">
        <w:rPr>
          <w:b/>
          <w:bCs/>
        </w:rPr>
        <w:t>Cytochrome P450 (CYP) enzymes</w:t>
      </w:r>
      <w:r>
        <w:t>: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48AC0DFF" w14:textId="77777777" w:rsidR="001F221C" w:rsidRDefault="001F221C" w:rsidP="001D3BD3">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4">
    <w:p w14:paraId="2DFDCF9C" w14:textId="77777777" w:rsidR="001F221C" w:rsidRDefault="001F221C" w:rsidP="001D3BD3">
      <w:pPr>
        <w:pStyle w:val="FootnoteText"/>
      </w:pPr>
      <w:r>
        <w:rPr>
          <w:rStyle w:val="FootnoteReference"/>
        </w:rPr>
        <w:footnoteRef/>
      </w:r>
      <w:r>
        <w:t xml:space="preserve"> </w:t>
      </w:r>
      <w:r w:rsidRPr="001D3BD3">
        <w:t xml:space="preserve">The </w:t>
      </w:r>
      <w:r w:rsidRPr="001D3BD3">
        <w:rPr>
          <w:b/>
          <w:bCs/>
        </w:rPr>
        <w:t>QT interval</w:t>
      </w:r>
      <w:r w:rsidRPr="001D3BD3">
        <w:t xml:space="preserve"> is the time from the start of the QRS wave complex to the end of the corresponding T wave. It approximates to the time taken for ventricular depolarisation and repolarisation</w:t>
      </w:r>
      <w:proofErr w:type="gramStart"/>
      <w:r w:rsidRPr="001D3BD3">
        <w:t>, that is to say, the</w:t>
      </w:r>
      <w:proofErr w:type="gramEnd"/>
      <w:r w:rsidRPr="001D3BD3">
        <w:t xml:space="preserve"> period of ventricular systole from ventricular isovolumetric contraction to isovolumetric relaxation.</w:t>
      </w:r>
    </w:p>
    <w:p w14:paraId="52DA0A4B" w14:textId="1718D05A" w:rsidR="001F221C" w:rsidRDefault="001F221C" w:rsidP="001D3BD3">
      <w:pPr>
        <w:pStyle w:val="FootnoteText"/>
      </w:pPr>
      <w:r>
        <w:t xml:space="preserve">The </w:t>
      </w:r>
      <w:r w:rsidRPr="001D3BD3">
        <w:rPr>
          <w:b/>
          <w:bCs/>
        </w:rPr>
        <w:t>corrected QT interval (QTc)</w:t>
      </w:r>
      <w:r>
        <w:t> estimates the QT interval at a standard heart rate. This allows comparison of QT values over time at different heart rates and improves detection of patients at increased risk of arrhythmias.</w:t>
      </w:r>
    </w:p>
  </w:footnote>
  <w:footnote w:id="5">
    <w:p w14:paraId="1EDD6978" w14:textId="77777777" w:rsidR="001F221C" w:rsidRDefault="001F221C" w:rsidP="004A74D1">
      <w:pPr>
        <w:pStyle w:val="FootnoteText"/>
      </w:pPr>
      <w:r>
        <w:rPr>
          <w:rStyle w:val="FootnoteReference"/>
        </w:rPr>
        <w:footnoteRef/>
      </w:r>
      <w:r>
        <w:t xml:space="preserve"> </w:t>
      </w:r>
      <w:r w:rsidRPr="00A753D1">
        <w:rPr>
          <w:b/>
          <w:bCs/>
        </w:rPr>
        <w:t>Haemoglobin A1c or glycated haemoglobin (HbA1c</w:t>
      </w:r>
      <w:r w:rsidRPr="00A753D1">
        <w:t>)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6">
    <w:p w14:paraId="4F24546A" w14:textId="31CF8F36" w:rsidR="001F221C" w:rsidRDefault="001F221C">
      <w:pPr>
        <w:pStyle w:val="FootnoteText"/>
      </w:pPr>
      <w:r>
        <w:rPr>
          <w:rStyle w:val="FootnoteReference"/>
        </w:rPr>
        <w:footnoteRef/>
      </w:r>
      <w:r>
        <w:t xml:space="preserve"> </w:t>
      </w:r>
      <w:r w:rsidRPr="001D3BD3">
        <w:t xml:space="preserve">The </w:t>
      </w:r>
      <w:r w:rsidRPr="001D3BD3">
        <w:rPr>
          <w:b/>
          <w:bCs/>
        </w:rPr>
        <w:t>per-protocol (PP)</w:t>
      </w:r>
      <w:r w:rsidRPr="001D3BD3">
        <w:t xml:space="preserve"> analysis is restricted to the participants who strictly adhered to the protocol. Also known as ‘on-treatment’ analysis.</w:t>
      </w:r>
    </w:p>
  </w:footnote>
  <w:footnote w:id="7">
    <w:p w14:paraId="2019B8A5" w14:textId="5C6840CC" w:rsidR="001F221C" w:rsidRDefault="001F221C">
      <w:pPr>
        <w:pStyle w:val="FootnoteText"/>
      </w:pPr>
      <w:r>
        <w:rPr>
          <w:rStyle w:val="FootnoteReference"/>
        </w:rPr>
        <w:footnoteRef/>
      </w:r>
      <w:r>
        <w:t xml:space="preserve"> </w:t>
      </w:r>
      <w:r w:rsidRPr="00A753D1">
        <w:t xml:space="preserve">The </w:t>
      </w:r>
      <w:r w:rsidRPr="00A753D1">
        <w:rPr>
          <w:b/>
          <w:bCs/>
        </w:rPr>
        <w:t>Medical Dictionary for Regulatory Activities (MedDRA)</w:t>
      </w:r>
      <w:r w:rsidRPr="00A753D1">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A753D1">
        <w:t>documentation</w:t>
      </w:r>
      <w:proofErr w:type="gramEnd"/>
      <w:r w:rsidRPr="00A753D1">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8">
    <w:p w14:paraId="085BF814" w14:textId="64BB4EF5" w:rsidR="001F221C" w:rsidRDefault="001F221C">
      <w:pPr>
        <w:pStyle w:val="FootnoteText"/>
      </w:pPr>
      <w:r>
        <w:rPr>
          <w:rStyle w:val="FootnoteReference"/>
        </w:rPr>
        <w:footnoteRef/>
      </w:r>
      <w:r>
        <w:t xml:space="preserve"> </w:t>
      </w:r>
      <w:r w:rsidRPr="00A753D1">
        <w:t xml:space="preserve">The </w:t>
      </w:r>
      <w:r w:rsidRPr="00A753D1">
        <w:rPr>
          <w:b/>
          <w:bCs/>
        </w:rPr>
        <w:t>Child-Pugh score</w:t>
      </w:r>
      <w:r w:rsidRPr="00A753D1">
        <w:t xml:space="preserve"> is used to assess the prognosis of chronic liver disease. The score employs five clinical measures of liver disease. Each measure is scored 1 to 3, with 3 indicating most severe derangement. Class A: 5 to 6 points, least severe liver disease, </w:t>
      </w:r>
      <w:proofErr w:type="gramStart"/>
      <w:r w:rsidRPr="00A753D1">
        <w:t>one to five year</w:t>
      </w:r>
      <w:proofErr w:type="gramEnd"/>
      <w:r w:rsidRPr="00A753D1">
        <w:t xml:space="preserve"> survival rate of 95%. Class B: 7 to 9 points, moderately severe liver disease, </w:t>
      </w:r>
      <w:proofErr w:type="gramStart"/>
      <w:r w:rsidRPr="00A753D1">
        <w:t>one to five year</w:t>
      </w:r>
      <w:proofErr w:type="gramEnd"/>
      <w:r w:rsidRPr="00A753D1">
        <w:t xml:space="preserve"> survival of 75%. Class C: 10 to 15 points, most severe liver disease, </w:t>
      </w:r>
      <w:proofErr w:type="gramStart"/>
      <w:r w:rsidRPr="00A753D1">
        <w:t>1 to 5 year</w:t>
      </w:r>
      <w:proofErr w:type="gramEnd"/>
      <w:r w:rsidRPr="00A753D1">
        <w:t xml:space="preserve"> survival rate 50%.</w:t>
      </w:r>
    </w:p>
  </w:footnote>
  <w:footnote w:id="9">
    <w:p w14:paraId="4FB5C7CF" w14:textId="11C9EBA7" w:rsidR="001F221C" w:rsidRDefault="001F221C" w:rsidP="001D3BD3">
      <w:pPr>
        <w:pStyle w:val="FootnoteText"/>
      </w:pPr>
      <w:r>
        <w:rPr>
          <w:rStyle w:val="FootnoteReference"/>
        </w:rPr>
        <w:footnoteRef/>
      </w:r>
      <w:r>
        <w:t xml:space="preserve"> </w:t>
      </w:r>
      <w:r w:rsidRPr="001D3BD3">
        <w:rPr>
          <w:b/>
          <w:bCs/>
        </w:rPr>
        <w:t>Pregnancy Category D</w:t>
      </w:r>
      <w:r>
        <w:t xml:space="preserve">: 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footnote>
  <w:footnote w:id="10">
    <w:p w14:paraId="7FA8419D" w14:textId="77777777" w:rsidR="001F221C" w:rsidRDefault="001F221C"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4EA134D" w14:textId="77777777" w:rsidR="001F221C" w:rsidRDefault="001F221C" w:rsidP="007D53B6">
      <w:pPr>
        <w:pStyle w:val="FootnoteText"/>
      </w:pPr>
      <w:r w:rsidRPr="007D53B6">
        <w:rPr>
          <w:i/>
        </w:rPr>
        <w:t>Routine pharmacovigilance</w:t>
      </w:r>
      <w:r>
        <w:t xml:space="preserve"> practices involve the following activities:</w:t>
      </w:r>
    </w:p>
    <w:p w14:paraId="52F36722" w14:textId="77777777" w:rsidR="001F221C" w:rsidRDefault="001F221C"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5EC86E6C" w14:textId="77777777" w:rsidR="001F221C" w:rsidRDefault="001F221C" w:rsidP="007D53B6">
      <w:pPr>
        <w:pStyle w:val="FootnoteText"/>
        <w:numPr>
          <w:ilvl w:val="0"/>
          <w:numId w:val="32"/>
        </w:numPr>
        <w:ind w:left="284" w:hanging="284"/>
      </w:pPr>
      <w:r>
        <w:t xml:space="preserve">Reporting to regulatory </w:t>
      </w:r>
      <w:proofErr w:type="gramStart"/>
      <w:r>
        <w:t>authorities;</w:t>
      </w:r>
      <w:proofErr w:type="gramEnd"/>
    </w:p>
    <w:p w14:paraId="4A4114BA" w14:textId="77777777" w:rsidR="001F221C" w:rsidRDefault="001F221C"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3DC50833" w14:textId="77777777" w:rsidR="001F221C" w:rsidRDefault="001F221C" w:rsidP="007D53B6">
      <w:pPr>
        <w:pStyle w:val="FootnoteText"/>
        <w:numPr>
          <w:ilvl w:val="0"/>
          <w:numId w:val="32"/>
        </w:numPr>
        <w:ind w:left="284" w:hanging="284"/>
      </w:pPr>
      <w:r>
        <w:t xml:space="preserve">Submission of </w:t>
      </w:r>
      <w:proofErr w:type="gramStart"/>
      <w:r>
        <w:t>PSURs;</w:t>
      </w:r>
      <w:proofErr w:type="gramEnd"/>
    </w:p>
    <w:p w14:paraId="4AD86431" w14:textId="77777777" w:rsidR="001F221C" w:rsidRDefault="001F221C" w:rsidP="007D53B6">
      <w:pPr>
        <w:pStyle w:val="FootnoteText"/>
        <w:numPr>
          <w:ilvl w:val="0"/>
          <w:numId w:val="32"/>
        </w:numPr>
        <w:ind w:left="284" w:hanging="284"/>
      </w:pPr>
      <w:r>
        <w:t>Meeting other local regulatory agency requirements.</w:t>
      </w:r>
    </w:p>
  </w:footnote>
  <w:footnote w:id="11">
    <w:p w14:paraId="6F18B397" w14:textId="3B9276B1" w:rsidR="001F221C" w:rsidRDefault="001F221C" w:rsidP="00A753D1">
      <w:pPr>
        <w:pStyle w:val="FootnoteText"/>
      </w:pPr>
      <w:r>
        <w:rPr>
          <w:rStyle w:val="FootnoteReference"/>
        </w:rPr>
        <w:footnoteRef/>
      </w:r>
      <w:r>
        <w:t xml:space="preserve"> The </w:t>
      </w:r>
      <w:r w:rsidRPr="00A753D1">
        <w:rPr>
          <w:b/>
          <w:bCs/>
        </w:rPr>
        <w:t>Australia specific annex (ASA)</w:t>
      </w:r>
      <w:r>
        <w:t xml:space="preserve"> enables the European Union-risk management plan (EU-RMP), or, if no current EU-RMP exists, then a core or global RMP, to be adapted to the Australian context.</w:t>
      </w:r>
    </w:p>
    <w:p w14:paraId="44D3D4CD" w14:textId="77777777" w:rsidR="001F221C" w:rsidRDefault="001F221C" w:rsidP="00A753D1">
      <w:pPr>
        <w:pStyle w:val="FootnoteText"/>
      </w:pPr>
      <w:r>
        <w:t>The ASA is required because global activities proposed in the EU-RMP may differ from those planned for Australia. For example, the sponsor may propose different wording for the Australian PI than that proposed in the EU-RMP for the European Summary of Product Characteristics (SmPC).</w:t>
      </w:r>
    </w:p>
    <w:p w14:paraId="4134924B" w14:textId="08A84CAE" w:rsidR="001F221C" w:rsidRDefault="001F221C" w:rsidP="00A753D1">
      <w:pPr>
        <w:pStyle w:val="FootnoteText"/>
      </w:pPr>
      <w:r>
        <w:t xml:space="preserve">The ASA should provide Australian‐specific information that is important in assessing the risk in Australia (and therefore appropriateness of proposed plans/activities) and the relevance of product vigilance and risk minimisation activities to </w:t>
      </w:r>
      <w:proofErr w:type="gramStart"/>
      <w:r>
        <w:t>Australia, and</w:t>
      </w:r>
      <w:proofErr w:type="gramEnd"/>
      <w:r>
        <w:t xml:space="preserve"> identify and explain the reasons for any differences from activities planned overseas (this includes product information statements). If an RMP activity to be conducted overseas will not include Australian data, the ASA should address the applicability of that activity to the Australian context.</w:t>
      </w:r>
    </w:p>
  </w:footnote>
  <w:footnote w:id="12">
    <w:p w14:paraId="157853DA" w14:textId="77777777" w:rsidR="001F221C" w:rsidRPr="00456765" w:rsidRDefault="001F221C"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10B9D" w14:textId="77777777" w:rsidR="001F221C" w:rsidRDefault="001F2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F8622" w14:textId="77777777" w:rsidR="001F221C" w:rsidRDefault="001F221C"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8FDC" w14:textId="77777777" w:rsidR="001F221C" w:rsidRDefault="001F221C">
    <w:pPr>
      <w:rPr>
        <w:noProof/>
        <w:lang w:eastAsia="en-AU"/>
      </w:rPr>
    </w:pPr>
    <w:r w:rsidRPr="00347824">
      <w:rPr>
        <w:noProof/>
        <w:lang w:val="en-GB" w:eastAsia="en-GB"/>
      </w:rPr>
      <w:drawing>
        <wp:anchor distT="0" distB="0" distL="114300" distR="114300" simplePos="0" relativeHeight="251659264" behindDoc="1" locked="0" layoutInCell="1" allowOverlap="1" wp14:anchorId="744E6050" wp14:editId="7DD1DB9D">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92CC729" w14:textId="77777777" w:rsidR="001F221C" w:rsidRDefault="001F221C"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52B4" w14:textId="77777777" w:rsidR="001F221C" w:rsidRDefault="001F22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942E" w14:textId="77777777" w:rsidR="001F221C" w:rsidRDefault="001F221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17EB0" w14:textId="77777777" w:rsidR="001F221C" w:rsidRDefault="001F221C">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82BCD" w14:textId="77777777" w:rsidR="001F221C" w:rsidRDefault="001F22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30051" w14:textId="77777777" w:rsidR="001F221C" w:rsidRDefault="001F221C"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C43C" w14:textId="77777777" w:rsidR="001F221C" w:rsidRDefault="001F221C" w:rsidP="006E08B3">
    <w:r>
      <w:t>Therapeutic Goods Administration</w:t>
    </w:r>
  </w:p>
  <w:p w14:paraId="3D84F9CE" w14:textId="77777777" w:rsidR="001F221C" w:rsidRDefault="001F221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2AC2BB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0666B1B2"/>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A654E33"/>
    <w:multiLevelType w:val="hybridMultilevel"/>
    <w:tmpl w:val="13E8033A"/>
    <w:lvl w:ilvl="0" w:tplc="7EC6FB22">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270524FB"/>
    <w:multiLevelType w:val="hybridMultilevel"/>
    <w:tmpl w:val="A67A15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D2DFF"/>
    <w:multiLevelType w:val="hybridMultilevel"/>
    <w:tmpl w:val="92DA3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4F29FA"/>
    <w:multiLevelType w:val="hybridMultilevel"/>
    <w:tmpl w:val="2F2AB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19B3AF7"/>
    <w:multiLevelType w:val="hybridMultilevel"/>
    <w:tmpl w:val="1AAA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8"/>
  </w:num>
  <w:num w:numId="29">
    <w:abstractNumId w:val="7"/>
  </w:num>
  <w:num w:numId="30">
    <w:abstractNumId w:val="11"/>
  </w:num>
  <w:num w:numId="31">
    <w:abstractNumId w:val="4"/>
  </w:num>
  <w:num w:numId="32">
    <w:abstractNumId w:val="16"/>
  </w:num>
  <w:num w:numId="33">
    <w:abstractNumId w:val="14"/>
  </w:num>
  <w:num w:numId="34">
    <w:abstractNumId w:val="17"/>
  </w:num>
  <w:num w:numId="35">
    <w:abstractNumId w:val="5"/>
  </w:num>
  <w:num w:numId="36">
    <w:abstractNumId w:val="12"/>
  </w:num>
  <w:num w:numId="37">
    <w:abstractNumId w:val="13"/>
  </w:num>
  <w:num w:numId="38">
    <w:abstractNumId w:val="1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F5D"/>
    <w:rsid w:val="00002031"/>
    <w:rsid w:val="00004734"/>
    <w:rsid w:val="00006B22"/>
    <w:rsid w:val="00006FAB"/>
    <w:rsid w:val="0001276A"/>
    <w:rsid w:val="000161A0"/>
    <w:rsid w:val="000246AE"/>
    <w:rsid w:val="00025C67"/>
    <w:rsid w:val="000333E2"/>
    <w:rsid w:val="00044772"/>
    <w:rsid w:val="0004541C"/>
    <w:rsid w:val="0005559E"/>
    <w:rsid w:val="000604D6"/>
    <w:rsid w:val="000734D8"/>
    <w:rsid w:val="00077775"/>
    <w:rsid w:val="00077DB4"/>
    <w:rsid w:val="00090471"/>
    <w:rsid w:val="00096AA7"/>
    <w:rsid w:val="000A3AED"/>
    <w:rsid w:val="000B3532"/>
    <w:rsid w:val="000B3A75"/>
    <w:rsid w:val="000C00C2"/>
    <w:rsid w:val="000C4309"/>
    <w:rsid w:val="000C690F"/>
    <w:rsid w:val="000D1295"/>
    <w:rsid w:val="000D391B"/>
    <w:rsid w:val="000D3D6D"/>
    <w:rsid w:val="000D4FC7"/>
    <w:rsid w:val="000D61D1"/>
    <w:rsid w:val="000E6196"/>
    <w:rsid w:val="000F4869"/>
    <w:rsid w:val="000F5A5B"/>
    <w:rsid w:val="000F5B42"/>
    <w:rsid w:val="000F6E6F"/>
    <w:rsid w:val="0010601F"/>
    <w:rsid w:val="0010788A"/>
    <w:rsid w:val="00107A31"/>
    <w:rsid w:val="00110614"/>
    <w:rsid w:val="00110EA5"/>
    <w:rsid w:val="00112F56"/>
    <w:rsid w:val="00122C2E"/>
    <w:rsid w:val="00124ACD"/>
    <w:rsid w:val="00125318"/>
    <w:rsid w:val="001305A2"/>
    <w:rsid w:val="00133238"/>
    <w:rsid w:val="00133A1B"/>
    <w:rsid w:val="0014197B"/>
    <w:rsid w:val="001447CD"/>
    <w:rsid w:val="001516B1"/>
    <w:rsid w:val="00153E7F"/>
    <w:rsid w:val="00154EBB"/>
    <w:rsid w:val="00156316"/>
    <w:rsid w:val="00161181"/>
    <w:rsid w:val="00162D14"/>
    <w:rsid w:val="00163780"/>
    <w:rsid w:val="00165389"/>
    <w:rsid w:val="0017693F"/>
    <w:rsid w:val="0018110E"/>
    <w:rsid w:val="00181684"/>
    <w:rsid w:val="001843C6"/>
    <w:rsid w:val="001850E0"/>
    <w:rsid w:val="00197CD0"/>
    <w:rsid w:val="001A03AF"/>
    <w:rsid w:val="001A2158"/>
    <w:rsid w:val="001A525F"/>
    <w:rsid w:val="001A5A50"/>
    <w:rsid w:val="001B09F9"/>
    <w:rsid w:val="001B5C90"/>
    <w:rsid w:val="001B6448"/>
    <w:rsid w:val="001C32CD"/>
    <w:rsid w:val="001C5336"/>
    <w:rsid w:val="001D0726"/>
    <w:rsid w:val="001D2984"/>
    <w:rsid w:val="001D3BD3"/>
    <w:rsid w:val="001E07CF"/>
    <w:rsid w:val="001E39CD"/>
    <w:rsid w:val="001E46D2"/>
    <w:rsid w:val="001E59F1"/>
    <w:rsid w:val="001F221C"/>
    <w:rsid w:val="001F2CEE"/>
    <w:rsid w:val="001F49EB"/>
    <w:rsid w:val="001F6CBA"/>
    <w:rsid w:val="00201D4E"/>
    <w:rsid w:val="002051CB"/>
    <w:rsid w:val="002076C9"/>
    <w:rsid w:val="00220B8A"/>
    <w:rsid w:val="00222E90"/>
    <w:rsid w:val="00223F5D"/>
    <w:rsid w:val="002257F3"/>
    <w:rsid w:val="0023308B"/>
    <w:rsid w:val="00233456"/>
    <w:rsid w:val="002339A5"/>
    <w:rsid w:val="00250271"/>
    <w:rsid w:val="002569EC"/>
    <w:rsid w:val="00257848"/>
    <w:rsid w:val="002578E8"/>
    <w:rsid w:val="0027084A"/>
    <w:rsid w:val="00280265"/>
    <w:rsid w:val="00286434"/>
    <w:rsid w:val="00286C59"/>
    <w:rsid w:val="00291957"/>
    <w:rsid w:val="002942D1"/>
    <w:rsid w:val="0029501A"/>
    <w:rsid w:val="002A3721"/>
    <w:rsid w:val="002A66C5"/>
    <w:rsid w:val="002B1638"/>
    <w:rsid w:val="002B3624"/>
    <w:rsid w:val="002C253F"/>
    <w:rsid w:val="002D0952"/>
    <w:rsid w:val="002D3F17"/>
    <w:rsid w:val="002E40B3"/>
    <w:rsid w:val="002E4C9A"/>
    <w:rsid w:val="002F11F8"/>
    <w:rsid w:val="002F3F56"/>
    <w:rsid w:val="002F44B5"/>
    <w:rsid w:val="002F5122"/>
    <w:rsid w:val="00311AC0"/>
    <w:rsid w:val="003176FC"/>
    <w:rsid w:val="00324E45"/>
    <w:rsid w:val="0032583B"/>
    <w:rsid w:val="00327883"/>
    <w:rsid w:val="00330AA4"/>
    <w:rsid w:val="00335504"/>
    <w:rsid w:val="00340C18"/>
    <w:rsid w:val="003442FD"/>
    <w:rsid w:val="00347824"/>
    <w:rsid w:val="00350567"/>
    <w:rsid w:val="003521E8"/>
    <w:rsid w:val="0035650B"/>
    <w:rsid w:val="00370CE3"/>
    <w:rsid w:val="003728F3"/>
    <w:rsid w:val="003735BC"/>
    <w:rsid w:val="0037496E"/>
    <w:rsid w:val="00376DEC"/>
    <w:rsid w:val="00383221"/>
    <w:rsid w:val="00384B76"/>
    <w:rsid w:val="00386150"/>
    <w:rsid w:val="003874CE"/>
    <w:rsid w:val="00390900"/>
    <w:rsid w:val="003A7F6C"/>
    <w:rsid w:val="003B3A20"/>
    <w:rsid w:val="003B4D60"/>
    <w:rsid w:val="003B7E39"/>
    <w:rsid w:val="003C58DC"/>
    <w:rsid w:val="003D1E62"/>
    <w:rsid w:val="003E0B99"/>
    <w:rsid w:val="003E2486"/>
    <w:rsid w:val="003E3208"/>
    <w:rsid w:val="003F0B04"/>
    <w:rsid w:val="0040134E"/>
    <w:rsid w:val="004334C7"/>
    <w:rsid w:val="00440A2D"/>
    <w:rsid w:val="00441C3F"/>
    <w:rsid w:val="00444D1A"/>
    <w:rsid w:val="0045186A"/>
    <w:rsid w:val="004564A7"/>
    <w:rsid w:val="00456765"/>
    <w:rsid w:val="00457391"/>
    <w:rsid w:val="00460036"/>
    <w:rsid w:val="004617BF"/>
    <w:rsid w:val="00463658"/>
    <w:rsid w:val="004637A0"/>
    <w:rsid w:val="004722CC"/>
    <w:rsid w:val="00490483"/>
    <w:rsid w:val="004936E4"/>
    <w:rsid w:val="00494CF1"/>
    <w:rsid w:val="00494E60"/>
    <w:rsid w:val="00497487"/>
    <w:rsid w:val="004A2771"/>
    <w:rsid w:val="004A6189"/>
    <w:rsid w:val="004A7390"/>
    <w:rsid w:val="004A74D1"/>
    <w:rsid w:val="004B5CAE"/>
    <w:rsid w:val="004B7B76"/>
    <w:rsid w:val="004C239D"/>
    <w:rsid w:val="004C2DCA"/>
    <w:rsid w:val="004C4FBE"/>
    <w:rsid w:val="004C61D2"/>
    <w:rsid w:val="004F0C4A"/>
    <w:rsid w:val="004F0F38"/>
    <w:rsid w:val="004F47D6"/>
    <w:rsid w:val="00500337"/>
    <w:rsid w:val="00501921"/>
    <w:rsid w:val="00501D4F"/>
    <w:rsid w:val="005252B2"/>
    <w:rsid w:val="00530354"/>
    <w:rsid w:val="00535478"/>
    <w:rsid w:val="0053625B"/>
    <w:rsid w:val="005434C6"/>
    <w:rsid w:val="00543B39"/>
    <w:rsid w:val="00546154"/>
    <w:rsid w:val="00550096"/>
    <w:rsid w:val="00555280"/>
    <w:rsid w:val="00557FF9"/>
    <w:rsid w:val="00562327"/>
    <w:rsid w:val="005711D5"/>
    <w:rsid w:val="0057249C"/>
    <w:rsid w:val="00576378"/>
    <w:rsid w:val="00577130"/>
    <w:rsid w:val="00577945"/>
    <w:rsid w:val="00577E38"/>
    <w:rsid w:val="00585322"/>
    <w:rsid w:val="005857C6"/>
    <w:rsid w:val="00592F6E"/>
    <w:rsid w:val="00593AD1"/>
    <w:rsid w:val="005974D0"/>
    <w:rsid w:val="005A68B6"/>
    <w:rsid w:val="005C4F69"/>
    <w:rsid w:val="005C5570"/>
    <w:rsid w:val="005C5B66"/>
    <w:rsid w:val="005C79A4"/>
    <w:rsid w:val="005D5442"/>
    <w:rsid w:val="00603F32"/>
    <w:rsid w:val="00605AD4"/>
    <w:rsid w:val="006136D7"/>
    <w:rsid w:val="00625A6E"/>
    <w:rsid w:val="00632398"/>
    <w:rsid w:val="006400BB"/>
    <w:rsid w:val="00640FC3"/>
    <w:rsid w:val="00642020"/>
    <w:rsid w:val="006430EE"/>
    <w:rsid w:val="0065337B"/>
    <w:rsid w:val="0065419D"/>
    <w:rsid w:val="006603BC"/>
    <w:rsid w:val="006604D8"/>
    <w:rsid w:val="00664A5B"/>
    <w:rsid w:val="0066735C"/>
    <w:rsid w:val="006706AC"/>
    <w:rsid w:val="006763D2"/>
    <w:rsid w:val="00680C08"/>
    <w:rsid w:val="00691412"/>
    <w:rsid w:val="006916A0"/>
    <w:rsid w:val="006931B1"/>
    <w:rsid w:val="006A15C0"/>
    <w:rsid w:val="006A58A8"/>
    <w:rsid w:val="006C3E2A"/>
    <w:rsid w:val="006C642F"/>
    <w:rsid w:val="006D03E5"/>
    <w:rsid w:val="006D5D3E"/>
    <w:rsid w:val="006E04F0"/>
    <w:rsid w:val="006E08B3"/>
    <w:rsid w:val="006F17AC"/>
    <w:rsid w:val="006F25B8"/>
    <w:rsid w:val="006F492A"/>
    <w:rsid w:val="006F572E"/>
    <w:rsid w:val="007046D6"/>
    <w:rsid w:val="00705DB0"/>
    <w:rsid w:val="00715CC8"/>
    <w:rsid w:val="00721E0D"/>
    <w:rsid w:val="00722B57"/>
    <w:rsid w:val="00730F8A"/>
    <w:rsid w:val="00735A8C"/>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7D6AA3"/>
    <w:rsid w:val="00805D27"/>
    <w:rsid w:val="00806DCB"/>
    <w:rsid w:val="0081427B"/>
    <w:rsid w:val="00821776"/>
    <w:rsid w:val="008278F2"/>
    <w:rsid w:val="008321F5"/>
    <w:rsid w:val="00832369"/>
    <w:rsid w:val="00834660"/>
    <w:rsid w:val="00836BC2"/>
    <w:rsid w:val="0085156D"/>
    <w:rsid w:val="00852B28"/>
    <w:rsid w:val="0085641B"/>
    <w:rsid w:val="00857136"/>
    <w:rsid w:val="00873467"/>
    <w:rsid w:val="00875A6B"/>
    <w:rsid w:val="00875D7E"/>
    <w:rsid w:val="00876657"/>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3C0C"/>
    <w:rsid w:val="008C51A9"/>
    <w:rsid w:val="008D1BF5"/>
    <w:rsid w:val="008E7846"/>
    <w:rsid w:val="008F02E5"/>
    <w:rsid w:val="008F1CCC"/>
    <w:rsid w:val="008F2967"/>
    <w:rsid w:val="008F6943"/>
    <w:rsid w:val="00902A21"/>
    <w:rsid w:val="00905477"/>
    <w:rsid w:val="0091409E"/>
    <w:rsid w:val="0091523F"/>
    <w:rsid w:val="00920330"/>
    <w:rsid w:val="009219D7"/>
    <w:rsid w:val="00922D53"/>
    <w:rsid w:val="00923B70"/>
    <w:rsid w:val="00924482"/>
    <w:rsid w:val="009253EA"/>
    <w:rsid w:val="00930237"/>
    <w:rsid w:val="00937C17"/>
    <w:rsid w:val="00940A89"/>
    <w:rsid w:val="00941F77"/>
    <w:rsid w:val="00946375"/>
    <w:rsid w:val="00946EA5"/>
    <w:rsid w:val="00960520"/>
    <w:rsid w:val="00963C08"/>
    <w:rsid w:val="009752A5"/>
    <w:rsid w:val="0098585A"/>
    <w:rsid w:val="009871EB"/>
    <w:rsid w:val="009A4CED"/>
    <w:rsid w:val="009A690D"/>
    <w:rsid w:val="009B1D12"/>
    <w:rsid w:val="009B3C2D"/>
    <w:rsid w:val="009B416B"/>
    <w:rsid w:val="009C3C5E"/>
    <w:rsid w:val="009C4BD5"/>
    <w:rsid w:val="009D7B77"/>
    <w:rsid w:val="009E0BB0"/>
    <w:rsid w:val="009E3FBB"/>
    <w:rsid w:val="009E7BAC"/>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53D1"/>
    <w:rsid w:val="00A77F87"/>
    <w:rsid w:val="00A80387"/>
    <w:rsid w:val="00A80B5B"/>
    <w:rsid w:val="00A80BAC"/>
    <w:rsid w:val="00A84E36"/>
    <w:rsid w:val="00A87184"/>
    <w:rsid w:val="00A964D1"/>
    <w:rsid w:val="00AA0ED0"/>
    <w:rsid w:val="00AA23D0"/>
    <w:rsid w:val="00AB55F7"/>
    <w:rsid w:val="00AC2B40"/>
    <w:rsid w:val="00AC2BB2"/>
    <w:rsid w:val="00AC2C3C"/>
    <w:rsid w:val="00AC512D"/>
    <w:rsid w:val="00AD0083"/>
    <w:rsid w:val="00AD1287"/>
    <w:rsid w:val="00AD3935"/>
    <w:rsid w:val="00AE32E0"/>
    <w:rsid w:val="00AE65EB"/>
    <w:rsid w:val="00AE67A7"/>
    <w:rsid w:val="00AF1D94"/>
    <w:rsid w:val="00AF60C5"/>
    <w:rsid w:val="00B009C6"/>
    <w:rsid w:val="00B01548"/>
    <w:rsid w:val="00B0558A"/>
    <w:rsid w:val="00B130C5"/>
    <w:rsid w:val="00B13EBD"/>
    <w:rsid w:val="00B14A1E"/>
    <w:rsid w:val="00B21D29"/>
    <w:rsid w:val="00B227A0"/>
    <w:rsid w:val="00B25034"/>
    <w:rsid w:val="00B33588"/>
    <w:rsid w:val="00B33863"/>
    <w:rsid w:val="00B37D17"/>
    <w:rsid w:val="00B4175E"/>
    <w:rsid w:val="00B41C85"/>
    <w:rsid w:val="00B452CE"/>
    <w:rsid w:val="00B54C25"/>
    <w:rsid w:val="00B76B91"/>
    <w:rsid w:val="00B77EB1"/>
    <w:rsid w:val="00B811C6"/>
    <w:rsid w:val="00B855B0"/>
    <w:rsid w:val="00B85982"/>
    <w:rsid w:val="00B92E08"/>
    <w:rsid w:val="00BA6D19"/>
    <w:rsid w:val="00BC622A"/>
    <w:rsid w:val="00BD1F85"/>
    <w:rsid w:val="00BD7195"/>
    <w:rsid w:val="00BE0A78"/>
    <w:rsid w:val="00BE646E"/>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5A2"/>
    <w:rsid w:val="00C52E24"/>
    <w:rsid w:val="00C56B31"/>
    <w:rsid w:val="00C6316B"/>
    <w:rsid w:val="00C634A9"/>
    <w:rsid w:val="00C64586"/>
    <w:rsid w:val="00C65692"/>
    <w:rsid w:val="00C70A36"/>
    <w:rsid w:val="00C70D53"/>
    <w:rsid w:val="00C73D0B"/>
    <w:rsid w:val="00C74F5C"/>
    <w:rsid w:val="00C75526"/>
    <w:rsid w:val="00C772FF"/>
    <w:rsid w:val="00C80137"/>
    <w:rsid w:val="00C801AF"/>
    <w:rsid w:val="00C80256"/>
    <w:rsid w:val="00C94CD4"/>
    <w:rsid w:val="00C9747E"/>
    <w:rsid w:val="00CB6BC0"/>
    <w:rsid w:val="00CC1B7C"/>
    <w:rsid w:val="00CC1BDF"/>
    <w:rsid w:val="00CC727F"/>
    <w:rsid w:val="00CE7BA7"/>
    <w:rsid w:val="00CF15C3"/>
    <w:rsid w:val="00CF2B6F"/>
    <w:rsid w:val="00CF2F3E"/>
    <w:rsid w:val="00CF58B6"/>
    <w:rsid w:val="00CF5DAD"/>
    <w:rsid w:val="00D0062D"/>
    <w:rsid w:val="00D017ED"/>
    <w:rsid w:val="00D040D3"/>
    <w:rsid w:val="00D04C65"/>
    <w:rsid w:val="00D153D8"/>
    <w:rsid w:val="00D201D2"/>
    <w:rsid w:val="00D224FE"/>
    <w:rsid w:val="00D23139"/>
    <w:rsid w:val="00D26499"/>
    <w:rsid w:val="00D30839"/>
    <w:rsid w:val="00D425BB"/>
    <w:rsid w:val="00D453FA"/>
    <w:rsid w:val="00D62B5E"/>
    <w:rsid w:val="00D6493E"/>
    <w:rsid w:val="00D7195D"/>
    <w:rsid w:val="00D7301E"/>
    <w:rsid w:val="00D83AE1"/>
    <w:rsid w:val="00D855D4"/>
    <w:rsid w:val="00D902C9"/>
    <w:rsid w:val="00D91780"/>
    <w:rsid w:val="00D93466"/>
    <w:rsid w:val="00DA1124"/>
    <w:rsid w:val="00DA64CB"/>
    <w:rsid w:val="00DA7408"/>
    <w:rsid w:val="00DB06B8"/>
    <w:rsid w:val="00DB6124"/>
    <w:rsid w:val="00DB750B"/>
    <w:rsid w:val="00DB75B7"/>
    <w:rsid w:val="00DC0A2F"/>
    <w:rsid w:val="00DC1948"/>
    <w:rsid w:val="00DC6E02"/>
    <w:rsid w:val="00DD28CD"/>
    <w:rsid w:val="00DE02AE"/>
    <w:rsid w:val="00DE39D1"/>
    <w:rsid w:val="00DF1D7F"/>
    <w:rsid w:val="00DF4BE4"/>
    <w:rsid w:val="00E02382"/>
    <w:rsid w:val="00E02FB4"/>
    <w:rsid w:val="00E1271F"/>
    <w:rsid w:val="00E13FC7"/>
    <w:rsid w:val="00E20571"/>
    <w:rsid w:val="00E235F7"/>
    <w:rsid w:val="00E23659"/>
    <w:rsid w:val="00E239D4"/>
    <w:rsid w:val="00E26130"/>
    <w:rsid w:val="00E31759"/>
    <w:rsid w:val="00E33D42"/>
    <w:rsid w:val="00E40B22"/>
    <w:rsid w:val="00E41B25"/>
    <w:rsid w:val="00E44ED1"/>
    <w:rsid w:val="00E45619"/>
    <w:rsid w:val="00E4588F"/>
    <w:rsid w:val="00E46DA3"/>
    <w:rsid w:val="00E50C3E"/>
    <w:rsid w:val="00E51BB1"/>
    <w:rsid w:val="00E55CB0"/>
    <w:rsid w:val="00E56D10"/>
    <w:rsid w:val="00E624A5"/>
    <w:rsid w:val="00E64BA4"/>
    <w:rsid w:val="00E65953"/>
    <w:rsid w:val="00E7344E"/>
    <w:rsid w:val="00E82665"/>
    <w:rsid w:val="00E91F17"/>
    <w:rsid w:val="00EB0798"/>
    <w:rsid w:val="00EB40AD"/>
    <w:rsid w:val="00EB586E"/>
    <w:rsid w:val="00EB5FC8"/>
    <w:rsid w:val="00EC463D"/>
    <w:rsid w:val="00EC7A85"/>
    <w:rsid w:val="00ED2922"/>
    <w:rsid w:val="00ED3CAD"/>
    <w:rsid w:val="00ED5A41"/>
    <w:rsid w:val="00EE0A94"/>
    <w:rsid w:val="00EE1DE8"/>
    <w:rsid w:val="00EE27C2"/>
    <w:rsid w:val="00EE3542"/>
    <w:rsid w:val="00EF4BAD"/>
    <w:rsid w:val="00EF59DC"/>
    <w:rsid w:val="00F033EC"/>
    <w:rsid w:val="00F04F68"/>
    <w:rsid w:val="00F12670"/>
    <w:rsid w:val="00F14B27"/>
    <w:rsid w:val="00F3148D"/>
    <w:rsid w:val="00F325C5"/>
    <w:rsid w:val="00F32FE0"/>
    <w:rsid w:val="00F35298"/>
    <w:rsid w:val="00F41876"/>
    <w:rsid w:val="00F42C99"/>
    <w:rsid w:val="00F431AA"/>
    <w:rsid w:val="00F4625B"/>
    <w:rsid w:val="00F4700D"/>
    <w:rsid w:val="00F47333"/>
    <w:rsid w:val="00F47E37"/>
    <w:rsid w:val="00F53C07"/>
    <w:rsid w:val="00F54B65"/>
    <w:rsid w:val="00F63DBF"/>
    <w:rsid w:val="00F640B6"/>
    <w:rsid w:val="00F66DF2"/>
    <w:rsid w:val="00F80E40"/>
    <w:rsid w:val="00F848D9"/>
    <w:rsid w:val="00F9794F"/>
    <w:rsid w:val="00FA5069"/>
    <w:rsid w:val="00FA5B82"/>
    <w:rsid w:val="00FA639E"/>
    <w:rsid w:val="00FB08CC"/>
    <w:rsid w:val="00FB369D"/>
    <w:rsid w:val="00FC1FCA"/>
    <w:rsid w:val="00FC25E4"/>
    <w:rsid w:val="00FC4EF7"/>
    <w:rsid w:val="00FD0824"/>
    <w:rsid w:val="00FD119B"/>
    <w:rsid w:val="00FD1EDC"/>
    <w:rsid w:val="00FD3A0F"/>
    <w:rsid w:val="00FE1DEE"/>
    <w:rsid w:val="00FE4641"/>
    <w:rsid w:val="00FF05B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2E2DBE"/>
  <w15:docId w15:val="{03813E56-FE79-44B7-9C9B-3CA991E1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F221C"/>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Standard">
    <w:name w:val="Standard"/>
    <w:basedOn w:val="Normal"/>
    <w:link w:val="StandardChar"/>
    <w:qFormat/>
    <w:rsid w:val="00077DB4"/>
    <w:pPr>
      <w:spacing w:before="0" w:after="220" w:line="252" w:lineRule="auto"/>
    </w:pPr>
    <w:rPr>
      <w:rFonts w:ascii="Times New Roman" w:eastAsia="Times New Roman" w:hAnsi="Times New Roman"/>
      <w:snapToGrid w:val="0"/>
      <w:kern w:val="16"/>
      <w:sz w:val="23"/>
      <w:szCs w:val="24"/>
    </w:rPr>
  </w:style>
  <w:style w:type="character" w:customStyle="1" w:styleId="StandardChar">
    <w:name w:val="Standard Char"/>
    <w:basedOn w:val="DefaultParagraphFont"/>
    <w:link w:val="Standard"/>
    <w:rsid w:val="00077DB4"/>
    <w:rPr>
      <w:rFonts w:ascii="Times New Roman" w:eastAsia="Times New Roman" w:hAnsi="Times New Roman" w:cs="Times New Roman"/>
      <w:snapToGrid w:val="0"/>
      <w:kern w:val="16"/>
      <w:sz w:val="23"/>
      <w:szCs w:val="24"/>
    </w:rPr>
  </w:style>
  <w:style w:type="paragraph" w:customStyle="1" w:styleId="Bulletpoint">
    <w:name w:val="Bullet point"/>
    <w:basedOn w:val="Standard"/>
    <w:rsid w:val="00077DB4"/>
    <w:pPr>
      <w:numPr>
        <w:numId w:val="33"/>
      </w:numPr>
      <w:tabs>
        <w:tab w:val="clear" w:pos="369"/>
        <w:tab w:val="left" w:pos="397"/>
        <w:tab w:val="num" w:pos="511"/>
      </w:tabs>
      <w:spacing w:after="180"/>
      <w:ind w:left="0" w:firstLine="0"/>
    </w:pPr>
    <w:rPr>
      <w:sz w:val="22"/>
    </w:rPr>
  </w:style>
  <w:style w:type="paragraph" w:styleId="ListParagraph">
    <w:name w:val="List Paragraph"/>
    <w:basedOn w:val="Normal"/>
    <w:link w:val="ListParagraphChar"/>
    <w:uiPriority w:val="34"/>
    <w:qFormat/>
    <w:rsid w:val="00077DB4"/>
    <w:pPr>
      <w:adjustRightInd w:val="0"/>
      <w:snapToGrid w:val="0"/>
      <w:spacing w:before="180" w:after="180" w:line="259" w:lineRule="auto"/>
      <w:ind w:left="720"/>
      <w:contextualSpacing/>
    </w:pPr>
    <w:rPr>
      <w:rFonts w:ascii="Times New Roman" w:eastAsia="MS Mincho" w:hAnsi="Times New Roman"/>
      <w:sz w:val="24"/>
      <w:szCs w:val="20"/>
      <w:lang w:eastAsia="ja-JP"/>
    </w:rPr>
  </w:style>
  <w:style w:type="character" w:customStyle="1" w:styleId="ListParagraphChar">
    <w:name w:val="List Paragraph Char"/>
    <w:basedOn w:val="DefaultParagraphFont"/>
    <w:link w:val="ListParagraph"/>
    <w:uiPriority w:val="34"/>
    <w:rsid w:val="00077DB4"/>
    <w:rPr>
      <w:rFonts w:ascii="Times New Roman" w:eastAsia="MS Mincho" w:hAnsi="Times New Roman" w:cs="Times New Roman"/>
      <w:sz w:val="24"/>
      <w:szCs w:val="20"/>
      <w:lang w:eastAsia="ja-JP"/>
    </w:rPr>
  </w:style>
  <w:style w:type="paragraph" w:customStyle="1" w:styleId="Bulletlist">
    <w:name w:val="Bullet list"/>
    <w:basedOn w:val="Standard"/>
    <w:link w:val="BulletlistChar"/>
    <w:qFormat/>
    <w:rsid w:val="009253EA"/>
    <w:pPr>
      <w:numPr>
        <w:numId w:val="35"/>
      </w:numPr>
      <w:spacing w:after="180"/>
      <w:ind w:left="426" w:hanging="284"/>
    </w:pPr>
    <w:rPr>
      <w:rFonts w:ascii="Cambria" w:hAnsi="Cambria"/>
      <w:kern w:val="2"/>
    </w:rPr>
  </w:style>
  <w:style w:type="character" w:customStyle="1" w:styleId="BulletlistChar">
    <w:name w:val="Bullet list Char"/>
    <w:basedOn w:val="StandardChar"/>
    <w:link w:val="Bulletlist"/>
    <w:rsid w:val="009253EA"/>
    <w:rPr>
      <w:rFonts w:ascii="Cambria" w:eastAsia="Times New Roman" w:hAnsi="Cambria" w:cs="Times New Roman"/>
      <w:snapToGrid w:val="0"/>
      <w:kern w:val="2"/>
      <w:sz w:val="23"/>
      <w:szCs w:val="24"/>
    </w:rPr>
  </w:style>
  <w:style w:type="character" w:customStyle="1" w:styleId="TabletextChar">
    <w:name w:val="Table text Char"/>
    <w:basedOn w:val="StandardChar"/>
    <w:link w:val="Tabletext"/>
    <w:rsid w:val="009253EA"/>
    <w:rPr>
      <w:rFonts w:ascii="Cambria" w:eastAsia="Cambria" w:hAnsi="Cambria" w:cs="Times New Roman"/>
      <w:snapToGrid/>
      <w:kern w:val="16"/>
      <w:sz w:val="19"/>
      <w:szCs w:val="24"/>
    </w:rPr>
  </w:style>
  <w:style w:type="character" w:styleId="Emphasis">
    <w:name w:val="Emphasis"/>
    <w:basedOn w:val="DefaultParagraphFont"/>
    <w:uiPriority w:val="20"/>
    <w:qFormat/>
    <w:rsid w:val="002569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hyperlink" Target="https://www.tga.gov.au"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hyperlink" Target="https://www.tga.gov.au" TargetMode="External"/><Relationship Id="rId51"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ED7D7-315E-44AE-B845-ACAFE8EE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11802</Words>
  <Characters>68809</Characters>
  <Application>Microsoft Office Word</Application>
  <DocSecurity>0</DocSecurity>
  <Lines>2219</Lines>
  <Paragraphs>1203</Paragraphs>
  <ScaleCrop>false</ScaleCrop>
  <HeadingPairs>
    <vt:vector size="2" baseType="variant">
      <vt:variant>
        <vt:lpstr>Title</vt:lpstr>
      </vt:variant>
      <vt:variant>
        <vt:i4>1</vt:i4>
      </vt:variant>
    </vt:vector>
  </HeadingPairs>
  <TitlesOfParts>
    <vt:vector size="1" baseType="lpstr">
      <vt:lpstr>Australian public assessment report for Finerenone</vt:lpstr>
    </vt:vector>
  </TitlesOfParts>
  <Company>Department of Health Therapeutic Goods Administration</Company>
  <LinksUpToDate>false</LinksUpToDate>
  <CharactersWithSpaces>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Finerenone</dc:title>
  <dc:subject>prescription medicines</dc:subject>
  <dc:creator>Therapeutic Goods Administration</dc:creator>
  <cp:keywords/>
  <cp:lastPrinted>2019-08-14T04:30:00Z</cp:lastPrinted>
  <dcterms:created xsi:type="dcterms:W3CDTF">2022-05-31T04:10:00Z</dcterms:created>
  <dcterms:modified xsi:type="dcterms:W3CDTF">2022-05-31T04:24:00Z</dcterms:modified>
  <cp:category/>
</cp:coreProperties>
</file>