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EC4BC" w14:textId="77777777" w:rsidR="00950DC7" w:rsidRDefault="004032BD" w:rsidP="00950DC7">
      <w:pPr>
        <w:pStyle w:val="Heading1"/>
        <w:numPr>
          <w:ilvl w:val="0"/>
          <w:numId w:val="0"/>
        </w:numPr>
        <w:spacing w:before="240" w:after="240"/>
        <w:rPr>
          <w:rFonts w:ascii="Times New Roman" w:eastAsia="SimSun" w:hAnsi="Times New Roman" w:cs="Times New Roman"/>
        </w:rPr>
      </w:pPr>
      <w:r w:rsidRPr="00A34935">
        <w:rPr>
          <w:rFonts w:ascii="Times New Roman" w:eastAsia="SimSun" w:hAnsi="Times New Roman" w:cs="Times New Roman"/>
        </w:rPr>
        <w:t>Australian P</w:t>
      </w:r>
      <w:r w:rsidR="00677840" w:rsidRPr="00A34935">
        <w:rPr>
          <w:rFonts w:ascii="Times New Roman" w:eastAsia="SimSun" w:hAnsi="Times New Roman" w:cs="Times New Roman"/>
        </w:rPr>
        <w:t xml:space="preserve">roduct </w:t>
      </w:r>
      <w:r w:rsidRPr="00A34935">
        <w:rPr>
          <w:rFonts w:ascii="Times New Roman" w:eastAsia="SimSun" w:hAnsi="Times New Roman" w:cs="Times New Roman"/>
        </w:rPr>
        <w:t>I</w:t>
      </w:r>
      <w:r w:rsidR="00677840" w:rsidRPr="00A34935">
        <w:rPr>
          <w:rFonts w:ascii="Times New Roman" w:eastAsia="SimSun" w:hAnsi="Times New Roman" w:cs="Times New Roman"/>
        </w:rPr>
        <w:t>nformation</w:t>
      </w:r>
      <w:r w:rsidRPr="00A34935">
        <w:rPr>
          <w:rFonts w:ascii="Times New Roman" w:eastAsia="SimSun" w:hAnsi="Times New Roman" w:cs="Times New Roman"/>
        </w:rPr>
        <w:t xml:space="preserve"> – </w:t>
      </w:r>
      <w:r w:rsidR="00C7166D" w:rsidRPr="00A34935">
        <w:rPr>
          <w:rFonts w:ascii="Times New Roman" w:eastAsia="SimSun" w:hAnsi="Times New Roman" w:cs="Times New Roman"/>
        </w:rPr>
        <w:t>ILLUCCIX</w:t>
      </w:r>
      <w:r w:rsidR="00F313CF">
        <w:rPr>
          <w:rFonts w:ascii="Times New Roman" w:eastAsia="SimSun" w:hAnsi="Times New Roman" w:cs="Times New Roman"/>
        </w:rPr>
        <w:t xml:space="preserve"> </w:t>
      </w:r>
      <w:r w:rsidRPr="00A34935">
        <w:rPr>
          <w:rFonts w:ascii="Times New Roman" w:eastAsia="SimSun" w:hAnsi="Times New Roman" w:cs="Times New Roman"/>
        </w:rPr>
        <w:t>(</w:t>
      </w:r>
      <w:r w:rsidR="00C7166D" w:rsidRPr="00A34935">
        <w:rPr>
          <w:rFonts w:ascii="Times New Roman" w:eastAsia="SimSun" w:hAnsi="Times New Roman" w:cs="Times New Roman"/>
        </w:rPr>
        <w:t xml:space="preserve">Kit for the Preparation of Ga-68 </w:t>
      </w:r>
      <w:r w:rsidR="00F313CF" w:rsidRPr="00F313CF">
        <w:rPr>
          <w:rFonts w:ascii="Times New Roman" w:eastAsia="SimSun" w:hAnsi="Times New Roman" w:cs="Times New Roman"/>
        </w:rPr>
        <w:t>Glu-urea-Lys(ahx)-hbed-CC</w:t>
      </w:r>
      <w:r w:rsidRPr="00A34935">
        <w:rPr>
          <w:rFonts w:ascii="Times New Roman" w:eastAsia="SimSun" w:hAnsi="Times New Roman" w:cs="Times New Roman"/>
        </w:rPr>
        <w:t>)</w:t>
      </w:r>
      <w:r w:rsidR="00F313CF">
        <w:rPr>
          <w:rFonts w:ascii="Times New Roman" w:eastAsia="SimSun" w:hAnsi="Times New Roman" w:cs="Times New Roman"/>
        </w:rPr>
        <w:t xml:space="preserve"> </w:t>
      </w:r>
      <w:r w:rsidR="0090264A" w:rsidRPr="00A34935">
        <w:rPr>
          <w:rFonts w:ascii="Times New Roman" w:eastAsia="SimSun" w:hAnsi="Times New Roman" w:cs="Times New Roman"/>
        </w:rPr>
        <w:t>Injection</w:t>
      </w:r>
    </w:p>
    <w:p w14:paraId="7EBE46B8" w14:textId="77777777" w:rsidR="001A3992" w:rsidRPr="00A34935" w:rsidRDefault="001A3992" w:rsidP="00DF5E99">
      <w:pPr>
        <w:pStyle w:val="Heading1"/>
        <w:spacing w:before="0" w:after="120"/>
        <w:ind w:left="431" w:hanging="431"/>
        <w:rPr>
          <w:rFonts w:ascii="Times New Roman" w:hAnsi="Times New Roman" w:cs="Times New Roman"/>
        </w:rPr>
      </w:pPr>
      <w:r w:rsidRPr="00A34935">
        <w:rPr>
          <w:rFonts w:ascii="Times New Roman" w:hAnsi="Times New Roman" w:cs="Times New Roman"/>
        </w:rPr>
        <w:t>Name of the medicine</w:t>
      </w:r>
    </w:p>
    <w:p w14:paraId="64AC0CA8" w14:textId="77777777" w:rsidR="0090264A" w:rsidRPr="00FA33A0" w:rsidRDefault="00FA33A0" w:rsidP="0090264A">
      <w:pPr>
        <w:rPr>
          <w:rFonts w:ascii="Times New Roman" w:eastAsia="TimesNewRoman" w:hAnsi="Times New Roman" w:cs="Times New Roman"/>
        </w:rPr>
      </w:pPr>
      <w:r w:rsidRPr="00FA33A0">
        <w:rPr>
          <w:rFonts w:ascii="Times New Roman" w:eastAsia="TimesNewRoman" w:hAnsi="Times New Roman" w:cs="Times New Roman"/>
        </w:rPr>
        <w:t>ILLUCCIX</w:t>
      </w:r>
      <w:r w:rsidRPr="00562247">
        <w:rPr>
          <w:rFonts w:ascii="Times New Roman" w:eastAsia="TimesNewRoman" w:hAnsi="Times New Roman" w:cs="Times New Roman"/>
          <w:vertAlign w:val="superscript"/>
        </w:rPr>
        <w:t>TM</w:t>
      </w:r>
      <w:r w:rsidRPr="00FA33A0">
        <w:rPr>
          <w:rFonts w:ascii="Times New Roman" w:eastAsia="TimesNewRoman" w:hAnsi="Times New Roman" w:cs="Times New Roman"/>
        </w:rPr>
        <w:t xml:space="preserve">  25 µg, Kit for </w:t>
      </w:r>
      <w:r w:rsidR="00C2456A" w:rsidRPr="00A34935">
        <w:rPr>
          <w:rFonts w:ascii="Times New Roman" w:eastAsia="TimesNewRoman" w:hAnsi="Times New Roman" w:cs="Times New Roman"/>
        </w:rPr>
        <w:t xml:space="preserve">Ga-68 </w:t>
      </w:r>
      <w:r w:rsidR="00C2456A" w:rsidRPr="00F313CF">
        <w:rPr>
          <w:rFonts w:ascii="Times New Roman" w:eastAsia="TimesNewRoman" w:hAnsi="Times New Roman" w:cs="Times New Roman"/>
        </w:rPr>
        <w:t>Glu-urea-Lys(</w:t>
      </w:r>
      <w:proofErr w:type="spellStart"/>
      <w:r w:rsidR="00C2456A" w:rsidRPr="00F313CF">
        <w:rPr>
          <w:rFonts w:ascii="Times New Roman" w:eastAsia="TimesNewRoman" w:hAnsi="Times New Roman" w:cs="Times New Roman"/>
        </w:rPr>
        <w:t>ahx</w:t>
      </w:r>
      <w:proofErr w:type="spellEnd"/>
      <w:r w:rsidR="00C2456A" w:rsidRPr="00F313CF">
        <w:rPr>
          <w:rFonts w:ascii="Times New Roman" w:eastAsia="TimesNewRoman" w:hAnsi="Times New Roman" w:cs="Times New Roman"/>
        </w:rPr>
        <w:t>)-</w:t>
      </w:r>
      <w:proofErr w:type="spellStart"/>
      <w:r w:rsidR="00C2456A" w:rsidRPr="00F313CF">
        <w:rPr>
          <w:rFonts w:ascii="Times New Roman" w:eastAsia="TimesNewRoman" w:hAnsi="Times New Roman" w:cs="Times New Roman"/>
        </w:rPr>
        <w:t>hbed</w:t>
      </w:r>
      <w:proofErr w:type="spellEnd"/>
      <w:r w:rsidR="00C2456A" w:rsidRPr="00F313CF">
        <w:rPr>
          <w:rFonts w:ascii="Times New Roman" w:eastAsia="TimesNewRoman" w:hAnsi="Times New Roman" w:cs="Times New Roman"/>
        </w:rPr>
        <w:t>-CC</w:t>
      </w:r>
      <w:r w:rsidR="00C2456A" w:rsidRPr="00FA33A0">
        <w:rPr>
          <w:rFonts w:ascii="Times New Roman" w:eastAsia="TimesNewRoman" w:hAnsi="Times New Roman" w:cs="Times New Roman"/>
        </w:rPr>
        <w:t xml:space="preserve"> </w:t>
      </w:r>
      <w:r w:rsidRPr="00FA33A0">
        <w:rPr>
          <w:rFonts w:ascii="Times New Roman" w:eastAsia="TimesNewRoman" w:hAnsi="Times New Roman" w:cs="Times New Roman"/>
        </w:rPr>
        <w:t>radiopharmaceutical preparation</w:t>
      </w:r>
    </w:p>
    <w:p w14:paraId="376E8723" w14:textId="77777777" w:rsidR="001A3992" w:rsidRPr="00A34935" w:rsidRDefault="001A3992" w:rsidP="001A3992">
      <w:pPr>
        <w:pStyle w:val="Heading1"/>
        <w:spacing w:before="0" w:after="120"/>
        <w:rPr>
          <w:rFonts w:ascii="Times New Roman" w:hAnsi="Times New Roman" w:cs="Times New Roman"/>
        </w:rPr>
      </w:pPr>
      <w:r w:rsidRPr="00A34935">
        <w:rPr>
          <w:rFonts w:ascii="Times New Roman" w:hAnsi="Times New Roman" w:cs="Times New Roman"/>
        </w:rPr>
        <w:t>Qualitative and quantitative composition</w:t>
      </w:r>
    </w:p>
    <w:p w14:paraId="26431817" w14:textId="77777777" w:rsidR="004E2392" w:rsidRPr="00A34935" w:rsidRDefault="004E2392" w:rsidP="004E2392">
      <w:pPr>
        <w:rPr>
          <w:rFonts w:ascii="Times New Roman" w:eastAsia="TimesNewRoman" w:hAnsi="Times New Roman" w:cs="Times New Roman"/>
        </w:rPr>
      </w:pPr>
      <w:r w:rsidRPr="00A34935">
        <w:rPr>
          <w:rFonts w:ascii="Times New Roman" w:eastAsia="TimesNewRoman" w:hAnsi="Times New Roman" w:cs="Times New Roman"/>
        </w:rPr>
        <w:t xml:space="preserve">ILLUCCIX is supplied as a sterile, multi-dose kit for the preparation of Ga-68 </w:t>
      </w:r>
      <w:r w:rsidR="00F313CF" w:rsidRPr="00F313CF">
        <w:rPr>
          <w:rFonts w:ascii="Times New Roman" w:eastAsia="TimesNewRoman" w:hAnsi="Times New Roman" w:cs="Times New Roman"/>
        </w:rPr>
        <w:t>Glu-urea-Lys(</w:t>
      </w:r>
      <w:proofErr w:type="spellStart"/>
      <w:r w:rsidR="00F313CF" w:rsidRPr="00F313CF">
        <w:rPr>
          <w:rFonts w:ascii="Times New Roman" w:eastAsia="TimesNewRoman" w:hAnsi="Times New Roman" w:cs="Times New Roman"/>
        </w:rPr>
        <w:t>ahx</w:t>
      </w:r>
      <w:proofErr w:type="spellEnd"/>
      <w:r w:rsidR="00F313CF" w:rsidRPr="00F313CF">
        <w:rPr>
          <w:rFonts w:ascii="Times New Roman" w:eastAsia="TimesNewRoman" w:hAnsi="Times New Roman" w:cs="Times New Roman"/>
        </w:rPr>
        <w:t>)-</w:t>
      </w:r>
      <w:proofErr w:type="spellStart"/>
      <w:r w:rsidR="00F313CF" w:rsidRPr="00F313CF">
        <w:rPr>
          <w:rFonts w:ascii="Times New Roman" w:eastAsia="TimesNewRoman" w:hAnsi="Times New Roman" w:cs="Times New Roman"/>
        </w:rPr>
        <w:t>hbed</w:t>
      </w:r>
      <w:proofErr w:type="spellEnd"/>
      <w:r w:rsidR="00F313CF" w:rsidRPr="00F313CF">
        <w:rPr>
          <w:rFonts w:ascii="Times New Roman" w:eastAsia="TimesNewRoman" w:hAnsi="Times New Roman" w:cs="Times New Roman"/>
        </w:rPr>
        <w:t>-CC</w:t>
      </w:r>
      <w:r w:rsidRPr="00A34935">
        <w:rPr>
          <w:rFonts w:ascii="Times New Roman" w:eastAsia="TimesNewRoman" w:hAnsi="Times New Roman" w:cs="Times New Roman"/>
        </w:rPr>
        <w:t xml:space="preserve"> for intravenous use.  </w:t>
      </w:r>
      <w:r w:rsidR="00E22C9E" w:rsidRPr="00A34935">
        <w:rPr>
          <w:rFonts w:ascii="Times New Roman" w:hAnsi="Times New Roman" w:cs="Times New Roman"/>
        </w:rPr>
        <w:t>There are 2 different kit configurations, each containing 3 vials.</w:t>
      </w:r>
    </w:p>
    <w:p w14:paraId="7700040B" w14:textId="77777777" w:rsidR="00226A55" w:rsidRPr="00A34935" w:rsidRDefault="00226A55" w:rsidP="00226A55">
      <w:pPr>
        <w:rPr>
          <w:rFonts w:ascii="Times New Roman" w:eastAsia="TimesNewRoman" w:hAnsi="Times New Roman" w:cs="Times New Roman"/>
        </w:rPr>
      </w:pPr>
      <w:r w:rsidRPr="00A34935">
        <w:rPr>
          <w:rFonts w:ascii="Times New Roman" w:eastAsia="TimesNewRoman" w:hAnsi="Times New Roman" w:cs="Times New Roman"/>
        </w:rPr>
        <w:t xml:space="preserve">ILLUCCIX Configuration “A” is intended for use with Ga-68 produced from a cyclotron and purified via GE </w:t>
      </w:r>
      <w:proofErr w:type="spellStart"/>
      <w:r w:rsidRPr="00A34935">
        <w:rPr>
          <w:rFonts w:ascii="Times New Roman" w:eastAsia="TimesNewRoman" w:hAnsi="Times New Roman" w:cs="Times New Roman"/>
        </w:rPr>
        <w:t>FASTlab</w:t>
      </w:r>
      <w:r w:rsidRPr="00A34935">
        <w:rPr>
          <w:rFonts w:ascii="Times New Roman" w:eastAsia="TimesNewRoman" w:hAnsi="Times New Roman" w:cs="Times New Roman"/>
          <w:vertAlign w:val="superscript"/>
        </w:rPr>
        <w:t>TM</w:t>
      </w:r>
      <w:proofErr w:type="spellEnd"/>
      <w:r w:rsidRPr="00A34935">
        <w:rPr>
          <w:rFonts w:ascii="Times New Roman" w:eastAsia="TimesNewRoman" w:hAnsi="Times New Roman" w:cs="Times New Roman"/>
        </w:rPr>
        <w:t xml:space="preserve"> or Eckert &amp; Ziegler </w:t>
      </w:r>
      <w:proofErr w:type="spellStart"/>
      <w:r w:rsidRPr="00A34935">
        <w:rPr>
          <w:rFonts w:ascii="Times New Roman" w:eastAsia="TimesNewRoman" w:hAnsi="Times New Roman" w:cs="Times New Roman"/>
        </w:rPr>
        <w:t>GalliaPharm</w:t>
      </w:r>
      <w:proofErr w:type="spellEnd"/>
      <w:r w:rsidRPr="00A34935">
        <w:rPr>
          <w:rFonts w:ascii="Times New Roman" w:eastAsia="TimesNewRoman" w:hAnsi="Times New Roman" w:cs="Times New Roman"/>
          <w:vertAlign w:val="superscript"/>
        </w:rPr>
        <w:t>®</w:t>
      </w:r>
      <w:r w:rsidRPr="00A34935">
        <w:rPr>
          <w:rFonts w:ascii="Times New Roman" w:eastAsia="TimesNewRoman" w:hAnsi="Times New Roman" w:cs="Times New Roman"/>
        </w:rPr>
        <w:t xml:space="preserve"> Ge 68/Ga-68 generator and includes:</w:t>
      </w:r>
    </w:p>
    <w:p w14:paraId="56A80418" w14:textId="77777777" w:rsidR="00226A55" w:rsidRPr="00A34935" w:rsidRDefault="00226A55" w:rsidP="00226A55">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A34935">
        <w:rPr>
          <w:rFonts w:ascii="Times New Roman" w:eastAsia="TimesNewRoman" w:hAnsi="Times New Roman" w:cs="Times New Roman"/>
        </w:rPr>
        <w:t>Vial 1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Vial): contains 25 </w:t>
      </w:r>
      <w:r w:rsidR="003352D2">
        <w:rPr>
          <w:rFonts w:ascii="Times New Roman" w:eastAsia="TimesNewRoman" w:hAnsi="Times New Roman" w:cs="Times New Roman"/>
        </w:rPr>
        <w:t>microgram</w:t>
      </w:r>
      <w:r w:rsidRPr="00A34935">
        <w:rPr>
          <w:rFonts w:ascii="Times New Roman" w:eastAsia="TimesNewRoman" w:hAnsi="Times New Roman" w:cs="Times New Roman"/>
        </w:rPr>
        <w:t xml:space="preserve"> </w:t>
      </w:r>
      <w:r w:rsidR="00F313CF">
        <w:rPr>
          <w:rFonts w:ascii="Times New Roman" w:eastAsia="TimesNewRoman" w:hAnsi="Times New Roman" w:cs="Times New Roman"/>
        </w:rPr>
        <w:t>Glu-urea-Lys(</w:t>
      </w:r>
      <w:proofErr w:type="spellStart"/>
      <w:r w:rsidR="00F313CF">
        <w:rPr>
          <w:rFonts w:ascii="Times New Roman" w:eastAsia="TimesNewRoman" w:hAnsi="Times New Roman" w:cs="Times New Roman"/>
        </w:rPr>
        <w:t>ahx</w:t>
      </w:r>
      <w:proofErr w:type="spellEnd"/>
      <w:r w:rsidR="00F313CF">
        <w:rPr>
          <w:rFonts w:ascii="Times New Roman" w:eastAsia="TimesNewRoman" w:hAnsi="Times New Roman" w:cs="Times New Roman"/>
        </w:rPr>
        <w:t>)-</w:t>
      </w:r>
      <w:proofErr w:type="spellStart"/>
      <w:r w:rsidR="00F313CF">
        <w:rPr>
          <w:rFonts w:ascii="Times New Roman" w:eastAsia="TimesNewRoman" w:hAnsi="Times New Roman" w:cs="Times New Roman"/>
        </w:rPr>
        <w:t>hbed</w:t>
      </w:r>
      <w:proofErr w:type="spellEnd"/>
      <w:r w:rsidR="00F313CF">
        <w:rPr>
          <w:rFonts w:ascii="Times New Roman" w:eastAsia="TimesNewRoman" w:hAnsi="Times New Roman" w:cs="Times New Roman"/>
        </w:rPr>
        <w:t>-CC</w:t>
      </w:r>
      <w:r w:rsidR="007D10C7">
        <w:rPr>
          <w:rFonts w:ascii="Times New Roman" w:eastAsia="TimesNewRoman" w:hAnsi="Times New Roman" w:cs="Times New Roman"/>
        </w:rPr>
        <w:t>,</w:t>
      </w:r>
      <w:r w:rsidRPr="00A34935">
        <w:rPr>
          <w:rFonts w:ascii="Times New Roman" w:eastAsia="TimesNewRoman" w:hAnsi="Times New Roman" w:cs="Times New Roman"/>
        </w:rPr>
        <w:t xml:space="preserve"> 10 </w:t>
      </w:r>
      <w:r w:rsidR="003352D2">
        <w:rPr>
          <w:rFonts w:ascii="Times New Roman" w:eastAsia="TimesNewRoman" w:hAnsi="Times New Roman" w:cs="Times New Roman"/>
        </w:rPr>
        <w:t>microgram</w:t>
      </w:r>
      <w:r w:rsidRPr="00A34935">
        <w:rPr>
          <w:rFonts w:ascii="Times New Roman" w:eastAsia="TimesNewRoman" w:hAnsi="Times New Roman" w:cs="Times New Roman"/>
        </w:rPr>
        <w:t xml:space="preserve"> mannose </w:t>
      </w:r>
      <w:r w:rsidR="007D10C7">
        <w:rPr>
          <w:rFonts w:ascii="Times New Roman" w:eastAsia="TimesNewRoman" w:hAnsi="Times New Roman" w:cs="Times New Roman"/>
        </w:rPr>
        <w:t>and water for injection</w:t>
      </w:r>
      <w:r w:rsidR="00362B0D">
        <w:rPr>
          <w:rFonts w:ascii="Times New Roman" w:eastAsia="TimesNewRoman" w:hAnsi="Times New Roman" w:cs="Times New Roman"/>
        </w:rPr>
        <w:t>s</w:t>
      </w:r>
      <w:r w:rsidR="007D10C7">
        <w:rPr>
          <w:rFonts w:ascii="Times New Roman" w:eastAsia="TimesNewRoman" w:hAnsi="Times New Roman" w:cs="Times New Roman"/>
        </w:rPr>
        <w:t xml:space="preserve"> </w:t>
      </w:r>
      <w:r w:rsidRPr="00A34935">
        <w:rPr>
          <w:rFonts w:ascii="Times New Roman" w:eastAsia="TimesNewRoman" w:hAnsi="Times New Roman" w:cs="Times New Roman"/>
        </w:rPr>
        <w:t>as a lyophilized powder in a sterile 10 mL vial with a blue flip-off cap.</w:t>
      </w:r>
    </w:p>
    <w:p w14:paraId="06B1EE5B" w14:textId="77777777" w:rsidR="00226A55" w:rsidRPr="00A34935" w:rsidRDefault="00226A55" w:rsidP="00226A55">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A34935">
        <w:rPr>
          <w:rFonts w:ascii="Times New Roman" w:eastAsia="TimesNewRoman" w:hAnsi="Times New Roman" w:cs="Times New Roman"/>
        </w:rPr>
        <w:t>Vial 2 (Buffer Vial, Configuration A): contains 150 mg sodium acetate</w:t>
      </w:r>
      <w:r w:rsidR="007D10C7">
        <w:rPr>
          <w:rFonts w:ascii="Times New Roman" w:eastAsia="TimesNewRoman" w:hAnsi="Times New Roman" w:cs="Times New Roman"/>
        </w:rPr>
        <w:t>,</w:t>
      </w:r>
      <w:r w:rsidRPr="00A34935">
        <w:rPr>
          <w:rFonts w:ascii="Times New Roman" w:eastAsia="TimesNewRoman" w:hAnsi="Times New Roman" w:cs="Times New Roman"/>
        </w:rPr>
        <w:t xml:space="preserve"> </w:t>
      </w:r>
      <w:r w:rsidR="007D10C7">
        <w:rPr>
          <w:rFonts w:ascii="Times New Roman" w:eastAsia="TimesNewRoman" w:hAnsi="Times New Roman" w:cs="Times New Roman"/>
        </w:rPr>
        <w:t>0.077</w:t>
      </w:r>
      <w:r w:rsidRPr="00A34935">
        <w:rPr>
          <w:rFonts w:ascii="Times New Roman" w:eastAsia="TimesNewRoman" w:hAnsi="Times New Roman" w:cs="Times New Roman"/>
        </w:rPr>
        <w:t xml:space="preserve"> </w:t>
      </w:r>
      <w:r w:rsidR="007D10C7">
        <w:rPr>
          <w:rFonts w:ascii="Times New Roman" w:eastAsia="TimesNewRoman" w:hAnsi="Times New Roman" w:cs="Times New Roman"/>
        </w:rPr>
        <w:t xml:space="preserve">mL </w:t>
      </w:r>
      <w:r w:rsidR="00F313CF">
        <w:rPr>
          <w:rFonts w:ascii="Times New Roman" w:eastAsia="TimesNewRoman" w:hAnsi="Times New Roman" w:cs="Times New Roman"/>
        </w:rPr>
        <w:t xml:space="preserve">hydrochloric acid </w:t>
      </w:r>
      <w:r w:rsidR="007D10C7">
        <w:rPr>
          <w:rFonts w:ascii="Times New Roman" w:eastAsia="TimesNewRoman" w:hAnsi="Times New Roman" w:cs="Times New Roman"/>
        </w:rPr>
        <w:t>and water for injection</w:t>
      </w:r>
      <w:r w:rsidR="00362B0D">
        <w:rPr>
          <w:rFonts w:ascii="Times New Roman" w:eastAsia="TimesNewRoman" w:hAnsi="Times New Roman" w:cs="Times New Roman"/>
        </w:rPr>
        <w:t>s</w:t>
      </w:r>
      <w:r w:rsidR="007D10C7">
        <w:rPr>
          <w:rFonts w:ascii="Times New Roman" w:eastAsia="TimesNewRoman" w:hAnsi="Times New Roman" w:cs="Times New Roman"/>
        </w:rPr>
        <w:t xml:space="preserve"> </w:t>
      </w:r>
      <w:r w:rsidRPr="00A34935">
        <w:rPr>
          <w:rFonts w:ascii="Times New Roman" w:eastAsia="TimesNewRoman" w:hAnsi="Times New Roman" w:cs="Times New Roman"/>
        </w:rPr>
        <w:t>(2.5 mL volume) in a sterile 10 mL vial with a red flip off cap.</w:t>
      </w:r>
    </w:p>
    <w:p w14:paraId="7311C02B" w14:textId="77777777" w:rsidR="00226A55" w:rsidRPr="00A34935" w:rsidRDefault="00226A55" w:rsidP="00226A55">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A34935">
        <w:rPr>
          <w:rFonts w:ascii="Times New Roman" w:eastAsia="TimesNewRoman" w:hAnsi="Times New Roman" w:cs="Times New Roman"/>
        </w:rPr>
        <w:t>Vial 3 (Sterile Vacuumed Vial): an evacuated sterile vial with white flip off cap used to collect Ga-68 chloride from generators or cyclotron</w:t>
      </w:r>
    </w:p>
    <w:p w14:paraId="0B062AC9" w14:textId="77777777" w:rsidR="00226A55" w:rsidRPr="00A34935" w:rsidRDefault="00226A55" w:rsidP="00226A55">
      <w:pPr>
        <w:keepNext/>
        <w:rPr>
          <w:rFonts w:ascii="Times New Roman" w:eastAsia="TimesNewRoman" w:hAnsi="Times New Roman" w:cs="Times New Roman"/>
        </w:rPr>
      </w:pPr>
      <w:r w:rsidRPr="00A34935">
        <w:rPr>
          <w:rFonts w:ascii="Times New Roman" w:eastAsia="TimesNewRoman" w:hAnsi="Times New Roman" w:cs="Times New Roman"/>
        </w:rPr>
        <w:t xml:space="preserve">ILLUCCIX Configuration “B” is intended for use with Ga-68 produced from an IRE Galli </w:t>
      </w:r>
      <w:proofErr w:type="spellStart"/>
      <w:r w:rsidRPr="00A34935">
        <w:rPr>
          <w:rFonts w:ascii="Times New Roman" w:eastAsia="TimesNewRoman" w:hAnsi="Times New Roman" w:cs="Times New Roman"/>
        </w:rPr>
        <w:t>Eo</w:t>
      </w:r>
      <w:proofErr w:type="spellEnd"/>
      <w:r w:rsidRPr="00A34935">
        <w:rPr>
          <w:rFonts w:ascii="Times New Roman" w:eastAsia="TimesNewRoman" w:hAnsi="Times New Roman" w:cs="Times New Roman"/>
          <w:vertAlign w:val="superscript"/>
        </w:rPr>
        <w:t>®</w:t>
      </w:r>
      <w:r w:rsidRPr="00A34935">
        <w:rPr>
          <w:rFonts w:ascii="Times New Roman" w:eastAsia="TimesNewRoman" w:hAnsi="Times New Roman" w:cs="Times New Roman"/>
        </w:rPr>
        <w:t xml:space="preserve"> Ge 68/Ga-68 generator and includes:</w:t>
      </w:r>
    </w:p>
    <w:p w14:paraId="06A4098F" w14:textId="77777777" w:rsidR="00226A55" w:rsidRPr="00A34935" w:rsidRDefault="00EA5162" w:rsidP="00226A55">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EA5162">
        <w:rPr>
          <w:rFonts w:ascii="Times New Roman" w:eastAsia="TimesNewRoman" w:hAnsi="Times New Roman" w:cs="Times New Roman"/>
        </w:rPr>
        <w:t>Vial 1 (Glu-urea-Lys(</w:t>
      </w:r>
      <w:proofErr w:type="spellStart"/>
      <w:r w:rsidRPr="00EA5162">
        <w:rPr>
          <w:rFonts w:ascii="Times New Roman" w:eastAsia="TimesNewRoman" w:hAnsi="Times New Roman" w:cs="Times New Roman"/>
        </w:rPr>
        <w:t>ahx</w:t>
      </w:r>
      <w:proofErr w:type="spellEnd"/>
      <w:r w:rsidRPr="00EA5162">
        <w:rPr>
          <w:rFonts w:ascii="Times New Roman" w:eastAsia="TimesNewRoman" w:hAnsi="Times New Roman" w:cs="Times New Roman"/>
        </w:rPr>
        <w:t>)-</w:t>
      </w:r>
      <w:proofErr w:type="spellStart"/>
      <w:r w:rsidRPr="00EA5162">
        <w:rPr>
          <w:rFonts w:ascii="Times New Roman" w:eastAsia="TimesNewRoman" w:hAnsi="Times New Roman" w:cs="Times New Roman"/>
        </w:rPr>
        <w:t>hbed</w:t>
      </w:r>
      <w:proofErr w:type="spellEnd"/>
      <w:r w:rsidRPr="00EA5162">
        <w:rPr>
          <w:rFonts w:ascii="Times New Roman" w:eastAsia="TimesNewRoman" w:hAnsi="Times New Roman" w:cs="Times New Roman"/>
        </w:rPr>
        <w:t>-CC Vial): contains 25 microgram Glu-urea-Lys(</w:t>
      </w:r>
      <w:proofErr w:type="spellStart"/>
      <w:r w:rsidRPr="00EA5162">
        <w:rPr>
          <w:rFonts w:ascii="Times New Roman" w:eastAsia="TimesNewRoman" w:hAnsi="Times New Roman" w:cs="Times New Roman"/>
        </w:rPr>
        <w:t>ahx</w:t>
      </w:r>
      <w:proofErr w:type="spellEnd"/>
      <w:r w:rsidRPr="00EA5162">
        <w:rPr>
          <w:rFonts w:ascii="Times New Roman" w:eastAsia="TimesNewRoman" w:hAnsi="Times New Roman" w:cs="Times New Roman"/>
        </w:rPr>
        <w:t>)-</w:t>
      </w:r>
      <w:proofErr w:type="spellStart"/>
      <w:r w:rsidRPr="00EA5162">
        <w:rPr>
          <w:rFonts w:ascii="Times New Roman" w:eastAsia="TimesNewRoman" w:hAnsi="Times New Roman" w:cs="Times New Roman"/>
        </w:rPr>
        <w:t>hbed</w:t>
      </w:r>
      <w:proofErr w:type="spellEnd"/>
      <w:r w:rsidRPr="00EA5162">
        <w:rPr>
          <w:rFonts w:ascii="Times New Roman" w:eastAsia="TimesNewRoman" w:hAnsi="Times New Roman" w:cs="Times New Roman"/>
        </w:rPr>
        <w:t>-CC, 10 microgram mannose and water for injection</w:t>
      </w:r>
      <w:r w:rsidR="00362B0D">
        <w:rPr>
          <w:rFonts w:ascii="Times New Roman" w:eastAsia="TimesNewRoman" w:hAnsi="Times New Roman" w:cs="Times New Roman"/>
        </w:rPr>
        <w:t>s</w:t>
      </w:r>
      <w:r w:rsidRPr="00EA5162">
        <w:rPr>
          <w:rFonts w:ascii="Times New Roman" w:eastAsia="TimesNewRoman" w:hAnsi="Times New Roman" w:cs="Times New Roman"/>
        </w:rPr>
        <w:t xml:space="preserve"> as a lyophilized powder in a sterile 10 mL vial with a blue flip-off cap.</w:t>
      </w:r>
    </w:p>
    <w:p w14:paraId="5E0F70B0" w14:textId="77777777" w:rsidR="00226A55" w:rsidRPr="00A34935" w:rsidRDefault="00226A55" w:rsidP="00226A55">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A34935">
        <w:rPr>
          <w:rFonts w:ascii="Times New Roman" w:eastAsia="TimesNewRoman" w:hAnsi="Times New Roman" w:cs="Times New Roman"/>
        </w:rPr>
        <w:t>Vial 2 (Buffer Vial, Configuration B): contains 150 mg sodium acetate</w:t>
      </w:r>
      <w:r w:rsidR="007D10C7">
        <w:rPr>
          <w:rFonts w:ascii="Times New Roman" w:eastAsia="TimesNewRoman" w:hAnsi="Times New Roman" w:cs="Times New Roman"/>
        </w:rPr>
        <w:t>,</w:t>
      </w:r>
      <w:r w:rsidRPr="00A34935">
        <w:rPr>
          <w:rFonts w:ascii="Times New Roman" w:eastAsia="TimesNewRoman" w:hAnsi="Times New Roman" w:cs="Times New Roman"/>
        </w:rPr>
        <w:t xml:space="preserve"> 0.</w:t>
      </w:r>
      <w:r w:rsidR="007D10C7">
        <w:rPr>
          <w:rFonts w:ascii="Times New Roman" w:eastAsia="TimesNewRoman" w:hAnsi="Times New Roman" w:cs="Times New Roman"/>
        </w:rPr>
        <w:t>1</w:t>
      </w:r>
      <w:r w:rsidR="007D10C7" w:rsidRPr="00A34935">
        <w:rPr>
          <w:rFonts w:ascii="Times New Roman" w:eastAsia="TimesNewRoman" w:hAnsi="Times New Roman" w:cs="Times New Roman"/>
        </w:rPr>
        <w:t>5</w:t>
      </w:r>
      <w:r w:rsidR="007D10C7">
        <w:rPr>
          <w:rFonts w:ascii="Times New Roman" w:eastAsia="TimesNewRoman" w:hAnsi="Times New Roman" w:cs="Times New Roman"/>
        </w:rPr>
        <w:t xml:space="preserve"> mL</w:t>
      </w:r>
      <w:r w:rsidRPr="00A34935">
        <w:rPr>
          <w:rFonts w:ascii="Times New Roman" w:eastAsia="TimesNewRoman" w:hAnsi="Times New Roman" w:cs="Times New Roman"/>
        </w:rPr>
        <w:t xml:space="preserve"> </w:t>
      </w:r>
      <w:r w:rsidR="00F313CF" w:rsidRPr="00F313CF">
        <w:rPr>
          <w:rFonts w:ascii="Times New Roman" w:eastAsia="TimesNewRoman" w:hAnsi="Times New Roman" w:cs="Times New Roman"/>
        </w:rPr>
        <w:t>hydrochloric acid</w:t>
      </w:r>
      <w:r w:rsidRPr="00A34935">
        <w:rPr>
          <w:rFonts w:ascii="Times New Roman" w:eastAsia="TimesNewRoman" w:hAnsi="Times New Roman" w:cs="Times New Roman"/>
        </w:rPr>
        <w:t xml:space="preserve"> </w:t>
      </w:r>
      <w:r w:rsidR="007D10C7">
        <w:rPr>
          <w:rFonts w:ascii="Times New Roman" w:eastAsia="TimesNewRoman" w:hAnsi="Times New Roman" w:cs="Times New Roman"/>
        </w:rPr>
        <w:t>and water for injection</w:t>
      </w:r>
      <w:r w:rsidR="00362B0D">
        <w:rPr>
          <w:rFonts w:ascii="Times New Roman" w:eastAsia="TimesNewRoman" w:hAnsi="Times New Roman" w:cs="Times New Roman"/>
        </w:rPr>
        <w:t>s</w:t>
      </w:r>
      <w:r w:rsidR="007D10C7">
        <w:rPr>
          <w:rFonts w:ascii="Times New Roman" w:eastAsia="TimesNewRoman" w:hAnsi="Times New Roman" w:cs="Times New Roman"/>
        </w:rPr>
        <w:t xml:space="preserve"> </w:t>
      </w:r>
      <w:r w:rsidRPr="00A34935">
        <w:rPr>
          <w:rFonts w:ascii="Times New Roman" w:eastAsia="TimesNewRoman" w:hAnsi="Times New Roman" w:cs="Times New Roman"/>
        </w:rPr>
        <w:t xml:space="preserve">(6.4 mL volume) in a sterile 10 mL vial with a green flip off cap. </w:t>
      </w:r>
    </w:p>
    <w:p w14:paraId="1163038E" w14:textId="77777777" w:rsidR="00497C85" w:rsidRPr="00A34935" w:rsidRDefault="00226A55" w:rsidP="00497C85">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A34935">
        <w:rPr>
          <w:rFonts w:ascii="Times New Roman" w:eastAsia="TimesNewRoman" w:hAnsi="Times New Roman" w:cs="Times New Roman"/>
        </w:rPr>
        <w:t>Vial 3 (Sterile Vacuumed Vial): an evacuated sterile vial with white flip off cap used to collect Ga-68 chloride from generator.</w:t>
      </w:r>
    </w:p>
    <w:p w14:paraId="1E8C1C7B" w14:textId="77777777" w:rsidR="00EE3441" w:rsidRDefault="00E22C9E" w:rsidP="00E22C9E">
      <w:pPr>
        <w:keepNext/>
        <w:rPr>
          <w:rFonts w:ascii="Times New Roman" w:eastAsia="TimesNewRoman" w:hAnsi="Times New Roman" w:cs="Times New Roman"/>
        </w:rPr>
      </w:pPr>
      <w:r w:rsidRPr="00A34935">
        <w:rPr>
          <w:rFonts w:ascii="Times New Roman" w:eastAsia="TimesNewRoman" w:hAnsi="Times New Roman" w:cs="Times New Roman"/>
        </w:rPr>
        <w:t xml:space="preserve">The radionuclide is not part of the kit. Before reconstitution and </w:t>
      </w:r>
      <w:r w:rsidR="00B7383F" w:rsidRPr="00A34935">
        <w:rPr>
          <w:rFonts w:ascii="Times New Roman" w:eastAsia="TimesNewRoman" w:hAnsi="Times New Roman" w:cs="Times New Roman"/>
        </w:rPr>
        <w:t>radiolabelling</w:t>
      </w:r>
      <w:r w:rsidRPr="00A34935">
        <w:rPr>
          <w:rFonts w:ascii="Times New Roman" w:eastAsia="TimesNewRoman" w:hAnsi="Times New Roman" w:cs="Times New Roman"/>
        </w:rPr>
        <w:t xml:space="preserve"> with Ga-68, the contents of this kit are not radioactive.</w:t>
      </w:r>
    </w:p>
    <w:p w14:paraId="002D4F83" w14:textId="77777777" w:rsidR="006C082E" w:rsidRDefault="006C082E" w:rsidP="00E22C9E">
      <w:pPr>
        <w:keepNext/>
        <w:rPr>
          <w:rFonts w:ascii="Times New Roman" w:eastAsia="TimesNewRoman" w:hAnsi="Times New Roman" w:cs="Times New Roman"/>
        </w:rPr>
      </w:pPr>
      <w:r w:rsidRPr="00A34935">
        <w:rPr>
          <w:rFonts w:ascii="Times New Roman" w:eastAsia="TimesNewRoman" w:hAnsi="Times New Roman" w:cs="Times New Roman"/>
        </w:rPr>
        <w:t xml:space="preserve">The prepared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Injection for intravenous use is a sterile, pyrogen free, clear, colourless, buffered solution with a pH between 4.0-5.0.</w:t>
      </w:r>
    </w:p>
    <w:p w14:paraId="65500A3D" w14:textId="77777777" w:rsidR="006C082E" w:rsidRPr="006C082E" w:rsidRDefault="006C082E" w:rsidP="00E22C9E">
      <w:pPr>
        <w:keepNext/>
        <w:rPr>
          <w:rFonts w:ascii="Times New Roman" w:eastAsia="TimesNewRoman" w:hAnsi="Times New Roman" w:cs="Times New Roman"/>
          <w:b/>
        </w:rPr>
      </w:pPr>
      <w:r w:rsidRPr="006C082E">
        <w:rPr>
          <w:rFonts w:ascii="Times New Roman" w:eastAsia="TimesNewRoman" w:hAnsi="Times New Roman" w:cs="Times New Roman"/>
          <w:b/>
        </w:rPr>
        <w:t>Physical Characteristics</w:t>
      </w:r>
    </w:p>
    <w:p w14:paraId="4AA5A219" w14:textId="77777777" w:rsidR="001F4480" w:rsidRDefault="00E4117A" w:rsidP="006C082E">
      <w:pPr>
        <w:keepNext/>
        <w:rPr>
          <w:rFonts w:ascii="Times New Roman" w:eastAsia="TimesNewRoman" w:hAnsi="Times New Roman" w:cs="Times New Roman"/>
        </w:rPr>
        <w:sectPr w:rsidR="001F4480">
          <w:headerReference w:type="default" r:id="rId11"/>
          <w:footerReference w:type="default" r:id="rId12"/>
          <w:pgSz w:w="11906" w:h="16838"/>
          <w:pgMar w:top="1440" w:right="1440" w:bottom="1440" w:left="1440" w:header="708" w:footer="708" w:gutter="0"/>
          <w:cols w:space="708"/>
          <w:docGrid w:linePitch="360"/>
        </w:sectPr>
      </w:pPr>
      <w:r w:rsidRPr="00E4117A">
        <w:rPr>
          <w:rFonts w:ascii="Times New Roman" w:eastAsia="TimesNewRoman" w:hAnsi="Times New Roman" w:cs="Times New Roman"/>
        </w:rPr>
        <w:t>Gallium 68 (Ga-68) decays with a half-life of 68 minutes to stable zinc-68</w:t>
      </w:r>
      <w:r>
        <w:rPr>
          <w:rFonts w:ascii="Times New Roman" w:eastAsia="TimesNewRoman" w:hAnsi="Times New Roman" w:cs="Times New Roman"/>
        </w:rPr>
        <w:t xml:space="preserve">. </w:t>
      </w:r>
      <w:r w:rsidR="0032669B">
        <w:rPr>
          <w:rFonts w:ascii="Times New Roman" w:eastAsia="TimesNewRoman" w:hAnsi="Times New Roman" w:cs="Times New Roman"/>
        </w:rPr>
        <w:t>P</w:t>
      </w:r>
      <w:r w:rsidR="0032669B" w:rsidRPr="0032669B">
        <w:rPr>
          <w:rFonts w:ascii="Times New Roman" w:eastAsia="TimesNewRoman" w:hAnsi="Times New Roman" w:cs="Times New Roman"/>
        </w:rPr>
        <w:t>rincipal radiation emission data</w:t>
      </w:r>
      <w:r w:rsidR="0032669B">
        <w:rPr>
          <w:rFonts w:ascii="Times New Roman" w:eastAsia="TimesNewRoman" w:hAnsi="Times New Roman" w:cs="Times New Roman"/>
        </w:rPr>
        <w:t xml:space="preserve"> and p</w:t>
      </w:r>
      <w:r w:rsidR="0032669B" w:rsidRPr="0032669B">
        <w:rPr>
          <w:rFonts w:ascii="Times New Roman" w:eastAsia="TimesNewRoman" w:hAnsi="Times New Roman" w:cs="Times New Roman"/>
        </w:rPr>
        <w:t xml:space="preserve">hysical </w:t>
      </w:r>
      <w:r w:rsidR="0032669B">
        <w:rPr>
          <w:rFonts w:ascii="Times New Roman" w:eastAsia="TimesNewRoman" w:hAnsi="Times New Roman" w:cs="Times New Roman"/>
        </w:rPr>
        <w:t>decay c</w:t>
      </w:r>
      <w:r w:rsidR="0032669B" w:rsidRPr="0032669B">
        <w:rPr>
          <w:rFonts w:ascii="Times New Roman" w:eastAsia="TimesNewRoman" w:hAnsi="Times New Roman" w:cs="Times New Roman"/>
        </w:rPr>
        <w:t>hart for Ga-68</w:t>
      </w:r>
      <w:r w:rsidR="0032669B">
        <w:rPr>
          <w:rFonts w:ascii="Times New Roman" w:eastAsia="TimesNewRoman" w:hAnsi="Times New Roman" w:cs="Times New Roman"/>
        </w:rPr>
        <w:t xml:space="preserve"> listed in </w:t>
      </w:r>
      <w:r w:rsidR="0097219B">
        <w:rPr>
          <w:rFonts w:ascii="Times New Roman" w:eastAsia="TimesNewRoman" w:hAnsi="Times New Roman" w:cs="Times New Roman"/>
        </w:rPr>
        <w:fldChar w:fldCharType="begin"/>
      </w:r>
      <w:r w:rsidR="0032669B">
        <w:rPr>
          <w:rFonts w:ascii="Times New Roman" w:eastAsia="TimesNewRoman" w:hAnsi="Times New Roman" w:cs="Times New Roman"/>
        </w:rPr>
        <w:instrText xml:space="preserve"> REF _Ref27569037 \h </w:instrText>
      </w:r>
      <w:r w:rsidR="0097219B">
        <w:rPr>
          <w:rFonts w:ascii="Times New Roman" w:eastAsia="TimesNewRoman" w:hAnsi="Times New Roman" w:cs="Times New Roman"/>
        </w:rPr>
      </w:r>
      <w:r w:rsidR="0097219B">
        <w:rPr>
          <w:rFonts w:ascii="Times New Roman" w:eastAsia="TimesNewRoman" w:hAnsi="Times New Roman" w:cs="Times New Roman"/>
        </w:rPr>
        <w:fldChar w:fldCharType="separate"/>
      </w:r>
      <w:r w:rsidR="0032669B" w:rsidRPr="00C50169">
        <w:rPr>
          <w:rFonts w:ascii="Times New Roman" w:eastAsia="Batang" w:hAnsi="Times New Roman" w:cs="Times New Roman"/>
          <w:bCs/>
        </w:rPr>
        <w:t xml:space="preserve">Table </w:t>
      </w:r>
      <w:r w:rsidR="0032669B">
        <w:rPr>
          <w:rFonts w:ascii="Times New Roman" w:eastAsia="Batang" w:hAnsi="Times New Roman" w:cs="Times New Roman"/>
          <w:bCs/>
          <w:iCs/>
          <w:noProof/>
        </w:rPr>
        <w:t>1</w:t>
      </w:r>
      <w:r w:rsidR="0097219B">
        <w:rPr>
          <w:rFonts w:ascii="Times New Roman" w:eastAsia="TimesNewRoman" w:hAnsi="Times New Roman" w:cs="Times New Roman"/>
        </w:rPr>
        <w:fldChar w:fldCharType="end"/>
      </w:r>
      <w:r w:rsidR="0032669B">
        <w:rPr>
          <w:rFonts w:ascii="Times New Roman" w:eastAsia="TimesNewRoman" w:hAnsi="Times New Roman" w:cs="Times New Roman"/>
        </w:rPr>
        <w:t>&amp;</w:t>
      </w:r>
      <w:r w:rsidR="0097219B">
        <w:rPr>
          <w:rFonts w:ascii="Times New Roman" w:eastAsia="TimesNewRoman" w:hAnsi="Times New Roman" w:cs="Times New Roman"/>
        </w:rPr>
        <w:fldChar w:fldCharType="begin"/>
      </w:r>
      <w:r w:rsidR="0032669B">
        <w:rPr>
          <w:rFonts w:ascii="Times New Roman" w:eastAsia="TimesNewRoman" w:hAnsi="Times New Roman" w:cs="Times New Roman"/>
        </w:rPr>
        <w:instrText xml:space="preserve"> REF _Ref27569054 \h </w:instrText>
      </w:r>
      <w:r w:rsidR="0097219B">
        <w:rPr>
          <w:rFonts w:ascii="Times New Roman" w:eastAsia="TimesNewRoman" w:hAnsi="Times New Roman" w:cs="Times New Roman"/>
        </w:rPr>
      </w:r>
      <w:r w:rsidR="0097219B">
        <w:rPr>
          <w:rFonts w:ascii="Times New Roman" w:eastAsia="TimesNewRoman" w:hAnsi="Times New Roman" w:cs="Times New Roman"/>
        </w:rPr>
        <w:fldChar w:fldCharType="separate"/>
      </w:r>
      <w:r w:rsidR="0032669B" w:rsidRPr="00C50169">
        <w:rPr>
          <w:rFonts w:ascii="Times New Roman" w:eastAsia="Batang" w:hAnsi="Times New Roman" w:cs="Times New Roman"/>
          <w:bCs/>
        </w:rPr>
        <w:t xml:space="preserve">Table </w:t>
      </w:r>
      <w:r w:rsidR="0032669B">
        <w:rPr>
          <w:rFonts w:ascii="Times New Roman" w:eastAsia="Batang" w:hAnsi="Times New Roman" w:cs="Times New Roman"/>
          <w:bCs/>
          <w:iCs/>
          <w:noProof/>
        </w:rPr>
        <w:t>2</w:t>
      </w:r>
      <w:r w:rsidR="0097219B">
        <w:rPr>
          <w:rFonts w:ascii="Times New Roman" w:eastAsia="TimesNewRoman" w:hAnsi="Times New Roman" w:cs="Times New Roman"/>
        </w:rPr>
        <w:fldChar w:fldCharType="end"/>
      </w:r>
      <w:r w:rsidR="0032669B">
        <w:rPr>
          <w:rFonts w:ascii="Times New Roman" w:eastAsia="TimesNewRoman" w:hAnsi="Times New Roman" w:cs="Times New Roman"/>
        </w:rPr>
        <w:t>.</w:t>
      </w:r>
    </w:p>
    <w:p w14:paraId="4F487C70" w14:textId="77777777" w:rsidR="0032669B" w:rsidRDefault="006C082E" w:rsidP="006C082E">
      <w:pPr>
        <w:pStyle w:val="Caption"/>
        <w:spacing w:after="0" w:line="240" w:lineRule="auto"/>
        <w:rPr>
          <w:rFonts w:ascii="Times New Roman" w:eastAsia="Batang" w:hAnsi="Times New Roman" w:cs="Times New Roman"/>
          <w:bCs/>
          <w:iCs w:val="0"/>
          <w:sz w:val="22"/>
          <w:szCs w:val="22"/>
        </w:rPr>
      </w:pPr>
      <w:bookmarkStart w:id="1" w:name="_Ref27569037"/>
      <w:r w:rsidRPr="00C50169">
        <w:rPr>
          <w:rFonts w:ascii="Times New Roman" w:eastAsia="Batang" w:hAnsi="Times New Roman" w:cs="Times New Roman"/>
          <w:bCs/>
          <w:iCs w:val="0"/>
          <w:sz w:val="22"/>
          <w:szCs w:val="22"/>
        </w:rPr>
        <w:lastRenderedPageBreak/>
        <w:t xml:space="preserve">Table </w:t>
      </w:r>
      <w:r w:rsidR="0097219B" w:rsidRPr="00C50169">
        <w:rPr>
          <w:rFonts w:ascii="Times New Roman" w:eastAsia="Batang" w:hAnsi="Times New Roman" w:cs="Times New Roman"/>
          <w:bCs/>
          <w:iCs w:val="0"/>
          <w:sz w:val="22"/>
          <w:szCs w:val="22"/>
        </w:rPr>
        <w:fldChar w:fldCharType="begin"/>
      </w:r>
      <w:r w:rsidRPr="00C50169">
        <w:rPr>
          <w:rFonts w:ascii="Times New Roman" w:eastAsia="Batang" w:hAnsi="Times New Roman" w:cs="Times New Roman"/>
          <w:bCs/>
          <w:iCs w:val="0"/>
          <w:sz w:val="22"/>
          <w:szCs w:val="22"/>
        </w:rPr>
        <w:instrText xml:space="preserve"> SEQ Table \* ARABIC </w:instrText>
      </w:r>
      <w:r w:rsidR="0097219B" w:rsidRPr="00C50169">
        <w:rPr>
          <w:rFonts w:ascii="Times New Roman" w:eastAsia="Batang" w:hAnsi="Times New Roman" w:cs="Times New Roman"/>
          <w:bCs/>
          <w:iCs w:val="0"/>
          <w:sz w:val="22"/>
          <w:szCs w:val="22"/>
        </w:rPr>
        <w:fldChar w:fldCharType="separate"/>
      </w:r>
      <w:r w:rsidR="001378C5">
        <w:rPr>
          <w:rFonts w:ascii="Times New Roman" w:eastAsia="Batang" w:hAnsi="Times New Roman" w:cs="Times New Roman"/>
          <w:bCs/>
          <w:iCs w:val="0"/>
          <w:noProof/>
          <w:sz w:val="22"/>
          <w:szCs w:val="22"/>
        </w:rPr>
        <w:t>1</w:t>
      </w:r>
      <w:r w:rsidR="0097219B" w:rsidRPr="00C50169">
        <w:rPr>
          <w:rFonts w:ascii="Times New Roman" w:eastAsia="Batang" w:hAnsi="Times New Roman" w:cs="Times New Roman"/>
          <w:bCs/>
          <w:iCs w:val="0"/>
          <w:sz w:val="22"/>
          <w:szCs w:val="22"/>
        </w:rPr>
        <w:fldChar w:fldCharType="end"/>
      </w:r>
      <w:bookmarkEnd w:id="1"/>
      <w:r w:rsidRPr="00B6049A">
        <w:rPr>
          <w:rFonts w:ascii="Times New Roman" w:eastAsia="Batang" w:hAnsi="Times New Roman" w:cs="Times New Roman"/>
          <w:bCs/>
          <w:iCs w:val="0"/>
          <w:sz w:val="22"/>
          <w:szCs w:val="22"/>
        </w:rPr>
        <w:t>: Principal Radiation Emission Data (&gt;1%)</w:t>
      </w:r>
    </w:p>
    <w:p w14:paraId="2ADAA8FC" w14:textId="77777777" w:rsidR="006C082E" w:rsidRDefault="006C082E" w:rsidP="006C082E">
      <w:pPr>
        <w:pStyle w:val="Caption"/>
        <w:spacing w:after="0" w:line="240" w:lineRule="auto"/>
        <w:rPr>
          <w:rFonts w:ascii="Times New Roman" w:eastAsia="Batang" w:hAnsi="Times New Roman" w:cs="Times New Roman"/>
          <w:bCs/>
          <w:iCs w:val="0"/>
          <w:sz w:val="22"/>
          <w:szCs w:val="22"/>
        </w:rPr>
      </w:pPr>
    </w:p>
    <w:tbl>
      <w:tblPr>
        <w:tblStyle w:val="TableGrid"/>
        <w:tblW w:w="0" w:type="auto"/>
        <w:tblLook w:val="04A0" w:firstRow="1" w:lastRow="0" w:firstColumn="1" w:lastColumn="0" w:noHBand="0" w:noVBand="1"/>
      </w:tblPr>
      <w:tblGrid>
        <w:gridCol w:w="2178"/>
        <w:gridCol w:w="1980"/>
        <w:gridCol w:w="2160"/>
      </w:tblGrid>
      <w:tr w:rsidR="006C082E" w:rsidRPr="0032669B" w14:paraId="6AF6DA9B" w14:textId="77777777" w:rsidTr="0032669B">
        <w:trPr>
          <w:trHeight w:val="284"/>
          <w:tblHeader/>
        </w:trPr>
        <w:tc>
          <w:tcPr>
            <w:tcW w:w="2178" w:type="dxa"/>
          </w:tcPr>
          <w:p w14:paraId="21918C49" w14:textId="77777777" w:rsidR="006C082E" w:rsidRPr="0032669B" w:rsidRDefault="00950DC7" w:rsidP="0032669B">
            <w:pPr>
              <w:spacing w:after="200" w:line="276" w:lineRule="auto"/>
              <w:rPr>
                <w:rFonts w:ascii="Times New Roman" w:hAnsi="Times New Roman" w:cs="Times New Roman"/>
                <w:b/>
                <w:sz w:val="22"/>
                <w:szCs w:val="22"/>
              </w:rPr>
            </w:pPr>
            <w:r w:rsidRPr="00950DC7">
              <w:rPr>
                <w:rFonts w:ascii="Times New Roman" w:hAnsi="Times New Roman" w:cs="Times New Roman"/>
                <w:b/>
                <w:sz w:val="22"/>
                <w:szCs w:val="22"/>
              </w:rPr>
              <w:t xml:space="preserve">Radiation/ Emission </w:t>
            </w:r>
          </w:p>
        </w:tc>
        <w:tc>
          <w:tcPr>
            <w:tcW w:w="1980" w:type="dxa"/>
          </w:tcPr>
          <w:p w14:paraId="67BFA3F5" w14:textId="77777777" w:rsidR="006C082E" w:rsidRPr="0032669B" w:rsidRDefault="00950DC7" w:rsidP="0032669B">
            <w:pPr>
              <w:spacing w:after="200" w:line="276" w:lineRule="auto"/>
              <w:rPr>
                <w:rFonts w:ascii="Times New Roman" w:hAnsi="Times New Roman" w:cs="Times New Roman"/>
                <w:b/>
                <w:sz w:val="22"/>
                <w:szCs w:val="22"/>
              </w:rPr>
            </w:pPr>
            <w:r w:rsidRPr="00950DC7">
              <w:rPr>
                <w:rFonts w:ascii="Times New Roman" w:hAnsi="Times New Roman" w:cs="Times New Roman"/>
                <w:b/>
                <w:sz w:val="22"/>
                <w:szCs w:val="22"/>
              </w:rPr>
              <w:t xml:space="preserve">% Disintegration </w:t>
            </w:r>
          </w:p>
        </w:tc>
        <w:tc>
          <w:tcPr>
            <w:tcW w:w="2160" w:type="dxa"/>
          </w:tcPr>
          <w:p w14:paraId="3E01ED3C" w14:textId="77777777" w:rsidR="006C082E" w:rsidRPr="0032669B" w:rsidRDefault="00950DC7" w:rsidP="0032669B">
            <w:pPr>
              <w:spacing w:after="200" w:line="276" w:lineRule="auto"/>
              <w:rPr>
                <w:rFonts w:ascii="Times New Roman" w:hAnsi="Times New Roman" w:cs="Times New Roman"/>
                <w:b/>
                <w:sz w:val="22"/>
                <w:szCs w:val="22"/>
              </w:rPr>
            </w:pPr>
            <w:r w:rsidRPr="00950DC7">
              <w:rPr>
                <w:rFonts w:ascii="Times New Roman" w:hAnsi="Times New Roman" w:cs="Times New Roman"/>
                <w:b/>
                <w:sz w:val="22"/>
                <w:szCs w:val="22"/>
              </w:rPr>
              <w:t xml:space="preserve">Mean Energy (MeV) </w:t>
            </w:r>
          </w:p>
        </w:tc>
      </w:tr>
      <w:tr w:rsidR="006C082E" w:rsidRPr="00E10A8E" w14:paraId="5FE90249" w14:textId="77777777" w:rsidTr="0032669B">
        <w:trPr>
          <w:trHeight w:val="284"/>
        </w:trPr>
        <w:tc>
          <w:tcPr>
            <w:tcW w:w="2178" w:type="dxa"/>
          </w:tcPr>
          <w:p w14:paraId="1B2D54E9"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 xml:space="preserve">beta+ </w:t>
            </w:r>
          </w:p>
        </w:tc>
        <w:tc>
          <w:tcPr>
            <w:tcW w:w="1980" w:type="dxa"/>
          </w:tcPr>
          <w:p w14:paraId="351F3800"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88%</w:t>
            </w:r>
          </w:p>
        </w:tc>
        <w:tc>
          <w:tcPr>
            <w:tcW w:w="2160" w:type="dxa"/>
          </w:tcPr>
          <w:p w14:paraId="09B42B2D"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0.8360</w:t>
            </w:r>
          </w:p>
        </w:tc>
      </w:tr>
      <w:tr w:rsidR="006C082E" w:rsidRPr="00E10A8E" w14:paraId="795CBA5F" w14:textId="77777777" w:rsidTr="0032669B">
        <w:trPr>
          <w:trHeight w:val="273"/>
        </w:trPr>
        <w:tc>
          <w:tcPr>
            <w:tcW w:w="2178" w:type="dxa"/>
          </w:tcPr>
          <w:p w14:paraId="0909996B"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 xml:space="preserve">beta+ </w:t>
            </w:r>
          </w:p>
        </w:tc>
        <w:tc>
          <w:tcPr>
            <w:tcW w:w="1980" w:type="dxa"/>
          </w:tcPr>
          <w:p w14:paraId="504F4AC1"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1.1%</w:t>
            </w:r>
          </w:p>
        </w:tc>
        <w:tc>
          <w:tcPr>
            <w:tcW w:w="2160" w:type="dxa"/>
          </w:tcPr>
          <w:p w14:paraId="0CF3A063"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0.3526</w:t>
            </w:r>
          </w:p>
        </w:tc>
      </w:tr>
      <w:tr w:rsidR="006C082E" w:rsidRPr="00E10A8E" w14:paraId="55C81C37" w14:textId="77777777" w:rsidTr="0032669B">
        <w:trPr>
          <w:trHeight w:val="284"/>
        </w:trPr>
        <w:tc>
          <w:tcPr>
            <w:tcW w:w="2178" w:type="dxa"/>
          </w:tcPr>
          <w:p w14:paraId="7566C87E"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 xml:space="preserve">gamma </w:t>
            </w:r>
          </w:p>
        </w:tc>
        <w:tc>
          <w:tcPr>
            <w:tcW w:w="1980" w:type="dxa"/>
          </w:tcPr>
          <w:p w14:paraId="03267EE4"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178%</w:t>
            </w:r>
          </w:p>
        </w:tc>
        <w:tc>
          <w:tcPr>
            <w:tcW w:w="2160" w:type="dxa"/>
          </w:tcPr>
          <w:p w14:paraId="76DEA0B4"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0.5110</w:t>
            </w:r>
          </w:p>
        </w:tc>
      </w:tr>
      <w:tr w:rsidR="006C082E" w:rsidRPr="00E10A8E" w14:paraId="49CB4C28" w14:textId="77777777" w:rsidTr="0032669B">
        <w:trPr>
          <w:trHeight w:val="284"/>
        </w:trPr>
        <w:tc>
          <w:tcPr>
            <w:tcW w:w="2178" w:type="dxa"/>
          </w:tcPr>
          <w:p w14:paraId="78EF6070"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 xml:space="preserve">gamma </w:t>
            </w:r>
          </w:p>
        </w:tc>
        <w:tc>
          <w:tcPr>
            <w:tcW w:w="1980" w:type="dxa"/>
          </w:tcPr>
          <w:p w14:paraId="1253AF90"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3.0%</w:t>
            </w:r>
          </w:p>
        </w:tc>
        <w:tc>
          <w:tcPr>
            <w:tcW w:w="2160" w:type="dxa"/>
          </w:tcPr>
          <w:p w14:paraId="2F82D8FE"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1.0770</w:t>
            </w:r>
          </w:p>
        </w:tc>
      </w:tr>
      <w:tr w:rsidR="006C082E" w:rsidRPr="00E10A8E" w14:paraId="27E29456" w14:textId="77777777" w:rsidTr="0032669B">
        <w:trPr>
          <w:trHeight w:val="284"/>
        </w:trPr>
        <w:tc>
          <w:tcPr>
            <w:tcW w:w="2178" w:type="dxa"/>
          </w:tcPr>
          <w:p w14:paraId="17358A1A"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 xml:space="preserve">X-ray </w:t>
            </w:r>
          </w:p>
        </w:tc>
        <w:tc>
          <w:tcPr>
            <w:tcW w:w="1980" w:type="dxa"/>
          </w:tcPr>
          <w:p w14:paraId="7BFFCCAD"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2.8%</w:t>
            </w:r>
          </w:p>
        </w:tc>
        <w:tc>
          <w:tcPr>
            <w:tcW w:w="2160" w:type="dxa"/>
          </w:tcPr>
          <w:p w14:paraId="1F5C02C2"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0.0086</w:t>
            </w:r>
          </w:p>
        </w:tc>
      </w:tr>
      <w:tr w:rsidR="006C082E" w:rsidRPr="00E10A8E" w14:paraId="351EC545" w14:textId="77777777" w:rsidTr="0032669B">
        <w:trPr>
          <w:trHeight w:val="273"/>
        </w:trPr>
        <w:tc>
          <w:tcPr>
            <w:tcW w:w="2178" w:type="dxa"/>
          </w:tcPr>
          <w:p w14:paraId="3A616223"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 xml:space="preserve">X-ray </w:t>
            </w:r>
          </w:p>
        </w:tc>
        <w:tc>
          <w:tcPr>
            <w:tcW w:w="1980" w:type="dxa"/>
          </w:tcPr>
          <w:p w14:paraId="44FEA9B6"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1.4%</w:t>
            </w:r>
          </w:p>
        </w:tc>
        <w:tc>
          <w:tcPr>
            <w:tcW w:w="2160" w:type="dxa"/>
          </w:tcPr>
          <w:p w14:paraId="78C19284" w14:textId="77777777" w:rsidR="006C082E" w:rsidRPr="00E10A8E" w:rsidRDefault="006C082E" w:rsidP="0032669B">
            <w:pPr>
              <w:rPr>
                <w:rFonts w:ascii="Times New Roman" w:hAnsi="Times New Roman" w:cs="Times New Roman"/>
                <w:sz w:val="22"/>
                <w:szCs w:val="22"/>
              </w:rPr>
            </w:pPr>
            <w:r w:rsidRPr="00E10A8E">
              <w:rPr>
                <w:rFonts w:ascii="Times New Roman" w:hAnsi="Times New Roman" w:cs="Times New Roman"/>
                <w:sz w:val="22"/>
                <w:szCs w:val="22"/>
              </w:rPr>
              <w:t>0.0086</w:t>
            </w:r>
          </w:p>
        </w:tc>
      </w:tr>
    </w:tbl>
    <w:p w14:paraId="7882B085" w14:textId="77777777" w:rsidR="006C082E" w:rsidRDefault="006C082E" w:rsidP="006C082E">
      <w:pPr>
        <w:keepNext/>
        <w:rPr>
          <w:rFonts w:ascii="Times New Roman" w:eastAsia="TimesNewRoman" w:hAnsi="Times New Roman" w:cs="Times New Roman"/>
        </w:rPr>
      </w:pPr>
    </w:p>
    <w:p w14:paraId="48BAD0F5" w14:textId="77777777" w:rsidR="0032669B" w:rsidRDefault="0032669B" w:rsidP="0032669B">
      <w:pPr>
        <w:pStyle w:val="Caption"/>
        <w:keepNext/>
        <w:spacing w:after="0" w:line="240" w:lineRule="auto"/>
        <w:rPr>
          <w:rFonts w:ascii="Times New Roman" w:eastAsia="Batang" w:hAnsi="Times New Roman" w:cs="Times New Roman"/>
          <w:bCs/>
          <w:iCs w:val="0"/>
          <w:sz w:val="22"/>
          <w:szCs w:val="22"/>
        </w:rPr>
      </w:pPr>
      <w:bookmarkStart w:id="2" w:name="_Ref27569054"/>
      <w:r w:rsidRPr="00C50169">
        <w:rPr>
          <w:rFonts w:ascii="Times New Roman" w:eastAsia="Batang" w:hAnsi="Times New Roman" w:cs="Times New Roman"/>
          <w:bCs/>
          <w:iCs w:val="0"/>
          <w:sz w:val="22"/>
          <w:szCs w:val="22"/>
        </w:rPr>
        <w:t xml:space="preserve">Table </w:t>
      </w:r>
      <w:r w:rsidR="0097219B" w:rsidRPr="00C50169">
        <w:rPr>
          <w:rFonts w:ascii="Times New Roman" w:eastAsia="Batang" w:hAnsi="Times New Roman" w:cs="Times New Roman"/>
          <w:bCs/>
          <w:iCs w:val="0"/>
          <w:sz w:val="22"/>
          <w:szCs w:val="22"/>
        </w:rPr>
        <w:fldChar w:fldCharType="begin"/>
      </w:r>
      <w:r w:rsidRPr="00C50169">
        <w:rPr>
          <w:rFonts w:ascii="Times New Roman" w:eastAsia="Batang" w:hAnsi="Times New Roman" w:cs="Times New Roman"/>
          <w:bCs/>
          <w:iCs w:val="0"/>
          <w:sz w:val="22"/>
          <w:szCs w:val="22"/>
        </w:rPr>
        <w:instrText xml:space="preserve"> SEQ Table \* ARABIC </w:instrText>
      </w:r>
      <w:r w:rsidR="0097219B" w:rsidRPr="00C50169">
        <w:rPr>
          <w:rFonts w:ascii="Times New Roman" w:eastAsia="Batang" w:hAnsi="Times New Roman" w:cs="Times New Roman"/>
          <w:bCs/>
          <w:iCs w:val="0"/>
          <w:sz w:val="22"/>
          <w:szCs w:val="22"/>
        </w:rPr>
        <w:fldChar w:fldCharType="separate"/>
      </w:r>
      <w:r w:rsidR="001378C5">
        <w:rPr>
          <w:rFonts w:ascii="Times New Roman" w:eastAsia="Batang" w:hAnsi="Times New Roman" w:cs="Times New Roman"/>
          <w:bCs/>
          <w:iCs w:val="0"/>
          <w:noProof/>
          <w:sz w:val="22"/>
          <w:szCs w:val="22"/>
        </w:rPr>
        <w:t>2</w:t>
      </w:r>
      <w:r w:rsidR="0097219B" w:rsidRPr="00C50169">
        <w:rPr>
          <w:rFonts w:ascii="Times New Roman" w:eastAsia="Batang" w:hAnsi="Times New Roman" w:cs="Times New Roman"/>
          <w:bCs/>
          <w:iCs w:val="0"/>
          <w:sz w:val="22"/>
          <w:szCs w:val="22"/>
        </w:rPr>
        <w:fldChar w:fldCharType="end"/>
      </w:r>
      <w:bookmarkEnd w:id="2"/>
      <w:r w:rsidRPr="00B6049A">
        <w:rPr>
          <w:rFonts w:ascii="Times New Roman" w:eastAsia="Batang" w:hAnsi="Times New Roman" w:cs="Times New Roman"/>
          <w:bCs/>
          <w:iCs w:val="0"/>
          <w:sz w:val="22"/>
          <w:szCs w:val="22"/>
        </w:rPr>
        <w:t xml:space="preserve">: Physical Decay Chart for </w:t>
      </w:r>
      <w:r>
        <w:rPr>
          <w:rFonts w:ascii="Times New Roman" w:eastAsia="Batang" w:hAnsi="Times New Roman" w:cs="Times New Roman"/>
          <w:bCs/>
          <w:iCs w:val="0"/>
          <w:sz w:val="22"/>
          <w:szCs w:val="22"/>
        </w:rPr>
        <w:t>Ga-68</w:t>
      </w:r>
    </w:p>
    <w:tbl>
      <w:tblPr>
        <w:tblStyle w:val="TableGrid"/>
        <w:tblW w:w="0" w:type="auto"/>
        <w:tblLook w:val="04A0" w:firstRow="1" w:lastRow="0" w:firstColumn="1" w:lastColumn="0" w:noHBand="0" w:noVBand="1"/>
      </w:tblPr>
      <w:tblGrid>
        <w:gridCol w:w="2021"/>
        <w:gridCol w:w="2317"/>
      </w:tblGrid>
      <w:tr w:rsidR="0032669B" w:rsidRPr="0032669B" w14:paraId="6AE29B47" w14:textId="77777777" w:rsidTr="00891DEA">
        <w:trPr>
          <w:trHeight w:val="261"/>
        </w:trPr>
        <w:tc>
          <w:tcPr>
            <w:tcW w:w="2021" w:type="dxa"/>
          </w:tcPr>
          <w:p w14:paraId="41EF1D8C" w14:textId="77777777" w:rsidR="0032669B" w:rsidRPr="0032669B" w:rsidRDefault="00950DC7" w:rsidP="0032669B">
            <w:pPr>
              <w:keepNext/>
              <w:spacing w:after="200" w:line="276" w:lineRule="auto"/>
              <w:rPr>
                <w:rFonts w:ascii="Times New Roman" w:hAnsi="Times New Roman" w:cs="Times New Roman"/>
                <w:b/>
                <w:sz w:val="22"/>
                <w:szCs w:val="22"/>
              </w:rPr>
            </w:pPr>
            <w:r w:rsidRPr="00950DC7">
              <w:rPr>
                <w:rFonts w:ascii="Times New Roman" w:hAnsi="Times New Roman" w:cs="Times New Roman"/>
                <w:b/>
                <w:sz w:val="22"/>
                <w:szCs w:val="22"/>
              </w:rPr>
              <w:t xml:space="preserve">Minutes </w:t>
            </w:r>
          </w:p>
        </w:tc>
        <w:tc>
          <w:tcPr>
            <w:tcW w:w="2317" w:type="dxa"/>
          </w:tcPr>
          <w:p w14:paraId="0D4D55D6" w14:textId="77777777" w:rsidR="0032669B" w:rsidRPr="0032669B" w:rsidRDefault="00950DC7" w:rsidP="0032669B">
            <w:pPr>
              <w:keepNext/>
              <w:spacing w:after="200" w:line="276" w:lineRule="auto"/>
              <w:rPr>
                <w:rFonts w:ascii="Times New Roman" w:hAnsi="Times New Roman" w:cs="Times New Roman"/>
                <w:b/>
                <w:sz w:val="22"/>
                <w:szCs w:val="22"/>
              </w:rPr>
            </w:pPr>
            <w:r w:rsidRPr="00950DC7">
              <w:rPr>
                <w:rFonts w:ascii="Times New Roman" w:hAnsi="Times New Roman" w:cs="Times New Roman"/>
                <w:b/>
                <w:sz w:val="22"/>
                <w:szCs w:val="22"/>
              </w:rPr>
              <w:t xml:space="preserve">Fraction Remaining </w:t>
            </w:r>
          </w:p>
        </w:tc>
      </w:tr>
      <w:tr w:rsidR="0032669B" w:rsidRPr="00E10A8E" w14:paraId="3D187D17" w14:textId="77777777" w:rsidTr="00891DEA">
        <w:trPr>
          <w:trHeight w:val="261"/>
        </w:trPr>
        <w:tc>
          <w:tcPr>
            <w:tcW w:w="2021" w:type="dxa"/>
          </w:tcPr>
          <w:p w14:paraId="126BD6E6"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0</w:t>
            </w:r>
          </w:p>
        </w:tc>
        <w:tc>
          <w:tcPr>
            <w:tcW w:w="2317" w:type="dxa"/>
          </w:tcPr>
          <w:p w14:paraId="4E2002CE"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1</w:t>
            </w:r>
          </w:p>
        </w:tc>
      </w:tr>
      <w:tr w:rsidR="0032669B" w:rsidRPr="00E10A8E" w14:paraId="0C452D2B" w14:textId="77777777" w:rsidTr="00891DEA">
        <w:trPr>
          <w:trHeight w:val="252"/>
        </w:trPr>
        <w:tc>
          <w:tcPr>
            <w:tcW w:w="2021" w:type="dxa"/>
          </w:tcPr>
          <w:p w14:paraId="6F83B68A"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15</w:t>
            </w:r>
          </w:p>
        </w:tc>
        <w:tc>
          <w:tcPr>
            <w:tcW w:w="2317" w:type="dxa"/>
          </w:tcPr>
          <w:p w14:paraId="2AFECE82"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0.858</w:t>
            </w:r>
          </w:p>
        </w:tc>
      </w:tr>
      <w:tr w:rsidR="0032669B" w:rsidRPr="00E10A8E" w14:paraId="4488209C" w14:textId="77777777" w:rsidTr="00891DEA">
        <w:trPr>
          <w:trHeight w:val="261"/>
        </w:trPr>
        <w:tc>
          <w:tcPr>
            <w:tcW w:w="2021" w:type="dxa"/>
          </w:tcPr>
          <w:p w14:paraId="54E2793A"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30</w:t>
            </w:r>
          </w:p>
        </w:tc>
        <w:tc>
          <w:tcPr>
            <w:tcW w:w="2317" w:type="dxa"/>
          </w:tcPr>
          <w:p w14:paraId="0F517F2A"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0.736</w:t>
            </w:r>
          </w:p>
        </w:tc>
      </w:tr>
      <w:tr w:rsidR="0032669B" w:rsidRPr="00E10A8E" w14:paraId="73AC113A" w14:textId="77777777" w:rsidTr="00891DEA">
        <w:trPr>
          <w:trHeight w:val="261"/>
        </w:trPr>
        <w:tc>
          <w:tcPr>
            <w:tcW w:w="2021" w:type="dxa"/>
          </w:tcPr>
          <w:p w14:paraId="3557DCE9"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60</w:t>
            </w:r>
          </w:p>
        </w:tc>
        <w:tc>
          <w:tcPr>
            <w:tcW w:w="2317" w:type="dxa"/>
          </w:tcPr>
          <w:p w14:paraId="06C2A121"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0.541</w:t>
            </w:r>
          </w:p>
        </w:tc>
      </w:tr>
      <w:tr w:rsidR="0032669B" w:rsidRPr="00E10A8E" w14:paraId="18FBD14A" w14:textId="77777777" w:rsidTr="00891DEA">
        <w:trPr>
          <w:trHeight w:val="261"/>
        </w:trPr>
        <w:tc>
          <w:tcPr>
            <w:tcW w:w="2021" w:type="dxa"/>
          </w:tcPr>
          <w:p w14:paraId="2B1DDEA6"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90</w:t>
            </w:r>
          </w:p>
        </w:tc>
        <w:tc>
          <w:tcPr>
            <w:tcW w:w="2317" w:type="dxa"/>
          </w:tcPr>
          <w:p w14:paraId="33F35475"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0.398</w:t>
            </w:r>
          </w:p>
        </w:tc>
      </w:tr>
      <w:tr w:rsidR="0032669B" w:rsidRPr="00E10A8E" w14:paraId="7AD17257" w14:textId="77777777" w:rsidTr="00891DEA">
        <w:trPr>
          <w:trHeight w:val="252"/>
        </w:trPr>
        <w:tc>
          <w:tcPr>
            <w:tcW w:w="2021" w:type="dxa"/>
          </w:tcPr>
          <w:p w14:paraId="0F98D3FC"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120</w:t>
            </w:r>
          </w:p>
        </w:tc>
        <w:tc>
          <w:tcPr>
            <w:tcW w:w="2317" w:type="dxa"/>
          </w:tcPr>
          <w:p w14:paraId="750924B0"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0.293</w:t>
            </w:r>
          </w:p>
        </w:tc>
      </w:tr>
      <w:tr w:rsidR="0032669B" w:rsidRPr="00E10A8E" w14:paraId="67CE6532" w14:textId="77777777" w:rsidTr="00891DEA">
        <w:trPr>
          <w:trHeight w:val="261"/>
        </w:trPr>
        <w:tc>
          <w:tcPr>
            <w:tcW w:w="2021" w:type="dxa"/>
          </w:tcPr>
          <w:p w14:paraId="501C5DEE"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180</w:t>
            </w:r>
          </w:p>
        </w:tc>
        <w:tc>
          <w:tcPr>
            <w:tcW w:w="2317" w:type="dxa"/>
          </w:tcPr>
          <w:p w14:paraId="6B4C43B5" w14:textId="77777777" w:rsidR="0032669B" w:rsidRPr="00E10A8E" w:rsidRDefault="0032669B" w:rsidP="0032669B">
            <w:pPr>
              <w:keepNext/>
              <w:rPr>
                <w:rFonts w:ascii="Times New Roman" w:hAnsi="Times New Roman" w:cs="Times New Roman"/>
                <w:sz w:val="22"/>
                <w:szCs w:val="22"/>
              </w:rPr>
            </w:pPr>
            <w:r w:rsidRPr="00E10A8E">
              <w:rPr>
                <w:rFonts w:ascii="Times New Roman" w:hAnsi="Times New Roman" w:cs="Times New Roman"/>
                <w:sz w:val="22"/>
                <w:szCs w:val="22"/>
              </w:rPr>
              <w:t>0.158</w:t>
            </w:r>
          </w:p>
        </w:tc>
      </w:tr>
      <w:tr w:rsidR="0032669B" w:rsidRPr="00E10A8E" w14:paraId="00FA8A44" w14:textId="77777777" w:rsidTr="00891DEA">
        <w:trPr>
          <w:trHeight w:val="261"/>
        </w:trPr>
        <w:tc>
          <w:tcPr>
            <w:tcW w:w="2021" w:type="dxa"/>
          </w:tcPr>
          <w:p w14:paraId="740D2579" w14:textId="77777777" w:rsidR="0032669B" w:rsidRPr="00E10A8E" w:rsidRDefault="0032669B" w:rsidP="0032669B">
            <w:pPr>
              <w:rPr>
                <w:rFonts w:ascii="Times New Roman" w:hAnsi="Times New Roman" w:cs="Times New Roman"/>
                <w:sz w:val="22"/>
                <w:szCs w:val="22"/>
              </w:rPr>
            </w:pPr>
            <w:r w:rsidRPr="00E10A8E">
              <w:rPr>
                <w:rFonts w:ascii="Times New Roman" w:hAnsi="Times New Roman" w:cs="Times New Roman"/>
                <w:sz w:val="22"/>
                <w:szCs w:val="22"/>
              </w:rPr>
              <w:t>360</w:t>
            </w:r>
          </w:p>
        </w:tc>
        <w:tc>
          <w:tcPr>
            <w:tcW w:w="2317" w:type="dxa"/>
          </w:tcPr>
          <w:p w14:paraId="37638BE4" w14:textId="77777777" w:rsidR="0032669B" w:rsidRPr="00E10A8E" w:rsidRDefault="0032669B" w:rsidP="0032669B">
            <w:pPr>
              <w:rPr>
                <w:rFonts w:ascii="Times New Roman" w:hAnsi="Times New Roman" w:cs="Times New Roman"/>
                <w:sz w:val="22"/>
                <w:szCs w:val="22"/>
              </w:rPr>
            </w:pPr>
            <w:r w:rsidRPr="00E10A8E">
              <w:rPr>
                <w:rFonts w:ascii="Times New Roman" w:hAnsi="Times New Roman" w:cs="Times New Roman"/>
                <w:sz w:val="22"/>
                <w:szCs w:val="22"/>
              </w:rPr>
              <w:t>0.025</w:t>
            </w:r>
          </w:p>
        </w:tc>
      </w:tr>
    </w:tbl>
    <w:p w14:paraId="2696FD6A" w14:textId="77777777" w:rsidR="0032669B" w:rsidRDefault="0032669B" w:rsidP="006C082E">
      <w:pPr>
        <w:keepNext/>
        <w:rPr>
          <w:rFonts w:ascii="Times New Roman" w:eastAsia="TimesNewRoman" w:hAnsi="Times New Roman" w:cs="Times New Roman"/>
          <w:b/>
        </w:rPr>
      </w:pPr>
    </w:p>
    <w:p w14:paraId="09849385" w14:textId="77777777" w:rsidR="0032669B" w:rsidRDefault="0032669B" w:rsidP="006C082E">
      <w:pPr>
        <w:keepNext/>
        <w:rPr>
          <w:rFonts w:ascii="Times New Roman" w:eastAsia="TimesNewRoman" w:hAnsi="Times New Roman" w:cs="Times New Roman"/>
          <w:b/>
        </w:rPr>
      </w:pPr>
      <w:r>
        <w:rPr>
          <w:rFonts w:ascii="Times New Roman" w:eastAsia="TimesNewRoman" w:hAnsi="Times New Roman" w:cs="Times New Roman"/>
          <w:b/>
        </w:rPr>
        <w:t>External Radiation</w:t>
      </w:r>
    </w:p>
    <w:p w14:paraId="3E1C0349" w14:textId="77777777" w:rsidR="00950DC7" w:rsidRDefault="00891DEA" w:rsidP="00950DC7">
      <w:pPr>
        <w:rPr>
          <w:rFonts w:ascii="Times New Roman" w:eastAsia="TimesNewRoman" w:hAnsi="Times New Roman" w:cs="Times New Roman"/>
        </w:rPr>
      </w:pPr>
      <w:r>
        <w:rPr>
          <w:rFonts w:ascii="Times New Roman" w:eastAsia="TimesNewRoman" w:hAnsi="Times New Roman" w:cs="Times New Roman"/>
        </w:rPr>
        <w:t>R</w:t>
      </w:r>
      <w:r w:rsidR="00950DC7" w:rsidRPr="00950DC7">
        <w:rPr>
          <w:rFonts w:ascii="Times New Roman" w:eastAsia="TimesNewRoman" w:hAnsi="Times New Roman" w:cs="Times New Roman"/>
        </w:rPr>
        <w:t>adiation attenuation by lead shielding</w:t>
      </w:r>
      <w:r>
        <w:rPr>
          <w:rFonts w:ascii="Times New Roman" w:eastAsia="TimesNewRoman" w:hAnsi="Times New Roman" w:cs="Times New Roman"/>
        </w:rPr>
        <w:t xml:space="preserve"> listed in </w:t>
      </w:r>
      <w:r w:rsidR="0097219B">
        <w:rPr>
          <w:rFonts w:ascii="Times New Roman" w:eastAsia="TimesNewRoman" w:hAnsi="Times New Roman" w:cs="Times New Roman"/>
        </w:rPr>
        <w:fldChar w:fldCharType="begin"/>
      </w:r>
      <w:r>
        <w:rPr>
          <w:rFonts w:ascii="Times New Roman" w:eastAsia="TimesNewRoman" w:hAnsi="Times New Roman" w:cs="Times New Roman"/>
        </w:rPr>
        <w:instrText xml:space="preserve"> REF _Ref27569049 \h </w:instrText>
      </w:r>
      <w:r w:rsidR="0097219B">
        <w:rPr>
          <w:rFonts w:ascii="Times New Roman" w:eastAsia="TimesNewRoman" w:hAnsi="Times New Roman" w:cs="Times New Roman"/>
        </w:rPr>
      </w:r>
      <w:r w:rsidR="0097219B">
        <w:rPr>
          <w:rFonts w:ascii="Times New Roman" w:eastAsia="TimesNewRoman" w:hAnsi="Times New Roman" w:cs="Times New Roman"/>
        </w:rPr>
        <w:fldChar w:fldCharType="separate"/>
      </w:r>
      <w:r w:rsidRPr="00C50169">
        <w:rPr>
          <w:rFonts w:ascii="Times New Roman" w:eastAsia="Batang" w:hAnsi="Times New Roman" w:cs="Times New Roman"/>
          <w:bCs/>
        </w:rPr>
        <w:t xml:space="preserve">Table </w:t>
      </w:r>
      <w:r>
        <w:rPr>
          <w:rFonts w:ascii="Times New Roman" w:eastAsia="Batang" w:hAnsi="Times New Roman" w:cs="Times New Roman"/>
          <w:bCs/>
          <w:iCs/>
          <w:noProof/>
        </w:rPr>
        <w:t>3</w:t>
      </w:r>
      <w:r w:rsidR="0097219B">
        <w:rPr>
          <w:rFonts w:ascii="Times New Roman" w:eastAsia="TimesNewRoman" w:hAnsi="Times New Roman" w:cs="Times New Roman"/>
        </w:rPr>
        <w:fldChar w:fldCharType="end"/>
      </w:r>
      <w:r>
        <w:rPr>
          <w:rFonts w:ascii="Times New Roman" w:eastAsia="TimesNewRoman" w:hAnsi="Times New Roman" w:cs="Times New Roman"/>
        </w:rPr>
        <w:t xml:space="preserve">. </w:t>
      </w:r>
    </w:p>
    <w:p w14:paraId="53B6DEEC" w14:textId="77777777" w:rsidR="00891DEA" w:rsidRDefault="00891DEA" w:rsidP="00891DEA">
      <w:pPr>
        <w:pStyle w:val="Caption"/>
        <w:spacing w:after="0" w:line="240" w:lineRule="auto"/>
        <w:rPr>
          <w:rFonts w:ascii="Times New Roman" w:eastAsia="Batang" w:hAnsi="Times New Roman" w:cs="Times New Roman"/>
          <w:bCs/>
          <w:iCs w:val="0"/>
          <w:sz w:val="22"/>
          <w:szCs w:val="22"/>
        </w:rPr>
      </w:pPr>
      <w:bookmarkStart w:id="3" w:name="_Ref27569049"/>
      <w:r w:rsidRPr="00C50169">
        <w:rPr>
          <w:rFonts w:ascii="Times New Roman" w:eastAsia="Batang" w:hAnsi="Times New Roman" w:cs="Times New Roman"/>
          <w:bCs/>
          <w:iCs w:val="0"/>
          <w:sz w:val="22"/>
          <w:szCs w:val="22"/>
        </w:rPr>
        <w:t xml:space="preserve">Table </w:t>
      </w:r>
      <w:r w:rsidR="0097219B" w:rsidRPr="00C50169">
        <w:rPr>
          <w:rFonts w:ascii="Times New Roman" w:eastAsia="Batang" w:hAnsi="Times New Roman" w:cs="Times New Roman"/>
          <w:bCs/>
          <w:iCs w:val="0"/>
          <w:sz w:val="22"/>
          <w:szCs w:val="22"/>
        </w:rPr>
        <w:fldChar w:fldCharType="begin"/>
      </w:r>
      <w:r w:rsidRPr="00C50169">
        <w:rPr>
          <w:rFonts w:ascii="Times New Roman" w:eastAsia="Batang" w:hAnsi="Times New Roman" w:cs="Times New Roman"/>
          <w:bCs/>
          <w:iCs w:val="0"/>
          <w:sz w:val="22"/>
          <w:szCs w:val="22"/>
        </w:rPr>
        <w:instrText xml:space="preserve"> SEQ Table \* ARABIC </w:instrText>
      </w:r>
      <w:r w:rsidR="0097219B" w:rsidRPr="00C50169">
        <w:rPr>
          <w:rFonts w:ascii="Times New Roman" w:eastAsia="Batang" w:hAnsi="Times New Roman" w:cs="Times New Roman"/>
          <w:bCs/>
          <w:iCs w:val="0"/>
          <w:sz w:val="22"/>
          <w:szCs w:val="22"/>
        </w:rPr>
        <w:fldChar w:fldCharType="separate"/>
      </w:r>
      <w:r w:rsidR="001378C5">
        <w:rPr>
          <w:rFonts w:ascii="Times New Roman" w:eastAsia="Batang" w:hAnsi="Times New Roman" w:cs="Times New Roman"/>
          <w:bCs/>
          <w:iCs w:val="0"/>
          <w:noProof/>
          <w:sz w:val="22"/>
          <w:szCs w:val="22"/>
        </w:rPr>
        <w:t>3</w:t>
      </w:r>
      <w:r w:rsidR="0097219B" w:rsidRPr="00C50169">
        <w:rPr>
          <w:rFonts w:ascii="Times New Roman" w:eastAsia="Batang" w:hAnsi="Times New Roman" w:cs="Times New Roman"/>
          <w:bCs/>
          <w:iCs w:val="0"/>
          <w:sz w:val="22"/>
          <w:szCs w:val="22"/>
        </w:rPr>
        <w:fldChar w:fldCharType="end"/>
      </w:r>
      <w:bookmarkEnd w:id="3"/>
      <w:r w:rsidRPr="00B6049A">
        <w:rPr>
          <w:rFonts w:ascii="Times New Roman" w:eastAsia="Batang" w:hAnsi="Times New Roman" w:cs="Times New Roman"/>
          <w:bCs/>
          <w:iCs w:val="0"/>
          <w:sz w:val="22"/>
          <w:szCs w:val="22"/>
        </w:rPr>
        <w:t>: Radiation Attenuation of 511 keV Photons by Lead (Pb) Shielding</w:t>
      </w:r>
    </w:p>
    <w:tbl>
      <w:tblPr>
        <w:tblStyle w:val="TableGrid"/>
        <w:tblW w:w="0" w:type="auto"/>
        <w:tblLook w:val="04A0" w:firstRow="1" w:lastRow="0" w:firstColumn="1" w:lastColumn="0" w:noHBand="0" w:noVBand="1"/>
      </w:tblPr>
      <w:tblGrid>
        <w:gridCol w:w="2718"/>
        <w:gridCol w:w="2700"/>
      </w:tblGrid>
      <w:tr w:rsidR="00891DEA" w:rsidRPr="00891DEA" w14:paraId="739688C0" w14:textId="77777777" w:rsidTr="00891DEA">
        <w:trPr>
          <w:trHeight w:val="261"/>
        </w:trPr>
        <w:tc>
          <w:tcPr>
            <w:tcW w:w="2718" w:type="dxa"/>
          </w:tcPr>
          <w:p w14:paraId="2992EC56" w14:textId="77777777" w:rsidR="00891DEA" w:rsidRPr="00891DEA" w:rsidRDefault="00950DC7" w:rsidP="00E748D7">
            <w:pPr>
              <w:spacing w:after="200" w:line="276" w:lineRule="auto"/>
              <w:rPr>
                <w:rFonts w:ascii="Times New Roman" w:hAnsi="Times New Roman" w:cs="Times New Roman"/>
                <w:b/>
                <w:sz w:val="22"/>
                <w:szCs w:val="22"/>
              </w:rPr>
            </w:pPr>
            <w:r w:rsidRPr="00950DC7">
              <w:rPr>
                <w:rFonts w:ascii="Times New Roman" w:hAnsi="Times New Roman" w:cs="Times New Roman"/>
                <w:b/>
              </w:rPr>
              <w:t>Shield Thickness (Pb) mm</w:t>
            </w:r>
          </w:p>
        </w:tc>
        <w:tc>
          <w:tcPr>
            <w:tcW w:w="2700" w:type="dxa"/>
          </w:tcPr>
          <w:p w14:paraId="0481689A" w14:textId="77777777" w:rsidR="00891DEA" w:rsidRPr="00891DEA" w:rsidRDefault="00950DC7" w:rsidP="00E748D7">
            <w:pPr>
              <w:spacing w:after="200" w:line="276" w:lineRule="auto"/>
              <w:rPr>
                <w:rFonts w:ascii="Times New Roman" w:hAnsi="Times New Roman" w:cs="Times New Roman"/>
                <w:b/>
                <w:sz w:val="22"/>
                <w:szCs w:val="22"/>
              </w:rPr>
            </w:pPr>
            <w:r w:rsidRPr="00950DC7">
              <w:rPr>
                <w:rFonts w:ascii="Times New Roman" w:hAnsi="Times New Roman" w:cs="Times New Roman"/>
                <w:b/>
              </w:rPr>
              <w:t>Coefficient of Attenuation</w:t>
            </w:r>
          </w:p>
        </w:tc>
      </w:tr>
      <w:tr w:rsidR="00891DEA" w:rsidRPr="00E10A8E" w14:paraId="58A9669C" w14:textId="77777777" w:rsidTr="00891DEA">
        <w:trPr>
          <w:trHeight w:val="261"/>
        </w:trPr>
        <w:tc>
          <w:tcPr>
            <w:tcW w:w="2718" w:type="dxa"/>
          </w:tcPr>
          <w:p w14:paraId="71091F6A" w14:textId="77777777" w:rsidR="00891DEA" w:rsidRPr="00E10A8E" w:rsidRDefault="00891DEA" w:rsidP="00E748D7">
            <w:pPr>
              <w:rPr>
                <w:rFonts w:ascii="Times New Roman" w:hAnsi="Times New Roman" w:cs="Times New Roman"/>
                <w:sz w:val="22"/>
                <w:szCs w:val="22"/>
              </w:rPr>
            </w:pPr>
            <w:r>
              <w:rPr>
                <w:rFonts w:ascii="Times New Roman" w:hAnsi="Times New Roman" w:cs="Times New Roman"/>
                <w:sz w:val="22"/>
                <w:szCs w:val="22"/>
              </w:rPr>
              <w:t>6</w:t>
            </w:r>
          </w:p>
        </w:tc>
        <w:tc>
          <w:tcPr>
            <w:tcW w:w="2700" w:type="dxa"/>
          </w:tcPr>
          <w:p w14:paraId="0607147B" w14:textId="77777777" w:rsidR="00891DEA" w:rsidRPr="00E10A8E" w:rsidRDefault="00891DEA" w:rsidP="00E748D7">
            <w:pPr>
              <w:rPr>
                <w:rFonts w:ascii="Times New Roman" w:hAnsi="Times New Roman" w:cs="Times New Roman"/>
                <w:sz w:val="22"/>
                <w:szCs w:val="22"/>
              </w:rPr>
            </w:pPr>
            <w:r>
              <w:rPr>
                <w:rFonts w:ascii="Times New Roman" w:hAnsi="Times New Roman" w:cs="Times New Roman"/>
                <w:sz w:val="22"/>
                <w:szCs w:val="22"/>
              </w:rPr>
              <w:t>0.5</w:t>
            </w:r>
          </w:p>
        </w:tc>
      </w:tr>
      <w:tr w:rsidR="00891DEA" w:rsidRPr="00E10A8E" w14:paraId="1CE123B2" w14:textId="77777777" w:rsidTr="00891DEA">
        <w:trPr>
          <w:trHeight w:val="252"/>
        </w:trPr>
        <w:tc>
          <w:tcPr>
            <w:tcW w:w="2718" w:type="dxa"/>
          </w:tcPr>
          <w:p w14:paraId="75D243CA" w14:textId="77777777" w:rsidR="00891DEA" w:rsidRPr="00E10A8E" w:rsidRDefault="00891DEA" w:rsidP="00E748D7">
            <w:pPr>
              <w:rPr>
                <w:rFonts w:ascii="Times New Roman" w:hAnsi="Times New Roman" w:cs="Times New Roman"/>
                <w:sz w:val="22"/>
                <w:szCs w:val="22"/>
              </w:rPr>
            </w:pPr>
            <w:r>
              <w:rPr>
                <w:rFonts w:ascii="Times New Roman" w:hAnsi="Times New Roman" w:cs="Times New Roman"/>
                <w:sz w:val="22"/>
                <w:szCs w:val="22"/>
              </w:rPr>
              <w:t>12</w:t>
            </w:r>
          </w:p>
        </w:tc>
        <w:tc>
          <w:tcPr>
            <w:tcW w:w="2700" w:type="dxa"/>
          </w:tcPr>
          <w:p w14:paraId="1E7F8369" w14:textId="77777777" w:rsidR="00891DEA" w:rsidRPr="00E10A8E" w:rsidRDefault="00891DEA" w:rsidP="00E748D7">
            <w:pPr>
              <w:rPr>
                <w:rFonts w:ascii="Times New Roman" w:hAnsi="Times New Roman" w:cs="Times New Roman"/>
                <w:sz w:val="22"/>
                <w:szCs w:val="22"/>
              </w:rPr>
            </w:pPr>
            <w:r>
              <w:rPr>
                <w:rFonts w:ascii="Times New Roman" w:hAnsi="Times New Roman" w:cs="Times New Roman"/>
                <w:sz w:val="22"/>
                <w:szCs w:val="22"/>
              </w:rPr>
              <w:t>0.25</w:t>
            </w:r>
          </w:p>
        </w:tc>
      </w:tr>
      <w:tr w:rsidR="00891DEA" w:rsidRPr="00E10A8E" w14:paraId="1C752362" w14:textId="77777777" w:rsidTr="00891DEA">
        <w:trPr>
          <w:trHeight w:val="261"/>
        </w:trPr>
        <w:tc>
          <w:tcPr>
            <w:tcW w:w="2718" w:type="dxa"/>
          </w:tcPr>
          <w:p w14:paraId="04232142" w14:textId="77777777" w:rsidR="00891DEA" w:rsidRPr="00E10A8E" w:rsidRDefault="00891DEA" w:rsidP="00E748D7">
            <w:pPr>
              <w:rPr>
                <w:rFonts w:ascii="Times New Roman" w:hAnsi="Times New Roman" w:cs="Times New Roman"/>
                <w:sz w:val="22"/>
                <w:szCs w:val="22"/>
              </w:rPr>
            </w:pPr>
            <w:r>
              <w:rPr>
                <w:rFonts w:ascii="Times New Roman" w:hAnsi="Times New Roman" w:cs="Times New Roman"/>
                <w:sz w:val="22"/>
                <w:szCs w:val="22"/>
              </w:rPr>
              <w:t>17</w:t>
            </w:r>
          </w:p>
        </w:tc>
        <w:tc>
          <w:tcPr>
            <w:tcW w:w="2700" w:type="dxa"/>
          </w:tcPr>
          <w:p w14:paraId="52BFA04A" w14:textId="77777777" w:rsidR="00891DEA" w:rsidRPr="00E10A8E" w:rsidRDefault="00891DEA" w:rsidP="00E748D7">
            <w:pPr>
              <w:rPr>
                <w:rFonts w:ascii="Times New Roman" w:hAnsi="Times New Roman" w:cs="Times New Roman"/>
                <w:sz w:val="22"/>
                <w:szCs w:val="22"/>
              </w:rPr>
            </w:pPr>
            <w:r>
              <w:rPr>
                <w:rFonts w:ascii="Times New Roman" w:hAnsi="Times New Roman" w:cs="Times New Roman"/>
                <w:sz w:val="22"/>
                <w:szCs w:val="22"/>
              </w:rPr>
              <w:t>0.1</w:t>
            </w:r>
          </w:p>
        </w:tc>
      </w:tr>
      <w:tr w:rsidR="00891DEA" w:rsidRPr="00E10A8E" w14:paraId="033C19B5" w14:textId="77777777" w:rsidTr="00891DEA">
        <w:trPr>
          <w:trHeight w:val="261"/>
        </w:trPr>
        <w:tc>
          <w:tcPr>
            <w:tcW w:w="2718" w:type="dxa"/>
          </w:tcPr>
          <w:p w14:paraId="54DB1AAD" w14:textId="77777777" w:rsidR="00891DEA" w:rsidRPr="00E10A8E" w:rsidRDefault="00891DEA" w:rsidP="00E748D7">
            <w:pPr>
              <w:rPr>
                <w:rFonts w:ascii="Times New Roman" w:hAnsi="Times New Roman" w:cs="Times New Roman"/>
                <w:sz w:val="22"/>
                <w:szCs w:val="22"/>
              </w:rPr>
            </w:pPr>
            <w:r>
              <w:rPr>
                <w:rFonts w:ascii="Times New Roman" w:hAnsi="Times New Roman" w:cs="Times New Roman"/>
                <w:sz w:val="22"/>
                <w:szCs w:val="22"/>
              </w:rPr>
              <w:t>34</w:t>
            </w:r>
          </w:p>
        </w:tc>
        <w:tc>
          <w:tcPr>
            <w:tcW w:w="2700" w:type="dxa"/>
          </w:tcPr>
          <w:p w14:paraId="749B41E6" w14:textId="77777777" w:rsidR="00891DEA" w:rsidRPr="00E10A8E" w:rsidRDefault="00891DEA" w:rsidP="00E748D7">
            <w:pPr>
              <w:rPr>
                <w:rFonts w:ascii="Times New Roman" w:hAnsi="Times New Roman" w:cs="Times New Roman"/>
                <w:sz w:val="22"/>
                <w:szCs w:val="22"/>
              </w:rPr>
            </w:pPr>
            <w:r>
              <w:rPr>
                <w:rFonts w:ascii="Times New Roman" w:hAnsi="Times New Roman" w:cs="Times New Roman"/>
                <w:sz w:val="22"/>
                <w:szCs w:val="22"/>
              </w:rPr>
              <w:t>0.01</w:t>
            </w:r>
          </w:p>
        </w:tc>
      </w:tr>
      <w:tr w:rsidR="00891DEA" w:rsidRPr="00E10A8E" w14:paraId="526A61AA" w14:textId="77777777" w:rsidTr="00891DEA">
        <w:trPr>
          <w:trHeight w:val="261"/>
        </w:trPr>
        <w:tc>
          <w:tcPr>
            <w:tcW w:w="2718" w:type="dxa"/>
          </w:tcPr>
          <w:p w14:paraId="33B2DFB0" w14:textId="77777777" w:rsidR="00891DEA" w:rsidRPr="00E10A8E" w:rsidRDefault="00891DEA" w:rsidP="00E748D7">
            <w:pPr>
              <w:rPr>
                <w:rFonts w:ascii="Times New Roman" w:hAnsi="Times New Roman" w:cs="Times New Roman"/>
                <w:sz w:val="22"/>
                <w:szCs w:val="22"/>
              </w:rPr>
            </w:pPr>
            <w:r>
              <w:rPr>
                <w:rFonts w:ascii="Times New Roman" w:hAnsi="Times New Roman" w:cs="Times New Roman"/>
                <w:sz w:val="22"/>
                <w:szCs w:val="22"/>
              </w:rPr>
              <w:t>51</w:t>
            </w:r>
          </w:p>
        </w:tc>
        <w:tc>
          <w:tcPr>
            <w:tcW w:w="2700" w:type="dxa"/>
          </w:tcPr>
          <w:p w14:paraId="703C3FD9" w14:textId="77777777" w:rsidR="00891DEA" w:rsidRPr="00E10A8E" w:rsidRDefault="00891DEA" w:rsidP="00E748D7">
            <w:pPr>
              <w:rPr>
                <w:rFonts w:ascii="Times New Roman" w:hAnsi="Times New Roman" w:cs="Times New Roman"/>
                <w:sz w:val="22"/>
                <w:szCs w:val="22"/>
              </w:rPr>
            </w:pPr>
            <w:r>
              <w:rPr>
                <w:rFonts w:ascii="Times New Roman" w:hAnsi="Times New Roman" w:cs="Times New Roman"/>
                <w:sz w:val="22"/>
                <w:szCs w:val="22"/>
              </w:rPr>
              <w:t>0.001</w:t>
            </w:r>
          </w:p>
        </w:tc>
      </w:tr>
    </w:tbl>
    <w:p w14:paraId="56319E15" w14:textId="77777777" w:rsidR="006C082E" w:rsidRPr="00A34935" w:rsidRDefault="006C082E" w:rsidP="00E22C9E">
      <w:pPr>
        <w:keepNext/>
        <w:rPr>
          <w:rFonts w:ascii="Times New Roman" w:eastAsia="TimesNewRoman" w:hAnsi="Times New Roman" w:cs="Times New Roman"/>
        </w:rPr>
      </w:pPr>
    </w:p>
    <w:p w14:paraId="488A77FA" w14:textId="77777777" w:rsidR="001A3992" w:rsidRPr="00A34935" w:rsidRDefault="001A3992" w:rsidP="001A3992">
      <w:pPr>
        <w:pStyle w:val="Heading1"/>
        <w:spacing w:before="0" w:after="120"/>
        <w:rPr>
          <w:rFonts w:ascii="Times New Roman" w:hAnsi="Times New Roman" w:cs="Times New Roman"/>
        </w:rPr>
      </w:pPr>
      <w:r w:rsidRPr="00A34935">
        <w:rPr>
          <w:rFonts w:ascii="Times New Roman" w:hAnsi="Times New Roman" w:cs="Times New Roman"/>
        </w:rPr>
        <w:t>Pharmaceutical form</w:t>
      </w:r>
    </w:p>
    <w:p w14:paraId="03297E53" w14:textId="77777777" w:rsidR="00226A55" w:rsidRPr="00A34935" w:rsidRDefault="00383013" w:rsidP="00226A55">
      <w:pPr>
        <w:rPr>
          <w:rFonts w:ascii="Times New Roman" w:hAnsi="Times New Roman" w:cs="Times New Roman"/>
        </w:rPr>
      </w:pPr>
      <w:r w:rsidRPr="00D65E29">
        <w:rPr>
          <w:rFonts w:ascii="Times New Roman" w:hAnsi="Times New Roman" w:cs="Times New Roman"/>
        </w:rPr>
        <w:t>Powder</w:t>
      </w:r>
      <w:r w:rsidR="00860CD4">
        <w:rPr>
          <w:rFonts w:ascii="Times New Roman" w:hAnsi="Times New Roman" w:cs="Times New Roman"/>
        </w:rPr>
        <w:t xml:space="preserve"> </w:t>
      </w:r>
      <w:r w:rsidR="00D65E29">
        <w:rPr>
          <w:rFonts w:ascii="Times New Roman" w:hAnsi="Times New Roman" w:cs="Times New Roman"/>
        </w:rPr>
        <w:t>for I</w:t>
      </w:r>
      <w:r w:rsidR="00226A55" w:rsidRPr="00A34935">
        <w:rPr>
          <w:rFonts w:ascii="Times New Roman" w:hAnsi="Times New Roman" w:cs="Times New Roman"/>
        </w:rPr>
        <w:t>njection.</w:t>
      </w:r>
    </w:p>
    <w:p w14:paraId="69DFFB16" w14:textId="77777777" w:rsidR="001F4480" w:rsidRDefault="00860CD4" w:rsidP="00EE3441">
      <w:pPr>
        <w:rPr>
          <w:rFonts w:ascii="Times New Roman" w:eastAsia="TimesNewRoman" w:hAnsi="Times New Roman" w:cs="Times New Roman"/>
        </w:rPr>
        <w:sectPr w:rsidR="001F4480">
          <w:pgSz w:w="11906" w:h="16838"/>
          <w:pgMar w:top="1440" w:right="1440" w:bottom="1440" w:left="1440" w:header="708" w:footer="708" w:gutter="0"/>
          <w:cols w:space="708"/>
          <w:docGrid w:linePitch="360"/>
        </w:sectPr>
      </w:pPr>
      <w:r w:rsidRPr="00860CD4">
        <w:rPr>
          <w:rFonts w:ascii="Times New Roman" w:eastAsia="TimesNewRoman" w:hAnsi="Times New Roman" w:cs="Times New Roman"/>
        </w:rPr>
        <w:t>Glu-urea-Lys(</w:t>
      </w:r>
      <w:proofErr w:type="spellStart"/>
      <w:r w:rsidRPr="00860CD4">
        <w:rPr>
          <w:rFonts w:ascii="Times New Roman" w:eastAsia="TimesNewRoman" w:hAnsi="Times New Roman" w:cs="Times New Roman"/>
        </w:rPr>
        <w:t>ahx</w:t>
      </w:r>
      <w:proofErr w:type="spellEnd"/>
      <w:r w:rsidRPr="00860CD4">
        <w:rPr>
          <w:rFonts w:ascii="Times New Roman" w:eastAsia="TimesNewRoman" w:hAnsi="Times New Roman" w:cs="Times New Roman"/>
        </w:rPr>
        <w:t>)-</w:t>
      </w:r>
      <w:proofErr w:type="spellStart"/>
      <w:r w:rsidRPr="00860CD4">
        <w:rPr>
          <w:rFonts w:ascii="Times New Roman" w:eastAsia="TimesNewRoman" w:hAnsi="Times New Roman" w:cs="Times New Roman"/>
        </w:rPr>
        <w:t>hbed</w:t>
      </w:r>
      <w:proofErr w:type="spellEnd"/>
      <w:r w:rsidRPr="00860CD4">
        <w:rPr>
          <w:rFonts w:ascii="Times New Roman" w:eastAsia="TimesNewRoman" w:hAnsi="Times New Roman" w:cs="Times New Roman"/>
        </w:rPr>
        <w:t>-CC</w:t>
      </w:r>
      <w:r w:rsidR="000D1C2B" w:rsidRPr="00A34935">
        <w:rPr>
          <w:rFonts w:ascii="Times New Roman" w:eastAsia="TimesNewRoman" w:hAnsi="Times New Roman" w:cs="Times New Roman"/>
        </w:rPr>
        <w:t xml:space="preserve"> is White to off-white traces, practically free of particles. Buffer is clear and </w:t>
      </w:r>
      <w:r w:rsidR="00315594" w:rsidRPr="00A34935">
        <w:rPr>
          <w:rFonts w:ascii="Times New Roman" w:eastAsia="TimesNewRoman" w:hAnsi="Times New Roman" w:cs="Times New Roman"/>
        </w:rPr>
        <w:t>colourless</w:t>
      </w:r>
      <w:r w:rsidR="000D1C2B" w:rsidRPr="00A34935">
        <w:rPr>
          <w:rFonts w:ascii="Times New Roman" w:eastAsia="TimesNewRoman" w:hAnsi="Times New Roman" w:cs="Times New Roman"/>
        </w:rPr>
        <w:t xml:space="preserve"> solution, practically free of visible particles. </w:t>
      </w:r>
    </w:p>
    <w:p w14:paraId="50B05907" w14:textId="77777777" w:rsidR="001A3992" w:rsidRPr="00A34935" w:rsidRDefault="001A3992" w:rsidP="001A3992">
      <w:pPr>
        <w:pStyle w:val="Heading1"/>
        <w:spacing w:before="0" w:after="120"/>
        <w:rPr>
          <w:rFonts w:ascii="Times New Roman" w:hAnsi="Times New Roman" w:cs="Times New Roman"/>
        </w:rPr>
      </w:pPr>
      <w:r w:rsidRPr="00A34935">
        <w:rPr>
          <w:rFonts w:ascii="Times New Roman" w:hAnsi="Times New Roman" w:cs="Times New Roman"/>
        </w:rPr>
        <w:lastRenderedPageBreak/>
        <w:t>Clinical particulars</w:t>
      </w:r>
    </w:p>
    <w:p w14:paraId="185450D0" w14:textId="77777777" w:rsidR="00317A59" w:rsidRPr="00A34935" w:rsidRDefault="001A3992" w:rsidP="001A3992">
      <w:pPr>
        <w:pStyle w:val="Heading2"/>
        <w:spacing w:before="0" w:after="120"/>
        <w:rPr>
          <w:rFonts w:ascii="Times New Roman" w:hAnsi="Times New Roman" w:cs="Times New Roman"/>
        </w:rPr>
      </w:pPr>
      <w:r w:rsidRPr="00A34935">
        <w:rPr>
          <w:rFonts w:ascii="Times New Roman" w:hAnsi="Times New Roman" w:cs="Times New Roman"/>
        </w:rPr>
        <w:t>Therapeutic indications</w:t>
      </w:r>
    </w:p>
    <w:p w14:paraId="75AD0B49" w14:textId="77777777" w:rsidR="004C6F40" w:rsidRDefault="00317A59" w:rsidP="004C6F40">
      <w:pPr>
        <w:rPr>
          <w:rFonts w:ascii="Times New Roman" w:eastAsia="TimesNewRoman" w:hAnsi="Times New Roman" w:cs="Times New Roman"/>
        </w:rPr>
      </w:pPr>
      <w:r w:rsidRPr="00A34935">
        <w:rPr>
          <w:rFonts w:ascii="Times New Roman" w:eastAsia="TimesNewRoman" w:hAnsi="Times New Roman" w:cs="Times New Roman"/>
        </w:rPr>
        <w:t xml:space="preserve">ILLUCCIX, after </w:t>
      </w:r>
      <w:r w:rsidR="00315594" w:rsidRPr="00A34935">
        <w:rPr>
          <w:rFonts w:ascii="Times New Roman" w:eastAsia="TimesNewRoman" w:hAnsi="Times New Roman" w:cs="Times New Roman"/>
        </w:rPr>
        <w:t>radiolabelling</w:t>
      </w:r>
      <w:r w:rsidRPr="00A34935">
        <w:rPr>
          <w:rFonts w:ascii="Times New Roman" w:eastAsia="TimesNewRoman" w:hAnsi="Times New Roman" w:cs="Times New Roman"/>
        </w:rPr>
        <w:t xml:space="preserve"> with Ga-68, is a radioactive diagnostic agent indicated for use with positron emission tomography (PET)</w:t>
      </w:r>
      <w:r w:rsidR="00E55DCB">
        <w:rPr>
          <w:rFonts w:ascii="Times New Roman" w:eastAsia="TimesNewRoman" w:hAnsi="Times New Roman" w:cs="Times New Roman"/>
        </w:rPr>
        <w:t xml:space="preserve"> </w:t>
      </w:r>
      <w:r w:rsidR="004C6F40" w:rsidRPr="004C6F40">
        <w:rPr>
          <w:rFonts w:ascii="Times New Roman" w:eastAsia="TimesNewRoman" w:hAnsi="Times New Roman" w:cs="Times New Roman"/>
        </w:rPr>
        <w:t xml:space="preserve">imaging combined with Computerised Tomography (CT) in </w:t>
      </w:r>
      <w:r w:rsidR="00762B82">
        <w:rPr>
          <w:rFonts w:ascii="Times New Roman" w:eastAsia="TimesNewRoman" w:hAnsi="Times New Roman" w:cs="Times New Roman"/>
        </w:rPr>
        <w:t>patients</w:t>
      </w:r>
      <w:r w:rsidR="00762B82" w:rsidRPr="004C6F40">
        <w:rPr>
          <w:rFonts w:ascii="Times New Roman" w:eastAsia="TimesNewRoman" w:hAnsi="Times New Roman" w:cs="Times New Roman"/>
        </w:rPr>
        <w:t xml:space="preserve"> </w:t>
      </w:r>
      <w:r w:rsidR="004C6F40" w:rsidRPr="004C6F40">
        <w:rPr>
          <w:rFonts w:ascii="Times New Roman" w:eastAsia="TimesNewRoman" w:hAnsi="Times New Roman" w:cs="Times New Roman"/>
        </w:rPr>
        <w:t xml:space="preserve">with prostate cancer: </w:t>
      </w:r>
    </w:p>
    <w:p w14:paraId="0A96D38D" w14:textId="77777777" w:rsidR="004C6F40" w:rsidRDefault="004C6F40" w:rsidP="004C6F40">
      <w:pPr>
        <w:pStyle w:val="ListParagraph"/>
        <w:numPr>
          <w:ilvl w:val="0"/>
          <w:numId w:val="32"/>
        </w:numPr>
        <w:rPr>
          <w:rFonts w:ascii="Times New Roman" w:eastAsia="TimesNewRoman" w:hAnsi="Times New Roman" w:cs="Times New Roman"/>
        </w:rPr>
      </w:pPr>
      <w:r w:rsidRPr="004C6F40">
        <w:rPr>
          <w:rFonts w:ascii="Times New Roman" w:eastAsia="TimesNewRoman" w:hAnsi="Times New Roman" w:cs="Times New Roman"/>
        </w:rPr>
        <w:t>who are at risk of metastasis and who are suitable for</w:t>
      </w:r>
      <w:r w:rsidR="00E55DCB">
        <w:rPr>
          <w:rFonts w:ascii="Times New Roman" w:eastAsia="TimesNewRoman" w:hAnsi="Times New Roman" w:cs="Times New Roman"/>
        </w:rPr>
        <w:t xml:space="preserve"> </w:t>
      </w:r>
      <w:r w:rsidRPr="004C6F40">
        <w:rPr>
          <w:rFonts w:ascii="Times New Roman" w:eastAsia="TimesNewRoman" w:hAnsi="Times New Roman" w:cs="Times New Roman"/>
        </w:rPr>
        <w:t xml:space="preserve">initial definitive </w:t>
      </w:r>
      <w:proofErr w:type="gramStart"/>
      <w:r w:rsidRPr="004C6F40">
        <w:rPr>
          <w:rFonts w:ascii="Times New Roman" w:eastAsia="TimesNewRoman" w:hAnsi="Times New Roman" w:cs="Times New Roman"/>
        </w:rPr>
        <w:t>therapy</w:t>
      </w:r>
      <w:r>
        <w:rPr>
          <w:rFonts w:ascii="Times New Roman" w:eastAsia="TimesNewRoman" w:hAnsi="Times New Roman" w:cs="Times New Roman"/>
        </w:rPr>
        <w:t>.</w:t>
      </w:r>
      <w:proofErr w:type="gramEnd"/>
    </w:p>
    <w:p w14:paraId="573E8E94" w14:textId="77777777" w:rsidR="009B54F0" w:rsidRDefault="004C6F40" w:rsidP="004C6F40">
      <w:pPr>
        <w:pStyle w:val="ListParagraph"/>
        <w:numPr>
          <w:ilvl w:val="0"/>
          <w:numId w:val="32"/>
        </w:numPr>
        <w:rPr>
          <w:rFonts w:ascii="Times New Roman" w:eastAsia="TimesNewRoman" w:hAnsi="Times New Roman" w:cs="Times New Roman"/>
        </w:rPr>
      </w:pPr>
      <w:r w:rsidRPr="004C6F40">
        <w:rPr>
          <w:rFonts w:ascii="Times New Roman" w:eastAsia="TimesNewRoman" w:hAnsi="Times New Roman" w:cs="Times New Roman"/>
        </w:rPr>
        <w:t xml:space="preserve">who have suspected recurrence based on elevated serum prostate specific antigen (PSA) </w:t>
      </w:r>
      <w:proofErr w:type="gramStart"/>
      <w:r w:rsidRPr="004C6F40">
        <w:rPr>
          <w:rFonts w:ascii="Times New Roman" w:eastAsia="TimesNewRoman" w:hAnsi="Times New Roman" w:cs="Times New Roman"/>
        </w:rPr>
        <w:t>level.</w:t>
      </w:r>
      <w:proofErr w:type="gramEnd"/>
    </w:p>
    <w:p w14:paraId="15F0B31D" w14:textId="77777777" w:rsidR="00C210E4" w:rsidRDefault="00C210E4">
      <w:pPr>
        <w:pStyle w:val="ListParagraph"/>
        <w:autoSpaceDE w:val="0"/>
        <w:autoSpaceDN w:val="0"/>
        <w:adjustRightInd w:val="0"/>
        <w:spacing w:after="20" w:line="240" w:lineRule="auto"/>
        <w:rPr>
          <w:rFonts w:ascii="Times New Roman" w:eastAsia="TimesNewRoman" w:hAnsi="Times New Roman" w:cs="Times New Roman"/>
        </w:rPr>
      </w:pPr>
    </w:p>
    <w:p w14:paraId="4E140FDD" w14:textId="77777777" w:rsidR="001A3992" w:rsidRPr="00A34935" w:rsidRDefault="001A3992" w:rsidP="001A3992">
      <w:pPr>
        <w:pStyle w:val="Heading2"/>
        <w:spacing w:before="0" w:after="120"/>
        <w:rPr>
          <w:rFonts w:ascii="Times New Roman" w:hAnsi="Times New Roman" w:cs="Times New Roman"/>
        </w:rPr>
      </w:pPr>
      <w:r w:rsidRPr="00A34935">
        <w:rPr>
          <w:rFonts w:ascii="Times New Roman" w:hAnsi="Times New Roman" w:cs="Times New Roman"/>
        </w:rPr>
        <w:t xml:space="preserve">Dose and method of administration </w:t>
      </w:r>
    </w:p>
    <w:p w14:paraId="72B17131" w14:textId="77777777" w:rsidR="00317A59" w:rsidRPr="00A34935" w:rsidRDefault="00A34935" w:rsidP="00A34935">
      <w:pPr>
        <w:pStyle w:val="Heading3"/>
      </w:pPr>
      <w:bookmarkStart w:id="4" w:name="_Toc48568578"/>
      <w:r w:rsidRPr="00A34935">
        <w:t>Radiation Safety - Drug Handling</w:t>
      </w:r>
      <w:bookmarkEnd w:id="4"/>
    </w:p>
    <w:p w14:paraId="1C5051D3" w14:textId="77777777" w:rsidR="000B3669" w:rsidRDefault="00317A59" w:rsidP="00317A59">
      <w:pPr>
        <w:rPr>
          <w:rFonts w:ascii="Times New Roman" w:eastAsia="TimesNewRoman" w:hAnsi="Times New Roman" w:cs="Times New Roman"/>
        </w:rPr>
      </w:pPr>
      <w:r w:rsidRPr="00A34935">
        <w:rPr>
          <w:rFonts w:ascii="Times New Roman" w:eastAsia="TimesNewRoman" w:hAnsi="Times New Roman" w:cs="Times New Roman"/>
        </w:rPr>
        <w:t xml:space="preserve">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is a radioactive drug and should be handled with appropriate safety measures to minimize radiation </w:t>
      </w:r>
      <w:r w:rsidRPr="00A34935">
        <w:rPr>
          <w:rFonts w:ascii="Times New Roman" w:hAnsi="Times New Roman" w:cs="Times New Roman"/>
        </w:rPr>
        <w:t xml:space="preserve">exposure </w:t>
      </w:r>
      <w:r w:rsidR="00A34935">
        <w:rPr>
          <w:rFonts w:ascii="Times New Roman" w:hAnsi="Times New Roman" w:cs="Times New Roman"/>
        </w:rPr>
        <w:t>(</w:t>
      </w:r>
      <w:r w:rsidRPr="00A34935">
        <w:rPr>
          <w:rFonts w:ascii="Times New Roman" w:hAnsi="Times New Roman" w:cs="Times New Roman"/>
        </w:rPr>
        <w:t xml:space="preserve">see </w:t>
      </w:r>
      <w:r w:rsidR="00A34935" w:rsidRPr="00A34935">
        <w:rPr>
          <w:rFonts w:ascii="Times New Roman" w:hAnsi="Times New Roman" w:cs="Times New Roman"/>
          <w:b/>
          <w:bCs/>
        </w:rPr>
        <w:t>4.4</w:t>
      </w:r>
      <w:r w:rsidR="00F313CF">
        <w:rPr>
          <w:rFonts w:ascii="Times New Roman" w:hAnsi="Times New Roman" w:cs="Times New Roman"/>
          <w:b/>
          <w:bCs/>
        </w:rPr>
        <w:t xml:space="preserve"> </w:t>
      </w:r>
      <w:r w:rsidR="00A34935" w:rsidRPr="00A34935">
        <w:rPr>
          <w:rFonts w:ascii="Times New Roman" w:hAnsi="Times New Roman" w:cs="Times New Roman"/>
          <w:b/>
          <w:bCs/>
        </w:rPr>
        <w:t xml:space="preserve">Special </w:t>
      </w:r>
      <w:r w:rsidR="00B30ADC" w:rsidRPr="00A34935">
        <w:rPr>
          <w:rFonts w:ascii="Times New Roman" w:hAnsi="Times New Roman" w:cs="Times New Roman"/>
          <w:b/>
          <w:bCs/>
        </w:rPr>
        <w:t xml:space="preserve">Warnings </w:t>
      </w:r>
      <w:r w:rsidR="00A34935" w:rsidRPr="00A34935">
        <w:rPr>
          <w:rFonts w:ascii="Times New Roman" w:hAnsi="Times New Roman" w:cs="Times New Roman"/>
          <w:b/>
          <w:bCs/>
        </w:rPr>
        <w:t xml:space="preserve">and </w:t>
      </w:r>
      <w:r w:rsidR="00B30ADC" w:rsidRPr="00A34935">
        <w:rPr>
          <w:rFonts w:ascii="Times New Roman" w:hAnsi="Times New Roman" w:cs="Times New Roman"/>
          <w:b/>
          <w:bCs/>
        </w:rPr>
        <w:t xml:space="preserve">Precautions </w:t>
      </w:r>
      <w:r w:rsidR="00A34935" w:rsidRPr="00A34935">
        <w:rPr>
          <w:rFonts w:ascii="Times New Roman" w:hAnsi="Times New Roman" w:cs="Times New Roman"/>
          <w:b/>
          <w:bCs/>
        </w:rPr>
        <w:t xml:space="preserve">for </w:t>
      </w:r>
      <w:r w:rsidR="00B30ADC" w:rsidRPr="00A34935">
        <w:rPr>
          <w:rFonts w:ascii="Times New Roman" w:hAnsi="Times New Roman" w:cs="Times New Roman"/>
          <w:b/>
          <w:bCs/>
        </w:rPr>
        <w:t>Use</w:t>
      </w:r>
      <w:r w:rsidR="00A34935">
        <w:rPr>
          <w:rFonts w:ascii="Times New Roman" w:hAnsi="Times New Roman" w:cs="Times New Roman"/>
          <w:b/>
          <w:bCs/>
        </w:rPr>
        <w:t>)</w:t>
      </w:r>
      <w:r w:rsidRPr="00A34935">
        <w:rPr>
          <w:rFonts w:ascii="Times New Roman" w:hAnsi="Times New Roman" w:cs="Times New Roman"/>
        </w:rPr>
        <w:t>.</w:t>
      </w:r>
      <w:r w:rsidRPr="00A34935">
        <w:rPr>
          <w:rFonts w:ascii="Times New Roman" w:eastAsia="TimesNewRoman" w:hAnsi="Times New Roman" w:cs="Times New Roman"/>
        </w:rPr>
        <w:t xml:space="preserve">  Use waterproof gloves, effective radiation shielding, and appropriate safety measures when preparing and handling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w:t>
      </w:r>
    </w:p>
    <w:p w14:paraId="505FCA38"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Radiopharmaceuticals should be used by or under the control of physicians who are qualified by specific training and experience in the safe use and handling of radionuclides, and whose experience and training have been approved by the appropriate governmental agency authorized to license the use of radionuclides.</w:t>
      </w:r>
    </w:p>
    <w:p w14:paraId="05DD9386" w14:textId="77777777" w:rsidR="00317A59" w:rsidRPr="00A34935" w:rsidRDefault="00317A59" w:rsidP="00A34935">
      <w:pPr>
        <w:pStyle w:val="Heading3"/>
      </w:pPr>
      <w:bookmarkStart w:id="5" w:name="_Toc48568579"/>
      <w:r w:rsidRPr="00A34935">
        <w:t>Patient Preparation</w:t>
      </w:r>
      <w:bookmarkEnd w:id="5"/>
    </w:p>
    <w:p w14:paraId="2071329B"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 xml:space="preserve">Advise patients to drink adequate amounts of water to ensure that they are sufficiently hydrated prior to administration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During the first hour following administration, patients should drink and void frequently to reduce radiation exposure.</w:t>
      </w:r>
    </w:p>
    <w:p w14:paraId="31AF1D41" w14:textId="77777777" w:rsidR="00317A59" w:rsidRPr="00A34935" w:rsidRDefault="00317A59" w:rsidP="00A34935">
      <w:pPr>
        <w:pStyle w:val="Heading3"/>
      </w:pPr>
      <w:bookmarkStart w:id="6" w:name="_Toc48568580"/>
      <w:r w:rsidRPr="00A34935">
        <w:t>Recommended Dosage and Administration Instructions</w:t>
      </w:r>
      <w:bookmarkEnd w:id="6"/>
    </w:p>
    <w:p w14:paraId="26022241"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 xml:space="preserve">The recommended amount of activity to be administered intravenously is 185 MBq (5 </w:t>
      </w:r>
      <w:proofErr w:type="spellStart"/>
      <w:r w:rsidRPr="00A34935">
        <w:rPr>
          <w:rFonts w:ascii="Times New Roman" w:eastAsia="TimesNewRoman" w:hAnsi="Times New Roman" w:cs="Times New Roman"/>
        </w:rPr>
        <w:t>mCi</w:t>
      </w:r>
      <w:proofErr w:type="spellEnd"/>
      <w:r w:rsidRPr="00A34935">
        <w:rPr>
          <w:rFonts w:ascii="Times New Roman" w:eastAsia="TimesNewRoman" w:hAnsi="Times New Roman" w:cs="Times New Roman"/>
        </w:rPr>
        <w:t xml:space="preserve">) with a range of 166.5 to 203.5 MBq (4.5 to 5.5 </w:t>
      </w:r>
      <w:proofErr w:type="spellStart"/>
      <w:r w:rsidRPr="00A34935">
        <w:rPr>
          <w:rFonts w:ascii="Times New Roman" w:eastAsia="TimesNewRoman" w:hAnsi="Times New Roman" w:cs="Times New Roman"/>
        </w:rPr>
        <w:t>mCi</w:t>
      </w:r>
      <w:proofErr w:type="spellEnd"/>
      <w:r w:rsidRPr="00A34935">
        <w:rPr>
          <w:rFonts w:ascii="Times New Roman" w:eastAsia="TimesNewRoman" w:hAnsi="Times New Roman" w:cs="Times New Roman"/>
        </w:rPr>
        <w:t xml:space="preserve">) and a maximum dose of 25 </w:t>
      </w:r>
      <w:r w:rsidR="003352D2">
        <w:rPr>
          <w:rFonts w:ascii="Times New Roman" w:eastAsia="TimesNewRoman" w:hAnsi="Times New Roman" w:cs="Times New Roman"/>
        </w:rPr>
        <w:t>microgram</w:t>
      </w:r>
      <w:r w:rsidRPr="00A34935">
        <w:rPr>
          <w:rFonts w:ascii="Times New Roman" w:eastAsia="TimesNewRoman" w:hAnsi="Times New Roman" w:cs="Times New Roman"/>
        </w:rPr>
        <w:t xml:space="preserve"> of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w:t>
      </w:r>
    </w:p>
    <w:p w14:paraId="3AE8D0B6" w14:textId="77777777" w:rsidR="00317A59" w:rsidRDefault="00317A59" w:rsidP="007E7C69">
      <w:pPr>
        <w:autoSpaceDE w:val="0"/>
        <w:autoSpaceDN w:val="0"/>
        <w:adjustRightInd w:val="0"/>
        <w:spacing w:after="0" w:line="240" w:lineRule="auto"/>
        <w:rPr>
          <w:rFonts w:ascii="Times New Roman" w:hAnsi="Times New Roman" w:cs="Times New Roman"/>
          <w:lang w:val="en-US"/>
        </w:rPr>
      </w:pPr>
      <w:r w:rsidRPr="00A34935">
        <w:rPr>
          <w:rFonts w:ascii="Times New Roman" w:eastAsia="TimesNewRoman" w:hAnsi="Times New Roman" w:cs="Times New Roman"/>
        </w:rPr>
        <w:t xml:space="preserve">After reconstitution with Ga-68 eluate from an appropriate source [see </w:t>
      </w:r>
      <w:r w:rsidRPr="00A34935">
        <w:rPr>
          <w:rFonts w:ascii="Times New Roman" w:eastAsia="TimesNewRoman" w:hAnsi="Times New Roman" w:cs="Times New Roman"/>
          <w:b/>
          <w:bCs/>
        </w:rPr>
        <w:t>Drug Preparation</w:t>
      </w:r>
      <w:r w:rsidRPr="00A34935">
        <w:rPr>
          <w:rFonts w:ascii="Times New Roman" w:eastAsia="TimesNewRoman" w:hAnsi="Times New Roman" w:cs="Times New Roman"/>
        </w:rPr>
        <w:t xml:space="preserve">],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is administered by intravenous injection (bolus</w:t>
      </w:r>
      <w:proofErr w:type="gramStart"/>
      <w:r w:rsidRPr="00A34935">
        <w:rPr>
          <w:rFonts w:ascii="Times New Roman" w:eastAsia="TimesNewRoman" w:hAnsi="Times New Roman" w:cs="Times New Roman"/>
        </w:rPr>
        <w:t>).</w:t>
      </w:r>
      <w:r w:rsidR="007E7C69">
        <w:rPr>
          <w:rFonts w:ascii="Times New Roman" w:hAnsi="Times New Roman" w:cs="Times New Roman"/>
          <w:lang w:val="en-US"/>
        </w:rPr>
        <w:t>The</w:t>
      </w:r>
      <w:proofErr w:type="gramEnd"/>
      <w:r w:rsidR="007E7C69">
        <w:rPr>
          <w:rFonts w:ascii="Times New Roman" w:hAnsi="Times New Roman" w:cs="Times New Roman"/>
          <w:lang w:val="en-US"/>
        </w:rPr>
        <w:t xml:space="preserve"> speed of administration depends on the venous tolerance to low pH solution, which is mainly dependent of the blood flow of the vein used for the injection. Tolerance can be increased by diluting Gallium (68Ga) </w:t>
      </w:r>
      <w:r w:rsidR="00860CD4" w:rsidRPr="00860CD4">
        <w:rPr>
          <w:rFonts w:ascii="Times New Roman" w:hAnsi="Times New Roman" w:cs="Times New Roman"/>
          <w:lang w:val="en-US"/>
        </w:rPr>
        <w:t>Glu-urea-Lys(</w:t>
      </w:r>
      <w:proofErr w:type="spellStart"/>
      <w:r w:rsidR="00860CD4" w:rsidRPr="00860CD4">
        <w:rPr>
          <w:rFonts w:ascii="Times New Roman" w:hAnsi="Times New Roman" w:cs="Times New Roman"/>
          <w:lang w:val="en-US"/>
        </w:rPr>
        <w:t>ahx</w:t>
      </w:r>
      <w:proofErr w:type="spellEnd"/>
      <w:r w:rsidR="00860CD4" w:rsidRPr="00860CD4">
        <w:rPr>
          <w:rFonts w:ascii="Times New Roman" w:hAnsi="Times New Roman" w:cs="Times New Roman"/>
          <w:lang w:val="en-US"/>
        </w:rPr>
        <w:t>)-</w:t>
      </w:r>
      <w:proofErr w:type="spellStart"/>
      <w:r w:rsidR="00860CD4" w:rsidRPr="00860CD4">
        <w:rPr>
          <w:rFonts w:ascii="Times New Roman" w:hAnsi="Times New Roman" w:cs="Times New Roman"/>
          <w:lang w:val="en-US"/>
        </w:rPr>
        <w:t>hbed</w:t>
      </w:r>
      <w:proofErr w:type="spellEnd"/>
      <w:r w:rsidR="00860CD4" w:rsidRPr="00860CD4">
        <w:rPr>
          <w:rFonts w:ascii="Times New Roman" w:hAnsi="Times New Roman" w:cs="Times New Roman"/>
          <w:lang w:val="en-US"/>
        </w:rPr>
        <w:t>-CC</w:t>
      </w:r>
      <w:r w:rsidR="007E7C69">
        <w:rPr>
          <w:rFonts w:ascii="Times New Roman" w:hAnsi="Times New Roman" w:cs="Times New Roman"/>
          <w:lang w:val="en-US"/>
        </w:rPr>
        <w:t xml:space="preserve"> Injection in isotonic saline solution.</w:t>
      </w:r>
    </w:p>
    <w:p w14:paraId="109B9955" w14:textId="77777777" w:rsidR="007E7C69" w:rsidRPr="007E7C69" w:rsidRDefault="007E7C69" w:rsidP="007E7C69">
      <w:pPr>
        <w:autoSpaceDE w:val="0"/>
        <w:autoSpaceDN w:val="0"/>
        <w:adjustRightInd w:val="0"/>
        <w:spacing w:after="0" w:line="240" w:lineRule="auto"/>
        <w:rPr>
          <w:rFonts w:ascii="Times New Roman" w:hAnsi="Times New Roman" w:cs="Times New Roman"/>
          <w:lang w:val="en-US"/>
        </w:rPr>
      </w:pPr>
    </w:p>
    <w:p w14:paraId="3C5602BC"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 xml:space="preserve">Before administration to the patient, measure the radioactivity of the vial containing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using a dose calibrator and calculate the necessary volume to administer based on calibration date and time.  Ensure that the radioactivity to be injected is within ±10% of the recommended dose.</w:t>
      </w:r>
    </w:p>
    <w:p w14:paraId="4AB3AA42" w14:textId="77777777" w:rsidR="001F4480" w:rsidRDefault="001F4480" w:rsidP="00A34935">
      <w:pPr>
        <w:pStyle w:val="Heading3"/>
        <w:sectPr w:rsidR="001F4480">
          <w:pgSz w:w="11906" w:h="16838"/>
          <w:pgMar w:top="1440" w:right="1440" w:bottom="1440" w:left="1440" w:header="708" w:footer="708" w:gutter="0"/>
          <w:cols w:space="708"/>
          <w:docGrid w:linePitch="360"/>
        </w:sectPr>
      </w:pPr>
      <w:bookmarkStart w:id="7" w:name="_Toc48568581"/>
    </w:p>
    <w:p w14:paraId="69977626" w14:textId="77777777" w:rsidR="00317A59" w:rsidRPr="00A34935" w:rsidRDefault="00317A59" w:rsidP="00A34935">
      <w:pPr>
        <w:pStyle w:val="Heading3"/>
      </w:pPr>
      <w:r w:rsidRPr="00A34935">
        <w:lastRenderedPageBreak/>
        <w:t>Drug Preparation</w:t>
      </w:r>
      <w:bookmarkEnd w:id="7"/>
    </w:p>
    <w:p w14:paraId="729C7747" w14:textId="77777777" w:rsidR="00317A59" w:rsidRPr="00A34935" w:rsidRDefault="00317A59" w:rsidP="00317A59">
      <w:pPr>
        <w:pStyle w:val="TableEntry"/>
        <w:rPr>
          <w:rFonts w:cs="Times New Roman"/>
          <w:sz w:val="22"/>
        </w:rPr>
      </w:pPr>
      <w:r w:rsidRPr="00A34935">
        <w:rPr>
          <w:rFonts w:cs="Times New Roman"/>
          <w:sz w:val="22"/>
        </w:rPr>
        <w:t xml:space="preserve">ILLUCCIX is supplied as 3 </w:t>
      </w:r>
      <w:r w:rsidRPr="00B30ADC">
        <w:rPr>
          <w:rFonts w:cs="Times New Roman"/>
          <w:sz w:val="22"/>
        </w:rPr>
        <w:t>vials which allows</w:t>
      </w:r>
      <w:r w:rsidRPr="00A34935">
        <w:rPr>
          <w:rFonts w:cs="Times New Roman"/>
          <w:sz w:val="22"/>
        </w:rPr>
        <w:t xml:space="preserve"> for direct preparation of ILLUCCIX with eluate from one of the following (see below for specific instructions for use with each Ga-68 source):</w:t>
      </w:r>
    </w:p>
    <w:p w14:paraId="7798D913" w14:textId="77777777" w:rsidR="00317A59" w:rsidRPr="00A34935" w:rsidRDefault="00317A59" w:rsidP="00317A59">
      <w:pPr>
        <w:pStyle w:val="TableEntry"/>
        <w:numPr>
          <w:ilvl w:val="0"/>
          <w:numId w:val="18"/>
        </w:numPr>
        <w:rPr>
          <w:rFonts w:cs="Times New Roman"/>
          <w:sz w:val="22"/>
        </w:rPr>
      </w:pPr>
      <w:r w:rsidRPr="00A34935">
        <w:rPr>
          <w:rFonts w:cs="Times New Roman"/>
          <w:sz w:val="22"/>
        </w:rPr>
        <w:t xml:space="preserve">Eckert &amp; Ziegler </w:t>
      </w:r>
      <w:proofErr w:type="spellStart"/>
      <w:r w:rsidRPr="00A34935">
        <w:rPr>
          <w:rFonts w:cs="Times New Roman"/>
          <w:sz w:val="22"/>
        </w:rPr>
        <w:t>GalliaPharm</w:t>
      </w:r>
      <w:proofErr w:type="spellEnd"/>
      <w:r w:rsidRPr="00A34935">
        <w:rPr>
          <w:rFonts w:cs="Times New Roman"/>
          <w:sz w:val="22"/>
          <w:vertAlign w:val="superscript"/>
        </w:rPr>
        <w:t>®</w:t>
      </w:r>
      <w:r w:rsidRPr="00A34935">
        <w:rPr>
          <w:rFonts w:cs="Times New Roman"/>
          <w:sz w:val="22"/>
        </w:rPr>
        <w:t xml:space="preserve"> Germanium-68/Gallium-68 (Ge-68/Ga-68) generator (Configuration A) </w:t>
      </w:r>
    </w:p>
    <w:p w14:paraId="3DCC9887" w14:textId="77777777" w:rsidR="00317A59" w:rsidRPr="00A34935" w:rsidRDefault="00317A59" w:rsidP="00317A59">
      <w:pPr>
        <w:pStyle w:val="TableEntry"/>
        <w:numPr>
          <w:ilvl w:val="0"/>
          <w:numId w:val="18"/>
        </w:numPr>
        <w:rPr>
          <w:rFonts w:cs="Times New Roman"/>
          <w:b/>
          <w:bCs/>
          <w:sz w:val="22"/>
        </w:rPr>
      </w:pPr>
      <w:r w:rsidRPr="00A34935">
        <w:rPr>
          <w:rFonts w:cs="Times New Roman"/>
          <w:sz w:val="22"/>
        </w:rPr>
        <w:t xml:space="preserve">Cyclotron produced via GE </w:t>
      </w:r>
      <w:proofErr w:type="spellStart"/>
      <w:proofErr w:type="gramStart"/>
      <w:r w:rsidRPr="00A34935">
        <w:rPr>
          <w:rFonts w:cs="Times New Roman"/>
          <w:sz w:val="22"/>
        </w:rPr>
        <w:t>FASTlab</w:t>
      </w:r>
      <w:r w:rsidRPr="00A34935">
        <w:rPr>
          <w:rFonts w:cs="Times New Roman"/>
          <w:sz w:val="22"/>
          <w:vertAlign w:val="superscript"/>
        </w:rPr>
        <w:t>TM</w:t>
      </w:r>
      <w:proofErr w:type="spellEnd"/>
      <w:r w:rsidRPr="00A34935">
        <w:rPr>
          <w:rFonts w:cs="Times New Roman"/>
          <w:sz w:val="22"/>
        </w:rPr>
        <w:t>(</w:t>
      </w:r>
      <w:proofErr w:type="gramEnd"/>
      <w:r w:rsidRPr="00A34935">
        <w:rPr>
          <w:rFonts w:cs="Times New Roman"/>
          <w:sz w:val="22"/>
        </w:rPr>
        <w:t>Configuration A)</w:t>
      </w:r>
    </w:p>
    <w:p w14:paraId="6D0438CC" w14:textId="77777777" w:rsidR="00317A59" w:rsidRPr="00A34935" w:rsidRDefault="00317A59" w:rsidP="00317A59">
      <w:pPr>
        <w:pStyle w:val="TableEntry"/>
        <w:numPr>
          <w:ilvl w:val="0"/>
          <w:numId w:val="18"/>
        </w:numPr>
        <w:rPr>
          <w:rFonts w:cs="Times New Roman"/>
          <w:b/>
          <w:bCs/>
          <w:sz w:val="22"/>
        </w:rPr>
      </w:pPr>
      <w:r w:rsidRPr="00A34935">
        <w:rPr>
          <w:rFonts w:cs="Times New Roman"/>
          <w:sz w:val="22"/>
        </w:rPr>
        <w:t xml:space="preserve">IRE ELIT Galli </w:t>
      </w:r>
      <w:proofErr w:type="spellStart"/>
      <w:r w:rsidRPr="00A34935">
        <w:rPr>
          <w:rFonts w:cs="Times New Roman"/>
          <w:sz w:val="22"/>
        </w:rPr>
        <w:t>Eo</w:t>
      </w:r>
      <w:proofErr w:type="spellEnd"/>
      <w:r w:rsidRPr="00A34935">
        <w:rPr>
          <w:rFonts w:cs="Times New Roman"/>
          <w:sz w:val="22"/>
        </w:rPr>
        <w:t xml:space="preserve"> Ge-68/Ga-68 generator (Configuration B)</w:t>
      </w:r>
    </w:p>
    <w:p w14:paraId="5603EE6F" w14:textId="77777777" w:rsidR="00317A59" w:rsidRPr="00A34935" w:rsidRDefault="00317A59" w:rsidP="00317A59">
      <w:pPr>
        <w:spacing w:before="240"/>
        <w:rPr>
          <w:rFonts w:ascii="Times New Roman" w:hAnsi="Times New Roman" w:cs="Times New Roman"/>
        </w:rPr>
      </w:pPr>
      <w:r w:rsidRPr="00A34935">
        <w:rPr>
          <w:rFonts w:ascii="Times New Roman" w:hAnsi="Times New Roman" w:cs="Times New Roman"/>
        </w:rPr>
        <w:t>The Ge-68/Ga-68 generators and cyclotron are not supplied with ILLUCCIX.</w:t>
      </w:r>
    </w:p>
    <w:p w14:paraId="6FDEE9C5" w14:textId="77777777" w:rsidR="00317A59" w:rsidRPr="00A34935" w:rsidRDefault="00317A59" w:rsidP="00317A59">
      <w:pPr>
        <w:pStyle w:val="TableEntry"/>
        <w:rPr>
          <w:rFonts w:cs="Times New Roman"/>
          <w:sz w:val="22"/>
        </w:rPr>
      </w:pPr>
      <w:r w:rsidRPr="00A34935">
        <w:rPr>
          <w:rFonts w:cs="Times New Roman"/>
          <w:sz w:val="22"/>
        </w:rPr>
        <w:t xml:space="preserve">Components of ILLUCCIX include: </w:t>
      </w:r>
    </w:p>
    <w:p w14:paraId="55BB156A" w14:textId="77777777" w:rsidR="00317A59" w:rsidRPr="00A34935" w:rsidRDefault="00317A59" w:rsidP="00317A59">
      <w:pPr>
        <w:pStyle w:val="TableEntry"/>
        <w:numPr>
          <w:ilvl w:val="0"/>
          <w:numId w:val="21"/>
        </w:numPr>
        <w:rPr>
          <w:rFonts w:cs="Times New Roman"/>
          <w:sz w:val="22"/>
        </w:rPr>
      </w:pPr>
      <w:r w:rsidRPr="00A34935">
        <w:rPr>
          <w:rFonts w:cs="Times New Roman"/>
          <w:sz w:val="22"/>
        </w:rPr>
        <w:t>Vial 1 (</w:t>
      </w:r>
      <w:r w:rsidR="00860CD4" w:rsidRPr="00860CD4">
        <w:rPr>
          <w:rFonts w:cs="Times New Roman"/>
          <w:sz w:val="22"/>
        </w:rPr>
        <w:t>Glu-urea-Lys(</w:t>
      </w:r>
      <w:proofErr w:type="spellStart"/>
      <w:r w:rsidR="00860CD4" w:rsidRPr="00860CD4">
        <w:rPr>
          <w:rFonts w:cs="Times New Roman"/>
          <w:sz w:val="22"/>
        </w:rPr>
        <w:t>ahx</w:t>
      </w:r>
      <w:proofErr w:type="spellEnd"/>
      <w:r w:rsidR="00860CD4" w:rsidRPr="00860CD4">
        <w:rPr>
          <w:rFonts w:cs="Times New Roman"/>
          <w:sz w:val="22"/>
        </w:rPr>
        <w:t>)-</w:t>
      </w:r>
      <w:proofErr w:type="spellStart"/>
      <w:r w:rsidR="00860CD4" w:rsidRPr="00860CD4">
        <w:rPr>
          <w:rFonts w:cs="Times New Roman"/>
          <w:sz w:val="22"/>
        </w:rPr>
        <w:t>hbed</w:t>
      </w:r>
      <w:proofErr w:type="spellEnd"/>
      <w:r w:rsidR="00860CD4" w:rsidRPr="00860CD4">
        <w:rPr>
          <w:rFonts w:cs="Times New Roman"/>
          <w:sz w:val="22"/>
        </w:rPr>
        <w:t>-CC</w:t>
      </w:r>
      <w:r w:rsidRPr="00A34935">
        <w:rPr>
          <w:rFonts w:cs="Times New Roman"/>
          <w:sz w:val="22"/>
        </w:rPr>
        <w:t xml:space="preserve"> Vial) contains 25 </w:t>
      </w:r>
      <w:r w:rsidR="003352D2">
        <w:rPr>
          <w:rFonts w:cs="Times New Roman"/>
          <w:sz w:val="22"/>
        </w:rPr>
        <w:t>microgram</w:t>
      </w:r>
      <w:r w:rsidRPr="00A34935">
        <w:rPr>
          <w:rFonts w:cs="Times New Roman"/>
          <w:sz w:val="22"/>
        </w:rPr>
        <w:t xml:space="preserve"> of </w:t>
      </w:r>
      <w:r w:rsidR="00860CD4" w:rsidRPr="00860CD4">
        <w:rPr>
          <w:rFonts w:cs="Times New Roman"/>
          <w:sz w:val="22"/>
        </w:rPr>
        <w:t>Glu-urea-Lys(</w:t>
      </w:r>
      <w:proofErr w:type="spellStart"/>
      <w:r w:rsidR="00860CD4" w:rsidRPr="00860CD4">
        <w:rPr>
          <w:rFonts w:cs="Times New Roman"/>
          <w:sz w:val="22"/>
        </w:rPr>
        <w:t>ahx</w:t>
      </w:r>
      <w:proofErr w:type="spellEnd"/>
      <w:r w:rsidR="00860CD4" w:rsidRPr="00860CD4">
        <w:rPr>
          <w:rFonts w:cs="Times New Roman"/>
          <w:sz w:val="22"/>
        </w:rPr>
        <w:t>)-</w:t>
      </w:r>
      <w:proofErr w:type="spellStart"/>
      <w:r w:rsidR="00860CD4" w:rsidRPr="00860CD4">
        <w:rPr>
          <w:rFonts w:cs="Times New Roman"/>
          <w:sz w:val="22"/>
        </w:rPr>
        <w:t>hbed</w:t>
      </w:r>
      <w:proofErr w:type="spellEnd"/>
      <w:r w:rsidR="00860CD4" w:rsidRPr="00860CD4">
        <w:rPr>
          <w:rFonts w:cs="Times New Roman"/>
          <w:sz w:val="22"/>
        </w:rPr>
        <w:t>-CC</w:t>
      </w:r>
      <w:r w:rsidRPr="00A34935">
        <w:rPr>
          <w:rFonts w:cs="Times New Roman"/>
          <w:sz w:val="22"/>
        </w:rPr>
        <w:t xml:space="preserve"> and 10 </w:t>
      </w:r>
      <w:proofErr w:type="gramStart"/>
      <w:r w:rsidR="003352D2">
        <w:rPr>
          <w:rFonts w:cs="Times New Roman"/>
          <w:sz w:val="22"/>
        </w:rPr>
        <w:t>microgram</w:t>
      </w:r>
      <w:proofErr w:type="gramEnd"/>
      <w:r w:rsidRPr="00A34935">
        <w:rPr>
          <w:rFonts w:cs="Times New Roman"/>
          <w:sz w:val="22"/>
        </w:rPr>
        <w:t xml:space="preserve"> of D-mannose.</w:t>
      </w:r>
    </w:p>
    <w:p w14:paraId="05315E40" w14:textId="77777777" w:rsidR="00317A59" w:rsidRPr="00A34935" w:rsidRDefault="00317A59" w:rsidP="00317A59">
      <w:pPr>
        <w:pStyle w:val="TableEntry"/>
        <w:numPr>
          <w:ilvl w:val="0"/>
          <w:numId w:val="19"/>
        </w:numPr>
        <w:rPr>
          <w:rFonts w:cs="Times New Roman"/>
          <w:sz w:val="22"/>
        </w:rPr>
      </w:pPr>
      <w:r w:rsidRPr="00A34935">
        <w:rPr>
          <w:rFonts w:cs="Times New Roman"/>
          <w:sz w:val="22"/>
        </w:rPr>
        <w:t xml:space="preserve">Vial 2 (Acetate Buffer Vial) contains 150 mg sodium acetate in HCl buffer </w:t>
      </w:r>
    </w:p>
    <w:p w14:paraId="51F96F74" w14:textId="77777777" w:rsidR="00317A59" w:rsidRDefault="00317A59" w:rsidP="00317A59">
      <w:pPr>
        <w:pStyle w:val="TableEntry"/>
        <w:numPr>
          <w:ilvl w:val="0"/>
          <w:numId w:val="19"/>
        </w:numPr>
        <w:rPr>
          <w:rFonts w:cs="Times New Roman"/>
          <w:sz w:val="22"/>
        </w:rPr>
      </w:pPr>
      <w:r w:rsidRPr="00A34935">
        <w:rPr>
          <w:rFonts w:cs="Times New Roman"/>
          <w:sz w:val="22"/>
        </w:rPr>
        <w:t>Vial 3 (Vacuumed Vial) is a sterile, evacuated vial that serves as the collection vial for Ga-68 chloride.</w:t>
      </w:r>
    </w:p>
    <w:p w14:paraId="69358370" w14:textId="77777777" w:rsidR="00540D6C" w:rsidRPr="00A34935" w:rsidRDefault="00540D6C" w:rsidP="00540D6C">
      <w:pPr>
        <w:pStyle w:val="TableEntry"/>
        <w:ind w:left="720"/>
        <w:rPr>
          <w:rFonts w:cs="Times New Roman"/>
          <w:sz w:val="22"/>
        </w:rPr>
      </w:pPr>
    </w:p>
    <w:p w14:paraId="450058C6" w14:textId="77777777" w:rsidR="00317A59" w:rsidRPr="00A34935" w:rsidRDefault="00317A59" w:rsidP="00317A59">
      <w:pPr>
        <w:rPr>
          <w:rFonts w:ascii="Times New Roman" w:hAnsi="Times New Roman" w:cs="Times New Roman"/>
        </w:rPr>
      </w:pPr>
      <w:r w:rsidRPr="00A34935">
        <w:rPr>
          <w:rFonts w:ascii="Times New Roman" w:hAnsi="Times New Roman" w:cs="Times New Roman"/>
        </w:rPr>
        <w:t xml:space="preserve">Prepare Ga-68 </w:t>
      </w:r>
      <w:r w:rsidR="00860CD4" w:rsidRPr="00860CD4">
        <w:rPr>
          <w:rFonts w:ascii="Times New Roman" w:hAnsi="Times New Roman" w:cs="Times New Roman"/>
        </w:rPr>
        <w:t>Glu-urea-Lys(</w:t>
      </w:r>
      <w:proofErr w:type="spellStart"/>
      <w:r w:rsidR="00860CD4" w:rsidRPr="00860CD4">
        <w:rPr>
          <w:rFonts w:ascii="Times New Roman" w:hAnsi="Times New Roman" w:cs="Times New Roman"/>
        </w:rPr>
        <w:t>ahx</w:t>
      </w:r>
      <w:proofErr w:type="spellEnd"/>
      <w:r w:rsidR="00860CD4" w:rsidRPr="00860CD4">
        <w:rPr>
          <w:rFonts w:ascii="Times New Roman" w:hAnsi="Times New Roman" w:cs="Times New Roman"/>
        </w:rPr>
        <w:t>)-</w:t>
      </w:r>
      <w:proofErr w:type="spellStart"/>
      <w:r w:rsidR="00860CD4" w:rsidRPr="00860CD4">
        <w:rPr>
          <w:rFonts w:ascii="Times New Roman" w:hAnsi="Times New Roman" w:cs="Times New Roman"/>
        </w:rPr>
        <w:t>hbed</w:t>
      </w:r>
      <w:proofErr w:type="spellEnd"/>
      <w:r w:rsidR="00860CD4" w:rsidRPr="00860CD4">
        <w:rPr>
          <w:rFonts w:ascii="Times New Roman" w:hAnsi="Times New Roman" w:cs="Times New Roman"/>
        </w:rPr>
        <w:t>-CC</w:t>
      </w:r>
      <w:r w:rsidRPr="00A34935">
        <w:rPr>
          <w:rFonts w:ascii="Times New Roman" w:hAnsi="Times New Roman" w:cs="Times New Roman"/>
        </w:rPr>
        <w:t xml:space="preserve"> for intravenous injection according to the following aseptic procedure:</w:t>
      </w:r>
    </w:p>
    <w:p w14:paraId="395A6BC9" w14:textId="77777777" w:rsidR="00317A59" w:rsidRPr="00A34935" w:rsidRDefault="00317A59" w:rsidP="00317A59">
      <w:pPr>
        <w:pStyle w:val="ListParagraph"/>
        <w:numPr>
          <w:ilvl w:val="0"/>
          <w:numId w:val="20"/>
        </w:numPr>
        <w:spacing w:after="0" w:line="240" w:lineRule="auto"/>
        <w:rPr>
          <w:rFonts w:ascii="Times New Roman" w:hAnsi="Times New Roman" w:cs="Times New Roman"/>
        </w:rPr>
      </w:pPr>
      <w:r w:rsidRPr="00A34935">
        <w:rPr>
          <w:rFonts w:ascii="Times New Roman" w:hAnsi="Times New Roman" w:cs="Times New Roman"/>
        </w:rPr>
        <w:t>Use suitable shielding to reduce radiation exposure.</w:t>
      </w:r>
    </w:p>
    <w:p w14:paraId="5CE5DF46" w14:textId="77777777" w:rsidR="00317A59" w:rsidRPr="00A34935" w:rsidRDefault="00317A59" w:rsidP="00317A59">
      <w:pPr>
        <w:pStyle w:val="ListParagraph"/>
        <w:numPr>
          <w:ilvl w:val="0"/>
          <w:numId w:val="20"/>
        </w:numPr>
        <w:spacing w:after="0" w:line="240" w:lineRule="auto"/>
        <w:rPr>
          <w:rFonts w:ascii="Times New Roman" w:hAnsi="Times New Roman" w:cs="Times New Roman"/>
        </w:rPr>
      </w:pPr>
      <w:r w:rsidRPr="00A34935">
        <w:rPr>
          <w:rFonts w:ascii="Times New Roman" w:hAnsi="Times New Roman" w:cs="Times New Roman"/>
        </w:rPr>
        <w:t>Wear waterproof gloves.</w:t>
      </w:r>
    </w:p>
    <w:p w14:paraId="79B377CA" w14:textId="77777777" w:rsidR="00317A59" w:rsidRPr="00A34935" w:rsidRDefault="00317A59" w:rsidP="00317A59">
      <w:pPr>
        <w:pStyle w:val="ListParagraph"/>
        <w:numPr>
          <w:ilvl w:val="0"/>
          <w:numId w:val="20"/>
        </w:numPr>
        <w:spacing w:after="0" w:line="240" w:lineRule="auto"/>
        <w:rPr>
          <w:rFonts w:ascii="Times New Roman" w:hAnsi="Times New Roman" w:cs="Times New Roman"/>
        </w:rPr>
      </w:pPr>
      <w:r w:rsidRPr="00A34935">
        <w:rPr>
          <w:rFonts w:ascii="Times New Roman" w:hAnsi="Times New Roman" w:cs="Times New Roman"/>
        </w:rPr>
        <w:t xml:space="preserve">If Ga-68 is generator produced, test the Ga-68 chloride eluate for Ge-68 breakthrough by a suitable method according to manufacturer recommendations.  Ge-68 breakthrough and other gamma emitting radionuclides should meet the specifications provided by the manufacturer.  </w:t>
      </w:r>
    </w:p>
    <w:p w14:paraId="750767C8" w14:textId="77777777" w:rsidR="00317A59" w:rsidRPr="00A34935" w:rsidRDefault="00317A59" w:rsidP="00317A59">
      <w:pPr>
        <w:pStyle w:val="ListParagraph"/>
        <w:numPr>
          <w:ilvl w:val="0"/>
          <w:numId w:val="20"/>
        </w:numPr>
        <w:spacing w:after="0" w:line="240" w:lineRule="auto"/>
        <w:rPr>
          <w:rFonts w:ascii="Times New Roman" w:hAnsi="Times New Roman" w:cs="Times New Roman"/>
        </w:rPr>
      </w:pPr>
      <w:r w:rsidRPr="00A34935">
        <w:rPr>
          <w:rFonts w:ascii="Times New Roman" w:hAnsi="Times New Roman" w:cs="Times New Roman"/>
        </w:rPr>
        <w:t>Place a “radioactive” label on Vial 3 (Vacuumed Vial).</w:t>
      </w:r>
    </w:p>
    <w:p w14:paraId="382556F9" w14:textId="77777777" w:rsidR="00317A59" w:rsidRPr="00A34935" w:rsidRDefault="00317A59" w:rsidP="00317A59">
      <w:pPr>
        <w:pStyle w:val="ListParagraph"/>
        <w:numPr>
          <w:ilvl w:val="0"/>
          <w:numId w:val="20"/>
        </w:numPr>
        <w:spacing w:after="0" w:line="240" w:lineRule="auto"/>
        <w:rPr>
          <w:rFonts w:ascii="Times New Roman" w:hAnsi="Times New Roman" w:cs="Times New Roman"/>
        </w:rPr>
      </w:pPr>
      <w:r w:rsidRPr="00A34935">
        <w:rPr>
          <w:rFonts w:ascii="Times New Roman" w:hAnsi="Times New Roman" w:cs="Times New Roman"/>
        </w:rPr>
        <w:t xml:space="preserve">Remove the flip-off disc top from the Vial 1, Vial </w:t>
      </w:r>
      <w:proofErr w:type="gramStart"/>
      <w:r w:rsidRPr="00A34935">
        <w:rPr>
          <w:rFonts w:ascii="Times New Roman" w:hAnsi="Times New Roman" w:cs="Times New Roman"/>
        </w:rPr>
        <w:t>2</w:t>
      </w:r>
      <w:proofErr w:type="gramEnd"/>
      <w:r w:rsidRPr="00A34935">
        <w:rPr>
          <w:rFonts w:ascii="Times New Roman" w:hAnsi="Times New Roman" w:cs="Times New Roman"/>
        </w:rPr>
        <w:t xml:space="preserve"> and Vial 3.</w:t>
      </w:r>
    </w:p>
    <w:p w14:paraId="0B8656EB" w14:textId="77777777" w:rsidR="00317A59" w:rsidRPr="00A34935" w:rsidRDefault="00317A59" w:rsidP="00317A59">
      <w:pPr>
        <w:pStyle w:val="ListParagraph"/>
        <w:numPr>
          <w:ilvl w:val="0"/>
          <w:numId w:val="20"/>
        </w:numPr>
        <w:spacing w:after="0" w:line="240" w:lineRule="auto"/>
        <w:rPr>
          <w:rFonts w:ascii="Times New Roman" w:hAnsi="Times New Roman" w:cs="Times New Roman"/>
        </w:rPr>
      </w:pPr>
      <w:r w:rsidRPr="00A34935">
        <w:rPr>
          <w:rFonts w:ascii="Times New Roman" w:hAnsi="Times New Roman" w:cs="Times New Roman"/>
        </w:rPr>
        <w:t>Swab the top of each vial with alcohol to disinfect the surface and allow the top of each vial to dry.</w:t>
      </w:r>
    </w:p>
    <w:p w14:paraId="3BC11B49" w14:textId="77777777" w:rsidR="00317A59" w:rsidRPr="00A34935" w:rsidRDefault="00317A59" w:rsidP="00317A59">
      <w:pPr>
        <w:pStyle w:val="ListParagraph"/>
        <w:numPr>
          <w:ilvl w:val="0"/>
          <w:numId w:val="20"/>
        </w:numPr>
        <w:spacing w:after="0" w:line="240" w:lineRule="auto"/>
        <w:rPr>
          <w:rFonts w:ascii="Times New Roman" w:hAnsi="Times New Roman" w:cs="Times New Roman"/>
        </w:rPr>
      </w:pPr>
      <w:r w:rsidRPr="00A34935">
        <w:rPr>
          <w:rFonts w:ascii="Times New Roman" w:hAnsi="Times New Roman" w:cs="Times New Roman"/>
        </w:rPr>
        <w:t>Note that to minimize any potential metallic contamination, the shortest possible needle should be used for the transfer of the gallium solution from the generator. The needle should be clean and dilute acid resistant.</w:t>
      </w:r>
    </w:p>
    <w:p w14:paraId="7A4095E9" w14:textId="77777777" w:rsidR="00317A59" w:rsidRPr="00A34935" w:rsidRDefault="00317A59" w:rsidP="00317A59">
      <w:pPr>
        <w:pStyle w:val="ListParagraph"/>
        <w:numPr>
          <w:ilvl w:val="0"/>
          <w:numId w:val="20"/>
        </w:numPr>
        <w:spacing w:after="0" w:line="240" w:lineRule="auto"/>
        <w:rPr>
          <w:rFonts w:ascii="Times New Roman" w:hAnsi="Times New Roman" w:cs="Times New Roman"/>
        </w:rPr>
      </w:pPr>
      <w:r w:rsidRPr="00A34935">
        <w:rPr>
          <w:rFonts w:ascii="Times New Roman" w:hAnsi="Times New Roman" w:cs="Times New Roman"/>
        </w:rPr>
        <w:t xml:space="preserve">Note that all syringes used in the steps below should be plastic.  Syringes with rubber plungers should not be used.  </w:t>
      </w:r>
    </w:p>
    <w:p w14:paraId="1AC3F60C" w14:textId="77777777" w:rsidR="00317A59" w:rsidRPr="00A34935" w:rsidRDefault="00317A59" w:rsidP="00317A59">
      <w:pPr>
        <w:pStyle w:val="ListParagraph"/>
        <w:numPr>
          <w:ilvl w:val="0"/>
          <w:numId w:val="20"/>
        </w:numPr>
        <w:spacing w:after="0" w:line="240" w:lineRule="auto"/>
        <w:rPr>
          <w:rFonts w:ascii="Times New Roman" w:hAnsi="Times New Roman" w:cs="Times New Roman"/>
        </w:rPr>
      </w:pPr>
      <w:r w:rsidRPr="00A34935">
        <w:rPr>
          <w:rFonts w:ascii="Times New Roman" w:hAnsi="Times New Roman" w:cs="Times New Roman"/>
        </w:rPr>
        <w:t>Note that prior to use of any vial, confirm the correct vial is being used by a visual check of the vial label.</w:t>
      </w:r>
    </w:p>
    <w:p w14:paraId="6AC2DB23" w14:textId="77777777" w:rsidR="00317A59" w:rsidRPr="00A34935" w:rsidRDefault="00317A59" w:rsidP="00317A59">
      <w:pPr>
        <w:pStyle w:val="ListParagraph"/>
        <w:numPr>
          <w:ilvl w:val="0"/>
          <w:numId w:val="20"/>
        </w:numPr>
        <w:spacing w:after="0" w:line="240" w:lineRule="auto"/>
        <w:rPr>
          <w:rFonts w:ascii="Times New Roman" w:hAnsi="Times New Roman" w:cs="Times New Roman"/>
        </w:rPr>
      </w:pPr>
      <w:r w:rsidRPr="00A34935">
        <w:rPr>
          <w:rFonts w:ascii="Times New Roman" w:hAnsi="Times New Roman" w:cs="Times New Roman"/>
        </w:rPr>
        <w:t>Follow the specific reconstitution procedure below, dependent on Ga-68 source.  Then continue with the dilution and radiosynthesis procedure.</w:t>
      </w:r>
    </w:p>
    <w:p w14:paraId="505DB112" w14:textId="77777777" w:rsidR="00317A59" w:rsidRPr="00A34935" w:rsidRDefault="00317A59" w:rsidP="00317A59">
      <w:pPr>
        <w:rPr>
          <w:rFonts w:ascii="Times New Roman" w:eastAsia="TimesNewRoman" w:hAnsi="Times New Roman" w:cs="Times New Roman"/>
        </w:rPr>
      </w:pPr>
    </w:p>
    <w:p w14:paraId="355ED3D6" w14:textId="77777777" w:rsidR="00317A59" w:rsidRPr="00A34935" w:rsidRDefault="00317A59" w:rsidP="00317A59">
      <w:pPr>
        <w:rPr>
          <w:rFonts w:ascii="Times New Roman" w:hAnsi="Times New Roman" w:cs="Times New Roman"/>
        </w:rPr>
      </w:pPr>
      <w:r w:rsidRPr="00A34935">
        <w:rPr>
          <w:rFonts w:ascii="Times New Roman" w:hAnsi="Times New Roman" w:cs="Times New Roman"/>
        </w:rPr>
        <w:t xml:space="preserve">Reconstitution with Eckert &amp; Ziegler </w:t>
      </w:r>
      <w:proofErr w:type="spellStart"/>
      <w:r w:rsidRPr="00A34935">
        <w:rPr>
          <w:rFonts w:ascii="Times New Roman" w:hAnsi="Times New Roman" w:cs="Times New Roman"/>
        </w:rPr>
        <w:t>GalliaPharm</w:t>
      </w:r>
      <w:proofErr w:type="spellEnd"/>
      <w:r w:rsidRPr="00A34935">
        <w:rPr>
          <w:rFonts w:ascii="Times New Roman" w:hAnsi="Times New Roman" w:cs="Times New Roman"/>
        </w:rPr>
        <w:t xml:space="preserve"> Generator </w:t>
      </w:r>
    </w:p>
    <w:p w14:paraId="11F1797C" w14:textId="77777777" w:rsidR="00317A59" w:rsidRPr="00A34935" w:rsidRDefault="00317A59" w:rsidP="00317A59">
      <w:pPr>
        <w:pStyle w:val="ListParagraph"/>
        <w:numPr>
          <w:ilvl w:val="0"/>
          <w:numId w:val="22"/>
        </w:numPr>
        <w:spacing w:after="0" w:line="240" w:lineRule="auto"/>
        <w:rPr>
          <w:rFonts w:ascii="Times New Roman" w:hAnsi="Times New Roman" w:cs="Times New Roman"/>
        </w:rPr>
      </w:pPr>
      <w:r w:rsidRPr="00A34935">
        <w:rPr>
          <w:rFonts w:ascii="Times New Roman" w:hAnsi="Times New Roman" w:cs="Times New Roman"/>
        </w:rPr>
        <w:t xml:space="preserve">Pierce Vial 3 (Vacuumed Vial) with a sterile needle connected to a </w:t>
      </w:r>
      <w:proofErr w:type="gramStart"/>
      <w:r w:rsidRPr="00A34935">
        <w:rPr>
          <w:rFonts w:ascii="Times New Roman" w:hAnsi="Times New Roman" w:cs="Times New Roman"/>
        </w:rPr>
        <w:t>0.22 micron</w:t>
      </w:r>
      <w:proofErr w:type="gramEnd"/>
      <w:r w:rsidRPr="00A34935">
        <w:rPr>
          <w:rFonts w:ascii="Times New Roman" w:hAnsi="Times New Roman" w:cs="Times New Roman"/>
        </w:rPr>
        <w:t xml:space="preserve"> sterile vented filter (not supplied) to maintain atmospheric pressure within the vial during the reconstitution process</w:t>
      </w:r>
    </w:p>
    <w:p w14:paraId="77CE3B1F" w14:textId="77777777" w:rsidR="00317A59" w:rsidRPr="00A34935" w:rsidRDefault="00317A59" w:rsidP="00317A59">
      <w:pPr>
        <w:pStyle w:val="ListParagraph"/>
        <w:numPr>
          <w:ilvl w:val="0"/>
          <w:numId w:val="22"/>
        </w:numPr>
        <w:spacing w:after="0" w:line="240" w:lineRule="auto"/>
        <w:rPr>
          <w:rFonts w:ascii="Times New Roman" w:hAnsi="Times New Roman" w:cs="Times New Roman"/>
        </w:rPr>
      </w:pPr>
      <w:r w:rsidRPr="00A34935">
        <w:rPr>
          <w:rFonts w:ascii="Times New Roman" w:hAnsi="Times New Roman" w:cs="Times New Roman"/>
        </w:rPr>
        <w:t xml:space="preserve">Connect the male </w:t>
      </w:r>
      <w:proofErr w:type="spellStart"/>
      <w:r w:rsidRPr="00A34935">
        <w:rPr>
          <w:rFonts w:ascii="Times New Roman" w:hAnsi="Times New Roman" w:cs="Times New Roman"/>
        </w:rPr>
        <w:t>luer</w:t>
      </w:r>
      <w:proofErr w:type="spellEnd"/>
      <w:r w:rsidRPr="00A34935">
        <w:rPr>
          <w:rFonts w:ascii="Times New Roman" w:hAnsi="Times New Roman" w:cs="Times New Roman"/>
        </w:rPr>
        <w:t xml:space="preserve"> of the outlet line of the </w:t>
      </w:r>
      <w:proofErr w:type="spellStart"/>
      <w:r w:rsidRPr="00A34935">
        <w:rPr>
          <w:rFonts w:ascii="Times New Roman" w:hAnsi="Times New Roman" w:cs="Times New Roman"/>
        </w:rPr>
        <w:t>GalliaPharm</w:t>
      </w:r>
      <w:proofErr w:type="spellEnd"/>
      <w:r w:rsidRPr="00A34935">
        <w:rPr>
          <w:rFonts w:ascii="Times New Roman" w:hAnsi="Times New Roman" w:cs="Times New Roman"/>
        </w:rPr>
        <w:t xml:space="preserve"> generator to a sterile needle.</w:t>
      </w:r>
    </w:p>
    <w:p w14:paraId="3DBF137E" w14:textId="77777777" w:rsidR="00317A59" w:rsidRPr="00A34935" w:rsidRDefault="00317A59" w:rsidP="00317A59">
      <w:pPr>
        <w:pStyle w:val="ListParagraph"/>
        <w:numPr>
          <w:ilvl w:val="0"/>
          <w:numId w:val="22"/>
        </w:numPr>
        <w:spacing w:after="0" w:line="240" w:lineRule="auto"/>
        <w:rPr>
          <w:rFonts w:ascii="Times New Roman" w:hAnsi="Times New Roman" w:cs="Times New Roman"/>
        </w:rPr>
      </w:pPr>
      <w:r w:rsidRPr="00A34935">
        <w:rPr>
          <w:rFonts w:ascii="Times New Roman" w:hAnsi="Times New Roman" w:cs="Times New Roman"/>
        </w:rPr>
        <w:lastRenderedPageBreak/>
        <w:t xml:space="preserve">Connect Vial 3 (Vacuumed Vial) directly to the outlet line of the </w:t>
      </w:r>
      <w:proofErr w:type="spellStart"/>
      <w:r w:rsidRPr="00A34935">
        <w:rPr>
          <w:rFonts w:ascii="Times New Roman" w:hAnsi="Times New Roman" w:cs="Times New Roman"/>
        </w:rPr>
        <w:t>GalliaPharm</w:t>
      </w:r>
      <w:proofErr w:type="spellEnd"/>
      <w:r w:rsidRPr="00A34935">
        <w:rPr>
          <w:rFonts w:ascii="Times New Roman" w:hAnsi="Times New Roman" w:cs="Times New Roman"/>
        </w:rPr>
        <w:t xml:space="preserve"> generator by pushing the needle through the rubber septum and place the vial in a radiation shielded container</w:t>
      </w:r>
    </w:p>
    <w:p w14:paraId="665B8CBB" w14:textId="77777777" w:rsidR="00317A59" w:rsidRPr="00A34935" w:rsidRDefault="00317A59" w:rsidP="00317A59">
      <w:pPr>
        <w:pStyle w:val="ListParagraph"/>
        <w:numPr>
          <w:ilvl w:val="0"/>
          <w:numId w:val="22"/>
        </w:numPr>
        <w:spacing w:after="0" w:line="240" w:lineRule="auto"/>
        <w:rPr>
          <w:rFonts w:ascii="Times New Roman" w:hAnsi="Times New Roman" w:cs="Times New Roman"/>
        </w:rPr>
      </w:pPr>
      <w:r w:rsidRPr="00A34935">
        <w:rPr>
          <w:rFonts w:ascii="Times New Roman" w:hAnsi="Times New Roman" w:cs="Times New Roman"/>
        </w:rPr>
        <w:t xml:space="preserve">Prepare a syringe containing 5mL of sterile ultrapure 0.1M HCl provided with the </w:t>
      </w:r>
      <w:proofErr w:type="spellStart"/>
      <w:r w:rsidRPr="00A34935">
        <w:rPr>
          <w:rFonts w:ascii="Times New Roman" w:hAnsi="Times New Roman" w:cs="Times New Roman"/>
        </w:rPr>
        <w:t>GalliaPharm</w:t>
      </w:r>
      <w:proofErr w:type="spellEnd"/>
      <w:r w:rsidRPr="00A34935">
        <w:rPr>
          <w:rFonts w:ascii="Times New Roman" w:hAnsi="Times New Roman" w:cs="Times New Roman"/>
        </w:rPr>
        <w:t xml:space="preserve"> Generator for elution.</w:t>
      </w:r>
    </w:p>
    <w:p w14:paraId="6132D878" w14:textId="77777777" w:rsidR="00317A59" w:rsidRPr="00A34935" w:rsidRDefault="00317A59" w:rsidP="00317A59">
      <w:pPr>
        <w:pStyle w:val="ListParagraph"/>
        <w:numPr>
          <w:ilvl w:val="0"/>
          <w:numId w:val="22"/>
        </w:numPr>
        <w:spacing w:after="0" w:line="240" w:lineRule="auto"/>
        <w:rPr>
          <w:rFonts w:ascii="Times New Roman" w:hAnsi="Times New Roman" w:cs="Times New Roman"/>
        </w:rPr>
      </w:pPr>
      <w:r w:rsidRPr="00A34935">
        <w:rPr>
          <w:rFonts w:ascii="Times New Roman" w:hAnsi="Times New Roman" w:cs="Times New Roman"/>
        </w:rPr>
        <w:t xml:space="preserve">Elute the generator directly into Vial 3 (Vacuumed Vial) according to the instructions for use of the </w:t>
      </w:r>
      <w:proofErr w:type="spellStart"/>
      <w:r w:rsidRPr="00A34935">
        <w:rPr>
          <w:rFonts w:ascii="Times New Roman" w:hAnsi="Times New Roman" w:cs="Times New Roman"/>
        </w:rPr>
        <w:t>GalliaPharm</w:t>
      </w:r>
      <w:proofErr w:type="spellEnd"/>
      <w:r w:rsidRPr="00A34935">
        <w:rPr>
          <w:rFonts w:ascii="Times New Roman" w:hAnsi="Times New Roman" w:cs="Times New Roman"/>
        </w:rPr>
        <w:t xml:space="preserve"> generator that are supplied by Eckert &amp; Ziegler.  Perform the elution manually or by means of a pump.  Collect 5 mL of eluate.</w:t>
      </w:r>
    </w:p>
    <w:p w14:paraId="76A75B11" w14:textId="77777777" w:rsidR="00317A59" w:rsidRPr="00A34935" w:rsidRDefault="00317A59" w:rsidP="00317A59">
      <w:pPr>
        <w:pStyle w:val="ListParagraph"/>
        <w:numPr>
          <w:ilvl w:val="0"/>
          <w:numId w:val="22"/>
        </w:numPr>
        <w:spacing w:after="0" w:line="240" w:lineRule="auto"/>
        <w:rPr>
          <w:rFonts w:ascii="Times New Roman" w:hAnsi="Times New Roman" w:cs="Times New Roman"/>
        </w:rPr>
      </w:pPr>
      <w:r w:rsidRPr="00A34935">
        <w:rPr>
          <w:rFonts w:ascii="Times New Roman" w:hAnsi="Times New Roman" w:cs="Times New Roman"/>
        </w:rPr>
        <w:t>At the end of the elution, disconnect the generator from Vial 3 (Vacuumed Vial) by removing the needle from the rubber septum.</w:t>
      </w:r>
    </w:p>
    <w:p w14:paraId="0D5D9576" w14:textId="77777777" w:rsidR="00317A59" w:rsidRPr="00A34935" w:rsidRDefault="00317A59" w:rsidP="00317A59">
      <w:pPr>
        <w:ind w:left="360"/>
        <w:rPr>
          <w:rFonts w:ascii="Times New Roman" w:hAnsi="Times New Roman" w:cs="Times New Roman"/>
        </w:rPr>
      </w:pPr>
    </w:p>
    <w:p w14:paraId="5A3B9420" w14:textId="77777777" w:rsidR="00317A59" w:rsidRPr="00A34935" w:rsidRDefault="00317A59" w:rsidP="00317A59">
      <w:pPr>
        <w:rPr>
          <w:rFonts w:ascii="Times New Roman" w:hAnsi="Times New Roman" w:cs="Times New Roman"/>
        </w:rPr>
      </w:pPr>
      <w:r w:rsidRPr="00A34935">
        <w:rPr>
          <w:rFonts w:ascii="Times New Roman" w:hAnsi="Times New Roman" w:cs="Times New Roman"/>
        </w:rPr>
        <w:t xml:space="preserve">Reconstitution with IRE Galli </w:t>
      </w:r>
      <w:proofErr w:type="spellStart"/>
      <w:r w:rsidRPr="00A34935">
        <w:rPr>
          <w:rFonts w:ascii="Times New Roman" w:hAnsi="Times New Roman" w:cs="Times New Roman"/>
        </w:rPr>
        <w:t>Eo</w:t>
      </w:r>
      <w:proofErr w:type="spellEnd"/>
      <w:r w:rsidRPr="00A34935">
        <w:rPr>
          <w:rFonts w:ascii="Times New Roman" w:hAnsi="Times New Roman" w:cs="Times New Roman"/>
        </w:rPr>
        <w:t xml:space="preserve"> Generator </w:t>
      </w:r>
    </w:p>
    <w:p w14:paraId="3AAE7BAC" w14:textId="77777777" w:rsidR="00317A59" w:rsidRPr="00A34935" w:rsidRDefault="00317A59" w:rsidP="00317A59">
      <w:pPr>
        <w:pStyle w:val="ListParagraph"/>
        <w:numPr>
          <w:ilvl w:val="0"/>
          <w:numId w:val="23"/>
        </w:numPr>
        <w:spacing w:after="0" w:line="240" w:lineRule="auto"/>
        <w:rPr>
          <w:rFonts w:ascii="Times New Roman" w:hAnsi="Times New Roman" w:cs="Times New Roman"/>
        </w:rPr>
      </w:pPr>
      <w:r w:rsidRPr="00A34935">
        <w:rPr>
          <w:rFonts w:ascii="Times New Roman" w:hAnsi="Times New Roman" w:cs="Times New Roman"/>
        </w:rPr>
        <w:t xml:space="preserve">Connect the male </w:t>
      </w:r>
      <w:proofErr w:type="spellStart"/>
      <w:r w:rsidRPr="00A34935">
        <w:rPr>
          <w:rFonts w:ascii="Times New Roman" w:hAnsi="Times New Roman" w:cs="Times New Roman"/>
        </w:rPr>
        <w:t>luer</w:t>
      </w:r>
      <w:proofErr w:type="spellEnd"/>
      <w:r w:rsidRPr="00A34935">
        <w:rPr>
          <w:rFonts w:ascii="Times New Roman" w:hAnsi="Times New Roman" w:cs="Times New Roman"/>
        </w:rPr>
        <w:t xml:space="preserve"> of the outlet line of the Galli </w:t>
      </w:r>
      <w:proofErr w:type="spellStart"/>
      <w:r w:rsidRPr="00A34935">
        <w:rPr>
          <w:rFonts w:ascii="Times New Roman" w:hAnsi="Times New Roman" w:cs="Times New Roman"/>
        </w:rPr>
        <w:t>Eo</w:t>
      </w:r>
      <w:proofErr w:type="spellEnd"/>
      <w:r w:rsidRPr="00A34935">
        <w:rPr>
          <w:rFonts w:ascii="Times New Roman" w:hAnsi="Times New Roman" w:cs="Times New Roman"/>
        </w:rPr>
        <w:t xml:space="preserve"> generator to a sterile needle.</w:t>
      </w:r>
    </w:p>
    <w:p w14:paraId="52CB4C7A" w14:textId="77777777" w:rsidR="00317A59" w:rsidRPr="00A34935" w:rsidRDefault="00317A59" w:rsidP="00317A59">
      <w:pPr>
        <w:pStyle w:val="ListParagraph"/>
        <w:numPr>
          <w:ilvl w:val="0"/>
          <w:numId w:val="23"/>
        </w:numPr>
        <w:spacing w:after="0" w:line="240" w:lineRule="auto"/>
        <w:rPr>
          <w:rFonts w:ascii="Times New Roman" w:hAnsi="Times New Roman" w:cs="Times New Roman"/>
        </w:rPr>
      </w:pPr>
      <w:r w:rsidRPr="00A34935">
        <w:rPr>
          <w:rFonts w:ascii="Times New Roman" w:hAnsi="Times New Roman" w:cs="Times New Roman"/>
        </w:rPr>
        <w:t xml:space="preserve">Elute the generator directly into Vial 3 (Vacuumed Vial) according to the instructions for use of the Galli </w:t>
      </w:r>
      <w:proofErr w:type="spellStart"/>
      <w:r w:rsidRPr="00A34935">
        <w:rPr>
          <w:rFonts w:ascii="Times New Roman" w:hAnsi="Times New Roman" w:cs="Times New Roman"/>
        </w:rPr>
        <w:t>Eo</w:t>
      </w:r>
      <w:proofErr w:type="spellEnd"/>
      <w:r w:rsidRPr="00A34935">
        <w:rPr>
          <w:rFonts w:ascii="Times New Roman" w:hAnsi="Times New Roman" w:cs="Times New Roman"/>
        </w:rPr>
        <w:t xml:space="preserve"> generator that are supplied by IRE.  Collect 1.1 mL of eluate.</w:t>
      </w:r>
    </w:p>
    <w:p w14:paraId="5C41B9BD" w14:textId="77777777" w:rsidR="00317A59" w:rsidRDefault="00317A59" w:rsidP="00317A59">
      <w:pPr>
        <w:pStyle w:val="ListParagraph"/>
        <w:numPr>
          <w:ilvl w:val="0"/>
          <w:numId w:val="23"/>
        </w:numPr>
        <w:spacing w:after="0" w:line="240" w:lineRule="auto"/>
        <w:rPr>
          <w:rFonts w:ascii="Times New Roman" w:hAnsi="Times New Roman" w:cs="Times New Roman"/>
        </w:rPr>
      </w:pPr>
      <w:r w:rsidRPr="00A34935">
        <w:rPr>
          <w:rFonts w:ascii="Times New Roman" w:hAnsi="Times New Roman" w:cs="Times New Roman"/>
        </w:rPr>
        <w:t>At the end of the elution, disconnect the generator from Vial 3 (Vacuumed Vial) by removing the needle from the rubber septum.</w:t>
      </w:r>
    </w:p>
    <w:p w14:paraId="607F6432" w14:textId="77777777" w:rsidR="00540D6C" w:rsidRDefault="00540D6C" w:rsidP="00540D6C">
      <w:pPr>
        <w:spacing w:after="0" w:line="240" w:lineRule="auto"/>
        <w:rPr>
          <w:rFonts w:ascii="Times New Roman" w:hAnsi="Times New Roman" w:cs="Times New Roman"/>
        </w:rPr>
      </w:pPr>
    </w:p>
    <w:p w14:paraId="1233B885" w14:textId="77777777" w:rsidR="00317A59" w:rsidRPr="00A34935" w:rsidRDefault="00317A59" w:rsidP="00317A59">
      <w:pPr>
        <w:rPr>
          <w:rFonts w:ascii="Times New Roman" w:hAnsi="Times New Roman" w:cs="Times New Roman"/>
        </w:rPr>
      </w:pPr>
      <w:r w:rsidRPr="00A34935">
        <w:rPr>
          <w:rFonts w:ascii="Times New Roman" w:hAnsi="Times New Roman" w:cs="Times New Roman"/>
        </w:rPr>
        <w:t xml:space="preserve">Reconstitution with Cyclotron Produced Ga-68 via GE </w:t>
      </w:r>
      <w:proofErr w:type="spellStart"/>
      <w:r w:rsidRPr="00A34935">
        <w:rPr>
          <w:rFonts w:ascii="Times New Roman" w:hAnsi="Times New Roman" w:cs="Times New Roman"/>
        </w:rPr>
        <w:t>FASTlab</w:t>
      </w:r>
      <w:r w:rsidRPr="00A34935">
        <w:rPr>
          <w:rFonts w:ascii="Times New Roman" w:hAnsi="Times New Roman" w:cs="Times New Roman"/>
          <w:vertAlign w:val="superscript"/>
        </w:rPr>
        <w:t>TM</w:t>
      </w:r>
      <w:proofErr w:type="spellEnd"/>
    </w:p>
    <w:p w14:paraId="653A7E70" w14:textId="77777777" w:rsidR="00317A59" w:rsidRPr="00A34935" w:rsidRDefault="00317A59" w:rsidP="00317A59">
      <w:pPr>
        <w:pStyle w:val="ListParagraph"/>
        <w:numPr>
          <w:ilvl w:val="0"/>
          <w:numId w:val="24"/>
        </w:numPr>
        <w:spacing w:after="0" w:line="240" w:lineRule="auto"/>
        <w:rPr>
          <w:rFonts w:ascii="Times New Roman" w:hAnsi="Times New Roman" w:cs="Times New Roman"/>
        </w:rPr>
      </w:pPr>
      <w:r w:rsidRPr="00A34935">
        <w:rPr>
          <w:rFonts w:ascii="Times New Roman" w:hAnsi="Times New Roman" w:cs="Times New Roman"/>
        </w:rPr>
        <w:t xml:space="preserve">After purification by the </w:t>
      </w:r>
      <w:proofErr w:type="spellStart"/>
      <w:r w:rsidRPr="00A34935">
        <w:rPr>
          <w:rFonts w:ascii="Times New Roman" w:hAnsi="Times New Roman" w:cs="Times New Roman"/>
        </w:rPr>
        <w:t>FASTlab</w:t>
      </w:r>
      <w:proofErr w:type="spellEnd"/>
      <w:r w:rsidRPr="00A34935">
        <w:rPr>
          <w:rFonts w:ascii="Times New Roman" w:hAnsi="Times New Roman" w:cs="Times New Roman"/>
        </w:rPr>
        <w:t>, the [</w:t>
      </w:r>
      <w:r w:rsidRPr="00A34935">
        <w:rPr>
          <w:rFonts w:ascii="Times New Roman" w:hAnsi="Times New Roman" w:cs="Times New Roman"/>
          <w:vertAlign w:val="superscript"/>
        </w:rPr>
        <w:t>68</w:t>
      </w:r>
      <w:proofErr w:type="gramStart"/>
      <w:r w:rsidRPr="00A34935">
        <w:rPr>
          <w:rFonts w:ascii="Times New Roman" w:hAnsi="Times New Roman" w:cs="Times New Roman"/>
        </w:rPr>
        <w:t>Ga]GaCl</w:t>
      </w:r>
      <w:proofErr w:type="gramEnd"/>
      <w:r w:rsidRPr="00A34935">
        <w:rPr>
          <w:rFonts w:ascii="Times New Roman" w:hAnsi="Times New Roman" w:cs="Times New Roman"/>
          <w:vertAlign w:val="subscript"/>
        </w:rPr>
        <w:t>3</w:t>
      </w:r>
      <w:r w:rsidRPr="00A34935">
        <w:rPr>
          <w:rFonts w:ascii="Times New Roman" w:hAnsi="Times New Roman" w:cs="Times New Roman"/>
        </w:rPr>
        <w:t xml:space="preserve"> solution is passed through a sterile filter and into the cassette product vial automatically by the </w:t>
      </w:r>
      <w:proofErr w:type="spellStart"/>
      <w:r w:rsidRPr="00A34935">
        <w:rPr>
          <w:rFonts w:ascii="Times New Roman" w:hAnsi="Times New Roman" w:cs="Times New Roman"/>
        </w:rPr>
        <w:t>FASTlab</w:t>
      </w:r>
      <w:proofErr w:type="spellEnd"/>
      <w:r w:rsidRPr="00A34935">
        <w:rPr>
          <w:rFonts w:ascii="Times New Roman" w:hAnsi="Times New Roman" w:cs="Times New Roman"/>
        </w:rPr>
        <w:t>.</w:t>
      </w:r>
    </w:p>
    <w:p w14:paraId="10116A67" w14:textId="77777777" w:rsidR="00317A59" w:rsidRPr="00A34935" w:rsidRDefault="00317A59" w:rsidP="00317A59">
      <w:pPr>
        <w:pStyle w:val="ListParagraph"/>
        <w:numPr>
          <w:ilvl w:val="0"/>
          <w:numId w:val="24"/>
        </w:numPr>
        <w:spacing w:after="0" w:line="240" w:lineRule="auto"/>
        <w:rPr>
          <w:rFonts w:ascii="Times New Roman" w:hAnsi="Times New Roman" w:cs="Times New Roman"/>
        </w:rPr>
      </w:pPr>
      <w:r w:rsidRPr="00A34935">
        <w:rPr>
          <w:rFonts w:ascii="Times New Roman" w:hAnsi="Times New Roman" w:cs="Times New Roman"/>
        </w:rPr>
        <w:t xml:space="preserve">Pierce Vial 3 (Vacuumed Vial) with a sterile needle connected to a </w:t>
      </w:r>
      <w:proofErr w:type="gramStart"/>
      <w:r w:rsidRPr="00A34935">
        <w:rPr>
          <w:rFonts w:ascii="Times New Roman" w:hAnsi="Times New Roman" w:cs="Times New Roman"/>
        </w:rPr>
        <w:t>0.22 micron</w:t>
      </w:r>
      <w:proofErr w:type="gramEnd"/>
      <w:r w:rsidRPr="00A34935">
        <w:rPr>
          <w:rFonts w:ascii="Times New Roman" w:hAnsi="Times New Roman" w:cs="Times New Roman"/>
        </w:rPr>
        <w:t xml:space="preserve"> sterile vented filter (not supplied) to maintain atmospheric pressure within the vial during the reconstitution process. </w:t>
      </w:r>
    </w:p>
    <w:p w14:paraId="072BB17C" w14:textId="77777777" w:rsidR="00317A59" w:rsidRPr="00A34935" w:rsidRDefault="00317A59" w:rsidP="00317A59">
      <w:pPr>
        <w:pStyle w:val="ListParagraph"/>
        <w:numPr>
          <w:ilvl w:val="0"/>
          <w:numId w:val="24"/>
        </w:numPr>
        <w:spacing w:after="0" w:line="240" w:lineRule="auto"/>
        <w:rPr>
          <w:rFonts w:ascii="Times New Roman" w:hAnsi="Times New Roman" w:cs="Times New Roman"/>
        </w:rPr>
      </w:pPr>
      <w:r w:rsidRPr="00A34935">
        <w:rPr>
          <w:rFonts w:ascii="Times New Roman" w:hAnsi="Times New Roman" w:cs="Times New Roman"/>
        </w:rPr>
        <w:t>Aseptically transfer 5 mL of [</w:t>
      </w:r>
      <w:r w:rsidRPr="00A34935">
        <w:rPr>
          <w:rFonts w:ascii="Times New Roman" w:hAnsi="Times New Roman" w:cs="Times New Roman"/>
          <w:vertAlign w:val="superscript"/>
        </w:rPr>
        <w:t>68</w:t>
      </w:r>
      <w:proofErr w:type="gramStart"/>
      <w:r w:rsidRPr="00A34935">
        <w:rPr>
          <w:rFonts w:ascii="Times New Roman" w:hAnsi="Times New Roman" w:cs="Times New Roman"/>
        </w:rPr>
        <w:t>Ga]GaCl</w:t>
      </w:r>
      <w:proofErr w:type="gramEnd"/>
      <w:r w:rsidRPr="00A34935">
        <w:rPr>
          <w:rFonts w:ascii="Times New Roman" w:hAnsi="Times New Roman" w:cs="Times New Roman"/>
          <w:vertAlign w:val="subscript"/>
        </w:rPr>
        <w:t>3</w:t>
      </w:r>
      <w:r w:rsidRPr="00A34935">
        <w:rPr>
          <w:rFonts w:ascii="Times New Roman" w:hAnsi="Times New Roman" w:cs="Times New Roman"/>
        </w:rPr>
        <w:t xml:space="preserve"> solution into Vial 3 (Vacuumed Vial).</w:t>
      </w:r>
    </w:p>
    <w:p w14:paraId="3244A123" w14:textId="77777777" w:rsidR="009B54F0" w:rsidRDefault="009B54F0" w:rsidP="00317A59">
      <w:pPr>
        <w:rPr>
          <w:rFonts w:ascii="Times New Roman" w:hAnsi="Times New Roman" w:cs="Times New Roman"/>
          <w:u w:val="single"/>
        </w:rPr>
      </w:pPr>
    </w:p>
    <w:p w14:paraId="0DE6934F" w14:textId="77777777" w:rsidR="00317A59" w:rsidRPr="00A34935" w:rsidRDefault="00317A59" w:rsidP="00317A59">
      <w:pPr>
        <w:rPr>
          <w:rFonts w:ascii="Times New Roman" w:hAnsi="Times New Roman" w:cs="Times New Roman"/>
          <w:u w:val="single"/>
        </w:rPr>
      </w:pPr>
      <w:r w:rsidRPr="00A34935">
        <w:rPr>
          <w:rFonts w:ascii="Times New Roman" w:hAnsi="Times New Roman" w:cs="Times New Roman"/>
          <w:u w:val="single"/>
        </w:rPr>
        <w:t xml:space="preserve">Dilution </w:t>
      </w:r>
    </w:p>
    <w:p w14:paraId="61ADFE23" w14:textId="77777777" w:rsidR="00317A59" w:rsidRPr="00A34935" w:rsidRDefault="00317A59" w:rsidP="00317A59">
      <w:pPr>
        <w:pStyle w:val="ListParagraph"/>
        <w:numPr>
          <w:ilvl w:val="0"/>
          <w:numId w:val="25"/>
        </w:numPr>
        <w:spacing w:after="0" w:line="240" w:lineRule="auto"/>
        <w:rPr>
          <w:rFonts w:ascii="Times New Roman" w:hAnsi="Times New Roman" w:cs="Times New Roman"/>
        </w:rPr>
      </w:pPr>
      <w:r w:rsidRPr="00A34935">
        <w:rPr>
          <w:rFonts w:ascii="Times New Roman" w:hAnsi="Times New Roman" w:cs="Times New Roman"/>
        </w:rPr>
        <w:t>Insert a sterile 10 mL syringe into Vial 2 (Acetate Buffer Vial) and draw up the contents of the vial.</w:t>
      </w:r>
    </w:p>
    <w:p w14:paraId="6AFB66A5" w14:textId="77777777" w:rsidR="00317A59" w:rsidRPr="00A34935" w:rsidRDefault="00317A59" w:rsidP="00317A59">
      <w:pPr>
        <w:pStyle w:val="ListParagraph"/>
        <w:numPr>
          <w:ilvl w:val="0"/>
          <w:numId w:val="25"/>
        </w:numPr>
        <w:spacing w:after="0" w:line="240" w:lineRule="auto"/>
        <w:rPr>
          <w:rFonts w:ascii="Times New Roman" w:hAnsi="Times New Roman" w:cs="Times New Roman"/>
        </w:rPr>
      </w:pPr>
      <w:r w:rsidRPr="00A34935">
        <w:rPr>
          <w:rFonts w:ascii="Times New Roman" w:hAnsi="Times New Roman" w:cs="Times New Roman"/>
        </w:rPr>
        <w:t>Inject the contents of the 10 mL syringe into Vial 1 (</w:t>
      </w:r>
      <w:r w:rsidR="00860CD4" w:rsidRPr="00860CD4">
        <w:rPr>
          <w:rFonts w:ascii="Times New Roman" w:hAnsi="Times New Roman" w:cs="Times New Roman"/>
        </w:rPr>
        <w:t>Glu-urea-Lys(</w:t>
      </w:r>
      <w:proofErr w:type="spellStart"/>
      <w:r w:rsidR="00860CD4" w:rsidRPr="00860CD4">
        <w:rPr>
          <w:rFonts w:ascii="Times New Roman" w:hAnsi="Times New Roman" w:cs="Times New Roman"/>
        </w:rPr>
        <w:t>ahx</w:t>
      </w:r>
      <w:proofErr w:type="spellEnd"/>
      <w:r w:rsidR="00860CD4" w:rsidRPr="00860CD4">
        <w:rPr>
          <w:rFonts w:ascii="Times New Roman" w:hAnsi="Times New Roman" w:cs="Times New Roman"/>
        </w:rPr>
        <w:t>)-</w:t>
      </w:r>
      <w:proofErr w:type="spellStart"/>
      <w:r w:rsidR="00860CD4" w:rsidRPr="00860CD4">
        <w:rPr>
          <w:rFonts w:ascii="Times New Roman" w:hAnsi="Times New Roman" w:cs="Times New Roman"/>
        </w:rPr>
        <w:t>hbed</w:t>
      </w:r>
      <w:proofErr w:type="spellEnd"/>
      <w:r w:rsidR="00860CD4" w:rsidRPr="00860CD4">
        <w:rPr>
          <w:rFonts w:ascii="Times New Roman" w:hAnsi="Times New Roman" w:cs="Times New Roman"/>
        </w:rPr>
        <w:t>-CC</w:t>
      </w:r>
      <w:r w:rsidRPr="00A34935">
        <w:rPr>
          <w:rFonts w:ascii="Times New Roman" w:hAnsi="Times New Roman" w:cs="Times New Roman"/>
        </w:rPr>
        <w:t xml:space="preserve"> Vial).</w:t>
      </w:r>
    </w:p>
    <w:p w14:paraId="499DB14A" w14:textId="77777777" w:rsidR="00317A59" w:rsidRPr="00A34935" w:rsidRDefault="00317A59" w:rsidP="00317A59">
      <w:pPr>
        <w:pStyle w:val="ListParagraph"/>
        <w:numPr>
          <w:ilvl w:val="0"/>
          <w:numId w:val="25"/>
        </w:numPr>
        <w:spacing w:after="0" w:line="240" w:lineRule="auto"/>
        <w:rPr>
          <w:rFonts w:ascii="Times New Roman" w:hAnsi="Times New Roman" w:cs="Times New Roman"/>
        </w:rPr>
      </w:pPr>
      <w:r w:rsidRPr="00A34935">
        <w:rPr>
          <w:rFonts w:ascii="Times New Roman" w:hAnsi="Times New Roman" w:cs="Times New Roman"/>
        </w:rPr>
        <w:t>Gently swirl Vial 1 to ensure the product is thoroughly dissolved.</w:t>
      </w:r>
    </w:p>
    <w:p w14:paraId="41A74CB5" w14:textId="77777777" w:rsidR="00317A59" w:rsidRPr="00A34935" w:rsidRDefault="00317A59" w:rsidP="00317A59">
      <w:pPr>
        <w:pStyle w:val="ListParagraph"/>
        <w:ind w:left="1080"/>
        <w:rPr>
          <w:rFonts w:ascii="Times New Roman" w:eastAsia="TimesNewRoman" w:hAnsi="Times New Roman" w:cs="Times New Roman"/>
        </w:rPr>
      </w:pPr>
    </w:p>
    <w:p w14:paraId="4A369A03" w14:textId="77777777" w:rsidR="00317A59" w:rsidRPr="00A34935" w:rsidRDefault="00317A59" w:rsidP="00317A59">
      <w:pPr>
        <w:rPr>
          <w:rFonts w:ascii="Times New Roman" w:hAnsi="Times New Roman" w:cs="Times New Roman"/>
          <w:u w:val="single"/>
        </w:rPr>
      </w:pPr>
      <w:r w:rsidRPr="00A34935">
        <w:rPr>
          <w:rFonts w:ascii="Times New Roman" w:hAnsi="Times New Roman" w:cs="Times New Roman"/>
          <w:u w:val="single"/>
        </w:rPr>
        <w:t xml:space="preserve">Radiosynthesis Procedure </w:t>
      </w:r>
    </w:p>
    <w:p w14:paraId="2BBF5243" w14:textId="77777777" w:rsidR="00317A59" w:rsidRPr="00A34935" w:rsidRDefault="00317A59" w:rsidP="00317A59">
      <w:pPr>
        <w:pStyle w:val="ListParagraph"/>
        <w:numPr>
          <w:ilvl w:val="0"/>
          <w:numId w:val="26"/>
        </w:numPr>
        <w:spacing w:after="0" w:line="240" w:lineRule="auto"/>
        <w:rPr>
          <w:rFonts w:ascii="Times New Roman" w:hAnsi="Times New Roman" w:cs="Times New Roman"/>
        </w:rPr>
      </w:pPr>
      <w:r w:rsidRPr="00A34935">
        <w:rPr>
          <w:rFonts w:ascii="Times New Roman" w:hAnsi="Times New Roman" w:cs="Times New Roman"/>
        </w:rPr>
        <w:t xml:space="preserve">Insert a sterile 10 mL syringe into Vial 1 (Sterile </w:t>
      </w:r>
      <w:r w:rsidR="00860CD4" w:rsidRPr="00860CD4">
        <w:rPr>
          <w:rFonts w:ascii="Times New Roman" w:hAnsi="Times New Roman" w:cs="Times New Roman"/>
        </w:rPr>
        <w:t>Glu-urea-Lys(</w:t>
      </w:r>
      <w:proofErr w:type="spellStart"/>
      <w:r w:rsidR="00860CD4" w:rsidRPr="00860CD4">
        <w:rPr>
          <w:rFonts w:ascii="Times New Roman" w:hAnsi="Times New Roman" w:cs="Times New Roman"/>
        </w:rPr>
        <w:t>ahx</w:t>
      </w:r>
      <w:proofErr w:type="spellEnd"/>
      <w:r w:rsidR="00860CD4" w:rsidRPr="00860CD4">
        <w:rPr>
          <w:rFonts w:ascii="Times New Roman" w:hAnsi="Times New Roman" w:cs="Times New Roman"/>
        </w:rPr>
        <w:t>)-</w:t>
      </w:r>
      <w:proofErr w:type="spellStart"/>
      <w:r w:rsidR="00860CD4" w:rsidRPr="00860CD4">
        <w:rPr>
          <w:rFonts w:ascii="Times New Roman" w:hAnsi="Times New Roman" w:cs="Times New Roman"/>
        </w:rPr>
        <w:t>hbed</w:t>
      </w:r>
      <w:proofErr w:type="spellEnd"/>
      <w:r w:rsidR="00860CD4" w:rsidRPr="00860CD4">
        <w:rPr>
          <w:rFonts w:ascii="Times New Roman" w:hAnsi="Times New Roman" w:cs="Times New Roman"/>
        </w:rPr>
        <w:t>-CC</w:t>
      </w:r>
      <w:r w:rsidRPr="00A34935">
        <w:rPr>
          <w:rFonts w:ascii="Times New Roman" w:hAnsi="Times New Roman" w:cs="Times New Roman"/>
        </w:rPr>
        <w:t xml:space="preserve"> Vial) and draw up the contents of the vial. </w:t>
      </w:r>
    </w:p>
    <w:p w14:paraId="65C3A0C4" w14:textId="77777777" w:rsidR="00317A59" w:rsidRPr="00A34935" w:rsidRDefault="00317A59" w:rsidP="00317A59">
      <w:pPr>
        <w:pStyle w:val="ListParagraph"/>
        <w:numPr>
          <w:ilvl w:val="0"/>
          <w:numId w:val="26"/>
        </w:numPr>
        <w:spacing w:after="0" w:line="240" w:lineRule="auto"/>
        <w:rPr>
          <w:rFonts w:ascii="Times New Roman" w:hAnsi="Times New Roman" w:cs="Times New Roman"/>
        </w:rPr>
      </w:pPr>
      <w:r w:rsidRPr="00A34935">
        <w:rPr>
          <w:rFonts w:ascii="Times New Roman" w:hAnsi="Times New Roman" w:cs="Times New Roman"/>
        </w:rPr>
        <w:t xml:space="preserve">Transfer the contents of the 10mL syringe to Vial 3 containing the Ga-68 chloride. </w:t>
      </w:r>
    </w:p>
    <w:p w14:paraId="1CFB6389" w14:textId="77777777" w:rsidR="00317A59" w:rsidRPr="00A34935" w:rsidRDefault="00317A59" w:rsidP="00317A59">
      <w:pPr>
        <w:pStyle w:val="ListParagraph"/>
        <w:numPr>
          <w:ilvl w:val="0"/>
          <w:numId w:val="26"/>
        </w:numPr>
        <w:spacing w:after="0" w:line="240" w:lineRule="auto"/>
        <w:rPr>
          <w:rFonts w:ascii="Times New Roman" w:hAnsi="Times New Roman" w:cs="Times New Roman"/>
        </w:rPr>
      </w:pPr>
      <w:r w:rsidRPr="00A34935">
        <w:rPr>
          <w:rFonts w:ascii="Times New Roman" w:hAnsi="Times New Roman" w:cs="Times New Roman"/>
        </w:rPr>
        <w:t xml:space="preserve">Wait for 5 minutes for </w:t>
      </w:r>
      <w:proofErr w:type="spellStart"/>
      <w:r w:rsidRPr="00A34935">
        <w:rPr>
          <w:rFonts w:ascii="Times New Roman" w:hAnsi="Times New Roman" w:cs="Times New Roman"/>
        </w:rPr>
        <w:t>radiolabeling</w:t>
      </w:r>
      <w:proofErr w:type="spellEnd"/>
      <w:r w:rsidRPr="00A34935">
        <w:rPr>
          <w:rFonts w:ascii="Times New Roman" w:hAnsi="Times New Roman" w:cs="Times New Roman"/>
        </w:rPr>
        <w:t xml:space="preserve"> to take place.</w:t>
      </w:r>
    </w:p>
    <w:p w14:paraId="73263A8F" w14:textId="77777777" w:rsidR="00317A59" w:rsidRPr="00A34935" w:rsidRDefault="00317A59" w:rsidP="00317A59">
      <w:pPr>
        <w:pStyle w:val="ListParagraph"/>
        <w:numPr>
          <w:ilvl w:val="0"/>
          <w:numId w:val="26"/>
        </w:numPr>
        <w:spacing w:after="0" w:line="240" w:lineRule="auto"/>
        <w:rPr>
          <w:rFonts w:ascii="Times New Roman" w:hAnsi="Times New Roman" w:cs="Times New Roman"/>
        </w:rPr>
      </w:pPr>
      <w:r w:rsidRPr="00A34935">
        <w:rPr>
          <w:rFonts w:ascii="Times New Roman" w:hAnsi="Times New Roman" w:cs="Times New Roman"/>
        </w:rPr>
        <w:t xml:space="preserve">Assay the whole vial containing the Ga-68 </w:t>
      </w:r>
      <w:r w:rsidR="00860CD4" w:rsidRPr="00860CD4">
        <w:rPr>
          <w:rFonts w:ascii="Times New Roman" w:hAnsi="Times New Roman" w:cs="Times New Roman"/>
        </w:rPr>
        <w:t>Glu-urea-Lys(</w:t>
      </w:r>
      <w:proofErr w:type="spellStart"/>
      <w:r w:rsidR="00860CD4" w:rsidRPr="00860CD4">
        <w:rPr>
          <w:rFonts w:ascii="Times New Roman" w:hAnsi="Times New Roman" w:cs="Times New Roman"/>
        </w:rPr>
        <w:t>ahx</w:t>
      </w:r>
      <w:proofErr w:type="spellEnd"/>
      <w:r w:rsidR="00860CD4" w:rsidRPr="00860CD4">
        <w:rPr>
          <w:rFonts w:ascii="Times New Roman" w:hAnsi="Times New Roman" w:cs="Times New Roman"/>
        </w:rPr>
        <w:t>)-</w:t>
      </w:r>
      <w:proofErr w:type="spellStart"/>
      <w:r w:rsidR="00860CD4" w:rsidRPr="00860CD4">
        <w:rPr>
          <w:rFonts w:ascii="Times New Roman" w:hAnsi="Times New Roman" w:cs="Times New Roman"/>
        </w:rPr>
        <w:t>hbed</w:t>
      </w:r>
      <w:proofErr w:type="spellEnd"/>
      <w:r w:rsidR="00860CD4" w:rsidRPr="00860CD4">
        <w:rPr>
          <w:rFonts w:ascii="Times New Roman" w:hAnsi="Times New Roman" w:cs="Times New Roman"/>
        </w:rPr>
        <w:t>-CC</w:t>
      </w:r>
      <w:r w:rsidRPr="00A34935">
        <w:rPr>
          <w:rFonts w:ascii="Times New Roman" w:hAnsi="Times New Roman" w:cs="Times New Roman"/>
        </w:rPr>
        <w:t xml:space="preserve"> Injection for total radioactivity concentration using a dose calibrator and record the result.</w:t>
      </w:r>
    </w:p>
    <w:p w14:paraId="1CA17E35" w14:textId="77777777" w:rsidR="00317A59" w:rsidRPr="00A34935" w:rsidRDefault="00317A59" w:rsidP="00317A59">
      <w:pPr>
        <w:pStyle w:val="ListParagraph"/>
        <w:numPr>
          <w:ilvl w:val="0"/>
          <w:numId w:val="26"/>
        </w:numPr>
        <w:spacing w:after="0" w:line="240" w:lineRule="auto"/>
        <w:rPr>
          <w:rFonts w:ascii="Times New Roman" w:hAnsi="Times New Roman" w:cs="Times New Roman"/>
        </w:rPr>
      </w:pPr>
      <w:r w:rsidRPr="00A34935">
        <w:rPr>
          <w:rFonts w:ascii="Times New Roman" w:hAnsi="Times New Roman" w:cs="Times New Roman"/>
        </w:rPr>
        <w:t xml:space="preserve">Perform the quality control of the reconstituted </w:t>
      </w:r>
      <w:r w:rsidRPr="00B30ADC">
        <w:rPr>
          <w:rFonts w:ascii="Times New Roman" w:hAnsi="Times New Roman" w:cs="Times New Roman"/>
        </w:rPr>
        <w:t xml:space="preserve">solution according to the recommended methods to check the compliance with the specifications </w:t>
      </w:r>
      <w:r w:rsidR="00B30ADC" w:rsidRPr="00B30ADC">
        <w:rPr>
          <w:rFonts w:ascii="Times New Roman" w:hAnsi="Times New Roman" w:cs="Times New Roman"/>
        </w:rPr>
        <w:t>(</w:t>
      </w:r>
      <w:r w:rsidRPr="00B30ADC">
        <w:rPr>
          <w:rFonts w:ascii="Times New Roman" w:hAnsi="Times New Roman" w:cs="Times New Roman"/>
        </w:rPr>
        <w:t xml:space="preserve">see </w:t>
      </w:r>
      <w:r w:rsidRPr="00B30ADC">
        <w:rPr>
          <w:rFonts w:ascii="Times New Roman" w:hAnsi="Times New Roman" w:cs="Times New Roman"/>
          <w:b/>
          <w:bCs/>
        </w:rPr>
        <w:t>Specifications and Quality Control</w:t>
      </w:r>
      <w:r w:rsidR="00B30ADC" w:rsidRPr="00B30ADC">
        <w:rPr>
          <w:rFonts w:ascii="Times New Roman" w:hAnsi="Times New Roman" w:cs="Times New Roman"/>
        </w:rPr>
        <w:t>)</w:t>
      </w:r>
      <w:r w:rsidRPr="00B30ADC">
        <w:rPr>
          <w:rFonts w:ascii="Times New Roman" w:hAnsi="Times New Roman" w:cs="Times New Roman"/>
        </w:rPr>
        <w:t>.</w:t>
      </w:r>
    </w:p>
    <w:p w14:paraId="7A736D46" w14:textId="77777777" w:rsidR="00317A59" w:rsidRPr="00A34935" w:rsidRDefault="00317A59" w:rsidP="00317A59">
      <w:pPr>
        <w:pStyle w:val="ListParagraph"/>
        <w:numPr>
          <w:ilvl w:val="0"/>
          <w:numId w:val="26"/>
        </w:numPr>
        <w:spacing w:after="0" w:line="240" w:lineRule="auto"/>
        <w:rPr>
          <w:rFonts w:ascii="Times New Roman" w:hAnsi="Times New Roman" w:cs="Times New Roman"/>
        </w:rPr>
      </w:pPr>
      <w:r w:rsidRPr="00A34935">
        <w:rPr>
          <w:rFonts w:ascii="Times New Roman" w:hAnsi="Times New Roman" w:cs="Times New Roman"/>
        </w:rPr>
        <w:t>Prior to use, visually inspect the solution behind a shielded screen for radioprotection purposes.  Only use solutions that are clear without visible particles.</w:t>
      </w:r>
    </w:p>
    <w:p w14:paraId="39341536" w14:textId="77777777" w:rsidR="00317A59" w:rsidRPr="00A34935" w:rsidRDefault="00317A59" w:rsidP="00317A59">
      <w:pPr>
        <w:pStyle w:val="ListParagraph"/>
        <w:numPr>
          <w:ilvl w:val="0"/>
          <w:numId w:val="26"/>
        </w:numPr>
        <w:spacing w:after="0" w:line="240" w:lineRule="auto"/>
        <w:rPr>
          <w:rFonts w:ascii="Times New Roman" w:hAnsi="Times New Roman" w:cs="Times New Roman"/>
        </w:rPr>
      </w:pPr>
      <w:r w:rsidRPr="00A34935">
        <w:rPr>
          <w:rFonts w:ascii="Times New Roman" w:hAnsi="Times New Roman" w:cs="Times New Roman"/>
        </w:rPr>
        <w:lastRenderedPageBreak/>
        <w:t xml:space="preserve">Keep the vial containing the Ga-68 </w:t>
      </w:r>
      <w:r w:rsidR="00860CD4" w:rsidRPr="00860CD4">
        <w:rPr>
          <w:rFonts w:ascii="Times New Roman" w:hAnsi="Times New Roman" w:cs="Times New Roman"/>
        </w:rPr>
        <w:t>Glu-urea-Lys(</w:t>
      </w:r>
      <w:proofErr w:type="spellStart"/>
      <w:r w:rsidR="00860CD4" w:rsidRPr="00860CD4">
        <w:rPr>
          <w:rFonts w:ascii="Times New Roman" w:hAnsi="Times New Roman" w:cs="Times New Roman"/>
        </w:rPr>
        <w:t>ahx</w:t>
      </w:r>
      <w:proofErr w:type="spellEnd"/>
      <w:r w:rsidR="00860CD4" w:rsidRPr="00860CD4">
        <w:rPr>
          <w:rFonts w:ascii="Times New Roman" w:hAnsi="Times New Roman" w:cs="Times New Roman"/>
        </w:rPr>
        <w:t>)-</w:t>
      </w:r>
      <w:proofErr w:type="spellStart"/>
      <w:r w:rsidR="00860CD4" w:rsidRPr="00860CD4">
        <w:rPr>
          <w:rFonts w:ascii="Times New Roman" w:hAnsi="Times New Roman" w:cs="Times New Roman"/>
        </w:rPr>
        <w:t>hbed</w:t>
      </w:r>
      <w:proofErr w:type="spellEnd"/>
      <w:r w:rsidR="00860CD4" w:rsidRPr="00860CD4">
        <w:rPr>
          <w:rFonts w:ascii="Times New Roman" w:hAnsi="Times New Roman" w:cs="Times New Roman"/>
        </w:rPr>
        <w:t>-CC</w:t>
      </w:r>
      <w:r w:rsidRPr="00A34935">
        <w:rPr>
          <w:rFonts w:ascii="Times New Roman" w:hAnsi="Times New Roman" w:cs="Times New Roman"/>
        </w:rPr>
        <w:t xml:space="preserve"> Injection upright in a radio-protective shield container at ambient room temperature until use.</w:t>
      </w:r>
    </w:p>
    <w:p w14:paraId="1E1E78FC" w14:textId="77777777" w:rsidR="00317A59" w:rsidRPr="00A34935" w:rsidRDefault="00317A59" w:rsidP="00317A59">
      <w:pPr>
        <w:pStyle w:val="ListParagraph"/>
        <w:numPr>
          <w:ilvl w:val="0"/>
          <w:numId w:val="26"/>
        </w:numPr>
        <w:spacing w:after="0" w:line="240" w:lineRule="auto"/>
        <w:rPr>
          <w:rFonts w:ascii="Times New Roman" w:hAnsi="Times New Roman" w:cs="Times New Roman"/>
        </w:rPr>
      </w:pPr>
      <w:r w:rsidRPr="00A34935">
        <w:rPr>
          <w:rFonts w:ascii="Times New Roman" w:hAnsi="Times New Roman" w:cs="Times New Roman"/>
        </w:rPr>
        <w:t>After transfer of the contents of Vial 1 (</w:t>
      </w:r>
      <w:r w:rsidR="00860CD4" w:rsidRPr="00860CD4">
        <w:rPr>
          <w:rFonts w:ascii="Times New Roman" w:hAnsi="Times New Roman" w:cs="Times New Roman"/>
        </w:rPr>
        <w:t>Glu-urea-Lys(</w:t>
      </w:r>
      <w:proofErr w:type="spellStart"/>
      <w:r w:rsidR="00860CD4" w:rsidRPr="00860CD4">
        <w:rPr>
          <w:rFonts w:ascii="Times New Roman" w:hAnsi="Times New Roman" w:cs="Times New Roman"/>
        </w:rPr>
        <w:t>ahx</w:t>
      </w:r>
      <w:proofErr w:type="spellEnd"/>
      <w:r w:rsidR="00860CD4" w:rsidRPr="00860CD4">
        <w:rPr>
          <w:rFonts w:ascii="Times New Roman" w:hAnsi="Times New Roman" w:cs="Times New Roman"/>
        </w:rPr>
        <w:t>)-</w:t>
      </w:r>
      <w:proofErr w:type="spellStart"/>
      <w:r w:rsidR="00860CD4" w:rsidRPr="00860CD4">
        <w:rPr>
          <w:rFonts w:ascii="Times New Roman" w:hAnsi="Times New Roman" w:cs="Times New Roman"/>
        </w:rPr>
        <w:t>hbed</w:t>
      </w:r>
      <w:proofErr w:type="spellEnd"/>
      <w:r w:rsidR="00860CD4" w:rsidRPr="00860CD4">
        <w:rPr>
          <w:rFonts w:ascii="Times New Roman" w:hAnsi="Times New Roman" w:cs="Times New Roman"/>
        </w:rPr>
        <w:t>-CC</w:t>
      </w:r>
      <w:r w:rsidRPr="00A34935">
        <w:rPr>
          <w:rFonts w:ascii="Times New Roman" w:hAnsi="Times New Roman" w:cs="Times New Roman"/>
        </w:rPr>
        <w:t xml:space="preserve"> in acetate buffer) into Vial 3 containing the Ga-68, use Ga-68 </w:t>
      </w:r>
      <w:r w:rsidR="00860CD4" w:rsidRPr="00860CD4">
        <w:rPr>
          <w:rFonts w:ascii="Times New Roman" w:hAnsi="Times New Roman" w:cs="Times New Roman"/>
        </w:rPr>
        <w:t>Glu-urea-Lys(</w:t>
      </w:r>
      <w:proofErr w:type="spellStart"/>
      <w:r w:rsidR="00860CD4" w:rsidRPr="00860CD4">
        <w:rPr>
          <w:rFonts w:ascii="Times New Roman" w:hAnsi="Times New Roman" w:cs="Times New Roman"/>
        </w:rPr>
        <w:t>ahx</w:t>
      </w:r>
      <w:proofErr w:type="spellEnd"/>
      <w:r w:rsidR="00860CD4" w:rsidRPr="00860CD4">
        <w:rPr>
          <w:rFonts w:ascii="Times New Roman" w:hAnsi="Times New Roman" w:cs="Times New Roman"/>
        </w:rPr>
        <w:t>)-</w:t>
      </w:r>
      <w:proofErr w:type="spellStart"/>
      <w:r w:rsidR="00860CD4" w:rsidRPr="00860CD4">
        <w:rPr>
          <w:rFonts w:ascii="Times New Roman" w:hAnsi="Times New Roman" w:cs="Times New Roman"/>
        </w:rPr>
        <w:t>hbed</w:t>
      </w:r>
      <w:proofErr w:type="spellEnd"/>
      <w:r w:rsidR="00860CD4" w:rsidRPr="00860CD4">
        <w:rPr>
          <w:rFonts w:ascii="Times New Roman" w:hAnsi="Times New Roman" w:cs="Times New Roman"/>
        </w:rPr>
        <w:t>-CC</w:t>
      </w:r>
      <w:r w:rsidRPr="00A34935">
        <w:rPr>
          <w:rFonts w:ascii="Times New Roman" w:hAnsi="Times New Roman" w:cs="Times New Roman"/>
        </w:rPr>
        <w:t xml:space="preserve"> Injection within 4 hours.  The final volume of the reconstituted product is 7.5 </w:t>
      </w:r>
      <w:proofErr w:type="spellStart"/>
      <w:r w:rsidRPr="00A34935">
        <w:rPr>
          <w:rFonts w:ascii="Times New Roman" w:hAnsi="Times New Roman" w:cs="Times New Roman"/>
        </w:rPr>
        <w:t>mL.</w:t>
      </w:r>
      <w:proofErr w:type="spellEnd"/>
    </w:p>
    <w:p w14:paraId="12141026" w14:textId="77777777" w:rsidR="000B3669" w:rsidRDefault="000B3669" w:rsidP="00317A59">
      <w:pPr>
        <w:rPr>
          <w:rFonts w:ascii="Times New Roman" w:eastAsia="TimesNewRoman" w:hAnsi="Times New Roman" w:cs="Times New Roman"/>
        </w:rPr>
      </w:pPr>
    </w:p>
    <w:p w14:paraId="26BC48EA"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 xml:space="preserve">Flow diagrams are provided for the radiosynthetic process to be followed at the </w:t>
      </w:r>
      <w:proofErr w:type="spellStart"/>
      <w:r w:rsidRPr="00A34935">
        <w:rPr>
          <w:rFonts w:ascii="Times New Roman" w:eastAsia="TimesNewRoman" w:hAnsi="Times New Roman" w:cs="Times New Roman"/>
        </w:rPr>
        <w:t>radiopharmacy</w:t>
      </w:r>
      <w:proofErr w:type="spellEnd"/>
      <w:r w:rsidRPr="00A34935">
        <w:rPr>
          <w:rFonts w:ascii="Times New Roman" w:eastAsia="TimesNewRoman" w:hAnsi="Times New Roman" w:cs="Times New Roman"/>
        </w:rPr>
        <w:t xml:space="preserve"> site for:</w:t>
      </w:r>
    </w:p>
    <w:p w14:paraId="2045FAF2" w14:textId="77777777" w:rsidR="00317A59" w:rsidRPr="00B30ADC" w:rsidRDefault="00317A59" w:rsidP="00317A59">
      <w:pPr>
        <w:pStyle w:val="ListParagraph"/>
        <w:numPr>
          <w:ilvl w:val="0"/>
          <w:numId w:val="15"/>
        </w:numPr>
        <w:spacing w:after="0" w:line="240" w:lineRule="auto"/>
        <w:rPr>
          <w:rFonts w:ascii="Times New Roman" w:eastAsia="TimesNewRoman" w:hAnsi="Times New Roman" w:cs="Times New Roman"/>
        </w:rPr>
      </w:pPr>
      <w:r w:rsidRPr="00B30ADC">
        <w:rPr>
          <w:rFonts w:ascii="Times New Roman" w:eastAsia="TimesNewRoman" w:hAnsi="Times New Roman" w:cs="Times New Roman"/>
        </w:rPr>
        <w:t>ILLUCCIX Configuration “A” when using Ga-68 prepared by cyclotron (</w:t>
      </w:r>
      <w:r w:rsidR="00A85732">
        <w:fldChar w:fldCharType="begin"/>
      </w:r>
      <w:r w:rsidR="00A85732">
        <w:instrText xml:space="preserve"> REF _Ref27567584 \h  \* MERGEFORMAT </w:instrText>
      </w:r>
      <w:r w:rsidR="00A85732">
        <w:fldChar w:fldCharType="separate"/>
      </w:r>
      <w:r w:rsidR="000B2A91" w:rsidRPr="000B2A91">
        <w:rPr>
          <w:rFonts w:ascii="Times New Roman" w:eastAsia="Batang" w:hAnsi="Times New Roman" w:cs="Times New Roman"/>
          <w:bCs/>
          <w:iCs/>
        </w:rPr>
        <w:t xml:space="preserve">Figure </w:t>
      </w:r>
      <w:r w:rsidR="000B2A91">
        <w:rPr>
          <w:rFonts w:ascii="Times New Roman" w:eastAsia="Batang" w:hAnsi="Times New Roman" w:cs="Times New Roman"/>
          <w:bCs/>
          <w:iCs/>
        </w:rPr>
        <w:t>1</w:t>
      </w:r>
      <w:r w:rsidR="00A85732">
        <w:fldChar w:fldCharType="end"/>
      </w:r>
      <w:r w:rsidRPr="00B30ADC">
        <w:rPr>
          <w:rFonts w:ascii="Times New Roman" w:eastAsia="TimesNewRoman" w:hAnsi="Times New Roman" w:cs="Times New Roman"/>
        </w:rPr>
        <w:t xml:space="preserve">) or </w:t>
      </w:r>
    </w:p>
    <w:p w14:paraId="37B8E9C2" w14:textId="77777777" w:rsidR="00317A59" w:rsidRPr="00B30ADC" w:rsidRDefault="00317A59" w:rsidP="00317A59">
      <w:pPr>
        <w:pStyle w:val="ListParagraph"/>
        <w:numPr>
          <w:ilvl w:val="0"/>
          <w:numId w:val="15"/>
        </w:numPr>
        <w:spacing w:after="0" w:line="240" w:lineRule="auto"/>
        <w:rPr>
          <w:rFonts w:ascii="Times New Roman" w:eastAsia="TimesNewRoman" w:hAnsi="Times New Roman" w:cs="Times New Roman"/>
        </w:rPr>
      </w:pPr>
      <w:r w:rsidRPr="00B30ADC">
        <w:rPr>
          <w:rFonts w:ascii="Times New Roman" w:eastAsia="TimesNewRoman" w:hAnsi="Times New Roman" w:cs="Times New Roman"/>
        </w:rPr>
        <w:t>ILLUCCIX Configurations “A” or “B” when using an indicated GMP-grade Ge 68/Ga-68 Generator (</w:t>
      </w:r>
      <w:r w:rsidR="00A85732">
        <w:fldChar w:fldCharType="begin"/>
      </w:r>
      <w:r w:rsidR="00A85732">
        <w:instrText xml:space="preserve"> REF _Ref27567628 \h  \* MERGEFORMAT </w:instrText>
      </w:r>
      <w:r w:rsidR="00A85732">
        <w:fldChar w:fldCharType="separate"/>
      </w:r>
      <w:r w:rsidR="000B2A91" w:rsidRPr="000B2A91">
        <w:rPr>
          <w:rFonts w:ascii="Times New Roman" w:eastAsia="Batang" w:hAnsi="Times New Roman" w:cs="Times New Roman"/>
          <w:bCs/>
          <w:iCs/>
        </w:rPr>
        <w:t xml:space="preserve">Figure </w:t>
      </w:r>
      <w:r w:rsidR="000B2A91">
        <w:rPr>
          <w:rFonts w:ascii="Times New Roman" w:eastAsia="Batang" w:hAnsi="Times New Roman" w:cs="Times New Roman"/>
          <w:bCs/>
          <w:iCs/>
        </w:rPr>
        <w:t>2</w:t>
      </w:r>
      <w:r w:rsidR="00A85732">
        <w:fldChar w:fldCharType="end"/>
      </w:r>
      <w:r w:rsidRPr="00B30ADC">
        <w:rPr>
          <w:rFonts w:ascii="Times New Roman" w:eastAsia="TimesNewRoman" w:hAnsi="Times New Roman" w:cs="Times New Roman"/>
        </w:rPr>
        <w:t xml:space="preserve">).  </w:t>
      </w:r>
    </w:p>
    <w:p w14:paraId="4BEC9B21" w14:textId="77777777" w:rsidR="00317A59" w:rsidRPr="00A34935" w:rsidRDefault="00317A59" w:rsidP="00317A59">
      <w:pPr>
        <w:rPr>
          <w:rFonts w:ascii="Times New Roman" w:eastAsia="TimesNewRoman" w:hAnsi="Times New Roman" w:cs="Times New Roman"/>
        </w:rPr>
      </w:pPr>
    </w:p>
    <w:p w14:paraId="4F083128" w14:textId="77777777" w:rsidR="00317A59" w:rsidRPr="00A34935" w:rsidRDefault="00317A59" w:rsidP="00317A59">
      <w:pPr>
        <w:pStyle w:val="Caption"/>
        <w:keepNext/>
        <w:spacing w:after="0" w:line="240" w:lineRule="auto"/>
        <w:rPr>
          <w:rFonts w:ascii="Times New Roman" w:eastAsia="Batang" w:hAnsi="Times New Roman" w:cs="Times New Roman"/>
          <w:bCs/>
          <w:iCs w:val="0"/>
          <w:sz w:val="22"/>
          <w:szCs w:val="22"/>
        </w:rPr>
      </w:pPr>
      <w:bookmarkStart w:id="8" w:name="_Ref27567584"/>
      <w:r w:rsidRPr="00A34935">
        <w:rPr>
          <w:rFonts w:ascii="Times New Roman" w:eastAsia="Batang" w:hAnsi="Times New Roman" w:cs="Times New Roman"/>
          <w:bCs/>
          <w:iCs w:val="0"/>
          <w:sz w:val="22"/>
          <w:szCs w:val="22"/>
        </w:rPr>
        <w:t xml:space="preserve">Figure </w:t>
      </w:r>
      <w:r w:rsidR="0097219B" w:rsidRPr="00A34935">
        <w:rPr>
          <w:rFonts w:ascii="Times New Roman" w:eastAsia="Batang" w:hAnsi="Times New Roman" w:cs="Times New Roman"/>
          <w:bCs/>
          <w:iCs w:val="0"/>
          <w:sz w:val="22"/>
          <w:szCs w:val="22"/>
        </w:rPr>
        <w:fldChar w:fldCharType="begin"/>
      </w:r>
      <w:r w:rsidRPr="00A34935">
        <w:rPr>
          <w:rFonts w:ascii="Times New Roman" w:eastAsia="Batang" w:hAnsi="Times New Roman" w:cs="Times New Roman"/>
          <w:bCs/>
          <w:iCs w:val="0"/>
          <w:sz w:val="22"/>
          <w:szCs w:val="22"/>
        </w:rPr>
        <w:instrText xml:space="preserve"> SEQ Figure \* ARABIC </w:instrText>
      </w:r>
      <w:r w:rsidR="0097219B" w:rsidRPr="00A34935">
        <w:rPr>
          <w:rFonts w:ascii="Times New Roman" w:eastAsia="Batang" w:hAnsi="Times New Roman" w:cs="Times New Roman"/>
          <w:bCs/>
          <w:iCs w:val="0"/>
          <w:sz w:val="22"/>
          <w:szCs w:val="22"/>
        </w:rPr>
        <w:fldChar w:fldCharType="separate"/>
      </w:r>
      <w:r w:rsidR="000B2A91">
        <w:rPr>
          <w:rFonts w:ascii="Times New Roman" w:eastAsia="Batang" w:hAnsi="Times New Roman" w:cs="Times New Roman"/>
          <w:bCs/>
          <w:iCs w:val="0"/>
          <w:noProof/>
          <w:sz w:val="22"/>
          <w:szCs w:val="22"/>
        </w:rPr>
        <w:t>1</w:t>
      </w:r>
      <w:r w:rsidR="0097219B" w:rsidRPr="00A34935">
        <w:rPr>
          <w:rFonts w:ascii="Times New Roman" w:eastAsia="Batang" w:hAnsi="Times New Roman" w:cs="Times New Roman"/>
          <w:bCs/>
          <w:iCs w:val="0"/>
          <w:sz w:val="22"/>
          <w:szCs w:val="22"/>
        </w:rPr>
        <w:fldChar w:fldCharType="end"/>
      </w:r>
      <w:bookmarkEnd w:id="8"/>
      <w:r w:rsidRPr="00A34935">
        <w:rPr>
          <w:rFonts w:ascii="Times New Roman" w:eastAsia="Batang" w:hAnsi="Times New Roman" w:cs="Times New Roman"/>
          <w:bCs/>
          <w:iCs w:val="0"/>
          <w:sz w:val="22"/>
          <w:szCs w:val="22"/>
        </w:rPr>
        <w:t>:</w:t>
      </w:r>
      <w:r w:rsidRPr="00A34935">
        <w:rPr>
          <w:rFonts w:ascii="Times New Roman" w:eastAsia="Batang" w:hAnsi="Times New Roman" w:cs="Times New Roman"/>
          <w:bCs/>
          <w:iCs w:val="0"/>
          <w:sz w:val="22"/>
          <w:szCs w:val="22"/>
        </w:rPr>
        <w:tab/>
      </w:r>
      <w:r w:rsidRPr="00A34935">
        <w:rPr>
          <w:rFonts w:ascii="Times New Roman" w:eastAsia="Batang" w:hAnsi="Times New Roman" w:cs="Times New Roman"/>
          <w:bCs/>
          <w:iCs w:val="0"/>
          <w:sz w:val="22"/>
          <w:szCs w:val="22"/>
        </w:rPr>
        <w:tab/>
        <w:t>Radiolabeling with Cyclotron-Produced Ga-68</w:t>
      </w:r>
    </w:p>
    <w:p w14:paraId="0852A227" w14:textId="77777777" w:rsidR="00317A59" w:rsidRPr="00A34935" w:rsidRDefault="00317A59" w:rsidP="00317A59">
      <w:pPr>
        <w:rPr>
          <w:rFonts w:ascii="Times New Roman" w:eastAsia="Times New Roman" w:hAnsi="Times New Roman" w:cs="Times New Roman"/>
          <w:b/>
        </w:rPr>
      </w:pPr>
      <w:r w:rsidRPr="00A34935">
        <w:rPr>
          <w:rFonts w:ascii="Times New Roman" w:eastAsia="Times New Roman" w:hAnsi="Times New Roman" w:cs="Times New Roman"/>
          <w:b/>
          <w:noProof/>
          <w:lang w:val="en-US"/>
        </w:rPr>
        <w:drawing>
          <wp:inline distT="0" distB="0" distL="0" distR="0" wp14:anchorId="209D8253" wp14:editId="559D5C47">
            <wp:extent cx="3343275" cy="5019675"/>
            <wp:effectExtent l="0" t="0" r="9525" b="952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343275" cy="5019675"/>
                    </a:xfrm>
                    <a:prstGeom prst="rect">
                      <a:avLst/>
                    </a:prstGeom>
                  </pic:spPr>
                </pic:pic>
              </a:graphicData>
            </a:graphic>
          </wp:inline>
        </w:drawing>
      </w:r>
    </w:p>
    <w:p w14:paraId="652364BE" w14:textId="77777777" w:rsidR="00317A59" w:rsidRPr="00A34935" w:rsidRDefault="00317A59" w:rsidP="00317A59">
      <w:pPr>
        <w:rPr>
          <w:rFonts w:ascii="Times New Roman" w:eastAsia="Times New Roman" w:hAnsi="Times New Roman" w:cs="Times New Roman"/>
          <w:bCs/>
        </w:rPr>
      </w:pPr>
      <w:r w:rsidRPr="00A34935">
        <w:rPr>
          <w:rFonts w:ascii="Times New Roman" w:eastAsia="Times New Roman" w:hAnsi="Times New Roman" w:cs="Times New Roman"/>
          <w:bCs/>
        </w:rPr>
        <w:t>Note: For use with “Configuration A” only</w:t>
      </w:r>
      <w:r w:rsidR="00B30ADC">
        <w:rPr>
          <w:rFonts w:ascii="Times New Roman" w:eastAsia="Times New Roman" w:hAnsi="Times New Roman" w:cs="Times New Roman"/>
          <w:bCs/>
        </w:rPr>
        <w:t>.</w:t>
      </w:r>
    </w:p>
    <w:p w14:paraId="19DCBE2B" w14:textId="77777777" w:rsidR="00317A59" w:rsidRPr="00A34935" w:rsidRDefault="00317A59" w:rsidP="00317A59">
      <w:pPr>
        <w:rPr>
          <w:rFonts w:ascii="Times New Roman" w:eastAsia="Times New Roman" w:hAnsi="Times New Roman" w:cs="Times New Roman"/>
          <w:b/>
        </w:rPr>
      </w:pPr>
      <w:r w:rsidRPr="00A34935">
        <w:rPr>
          <w:rFonts w:ascii="Times New Roman" w:eastAsia="Times New Roman" w:hAnsi="Times New Roman" w:cs="Times New Roman"/>
          <w:b/>
        </w:rPr>
        <w:br w:type="page"/>
      </w:r>
    </w:p>
    <w:p w14:paraId="447835BD" w14:textId="77777777" w:rsidR="00317A59" w:rsidRPr="00A34935" w:rsidRDefault="00317A59" w:rsidP="00317A59">
      <w:pPr>
        <w:pStyle w:val="Caption"/>
        <w:spacing w:after="0" w:line="240" w:lineRule="auto"/>
        <w:rPr>
          <w:rFonts w:ascii="Times New Roman" w:eastAsia="Batang" w:hAnsi="Times New Roman" w:cs="Times New Roman"/>
          <w:bCs/>
          <w:iCs w:val="0"/>
          <w:sz w:val="22"/>
          <w:szCs w:val="22"/>
        </w:rPr>
      </w:pPr>
      <w:bookmarkStart w:id="9" w:name="_Ref27567628"/>
      <w:r w:rsidRPr="00A34935">
        <w:rPr>
          <w:rFonts w:ascii="Times New Roman" w:eastAsia="Batang" w:hAnsi="Times New Roman" w:cs="Times New Roman"/>
          <w:bCs/>
          <w:iCs w:val="0"/>
          <w:sz w:val="22"/>
          <w:szCs w:val="22"/>
        </w:rPr>
        <w:lastRenderedPageBreak/>
        <w:t xml:space="preserve">Figure </w:t>
      </w:r>
      <w:r w:rsidR="0097219B" w:rsidRPr="00A34935">
        <w:rPr>
          <w:rFonts w:ascii="Times New Roman" w:eastAsia="Batang" w:hAnsi="Times New Roman" w:cs="Times New Roman"/>
          <w:bCs/>
          <w:iCs w:val="0"/>
          <w:sz w:val="22"/>
          <w:szCs w:val="22"/>
        </w:rPr>
        <w:fldChar w:fldCharType="begin"/>
      </w:r>
      <w:r w:rsidRPr="00A34935">
        <w:rPr>
          <w:rFonts w:ascii="Times New Roman" w:eastAsia="Batang" w:hAnsi="Times New Roman" w:cs="Times New Roman"/>
          <w:bCs/>
          <w:iCs w:val="0"/>
          <w:sz w:val="22"/>
          <w:szCs w:val="22"/>
        </w:rPr>
        <w:instrText xml:space="preserve"> SEQ Figure \* ARABIC </w:instrText>
      </w:r>
      <w:r w:rsidR="0097219B" w:rsidRPr="00A34935">
        <w:rPr>
          <w:rFonts w:ascii="Times New Roman" w:eastAsia="Batang" w:hAnsi="Times New Roman" w:cs="Times New Roman"/>
          <w:bCs/>
          <w:iCs w:val="0"/>
          <w:sz w:val="22"/>
          <w:szCs w:val="22"/>
        </w:rPr>
        <w:fldChar w:fldCharType="separate"/>
      </w:r>
      <w:r w:rsidR="000B2A91">
        <w:rPr>
          <w:rFonts w:ascii="Times New Roman" w:eastAsia="Batang" w:hAnsi="Times New Roman" w:cs="Times New Roman"/>
          <w:bCs/>
          <w:iCs w:val="0"/>
          <w:noProof/>
          <w:sz w:val="22"/>
          <w:szCs w:val="22"/>
        </w:rPr>
        <w:t>2</w:t>
      </w:r>
      <w:r w:rsidR="0097219B" w:rsidRPr="00A34935">
        <w:rPr>
          <w:rFonts w:ascii="Times New Roman" w:eastAsia="Batang" w:hAnsi="Times New Roman" w:cs="Times New Roman"/>
          <w:bCs/>
          <w:iCs w:val="0"/>
          <w:sz w:val="22"/>
          <w:szCs w:val="22"/>
        </w:rPr>
        <w:fldChar w:fldCharType="end"/>
      </w:r>
      <w:bookmarkEnd w:id="9"/>
      <w:r w:rsidRPr="00A34935">
        <w:rPr>
          <w:rFonts w:ascii="Times New Roman" w:eastAsia="Batang" w:hAnsi="Times New Roman" w:cs="Times New Roman"/>
          <w:bCs/>
          <w:iCs w:val="0"/>
          <w:sz w:val="22"/>
          <w:szCs w:val="22"/>
        </w:rPr>
        <w:t>:</w:t>
      </w:r>
      <w:r w:rsidRPr="00A34935">
        <w:rPr>
          <w:rFonts w:ascii="Times New Roman" w:eastAsia="Batang" w:hAnsi="Times New Roman" w:cs="Times New Roman"/>
          <w:bCs/>
          <w:iCs w:val="0"/>
          <w:sz w:val="22"/>
          <w:szCs w:val="22"/>
        </w:rPr>
        <w:tab/>
      </w:r>
      <w:r w:rsidRPr="00A34935">
        <w:rPr>
          <w:rFonts w:ascii="Times New Roman" w:eastAsia="Batang" w:hAnsi="Times New Roman" w:cs="Times New Roman"/>
          <w:bCs/>
          <w:iCs w:val="0"/>
          <w:sz w:val="22"/>
          <w:szCs w:val="22"/>
        </w:rPr>
        <w:tab/>
        <w:t>Radiolabeling with Ge 68/Ga-68 Generator</w:t>
      </w:r>
    </w:p>
    <w:p w14:paraId="52B25D64" w14:textId="77777777" w:rsidR="00317A59" w:rsidRPr="00A34935" w:rsidRDefault="00317A59" w:rsidP="00317A59">
      <w:pPr>
        <w:rPr>
          <w:rFonts w:ascii="Times New Roman" w:hAnsi="Times New Roman" w:cs="Times New Roman"/>
          <w:i/>
          <w:iCs/>
          <w:u w:val="single"/>
        </w:rPr>
      </w:pPr>
      <w:r w:rsidRPr="00A34935">
        <w:rPr>
          <w:rFonts w:ascii="Times New Roman" w:hAnsi="Times New Roman" w:cs="Times New Roman"/>
          <w:noProof/>
          <w:lang w:val="en-US"/>
        </w:rPr>
        <w:drawing>
          <wp:inline distT="0" distB="0" distL="0" distR="0" wp14:anchorId="10E9FD7E" wp14:editId="7BAE7B40">
            <wp:extent cx="5143500" cy="4114800"/>
            <wp:effectExtent l="0" t="0" r="0" b="0"/>
            <wp:docPr id="6" name="Picture 6"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143500" cy="4114800"/>
                    </a:xfrm>
                    <a:prstGeom prst="rect">
                      <a:avLst/>
                    </a:prstGeom>
                  </pic:spPr>
                </pic:pic>
              </a:graphicData>
            </a:graphic>
          </wp:inline>
        </w:drawing>
      </w:r>
    </w:p>
    <w:p w14:paraId="1FB594FB" w14:textId="77777777" w:rsidR="00317A59" w:rsidRPr="00A34935" w:rsidRDefault="00317A59" w:rsidP="00317A59">
      <w:pPr>
        <w:rPr>
          <w:rFonts w:ascii="Times New Roman" w:hAnsi="Times New Roman" w:cs="Times New Roman"/>
        </w:rPr>
      </w:pPr>
      <w:r w:rsidRPr="00A34935">
        <w:rPr>
          <w:rFonts w:ascii="Times New Roman" w:hAnsi="Times New Roman" w:cs="Times New Roman"/>
        </w:rPr>
        <w:t xml:space="preserve">Note: Use “Configuration A” with </w:t>
      </w:r>
      <w:proofErr w:type="spellStart"/>
      <w:r w:rsidRPr="00A34935">
        <w:rPr>
          <w:rFonts w:ascii="Times New Roman" w:eastAsia="TimesNewRoman" w:hAnsi="Times New Roman" w:cs="Times New Roman"/>
        </w:rPr>
        <w:t>GalliaPharm</w:t>
      </w:r>
      <w:proofErr w:type="spellEnd"/>
      <w:r w:rsidRPr="00A34935">
        <w:rPr>
          <w:rFonts w:ascii="Times New Roman" w:eastAsia="TimesNewRoman" w:hAnsi="Times New Roman" w:cs="Times New Roman"/>
        </w:rPr>
        <w:t xml:space="preserve">® Ge 68/Ga-68 generator.  Use “Configuration B” with IRE Galli </w:t>
      </w:r>
      <w:proofErr w:type="spellStart"/>
      <w:r w:rsidRPr="00A34935">
        <w:rPr>
          <w:rFonts w:ascii="Times New Roman" w:eastAsia="TimesNewRoman" w:hAnsi="Times New Roman" w:cs="Times New Roman"/>
        </w:rPr>
        <w:t>Eo</w:t>
      </w:r>
      <w:proofErr w:type="spellEnd"/>
      <w:r w:rsidRPr="00A34935">
        <w:rPr>
          <w:rFonts w:ascii="Times New Roman" w:eastAsia="TimesNewRoman" w:hAnsi="Times New Roman" w:cs="Times New Roman"/>
          <w:vertAlign w:val="superscript"/>
        </w:rPr>
        <w:t>®</w:t>
      </w:r>
      <w:r w:rsidRPr="00A34935">
        <w:rPr>
          <w:rFonts w:ascii="Times New Roman" w:eastAsia="TimesNewRoman" w:hAnsi="Times New Roman" w:cs="Times New Roman"/>
        </w:rPr>
        <w:t xml:space="preserve"> Ge 68/Ga-68 generator</w:t>
      </w:r>
      <w:r w:rsidR="00B30ADC">
        <w:rPr>
          <w:rFonts w:ascii="Times New Roman" w:eastAsia="TimesNewRoman" w:hAnsi="Times New Roman" w:cs="Times New Roman"/>
        </w:rPr>
        <w:t>.</w:t>
      </w:r>
    </w:p>
    <w:p w14:paraId="142117E2" w14:textId="77777777" w:rsidR="00317A59" w:rsidRPr="00A34935" w:rsidRDefault="00317A59" w:rsidP="00B30ADC">
      <w:pPr>
        <w:pStyle w:val="Heading3"/>
      </w:pPr>
      <w:bookmarkStart w:id="10" w:name="_Toc48568582"/>
      <w:r w:rsidRPr="00A34935">
        <w:t>Specifications and Quality Control</w:t>
      </w:r>
      <w:bookmarkEnd w:id="10"/>
    </w:p>
    <w:p w14:paraId="549E0381"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 xml:space="preserve">Perform the quality </w:t>
      </w:r>
      <w:r w:rsidRPr="00B30ADC">
        <w:rPr>
          <w:rFonts w:ascii="Times New Roman" w:eastAsia="TimesNewRoman" w:hAnsi="Times New Roman" w:cs="Times New Roman"/>
        </w:rPr>
        <w:t xml:space="preserve">controls in </w:t>
      </w:r>
      <w:r w:rsidR="0097219B">
        <w:rPr>
          <w:rFonts w:ascii="Times New Roman" w:eastAsia="TimesNewRoman" w:hAnsi="Times New Roman" w:cs="Times New Roman"/>
        </w:rPr>
        <w:fldChar w:fldCharType="begin"/>
      </w:r>
      <w:r w:rsidR="00583626">
        <w:rPr>
          <w:rFonts w:ascii="Times New Roman" w:eastAsia="TimesNewRoman" w:hAnsi="Times New Roman" w:cs="Times New Roman"/>
        </w:rPr>
        <w:instrText xml:space="preserve"> REF _Ref27569032 \h </w:instrText>
      </w:r>
      <w:r w:rsidR="0097219B">
        <w:rPr>
          <w:rFonts w:ascii="Times New Roman" w:eastAsia="TimesNewRoman" w:hAnsi="Times New Roman" w:cs="Times New Roman"/>
        </w:rPr>
      </w:r>
      <w:r w:rsidR="0097219B">
        <w:rPr>
          <w:rFonts w:ascii="Times New Roman" w:eastAsia="TimesNewRoman" w:hAnsi="Times New Roman" w:cs="Times New Roman"/>
        </w:rPr>
        <w:fldChar w:fldCharType="separate"/>
      </w:r>
      <w:r w:rsidR="0001020D" w:rsidRPr="00A34935">
        <w:rPr>
          <w:rFonts w:ascii="Times New Roman" w:eastAsia="Batang" w:hAnsi="Times New Roman" w:cs="Times New Roman"/>
          <w:bCs/>
          <w:iCs/>
        </w:rPr>
        <w:t xml:space="preserve">Table </w:t>
      </w:r>
      <w:r w:rsidR="0001020D">
        <w:rPr>
          <w:rFonts w:ascii="Times New Roman" w:eastAsia="Batang" w:hAnsi="Times New Roman" w:cs="Times New Roman"/>
          <w:bCs/>
          <w:iCs/>
          <w:noProof/>
        </w:rPr>
        <w:t>4</w:t>
      </w:r>
      <w:r w:rsidR="0097219B">
        <w:rPr>
          <w:rFonts w:ascii="Times New Roman" w:eastAsia="TimesNewRoman" w:hAnsi="Times New Roman" w:cs="Times New Roman"/>
        </w:rPr>
        <w:fldChar w:fldCharType="end"/>
      </w:r>
      <w:r w:rsidRPr="00B30ADC">
        <w:rPr>
          <w:rFonts w:ascii="Times New Roman" w:eastAsia="TimesNewRoman" w:hAnsi="Times New Roman" w:cs="Times New Roman"/>
        </w:rPr>
        <w:t xml:space="preserve">behind a lead </w:t>
      </w:r>
      <w:r w:rsidRPr="00A34935">
        <w:rPr>
          <w:rFonts w:ascii="Times New Roman" w:eastAsia="TimesNewRoman" w:hAnsi="Times New Roman" w:cs="Times New Roman"/>
        </w:rPr>
        <w:t>glass shield for radioprotection purposes.</w:t>
      </w:r>
    </w:p>
    <w:p w14:paraId="4CF953DD" w14:textId="77777777" w:rsidR="00317A59" w:rsidRPr="00A34935" w:rsidRDefault="00317A59" w:rsidP="00317A59">
      <w:pPr>
        <w:pStyle w:val="Caption"/>
        <w:spacing w:after="0" w:line="240" w:lineRule="auto"/>
        <w:rPr>
          <w:rFonts w:ascii="Times New Roman" w:eastAsia="Batang" w:hAnsi="Times New Roman" w:cs="Times New Roman"/>
          <w:bCs/>
          <w:iCs w:val="0"/>
          <w:sz w:val="22"/>
          <w:szCs w:val="22"/>
        </w:rPr>
      </w:pPr>
      <w:bookmarkStart w:id="11" w:name="_Ref27569032"/>
      <w:r w:rsidRPr="00A34935">
        <w:rPr>
          <w:rFonts w:ascii="Times New Roman" w:eastAsia="Batang" w:hAnsi="Times New Roman" w:cs="Times New Roman"/>
          <w:bCs/>
          <w:iCs w:val="0"/>
          <w:sz w:val="22"/>
          <w:szCs w:val="22"/>
        </w:rPr>
        <w:t xml:space="preserve">Table </w:t>
      </w:r>
      <w:r w:rsidR="0097219B" w:rsidRPr="00A34935">
        <w:rPr>
          <w:rFonts w:ascii="Times New Roman" w:eastAsia="Batang" w:hAnsi="Times New Roman" w:cs="Times New Roman"/>
          <w:bCs/>
          <w:iCs w:val="0"/>
          <w:sz w:val="22"/>
          <w:szCs w:val="22"/>
        </w:rPr>
        <w:fldChar w:fldCharType="begin"/>
      </w:r>
      <w:r w:rsidRPr="00A34935">
        <w:rPr>
          <w:rFonts w:ascii="Times New Roman" w:eastAsia="Batang" w:hAnsi="Times New Roman" w:cs="Times New Roman"/>
          <w:bCs/>
          <w:iCs w:val="0"/>
          <w:sz w:val="22"/>
          <w:szCs w:val="22"/>
        </w:rPr>
        <w:instrText xml:space="preserve"> SEQ Table \* ARABIC </w:instrText>
      </w:r>
      <w:r w:rsidR="0097219B" w:rsidRPr="00A34935">
        <w:rPr>
          <w:rFonts w:ascii="Times New Roman" w:eastAsia="Batang" w:hAnsi="Times New Roman" w:cs="Times New Roman"/>
          <w:bCs/>
          <w:iCs w:val="0"/>
          <w:sz w:val="22"/>
          <w:szCs w:val="22"/>
        </w:rPr>
        <w:fldChar w:fldCharType="separate"/>
      </w:r>
      <w:r w:rsidR="001378C5">
        <w:rPr>
          <w:rFonts w:ascii="Times New Roman" w:eastAsia="Batang" w:hAnsi="Times New Roman" w:cs="Times New Roman"/>
          <w:bCs/>
          <w:iCs w:val="0"/>
          <w:noProof/>
          <w:sz w:val="22"/>
          <w:szCs w:val="22"/>
        </w:rPr>
        <w:t>4</w:t>
      </w:r>
      <w:r w:rsidR="0097219B" w:rsidRPr="00A34935">
        <w:rPr>
          <w:rFonts w:ascii="Times New Roman" w:eastAsia="Batang" w:hAnsi="Times New Roman" w:cs="Times New Roman"/>
          <w:bCs/>
          <w:iCs w:val="0"/>
          <w:sz w:val="22"/>
          <w:szCs w:val="22"/>
        </w:rPr>
        <w:fldChar w:fldCharType="end"/>
      </w:r>
      <w:bookmarkEnd w:id="11"/>
      <w:r w:rsidRPr="00A34935">
        <w:rPr>
          <w:rFonts w:ascii="Times New Roman" w:eastAsia="Batang" w:hAnsi="Times New Roman" w:cs="Times New Roman"/>
          <w:bCs/>
          <w:iCs w:val="0"/>
          <w:sz w:val="22"/>
          <w:szCs w:val="22"/>
        </w:rPr>
        <w:t>:</w:t>
      </w:r>
      <w:r w:rsidR="0020472F">
        <w:rPr>
          <w:rFonts w:ascii="Times New Roman" w:eastAsia="Batang" w:hAnsi="Times New Roman" w:cs="Times New Roman"/>
          <w:bCs/>
          <w:iCs w:val="0"/>
          <w:sz w:val="22"/>
          <w:szCs w:val="22"/>
        </w:rPr>
        <w:t xml:space="preserve"> </w:t>
      </w:r>
      <w:r w:rsidRPr="00A34935">
        <w:rPr>
          <w:rFonts w:ascii="Times New Roman" w:eastAsia="Batang" w:hAnsi="Times New Roman" w:cs="Times New Roman"/>
          <w:bCs/>
          <w:iCs w:val="0"/>
          <w:sz w:val="22"/>
          <w:szCs w:val="22"/>
        </w:rPr>
        <w:t xml:space="preserve">Specifications for the Radiolabeled Imaging Product (Ga-68 </w:t>
      </w:r>
      <w:r w:rsidR="00860CD4" w:rsidRPr="00860CD4">
        <w:rPr>
          <w:rFonts w:ascii="Times New Roman" w:eastAsia="Batang" w:hAnsi="Times New Roman" w:cs="Times New Roman"/>
          <w:bCs/>
          <w:iCs w:val="0"/>
          <w:sz w:val="22"/>
          <w:szCs w:val="22"/>
        </w:rPr>
        <w:t>Glu-urea-Lys(</w:t>
      </w:r>
      <w:proofErr w:type="spellStart"/>
      <w:r w:rsidR="00860CD4" w:rsidRPr="00860CD4">
        <w:rPr>
          <w:rFonts w:ascii="Times New Roman" w:eastAsia="Batang" w:hAnsi="Times New Roman" w:cs="Times New Roman"/>
          <w:bCs/>
          <w:iCs w:val="0"/>
          <w:sz w:val="22"/>
          <w:szCs w:val="22"/>
        </w:rPr>
        <w:t>ahx</w:t>
      </w:r>
      <w:proofErr w:type="spellEnd"/>
      <w:r w:rsidR="00860CD4" w:rsidRPr="00860CD4">
        <w:rPr>
          <w:rFonts w:ascii="Times New Roman" w:eastAsia="Batang" w:hAnsi="Times New Roman" w:cs="Times New Roman"/>
          <w:bCs/>
          <w:iCs w:val="0"/>
          <w:sz w:val="22"/>
          <w:szCs w:val="22"/>
        </w:rPr>
        <w:t>)-</w:t>
      </w:r>
      <w:proofErr w:type="spellStart"/>
      <w:r w:rsidR="00860CD4" w:rsidRPr="00860CD4">
        <w:rPr>
          <w:rFonts w:ascii="Times New Roman" w:eastAsia="Batang" w:hAnsi="Times New Roman" w:cs="Times New Roman"/>
          <w:bCs/>
          <w:iCs w:val="0"/>
          <w:sz w:val="22"/>
          <w:szCs w:val="22"/>
        </w:rPr>
        <w:t>hbed</w:t>
      </w:r>
      <w:proofErr w:type="spellEnd"/>
      <w:r w:rsidR="00860CD4" w:rsidRPr="00860CD4">
        <w:rPr>
          <w:rFonts w:ascii="Times New Roman" w:eastAsia="Batang" w:hAnsi="Times New Roman" w:cs="Times New Roman"/>
          <w:bCs/>
          <w:iCs w:val="0"/>
          <w:sz w:val="22"/>
          <w:szCs w:val="22"/>
        </w:rPr>
        <w:t>-CC</w:t>
      </w:r>
      <w:r w:rsidRPr="00A34935">
        <w:rPr>
          <w:rFonts w:ascii="Times New Roman" w:eastAsia="Batang" w:hAnsi="Times New Roman" w:cs="Times New Roman"/>
          <w:bCs/>
          <w:iCs w:val="0"/>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3775"/>
        <w:gridCol w:w="2340"/>
        <w:gridCol w:w="3349"/>
      </w:tblGrid>
      <w:tr w:rsidR="00317A59" w:rsidRPr="00A34935" w14:paraId="1820A365" w14:textId="77777777" w:rsidTr="007C6C9A">
        <w:trPr>
          <w:cantSplit/>
          <w:tblHeader/>
        </w:trPr>
        <w:tc>
          <w:tcPr>
            <w:tcW w:w="3775" w:type="dxa"/>
            <w:shd w:val="clear" w:color="auto" w:fill="auto"/>
          </w:tcPr>
          <w:p w14:paraId="1413239F" w14:textId="77777777" w:rsidR="00317A59" w:rsidRPr="00A34935" w:rsidRDefault="00317A59" w:rsidP="007C6C9A">
            <w:pPr>
              <w:pStyle w:val="TableHeader"/>
              <w:keepNext/>
              <w:rPr>
                <w:rFonts w:cs="Times New Roman"/>
              </w:rPr>
            </w:pPr>
            <w:r w:rsidRPr="00A34935">
              <w:rPr>
                <w:rFonts w:cs="Times New Roman"/>
              </w:rPr>
              <w:t>Test</w:t>
            </w:r>
          </w:p>
        </w:tc>
        <w:tc>
          <w:tcPr>
            <w:tcW w:w="2340" w:type="dxa"/>
            <w:shd w:val="clear" w:color="auto" w:fill="auto"/>
          </w:tcPr>
          <w:p w14:paraId="3D4A588A" w14:textId="77777777" w:rsidR="00317A59" w:rsidRPr="00A34935" w:rsidRDefault="00317A59" w:rsidP="007C6C9A">
            <w:pPr>
              <w:pStyle w:val="TableHeader"/>
              <w:keepNext/>
              <w:rPr>
                <w:rFonts w:cs="Times New Roman"/>
              </w:rPr>
            </w:pPr>
            <w:r w:rsidRPr="00A34935">
              <w:rPr>
                <w:rFonts w:cs="Times New Roman"/>
              </w:rPr>
              <w:t>Analytical method</w:t>
            </w:r>
          </w:p>
        </w:tc>
        <w:tc>
          <w:tcPr>
            <w:tcW w:w="3349" w:type="dxa"/>
            <w:shd w:val="clear" w:color="auto" w:fill="auto"/>
          </w:tcPr>
          <w:p w14:paraId="68336E70" w14:textId="77777777" w:rsidR="00317A59" w:rsidRPr="00A34935" w:rsidRDefault="00317A59" w:rsidP="007C6C9A">
            <w:pPr>
              <w:pStyle w:val="TableHeader"/>
              <w:keepNext/>
              <w:rPr>
                <w:rFonts w:cs="Times New Roman"/>
              </w:rPr>
            </w:pPr>
            <w:r w:rsidRPr="00A34935">
              <w:rPr>
                <w:rFonts w:cs="Times New Roman"/>
              </w:rPr>
              <w:t>Acceptance criteria</w:t>
            </w:r>
          </w:p>
        </w:tc>
      </w:tr>
      <w:tr w:rsidR="00317A59" w:rsidRPr="00A34935" w14:paraId="183A336C" w14:textId="77777777" w:rsidTr="007C6C9A">
        <w:trPr>
          <w:cantSplit/>
        </w:trPr>
        <w:tc>
          <w:tcPr>
            <w:tcW w:w="3775" w:type="dxa"/>
            <w:shd w:val="clear" w:color="auto" w:fill="auto"/>
          </w:tcPr>
          <w:p w14:paraId="372911F7" w14:textId="77777777" w:rsidR="00317A59" w:rsidRPr="00A34935" w:rsidRDefault="00317A59" w:rsidP="007C6C9A">
            <w:pPr>
              <w:pStyle w:val="TableEntry"/>
              <w:keepNext/>
              <w:rPr>
                <w:rFonts w:cs="Times New Roman"/>
              </w:rPr>
            </w:pPr>
            <w:r w:rsidRPr="00A34935">
              <w:rPr>
                <w:rFonts w:cs="Times New Roman"/>
              </w:rPr>
              <w:t>Appearance</w:t>
            </w:r>
          </w:p>
        </w:tc>
        <w:tc>
          <w:tcPr>
            <w:tcW w:w="2340" w:type="dxa"/>
            <w:shd w:val="clear" w:color="auto" w:fill="auto"/>
          </w:tcPr>
          <w:p w14:paraId="3DA2F404" w14:textId="77777777" w:rsidR="00317A59" w:rsidRPr="00A34935" w:rsidRDefault="00317A59" w:rsidP="007C6C9A">
            <w:pPr>
              <w:pStyle w:val="TableEntry"/>
              <w:keepNext/>
              <w:rPr>
                <w:rFonts w:cs="Times New Roman"/>
              </w:rPr>
            </w:pPr>
            <w:r w:rsidRPr="00A34935">
              <w:rPr>
                <w:rFonts w:cs="Times New Roman"/>
              </w:rPr>
              <w:t>Visual examination</w:t>
            </w:r>
          </w:p>
        </w:tc>
        <w:tc>
          <w:tcPr>
            <w:tcW w:w="3349" w:type="dxa"/>
            <w:shd w:val="clear" w:color="auto" w:fill="auto"/>
          </w:tcPr>
          <w:p w14:paraId="2F781BA4" w14:textId="77777777" w:rsidR="00317A59" w:rsidRPr="00A34935" w:rsidRDefault="00317A59" w:rsidP="007C6C9A">
            <w:pPr>
              <w:pStyle w:val="TableEntry"/>
              <w:keepNext/>
              <w:rPr>
                <w:rFonts w:cs="Times New Roman"/>
              </w:rPr>
            </w:pPr>
            <w:r w:rsidRPr="00A34935">
              <w:rPr>
                <w:rFonts w:cs="Times New Roman"/>
              </w:rPr>
              <w:t>Colorless to slightly yellow solution</w:t>
            </w:r>
          </w:p>
          <w:p w14:paraId="2DC9226B" w14:textId="77777777" w:rsidR="00317A59" w:rsidRPr="00A34935" w:rsidRDefault="00317A59" w:rsidP="007C6C9A">
            <w:pPr>
              <w:pStyle w:val="TableEntry"/>
              <w:keepNext/>
              <w:rPr>
                <w:rFonts w:cs="Times New Roman"/>
              </w:rPr>
            </w:pPr>
            <w:r w:rsidRPr="00A34935">
              <w:rPr>
                <w:rFonts w:cs="Times New Roman"/>
              </w:rPr>
              <w:t>Free from visible particles</w:t>
            </w:r>
          </w:p>
        </w:tc>
      </w:tr>
      <w:tr w:rsidR="00317A59" w:rsidRPr="00A34935" w14:paraId="2224C788" w14:textId="77777777" w:rsidTr="007C6C9A">
        <w:trPr>
          <w:cantSplit/>
        </w:trPr>
        <w:tc>
          <w:tcPr>
            <w:tcW w:w="3775" w:type="dxa"/>
            <w:shd w:val="clear" w:color="auto" w:fill="auto"/>
          </w:tcPr>
          <w:p w14:paraId="0BD373D4" w14:textId="77777777" w:rsidR="00317A59" w:rsidRPr="00A34935" w:rsidRDefault="00317A59" w:rsidP="007C6C9A">
            <w:pPr>
              <w:pStyle w:val="TableEntry"/>
              <w:keepNext/>
              <w:rPr>
                <w:rFonts w:cs="Times New Roman"/>
              </w:rPr>
            </w:pPr>
            <w:r w:rsidRPr="00A34935">
              <w:rPr>
                <w:rFonts w:cs="Times New Roman"/>
              </w:rPr>
              <w:t>pH</w:t>
            </w:r>
          </w:p>
        </w:tc>
        <w:tc>
          <w:tcPr>
            <w:tcW w:w="2340" w:type="dxa"/>
            <w:shd w:val="clear" w:color="auto" w:fill="auto"/>
          </w:tcPr>
          <w:p w14:paraId="4A0F4B54" w14:textId="77777777" w:rsidR="00317A59" w:rsidRPr="00A34935" w:rsidRDefault="00317A59" w:rsidP="007C6C9A">
            <w:pPr>
              <w:pStyle w:val="TableEntry"/>
              <w:keepNext/>
              <w:rPr>
                <w:rFonts w:cs="Times New Roman"/>
              </w:rPr>
            </w:pPr>
            <w:r w:rsidRPr="00A34935">
              <w:rPr>
                <w:rFonts w:cs="Times New Roman"/>
              </w:rPr>
              <w:t>pH-meter or pH-strips</w:t>
            </w:r>
          </w:p>
        </w:tc>
        <w:tc>
          <w:tcPr>
            <w:tcW w:w="3349" w:type="dxa"/>
            <w:shd w:val="clear" w:color="auto" w:fill="auto"/>
          </w:tcPr>
          <w:p w14:paraId="47C9C203" w14:textId="77777777" w:rsidR="00317A59" w:rsidRPr="00A34935" w:rsidRDefault="00317A59" w:rsidP="007C6C9A">
            <w:pPr>
              <w:pStyle w:val="TableEntry"/>
              <w:keepNext/>
              <w:rPr>
                <w:rFonts w:cs="Times New Roman"/>
              </w:rPr>
            </w:pPr>
            <w:r w:rsidRPr="00A34935">
              <w:rPr>
                <w:rFonts w:cs="Times New Roman"/>
              </w:rPr>
              <w:t>4.0 to 5.0</w:t>
            </w:r>
          </w:p>
        </w:tc>
      </w:tr>
      <w:tr w:rsidR="00317A59" w:rsidRPr="00A34935" w14:paraId="74762FAE" w14:textId="77777777" w:rsidTr="007C6C9A">
        <w:trPr>
          <w:cantSplit/>
        </w:trPr>
        <w:tc>
          <w:tcPr>
            <w:tcW w:w="3775" w:type="dxa"/>
            <w:shd w:val="clear" w:color="auto" w:fill="auto"/>
          </w:tcPr>
          <w:p w14:paraId="78076918" w14:textId="77777777" w:rsidR="00317A59" w:rsidRPr="00A34935" w:rsidRDefault="00317A59" w:rsidP="007C6C9A">
            <w:pPr>
              <w:pStyle w:val="TableEntry"/>
              <w:rPr>
                <w:rFonts w:cs="Times New Roman"/>
              </w:rPr>
            </w:pPr>
            <w:r w:rsidRPr="00A34935">
              <w:rPr>
                <w:rFonts w:cs="Times New Roman"/>
              </w:rPr>
              <w:t>Radiochemical purity</w:t>
            </w:r>
          </w:p>
          <w:p w14:paraId="4F57C2DE" w14:textId="77777777" w:rsidR="00317A59" w:rsidRPr="00A34935" w:rsidRDefault="00317A59" w:rsidP="00317A59">
            <w:pPr>
              <w:pStyle w:val="TableEntry"/>
              <w:numPr>
                <w:ilvl w:val="0"/>
                <w:numId w:val="14"/>
              </w:numPr>
              <w:ind w:left="285" w:hanging="270"/>
              <w:rPr>
                <w:rFonts w:cs="Times New Roman"/>
              </w:rPr>
            </w:pPr>
            <w:r w:rsidRPr="00A34935">
              <w:rPr>
                <w:rFonts w:cs="Times New Roman"/>
              </w:rPr>
              <w:t xml:space="preserve">Content of Ga-68 </w:t>
            </w:r>
            <w:r w:rsidR="00860CD4" w:rsidRPr="00860CD4">
              <w:rPr>
                <w:rFonts w:cs="Times New Roman"/>
              </w:rPr>
              <w:t>Glu-urea-Lys(</w:t>
            </w:r>
            <w:proofErr w:type="spellStart"/>
            <w:r w:rsidR="00860CD4" w:rsidRPr="00860CD4">
              <w:rPr>
                <w:rFonts w:cs="Times New Roman"/>
              </w:rPr>
              <w:t>ahx</w:t>
            </w:r>
            <w:proofErr w:type="spellEnd"/>
            <w:r w:rsidR="00860CD4" w:rsidRPr="00860CD4">
              <w:rPr>
                <w:rFonts w:cs="Times New Roman"/>
              </w:rPr>
              <w:t>)-</w:t>
            </w:r>
            <w:proofErr w:type="spellStart"/>
            <w:r w:rsidR="00860CD4" w:rsidRPr="00860CD4">
              <w:rPr>
                <w:rFonts w:cs="Times New Roman"/>
              </w:rPr>
              <w:t>hbed</w:t>
            </w:r>
            <w:proofErr w:type="spellEnd"/>
            <w:r w:rsidR="00860CD4" w:rsidRPr="00860CD4">
              <w:rPr>
                <w:rFonts w:cs="Times New Roman"/>
              </w:rPr>
              <w:t>-CC</w:t>
            </w:r>
          </w:p>
          <w:p w14:paraId="74DB8FF1" w14:textId="77777777" w:rsidR="00317A59" w:rsidRPr="00A34935" w:rsidRDefault="00317A59" w:rsidP="00317A59">
            <w:pPr>
              <w:pStyle w:val="TableEntry"/>
              <w:numPr>
                <w:ilvl w:val="0"/>
                <w:numId w:val="14"/>
              </w:numPr>
              <w:ind w:left="285" w:hanging="270"/>
              <w:rPr>
                <w:rFonts w:cs="Times New Roman"/>
              </w:rPr>
            </w:pPr>
            <w:r w:rsidRPr="00A34935">
              <w:rPr>
                <w:rFonts w:cs="Times New Roman"/>
              </w:rPr>
              <w:t>Content of free and colloidal Ga-68</w:t>
            </w:r>
          </w:p>
        </w:tc>
        <w:tc>
          <w:tcPr>
            <w:tcW w:w="2340" w:type="dxa"/>
            <w:shd w:val="clear" w:color="auto" w:fill="auto"/>
          </w:tcPr>
          <w:p w14:paraId="262E13D4" w14:textId="77777777" w:rsidR="00317A59" w:rsidRPr="00A34935" w:rsidRDefault="00317A59" w:rsidP="007C6C9A">
            <w:pPr>
              <w:pStyle w:val="TableEntry"/>
              <w:rPr>
                <w:rFonts w:cs="Times New Roman"/>
              </w:rPr>
            </w:pPr>
            <w:r w:rsidRPr="00A34935">
              <w:rPr>
                <w:rFonts w:cs="Times New Roman"/>
              </w:rPr>
              <w:t>Instant thin-layer chromatography, silica gel (</w:t>
            </w:r>
            <w:proofErr w:type="spellStart"/>
            <w:r w:rsidRPr="00A34935">
              <w:rPr>
                <w:rFonts w:cs="Times New Roman"/>
              </w:rPr>
              <w:t>iTLC</w:t>
            </w:r>
            <w:proofErr w:type="spellEnd"/>
            <w:r w:rsidRPr="00A34935">
              <w:rPr>
                <w:rFonts w:cs="Times New Roman"/>
              </w:rPr>
              <w:t xml:space="preserve"> SG);</w:t>
            </w:r>
            <w:r w:rsidRPr="00A34935">
              <w:rPr>
                <w:rFonts w:cs="Times New Roman"/>
              </w:rPr>
              <w:br/>
              <w:t>See methods below</w:t>
            </w:r>
          </w:p>
        </w:tc>
        <w:tc>
          <w:tcPr>
            <w:tcW w:w="3349" w:type="dxa"/>
            <w:shd w:val="clear" w:color="auto" w:fill="auto"/>
          </w:tcPr>
          <w:p w14:paraId="50BB687B" w14:textId="77777777" w:rsidR="00317A59" w:rsidRPr="00A34935" w:rsidRDefault="00317A59" w:rsidP="007C6C9A">
            <w:pPr>
              <w:pStyle w:val="TableEntry"/>
              <w:rPr>
                <w:rFonts w:cs="Times New Roman"/>
              </w:rPr>
            </w:pPr>
          </w:p>
          <w:p w14:paraId="40A426ED" w14:textId="77777777" w:rsidR="00317A59" w:rsidRPr="00A34935" w:rsidRDefault="00317A59" w:rsidP="007C6C9A">
            <w:pPr>
              <w:pStyle w:val="TableEntry"/>
              <w:rPr>
                <w:rFonts w:cs="Times New Roman"/>
              </w:rPr>
            </w:pPr>
            <w:r w:rsidRPr="00A34935">
              <w:rPr>
                <w:rFonts w:cs="Times New Roman"/>
              </w:rPr>
              <w:t>≥95%</w:t>
            </w:r>
            <w:r w:rsidRPr="00A34935">
              <w:rPr>
                <w:rFonts w:cs="Times New Roman"/>
              </w:rPr>
              <w:br/>
              <w:t>≤5%</w:t>
            </w:r>
          </w:p>
        </w:tc>
      </w:tr>
    </w:tbl>
    <w:p w14:paraId="75102164" w14:textId="77777777" w:rsidR="00317A59" w:rsidRPr="00A34935" w:rsidRDefault="00317A59" w:rsidP="00317A59">
      <w:pPr>
        <w:rPr>
          <w:rFonts w:ascii="Times New Roman" w:hAnsi="Times New Roman" w:cs="Times New Roman"/>
        </w:rPr>
      </w:pPr>
    </w:p>
    <w:p w14:paraId="06DDEAD9"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Perform the following:</w:t>
      </w:r>
    </w:p>
    <w:p w14:paraId="0A874181" w14:textId="77777777" w:rsidR="00317A59" w:rsidRPr="00A34935" w:rsidRDefault="00317A59" w:rsidP="00317A59">
      <w:pPr>
        <w:pStyle w:val="ListParagraph"/>
        <w:numPr>
          <w:ilvl w:val="0"/>
          <w:numId w:val="27"/>
        </w:numPr>
        <w:spacing w:after="0" w:line="240" w:lineRule="auto"/>
        <w:rPr>
          <w:rFonts w:ascii="Times New Roman" w:eastAsia="TimesNewRoman" w:hAnsi="Times New Roman" w:cs="Times New Roman"/>
        </w:rPr>
      </w:pPr>
      <w:r w:rsidRPr="00A34935">
        <w:rPr>
          <w:rFonts w:ascii="Times New Roman" w:eastAsia="TimesNewRoman" w:hAnsi="Times New Roman" w:cs="Times New Roman"/>
        </w:rPr>
        <w:lastRenderedPageBreak/>
        <w:t>Pour ammonium acetate 1M/methanol (1/1 V/V) solution to a depth of 3 to 4 mm in the developing chamber, cover the chamber and allow it to equilibrate.</w:t>
      </w:r>
    </w:p>
    <w:p w14:paraId="01E8ADF6" w14:textId="77777777" w:rsidR="00317A59" w:rsidRPr="00A34935" w:rsidRDefault="00317A59" w:rsidP="00317A59">
      <w:pPr>
        <w:pStyle w:val="ListParagraph"/>
        <w:numPr>
          <w:ilvl w:val="0"/>
          <w:numId w:val="27"/>
        </w:numPr>
        <w:spacing w:after="0" w:line="240" w:lineRule="auto"/>
        <w:rPr>
          <w:rFonts w:ascii="Times New Roman" w:eastAsia="TimesNewRoman" w:hAnsi="Times New Roman" w:cs="Times New Roman"/>
        </w:rPr>
      </w:pPr>
      <w:r w:rsidRPr="00A34935">
        <w:rPr>
          <w:rFonts w:ascii="Times New Roman" w:eastAsia="TimesNewRoman" w:hAnsi="Times New Roman" w:cs="Times New Roman"/>
        </w:rPr>
        <w:t xml:space="preserve">Apply a drop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on a pencil line at 1 cm of the bottom of the </w:t>
      </w:r>
      <w:proofErr w:type="spellStart"/>
      <w:r w:rsidRPr="00A34935">
        <w:rPr>
          <w:rFonts w:ascii="Times New Roman" w:eastAsia="TimesNewRoman" w:hAnsi="Times New Roman" w:cs="Times New Roman"/>
        </w:rPr>
        <w:t>iTLC</w:t>
      </w:r>
      <w:proofErr w:type="spellEnd"/>
      <w:r w:rsidRPr="00A34935">
        <w:rPr>
          <w:rFonts w:ascii="Times New Roman" w:eastAsia="TimesNewRoman" w:hAnsi="Times New Roman" w:cs="Times New Roman"/>
        </w:rPr>
        <w:t xml:space="preserve"> strip.</w:t>
      </w:r>
    </w:p>
    <w:p w14:paraId="56665D67" w14:textId="77777777" w:rsidR="00317A59" w:rsidRPr="00A34935" w:rsidRDefault="00317A59" w:rsidP="00317A59">
      <w:pPr>
        <w:pStyle w:val="ListParagraph"/>
        <w:numPr>
          <w:ilvl w:val="0"/>
          <w:numId w:val="27"/>
        </w:numPr>
        <w:spacing w:after="0" w:line="240" w:lineRule="auto"/>
        <w:rPr>
          <w:rFonts w:ascii="Times New Roman" w:eastAsia="TimesNewRoman" w:hAnsi="Times New Roman" w:cs="Times New Roman"/>
        </w:rPr>
      </w:pPr>
      <w:r w:rsidRPr="00A34935">
        <w:rPr>
          <w:rFonts w:ascii="Times New Roman" w:eastAsia="TimesNewRoman" w:hAnsi="Times New Roman" w:cs="Times New Roman"/>
        </w:rPr>
        <w:t xml:space="preserve">Place the </w:t>
      </w:r>
      <w:proofErr w:type="spellStart"/>
      <w:r w:rsidRPr="00A34935">
        <w:rPr>
          <w:rFonts w:ascii="Times New Roman" w:eastAsia="TimesNewRoman" w:hAnsi="Times New Roman" w:cs="Times New Roman"/>
        </w:rPr>
        <w:t>iTLC</w:t>
      </w:r>
      <w:proofErr w:type="spellEnd"/>
      <w:r w:rsidRPr="00A34935">
        <w:rPr>
          <w:rFonts w:ascii="Times New Roman" w:eastAsia="TimesNewRoman" w:hAnsi="Times New Roman" w:cs="Times New Roman"/>
        </w:rPr>
        <w:t xml:space="preserve"> strip in the developing chamber and allow it to develop for </w:t>
      </w:r>
      <w:proofErr w:type="gramStart"/>
      <w:r w:rsidRPr="00A34935">
        <w:rPr>
          <w:rFonts w:ascii="Times New Roman" w:eastAsia="TimesNewRoman" w:hAnsi="Times New Roman" w:cs="Times New Roman"/>
        </w:rPr>
        <w:t>a distance of 10</w:t>
      </w:r>
      <w:proofErr w:type="gramEnd"/>
      <w:r w:rsidRPr="00A34935">
        <w:rPr>
          <w:rFonts w:ascii="Times New Roman" w:eastAsia="TimesNewRoman" w:hAnsi="Times New Roman" w:cs="Times New Roman"/>
        </w:rPr>
        <w:t xml:space="preserve"> cm from the point of application.</w:t>
      </w:r>
    </w:p>
    <w:p w14:paraId="301A2A9D" w14:textId="77777777" w:rsidR="00317A59" w:rsidRPr="00A34935" w:rsidRDefault="00317A59" w:rsidP="00317A59">
      <w:pPr>
        <w:pStyle w:val="ListParagraph"/>
        <w:numPr>
          <w:ilvl w:val="0"/>
          <w:numId w:val="27"/>
        </w:numPr>
        <w:spacing w:after="0" w:line="240" w:lineRule="auto"/>
        <w:rPr>
          <w:rFonts w:ascii="Times New Roman" w:eastAsia="TimesNewRoman" w:hAnsi="Times New Roman" w:cs="Times New Roman"/>
        </w:rPr>
      </w:pPr>
      <w:r w:rsidRPr="00A34935">
        <w:rPr>
          <w:rFonts w:ascii="Times New Roman" w:eastAsia="TimesNewRoman" w:hAnsi="Times New Roman" w:cs="Times New Roman"/>
        </w:rPr>
        <w:t>Cutting technique</w:t>
      </w:r>
    </w:p>
    <w:p w14:paraId="76E18C9E" w14:textId="77777777" w:rsidR="00317A59" w:rsidRPr="00A34935" w:rsidRDefault="00317A59" w:rsidP="00317A59">
      <w:pPr>
        <w:pStyle w:val="ListParagraph"/>
        <w:numPr>
          <w:ilvl w:val="0"/>
          <w:numId w:val="16"/>
        </w:numPr>
        <w:spacing w:after="0" w:line="240" w:lineRule="auto"/>
        <w:rPr>
          <w:rFonts w:ascii="Times New Roman" w:eastAsia="TimesNewRoman" w:hAnsi="Times New Roman" w:cs="Times New Roman"/>
        </w:rPr>
      </w:pPr>
      <w:r w:rsidRPr="00A34935">
        <w:rPr>
          <w:rFonts w:ascii="Times New Roman" w:eastAsia="TimesNewRoman" w:hAnsi="Times New Roman" w:cs="Times New Roman"/>
        </w:rPr>
        <w:t xml:space="preserve">Cut the </w:t>
      </w:r>
      <w:proofErr w:type="spellStart"/>
      <w:r w:rsidRPr="00A34935">
        <w:rPr>
          <w:rFonts w:ascii="Times New Roman" w:eastAsia="TimesNewRoman" w:hAnsi="Times New Roman" w:cs="Times New Roman"/>
        </w:rPr>
        <w:t>iTLC</w:t>
      </w:r>
      <w:proofErr w:type="spellEnd"/>
      <w:r w:rsidRPr="00A34935">
        <w:rPr>
          <w:rFonts w:ascii="Times New Roman" w:eastAsia="TimesNewRoman" w:hAnsi="Times New Roman" w:cs="Times New Roman"/>
        </w:rPr>
        <w:t xml:space="preserve"> strip following the dotted line and measure each piece with the radioactivity dose calibrator.</w:t>
      </w:r>
    </w:p>
    <w:p w14:paraId="45DC8375" w14:textId="77777777" w:rsidR="00317A59" w:rsidRPr="00A34935" w:rsidRDefault="00317A59" w:rsidP="00317A59">
      <w:pPr>
        <w:pStyle w:val="ListParagraph"/>
        <w:numPr>
          <w:ilvl w:val="0"/>
          <w:numId w:val="16"/>
        </w:numPr>
        <w:spacing w:after="0" w:line="240" w:lineRule="auto"/>
        <w:rPr>
          <w:rFonts w:ascii="Times New Roman" w:eastAsia="TimesNewRoman" w:hAnsi="Times New Roman" w:cs="Times New Roman"/>
        </w:rPr>
      </w:pPr>
      <w:r w:rsidRPr="00A34935">
        <w:rPr>
          <w:rFonts w:ascii="Times New Roman" w:eastAsia="TimesNewRoman" w:hAnsi="Times New Roman" w:cs="Times New Roman"/>
        </w:rPr>
        <w:t xml:space="preserve">Calculate the quantity (in percent)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in the solution using the formula:</w:t>
      </w:r>
    </w:p>
    <w:p w14:paraId="37ABF54C" w14:textId="77777777" w:rsidR="00317A59" w:rsidRPr="00A34935" w:rsidRDefault="00317A59" w:rsidP="00317A59">
      <w:pPr>
        <w:rPr>
          <w:rFonts w:ascii="Times New Roman" w:eastAsiaTheme="minorEastAsia" w:hAnsi="Times New Roman" w:cs="Times New Roman"/>
        </w:rPr>
      </w:pPr>
      <w:r>
        <w:rPr>
          <w:rFonts w:ascii="Cambria Math" w:eastAsia="TimesNewRoman" w:hAnsi="Cambria Math" w:cs="Times New Roman"/>
        </w:rPr>
        <w:br/>
      </w:r>
      <m:oMathPara>
        <m:oMath>
          <m:r>
            <w:rPr>
              <w:rFonts w:ascii="Cambria Math" w:hAnsi="Cambria Math" w:cs="Times New Roman"/>
            </w:rPr>
            <m:t>% Ga-68 PSMA-11=</m:t>
          </m:r>
          <m:f>
            <m:fPr>
              <m:ctrlPr>
                <w:rPr>
                  <w:rFonts w:ascii="Cambria Math" w:hAnsi="Cambria Math" w:cs="Times New Roman"/>
                  <w:i/>
                </w:rPr>
              </m:ctrlPr>
            </m:fPr>
            <m:num>
              <m:r>
                <w:rPr>
                  <w:rFonts w:ascii="Cambria Math" w:hAnsi="Cambria Math" w:cs="Times New Roman"/>
                </w:rPr>
                <m:t>Activity top piece</m:t>
              </m:r>
            </m:num>
            <m:den>
              <m:r>
                <w:rPr>
                  <w:rFonts w:ascii="Cambria Math" w:hAnsi="Cambria Math" w:cs="Times New Roman"/>
                </w:rPr>
                <m:t>Activity bottom piece+Activity top piece</m:t>
              </m:r>
            </m:den>
          </m:f>
          <m:r>
            <w:rPr>
              <w:rFonts w:ascii="Cambria Math" w:hAnsi="Cambria Math" w:cs="Times New Roman"/>
            </w:rPr>
            <m:t xml:space="preserve"> ×100</m:t>
          </m:r>
        </m:oMath>
      </m:oMathPara>
    </w:p>
    <w:p w14:paraId="5AEE3D9F" w14:textId="77777777" w:rsidR="00317A59" w:rsidRPr="00A34935" w:rsidRDefault="00317A59" w:rsidP="00317A59">
      <w:pPr>
        <w:pStyle w:val="ListParagraph"/>
        <w:numPr>
          <w:ilvl w:val="0"/>
          <w:numId w:val="27"/>
        </w:numPr>
        <w:spacing w:after="0" w:line="240" w:lineRule="auto"/>
        <w:rPr>
          <w:rFonts w:ascii="Times New Roman" w:hAnsi="Times New Roman" w:cs="Times New Roman"/>
        </w:rPr>
      </w:pPr>
      <w:r w:rsidRPr="00A34935">
        <w:rPr>
          <w:rFonts w:ascii="Times New Roman" w:hAnsi="Times New Roman" w:cs="Times New Roman"/>
        </w:rPr>
        <w:t xml:space="preserve">Scan the </w:t>
      </w:r>
      <w:proofErr w:type="spellStart"/>
      <w:r w:rsidRPr="00A34935">
        <w:rPr>
          <w:rFonts w:ascii="Times New Roman" w:hAnsi="Times New Roman" w:cs="Times New Roman"/>
        </w:rPr>
        <w:t>iTLC</w:t>
      </w:r>
      <w:proofErr w:type="spellEnd"/>
      <w:r w:rsidRPr="00A34935">
        <w:rPr>
          <w:rFonts w:ascii="Times New Roman" w:hAnsi="Times New Roman" w:cs="Times New Roman"/>
        </w:rPr>
        <w:t xml:space="preserve"> with a radiometric </w:t>
      </w:r>
      <w:proofErr w:type="spellStart"/>
      <w:r w:rsidRPr="00A34935">
        <w:rPr>
          <w:rFonts w:ascii="Times New Roman" w:hAnsi="Times New Roman" w:cs="Times New Roman"/>
        </w:rPr>
        <w:t>iTLC</w:t>
      </w:r>
      <w:proofErr w:type="spellEnd"/>
      <w:r w:rsidRPr="00A34935">
        <w:rPr>
          <w:rFonts w:ascii="Times New Roman" w:hAnsi="Times New Roman" w:cs="Times New Roman"/>
        </w:rPr>
        <w:t xml:space="preserve"> scanner.</w:t>
      </w:r>
    </w:p>
    <w:p w14:paraId="00BEF4E0" w14:textId="77777777" w:rsidR="00317A59" w:rsidRPr="00A34935" w:rsidRDefault="00317A59" w:rsidP="00317A59">
      <w:pPr>
        <w:pStyle w:val="ListParagraph"/>
        <w:numPr>
          <w:ilvl w:val="0"/>
          <w:numId w:val="17"/>
        </w:numPr>
        <w:spacing w:after="0" w:line="240" w:lineRule="auto"/>
        <w:rPr>
          <w:rFonts w:ascii="Times New Roman" w:eastAsia="TimesNewRoman" w:hAnsi="Times New Roman" w:cs="Times New Roman"/>
        </w:rPr>
      </w:pPr>
      <w:r w:rsidRPr="00A34935">
        <w:rPr>
          <w:rFonts w:ascii="Times New Roman" w:hAnsi="Times New Roman" w:cs="Times New Roman"/>
        </w:rPr>
        <w:t xml:space="preserve">Calculate the </w:t>
      </w:r>
      <w:r w:rsidRPr="00A34935">
        <w:rPr>
          <w:rFonts w:ascii="Times New Roman" w:eastAsia="TimesNewRoman" w:hAnsi="Times New Roman" w:cs="Times New Roman"/>
        </w:rPr>
        <w:t xml:space="preserve">quantity (in percent)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in the solution by integration of the peaks on the chromatogram.</w:t>
      </w:r>
    </w:p>
    <w:p w14:paraId="38C4EF5F" w14:textId="77777777" w:rsidR="00317A59" w:rsidRPr="00A34935" w:rsidRDefault="00317A59" w:rsidP="00317A59">
      <w:pPr>
        <w:pStyle w:val="ListParagraph"/>
        <w:numPr>
          <w:ilvl w:val="0"/>
          <w:numId w:val="17"/>
        </w:numPr>
        <w:spacing w:after="0" w:line="240" w:lineRule="auto"/>
        <w:rPr>
          <w:rFonts w:ascii="Times New Roman" w:eastAsia="TimesNewRoman" w:hAnsi="Times New Roman" w:cs="Times New Roman"/>
        </w:rPr>
      </w:pPr>
      <w:r w:rsidRPr="00A34935">
        <w:rPr>
          <w:rFonts w:ascii="Times New Roman" w:hAnsi="Times New Roman" w:cs="Times New Roman"/>
        </w:rPr>
        <w:t>The retention factor (Rf) specifications are:</w:t>
      </w:r>
    </w:p>
    <w:p w14:paraId="761FD99D" w14:textId="77777777" w:rsidR="00317A59" w:rsidRPr="00A34935" w:rsidRDefault="00317A59" w:rsidP="00317A59">
      <w:pPr>
        <w:ind w:left="1368" w:firstLine="72"/>
        <w:rPr>
          <w:rFonts w:ascii="Times New Roman" w:hAnsi="Times New Roman" w:cs="Times New Roman"/>
        </w:rPr>
      </w:pPr>
      <w:r w:rsidRPr="00A34935">
        <w:rPr>
          <w:rFonts w:ascii="Times New Roman" w:hAnsi="Times New Roman" w:cs="Times New Roman"/>
        </w:rPr>
        <w:t xml:space="preserve">Free and colloidal Ga-68 species, Rf = 0 to 0.1, </w:t>
      </w:r>
    </w:p>
    <w:p w14:paraId="3EEC59FD" w14:textId="77777777" w:rsidR="00317A59" w:rsidRPr="00A34935" w:rsidRDefault="00317A59" w:rsidP="00317A59">
      <w:pPr>
        <w:ind w:left="1368" w:firstLine="72"/>
        <w:rPr>
          <w:rFonts w:ascii="Times New Roman" w:eastAsia="TimesNewRoman" w:hAnsi="Times New Roman" w:cs="Times New Roman"/>
        </w:rPr>
      </w:pPr>
      <w:r w:rsidRPr="00A34935">
        <w:rPr>
          <w:rFonts w:ascii="Times New Roman" w:hAnsi="Times New Roman" w:cs="Times New Roman"/>
        </w:rPr>
        <w:t xml:space="preserve">Ga-68 </w:t>
      </w:r>
      <w:r w:rsidR="00860CD4" w:rsidRPr="00860CD4">
        <w:rPr>
          <w:rFonts w:ascii="Times New Roman" w:hAnsi="Times New Roman" w:cs="Times New Roman"/>
        </w:rPr>
        <w:t>Glu-urea-Lys(</w:t>
      </w:r>
      <w:proofErr w:type="spellStart"/>
      <w:r w:rsidR="00860CD4" w:rsidRPr="00860CD4">
        <w:rPr>
          <w:rFonts w:ascii="Times New Roman" w:hAnsi="Times New Roman" w:cs="Times New Roman"/>
        </w:rPr>
        <w:t>ahx</w:t>
      </w:r>
      <w:proofErr w:type="spellEnd"/>
      <w:r w:rsidR="00860CD4" w:rsidRPr="00860CD4">
        <w:rPr>
          <w:rFonts w:ascii="Times New Roman" w:hAnsi="Times New Roman" w:cs="Times New Roman"/>
        </w:rPr>
        <w:t>)-</w:t>
      </w:r>
      <w:proofErr w:type="spellStart"/>
      <w:r w:rsidR="00860CD4" w:rsidRPr="00860CD4">
        <w:rPr>
          <w:rFonts w:ascii="Times New Roman" w:hAnsi="Times New Roman" w:cs="Times New Roman"/>
        </w:rPr>
        <w:t>hbed</w:t>
      </w:r>
      <w:proofErr w:type="spellEnd"/>
      <w:r w:rsidR="00860CD4" w:rsidRPr="00860CD4">
        <w:rPr>
          <w:rFonts w:ascii="Times New Roman" w:hAnsi="Times New Roman" w:cs="Times New Roman"/>
        </w:rPr>
        <w:t>-CC</w:t>
      </w:r>
      <w:r w:rsidRPr="00A34935">
        <w:rPr>
          <w:rFonts w:ascii="Times New Roman" w:hAnsi="Times New Roman" w:cs="Times New Roman"/>
        </w:rPr>
        <w:t>, Rf = 0.6 to 1</w:t>
      </w:r>
      <w:r w:rsidRPr="00A34935">
        <w:rPr>
          <w:rFonts w:ascii="Times New Roman" w:eastAsia="TimesNewRoman" w:hAnsi="Times New Roman" w:cs="Times New Roman"/>
        </w:rPr>
        <w:t>.</w:t>
      </w:r>
    </w:p>
    <w:p w14:paraId="0C4525CA" w14:textId="77777777" w:rsidR="00317A59" w:rsidRPr="00A34935" w:rsidRDefault="00317A59" w:rsidP="00B30ADC">
      <w:pPr>
        <w:pStyle w:val="Heading3"/>
      </w:pPr>
      <w:bookmarkStart w:id="12" w:name="_Toc48568583"/>
      <w:r w:rsidRPr="00A34935">
        <w:t>Administration</w:t>
      </w:r>
      <w:bookmarkEnd w:id="12"/>
    </w:p>
    <w:p w14:paraId="53C778EB" w14:textId="77777777" w:rsidR="008B3F8B" w:rsidRDefault="008C0DDD" w:rsidP="00317A59">
      <w:pPr>
        <w:rPr>
          <w:rFonts w:ascii="Times New Roman" w:eastAsia="TimesNewRoman" w:hAnsi="Times New Roman" w:cs="Times New Roman"/>
        </w:rPr>
      </w:pPr>
      <w:r w:rsidRPr="008C0DDD">
        <w:rPr>
          <w:rFonts w:ascii="Times New Roman" w:eastAsia="TimesNewRoman" w:hAnsi="Times New Roman" w:cs="Times New Roman"/>
        </w:rPr>
        <w:t xml:space="preserve">The vial containing the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8C0DDD">
        <w:rPr>
          <w:rFonts w:ascii="Times New Roman" w:eastAsia="TimesNewRoman" w:hAnsi="Times New Roman" w:cs="Times New Roman"/>
        </w:rPr>
        <w:t xml:space="preserve"> solution is intended for multi-use.</w:t>
      </w:r>
      <w:r w:rsidR="0020472F">
        <w:rPr>
          <w:rFonts w:ascii="Times New Roman" w:eastAsia="TimesNewRoman" w:hAnsi="Times New Roman" w:cs="Times New Roman"/>
        </w:rPr>
        <w:t xml:space="preserve"> </w:t>
      </w:r>
      <w:r w:rsidR="00317A59" w:rsidRPr="00A34935">
        <w:rPr>
          <w:rFonts w:ascii="Times New Roman" w:eastAsia="TimesNewRoman" w:hAnsi="Times New Roman" w:cs="Times New Roman"/>
        </w:rPr>
        <w:t xml:space="preserve">Prior to use, visually inspect the prepared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00317A59" w:rsidRPr="00A34935">
        <w:rPr>
          <w:rFonts w:ascii="Times New Roman" w:eastAsia="TimesNewRoman" w:hAnsi="Times New Roman" w:cs="Times New Roman"/>
        </w:rPr>
        <w:t xml:space="preserve"> behind a shielded screen for radioprotection purposes.  Only use solutions that are clear, colo</w:t>
      </w:r>
      <w:r>
        <w:rPr>
          <w:rFonts w:ascii="Times New Roman" w:eastAsia="TimesNewRoman" w:hAnsi="Times New Roman" w:cs="Times New Roman"/>
        </w:rPr>
        <w:t>u</w:t>
      </w:r>
      <w:r w:rsidR="00317A59" w:rsidRPr="00A34935">
        <w:rPr>
          <w:rFonts w:ascii="Times New Roman" w:eastAsia="TimesNewRoman" w:hAnsi="Times New Roman" w:cs="Times New Roman"/>
        </w:rPr>
        <w:t>rless or at most slightly yellow, and without visible particles.  Use a single-dose syringe fitted with a sterile needle and protective shielding</w:t>
      </w:r>
      <w:r w:rsidR="0020472F">
        <w:rPr>
          <w:rFonts w:ascii="Times New Roman" w:eastAsia="TimesNewRoman" w:hAnsi="Times New Roman" w:cs="Times New Roman"/>
        </w:rPr>
        <w:t xml:space="preserve"> </w:t>
      </w:r>
      <w:r w:rsidRPr="008C0DDD">
        <w:rPr>
          <w:rFonts w:ascii="Times New Roman" w:eastAsia="TimesNewRoman" w:hAnsi="Times New Roman" w:cs="Times New Roman"/>
        </w:rPr>
        <w:t>for each dose</w:t>
      </w:r>
      <w:r>
        <w:rPr>
          <w:rFonts w:ascii="Times New Roman" w:eastAsia="TimesNewRoman" w:hAnsi="Times New Roman" w:cs="Times New Roman"/>
        </w:rPr>
        <w:t>.</w:t>
      </w:r>
      <w:r w:rsidR="0020472F">
        <w:rPr>
          <w:rFonts w:ascii="Times New Roman" w:eastAsia="TimesNewRoman" w:hAnsi="Times New Roman" w:cs="Times New Roman"/>
        </w:rPr>
        <w:t xml:space="preserve"> </w:t>
      </w:r>
      <w:r>
        <w:rPr>
          <w:rFonts w:ascii="Times New Roman" w:eastAsia="TimesNewRoman" w:hAnsi="Times New Roman" w:cs="Times New Roman"/>
        </w:rPr>
        <w:t>A</w:t>
      </w:r>
      <w:r w:rsidR="00317A59" w:rsidRPr="00A34935">
        <w:rPr>
          <w:rFonts w:ascii="Times New Roman" w:eastAsia="TimesNewRoman" w:hAnsi="Times New Roman" w:cs="Times New Roman"/>
        </w:rPr>
        <w:t xml:space="preserve">septically withdraw the prepared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00317A59" w:rsidRPr="00A34935">
        <w:rPr>
          <w:rFonts w:ascii="Times New Roman" w:eastAsia="TimesNewRoman" w:hAnsi="Times New Roman" w:cs="Times New Roman"/>
        </w:rPr>
        <w:t xml:space="preserve"> prior to administration.  Measure the total radioactivity in the syringe by a dose calibrator immediately prior to administration.  The dose calibrator must be calibrated with the National Institute of Standards and Technology (NIST) traceable standards.</w:t>
      </w:r>
    </w:p>
    <w:p w14:paraId="2676B49A" w14:textId="77777777" w:rsidR="00317A59" w:rsidRPr="00A34935" w:rsidRDefault="008B3F8B" w:rsidP="00317A59">
      <w:pPr>
        <w:rPr>
          <w:rFonts w:ascii="Times New Roman" w:eastAsia="TimesNewRoman" w:hAnsi="Times New Roman" w:cs="Times New Roman"/>
        </w:rPr>
      </w:pPr>
      <w:r w:rsidRPr="008B3F8B">
        <w:rPr>
          <w:rFonts w:ascii="Times New Roman" w:eastAsia="TimesNewRoman" w:hAnsi="Times New Roman" w:cs="Times New Roman"/>
        </w:rPr>
        <w:t xml:space="preserve">If repeated withdrawals are made, the replacement of the contents of the vial with air should be minimized, and separate syringes must be used for each patient. </w:t>
      </w:r>
      <w:r w:rsidR="00317A59" w:rsidRPr="00A34935">
        <w:rPr>
          <w:rFonts w:ascii="Times New Roman" w:eastAsia="TimesNewRoman" w:hAnsi="Times New Roman" w:cs="Times New Roman"/>
        </w:rPr>
        <w:t xml:space="preserve">  </w:t>
      </w:r>
    </w:p>
    <w:p w14:paraId="32FB3AA2"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Handle and dispose of any unused drug in accordance with applicable regulations.</w:t>
      </w:r>
    </w:p>
    <w:p w14:paraId="6B0525A7" w14:textId="77777777" w:rsidR="00317A59" w:rsidRPr="00A34935" w:rsidRDefault="00317A59" w:rsidP="00B30ADC">
      <w:pPr>
        <w:pStyle w:val="Heading3"/>
      </w:pPr>
      <w:bookmarkStart w:id="13" w:name="_Toc48568584"/>
      <w:r w:rsidRPr="00A34935">
        <w:t>Image Acquisition</w:t>
      </w:r>
      <w:bookmarkEnd w:id="13"/>
    </w:p>
    <w:p w14:paraId="3F82587A"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 xml:space="preserve">Position the patient supine with arms above the head.  Begin PET scanning approximately 60 minutes after the intravenous administration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It is recommended that image acquisition should include a whole-body acquisition from the top of the skull through mid-thigh, with the acquisition beginning at mid-thigh.  Adapt imaging acquisition delay and duration according to the equipment used, and the patient and </w:t>
      </w:r>
      <w:proofErr w:type="spellStart"/>
      <w:r w:rsidRPr="00A34935">
        <w:rPr>
          <w:rFonts w:ascii="Times New Roman" w:eastAsia="TimesNewRoman" w:hAnsi="Times New Roman" w:cs="Times New Roman"/>
        </w:rPr>
        <w:t>tumor</w:t>
      </w:r>
      <w:proofErr w:type="spellEnd"/>
      <w:r w:rsidRPr="00A34935">
        <w:rPr>
          <w:rFonts w:ascii="Times New Roman" w:eastAsia="TimesNewRoman" w:hAnsi="Times New Roman" w:cs="Times New Roman"/>
        </w:rPr>
        <w:t xml:space="preserve"> characteristics, to obtain the best image quality possible. </w:t>
      </w:r>
    </w:p>
    <w:p w14:paraId="06890DE0" w14:textId="77777777" w:rsidR="00317A59" w:rsidRPr="00A34935" w:rsidRDefault="00317A59" w:rsidP="00B30ADC">
      <w:pPr>
        <w:pStyle w:val="Heading3"/>
      </w:pPr>
      <w:bookmarkStart w:id="14" w:name="_Toc48568585"/>
      <w:r w:rsidRPr="00A34935">
        <w:t>Image Interpretation</w:t>
      </w:r>
      <w:bookmarkEnd w:id="14"/>
    </w:p>
    <w:p w14:paraId="52E5FDC6" w14:textId="77777777" w:rsidR="00745F40" w:rsidRPr="00A91E1E" w:rsidRDefault="00745F40" w:rsidP="00745F40">
      <w:pPr>
        <w:rPr>
          <w:rFonts w:ascii="Times New Roman" w:eastAsia="TimesNewRoman" w:hAnsi="Times New Roman" w:cs="Times New Roman"/>
        </w:rPr>
      </w:pPr>
      <w:r w:rsidRPr="00A34935">
        <w:rPr>
          <w:rFonts w:ascii="Times New Roman" w:eastAsia="TimesNewRoman" w:hAnsi="Times New Roman" w:cs="Times New Roman"/>
        </w:rPr>
        <w:lastRenderedPageBreak/>
        <w:t xml:space="preserve">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w:t>
      </w:r>
      <w:r w:rsidRPr="00B30ADC">
        <w:rPr>
          <w:rFonts w:ascii="Times New Roman" w:eastAsia="TimesNewRoman" w:hAnsi="Times New Roman" w:cs="Times New Roman"/>
        </w:rPr>
        <w:t xml:space="preserve">binds to the Prostate Specific Membrane Antigen (PSMA).  </w:t>
      </w:r>
      <w:r>
        <w:rPr>
          <w:rFonts w:ascii="Times New Roman" w:eastAsia="TimesNewRoman" w:hAnsi="Times New Roman" w:cs="Times New Roman"/>
        </w:rPr>
        <w:t xml:space="preserve">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91E1E">
        <w:rPr>
          <w:rFonts w:ascii="Times New Roman" w:eastAsia="TimesNewRoman" w:hAnsi="Times New Roman" w:cs="Times New Roman"/>
        </w:rPr>
        <w:t xml:space="preserve"> images should be interpreted by appropriately t</w:t>
      </w:r>
      <w:r>
        <w:rPr>
          <w:rFonts w:ascii="Times New Roman" w:eastAsia="TimesNewRoman" w:hAnsi="Times New Roman" w:cs="Times New Roman"/>
        </w:rPr>
        <w:t xml:space="preserve">rained personnel. PET/CT images </w:t>
      </w:r>
      <w:r w:rsidRPr="00A91E1E">
        <w:rPr>
          <w:rFonts w:ascii="Times New Roman" w:eastAsia="TimesNewRoman" w:hAnsi="Times New Roman" w:cs="Times New Roman"/>
        </w:rPr>
        <w:t xml:space="preserve">with </w:t>
      </w:r>
      <w:r>
        <w:rPr>
          <w:rFonts w:ascii="Times New Roman" w:eastAsia="TimesNewRoman" w:hAnsi="Times New Roman" w:cs="Times New Roman"/>
        </w:rPr>
        <w:t>Ga-68</w:t>
      </w:r>
      <w:r w:rsidRPr="00A91E1E">
        <w:rPr>
          <w:rFonts w:ascii="Times New Roman" w:eastAsia="TimesNewRoman" w:hAnsi="Times New Roman" w:cs="Times New Roman"/>
        </w:rPr>
        <w:t xml:space="preserve">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91E1E">
        <w:rPr>
          <w:rFonts w:ascii="Times New Roman" w:eastAsia="TimesNewRoman" w:hAnsi="Times New Roman" w:cs="Times New Roman"/>
        </w:rPr>
        <w:t xml:space="preserve"> should be interpreted visually. Suspicion of cance</w:t>
      </w:r>
      <w:r>
        <w:rPr>
          <w:rFonts w:ascii="Times New Roman" w:eastAsia="TimesNewRoman" w:hAnsi="Times New Roman" w:cs="Times New Roman"/>
        </w:rPr>
        <w:t xml:space="preserve">r in sites typical for prostate </w:t>
      </w:r>
      <w:r w:rsidRPr="00A91E1E">
        <w:rPr>
          <w:rFonts w:ascii="Times New Roman" w:eastAsia="TimesNewRoman" w:hAnsi="Times New Roman" w:cs="Times New Roman"/>
        </w:rPr>
        <w:t xml:space="preserve">cancer recurrence is based on </w:t>
      </w:r>
      <w:r>
        <w:rPr>
          <w:rFonts w:ascii="Times New Roman" w:eastAsia="TimesNewRoman" w:hAnsi="Times New Roman" w:cs="Times New Roman"/>
        </w:rPr>
        <w:t>Ga-68</w:t>
      </w:r>
      <w:r w:rsidRPr="00A91E1E">
        <w:rPr>
          <w:rFonts w:ascii="Times New Roman" w:eastAsia="TimesNewRoman" w:hAnsi="Times New Roman" w:cs="Times New Roman"/>
        </w:rPr>
        <w:t xml:space="preserve">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91E1E">
        <w:rPr>
          <w:rFonts w:ascii="Times New Roman" w:eastAsia="TimesNewRoman" w:hAnsi="Times New Roman" w:cs="Times New Roman"/>
        </w:rPr>
        <w:t xml:space="preserve"> uptake in com</w:t>
      </w:r>
      <w:r>
        <w:rPr>
          <w:rFonts w:ascii="Times New Roman" w:eastAsia="TimesNewRoman" w:hAnsi="Times New Roman" w:cs="Times New Roman"/>
        </w:rPr>
        <w:t xml:space="preserve">parison with tissue background. </w:t>
      </w:r>
      <w:proofErr w:type="gramStart"/>
      <w:r w:rsidRPr="00A91E1E">
        <w:rPr>
          <w:rFonts w:ascii="Times New Roman" w:eastAsia="TimesNewRoman" w:hAnsi="Times New Roman" w:cs="Times New Roman"/>
        </w:rPr>
        <w:t>Usually</w:t>
      </w:r>
      <w:proofErr w:type="gramEnd"/>
      <w:r w:rsidRPr="00A91E1E">
        <w:rPr>
          <w:rFonts w:ascii="Times New Roman" w:eastAsia="TimesNewRoman" w:hAnsi="Times New Roman" w:cs="Times New Roman"/>
        </w:rPr>
        <w:t xml:space="preserve"> attention should be paid to prostate gland/bed, seminal vesicles, regional ad distant lym</w:t>
      </w:r>
      <w:r>
        <w:rPr>
          <w:rFonts w:ascii="Times New Roman" w:eastAsia="TimesNewRoman" w:hAnsi="Times New Roman" w:cs="Times New Roman"/>
        </w:rPr>
        <w:t xml:space="preserve">ph </w:t>
      </w:r>
      <w:r w:rsidRPr="00A91E1E">
        <w:rPr>
          <w:rFonts w:ascii="Times New Roman" w:eastAsia="TimesNewRoman" w:hAnsi="Times New Roman" w:cs="Times New Roman"/>
        </w:rPr>
        <w:t>nodes, bones, lungs, and liver, as the regions that may relate to any symptoms given by the patient.</w:t>
      </w:r>
    </w:p>
    <w:p w14:paraId="5C4585FF" w14:textId="77777777" w:rsidR="00745F40" w:rsidRPr="00A91E1E" w:rsidRDefault="00745F40" w:rsidP="00745F40">
      <w:pPr>
        <w:rPr>
          <w:rFonts w:ascii="Times New Roman" w:eastAsia="TimesNewRoman" w:hAnsi="Times New Roman" w:cs="Times New Roman"/>
        </w:rPr>
      </w:pPr>
      <w:r w:rsidRPr="00A91E1E">
        <w:rPr>
          <w:rFonts w:ascii="Times New Roman" w:eastAsia="TimesNewRoman" w:hAnsi="Times New Roman" w:cs="Times New Roman"/>
        </w:rPr>
        <w:t>Normal and variable PSMA ligand update can be found in the lacrimal</w:t>
      </w:r>
      <w:r>
        <w:rPr>
          <w:rFonts w:ascii="Times New Roman" w:eastAsia="TimesNewRoman" w:hAnsi="Times New Roman" w:cs="Times New Roman"/>
        </w:rPr>
        <w:t xml:space="preserve"> gland, salivary glands, liver, </w:t>
      </w:r>
      <w:r w:rsidRPr="00A91E1E">
        <w:rPr>
          <w:rFonts w:ascii="Times New Roman" w:eastAsia="TimesNewRoman" w:hAnsi="Times New Roman" w:cs="Times New Roman"/>
        </w:rPr>
        <w:t xml:space="preserve">spleen, celiac lymph nodes, small intestine, </w:t>
      </w:r>
      <w:proofErr w:type="gramStart"/>
      <w:r w:rsidRPr="00A91E1E">
        <w:rPr>
          <w:rFonts w:ascii="Times New Roman" w:eastAsia="TimesNewRoman" w:hAnsi="Times New Roman" w:cs="Times New Roman"/>
        </w:rPr>
        <w:t>kidney</w:t>
      </w:r>
      <w:proofErr w:type="gramEnd"/>
      <w:r w:rsidRPr="00A91E1E">
        <w:rPr>
          <w:rFonts w:ascii="Times New Roman" w:eastAsia="TimesNewRoman" w:hAnsi="Times New Roman" w:cs="Times New Roman"/>
        </w:rPr>
        <w:t xml:space="preserve"> and the ureters</w:t>
      </w:r>
      <w:r>
        <w:rPr>
          <w:rFonts w:ascii="Times New Roman" w:eastAsia="TimesNewRoman" w:hAnsi="Times New Roman" w:cs="Times New Roman"/>
        </w:rPr>
        <w:t xml:space="preserve">. Variably high activity can be </w:t>
      </w:r>
      <w:r w:rsidRPr="00A91E1E">
        <w:rPr>
          <w:rFonts w:ascii="Times New Roman" w:eastAsia="TimesNewRoman" w:hAnsi="Times New Roman" w:cs="Times New Roman"/>
        </w:rPr>
        <w:t xml:space="preserve">observed in the urinary bladder. Minor but visible uptake can be observed in the pharyngeal </w:t>
      </w:r>
      <w:proofErr w:type="spellStart"/>
      <w:r w:rsidRPr="00A91E1E">
        <w:rPr>
          <w:rFonts w:ascii="Times New Roman" w:eastAsia="TimesNewRoman" w:hAnsi="Times New Roman" w:cs="Times New Roman"/>
        </w:rPr>
        <w:t>andlaryngeal</w:t>
      </w:r>
      <w:proofErr w:type="spellEnd"/>
      <w:r w:rsidRPr="00A91E1E">
        <w:rPr>
          <w:rFonts w:ascii="Times New Roman" w:eastAsia="TimesNewRoman" w:hAnsi="Times New Roman" w:cs="Times New Roman"/>
        </w:rPr>
        <w:t xml:space="preserve"> area and the cavum, the thyroid gland and mediastinal lymph</w:t>
      </w:r>
      <w:r>
        <w:rPr>
          <w:rFonts w:ascii="Times New Roman" w:eastAsia="TimesNewRoman" w:hAnsi="Times New Roman" w:cs="Times New Roman"/>
        </w:rPr>
        <w:t xml:space="preserve"> nodes. Usually, tumour lesions </w:t>
      </w:r>
      <w:r w:rsidRPr="00A91E1E">
        <w:rPr>
          <w:rFonts w:ascii="Times New Roman" w:eastAsia="TimesNewRoman" w:hAnsi="Times New Roman" w:cs="Times New Roman"/>
        </w:rPr>
        <w:t>inside and outside the prostate gland show a strong tumour-backgroun</w:t>
      </w:r>
      <w:r>
        <w:rPr>
          <w:rFonts w:ascii="Times New Roman" w:eastAsia="TimesNewRoman" w:hAnsi="Times New Roman" w:cs="Times New Roman"/>
        </w:rPr>
        <w:t xml:space="preserve">d ratio compared to surrounding </w:t>
      </w:r>
      <w:r w:rsidRPr="00A91E1E">
        <w:rPr>
          <w:rFonts w:ascii="Times New Roman" w:eastAsia="TimesNewRoman" w:hAnsi="Times New Roman" w:cs="Times New Roman"/>
        </w:rPr>
        <w:t>tissue.</w:t>
      </w:r>
    </w:p>
    <w:p w14:paraId="72326525" w14:textId="77777777" w:rsidR="00317A59" w:rsidRPr="00A34935" w:rsidRDefault="00745F40" w:rsidP="00745F40">
      <w:pPr>
        <w:rPr>
          <w:rFonts w:ascii="Times New Roman" w:eastAsia="TimesNewRoman" w:hAnsi="Times New Roman" w:cs="Times New Roman"/>
        </w:rPr>
      </w:pPr>
      <w:r w:rsidRPr="00A91E1E">
        <w:rPr>
          <w:rFonts w:ascii="Times New Roman" w:eastAsia="TimesNewRoman" w:hAnsi="Times New Roman" w:cs="Times New Roman"/>
        </w:rPr>
        <w:t xml:space="preserve">The impact of quantitative/semiquantitative measurement of </w:t>
      </w:r>
      <w:r>
        <w:rPr>
          <w:rFonts w:ascii="Times New Roman" w:eastAsia="TimesNewRoman" w:hAnsi="Times New Roman" w:cs="Times New Roman"/>
        </w:rPr>
        <w:t xml:space="preserve">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Pr>
          <w:rFonts w:ascii="Times New Roman" w:eastAsia="TimesNewRoman" w:hAnsi="Times New Roman" w:cs="Times New Roman"/>
        </w:rPr>
        <w:t xml:space="preserve"> uptake as an aid to </w:t>
      </w:r>
      <w:r w:rsidRPr="00A91E1E">
        <w:rPr>
          <w:rFonts w:ascii="Times New Roman" w:eastAsia="TimesNewRoman" w:hAnsi="Times New Roman" w:cs="Times New Roman"/>
        </w:rPr>
        <w:t>image interpretation has not been assessed. Image interpretation error</w:t>
      </w:r>
      <w:r>
        <w:rPr>
          <w:rFonts w:ascii="Times New Roman" w:eastAsia="TimesNewRoman" w:hAnsi="Times New Roman" w:cs="Times New Roman"/>
        </w:rPr>
        <w:t xml:space="preserve">s can occur with Gallium (68Ga)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91E1E">
        <w:rPr>
          <w:rFonts w:ascii="Times New Roman" w:eastAsia="TimesNewRoman" w:hAnsi="Times New Roman" w:cs="Times New Roman"/>
        </w:rPr>
        <w:t xml:space="preserve"> Injection PET/CT</w:t>
      </w:r>
      <w:r>
        <w:rPr>
          <w:rFonts w:ascii="Times New Roman" w:eastAsia="TimesNewRoman" w:hAnsi="Times New Roman" w:cs="Times New Roman"/>
        </w:rPr>
        <w:t>. (</w:t>
      </w:r>
      <w:r w:rsidRPr="00B30ADC">
        <w:rPr>
          <w:rFonts w:ascii="Times New Roman" w:eastAsia="TimesNewRoman" w:hAnsi="Times New Roman" w:cs="Times New Roman"/>
        </w:rPr>
        <w:t>see</w:t>
      </w:r>
      <w:r w:rsidR="0020472F">
        <w:rPr>
          <w:rFonts w:ascii="Times New Roman" w:eastAsia="TimesNewRoman" w:hAnsi="Times New Roman" w:cs="Times New Roman"/>
        </w:rPr>
        <w:t xml:space="preserve"> </w:t>
      </w:r>
      <w:r w:rsidRPr="00A91E1E">
        <w:rPr>
          <w:rFonts w:ascii="Times New Roman" w:eastAsia="TimesNewRoman" w:hAnsi="Times New Roman" w:cs="Times New Roman"/>
          <w:b/>
        </w:rPr>
        <w:t>Risk for Image Misinterpretation</w:t>
      </w:r>
      <w:r>
        <w:rPr>
          <w:rFonts w:ascii="Times New Roman" w:hAnsi="Times New Roman" w:cs="Times New Roman"/>
          <w:b/>
          <w:bCs/>
        </w:rPr>
        <w:t>)</w:t>
      </w:r>
      <w:r w:rsidRPr="00B30ADC">
        <w:rPr>
          <w:rFonts w:ascii="Times New Roman" w:eastAsia="TimesNewRoman" w:hAnsi="Times New Roman" w:cs="Times New Roman"/>
        </w:rPr>
        <w:t>.</w:t>
      </w:r>
    </w:p>
    <w:p w14:paraId="125F30A9" w14:textId="77777777" w:rsidR="00317A59" w:rsidRPr="00A34935" w:rsidRDefault="00317A59" w:rsidP="00B30ADC">
      <w:pPr>
        <w:pStyle w:val="Heading3"/>
      </w:pPr>
      <w:bookmarkStart w:id="15" w:name="_Toc48568586"/>
      <w:r w:rsidRPr="00A34935">
        <w:t>Radiation Dosimetry</w:t>
      </w:r>
      <w:bookmarkEnd w:id="15"/>
    </w:p>
    <w:p w14:paraId="68DA6C61"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 xml:space="preserve">The radiation </w:t>
      </w:r>
      <w:r w:rsidRPr="00B30ADC">
        <w:rPr>
          <w:rFonts w:ascii="Times New Roman" w:eastAsia="TimesNewRoman" w:hAnsi="Times New Roman" w:cs="Times New Roman"/>
        </w:rPr>
        <w:t xml:space="preserve">absorbed doses estimated for adult patients following intravenous injection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B30ADC">
        <w:rPr>
          <w:rFonts w:ascii="Times New Roman" w:eastAsia="TimesNewRoman" w:hAnsi="Times New Roman" w:cs="Times New Roman"/>
        </w:rPr>
        <w:t xml:space="preserve"> are shown in </w:t>
      </w:r>
      <w:r w:rsidR="00A85732">
        <w:fldChar w:fldCharType="begin"/>
      </w:r>
      <w:r w:rsidR="00A85732">
        <w:instrText xml:space="preserve"> REF _Ref27568458 \h  \* MERGEFORMAT </w:instrText>
      </w:r>
      <w:r w:rsidR="00A85732">
        <w:fldChar w:fldCharType="separate"/>
      </w:r>
      <w:r w:rsidR="00950DC7" w:rsidRPr="00950DC7">
        <w:rPr>
          <w:rFonts w:ascii="Times New Roman" w:hAnsi="Times New Roman" w:cs="Times New Roman"/>
        </w:rPr>
        <w:t>Table 5</w:t>
      </w:r>
      <w:r w:rsidR="00A85732">
        <w:fldChar w:fldCharType="end"/>
      </w:r>
      <w:r w:rsidRPr="00B30ADC">
        <w:rPr>
          <w:rFonts w:ascii="Times New Roman" w:eastAsia="TimesNewRoman" w:hAnsi="Times New Roman" w:cs="Times New Roman"/>
        </w:rPr>
        <w:t>, based on a dosimetry study using ILLUCCIX (Configuration B) in healthy volunteers.  Values were calculated from human biodistribution data using OLINDA/EXM (Organ Level Internal Dose Assessment/Exponential</w:t>
      </w:r>
      <w:r w:rsidR="0020472F">
        <w:rPr>
          <w:rFonts w:ascii="Times New Roman" w:eastAsia="TimesNewRoman" w:hAnsi="Times New Roman" w:cs="Times New Roman"/>
        </w:rPr>
        <w:t xml:space="preserve"> </w:t>
      </w:r>
      <w:proofErr w:type="spellStart"/>
      <w:r w:rsidRPr="00A34935">
        <w:rPr>
          <w:rFonts w:ascii="Times New Roman" w:eastAsia="TimesNewRoman" w:hAnsi="Times New Roman" w:cs="Times New Roman"/>
        </w:rPr>
        <w:t>Modeling</w:t>
      </w:r>
      <w:proofErr w:type="spellEnd"/>
      <w:r w:rsidRPr="00A34935">
        <w:rPr>
          <w:rFonts w:ascii="Times New Roman" w:eastAsia="TimesNewRoman" w:hAnsi="Times New Roman" w:cs="Times New Roman"/>
        </w:rPr>
        <w:t>) software.</w:t>
      </w:r>
    </w:p>
    <w:p w14:paraId="1E7CACCB" w14:textId="77777777" w:rsidR="00317A59" w:rsidRPr="00A34935" w:rsidRDefault="00317A59" w:rsidP="00317A59">
      <w:pPr>
        <w:rPr>
          <w:rFonts w:ascii="Times New Roman" w:eastAsia="TimesNewRoman" w:hAnsi="Times New Roman" w:cs="Times New Roman"/>
        </w:rPr>
      </w:pPr>
      <w:r w:rsidRPr="00A34935">
        <w:rPr>
          <w:rFonts w:ascii="Times New Roman" w:eastAsia="TimesNewRoman" w:hAnsi="Times New Roman" w:cs="Times New Roman"/>
        </w:rPr>
        <w:t xml:space="preserve">The (radiation absorbed) effective dose resulting from the administration of the recommended activity of 185 MBq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is 3.00 mSv.  For an administered activity of 185 MBq (5 </w:t>
      </w:r>
      <w:proofErr w:type="spellStart"/>
      <w:r w:rsidRPr="00A34935">
        <w:rPr>
          <w:rFonts w:ascii="Times New Roman" w:eastAsia="TimesNewRoman" w:hAnsi="Times New Roman" w:cs="Times New Roman"/>
        </w:rPr>
        <w:t>mCi</w:t>
      </w:r>
      <w:proofErr w:type="spellEnd"/>
      <w:r w:rsidRPr="00A34935">
        <w:rPr>
          <w:rFonts w:ascii="Times New Roman" w:eastAsia="TimesNewRoman" w:hAnsi="Times New Roman" w:cs="Times New Roman"/>
        </w:rPr>
        <w:t xml:space="preserve">), the highest-magnitude radiation doses are delivered to the kidney, bladder wall, small intestine wall, and spleen, with absorbed doses of 84.4 </w:t>
      </w:r>
      <w:proofErr w:type="spellStart"/>
      <w:r w:rsidRPr="00A34935">
        <w:rPr>
          <w:rFonts w:ascii="Times New Roman" w:eastAsia="TimesNewRoman" w:hAnsi="Times New Roman" w:cs="Times New Roman"/>
        </w:rPr>
        <w:t>mGy</w:t>
      </w:r>
      <w:proofErr w:type="spellEnd"/>
      <w:r w:rsidRPr="00A34935">
        <w:rPr>
          <w:rFonts w:ascii="Times New Roman" w:eastAsia="TimesNewRoman" w:hAnsi="Times New Roman" w:cs="Times New Roman"/>
        </w:rPr>
        <w:t xml:space="preserve">, 20.7 </w:t>
      </w:r>
      <w:proofErr w:type="spellStart"/>
      <w:r w:rsidRPr="00A34935">
        <w:rPr>
          <w:rFonts w:ascii="Times New Roman" w:eastAsia="TimesNewRoman" w:hAnsi="Times New Roman" w:cs="Times New Roman"/>
        </w:rPr>
        <w:t>mGy</w:t>
      </w:r>
      <w:proofErr w:type="spellEnd"/>
      <w:r w:rsidRPr="00A34935">
        <w:rPr>
          <w:rFonts w:ascii="Times New Roman" w:eastAsia="TimesNewRoman" w:hAnsi="Times New Roman" w:cs="Times New Roman"/>
        </w:rPr>
        <w:t xml:space="preserve">, 10.6 </w:t>
      </w:r>
      <w:proofErr w:type="spellStart"/>
      <w:r w:rsidRPr="00A34935">
        <w:rPr>
          <w:rFonts w:ascii="Times New Roman" w:eastAsia="TimesNewRoman" w:hAnsi="Times New Roman" w:cs="Times New Roman"/>
        </w:rPr>
        <w:t>mGy</w:t>
      </w:r>
      <w:proofErr w:type="spellEnd"/>
      <w:r w:rsidRPr="00A34935">
        <w:rPr>
          <w:rFonts w:ascii="Times New Roman" w:eastAsia="TimesNewRoman" w:hAnsi="Times New Roman" w:cs="Times New Roman"/>
        </w:rPr>
        <w:t xml:space="preserve">, and 6.9 </w:t>
      </w:r>
      <w:proofErr w:type="spellStart"/>
      <w:r w:rsidRPr="00A34935">
        <w:rPr>
          <w:rFonts w:ascii="Times New Roman" w:eastAsia="TimesNewRoman" w:hAnsi="Times New Roman" w:cs="Times New Roman"/>
        </w:rPr>
        <w:t>mGy</w:t>
      </w:r>
      <w:proofErr w:type="spellEnd"/>
      <w:r w:rsidRPr="00A34935">
        <w:rPr>
          <w:rFonts w:ascii="Times New Roman" w:eastAsia="TimesNewRoman" w:hAnsi="Times New Roman" w:cs="Times New Roman"/>
        </w:rPr>
        <w:t xml:space="preserve">, respectively.  If a CT scan is simultaneously performed as part of the PET procedure, exposure to ionizing radiation will increase in an amount dependent on the settings used in the CT acquisition.   </w:t>
      </w:r>
    </w:p>
    <w:p w14:paraId="2FFD9C46" w14:textId="77777777" w:rsidR="00317A59" w:rsidRPr="00A34935" w:rsidRDefault="00317A59" w:rsidP="00317A59">
      <w:pPr>
        <w:pStyle w:val="Caption"/>
        <w:keepNext/>
        <w:spacing w:after="0" w:line="240" w:lineRule="auto"/>
        <w:rPr>
          <w:rFonts w:ascii="Times New Roman" w:eastAsia="Batang" w:hAnsi="Times New Roman" w:cs="Times New Roman"/>
          <w:bCs/>
          <w:iCs w:val="0"/>
          <w:sz w:val="22"/>
          <w:szCs w:val="22"/>
        </w:rPr>
      </w:pPr>
      <w:bookmarkStart w:id="16" w:name="_Ref27568458"/>
      <w:r w:rsidRPr="00A34935">
        <w:rPr>
          <w:rFonts w:ascii="Times New Roman" w:eastAsia="Batang" w:hAnsi="Times New Roman" w:cs="Times New Roman"/>
          <w:bCs/>
          <w:iCs w:val="0"/>
          <w:sz w:val="22"/>
          <w:szCs w:val="22"/>
        </w:rPr>
        <w:t xml:space="preserve">Table </w:t>
      </w:r>
      <w:r w:rsidR="0097219B" w:rsidRPr="00A34935">
        <w:rPr>
          <w:rFonts w:ascii="Times New Roman" w:eastAsia="Batang" w:hAnsi="Times New Roman" w:cs="Times New Roman"/>
          <w:bCs/>
          <w:iCs w:val="0"/>
          <w:sz w:val="22"/>
          <w:szCs w:val="22"/>
        </w:rPr>
        <w:fldChar w:fldCharType="begin"/>
      </w:r>
      <w:r w:rsidRPr="00A34935">
        <w:rPr>
          <w:rFonts w:ascii="Times New Roman" w:eastAsia="Batang" w:hAnsi="Times New Roman" w:cs="Times New Roman"/>
          <w:bCs/>
          <w:iCs w:val="0"/>
          <w:sz w:val="22"/>
          <w:szCs w:val="22"/>
        </w:rPr>
        <w:instrText xml:space="preserve"> SEQ Table \* ARABIC </w:instrText>
      </w:r>
      <w:r w:rsidR="0097219B" w:rsidRPr="00A34935">
        <w:rPr>
          <w:rFonts w:ascii="Times New Roman" w:eastAsia="Batang" w:hAnsi="Times New Roman" w:cs="Times New Roman"/>
          <w:bCs/>
          <w:iCs w:val="0"/>
          <w:sz w:val="22"/>
          <w:szCs w:val="22"/>
        </w:rPr>
        <w:fldChar w:fldCharType="separate"/>
      </w:r>
      <w:r w:rsidR="001378C5">
        <w:rPr>
          <w:rFonts w:ascii="Times New Roman" w:eastAsia="Batang" w:hAnsi="Times New Roman" w:cs="Times New Roman"/>
          <w:bCs/>
          <w:iCs w:val="0"/>
          <w:noProof/>
          <w:sz w:val="22"/>
          <w:szCs w:val="22"/>
        </w:rPr>
        <w:t>5</w:t>
      </w:r>
      <w:r w:rsidR="0097219B" w:rsidRPr="00A34935">
        <w:rPr>
          <w:rFonts w:ascii="Times New Roman" w:eastAsia="Batang" w:hAnsi="Times New Roman" w:cs="Times New Roman"/>
          <w:bCs/>
          <w:iCs w:val="0"/>
          <w:sz w:val="22"/>
          <w:szCs w:val="22"/>
        </w:rPr>
        <w:fldChar w:fldCharType="end"/>
      </w:r>
      <w:bookmarkEnd w:id="16"/>
      <w:r w:rsidRPr="00A34935">
        <w:rPr>
          <w:rFonts w:ascii="Times New Roman" w:eastAsia="Batang" w:hAnsi="Times New Roman" w:cs="Times New Roman"/>
          <w:bCs/>
          <w:iCs w:val="0"/>
          <w:sz w:val="22"/>
          <w:szCs w:val="22"/>
        </w:rPr>
        <w:t xml:space="preserve">: Estimated Radiation Absorbed Doses in Various Organs/Tissues in Adults who Received Ga-68 </w:t>
      </w:r>
      <w:r w:rsidR="00860CD4" w:rsidRPr="00860CD4">
        <w:rPr>
          <w:rFonts w:ascii="Times New Roman" w:eastAsia="Batang" w:hAnsi="Times New Roman" w:cs="Times New Roman"/>
          <w:bCs/>
          <w:iCs w:val="0"/>
          <w:sz w:val="22"/>
          <w:szCs w:val="22"/>
        </w:rPr>
        <w:t>Glu-urea-Lys(</w:t>
      </w:r>
      <w:proofErr w:type="spellStart"/>
      <w:r w:rsidR="00860CD4" w:rsidRPr="00860CD4">
        <w:rPr>
          <w:rFonts w:ascii="Times New Roman" w:eastAsia="Batang" w:hAnsi="Times New Roman" w:cs="Times New Roman"/>
          <w:bCs/>
          <w:iCs w:val="0"/>
          <w:sz w:val="22"/>
          <w:szCs w:val="22"/>
        </w:rPr>
        <w:t>ahx</w:t>
      </w:r>
      <w:proofErr w:type="spellEnd"/>
      <w:r w:rsidR="00860CD4" w:rsidRPr="00860CD4">
        <w:rPr>
          <w:rFonts w:ascii="Times New Roman" w:eastAsia="Batang" w:hAnsi="Times New Roman" w:cs="Times New Roman"/>
          <w:bCs/>
          <w:iCs w:val="0"/>
          <w:sz w:val="22"/>
          <w:szCs w:val="22"/>
        </w:rPr>
        <w:t>)-</w:t>
      </w:r>
      <w:proofErr w:type="spellStart"/>
      <w:r w:rsidR="00860CD4" w:rsidRPr="00860CD4">
        <w:rPr>
          <w:rFonts w:ascii="Times New Roman" w:eastAsia="Batang" w:hAnsi="Times New Roman" w:cs="Times New Roman"/>
          <w:bCs/>
          <w:iCs w:val="0"/>
          <w:sz w:val="22"/>
          <w:szCs w:val="22"/>
        </w:rPr>
        <w:t>hbed</w:t>
      </w:r>
      <w:proofErr w:type="spellEnd"/>
      <w:r w:rsidR="00860CD4" w:rsidRPr="00860CD4">
        <w:rPr>
          <w:rFonts w:ascii="Times New Roman" w:eastAsia="Batang" w:hAnsi="Times New Roman" w:cs="Times New Roman"/>
          <w:bCs/>
          <w:iCs w:val="0"/>
          <w:sz w:val="22"/>
          <w:szCs w:val="22"/>
        </w:rPr>
        <w:t>-CC</w:t>
      </w:r>
    </w:p>
    <w:tbl>
      <w:tblPr>
        <w:tblStyle w:val="TableGrid"/>
        <w:tblW w:w="0" w:type="auto"/>
        <w:tblLook w:val="04A0" w:firstRow="1" w:lastRow="0" w:firstColumn="1" w:lastColumn="0" w:noHBand="0" w:noVBand="1"/>
      </w:tblPr>
      <w:tblGrid>
        <w:gridCol w:w="2113"/>
        <w:gridCol w:w="2472"/>
        <w:gridCol w:w="1350"/>
        <w:gridCol w:w="1620"/>
      </w:tblGrid>
      <w:tr w:rsidR="00317A59" w:rsidRPr="00A34935" w14:paraId="78782D76" w14:textId="77777777" w:rsidTr="007C6C9A">
        <w:trPr>
          <w:tblHeader/>
        </w:trPr>
        <w:tc>
          <w:tcPr>
            <w:tcW w:w="2113" w:type="dxa"/>
          </w:tcPr>
          <w:p w14:paraId="2F60E992" w14:textId="77777777" w:rsidR="00317A59" w:rsidRPr="00A34935" w:rsidRDefault="00317A59" w:rsidP="007C6C9A">
            <w:pPr>
              <w:rPr>
                <w:rFonts w:ascii="Times New Roman" w:hAnsi="Times New Roman" w:cs="Times New Roman"/>
                <w:b/>
                <w:sz w:val="20"/>
                <w:szCs w:val="20"/>
              </w:rPr>
            </w:pPr>
            <w:r w:rsidRPr="00A34935">
              <w:rPr>
                <w:rFonts w:ascii="Times New Roman" w:hAnsi="Times New Roman" w:cs="Times New Roman"/>
                <w:b/>
                <w:sz w:val="20"/>
                <w:szCs w:val="20"/>
              </w:rPr>
              <w:t>Organ/Tissue</w:t>
            </w:r>
          </w:p>
        </w:tc>
        <w:tc>
          <w:tcPr>
            <w:tcW w:w="2472" w:type="dxa"/>
          </w:tcPr>
          <w:p w14:paraId="33ED4C19" w14:textId="77777777" w:rsidR="00317A59" w:rsidRPr="00A34935" w:rsidRDefault="00317A59" w:rsidP="007C6C9A">
            <w:pPr>
              <w:rPr>
                <w:rFonts w:ascii="Times New Roman" w:hAnsi="Times New Roman" w:cs="Times New Roman"/>
                <w:b/>
                <w:sz w:val="20"/>
                <w:szCs w:val="20"/>
              </w:rPr>
            </w:pPr>
            <w:r w:rsidRPr="00A34935">
              <w:rPr>
                <w:rFonts w:ascii="Times New Roman" w:hAnsi="Times New Roman" w:cs="Times New Roman"/>
                <w:b/>
                <w:sz w:val="20"/>
                <w:szCs w:val="20"/>
              </w:rPr>
              <w:t>Mean Absorbed Dose per Unit Administered Activity (</w:t>
            </w:r>
            <w:proofErr w:type="spellStart"/>
            <w:r w:rsidRPr="00A34935">
              <w:rPr>
                <w:rFonts w:ascii="Times New Roman" w:hAnsi="Times New Roman" w:cs="Times New Roman"/>
                <w:b/>
                <w:sz w:val="20"/>
                <w:szCs w:val="20"/>
              </w:rPr>
              <w:t>mGy</w:t>
            </w:r>
            <w:proofErr w:type="spellEnd"/>
            <w:r w:rsidRPr="00A34935">
              <w:rPr>
                <w:rFonts w:ascii="Times New Roman" w:hAnsi="Times New Roman" w:cs="Times New Roman"/>
                <w:b/>
                <w:sz w:val="20"/>
                <w:szCs w:val="20"/>
              </w:rPr>
              <w:t>/MBq)</w:t>
            </w:r>
          </w:p>
        </w:tc>
        <w:tc>
          <w:tcPr>
            <w:tcW w:w="1350" w:type="dxa"/>
          </w:tcPr>
          <w:p w14:paraId="318D2E8E" w14:textId="77777777" w:rsidR="00317A59" w:rsidRPr="00A34935" w:rsidRDefault="00317A59" w:rsidP="007C6C9A">
            <w:pPr>
              <w:rPr>
                <w:rFonts w:ascii="Times New Roman" w:hAnsi="Times New Roman" w:cs="Times New Roman"/>
                <w:b/>
                <w:sz w:val="20"/>
                <w:szCs w:val="20"/>
              </w:rPr>
            </w:pPr>
            <w:r w:rsidRPr="00A34935">
              <w:rPr>
                <w:rFonts w:ascii="Times New Roman" w:hAnsi="Times New Roman" w:cs="Times New Roman"/>
                <w:b/>
                <w:sz w:val="20"/>
                <w:szCs w:val="20"/>
              </w:rPr>
              <w:t>SD</w:t>
            </w:r>
          </w:p>
        </w:tc>
        <w:tc>
          <w:tcPr>
            <w:tcW w:w="1620" w:type="dxa"/>
          </w:tcPr>
          <w:p w14:paraId="103FBE67" w14:textId="77777777" w:rsidR="00317A59" w:rsidRPr="00A34935" w:rsidRDefault="00317A59" w:rsidP="007C6C9A">
            <w:pPr>
              <w:rPr>
                <w:rFonts w:ascii="Times New Roman" w:hAnsi="Times New Roman" w:cs="Times New Roman"/>
                <w:b/>
                <w:sz w:val="20"/>
                <w:szCs w:val="20"/>
              </w:rPr>
            </w:pPr>
            <w:proofErr w:type="spellStart"/>
            <w:r w:rsidRPr="00A34935">
              <w:rPr>
                <w:rFonts w:ascii="Times New Roman" w:hAnsi="Times New Roman" w:cs="Times New Roman"/>
                <w:b/>
                <w:sz w:val="20"/>
                <w:szCs w:val="20"/>
              </w:rPr>
              <w:t>mGy</w:t>
            </w:r>
            <w:proofErr w:type="spellEnd"/>
            <w:r w:rsidRPr="00A34935">
              <w:rPr>
                <w:rFonts w:ascii="Times New Roman" w:hAnsi="Times New Roman" w:cs="Times New Roman"/>
                <w:b/>
                <w:sz w:val="20"/>
                <w:szCs w:val="20"/>
              </w:rPr>
              <w:t>/185 MBq</w:t>
            </w:r>
          </w:p>
        </w:tc>
      </w:tr>
      <w:tr w:rsidR="00317A59" w:rsidRPr="00A34935" w14:paraId="56F23E81" w14:textId="77777777" w:rsidTr="007C6C9A">
        <w:tc>
          <w:tcPr>
            <w:tcW w:w="2113" w:type="dxa"/>
          </w:tcPr>
          <w:p w14:paraId="357502FA"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Adrenal glands</w:t>
            </w:r>
          </w:p>
        </w:tc>
        <w:tc>
          <w:tcPr>
            <w:tcW w:w="2472" w:type="dxa"/>
          </w:tcPr>
          <w:p w14:paraId="64FFF514"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0.012</w:t>
            </w:r>
          </w:p>
        </w:tc>
        <w:tc>
          <w:tcPr>
            <w:tcW w:w="1350" w:type="dxa"/>
          </w:tcPr>
          <w:p w14:paraId="4A69EC50"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0.002321</w:t>
            </w:r>
          </w:p>
        </w:tc>
        <w:tc>
          <w:tcPr>
            <w:tcW w:w="1620" w:type="dxa"/>
          </w:tcPr>
          <w:p w14:paraId="5C9B900E"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2.22</w:t>
            </w:r>
          </w:p>
        </w:tc>
      </w:tr>
      <w:tr w:rsidR="00317A59" w:rsidRPr="00A34935" w14:paraId="3F4E8AEF" w14:textId="77777777" w:rsidTr="007C6C9A">
        <w:tc>
          <w:tcPr>
            <w:tcW w:w="2113" w:type="dxa"/>
          </w:tcPr>
          <w:p w14:paraId="2654B767"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Breasts</w:t>
            </w:r>
          </w:p>
        </w:tc>
        <w:tc>
          <w:tcPr>
            <w:tcW w:w="2472" w:type="dxa"/>
          </w:tcPr>
          <w:p w14:paraId="1B0CAA69"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0.00619</w:t>
            </w:r>
          </w:p>
        </w:tc>
        <w:tc>
          <w:tcPr>
            <w:tcW w:w="1350" w:type="dxa"/>
          </w:tcPr>
          <w:p w14:paraId="4FF23644"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0.00038</w:t>
            </w:r>
          </w:p>
        </w:tc>
        <w:tc>
          <w:tcPr>
            <w:tcW w:w="1620" w:type="dxa"/>
          </w:tcPr>
          <w:p w14:paraId="1A18AA6B"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1.15</w:t>
            </w:r>
          </w:p>
        </w:tc>
      </w:tr>
      <w:tr w:rsidR="00317A59" w:rsidRPr="00A34935" w14:paraId="1A6A31AF" w14:textId="77777777" w:rsidTr="007C6C9A">
        <w:tc>
          <w:tcPr>
            <w:tcW w:w="2113" w:type="dxa"/>
          </w:tcPr>
          <w:p w14:paraId="4334D847"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Gallbladder wall</w:t>
            </w:r>
          </w:p>
        </w:tc>
        <w:tc>
          <w:tcPr>
            <w:tcW w:w="2472" w:type="dxa"/>
          </w:tcPr>
          <w:p w14:paraId="5D59F362"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0.0116</w:t>
            </w:r>
          </w:p>
        </w:tc>
        <w:tc>
          <w:tcPr>
            <w:tcW w:w="1350" w:type="dxa"/>
          </w:tcPr>
          <w:p w14:paraId="5EDADD67"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0.0012</w:t>
            </w:r>
          </w:p>
        </w:tc>
        <w:tc>
          <w:tcPr>
            <w:tcW w:w="1620" w:type="dxa"/>
          </w:tcPr>
          <w:p w14:paraId="0D6C9A5A"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2.15</w:t>
            </w:r>
          </w:p>
        </w:tc>
      </w:tr>
      <w:tr w:rsidR="00317A59" w:rsidRPr="00A34935" w14:paraId="3350E13E" w14:textId="77777777" w:rsidTr="007C6C9A">
        <w:tc>
          <w:tcPr>
            <w:tcW w:w="2113" w:type="dxa"/>
          </w:tcPr>
          <w:p w14:paraId="7700C8E2"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GI tract: Lower large intestine wall</w:t>
            </w:r>
          </w:p>
        </w:tc>
        <w:tc>
          <w:tcPr>
            <w:tcW w:w="2472" w:type="dxa"/>
          </w:tcPr>
          <w:p w14:paraId="74277CC9"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0.0103</w:t>
            </w:r>
          </w:p>
        </w:tc>
        <w:tc>
          <w:tcPr>
            <w:tcW w:w="1350" w:type="dxa"/>
          </w:tcPr>
          <w:p w14:paraId="29EB206F"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0.000499</w:t>
            </w:r>
          </w:p>
        </w:tc>
        <w:tc>
          <w:tcPr>
            <w:tcW w:w="1620" w:type="dxa"/>
          </w:tcPr>
          <w:p w14:paraId="3C480E14"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1.91</w:t>
            </w:r>
          </w:p>
        </w:tc>
      </w:tr>
      <w:tr w:rsidR="00317A59" w:rsidRPr="00A34935" w14:paraId="5C54CB4F" w14:textId="77777777" w:rsidTr="007C6C9A">
        <w:tc>
          <w:tcPr>
            <w:tcW w:w="2113" w:type="dxa"/>
          </w:tcPr>
          <w:p w14:paraId="40DDE868"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GI tract: small intestine wall</w:t>
            </w:r>
          </w:p>
        </w:tc>
        <w:tc>
          <w:tcPr>
            <w:tcW w:w="2472" w:type="dxa"/>
          </w:tcPr>
          <w:p w14:paraId="1C29B24E"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0.0574</w:t>
            </w:r>
          </w:p>
        </w:tc>
        <w:tc>
          <w:tcPr>
            <w:tcW w:w="1350" w:type="dxa"/>
          </w:tcPr>
          <w:p w14:paraId="06AA099F"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0.012454</w:t>
            </w:r>
          </w:p>
        </w:tc>
        <w:tc>
          <w:tcPr>
            <w:tcW w:w="1620" w:type="dxa"/>
          </w:tcPr>
          <w:p w14:paraId="443FBD7A"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10.62</w:t>
            </w:r>
          </w:p>
        </w:tc>
      </w:tr>
      <w:tr w:rsidR="00317A59" w:rsidRPr="00A34935" w14:paraId="2CB8ABC7" w14:textId="77777777" w:rsidTr="007C6C9A">
        <w:tc>
          <w:tcPr>
            <w:tcW w:w="2113" w:type="dxa"/>
          </w:tcPr>
          <w:p w14:paraId="3C08754F"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GI tract: stomach wall</w:t>
            </w:r>
          </w:p>
        </w:tc>
        <w:tc>
          <w:tcPr>
            <w:tcW w:w="2472" w:type="dxa"/>
          </w:tcPr>
          <w:p w14:paraId="2B8928D9"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0.0093</w:t>
            </w:r>
          </w:p>
        </w:tc>
        <w:tc>
          <w:tcPr>
            <w:tcW w:w="1350" w:type="dxa"/>
          </w:tcPr>
          <w:p w14:paraId="47F0DBCE"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0.000816</w:t>
            </w:r>
          </w:p>
        </w:tc>
        <w:tc>
          <w:tcPr>
            <w:tcW w:w="1620" w:type="dxa"/>
          </w:tcPr>
          <w:p w14:paraId="7E2D58E8"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1.72</w:t>
            </w:r>
          </w:p>
        </w:tc>
      </w:tr>
      <w:tr w:rsidR="00317A59" w:rsidRPr="00A34935" w14:paraId="76013BAA" w14:textId="77777777" w:rsidTr="007C6C9A">
        <w:tc>
          <w:tcPr>
            <w:tcW w:w="2113" w:type="dxa"/>
          </w:tcPr>
          <w:p w14:paraId="43A2AF8F"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GI tract: upper large intestine wall</w:t>
            </w:r>
          </w:p>
        </w:tc>
        <w:tc>
          <w:tcPr>
            <w:tcW w:w="2472" w:type="dxa"/>
          </w:tcPr>
          <w:p w14:paraId="5335D89D"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0.0126</w:t>
            </w:r>
          </w:p>
        </w:tc>
        <w:tc>
          <w:tcPr>
            <w:tcW w:w="1350" w:type="dxa"/>
          </w:tcPr>
          <w:p w14:paraId="53C3ECCE"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0.000289</w:t>
            </w:r>
          </w:p>
        </w:tc>
        <w:tc>
          <w:tcPr>
            <w:tcW w:w="1620" w:type="dxa"/>
          </w:tcPr>
          <w:p w14:paraId="1E6078A6"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2.33</w:t>
            </w:r>
          </w:p>
        </w:tc>
      </w:tr>
      <w:tr w:rsidR="00317A59" w:rsidRPr="00A34935" w14:paraId="7DD065BA" w14:textId="77777777" w:rsidTr="007C6C9A">
        <w:tc>
          <w:tcPr>
            <w:tcW w:w="2113" w:type="dxa"/>
          </w:tcPr>
          <w:p w14:paraId="285ACDEA"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lastRenderedPageBreak/>
              <w:t>Heart wall</w:t>
            </w:r>
          </w:p>
        </w:tc>
        <w:tc>
          <w:tcPr>
            <w:tcW w:w="2472" w:type="dxa"/>
          </w:tcPr>
          <w:p w14:paraId="3E9A45E0"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0.0131</w:t>
            </w:r>
          </w:p>
        </w:tc>
        <w:tc>
          <w:tcPr>
            <w:tcW w:w="1350" w:type="dxa"/>
          </w:tcPr>
          <w:p w14:paraId="3F77813C"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0.001274</w:t>
            </w:r>
          </w:p>
        </w:tc>
        <w:tc>
          <w:tcPr>
            <w:tcW w:w="1620" w:type="dxa"/>
          </w:tcPr>
          <w:p w14:paraId="66A5B2FC"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2.42</w:t>
            </w:r>
          </w:p>
        </w:tc>
      </w:tr>
      <w:tr w:rsidR="00317A59" w:rsidRPr="00A34935" w14:paraId="00F8E8F9" w14:textId="77777777" w:rsidTr="007C6C9A">
        <w:tc>
          <w:tcPr>
            <w:tcW w:w="2113" w:type="dxa"/>
          </w:tcPr>
          <w:p w14:paraId="3EDB9E43"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Kidneys</w:t>
            </w:r>
          </w:p>
        </w:tc>
        <w:tc>
          <w:tcPr>
            <w:tcW w:w="2472" w:type="dxa"/>
          </w:tcPr>
          <w:p w14:paraId="0A533667"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0.456</w:t>
            </w:r>
          </w:p>
        </w:tc>
        <w:tc>
          <w:tcPr>
            <w:tcW w:w="1350" w:type="dxa"/>
          </w:tcPr>
          <w:p w14:paraId="355ABA87"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0.224816</w:t>
            </w:r>
          </w:p>
        </w:tc>
        <w:tc>
          <w:tcPr>
            <w:tcW w:w="1620" w:type="dxa"/>
          </w:tcPr>
          <w:p w14:paraId="74B28DDA"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84.36</w:t>
            </w:r>
          </w:p>
        </w:tc>
      </w:tr>
      <w:tr w:rsidR="00317A59" w:rsidRPr="00A34935" w14:paraId="574989FF" w14:textId="77777777" w:rsidTr="007C6C9A">
        <w:tc>
          <w:tcPr>
            <w:tcW w:w="2113" w:type="dxa"/>
          </w:tcPr>
          <w:p w14:paraId="680E46D6"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Liver</w:t>
            </w:r>
          </w:p>
        </w:tc>
        <w:tc>
          <w:tcPr>
            <w:tcW w:w="2472" w:type="dxa"/>
          </w:tcPr>
          <w:p w14:paraId="06C06A4C"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0.0215</w:t>
            </w:r>
          </w:p>
        </w:tc>
        <w:tc>
          <w:tcPr>
            <w:tcW w:w="1350" w:type="dxa"/>
          </w:tcPr>
          <w:p w14:paraId="1EBA896D"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0.003955</w:t>
            </w:r>
          </w:p>
        </w:tc>
        <w:tc>
          <w:tcPr>
            <w:tcW w:w="1620" w:type="dxa"/>
          </w:tcPr>
          <w:p w14:paraId="7536EDB1"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3.98</w:t>
            </w:r>
          </w:p>
        </w:tc>
      </w:tr>
      <w:tr w:rsidR="00317A59" w:rsidRPr="00A34935" w14:paraId="3DB05948" w14:textId="77777777" w:rsidTr="007C6C9A">
        <w:tc>
          <w:tcPr>
            <w:tcW w:w="2113" w:type="dxa"/>
          </w:tcPr>
          <w:p w14:paraId="3B3FEEA7"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Lungs</w:t>
            </w:r>
          </w:p>
        </w:tc>
        <w:tc>
          <w:tcPr>
            <w:tcW w:w="2472" w:type="dxa"/>
          </w:tcPr>
          <w:p w14:paraId="1EB34F8B"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0.00787</w:t>
            </w:r>
          </w:p>
        </w:tc>
        <w:tc>
          <w:tcPr>
            <w:tcW w:w="1350" w:type="dxa"/>
          </w:tcPr>
          <w:p w14:paraId="5FFF36ED"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0.001272</w:t>
            </w:r>
          </w:p>
        </w:tc>
        <w:tc>
          <w:tcPr>
            <w:tcW w:w="1620" w:type="dxa"/>
          </w:tcPr>
          <w:p w14:paraId="5CEAFB1C"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1.46</w:t>
            </w:r>
          </w:p>
        </w:tc>
      </w:tr>
      <w:tr w:rsidR="00317A59" w:rsidRPr="00A34935" w14:paraId="054460FD" w14:textId="77777777" w:rsidTr="007C6C9A">
        <w:tc>
          <w:tcPr>
            <w:tcW w:w="2113" w:type="dxa"/>
          </w:tcPr>
          <w:p w14:paraId="315DFF84"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Muscle</w:t>
            </w:r>
          </w:p>
        </w:tc>
        <w:tc>
          <w:tcPr>
            <w:tcW w:w="2472" w:type="dxa"/>
          </w:tcPr>
          <w:p w14:paraId="7E20350E"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0.00771</w:t>
            </w:r>
          </w:p>
        </w:tc>
        <w:tc>
          <w:tcPr>
            <w:tcW w:w="1350" w:type="dxa"/>
          </w:tcPr>
          <w:p w14:paraId="34A04C94"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0.000469</w:t>
            </w:r>
          </w:p>
        </w:tc>
        <w:tc>
          <w:tcPr>
            <w:tcW w:w="1620" w:type="dxa"/>
          </w:tcPr>
          <w:p w14:paraId="04A6923A"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1.43</w:t>
            </w:r>
          </w:p>
        </w:tc>
      </w:tr>
      <w:tr w:rsidR="00317A59" w:rsidRPr="00A34935" w14:paraId="7DBFCE8B" w14:textId="77777777" w:rsidTr="007C6C9A">
        <w:tc>
          <w:tcPr>
            <w:tcW w:w="2113" w:type="dxa"/>
          </w:tcPr>
          <w:p w14:paraId="2B4979F1"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Pancreas</w:t>
            </w:r>
          </w:p>
        </w:tc>
        <w:tc>
          <w:tcPr>
            <w:tcW w:w="2472" w:type="dxa"/>
          </w:tcPr>
          <w:p w14:paraId="3CD7D696"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0.0112</w:t>
            </w:r>
          </w:p>
        </w:tc>
        <w:tc>
          <w:tcPr>
            <w:tcW w:w="1350" w:type="dxa"/>
          </w:tcPr>
          <w:p w14:paraId="3F500FA2"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0.001667</w:t>
            </w:r>
          </w:p>
        </w:tc>
        <w:tc>
          <w:tcPr>
            <w:tcW w:w="1620" w:type="dxa"/>
          </w:tcPr>
          <w:p w14:paraId="7D749D34"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2.07</w:t>
            </w:r>
          </w:p>
        </w:tc>
      </w:tr>
      <w:tr w:rsidR="00317A59" w:rsidRPr="00A34935" w14:paraId="0462BFB9" w14:textId="77777777" w:rsidTr="007C6C9A">
        <w:tc>
          <w:tcPr>
            <w:tcW w:w="2113" w:type="dxa"/>
          </w:tcPr>
          <w:p w14:paraId="4263B809"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Red bone marrow</w:t>
            </w:r>
          </w:p>
        </w:tc>
        <w:tc>
          <w:tcPr>
            <w:tcW w:w="2472" w:type="dxa"/>
          </w:tcPr>
          <w:p w14:paraId="06980FC2"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0.0121</w:t>
            </w:r>
          </w:p>
        </w:tc>
        <w:tc>
          <w:tcPr>
            <w:tcW w:w="1350" w:type="dxa"/>
          </w:tcPr>
          <w:p w14:paraId="12A13AD4"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0.002836</w:t>
            </w:r>
          </w:p>
        </w:tc>
        <w:tc>
          <w:tcPr>
            <w:tcW w:w="1620" w:type="dxa"/>
          </w:tcPr>
          <w:p w14:paraId="4E5A9714"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2.24</w:t>
            </w:r>
          </w:p>
        </w:tc>
      </w:tr>
      <w:tr w:rsidR="00317A59" w:rsidRPr="00A34935" w14:paraId="04450881" w14:textId="77777777" w:rsidTr="007C6C9A">
        <w:tc>
          <w:tcPr>
            <w:tcW w:w="2113" w:type="dxa"/>
          </w:tcPr>
          <w:p w14:paraId="5B61CD6F"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Osteogenic cells</w:t>
            </w:r>
          </w:p>
        </w:tc>
        <w:tc>
          <w:tcPr>
            <w:tcW w:w="2472" w:type="dxa"/>
          </w:tcPr>
          <w:p w14:paraId="52130220"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0.0131</w:t>
            </w:r>
          </w:p>
        </w:tc>
        <w:tc>
          <w:tcPr>
            <w:tcW w:w="1350" w:type="dxa"/>
          </w:tcPr>
          <w:p w14:paraId="3E45678F"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0.001744</w:t>
            </w:r>
          </w:p>
        </w:tc>
        <w:tc>
          <w:tcPr>
            <w:tcW w:w="1620" w:type="dxa"/>
          </w:tcPr>
          <w:p w14:paraId="07A29BF0"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2.42</w:t>
            </w:r>
          </w:p>
        </w:tc>
      </w:tr>
      <w:tr w:rsidR="00317A59" w:rsidRPr="00A34935" w14:paraId="53396E9A" w14:textId="77777777" w:rsidTr="007C6C9A">
        <w:tc>
          <w:tcPr>
            <w:tcW w:w="2113" w:type="dxa"/>
          </w:tcPr>
          <w:p w14:paraId="6763E6D2"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Skin</w:t>
            </w:r>
          </w:p>
        </w:tc>
        <w:tc>
          <w:tcPr>
            <w:tcW w:w="2472" w:type="dxa"/>
          </w:tcPr>
          <w:p w14:paraId="7E9AFBB3"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0.00621</w:t>
            </w:r>
          </w:p>
        </w:tc>
        <w:tc>
          <w:tcPr>
            <w:tcW w:w="1350" w:type="dxa"/>
          </w:tcPr>
          <w:p w14:paraId="1AB6F412"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0.000397</w:t>
            </w:r>
          </w:p>
        </w:tc>
        <w:tc>
          <w:tcPr>
            <w:tcW w:w="1620" w:type="dxa"/>
          </w:tcPr>
          <w:p w14:paraId="77BE1BB2"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1.15</w:t>
            </w:r>
          </w:p>
        </w:tc>
      </w:tr>
      <w:tr w:rsidR="00317A59" w:rsidRPr="00A34935" w14:paraId="2DFC15D4" w14:textId="77777777" w:rsidTr="007C6C9A">
        <w:tc>
          <w:tcPr>
            <w:tcW w:w="2113" w:type="dxa"/>
          </w:tcPr>
          <w:p w14:paraId="5D54FC5C"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Spleen</w:t>
            </w:r>
          </w:p>
        </w:tc>
        <w:tc>
          <w:tcPr>
            <w:tcW w:w="2472" w:type="dxa"/>
          </w:tcPr>
          <w:p w14:paraId="20623D46"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0.0371</w:t>
            </w:r>
          </w:p>
        </w:tc>
        <w:tc>
          <w:tcPr>
            <w:tcW w:w="1350" w:type="dxa"/>
          </w:tcPr>
          <w:p w14:paraId="73D576D3"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0.019319</w:t>
            </w:r>
          </w:p>
        </w:tc>
        <w:tc>
          <w:tcPr>
            <w:tcW w:w="1620" w:type="dxa"/>
          </w:tcPr>
          <w:p w14:paraId="5F3C7908"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6.86</w:t>
            </w:r>
          </w:p>
        </w:tc>
      </w:tr>
      <w:tr w:rsidR="00317A59" w:rsidRPr="00A34935" w14:paraId="7AD1E1D4" w14:textId="77777777" w:rsidTr="007C6C9A">
        <w:tc>
          <w:tcPr>
            <w:tcW w:w="2113" w:type="dxa"/>
          </w:tcPr>
          <w:p w14:paraId="3ADE2B66"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Testes</w:t>
            </w:r>
          </w:p>
        </w:tc>
        <w:tc>
          <w:tcPr>
            <w:tcW w:w="2472" w:type="dxa"/>
          </w:tcPr>
          <w:p w14:paraId="7833C989"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0.00728</w:t>
            </w:r>
          </w:p>
        </w:tc>
        <w:tc>
          <w:tcPr>
            <w:tcW w:w="1350" w:type="dxa"/>
          </w:tcPr>
          <w:p w14:paraId="75C772AB"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0.00049</w:t>
            </w:r>
          </w:p>
        </w:tc>
        <w:tc>
          <w:tcPr>
            <w:tcW w:w="1620" w:type="dxa"/>
          </w:tcPr>
          <w:p w14:paraId="7F870B85"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1.35</w:t>
            </w:r>
          </w:p>
        </w:tc>
      </w:tr>
      <w:tr w:rsidR="00317A59" w:rsidRPr="00A34935" w14:paraId="5D24E74D" w14:textId="77777777" w:rsidTr="007C6C9A">
        <w:tc>
          <w:tcPr>
            <w:tcW w:w="2113" w:type="dxa"/>
          </w:tcPr>
          <w:p w14:paraId="60D16D3D"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Thymus gland</w:t>
            </w:r>
          </w:p>
        </w:tc>
        <w:tc>
          <w:tcPr>
            <w:tcW w:w="2472" w:type="dxa"/>
          </w:tcPr>
          <w:p w14:paraId="5D58944D"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0.0069</w:t>
            </w:r>
          </w:p>
        </w:tc>
        <w:tc>
          <w:tcPr>
            <w:tcW w:w="1350" w:type="dxa"/>
          </w:tcPr>
          <w:p w14:paraId="2A3E3154"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0.000403</w:t>
            </w:r>
          </w:p>
        </w:tc>
        <w:tc>
          <w:tcPr>
            <w:tcW w:w="1620" w:type="dxa"/>
          </w:tcPr>
          <w:p w14:paraId="2EF737D0"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1.28</w:t>
            </w:r>
          </w:p>
        </w:tc>
      </w:tr>
      <w:tr w:rsidR="00317A59" w:rsidRPr="00A34935" w14:paraId="50A63E7C" w14:textId="77777777" w:rsidTr="007C6C9A">
        <w:tc>
          <w:tcPr>
            <w:tcW w:w="2113" w:type="dxa"/>
          </w:tcPr>
          <w:p w14:paraId="6BCA4C69"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Thyroid</w:t>
            </w:r>
          </w:p>
        </w:tc>
        <w:tc>
          <w:tcPr>
            <w:tcW w:w="2472" w:type="dxa"/>
          </w:tcPr>
          <w:p w14:paraId="4AE2575F"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0.00664</w:t>
            </w:r>
          </w:p>
        </w:tc>
        <w:tc>
          <w:tcPr>
            <w:tcW w:w="1350" w:type="dxa"/>
          </w:tcPr>
          <w:p w14:paraId="683EC1D5"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0.000377</w:t>
            </w:r>
          </w:p>
        </w:tc>
        <w:tc>
          <w:tcPr>
            <w:tcW w:w="1620" w:type="dxa"/>
          </w:tcPr>
          <w:p w14:paraId="4A9EFEEA"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1.23</w:t>
            </w:r>
          </w:p>
        </w:tc>
      </w:tr>
      <w:tr w:rsidR="00317A59" w:rsidRPr="00A34935" w14:paraId="584DDA9D" w14:textId="77777777" w:rsidTr="007C6C9A">
        <w:tc>
          <w:tcPr>
            <w:tcW w:w="2113" w:type="dxa"/>
          </w:tcPr>
          <w:p w14:paraId="14B7EEF8"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Urinary bladder wall</w:t>
            </w:r>
          </w:p>
        </w:tc>
        <w:tc>
          <w:tcPr>
            <w:tcW w:w="2472" w:type="dxa"/>
          </w:tcPr>
          <w:p w14:paraId="6F57645A"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0.112</w:t>
            </w:r>
          </w:p>
        </w:tc>
        <w:tc>
          <w:tcPr>
            <w:tcW w:w="1350" w:type="dxa"/>
          </w:tcPr>
          <w:p w14:paraId="06B1BCBF"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0.027488</w:t>
            </w:r>
          </w:p>
        </w:tc>
        <w:tc>
          <w:tcPr>
            <w:tcW w:w="1620" w:type="dxa"/>
          </w:tcPr>
          <w:p w14:paraId="6BA29C2A"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20.72</w:t>
            </w:r>
          </w:p>
        </w:tc>
      </w:tr>
      <w:tr w:rsidR="00317A59" w:rsidRPr="00A34935" w14:paraId="32EFC502" w14:textId="77777777" w:rsidTr="007C6C9A">
        <w:tc>
          <w:tcPr>
            <w:tcW w:w="2113" w:type="dxa"/>
          </w:tcPr>
          <w:p w14:paraId="3DC88D7B"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Total Body</w:t>
            </w:r>
          </w:p>
        </w:tc>
        <w:tc>
          <w:tcPr>
            <w:tcW w:w="2472" w:type="dxa"/>
          </w:tcPr>
          <w:p w14:paraId="51E8765C"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0.0106</w:t>
            </w:r>
          </w:p>
        </w:tc>
        <w:tc>
          <w:tcPr>
            <w:tcW w:w="1350" w:type="dxa"/>
          </w:tcPr>
          <w:p w14:paraId="5E11769F"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0.001015</w:t>
            </w:r>
          </w:p>
        </w:tc>
        <w:tc>
          <w:tcPr>
            <w:tcW w:w="1620" w:type="dxa"/>
          </w:tcPr>
          <w:p w14:paraId="5F008B60"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1.96</w:t>
            </w:r>
          </w:p>
        </w:tc>
      </w:tr>
      <w:tr w:rsidR="00317A59" w:rsidRPr="00A34935" w14:paraId="321189D3" w14:textId="77777777" w:rsidTr="007C6C9A">
        <w:tc>
          <w:tcPr>
            <w:tcW w:w="2113" w:type="dxa"/>
          </w:tcPr>
          <w:p w14:paraId="33659D1E" w14:textId="77777777" w:rsidR="00317A59" w:rsidRPr="00A34935" w:rsidRDefault="00317A59" w:rsidP="007C6C9A">
            <w:pPr>
              <w:rPr>
                <w:rFonts w:ascii="Times New Roman" w:hAnsi="Times New Roman" w:cs="Times New Roman"/>
                <w:b/>
                <w:bCs/>
                <w:sz w:val="20"/>
                <w:szCs w:val="20"/>
              </w:rPr>
            </w:pPr>
            <w:r w:rsidRPr="00A34935">
              <w:rPr>
                <w:rFonts w:ascii="Times New Roman" w:hAnsi="Times New Roman" w:cs="Times New Roman"/>
                <w:b/>
                <w:bCs/>
                <w:sz w:val="20"/>
                <w:szCs w:val="20"/>
              </w:rPr>
              <w:t>Effective dose</w:t>
            </w:r>
          </w:p>
        </w:tc>
        <w:tc>
          <w:tcPr>
            <w:tcW w:w="2472" w:type="dxa"/>
          </w:tcPr>
          <w:p w14:paraId="5C495500"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0.0162</w:t>
            </w:r>
          </w:p>
        </w:tc>
        <w:tc>
          <w:tcPr>
            <w:tcW w:w="1350" w:type="dxa"/>
          </w:tcPr>
          <w:p w14:paraId="044EB752"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0.002797</w:t>
            </w:r>
          </w:p>
        </w:tc>
        <w:tc>
          <w:tcPr>
            <w:tcW w:w="1620" w:type="dxa"/>
          </w:tcPr>
          <w:p w14:paraId="5ADB81DB" w14:textId="77777777" w:rsidR="00317A59" w:rsidRPr="00A34935" w:rsidRDefault="00317A59" w:rsidP="007C6C9A">
            <w:pPr>
              <w:rPr>
                <w:rFonts w:ascii="Times New Roman" w:hAnsi="Times New Roman" w:cs="Times New Roman"/>
                <w:sz w:val="20"/>
                <w:szCs w:val="20"/>
              </w:rPr>
            </w:pPr>
            <w:r w:rsidRPr="00A34935">
              <w:rPr>
                <w:rFonts w:ascii="Times New Roman" w:hAnsi="Times New Roman" w:cs="Times New Roman"/>
                <w:sz w:val="20"/>
                <w:szCs w:val="20"/>
              </w:rPr>
              <w:t>3.00</w:t>
            </w:r>
          </w:p>
        </w:tc>
      </w:tr>
    </w:tbl>
    <w:p w14:paraId="65E12044" w14:textId="77777777" w:rsidR="00317A59" w:rsidRDefault="00317A59" w:rsidP="00317A59">
      <w:pPr>
        <w:rPr>
          <w:rFonts w:ascii="Times New Roman" w:hAnsi="Times New Roman" w:cs="Times New Roman"/>
        </w:rPr>
      </w:pPr>
    </w:p>
    <w:p w14:paraId="089FCEE3" w14:textId="77777777" w:rsidR="001A3992" w:rsidRPr="00A34935" w:rsidRDefault="001A3992" w:rsidP="001A3992">
      <w:pPr>
        <w:pStyle w:val="Heading2"/>
        <w:spacing w:before="0" w:after="120"/>
        <w:rPr>
          <w:rFonts w:ascii="Times New Roman" w:hAnsi="Times New Roman" w:cs="Times New Roman"/>
        </w:rPr>
      </w:pPr>
      <w:r w:rsidRPr="00A34935">
        <w:rPr>
          <w:rFonts w:ascii="Times New Roman" w:hAnsi="Times New Roman" w:cs="Times New Roman"/>
        </w:rPr>
        <w:t>Contraindications</w:t>
      </w:r>
    </w:p>
    <w:p w14:paraId="75D08971" w14:textId="77777777" w:rsidR="00A12806" w:rsidRPr="00A34935" w:rsidRDefault="007E7C69" w:rsidP="00A12806">
      <w:pPr>
        <w:rPr>
          <w:rFonts w:ascii="Times New Roman" w:hAnsi="Times New Roman" w:cs="Times New Roman"/>
        </w:rPr>
      </w:pPr>
      <w:r w:rsidRPr="007E7C69">
        <w:rPr>
          <w:rFonts w:ascii="Times New Roman" w:hAnsi="Times New Roman" w:cs="Times New Roman"/>
        </w:rPr>
        <w:t>Hypersensitivity to the active substance or to any of the excipients listed in section</w:t>
      </w:r>
      <w:r>
        <w:rPr>
          <w:rFonts w:ascii="Times New Roman" w:hAnsi="Times New Roman" w:cs="Times New Roman"/>
        </w:rPr>
        <w:t xml:space="preserve"> 2.</w:t>
      </w:r>
    </w:p>
    <w:p w14:paraId="5C35AFFB" w14:textId="77777777" w:rsidR="001A3992" w:rsidRPr="00A34935" w:rsidRDefault="00E74A56" w:rsidP="001A3992">
      <w:pPr>
        <w:pStyle w:val="Heading2"/>
        <w:spacing w:before="0" w:after="120"/>
        <w:rPr>
          <w:rFonts w:ascii="Times New Roman" w:hAnsi="Times New Roman" w:cs="Times New Roman"/>
        </w:rPr>
      </w:pPr>
      <w:r w:rsidRPr="00A34935">
        <w:rPr>
          <w:rFonts w:ascii="Times New Roman" w:hAnsi="Times New Roman" w:cs="Times New Roman"/>
        </w:rPr>
        <w:t>Special warnings and p</w:t>
      </w:r>
      <w:r w:rsidR="001A3992" w:rsidRPr="00A34935">
        <w:rPr>
          <w:rFonts w:ascii="Times New Roman" w:hAnsi="Times New Roman" w:cs="Times New Roman"/>
        </w:rPr>
        <w:t xml:space="preserve">recautions </w:t>
      </w:r>
      <w:r w:rsidRPr="00A34935">
        <w:rPr>
          <w:rFonts w:ascii="Times New Roman" w:hAnsi="Times New Roman" w:cs="Times New Roman"/>
        </w:rPr>
        <w:t>for use</w:t>
      </w:r>
    </w:p>
    <w:p w14:paraId="12AD1ACF" w14:textId="77777777" w:rsidR="00950DC7" w:rsidRPr="00950DC7" w:rsidRDefault="00950DC7" w:rsidP="00950DC7">
      <w:pPr>
        <w:pStyle w:val="Heading3"/>
        <w:rPr>
          <w:rFonts w:eastAsia="TimesNewRoman"/>
        </w:rPr>
      </w:pPr>
      <w:bookmarkStart w:id="17" w:name="_Toc48568590"/>
      <w:r w:rsidRPr="00950DC7">
        <w:rPr>
          <w:rFonts w:eastAsia="TimesNewRoman"/>
        </w:rPr>
        <w:t>Extravasation Risk</w:t>
      </w:r>
    </w:p>
    <w:p w14:paraId="15EA3CE3" w14:textId="77777777" w:rsidR="00745F40" w:rsidRPr="0082219D" w:rsidRDefault="00745F40" w:rsidP="00745F40">
      <w:pPr>
        <w:rPr>
          <w:rFonts w:ascii="Times New Roman" w:eastAsia="TimesNewRoman" w:hAnsi="Times New Roman" w:cs="Times New Roman"/>
        </w:rPr>
      </w:pPr>
      <w:r w:rsidRPr="0082219D">
        <w:rPr>
          <w:rFonts w:ascii="Times New Roman" w:eastAsia="TimesNewRoman" w:hAnsi="Times New Roman" w:cs="Times New Roman"/>
        </w:rPr>
        <w:t xml:space="preserve">Due to acidic pH of Gallium (68Ga)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82219D">
        <w:rPr>
          <w:rFonts w:ascii="Times New Roman" w:eastAsia="TimesNewRoman" w:hAnsi="Times New Roman" w:cs="Times New Roman"/>
        </w:rPr>
        <w:t xml:space="preserve"> Injection, local vein i</w:t>
      </w:r>
      <w:r>
        <w:rPr>
          <w:rFonts w:ascii="Times New Roman" w:eastAsia="TimesNewRoman" w:hAnsi="Times New Roman" w:cs="Times New Roman"/>
        </w:rPr>
        <w:t xml:space="preserve">rritation can occur. Accidental </w:t>
      </w:r>
      <w:r w:rsidRPr="0082219D">
        <w:rPr>
          <w:rFonts w:ascii="Times New Roman" w:eastAsia="TimesNewRoman" w:hAnsi="Times New Roman" w:cs="Times New Roman"/>
        </w:rPr>
        <w:t>extravasation may also cause local irritation.</w:t>
      </w:r>
    </w:p>
    <w:p w14:paraId="562E8118" w14:textId="77777777" w:rsidR="00745F40" w:rsidRPr="0082219D" w:rsidRDefault="00745F40" w:rsidP="00745F40">
      <w:pPr>
        <w:rPr>
          <w:rFonts w:ascii="Times New Roman" w:eastAsia="TimesNewRoman" w:hAnsi="Times New Roman" w:cs="Times New Roman"/>
        </w:rPr>
      </w:pPr>
      <w:r w:rsidRPr="0082219D">
        <w:rPr>
          <w:rFonts w:ascii="Times New Roman" w:eastAsia="TimesNewRoman" w:hAnsi="Times New Roman" w:cs="Times New Roman"/>
        </w:rPr>
        <w:t>In case of local vein irritation, injection must be adapted accordingly by the health care professional.</w:t>
      </w:r>
      <w:r w:rsidR="0020472F">
        <w:rPr>
          <w:rFonts w:ascii="Times New Roman" w:eastAsia="TimesNewRoman" w:hAnsi="Times New Roman" w:cs="Times New Roman"/>
        </w:rPr>
        <w:t xml:space="preserve"> </w:t>
      </w:r>
      <w:r w:rsidRPr="0082219D">
        <w:rPr>
          <w:rFonts w:ascii="Times New Roman" w:eastAsia="TimesNewRoman" w:hAnsi="Times New Roman" w:cs="Times New Roman"/>
        </w:rPr>
        <w:t>In case of extravasation, the injection must be stopped, the site of in</w:t>
      </w:r>
      <w:r>
        <w:rPr>
          <w:rFonts w:ascii="Times New Roman" w:eastAsia="TimesNewRoman" w:hAnsi="Times New Roman" w:cs="Times New Roman"/>
        </w:rPr>
        <w:t xml:space="preserve">jection must be </w:t>
      </w:r>
      <w:proofErr w:type="gramStart"/>
      <w:r>
        <w:rPr>
          <w:rFonts w:ascii="Times New Roman" w:eastAsia="TimesNewRoman" w:hAnsi="Times New Roman" w:cs="Times New Roman"/>
        </w:rPr>
        <w:t>changed</w:t>
      </w:r>
      <w:proofErr w:type="gramEnd"/>
      <w:r>
        <w:rPr>
          <w:rFonts w:ascii="Times New Roman" w:eastAsia="TimesNewRoman" w:hAnsi="Times New Roman" w:cs="Times New Roman"/>
        </w:rPr>
        <w:t xml:space="preserve"> and the </w:t>
      </w:r>
      <w:r w:rsidRPr="0082219D">
        <w:rPr>
          <w:rFonts w:ascii="Times New Roman" w:eastAsia="TimesNewRoman" w:hAnsi="Times New Roman" w:cs="Times New Roman"/>
        </w:rPr>
        <w:t>affected area should be irrigated with sodium chloride solution. The</w:t>
      </w:r>
      <w:r>
        <w:rPr>
          <w:rFonts w:ascii="Times New Roman" w:eastAsia="TimesNewRoman" w:hAnsi="Times New Roman" w:cs="Times New Roman"/>
        </w:rPr>
        <w:t xml:space="preserve"> impact of extravasation on the </w:t>
      </w:r>
      <w:proofErr w:type="gramStart"/>
      <w:r w:rsidRPr="0082219D">
        <w:rPr>
          <w:rFonts w:ascii="Times New Roman" w:eastAsia="TimesNewRoman" w:hAnsi="Times New Roman" w:cs="Times New Roman"/>
        </w:rPr>
        <w:t>actually injected</w:t>
      </w:r>
      <w:proofErr w:type="gramEnd"/>
      <w:r w:rsidRPr="0082219D">
        <w:rPr>
          <w:rFonts w:ascii="Times New Roman" w:eastAsia="TimesNewRoman" w:hAnsi="Times New Roman" w:cs="Times New Roman"/>
        </w:rPr>
        <w:t xml:space="preserve"> dose and on image quality has to be considered when interpreting the imaging results.</w:t>
      </w:r>
    </w:p>
    <w:p w14:paraId="511B4B23" w14:textId="77777777" w:rsidR="00A12806" w:rsidRPr="00A34935" w:rsidRDefault="00A12806" w:rsidP="00B30ADC">
      <w:pPr>
        <w:pStyle w:val="Heading3"/>
      </w:pPr>
      <w:r w:rsidRPr="00A34935">
        <w:t>Risk for Image Misinterpretation</w:t>
      </w:r>
      <w:bookmarkEnd w:id="17"/>
    </w:p>
    <w:p w14:paraId="1F1E5A41" w14:textId="77777777" w:rsidR="009A77D6" w:rsidRPr="009A77D6" w:rsidRDefault="009A77D6" w:rsidP="009A77D6">
      <w:pPr>
        <w:rPr>
          <w:rFonts w:ascii="Times New Roman" w:eastAsia="TimesNewRoman" w:hAnsi="Times New Roman" w:cs="Times New Roman"/>
        </w:rPr>
      </w:pPr>
      <w:r w:rsidRPr="009A77D6">
        <w:rPr>
          <w:rFonts w:ascii="Times New Roman" w:eastAsia="TimesNewRoman" w:hAnsi="Times New Roman" w:cs="Times New Roman"/>
        </w:rPr>
        <w:t xml:space="preserve">Image interpretation errors can occur with Ga 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9A77D6">
        <w:rPr>
          <w:rFonts w:ascii="Times New Roman" w:eastAsia="TimesNewRoman" w:hAnsi="Times New Roman" w:cs="Times New Roman"/>
        </w:rPr>
        <w:t xml:space="preserve"> PET. A negative image does not rule out the presence of prostate cancer and a positive image does not confirm the presence of prostate cancer. It is recommended that appropriately trained and experienced personnel perform and interpret 68Ga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9A77D6">
        <w:rPr>
          <w:rFonts w:ascii="Times New Roman" w:eastAsia="TimesNewRoman" w:hAnsi="Times New Roman" w:cs="Times New Roman"/>
        </w:rPr>
        <w:t xml:space="preserve"> PET.</w:t>
      </w:r>
    </w:p>
    <w:p w14:paraId="6A792F9A" w14:textId="77777777" w:rsidR="009A77D6" w:rsidRPr="009A77D6" w:rsidRDefault="009A77D6" w:rsidP="009A77D6">
      <w:pPr>
        <w:rPr>
          <w:rFonts w:ascii="Times New Roman" w:eastAsia="TimesNewRoman" w:hAnsi="Times New Roman" w:cs="Times New Roman"/>
        </w:rPr>
      </w:pPr>
      <w:r w:rsidRPr="009A77D6">
        <w:rPr>
          <w:rFonts w:ascii="Times New Roman" w:eastAsia="TimesNewRoman" w:hAnsi="Times New Roman" w:cs="Times New Roman"/>
        </w:rPr>
        <w:t xml:space="preserve">Ga 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9A77D6">
        <w:rPr>
          <w:rFonts w:ascii="Times New Roman" w:eastAsia="TimesNewRoman" w:hAnsi="Times New Roman" w:cs="Times New Roman"/>
        </w:rPr>
        <w:t xml:space="preserve"> uptake is not specific for prostate cancer. An important pitfall is uptake in coeliac ganglia of the autonomic nervous system which may be misinterpreted as retroperitoneal lymph node metastases.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9A77D6">
        <w:rPr>
          <w:rFonts w:ascii="Times New Roman" w:eastAsia="TimesNewRoman" w:hAnsi="Times New Roman" w:cs="Times New Roman"/>
        </w:rPr>
        <w:t xml:space="preserve"> uptake may occur with other types of cancer and with benign conditions such as prostatitis, benign prostatic hyperplasia, Paget’s disease, fibrous dysplasia, and osteophytosis. False-positive cases have been also described in </w:t>
      </w:r>
      <w:r w:rsidRPr="009A77D6">
        <w:rPr>
          <w:rFonts w:ascii="Times New Roman" w:eastAsia="TimesNewRoman" w:hAnsi="Times New Roman" w:cs="Times New Roman"/>
        </w:rPr>
        <w:lastRenderedPageBreak/>
        <w:t>association with an inflammatory response after cryotherapy and radiation artefacts in patients previously treated with radiotherapy.</w:t>
      </w:r>
    </w:p>
    <w:p w14:paraId="4624056E" w14:textId="77777777" w:rsidR="00A12806" w:rsidRPr="00A34935" w:rsidRDefault="009A77D6" w:rsidP="00745F40">
      <w:pPr>
        <w:rPr>
          <w:rFonts w:ascii="Times New Roman" w:eastAsia="TimesNewRoman" w:hAnsi="Times New Roman" w:cs="Times New Roman"/>
        </w:rPr>
      </w:pPr>
      <w:r w:rsidRPr="009A77D6">
        <w:rPr>
          <w:rFonts w:ascii="Times New Roman" w:eastAsia="TimesNewRoman" w:hAnsi="Times New Roman" w:cs="Times New Roman"/>
        </w:rPr>
        <w:t>Clinical correlation, which may include histopathological evaluation of the suspected recurrence site, should be considered where appropriate.</w:t>
      </w:r>
    </w:p>
    <w:p w14:paraId="6EF128AC" w14:textId="77777777" w:rsidR="00A12806" w:rsidRPr="00A34935" w:rsidRDefault="00A12806" w:rsidP="00B30ADC">
      <w:pPr>
        <w:pStyle w:val="Heading3"/>
      </w:pPr>
      <w:bookmarkStart w:id="18" w:name="_Toc48568591"/>
      <w:r w:rsidRPr="00A34935">
        <w:t>Radiation Risks</w:t>
      </w:r>
      <w:bookmarkEnd w:id="18"/>
    </w:p>
    <w:p w14:paraId="34B234EA" w14:textId="77777777" w:rsidR="000023A1" w:rsidRDefault="00A12806" w:rsidP="00A12806">
      <w:pPr>
        <w:rPr>
          <w:rFonts w:ascii="Times New Roman" w:eastAsia="TimesNewRoman" w:hAnsi="Times New Roman" w:cs="Times New Roman"/>
        </w:rPr>
      </w:pPr>
      <w:r w:rsidRPr="00A34935">
        <w:rPr>
          <w:rFonts w:ascii="Times New Roman" w:eastAsia="TimesNewRoman" w:hAnsi="Times New Roman" w:cs="Times New Roman"/>
        </w:rPr>
        <w:t xml:space="preserve">Like other radiopharmaceuticals,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contributes to a patient’s overall long-term cumulative radiation exposure.  Long-term cumulative radiation exposure is associated with an increased risk for cancer.  Safe handling should be ensured to minimize radiation exposure to the patient and health care </w:t>
      </w:r>
      <w:r w:rsidRPr="00B30ADC">
        <w:rPr>
          <w:rFonts w:ascii="Times New Roman" w:eastAsia="TimesNewRoman" w:hAnsi="Times New Roman" w:cs="Times New Roman"/>
        </w:rPr>
        <w:t>workers</w:t>
      </w:r>
      <w:r w:rsidR="00981E92">
        <w:rPr>
          <w:rFonts w:ascii="Times New Roman" w:eastAsia="TimesNewRoman" w:hAnsi="Times New Roman" w:cs="Times New Roman"/>
        </w:rPr>
        <w:t xml:space="preserve">. </w:t>
      </w:r>
      <w:r w:rsidR="00981E92" w:rsidRPr="00981E92">
        <w:rPr>
          <w:rFonts w:ascii="Times New Roman" w:eastAsia="TimesNewRoman" w:hAnsi="Times New Roman" w:cs="Times New Roman"/>
        </w:rPr>
        <w:t>Radiopharmaceutical agents should be used only by qualified personnel with the appropriate government authorisation for use an</w:t>
      </w:r>
      <w:r w:rsidR="00981E92">
        <w:rPr>
          <w:rFonts w:ascii="Times New Roman" w:eastAsia="TimesNewRoman" w:hAnsi="Times New Roman" w:cs="Times New Roman"/>
        </w:rPr>
        <w:t xml:space="preserve">d manipulation of radionuclides. </w:t>
      </w:r>
      <w:r w:rsidRPr="00B30ADC">
        <w:rPr>
          <w:rFonts w:ascii="Times New Roman" w:eastAsia="TimesNewRoman" w:hAnsi="Times New Roman" w:cs="Times New Roman"/>
        </w:rPr>
        <w:t xml:space="preserve">[see </w:t>
      </w:r>
      <w:r w:rsidR="00B30ADC" w:rsidRPr="00B30ADC">
        <w:rPr>
          <w:rFonts w:ascii="Times New Roman" w:eastAsia="TimesNewRoman" w:hAnsi="Times New Roman" w:cs="Times New Roman"/>
          <w:b/>
          <w:bCs/>
        </w:rPr>
        <w:t>Radiation Safety - Drug Handling</w:t>
      </w:r>
      <w:r w:rsidRPr="00B30ADC">
        <w:rPr>
          <w:rFonts w:ascii="Times New Roman" w:eastAsia="TimesNewRoman" w:hAnsi="Times New Roman" w:cs="Times New Roman"/>
        </w:rPr>
        <w:t>].</w:t>
      </w:r>
    </w:p>
    <w:p w14:paraId="33A4B42C" w14:textId="77777777" w:rsidR="00AE1FDB" w:rsidRPr="00AE1FDB" w:rsidRDefault="00AE1FDB" w:rsidP="00AE1FDB">
      <w:pPr>
        <w:pStyle w:val="Heading3"/>
      </w:pPr>
      <w:r w:rsidRPr="00AE1FDB">
        <w:t>After the procedure</w:t>
      </w:r>
    </w:p>
    <w:p w14:paraId="50A0DA8B" w14:textId="77777777" w:rsidR="00AE1FDB" w:rsidRPr="00AE1FDB" w:rsidRDefault="00AE1FDB" w:rsidP="00AE1FDB">
      <w:pPr>
        <w:rPr>
          <w:rFonts w:ascii="Times New Roman" w:eastAsia="TimesNewRoman" w:hAnsi="Times New Roman" w:cs="Times New Roman"/>
        </w:rPr>
      </w:pPr>
      <w:r w:rsidRPr="00AE1FDB">
        <w:rPr>
          <w:rFonts w:ascii="Times New Roman" w:eastAsia="TimesNewRoman" w:hAnsi="Times New Roman" w:cs="Times New Roman"/>
        </w:rPr>
        <w:t>Close contact with infants and pregnant women should be restri</w:t>
      </w:r>
      <w:r>
        <w:rPr>
          <w:rFonts w:ascii="Times New Roman" w:eastAsia="TimesNewRoman" w:hAnsi="Times New Roman" w:cs="Times New Roman"/>
        </w:rPr>
        <w:t xml:space="preserve">cted during the initial 2 hours </w:t>
      </w:r>
      <w:r w:rsidRPr="00AE1FDB">
        <w:rPr>
          <w:rFonts w:ascii="Times New Roman" w:eastAsia="TimesNewRoman" w:hAnsi="Times New Roman" w:cs="Times New Roman"/>
        </w:rPr>
        <w:t>following the injection.</w:t>
      </w:r>
    </w:p>
    <w:p w14:paraId="45ECE92D" w14:textId="77777777" w:rsidR="00AE1FDB" w:rsidRDefault="00AE1FDB" w:rsidP="00AE1FDB">
      <w:pPr>
        <w:rPr>
          <w:rFonts w:ascii="Times New Roman" w:eastAsia="TimesNewRoman" w:hAnsi="Times New Roman" w:cs="Times New Roman"/>
        </w:rPr>
      </w:pPr>
      <w:r w:rsidRPr="00AE1FDB">
        <w:rPr>
          <w:rFonts w:ascii="Times New Roman" w:eastAsia="TimesNewRoman" w:hAnsi="Times New Roman" w:cs="Times New Roman"/>
        </w:rPr>
        <w:t xml:space="preserve">The patient should be encouraged to drink sufficient amounts and void </w:t>
      </w:r>
      <w:r>
        <w:rPr>
          <w:rFonts w:ascii="Times New Roman" w:eastAsia="TimesNewRoman" w:hAnsi="Times New Roman" w:cs="Times New Roman"/>
        </w:rPr>
        <w:t xml:space="preserve">as often as possible during the </w:t>
      </w:r>
      <w:r w:rsidRPr="00AE1FDB">
        <w:rPr>
          <w:rFonts w:ascii="Times New Roman" w:eastAsia="TimesNewRoman" w:hAnsi="Times New Roman" w:cs="Times New Roman"/>
        </w:rPr>
        <w:t xml:space="preserve">first hours after the scan </w:t>
      </w:r>
      <w:proofErr w:type="gramStart"/>
      <w:r w:rsidRPr="00AE1FDB">
        <w:rPr>
          <w:rFonts w:ascii="Times New Roman" w:eastAsia="TimesNewRoman" w:hAnsi="Times New Roman" w:cs="Times New Roman"/>
        </w:rPr>
        <w:t>in order to</w:t>
      </w:r>
      <w:proofErr w:type="gramEnd"/>
      <w:r w:rsidRPr="00AE1FDB">
        <w:rPr>
          <w:rFonts w:ascii="Times New Roman" w:eastAsia="TimesNewRoman" w:hAnsi="Times New Roman" w:cs="Times New Roman"/>
        </w:rPr>
        <w:t xml:space="preserve"> reduce radiation exposure of the bladder.</w:t>
      </w:r>
    </w:p>
    <w:p w14:paraId="2CBA45A8" w14:textId="77777777" w:rsidR="00A12806" w:rsidRPr="000023A1" w:rsidRDefault="000023A1" w:rsidP="000023A1">
      <w:pPr>
        <w:pStyle w:val="Heading3"/>
      </w:pPr>
      <w:r w:rsidRPr="000023A1">
        <w:t>Use in renal impairment</w:t>
      </w:r>
    </w:p>
    <w:p w14:paraId="010EFD80" w14:textId="77777777" w:rsidR="000023A1" w:rsidRPr="000023A1" w:rsidRDefault="000023A1" w:rsidP="000023A1">
      <w:pPr>
        <w:rPr>
          <w:rFonts w:ascii="Times New Roman" w:eastAsia="TimesNewRoman" w:hAnsi="Times New Roman" w:cs="Times New Roman"/>
        </w:rPr>
      </w:pPr>
      <w:r w:rsidRPr="000023A1">
        <w:rPr>
          <w:rFonts w:ascii="Times New Roman" w:eastAsia="TimesNewRoman" w:hAnsi="Times New Roman" w:cs="Times New Roman"/>
        </w:rPr>
        <w:t xml:space="preserve">Gallium (68Ga)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0023A1">
        <w:rPr>
          <w:rFonts w:ascii="Times New Roman" w:eastAsia="TimesNewRoman" w:hAnsi="Times New Roman" w:cs="Times New Roman"/>
        </w:rPr>
        <w:t xml:space="preserve"> Injection prepared by </w:t>
      </w:r>
      <w:r>
        <w:rPr>
          <w:rFonts w:ascii="Times New Roman" w:eastAsia="TimesNewRoman" w:hAnsi="Times New Roman" w:cs="Times New Roman"/>
        </w:rPr>
        <w:t>ILLUCCIX</w:t>
      </w:r>
      <w:r w:rsidRPr="000023A1">
        <w:rPr>
          <w:rFonts w:ascii="Times New Roman" w:eastAsia="TimesNewRoman" w:hAnsi="Times New Roman" w:cs="Times New Roman"/>
        </w:rPr>
        <w:t xml:space="preserve"> has not been studied in patients with renal impairment.</w:t>
      </w:r>
    </w:p>
    <w:p w14:paraId="371FC535" w14:textId="77777777" w:rsidR="000023A1" w:rsidRPr="00A34935" w:rsidRDefault="000023A1" w:rsidP="000023A1">
      <w:pPr>
        <w:rPr>
          <w:rFonts w:ascii="Times New Roman" w:eastAsia="TimesNewRoman" w:hAnsi="Times New Roman" w:cs="Times New Roman"/>
        </w:rPr>
      </w:pPr>
      <w:r w:rsidRPr="000023A1">
        <w:rPr>
          <w:rFonts w:ascii="Times New Roman" w:eastAsia="TimesNewRoman" w:hAnsi="Times New Roman" w:cs="Times New Roman"/>
        </w:rPr>
        <w:t xml:space="preserve">Considering the renal excretion of </w:t>
      </w:r>
      <w:r>
        <w:rPr>
          <w:rFonts w:ascii="Times New Roman" w:eastAsia="TimesNewRoman" w:hAnsi="Times New Roman" w:cs="Times New Roman"/>
        </w:rPr>
        <w:t>ILLUCCIX</w:t>
      </w:r>
      <w:r w:rsidRPr="000023A1">
        <w:rPr>
          <w:rFonts w:ascii="Times New Roman" w:eastAsia="TimesNewRoman" w:hAnsi="Times New Roman" w:cs="Times New Roman"/>
        </w:rPr>
        <w:t>, careful consideration of the</w:t>
      </w:r>
      <w:r>
        <w:rPr>
          <w:rFonts w:ascii="Times New Roman" w:eastAsia="TimesNewRoman" w:hAnsi="Times New Roman" w:cs="Times New Roman"/>
        </w:rPr>
        <w:t xml:space="preserve"> activity to be administered is </w:t>
      </w:r>
      <w:r w:rsidRPr="000023A1">
        <w:rPr>
          <w:rFonts w:ascii="Times New Roman" w:eastAsia="TimesNewRoman" w:hAnsi="Times New Roman" w:cs="Times New Roman"/>
        </w:rPr>
        <w:t>required since an increased radiation exposure is possible in these patients.</w:t>
      </w:r>
    </w:p>
    <w:p w14:paraId="58DD5473" w14:textId="77777777" w:rsidR="001A3992" w:rsidRPr="00A34935" w:rsidRDefault="001A3992" w:rsidP="00B30ADC">
      <w:pPr>
        <w:pStyle w:val="Heading3"/>
      </w:pPr>
      <w:r w:rsidRPr="00A34935">
        <w:t>Use in the elderly</w:t>
      </w:r>
    </w:p>
    <w:p w14:paraId="3DFDAF0C" w14:textId="77777777" w:rsidR="00565DDD" w:rsidRPr="00A34935" w:rsidRDefault="00565DDD" w:rsidP="00565DDD">
      <w:pPr>
        <w:rPr>
          <w:rFonts w:ascii="Times New Roman" w:eastAsia="TimesNewRoman" w:hAnsi="Times New Roman" w:cs="Times New Roman"/>
        </w:rPr>
      </w:pPr>
      <w:r w:rsidRPr="00A34935">
        <w:rPr>
          <w:rFonts w:ascii="Times New Roman" w:eastAsia="TimesNewRoman" w:hAnsi="Times New Roman" w:cs="Times New Roman"/>
        </w:rPr>
        <w:t xml:space="preserve">Of the patients included in the clinical studies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the mean age was 69 years with a range of 44.7 to 94.0 years.  No overall difference in </w:t>
      </w:r>
      <w:r w:rsidR="00251766" w:rsidRPr="00251766">
        <w:rPr>
          <w:rFonts w:ascii="Times New Roman" w:eastAsia="TimesNewRoman" w:hAnsi="Times New Roman" w:cs="Times New Roman"/>
        </w:rPr>
        <w:t>efficacy was</w:t>
      </w:r>
      <w:r w:rsidR="0020472F">
        <w:rPr>
          <w:rFonts w:ascii="Times New Roman" w:eastAsia="TimesNewRoman" w:hAnsi="Times New Roman" w:cs="Times New Roman"/>
        </w:rPr>
        <w:t xml:space="preserve"> </w:t>
      </w:r>
      <w:r w:rsidRPr="00A34935">
        <w:rPr>
          <w:rFonts w:ascii="Times New Roman" w:eastAsia="TimesNewRoman" w:hAnsi="Times New Roman" w:cs="Times New Roman"/>
        </w:rPr>
        <w:t>observed between older subjects and younger subjects.</w:t>
      </w:r>
      <w:r w:rsidR="0020472F">
        <w:rPr>
          <w:rFonts w:ascii="Times New Roman" w:eastAsia="TimesNewRoman" w:hAnsi="Times New Roman" w:cs="Times New Roman"/>
        </w:rPr>
        <w:t xml:space="preserve"> </w:t>
      </w:r>
      <w:r w:rsidR="00251766" w:rsidRPr="00251766">
        <w:rPr>
          <w:rFonts w:ascii="Times New Roman" w:eastAsia="TimesNewRoman" w:hAnsi="Times New Roman" w:cs="Times New Roman"/>
        </w:rPr>
        <w:t>Subjects aged 65 years or more reported more adverse events compared to subjects aged less than 65 years. However, the number of patients in the trials was not large enough to allow definitive comparisons.</w:t>
      </w:r>
    </w:p>
    <w:p w14:paraId="48312F15" w14:textId="77777777" w:rsidR="001A3992" w:rsidRPr="00A34935" w:rsidRDefault="001A3992" w:rsidP="00A34935">
      <w:pPr>
        <w:pStyle w:val="Heading3"/>
      </w:pPr>
      <w:r w:rsidRPr="00A34935">
        <w:t>Paediatric use</w:t>
      </w:r>
    </w:p>
    <w:p w14:paraId="21E81CA9" w14:textId="77777777" w:rsidR="00565DDD" w:rsidRPr="00A34935" w:rsidRDefault="00565DDD" w:rsidP="00565DDD">
      <w:pPr>
        <w:rPr>
          <w:rFonts w:ascii="Times New Roman" w:eastAsia="TimesNewRoman" w:hAnsi="Times New Roman" w:cs="Times New Roman"/>
        </w:rPr>
      </w:pPr>
      <w:r w:rsidRPr="00A34935">
        <w:rPr>
          <w:rFonts w:ascii="Times New Roman" w:eastAsia="TimesNewRoman" w:hAnsi="Times New Roman" w:cs="Times New Roman"/>
        </w:rPr>
        <w:t xml:space="preserve">Safety and effectiveness have not been established in </w:t>
      </w:r>
      <w:r w:rsidR="00054CF1" w:rsidRPr="00A34935">
        <w:rPr>
          <w:rFonts w:ascii="Times New Roman" w:eastAsia="TimesNewRoman" w:hAnsi="Times New Roman" w:cs="Times New Roman"/>
        </w:rPr>
        <w:t>paediatric</w:t>
      </w:r>
      <w:r w:rsidRPr="00A34935">
        <w:rPr>
          <w:rFonts w:ascii="Times New Roman" w:eastAsia="TimesNewRoman" w:hAnsi="Times New Roman" w:cs="Times New Roman"/>
        </w:rPr>
        <w:t xml:space="preserve"> patients.</w:t>
      </w:r>
    </w:p>
    <w:p w14:paraId="60A045AD" w14:textId="77777777" w:rsidR="001A3992" w:rsidRDefault="001A3992" w:rsidP="00A34935">
      <w:pPr>
        <w:pStyle w:val="Heading3"/>
      </w:pPr>
      <w:r w:rsidRPr="00A34935">
        <w:t>Effects on laboratory tests</w:t>
      </w:r>
    </w:p>
    <w:p w14:paraId="7F9DE638" w14:textId="77777777" w:rsidR="00054CF1" w:rsidRPr="00054CF1" w:rsidRDefault="00054CF1" w:rsidP="00054CF1">
      <w:pPr>
        <w:rPr>
          <w:rFonts w:ascii="Times New Roman" w:eastAsia="TimesNewRoman" w:hAnsi="Times New Roman" w:cs="Times New Roman"/>
        </w:rPr>
      </w:pPr>
      <w:r w:rsidRPr="00054CF1">
        <w:rPr>
          <w:rFonts w:ascii="Times New Roman" w:eastAsia="TimesNewRoman" w:hAnsi="Times New Roman" w:cs="Times New Roman"/>
        </w:rPr>
        <w:t>No data available.</w:t>
      </w:r>
    </w:p>
    <w:p w14:paraId="6795F385" w14:textId="77777777" w:rsidR="001A3992" w:rsidRDefault="001A3992" w:rsidP="001A3992">
      <w:pPr>
        <w:pStyle w:val="Heading2"/>
        <w:keepNext/>
        <w:keepLines/>
        <w:spacing w:before="0" w:after="120"/>
        <w:rPr>
          <w:rFonts w:ascii="Times New Roman" w:hAnsi="Times New Roman" w:cs="Times New Roman"/>
        </w:rPr>
      </w:pPr>
      <w:r w:rsidRPr="00A34935">
        <w:rPr>
          <w:rFonts w:ascii="Times New Roman" w:hAnsi="Times New Roman" w:cs="Times New Roman"/>
        </w:rPr>
        <w:lastRenderedPageBreak/>
        <w:t>Interactions with other medicines and other forms of interactions</w:t>
      </w:r>
    </w:p>
    <w:p w14:paraId="7EAC14D9" w14:textId="77777777" w:rsidR="00054CF1" w:rsidRDefault="00054CF1" w:rsidP="00054CF1">
      <w:pPr>
        <w:rPr>
          <w:rFonts w:ascii="Times New Roman" w:eastAsia="TimesNewRoman" w:hAnsi="Times New Roman" w:cs="Times New Roman"/>
        </w:rPr>
      </w:pPr>
      <w:r w:rsidRPr="00054CF1">
        <w:rPr>
          <w:rFonts w:ascii="Times New Roman" w:eastAsia="TimesNewRoman" w:hAnsi="Times New Roman" w:cs="Times New Roman"/>
        </w:rPr>
        <w:t>There are no known interactions to date.</w:t>
      </w:r>
      <w:r w:rsidR="0020472F">
        <w:rPr>
          <w:rFonts w:ascii="Times New Roman" w:eastAsia="TimesNewRoman" w:hAnsi="Times New Roman" w:cs="Times New Roman"/>
        </w:rPr>
        <w:t xml:space="preserve"> </w:t>
      </w:r>
      <w:r w:rsidR="00745F40" w:rsidRPr="00D1750B">
        <w:rPr>
          <w:rFonts w:ascii="Times New Roman" w:eastAsia="TimesNewRoman" w:hAnsi="Times New Roman" w:cs="Times New Roman"/>
        </w:rPr>
        <w:t xml:space="preserve">Given the </w:t>
      </w:r>
      <w:proofErr w:type="spellStart"/>
      <w:r w:rsidR="00745F40" w:rsidRPr="00D1750B">
        <w:rPr>
          <w:rFonts w:ascii="Times New Roman" w:eastAsia="TimesNewRoman" w:hAnsi="Times New Roman" w:cs="Times New Roman"/>
        </w:rPr>
        <w:t>microdose</w:t>
      </w:r>
      <w:proofErr w:type="spellEnd"/>
      <w:r w:rsidR="00745F40" w:rsidRPr="00D1750B">
        <w:rPr>
          <w:rFonts w:ascii="Times New Roman" w:eastAsia="TimesNewRoman" w:hAnsi="Times New Roman" w:cs="Times New Roman"/>
        </w:rPr>
        <w:t xml:space="preserve"> administered, and given that</w:t>
      </w:r>
      <w:r w:rsidR="0020472F">
        <w:rPr>
          <w:rFonts w:ascii="Times New Roman" w:eastAsia="TimesNewRoman" w:hAnsi="Times New Roman" w:cs="Times New Roman"/>
        </w:rPr>
        <w:t xml:space="preserve"> </w:t>
      </w:r>
      <w:r w:rsidR="00745F40" w:rsidRPr="00D1750B">
        <w:rPr>
          <w:rFonts w:ascii="Times New Roman" w:eastAsia="TimesNewRoman" w:hAnsi="Times New Roman" w:cs="Times New Roman"/>
        </w:rPr>
        <w:t>significant hepatic metabolism is unlikely, the risk of clinically significant pharmacokinetic drug</w:t>
      </w:r>
      <w:r w:rsidR="0020472F">
        <w:rPr>
          <w:rFonts w:ascii="Times New Roman" w:eastAsia="TimesNewRoman" w:hAnsi="Times New Roman" w:cs="Times New Roman"/>
        </w:rPr>
        <w:t xml:space="preserve"> </w:t>
      </w:r>
      <w:r w:rsidR="00745F40" w:rsidRPr="00D1750B">
        <w:rPr>
          <w:rFonts w:ascii="Times New Roman" w:eastAsia="TimesNewRoman" w:hAnsi="Times New Roman" w:cs="Times New Roman"/>
        </w:rPr>
        <w:t>interactions is very low. The reduction in signal from the urinary bladder seen with the concomitant</w:t>
      </w:r>
      <w:r w:rsidR="0020472F">
        <w:rPr>
          <w:rFonts w:ascii="Times New Roman" w:eastAsia="TimesNewRoman" w:hAnsi="Times New Roman" w:cs="Times New Roman"/>
        </w:rPr>
        <w:t xml:space="preserve"> </w:t>
      </w:r>
      <w:r w:rsidR="00745F40" w:rsidRPr="00D1750B">
        <w:rPr>
          <w:rFonts w:ascii="Times New Roman" w:eastAsia="TimesNewRoman" w:hAnsi="Times New Roman" w:cs="Times New Roman"/>
        </w:rPr>
        <w:t>administration of furosemide, suggested that the use of furosemide and possibly other diuretics, could</w:t>
      </w:r>
      <w:r w:rsidR="0020472F">
        <w:rPr>
          <w:rFonts w:ascii="Times New Roman" w:eastAsia="TimesNewRoman" w:hAnsi="Times New Roman" w:cs="Times New Roman"/>
        </w:rPr>
        <w:t xml:space="preserve"> </w:t>
      </w:r>
      <w:r w:rsidR="00745F40" w:rsidRPr="00D1750B">
        <w:rPr>
          <w:rFonts w:ascii="Times New Roman" w:eastAsia="TimesNewRoman" w:hAnsi="Times New Roman" w:cs="Times New Roman"/>
        </w:rPr>
        <w:t xml:space="preserve">reduce the scatter severity in </w:t>
      </w:r>
      <w:r w:rsidR="00745F40" w:rsidRPr="00A34935">
        <w:rPr>
          <w:rFonts w:ascii="Times New Roman" w:eastAsia="TimesNewRoman" w:hAnsi="Times New Roman" w:cs="Times New Roman"/>
        </w:rPr>
        <w:t xml:space="preserve">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00745F40" w:rsidRPr="00D1750B">
        <w:rPr>
          <w:rFonts w:ascii="Times New Roman" w:eastAsia="TimesNewRoman" w:hAnsi="Times New Roman" w:cs="Times New Roman"/>
        </w:rPr>
        <w:t xml:space="preserve"> PET/CT.</w:t>
      </w:r>
    </w:p>
    <w:p w14:paraId="2AA8B960" w14:textId="77777777" w:rsidR="008B3F8B" w:rsidRDefault="00AE27EE" w:rsidP="00054CF1">
      <w:pPr>
        <w:rPr>
          <w:rFonts w:ascii="Times New Roman" w:eastAsia="TimesNewRoman" w:hAnsi="Times New Roman" w:cs="Times New Roman"/>
        </w:rPr>
        <w:sectPr w:rsidR="008B3F8B">
          <w:pgSz w:w="11906" w:h="16838"/>
          <w:pgMar w:top="1440" w:right="1440" w:bottom="1440" w:left="1440" w:header="708" w:footer="708" w:gutter="0"/>
          <w:cols w:space="708"/>
          <w:docGrid w:linePitch="360"/>
        </w:sectPr>
      </w:pPr>
      <w:r w:rsidRPr="00AE27EE">
        <w:rPr>
          <w:rFonts w:ascii="Times New Roman" w:eastAsia="TimesNewRoman" w:hAnsi="Times New Roman" w:cs="Times New Roman"/>
        </w:rPr>
        <w:t xml:space="preserve">Androgen deprivation therapy (ADT) and other therapies targeting the androgen pathway, such as androgen receptor antagonists, may result in changes in uptake of Ga 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E27EE">
        <w:rPr>
          <w:rFonts w:ascii="Times New Roman" w:eastAsia="TimesNewRoman" w:hAnsi="Times New Roman" w:cs="Times New Roman"/>
        </w:rPr>
        <w:t xml:space="preserve"> in prostate cancer. The effect of these therapies on performance of Ga 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E27EE">
        <w:rPr>
          <w:rFonts w:ascii="Times New Roman" w:eastAsia="TimesNewRoman" w:hAnsi="Times New Roman" w:cs="Times New Roman"/>
        </w:rPr>
        <w:t xml:space="preserve"> PET has not been established</w:t>
      </w:r>
      <w:r>
        <w:rPr>
          <w:rFonts w:ascii="Times New Roman" w:eastAsia="TimesNewRoman" w:hAnsi="Times New Roman" w:cs="Times New Roman"/>
        </w:rPr>
        <w:t>.</w:t>
      </w:r>
    </w:p>
    <w:p w14:paraId="25DC6B1F" w14:textId="77777777" w:rsidR="001A3992" w:rsidRPr="00A34935" w:rsidRDefault="001A3992" w:rsidP="001A3992">
      <w:pPr>
        <w:pStyle w:val="Heading2"/>
        <w:spacing w:before="0" w:after="120"/>
        <w:rPr>
          <w:rFonts w:ascii="Times New Roman" w:hAnsi="Times New Roman" w:cs="Times New Roman"/>
        </w:rPr>
      </w:pPr>
      <w:r w:rsidRPr="00A34935">
        <w:rPr>
          <w:rFonts w:ascii="Times New Roman" w:hAnsi="Times New Roman" w:cs="Times New Roman"/>
        </w:rPr>
        <w:lastRenderedPageBreak/>
        <w:t xml:space="preserve">Fertility, pregnancy and lactation </w:t>
      </w:r>
    </w:p>
    <w:p w14:paraId="14065689" w14:textId="77777777" w:rsidR="001A3992" w:rsidRDefault="001A3992" w:rsidP="00A34935">
      <w:pPr>
        <w:pStyle w:val="Heading3"/>
      </w:pPr>
      <w:r w:rsidRPr="00A34935">
        <w:t>Effects on fertility</w:t>
      </w:r>
    </w:p>
    <w:p w14:paraId="52328A2E" w14:textId="77777777" w:rsidR="00120643" w:rsidRPr="000B3669" w:rsidRDefault="002B62D9" w:rsidP="00120643">
      <w:pPr>
        <w:pStyle w:val="CommentText"/>
        <w:rPr>
          <w:rFonts w:ascii="Times New Roman" w:eastAsia="TimesNewRoman" w:hAnsi="Times New Roman" w:cs="Times New Roman"/>
          <w:sz w:val="22"/>
          <w:szCs w:val="22"/>
        </w:rPr>
      </w:pPr>
      <w:r w:rsidRPr="002B62D9">
        <w:rPr>
          <w:rFonts w:ascii="Times New Roman" w:eastAsia="TimesNewRoman" w:hAnsi="Times New Roman" w:cs="Times New Roman"/>
          <w:sz w:val="22"/>
          <w:szCs w:val="22"/>
        </w:rPr>
        <w:t>The effects of Ga-68-</w:t>
      </w:r>
      <w:r w:rsidRPr="002B62D9">
        <w:rPr>
          <w:rFonts w:ascii="Times New Roman" w:hAnsi="Times New Roman" w:cs="Times New Roman"/>
          <w:sz w:val="22"/>
          <w:szCs w:val="22"/>
          <w:lang w:val="en-US"/>
        </w:rPr>
        <w:t xml:space="preserve"> </w:t>
      </w:r>
      <w:r w:rsidRPr="00860CD4">
        <w:rPr>
          <w:rFonts w:ascii="Times New Roman" w:hAnsi="Times New Roman" w:cs="Times New Roman"/>
          <w:sz w:val="22"/>
          <w:szCs w:val="22"/>
          <w:lang w:val="en-US"/>
        </w:rPr>
        <w:t>Glu-urea-Lys(</w:t>
      </w:r>
      <w:proofErr w:type="spellStart"/>
      <w:r w:rsidRPr="00860CD4">
        <w:rPr>
          <w:rFonts w:ascii="Times New Roman" w:hAnsi="Times New Roman" w:cs="Times New Roman"/>
          <w:sz w:val="22"/>
          <w:szCs w:val="22"/>
          <w:lang w:val="en-US"/>
        </w:rPr>
        <w:t>ahx</w:t>
      </w:r>
      <w:proofErr w:type="spellEnd"/>
      <w:r w:rsidRPr="00860CD4">
        <w:rPr>
          <w:rFonts w:ascii="Times New Roman" w:hAnsi="Times New Roman" w:cs="Times New Roman"/>
          <w:sz w:val="22"/>
          <w:szCs w:val="22"/>
          <w:lang w:val="en-US"/>
        </w:rPr>
        <w:t>)-</w:t>
      </w:r>
      <w:proofErr w:type="spellStart"/>
      <w:r w:rsidRPr="00860CD4">
        <w:rPr>
          <w:rFonts w:ascii="Times New Roman" w:hAnsi="Times New Roman" w:cs="Times New Roman"/>
          <w:sz w:val="22"/>
          <w:szCs w:val="22"/>
          <w:lang w:val="en-US"/>
        </w:rPr>
        <w:t>hbed</w:t>
      </w:r>
      <w:proofErr w:type="spellEnd"/>
      <w:r w:rsidRPr="00860CD4">
        <w:rPr>
          <w:rFonts w:ascii="Times New Roman" w:hAnsi="Times New Roman" w:cs="Times New Roman"/>
          <w:sz w:val="22"/>
          <w:szCs w:val="22"/>
          <w:lang w:val="en-US"/>
        </w:rPr>
        <w:t>-CC</w:t>
      </w:r>
      <w:r w:rsidRPr="002B62D9">
        <w:rPr>
          <w:rFonts w:ascii="Times New Roman" w:eastAsia="TimesNewRoman" w:hAnsi="Times New Roman" w:cs="Times New Roman"/>
          <w:sz w:val="22"/>
          <w:szCs w:val="22"/>
        </w:rPr>
        <w:t xml:space="preserve"> on fertility have not been evaluated in animal studies.</w:t>
      </w:r>
      <w:r>
        <w:rPr>
          <w:rFonts w:ascii="Times New Roman" w:eastAsia="TimesNewRoman" w:hAnsi="Times New Roman" w:cs="Times New Roman"/>
          <w:sz w:val="22"/>
          <w:szCs w:val="22"/>
        </w:rPr>
        <w:t xml:space="preserve"> </w:t>
      </w:r>
      <w:r w:rsidR="00616511">
        <w:rPr>
          <w:rFonts w:ascii="Times New Roman" w:hAnsi="Times New Roman" w:cs="Times New Roman"/>
          <w:sz w:val="22"/>
          <w:szCs w:val="22"/>
          <w:lang w:val="en-US"/>
        </w:rPr>
        <w:t xml:space="preserve">Patients with partner of childbearing potential should be informed of potential impact of PET/CT on spermatogenesis as the binding and internalization of [68 Ga] </w:t>
      </w:r>
      <w:r w:rsidR="00860CD4" w:rsidRPr="00860CD4">
        <w:rPr>
          <w:rFonts w:ascii="Times New Roman" w:hAnsi="Times New Roman" w:cs="Times New Roman"/>
          <w:sz w:val="22"/>
          <w:szCs w:val="22"/>
          <w:lang w:val="en-US"/>
        </w:rPr>
        <w:t>Glu-urea-Lys(</w:t>
      </w:r>
      <w:proofErr w:type="spellStart"/>
      <w:r w:rsidR="00860CD4" w:rsidRPr="00860CD4">
        <w:rPr>
          <w:rFonts w:ascii="Times New Roman" w:hAnsi="Times New Roman" w:cs="Times New Roman"/>
          <w:sz w:val="22"/>
          <w:szCs w:val="22"/>
          <w:lang w:val="en-US"/>
        </w:rPr>
        <w:t>ahx</w:t>
      </w:r>
      <w:proofErr w:type="spellEnd"/>
      <w:r w:rsidR="00860CD4" w:rsidRPr="00860CD4">
        <w:rPr>
          <w:rFonts w:ascii="Times New Roman" w:hAnsi="Times New Roman" w:cs="Times New Roman"/>
          <w:sz w:val="22"/>
          <w:szCs w:val="22"/>
          <w:lang w:val="en-US"/>
        </w:rPr>
        <w:t>)-</w:t>
      </w:r>
      <w:proofErr w:type="spellStart"/>
      <w:r w:rsidR="00860CD4" w:rsidRPr="00860CD4">
        <w:rPr>
          <w:rFonts w:ascii="Times New Roman" w:hAnsi="Times New Roman" w:cs="Times New Roman"/>
          <w:sz w:val="22"/>
          <w:szCs w:val="22"/>
          <w:lang w:val="en-US"/>
        </w:rPr>
        <w:t>hbed</w:t>
      </w:r>
      <w:proofErr w:type="spellEnd"/>
      <w:r w:rsidR="00860CD4" w:rsidRPr="00860CD4">
        <w:rPr>
          <w:rFonts w:ascii="Times New Roman" w:hAnsi="Times New Roman" w:cs="Times New Roman"/>
          <w:sz w:val="22"/>
          <w:szCs w:val="22"/>
          <w:lang w:val="en-US"/>
        </w:rPr>
        <w:t>-CC</w:t>
      </w:r>
      <w:r w:rsidR="00616511">
        <w:rPr>
          <w:rFonts w:ascii="Times New Roman" w:hAnsi="Times New Roman" w:cs="Times New Roman"/>
          <w:sz w:val="22"/>
          <w:szCs w:val="22"/>
          <w:lang w:val="en-US"/>
        </w:rPr>
        <w:t xml:space="preserve"> at the level of the prostate could however theoretically lead to DNA damage during spermatogenesis.</w:t>
      </w:r>
    </w:p>
    <w:p w14:paraId="77EBDA54" w14:textId="77777777" w:rsidR="001A3992" w:rsidRDefault="001A3992" w:rsidP="00A34935">
      <w:pPr>
        <w:pStyle w:val="Heading3"/>
      </w:pPr>
      <w:r w:rsidRPr="00A34935">
        <w:t>Use in pregnancy</w:t>
      </w:r>
    </w:p>
    <w:p w14:paraId="2E23BDA1" w14:textId="77777777" w:rsidR="00054CF1" w:rsidRPr="00054CF1" w:rsidRDefault="00054CF1" w:rsidP="00054CF1">
      <w:pPr>
        <w:rPr>
          <w:rFonts w:ascii="Times New Roman" w:eastAsia="TimesNewRoman" w:hAnsi="Times New Roman" w:cs="Times New Roman"/>
        </w:rPr>
      </w:pPr>
      <w:r w:rsidRPr="00054CF1">
        <w:rPr>
          <w:rFonts w:ascii="Times New Roman" w:eastAsia="TimesNewRoman" w:hAnsi="Times New Roman" w:cs="Times New Roman"/>
        </w:rPr>
        <w:t xml:space="preserve">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054CF1">
        <w:rPr>
          <w:rFonts w:ascii="Times New Roman" w:eastAsia="TimesNewRoman" w:hAnsi="Times New Roman" w:cs="Times New Roman"/>
        </w:rPr>
        <w:t xml:space="preserve"> is not indicated for use in females.  There are no studies with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054CF1">
        <w:rPr>
          <w:rFonts w:ascii="Times New Roman" w:eastAsia="TimesNewRoman" w:hAnsi="Times New Roman" w:cs="Times New Roman"/>
        </w:rPr>
        <w:t xml:space="preserve"> in pregnant women to inform any drug-associated risks; however, all radiopharmaceuticals, including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054CF1">
        <w:rPr>
          <w:rFonts w:ascii="Times New Roman" w:eastAsia="TimesNewRoman" w:hAnsi="Times New Roman" w:cs="Times New Roman"/>
        </w:rPr>
        <w:t xml:space="preserve"> have the potential to cause </w:t>
      </w:r>
      <w:proofErr w:type="spellStart"/>
      <w:r w:rsidRPr="00054CF1">
        <w:rPr>
          <w:rFonts w:ascii="Times New Roman" w:eastAsia="TimesNewRoman" w:hAnsi="Times New Roman" w:cs="Times New Roman"/>
        </w:rPr>
        <w:t>fetal</w:t>
      </w:r>
      <w:proofErr w:type="spellEnd"/>
      <w:r w:rsidRPr="00054CF1">
        <w:rPr>
          <w:rFonts w:ascii="Times New Roman" w:eastAsia="TimesNewRoman" w:hAnsi="Times New Roman" w:cs="Times New Roman"/>
        </w:rPr>
        <w:t xml:space="preserve"> harm.  Animal reproduction studies have not been conducted with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054CF1">
        <w:rPr>
          <w:rFonts w:ascii="Times New Roman" w:eastAsia="TimesNewRoman" w:hAnsi="Times New Roman" w:cs="Times New Roman"/>
        </w:rPr>
        <w:t xml:space="preserve">. </w:t>
      </w:r>
    </w:p>
    <w:p w14:paraId="2C2E9FBB" w14:textId="77777777" w:rsidR="00054CF1" w:rsidRDefault="001A3992" w:rsidP="00A34935">
      <w:pPr>
        <w:pStyle w:val="Heading3"/>
      </w:pPr>
      <w:r w:rsidRPr="00A34935">
        <w:t>Use in lactation</w:t>
      </w:r>
    </w:p>
    <w:p w14:paraId="13B2A566" w14:textId="77777777" w:rsidR="001D02B3" w:rsidRDefault="00054CF1" w:rsidP="00054CF1">
      <w:pPr>
        <w:rPr>
          <w:rFonts w:ascii="Times New Roman" w:eastAsia="TimesNewRoman" w:hAnsi="Times New Roman" w:cs="Times New Roman"/>
        </w:rPr>
      </w:pPr>
      <w:r w:rsidRPr="00054CF1">
        <w:rPr>
          <w:rFonts w:ascii="Times New Roman" w:eastAsia="TimesNewRoman" w:hAnsi="Times New Roman" w:cs="Times New Roman"/>
        </w:rPr>
        <w:t xml:space="preserve">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054CF1">
        <w:rPr>
          <w:rFonts w:ascii="Times New Roman" w:eastAsia="TimesNewRoman" w:hAnsi="Times New Roman" w:cs="Times New Roman"/>
        </w:rPr>
        <w:t xml:space="preserve"> is not indicated for use in females.  There is no information on the presence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054CF1">
        <w:rPr>
          <w:rFonts w:ascii="Times New Roman" w:eastAsia="TimesNewRoman" w:hAnsi="Times New Roman" w:cs="Times New Roman"/>
        </w:rPr>
        <w:t xml:space="preserve"> in human milk, the effect on the breastfed infant, or the effect on milk production.</w:t>
      </w:r>
    </w:p>
    <w:p w14:paraId="477FF313" w14:textId="77777777" w:rsidR="001A3992" w:rsidRPr="00A34935" w:rsidRDefault="001A3992" w:rsidP="001A3992">
      <w:pPr>
        <w:pStyle w:val="Heading2"/>
        <w:spacing w:before="0" w:after="120"/>
        <w:rPr>
          <w:rFonts w:ascii="Times New Roman" w:hAnsi="Times New Roman" w:cs="Times New Roman"/>
        </w:rPr>
      </w:pPr>
      <w:r w:rsidRPr="00A34935">
        <w:rPr>
          <w:rFonts w:ascii="Times New Roman" w:hAnsi="Times New Roman" w:cs="Times New Roman"/>
        </w:rPr>
        <w:t xml:space="preserve">Effects on ability to drive and use machines </w:t>
      </w:r>
    </w:p>
    <w:p w14:paraId="129D0283" w14:textId="77777777" w:rsidR="001D02B3" w:rsidRDefault="004D43BA" w:rsidP="001D02B3">
      <w:pPr>
        <w:rPr>
          <w:rFonts w:ascii="Times New Roman" w:hAnsi="Times New Roman" w:cs="Times New Roman"/>
        </w:rPr>
      </w:pPr>
      <w:r w:rsidRPr="000F507A">
        <w:rPr>
          <w:rFonts w:ascii="Times New Roman" w:hAnsi="Times New Roman" w:cs="Times New Roman"/>
        </w:rPr>
        <w:t xml:space="preserve">Gallium (68Ga) </w:t>
      </w:r>
      <w:r w:rsidR="00860CD4" w:rsidRPr="00860CD4">
        <w:rPr>
          <w:rFonts w:ascii="Times New Roman" w:hAnsi="Times New Roman" w:cs="Times New Roman"/>
        </w:rPr>
        <w:t>Glu-urea-Lys(</w:t>
      </w:r>
      <w:proofErr w:type="spellStart"/>
      <w:r w:rsidR="00860CD4" w:rsidRPr="00860CD4">
        <w:rPr>
          <w:rFonts w:ascii="Times New Roman" w:hAnsi="Times New Roman" w:cs="Times New Roman"/>
        </w:rPr>
        <w:t>ahx</w:t>
      </w:r>
      <w:proofErr w:type="spellEnd"/>
      <w:r w:rsidR="00860CD4" w:rsidRPr="00860CD4">
        <w:rPr>
          <w:rFonts w:ascii="Times New Roman" w:hAnsi="Times New Roman" w:cs="Times New Roman"/>
        </w:rPr>
        <w:t>)-</w:t>
      </w:r>
      <w:proofErr w:type="spellStart"/>
      <w:r w:rsidR="00860CD4" w:rsidRPr="00860CD4">
        <w:rPr>
          <w:rFonts w:ascii="Times New Roman" w:hAnsi="Times New Roman" w:cs="Times New Roman"/>
        </w:rPr>
        <w:t>hbed</w:t>
      </w:r>
      <w:proofErr w:type="spellEnd"/>
      <w:r w:rsidR="00860CD4" w:rsidRPr="00860CD4">
        <w:rPr>
          <w:rFonts w:ascii="Times New Roman" w:hAnsi="Times New Roman" w:cs="Times New Roman"/>
        </w:rPr>
        <w:t>-CC</w:t>
      </w:r>
      <w:r w:rsidRPr="000F507A">
        <w:rPr>
          <w:rFonts w:ascii="Times New Roman" w:hAnsi="Times New Roman" w:cs="Times New Roman"/>
        </w:rPr>
        <w:t xml:space="preserve"> Injection has no known influence on the ability to drive and use machines.</w:t>
      </w:r>
    </w:p>
    <w:p w14:paraId="2C761091" w14:textId="77777777" w:rsidR="001A3992" w:rsidRPr="00A34935" w:rsidRDefault="001A3992" w:rsidP="001D02B3">
      <w:pPr>
        <w:pStyle w:val="Heading2"/>
        <w:spacing w:before="0" w:after="120"/>
        <w:rPr>
          <w:rFonts w:ascii="Times New Roman" w:hAnsi="Times New Roman" w:cs="Times New Roman"/>
        </w:rPr>
      </w:pPr>
      <w:r w:rsidRPr="00A34935">
        <w:rPr>
          <w:rFonts w:ascii="Times New Roman" w:hAnsi="Times New Roman" w:cs="Times New Roman"/>
        </w:rPr>
        <w:t>Adverse effects (Undesirable effects)</w:t>
      </w:r>
    </w:p>
    <w:p w14:paraId="48664E43" w14:textId="77777777" w:rsidR="00A12806" w:rsidRPr="00A34935" w:rsidRDefault="00A12806" w:rsidP="003557FB">
      <w:pPr>
        <w:pStyle w:val="Heading3"/>
      </w:pPr>
      <w:r w:rsidRPr="00A34935">
        <w:t>Clinical Trials Experience</w:t>
      </w:r>
    </w:p>
    <w:p w14:paraId="17D5340A" w14:textId="77777777" w:rsidR="00A12806" w:rsidRPr="003557FB" w:rsidRDefault="00A12806" w:rsidP="00A12806">
      <w:pPr>
        <w:rPr>
          <w:rFonts w:ascii="Times New Roman" w:eastAsia="TimesNewRoman" w:hAnsi="Times New Roman" w:cs="Times New Roman"/>
        </w:rPr>
      </w:pPr>
      <w:r w:rsidRPr="00A34935">
        <w:rPr>
          <w:rFonts w:ascii="Times New Roman" w:eastAsia="TimesNewRoman" w:hAnsi="Times New Roman" w:cs="Times New Roman"/>
        </w:rPr>
        <w:t xml:space="preserve">Because clinical trials are conducted under widely varying conditions, adverse reaction rates observed in the clinical trials of a drug cannot be directly compared to rates in the clinical trials of another drug </w:t>
      </w:r>
      <w:r w:rsidRPr="003557FB">
        <w:rPr>
          <w:rFonts w:ascii="Times New Roman" w:eastAsia="TimesNewRoman" w:hAnsi="Times New Roman" w:cs="Times New Roman"/>
        </w:rPr>
        <w:t xml:space="preserve">and may not reflect the rates observed in practice.  </w:t>
      </w:r>
    </w:p>
    <w:p w14:paraId="693A12FC" w14:textId="77777777" w:rsidR="00A12806" w:rsidRPr="003557FB" w:rsidRDefault="00A12806" w:rsidP="00A12806">
      <w:pPr>
        <w:rPr>
          <w:rFonts w:ascii="Times New Roman" w:eastAsia="TimesNewRoman" w:hAnsi="Times New Roman" w:cs="Times New Roman"/>
        </w:rPr>
      </w:pPr>
      <w:r w:rsidRPr="003557FB">
        <w:rPr>
          <w:rFonts w:ascii="Times New Roman" w:eastAsia="TimesNewRoman" w:hAnsi="Times New Roman" w:cs="Times New Roman"/>
        </w:rPr>
        <w:t xml:space="preserve">The safety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3557FB">
        <w:rPr>
          <w:rFonts w:ascii="Times New Roman" w:eastAsia="TimesNewRoman" w:hAnsi="Times New Roman" w:cs="Times New Roman"/>
        </w:rPr>
        <w:t xml:space="preserve"> was evaluated in one retrospective efficacy and safety study </w:t>
      </w:r>
      <w:r w:rsidR="003557FB" w:rsidRPr="003557FB">
        <w:rPr>
          <w:rFonts w:ascii="Times New Roman" w:eastAsia="TimesNewRoman" w:hAnsi="Times New Roman" w:cs="Times New Roman"/>
        </w:rPr>
        <w:t>(</w:t>
      </w:r>
      <w:r w:rsidRPr="003557FB">
        <w:rPr>
          <w:rFonts w:ascii="Times New Roman" w:eastAsia="TimesNewRoman" w:hAnsi="Times New Roman" w:cs="Times New Roman"/>
        </w:rPr>
        <w:t xml:space="preserve">see </w:t>
      </w:r>
      <w:r w:rsidR="003557FB" w:rsidRPr="003557FB">
        <w:rPr>
          <w:rFonts w:ascii="Times New Roman" w:eastAsia="TimesNewRoman" w:hAnsi="Times New Roman" w:cs="Times New Roman"/>
          <w:b/>
          <w:bCs/>
        </w:rPr>
        <w:t>CLINICAL TRIALS</w:t>
      </w:r>
      <w:r w:rsidR="003557FB" w:rsidRPr="003557FB">
        <w:rPr>
          <w:rFonts w:ascii="Times New Roman" w:eastAsia="TimesNewRoman" w:hAnsi="Times New Roman" w:cs="Times New Roman"/>
        </w:rPr>
        <w:t>)</w:t>
      </w:r>
      <w:r w:rsidRPr="003557FB">
        <w:rPr>
          <w:rFonts w:ascii="Times New Roman" w:eastAsia="TimesNewRoman" w:hAnsi="Times New Roman" w:cs="Times New Roman"/>
        </w:rPr>
        <w:t xml:space="preserve">, one prospective safety study (n=206), one retrospective observational study (n=194), and in a survey of the scientific literature in patients with prostate cancer who received a single dose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3557FB">
        <w:rPr>
          <w:rFonts w:ascii="Times New Roman" w:eastAsia="TimesNewRoman" w:hAnsi="Times New Roman" w:cs="Times New Roman"/>
        </w:rPr>
        <w:t xml:space="preserve"> (n=1882).  </w:t>
      </w:r>
    </w:p>
    <w:p w14:paraId="73F745F4" w14:textId="77777777" w:rsidR="00A12806" w:rsidRDefault="00A12806" w:rsidP="00A12806">
      <w:pPr>
        <w:rPr>
          <w:rFonts w:ascii="Times New Roman" w:eastAsia="TimesNewRoman" w:hAnsi="Times New Roman" w:cs="Times New Roman"/>
        </w:rPr>
      </w:pPr>
      <w:r w:rsidRPr="00A34935">
        <w:rPr>
          <w:rFonts w:ascii="Times New Roman" w:eastAsia="TimesNewRoman" w:hAnsi="Times New Roman" w:cs="Times New Roman"/>
        </w:rPr>
        <w:t xml:space="preserve">No adverse reactions were reported in clinical studies (n=822) with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w:t>
      </w:r>
    </w:p>
    <w:p w14:paraId="70439DDE" w14:textId="77777777" w:rsidR="00583626" w:rsidRPr="006A1F34" w:rsidRDefault="00583626" w:rsidP="006A1F34">
      <w:pPr>
        <w:rPr>
          <w:rFonts w:ascii="Times New Roman" w:hAnsi="Times New Roman" w:cs="Times New Roman"/>
          <w:u w:val="single"/>
        </w:rPr>
      </w:pPr>
      <w:r w:rsidRPr="006A1F34">
        <w:rPr>
          <w:rFonts w:ascii="Times New Roman" w:hAnsi="Times New Roman" w:cs="Times New Roman"/>
          <w:u w:val="single"/>
        </w:rPr>
        <w:t>Tabulated list of adverse reactions</w:t>
      </w:r>
    </w:p>
    <w:p w14:paraId="6D0C5424" w14:textId="77777777" w:rsidR="00583626" w:rsidRPr="00583626" w:rsidRDefault="00583626" w:rsidP="00583626">
      <w:pPr>
        <w:rPr>
          <w:rFonts w:ascii="Times New Roman" w:eastAsia="TimesNewRoman" w:hAnsi="Times New Roman" w:cs="Times New Roman"/>
        </w:rPr>
      </w:pPr>
      <w:r w:rsidRPr="00583626">
        <w:rPr>
          <w:rFonts w:ascii="Times New Roman" w:eastAsia="TimesNewRoman" w:hAnsi="Times New Roman" w:cs="Times New Roman"/>
        </w:rPr>
        <w:t xml:space="preserve">The following list of adverse reactions is based on experience from clinical trials and </w:t>
      </w:r>
      <w:r w:rsidR="00E748D7" w:rsidRPr="00583626">
        <w:rPr>
          <w:rFonts w:ascii="Times New Roman" w:eastAsia="TimesNewRoman" w:hAnsi="Times New Roman" w:cs="Times New Roman"/>
        </w:rPr>
        <w:t>in available literature</w:t>
      </w:r>
      <w:r w:rsidRPr="00583626">
        <w:rPr>
          <w:rFonts w:ascii="Times New Roman" w:eastAsia="TimesNewRoman" w:hAnsi="Times New Roman" w:cs="Times New Roman"/>
        </w:rPr>
        <w:t xml:space="preserve">. Adverse reactions are displayed by system organ class and frequency in </w:t>
      </w:r>
      <w:r w:rsidR="00A85732">
        <w:fldChar w:fldCharType="begin"/>
      </w:r>
      <w:r w:rsidR="00A85732">
        <w:instrText xml:space="preserve"> REF _Ref62257142 \h  \* MERGEFORMAT </w:instrText>
      </w:r>
      <w:r w:rsidR="00A85732">
        <w:fldChar w:fldCharType="separate"/>
      </w:r>
      <w:r w:rsidR="00950DC7" w:rsidRPr="00950DC7">
        <w:rPr>
          <w:rFonts w:ascii="Times New Roman" w:eastAsia="TimesNewRoman" w:hAnsi="Times New Roman" w:cs="Times New Roman"/>
        </w:rPr>
        <w:t>Table 6</w:t>
      </w:r>
      <w:r w:rsidR="00A85732">
        <w:fldChar w:fldCharType="end"/>
      </w:r>
      <w:r w:rsidRPr="00583626">
        <w:rPr>
          <w:rFonts w:ascii="Times New Roman" w:eastAsia="TimesNewRoman" w:hAnsi="Times New Roman" w:cs="Times New Roman"/>
        </w:rPr>
        <w:t xml:space="preserve"> and </w:t>
      </w:r>
      <w:r w:rsidRPr="00583626">
        <w:rPr>
          <w:rFonts w:ascii="Times New Roman" w:eastAsia="TimesNewRoman" w:hAnsi="Times New Roman" w:cs="Times New Roman"/>
        </w:rPr>
        <w:lastRenderedPageBreak/>
        <w:t>defined as</w:t>
      </w:r>
      <w:r w:rsidR="0020472F">
        <w:rPr>
          <w:rFonts w:ascii="Times New Roman" w:eastAsia="TimesNewRoman" w:hAnsi="Times New Roman" w:cs="Times New Roman"/>
        </w:rPr>
        <w:t xml:space="preserve"> </w:t>
      </w:r>
      <w:r w:rsidRPr="00583626">
        <w:rPr>
          <w:rFonts w:ascii="Times New Roman" w:eastAsia="TimesNewRoman" w:hAnsi="Times New Roman" w:cs="Times New Roman"/>
        </w:rPr>
        <w:t>very common (≥1/10), common (≥1/100 to &lt;1/10), uncommon (≥1/1,000 to &lt;1/100), rare (≥1/10,000to &lt;1/1,000), very rare (&lt;1/10,000) and not known (cannot be estimated from the available data).</w:t>
      </w:r>
    </w:p>
    <w:p w14:paraId="0D04EB15" w14:textId="77777777" w:rsidR="00860CD4" w:rsidRDefault="00583626" w:rsidP="008B3F8B">
      <w:pPr>
        <w:rPr>
          <w:rFonts w:ascii="Times New Roman" w:eastAsia="TimesNewRoman" w:hAnsi="Times New Roman" w:cs="Times New Roman"/>
        </w:rPr>
      </w:pPr>
      <w:r w:rsidRPr="00583626">
        <w:rPr>
          <w:rFonts w:ascii="Times New Roman" w:eastAsia="TimesNewRoman" w:hAnsi="Times New Roman" w:cs="Times New Roman"/>
        </w:rPr>
        <w:t>Adverse reactions were reported rarely (&lt;1/1,000) during clinical trials and in available literature.</w:t>
      </w:r>
    </w:p>
    <w:p w14:paraId="10BB3DCD" w14:textId="77777777" w:rsidR="00583626" w:rsidRPr="00AE1FDB" w:rsidRDefault="00583626" w:rsidP="00AE1FDB">
      <w:pPr>
        <w:pStyle w:val="Caption"/>
        <w:keepNext/>
      </w:pPr>
      <w:bookmarkStart w:id="19" w:name="_Ref62257142"/>
      <w:r>
        <w:t xml:space="preserve">Table </w:t>
      </w:r>
      <w:r w:rsidR="0097219B">
        <w:fldChar w:fldCharType="begin"/>
      </w:r>
      <w:r>
        <w:instrText xml:space="preserve"> SEQ Table \* ARABIC </w:instrText>
      </w:r>
      <w:r w:rsidR="0097219B">
        <w:fldChar w:fldCharType="separate"/>
      </w:r>
      <w:r w:rsidR="001378C5">
        <w:rPr>
          <w:noProof/>
        </w:rPr>
        <w:t>6</w:t>
      </w:r>
      <w:r w:rsidR="0097219B">
        <w:fldChar w:fldCharType="end"/>
      </w:r>
      <w:bookmarkEnd w:id="19"/>
      <w:r w:rsidRPr="00583626">
        <w:rPr>
          <w:rFonts w:ascii="Times New Roman" w:eastAsia="TimesNewRoman" w:hAnsi="Times New Roman" w:cs="Times New Roman"/>
        </w:rPr>
        <w:t>: Tabulated list of adverse reactions</w:t>
      </w:r>
    </w:p>
    <w:tbl>
      <w:tblPr>
        <w:tblStyle w:val="TableGrid"/>
        <w:tblW w:w="0" w:type="auto"/>
        <w:tblLook w:val="04A0" w:firstRow="1" w:lastRow="0" w:firstColumn="1" w:lastColumn="0" w:noHBand="0" w:noVBand="1"/>
      </w:tblPr>
      <w:tblGrid>
        <w:gridCol w:w="3531"/>
        <w:gridCol w:w="5485"/>
      </w:tblGrid>
      <w:tr w:rsidR="00583626" w:rsidRPr="00AE1FDB" w14:paraId="6A933B9C" w14:textId="77777777" w:rsidTr="00AE1FDB">
        <w:tc>
          <w:tcPr>
            <w:tcW w:w="3618" w:type="dxa"/>
          </w:tcPr>
          <w:p w14:paraId="7A3EABA6" w14:textId="77777777" w:rsidR="00583626" w:rsidRPr="00AE1FDB" w:rsidRDefault="00583626" w:rsidP="00583626">
            <w:pPr>
              <w:rPr>
                <w:rFonts w:ascii="Times New Roman" w:eastAsia="TimesNewRoman" w:hAnsi="Times New Roman" w:cs="Times New Roman"/>
                <w:b/>
              </w:rPr>
            </w:pPr>
            <w:r w:rsidRPr="00AE1FDB">
              <w:rPr>
                <w:rFonts w:ascii="Times New Roman" w:eastAsia="TimesNewRoman" w:hAnsi="Times New Roman" w:cs="Times New Roman"/>
                <w:b/>
              </w:rPr>
              <w:t>Frequency</w:t>
            </w:r>
          </w:p>
        </w:tc>
        <w:tc>
          <w:tcPr>
            <w:tcW w:w="5624" w:type="dxa"/>
          </w:tcPr>
          <w:p w14:paraId="514BF8C3" w14:textId="77777777" w:rsidR="00583626" w:rsidRPr="00AE1FDB" w:rsidRDefault="00583626" w:rsidP="00583626">
            <w:pPr>
              <w:rPr>
                <w:rFonts w:ascii="Times New Roman" w:eastAsia="TimesNewRoman" w:hAnsi="Times New Roman" w:cs="Times New Roman"/>
                <w:b/>
              </w:rPr>
            </w:pPr>
            <w:r w:rsidRPr="00AE1FDB">
              <w:rPr>
                <w:rFonts w:ascii="Times New Roman" w:eastAsia="TimesNewRoman" w:hAnsi="Times New Roman" w:cs="Times New Roman"/>
                <w:b/>
              </w:rPr>
              <w:t>Adverse Reaction</w:t>
            </w:r>
          </w:p>
        </w:tc>
      </w:tr>
      <w:tr w:rsidR="00583626" w:rsidRPr="00AE1FDB" w14:paraId="41DF00C8" w14:textId="77777777" w:rsidTr="00583626">
        <w:tc>
          <w:tcPr>
            <w:tcW w:w="9242" w:type="dxa"/>
            <w:gridSpan w:val="2"/>
          </w:tcPr>
          <w:p w14:paraId="2D62C9A8" w14:textId="77777777" w:rsidR="00583626" w:rsidRPr="00AE1FDB" w:rsidRDefault="00583626" w:rsidP="00583626">
            <w:pPr>
              <w:rPr>
                <w:rFonts w:ascii="Times New Roman" w:eastAsia="TimesNewRoman" w:hAnsi="Times New Roman" w:cs="Times New Roman"/>
                <w:i/>
              </w:rPr>
            </w:pPr>
            <w:r w:rsidRPr="00AE1FDB">
              <w:rPr>
                <w:rFonts w:ascii="Times New Roman" w:eastAsia="TimesNewRoman" w:hAnsi="Times New Roman" w:cs="Times New Roman"/>
                <w:i/>
              </w:rPr>
              <w:t>Metabolism and nutrition disorders</w:t>
            </w:r>
          </w:p>
        </w:tc>
      </w:tr>
      <w:tr w:rsidR="00583626" w:rsidRPr="00AE1FDB" w14:paraId="357D50F2" w14:textId="77777777" w:rsidTr="00AE1FDB">
        <w:tc>
          <w:tcPr>
            <w:tcW w:w="3618" w:type="dxa"/>
          </w:tcPr>
          <w:p w14:paraId="232DCED3" w14:textId="77777777" w:rsidR="00583626" w:rsidRPr="00AE1FDB" w:rsidRDefault="00AE1FDB" w:rsidP="00583626">
            <w:pPr>
              <w:rPr>
                <w:rFonts w:ascii="Times New Roman" w:eastAsia="TimesNewRoman" w:hAnsi="Times New Roman" w:cs="Times New Roman"/>
              </w:rPr>
            </w:pPr>
            <w:r w:rsidRPr="00AE1FDB">
              <w:rPr>
                <w:rFonts w:ascii="Times New Roman" w:eastAsia="TimesNewRoman" w:hAnsi="Times New Roman" w:cs="Times New Roman"/>
              </w:rPr>
              <w:t>Rare</w:t>
            </w:r>
          </w:p>
        </w:tc>
        <w:tc>
          <w:tcPr>
            <w:tcW w:w="5624" w:type="dxa"/>
          </w:tcPr>
          <w:p w14:paraId="2F644A26" w14:textId="77777777" w:rsidR="00583626" w:rsidRPr="00AE1FDB" w:rsidRDefault="00AE1FDB" w:rsidP="00583626">
            <w:pPr>
              <w:rPr>
                <w:rFonts w:ascii="Times New Roman" w:eastAsia="TimesNewRoman" w:hAnsi="Times New Roman" w:cs="Times New Roman"/>
              </w:rPr>
            </w:pPr>
            <w:r w:rsidRPr="00AE1FDB">
              <w:rPr>
                <w:rFonts w:ascii="Times New Roman" w:hAnsi="Times New Roman" w:cs="Times New Roman"/>
              </w:rPr>
              <w:t>Transient hyperamylasemia</w:t>
            </w:r>
          </w:p>
        </w:tc>
      </w:tr>
      <w:tr w:rsidR="00583626" w:rsidRPr="00AE1FDB" w14:paraId="7B05084C" w14:textId="77777777" w:rsidTr="00583626">
        <w:tc>
          <w:tcPr>
            <w:tcW w:w="9242" w:type="dxa"/>
            <w:gridSpan w:val="2"/>
          </w:tcPr>
          <w:p w14:paraId="23973626" w14:textId="77777777" w:rsidR="00583626" w:rsidRPr="00AE1FDB" w:rsidRDefault="00583626" w:rsidP="00583626">
            <w:pPr>
              <w:rPr>
                <w:rFonts w:ascii="Times New Roman" w:eastAsia="TimesNewRoman" w:hAnsi="Times New Roman" w:cs="Times New Roman"/>
                <w:i/>
              </w:rPr>
            </w:pPr>
            <w:r w:rsidRPr="00AE1FDB">
              <w:rPr>
                <w:rFonts w:ascii="Times New Roman" w:eastAsia="TimesNewRoman" w:hAnsi="Times New Roman" w:cs="Times New Roman"/>
                <w:i/>
              </w:rPr>
              <w:t>Gastrointestinal disorders</w:t>
            </w:r>
          </w:p>
        </w:tc>
      </w:tr>
      <w:tr w:rsidR="00583626" w:rsidRPr="00AE1FDB" w14:paraId="192A6977" w14:textId="77777777" w:rsidTr="00AE1FDB">
        <w:tc>
          <w:tcPr>
            <w:tcW w:w="3618" w:type="dxa"/>
          </w:tcPr>
          <w:p w14:paraId="0B1C4A2B" w14:textId="77777777" w:rsidR="00583626" w:rsidRPr="00AE1FDB" w:rsidRDefault="00AE1FDB" w:rsidP="00583626">
            <w:pPr>
              <w:rPr>
                <w:rFonts w:ascii="Times New Roman" w:eastAsia="TimesNewRoman" w:hAnsi="Times New Roman" w:cs="Times New Roman"/>
              </w:rPr>
            </w:pPr>
            <w:r w:rsidRPr="00AE1FDB">
              <w:rPr>
                <w:rFonts w:ascii="Times New Roman" w:eastAsia="TimesNewRoman" w:hAnsi="Times New Roman" w:cs="Times New Roman"/>
              </w:rPr>
              <w:t>Rare</w:t>
            </w:r>
          </w:p>
        </w:tc>
        <w:tc>
          <w:tcPr>
            <w:tcW w:w="5624" w:type="dxa"/>
          </w:tcPr>
          <w:p w14:paraId="5755FF27" w14:textId="77777777" w:rsidR="00950DC7" w:rsidRDefault="004902CF" w:rsidP="00950DC7">
            <w:pPr>
              <w:rPr>
                <w:rFonts w:ascii="Times New Roman" w:eastAsia="TimesNewRoman" w:hAnsi="Times New Roman" w:cs="Times New Roman"/>
                <w:sz w:val="22"/>
                <w:szCs w:val="22"/>
                <w:lang w:val="en-AU"/>
              </w:rPr>
            </w:pPr>
            <w:r>
              <w:rPr>
                <w:rFonts w:ascii="Times New Roman" w:eastAsia="TimesNewRoman" w:hAnsi="Times New Roman" w:cs="Times New Roman"/>
              </w:rPr>
              <w:t>Nausea, c</w:t>
            </w:r>
            <w:r w:rsidR="00AE1FDB" w:rsidRPr="00AE1FDB">
              <w:rPr>
                <w:rFonts w:ascii="Times New Roman" w:eastAsia="TimesNewRoman" w:hAnsi="Times New Roman" w:cs="Times New Roman"/>
              </w:rPr>
              <w:t>onstipation</w:t>
            </w:r>
            <w:r>
              <w:rPr>
                <w:rFonts w:ascii="Times New Roman" w:eastAsia="TimesNewRoman" w:hAnsi="Times New Roman" w:cs="Times New Roman"/>
              </w:rPr>
              <w:t xml:space="preserve">, </w:t>
            </w:r>
            <w:proofErr w:type="spellStart"/>
            <w:r w:rsidRPr="004902CF">
              <w:rPr>
                <w:rFonts w:ascii="Times New Roman" w:eastAsia="TimesNewRoman" w:hAnsi="Times New Roman" w:cs="Times New Roman"/>
              </w:rPr>
              <w:t>diarrhoea</w:t>
            </w:r>
            <w:proofErr w:type="spellEnd"/>
          </w:p>
        </w:tc>
      </w:tr>
      <w:tr w:rsidR="00583626" w:rsidRPr="00AE1FDB" w14:paraId="6868B198" w14:textId="77777777" w:rsidTr="00583626">
        <w:tc>
          <w:tcPr>
            <w:tcW w:w="9242" w:type="dxa"/>
            <w:gridSpan w:val="2"/>
          </w:tcPr>
          <w:p w14:paraId="0B1CBC19" w14:textId="77777777" w:rsidR="00583626" w:rsidRPr="00AE1FDB" w:rsidRDefault="00583626" w:rsidP="00583626">
            <w:pPr>
              <w:rPr>
                <w:rFonts w:ascii="Times New Roman" w:eastAsia="TimesNewRoman" w:hAnsi="Times New Roman" w:cs="Times New Roman"/>
                <w:i/>
              </w:rPr>
            </w:pPr>
            <w:r w:rsidRPr="00AE1FDB">
              <w:rPr>
                <w:rFonts w:ascii="Times New Roman" w:eastAsia="TimesNewRoman" w:hAnsi="Times New Roman" w:cs="Times New Roman"/>
                <w:i/>
              </w:rPr>
              <w:t>General disorders and administration site conditions</w:t>
            </w:r>
          </w:p>
        </w:tc>
      </w:tr>
      <w:tr w:rsidR="00583626" w:rsidRPr="00AE1FDB" w14:paraId="0931DF9D" w14:textId="77777777" w:rsidTr="00AE1FDB">
        <w:tc>
          <w:tcPr>
            <w:tcW w:w="3618" w:type="dxa"/>
          </w:tcPr>
          <w:p w14:paraId="1371FBFF" w14:textId="77777777" w:rsidR="00583626" w:rsidRPr="00AE1FDB" w:rsidRDefault="00AE1FDB" w:rsidP="00583626">
            <w:pPr>
              <w:rPr>
                <w:rFonts w:ascii="Times New Roman" w:eastAsia="TimesNewRoman" w:hAnsi="Times New Roman" w:cs="Times New Roman"/>
              </w:rPr>
            </w:pPr>
            <w:r w:rsidRPr="00AE1FDB">
              <w:rPr>
                <w:rFonts w:ascii="Times New Roman" w:eastAsia="TimesNewRoman" w:hAnsi="Times New Roman" w:cs="Times New Roman"/>
              </w:rPr>
              <w:t>Rare</w:t>
            </w:r>
          </w:p>
        </w:tc>
        <w:tc>
          <w:tcPr>
            <w:tcW w:w="5624" w:type="dxa"/>
          </w:tcPr>
          <w:p w14:paraId="16DD2F12" w14:textId="77777777" w:rsidR="00AE1FDB" w:rsidRPr="00AE1FDB" w:rsidRDefault="00AE1FDB" w:rsidP="00AE1FDB">
            <w:pPr>
              <w:rPr>
                <w:rFonts w:ascii="Times New Roman" w:eastAsia="TimesNewRoman" w:hAnsi="Times New Roman" w:cs="Times New Roman"/>
              </w:rPr>
            </w:pPr>
            <w:r w:rsidRPr="00AE1FDB">
              <w:rPr>
                <w:rFonts w:ascii="Times New Roman" w:eastAsia="TimesNewRoman" w:hAnsi="Times New Roman" w:cs="Times New Roman"/>
              </w:rPr>
              <w:t>Asthenia, injection site reaction,</w:t>
            </w:r>
          </w:p>
          <w:p w14:paraId="3E637951" w14:textId="77777777" w:rsidR="00583626" w:rsidRPr="00AE1FDB" w:rsidRDefault="00AE1FDB" w:rsidP="00AE1FDB">
            <w:pPr>
              <w:rPr>
                <w:rFonts w:ascii="Times New Roman" w:eastAsia="TimesNewRoman" w:hAnsi="Times New Roman" w:cs="Times New Roman"/>
              </w:rPr>
            </w:pPr>
            <w:r w:rsidRPr="00AE1FDB">
              <w:rPr>
                <w:rFonts w:ascii="Times New Roman" w:eastAsia="TimesNewRoman" w:hAnsi="Times New Roman" w:cs="Times New Roman"/>
              </w:rPr>
              <w:t>injection site extravasation</w:t>
            </w:r>
          </w:p>
        </w:tc>
      </w:tr>
    </w:tbl>
    <w:p w14:paraId="595C2C93" w14:textId="77777777" w:rsidR="00583626" w:rsidRPr="00A34935" w:rsidRDefault="00583626" w:rsidP="00583626">
      <w:pPr>
        <w:rPr>
          <w:rFonts w:ascii="Times New Roman" w:eastAsia="TimesNewRoman" w:hAnsi="Times New Roman" w:cs="Times New Roman"/>
          <w:highlight w:val="yellow"/>
        </w:rPr>
      </w:pPr>
    </w:p>
    <w:p w14:paraId="4026F97D" w14:textId="77777777" w:rsidR="002B424E" w:rsidRPr="00A34935" w:rsidRDefault="002B424E" w:rsidP="00A34935">
      <w:pPr>
        <w:pStyle w:val="Heading3"/>
      </w:pPr>
      <w:r w:rsidRPr="00A34935">
        <w:t>Reporting suspected adverse effects</w:t>
      </w:r>
    </w:p>
    <w:p w14:paraId="323E1471" w14:textId="77777777" w:rsidR="00497C85" w:rsidRPr="00A34935" w:rsidRDefault="00497C85" w:rsidP="00497C85">
      <w:pPr>
        <w:rPr>
          <w:rFonts w:ascii="Times New Roman" w:hAnsi="Times New Roman" w:cs="Times New Roman"/>
        </w:rPr>
      </w:pPr>
      <w:r w:rsidRPr="00A34935">
        <w:rPr>
          <w:rFonts w:ascii="Times New Roman" w:hAnsi="Times New Roman" w:cs="Times New Roma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5" w:history="1">
        <w:r w:rsidRPr="00A34935">
          <w:rPr>
            <w:rStyle w:val="Hyperlink"/>
            <w:rFonts w:ascii="Times New Roman" w:hAnsi="Times New Roman" w:cs="Times New Roman"/>
          </w:rPr>
          <w:t>www.tga.gov.au/reporting-problems</w:t>
        </w:r>
      </w:hyperlink>
      <w:r w:rsidRPr="00A34935">
        <w:rPr>
          <w:rFonts w:ascii="Times New Roman" w:hAnsi="Times New Roman" w:cs="Times New Roman"/>
        </w:rPr>
        <w:t>.</w:t>
      </w:r>
    </w:p>
    <w:p w14:paraId="12A2F956" w14:textId="77777777" w:rsidR="001A3992" w:rsidRPr="00A34935" w:rsidRDefault="001A3992" w:rsidP="001A3992">
      <w:pPr>
        <w:pStyle w:val="Heading2"/>
        <w:keepNext/>
        <w:keepLines/>
        <w:spacing w:before="0" w:after="120"/>
        <w:rPr>
          <w:rFonts w:ascii="Times New Roman" w:hAnsi="Times New Roman" w:cs="Times New Roman"/>
        </w:rPr>
      </w:pPr>
      <w:r w:rsidRPr="00A34935">
        <w:rPr>
          <w:rFonts w:ascii="Times New Roman" w:hAnsi="Times New Roman" w:cs="Times New Roman"/>
        </w:rPr>
        <w:t>Overdose</w:t>
      </w:r>
    </w:p>
    <w:p w14:paraId="11441A42" w14:textId="77777777" w:rsidR="00993983" w:rsidRPr="00A34935" w:rsidRDefault="00993983" w:rsidP="00497C85">
      <w:pPr>
        <w:rPr>
          <w:rFonts w:ascii="Times New Roman" w:eastAsia="TimesNewRoman" w:hAnsi="Times New Roman" w:cs="Times New Roman"/>
        </w:rPr>
      </w:pPr>
      <w:r w:rsidRPr="00A34935">
        <w:rPr>
          <w:rFonts w:ascii="Times New Roman" w:eastAsia="TimesNewRoman" w:hAnsi="Times New Roman" w:cs="Times New Roman"/>
        </w:rPr>
        <w:t>In the event of a radiation overdose, the absorbed dose to the patient should be reduced where possible by increasing the elimination of the radionuclide from the body by reinforced hydration and frequent bladder voiding.  A diuretic might also be considered.  If possible, an estimate of the radioactive dose given to the patient should be performed.</w:t>
      </w:r>
    </w:p>
    <w:p w14:paraId="7CB00A6C" w14:textId="77777777" w:rsidR="00497C85" w:rsidRPr="00A34935" w:rsidRDefault="00497C85" w:rsidP="00497C85">
      <w:pPr>
        <w:rPr>
          <w:rFonts w:ascii="Times New Roman" w:hAnsi="Times New Roman" w:cs="Times New Roman"/>
        </w:rPr>
      </w:pPr>
      <w:r w:rsidRPr="00A34935">
        <w:rPr>
          <w:rFonts w:ascii="Times New Roman" w:hAnsi="Times New Roman" w:cs="Times New Roman"/>
        </w:rPr>
        <w:t>For information on the management of overdose, contact the Poisons Information Centre on 13 11 26 (Australia).</w:t>
      </w:r>
    </w:p>
    <w:p w14:paraId="088CD723" w14:textId="77777777" w:rsidR="001A3992" w:rsidRPr="00A34935" w:rsidRDefault="001A3992" w:rsidP="001A3992">
      <w:pPr>
        <w:pStyle w:val="Heading1"/>
        <w:spacing w:before="0" w:after="120"/>
        <w:rPr>
          <w:rFonts w:ascii="Times New Roman" w:hAnsi="Times New Roman" w:cs="Times New Roman"/>
          <w:lang w:val="en-US"/>
        </w:rPr>
      </w:pPr>
      <w:r w:rsidRPr="00A34935">
        <w:rPr>
          <w:rFonts w:ascii="Times New Roman" w:hAnsi="Times New Roman" w:cs="Times New Roman"/>
          <w:lang w:val="en-US"/>
        </w:rPr>
        <w:t>Pharmacological properties</w:t>
      </w:r>
    </w:p>
    <w:p w14:paraId="1E25FD9C" w14:textId="77777777" w:rsidR="001A3992" w:rsidRPr="00A34935" w:rsidRDefault="001A3992" w:rsidP="001A3992">
      <w:pPr>
        <w:pStyle w:val="Heading2"/>
        <w:spacing w:before="0" w:after="120"/>
        <w:rPr>
          <w:rFonts w:ascii="Times New Roman" w:hAnsi="Times New Roman" w:cs="Times New Roman"/>
          <w:lang w:val="en-US"/>
        </w:rPr>
      </w:pPr>
      <w:r w:rsidRPr="00A34935">
        <w:rPr>
          <w:rFonts w:ascii="Times New Roman" w:hAnsi="Times New Roman" w:cs="Times New Roman"/>
          <w:lang w:val="en-US"/>
        </w:rPr>
        <w:t xml:space="preserve">Pharmacodynamic properties </w:t>
      </w:r>
    </w:p>
    <w:p w14:paraId="327EFD60" w14:textId="77777777" w:rsidR="001A3992" w:rsidRPr="00A34935" w:rsidRDefault="001A3992" w:rsidP="00A34935">
      <w:pPr>
        <w:pStyle w:val="Heading3"/>
      </w:pPr>
      <w:r w:rsidRPr="00A34935">
        <w:t>Mechanism of action</w:t>
      </w:r>
    </w:p>
    <w:p w14:paraId="4CCB0C17" w14:textId="77777777" w:rsidR="00993983" w:rsidRPr="00A34935" w:rsidRDefault="00993983" w:rsidP="00993983">
      <w:pPr>
        <w:rPr>
          <w:rFonts w:ascii="Times New Roman" w:hAnsi="Times New Roman" w:cs="Times New Roman"/>
        </w:rPr>
      </w:pPr>
      <w:r w:rsidRPr="00A34935">
        <w:rPr>
          <w:rFonts w:ascii="Times New Roman" w:eastAsia="TimesNewRoman" w:hAnsi="Times New Roman" w:cs="Times New Roman"/>
        </w:rPr>
        <w:t xml:space="preserve">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binds to the prostate specific membrane antigen (PSMA) on cells that express PSMA including malignant </w:t>
      </w:r>
      <w:r w:rsidR="002B62D9">
        <w:rPr>
          <w:rFonts w:ascii="Times New Roman" w:eastAsia="TimesNewRoman" w:hAnsi="Times New Roman" w:cs="Times New Roman"/>
        </w:rPr>
        <w:t xml:space="preserve">prostate cancer </w:t>
      </w:r>
      <w:r w:rsidRPr="00A34935">
        <w:rPr>
          <w:rFonts w:ascii="Times New Roman" w:eastAsia="TimesNewRoman" w:hAnsi="Times New Roman" w:cs="Times New Roman"/>
        </w:rPr>
        <w:t>cells, which overexpress PSMA.  Ga-68 is a β+ emitting radionuclide with an emission yield that allows positron emission tomography (PET) imaging.</w:t>
      </w:r>
    </w:p>
    <w:p w14:paraId="249B9B62" w14:textId="77777777" w:rsidR="001A3992" w:rsidRPr="00A34935" w:rsidRDefault="001A3992" w:rsidP="00A34935">
      <w:pPr>
        <w:pStyle w:val="Heading3"/>
        <w:rPr>
          <w:lang w:val="en-US"/>
        </w:rPr>
      </w:pPr>
      <w:r w:rsidRPr="00A34935">
        <w:t>Clinical</w:t>
      </w:r>
      <w:r w:rsidRPr="00A34935">
        <w:rPr>
          <w:lang w:val="en-US"/>
        </w:rPr>
        <w:t xml:space="preserve"> trials</w:t>
      </w:r>
    </w:p>
    <w:p w14:paraId="00A4CDF4" w14:textId="77777777" w:rsidR="00E04CF1" w:rsidRDefault="00993983" w:rsidP="00993983">
      <w:pPr>
        <w:rPr>
          <w:rFonts w:ascii="Times New Roman" w:eastAsia="TimesNewRoman" w:hAnsi="Times New Roman" w:cs="Times New Roman"/>
        </w:rPr>
      </w:pPr>
      <w:r w:rsidRPr="00A34935">
        <w:rPr>
          <w:rFonts w:ascii="Times New Roman" w:eastAsia="TimesNewRoman" w:hAnsi="Times New Roman" w:cs="Times New Roman"/>
        </w:rPr>
        <w:lastRenderedPageBreak/>
        <w:t xml:space="preserve">The efficacy of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was established in a retrospective, open-label single </w:t>
      </w:r>
      <w:proofErr w:type="spellStart"/>
      <w:r w:rsidRPr="00A34935">
        <w:rPr>
          <w:rFonts w:ascii="Times New Roman" w:eastAsia="TimesNewRoman" w:hAnsi="Times New Roman" w:cs="Times New Roman"/>
        </w:rPr>
        <w:t>center</w:t>
      </w:r>
      <w:proofErr w:type="spellEnd"/>
      <w:r w:rsidRPr="00A34935">
        <w:rPr>
          <w:rFonts w:ascii="Times New Roman" w:eastAsia="TimesNewRoman" w:hAnsi="Times New Roman" w:cs="Times New Roman"/>
        </w:rPr>
        <w:t xml:space="preserve"> study.</w:t>
      </w:r>
    </w:p>
    <w:p w14:paraId="4D7DCAD4" w14:textId="77777777" w:rsidR="00E4117A" w:rsidRDefault="00950DC7" w:rsidP="002A26ED">
      <w:pPr>
        <w:pStyle w:val="Default"/>
        <w:rPr>
          <w:rFonts w:ascii="Times New Roman" w:eastAsia="TimesNewRoman" w:hAnsi="Times New Roman" w:cs="Times New Roman"/>
          <w:sz w:val="22"/>
          <w:szCs w:val="22"/>
        </w:rPr>
      </w:pPr>
      <w:r w:rsidRPr="00950DC7">
        <w:rPr>
          <w:rFonts w:ascii="Times New Roman" w:eastAsia="TimesNewRoman" w:hAnsi="Times New Roman" w:cs="Times New Roman"/>
          <w:sz w:val="22"/>
          <w:szCs w:val="22"/>
        </w:rPr>
        <w:t xml:space="preserve">Findings from the retrospective study are further supported by relevant evidence systematically collected from clinical studies in peer reviewed literature.  </w:t>
      </w:r>
    </w:p>
    <w:p w14:paraId="6DDB01E7" w14:textId="77777777" w:rsidR="00E4117A" w:rsidRDefault="00E4117A" w:rsidP="002A26ED">
      <w:pPr>
        <w:pStyle w:val="Default"/>
        <w:rPr>
          <w:rFonts w:ascii="Times New Roman" w:eastAsia="TimesNewRoman" w:hAnsi="Times New Roman" w:cs="Times New Roman"/>
          <w:sz w:val="22"/>
          <w:szCs w:val="22"/>
        </w:rPr>
      </w:pPr>
    </w:p>
    <w:p w14:paraId="05E4ECE3" w14:textId="77777777" w:rsidR="009C7716" w:rsidRDefault="009C7716">
      <w:pPr>
        <w:pStyle w:val="Default"/>
        <w:spacing w:after="120"/>
        <w:rPr>
          <w:rFonts w:ascii="Times New Roman" w:hAnsi="Times New Roman" w:cs="Times New Roman"/>
          <w:b/>
          <w:bCs/>
        </w:rPr>
      </w:pPr>
    </w:p>
    <w:p w14:paraId="3A607E95" w14:textId="77777777" w:rsidR="009C7716" w:rsidRDefault="009C7716">
      <w:pPr>
        <w:pStyle w:val="Default"/>
        <w:spacing w:after="120"/>
        <w:rPr>
          <w:rFonts w:ascii="Times New Roman" w:hAnsi="Times New Roman" w:cs="Times New Roman"/>
          <w:b/>
          <w:bCs/>
        </w:rPr>
      </w:pPr>
    </w:p>
    <w:p w14:paraId="22E4E3DC" w14:textId="77777777" w:rsidR="00A908F5" w:rsidRDefault="00E4117A">
      <w:pPr>
        <w:pStyle w:val="Default"/>
        <w:spacing w:after="120"/>
        <w:rPr>
          <w:rFonts w:ascii="Times New Roman" w:eastAsia="TimesNewRoman" w:hAnsi="Times New Roman" w:cs="Times New Roman"/>
          <w:sz w:val="22"/>
          <w:szCs w:val="22"/>
        </w:rPr>
      </w:pPr>
      <w:r w:rsidRPr="00490CC2">
        <w:rPr>
          <w:rFonts w:ascii="Times New Roman" w:hAnsi="Times New Roman" w:cs="Times New Roman"/>
          <w:b/>
          <w:bCs/>
        </w:rPr>
        <w:t>Retrospective Study</w:t>
      </w:r>
    </w:p>
    <w:p w14:paraId="42063E92" w14:textId="77777777" w:rsidR="00540D6C" w:rsidRDefault="00950DC7" w:rsidP="002A26ED">
      <w:pPr>
        <w:pStyle w:val="Default"/>
        <w:rPr>
          <w:rFonts w:ascii="Times New Roman" w:eastAsia="TimesNewRoman" w:hAnsi="Times New Roman" w:cs="Times New Roman"/>
          <w:sz w:val="22"/>
          <w:szCs w:val="22"/>
        </w:rPr>
      </w:pPr>
      <w:r w:rsidRPr="00950DC7">
        <w:rPr>
          <w:rFonts w:ascii="Times New Roman" w:eastAsia="TimesNewRoman" w:hAnsi="Times New Roman" w:cs="Times New Roman"/>
          <w:sz w:val="22"/>
          <w:szCs w:val="22"/>
        </w:rPr>
        <w:t xml:space="preserve">A total of 422 adult patients (mean age 68.4) with biochemical recurrence were evaluated with Ga-68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PET. All patients had biopsy proven prostate cancer that had been treated with curative intent and who presented with rising PSA. The mean age was 68 years, 93% were white, 80% had had prior prostatectomy, and mean baseline PSA was 11 ng/ml. Each participant received a single 68Ga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PET from </w:t>
      </w:r>
      <w:r w:rsidR="00E55DCB" w:rsidRPr="00950DC7">
        <w:rPr>
          <w:rFonts w:ascii="Times New Roman" w:eastAsia="TimesNewRoman" w:hAnsi="Times New Roman" w:cs="Times New Roman"/>
          <w:sz w:val="22"/>
          <w:szCs w:val="22"/>
        </w:rPr>
        <w:t>m</w:t>
      </w:r>
      <w:r w:rsidR="00E55DCB">
        <w:rPr>
          <w:rFonts w:ascii="Times New Roman" w:eastAsia="TimesNewRoman" w:hAnsi="Times New Roman" w:cs="Times New Roman"/>
          <w:sz w:val="22"/>
          <w:szCs w:val="22"/>
        </w:rPr>
        <w:t>i</w:t>
      </w:r>
      <w:r w:rsidR="00E55DCB" w:rsidRPr="00950DC7">
        <w:rPr>
          <w:rFonts w:ascii="Times New Roman" w:eastAsia="TimesNewRoman" w:hAnsi="Times New Roman" w:cs="Times New Roman"/>
          <w:sz w:val="22"/>
          <w:szCs w:val="22"/>
        </w:rPr>
        <w:t>d</w:t>
      </w:r>
      <w:r w:rsidRPr="00950DC7">
        <w:rPr>
          <w:rFonts w:ascii="Times New Roman" w:eastAsia="TimesNewRoman" w:hAnsi="Times New Roman" w:cs="Times New Roman"/>
          <w:sz w:val="22"/>
          <w:szCs w:val="22"/>
        </w:rPr>
        <w:t xml:space="preserve">-thigh to skull base. The mean activity dose administered was 244 MBq and scans were performed on average 70minutes after administration. There were 295 participants who received 68Ga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as prepared using the ILLUCCIX kit and 127 who received 68GA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prepared by an alternate method.</w:t>
      </w:r>
      <w:r w:rsidR="00E55DCB">
        <w:rPr>
          <w:rFonts w:ascii="Times New Roman" w:eastAsia="TimesNewRoman" w:hAnsi="Times New Roman" w:cs="Times New Roman"/>
          <w:sz w:val="22"/>
          <w:szCs w:val="22"/>
        </w:rPr>
        <w:t xml:space="preserve"> </w:t>
      </w:r>
      <w:r w:rsidRPr="00950DC7">
        <w:rPr>
          <w:rFonts w:ascii="Times New Roman" w:eastAsia="TimesNewRoman" w:hAnsi="Times New Roman" w:cs="Times New Roman"/>
          <w:sz w:val="22"/>
          <w:szCs w:val="22"/>
        </w:rPr>
        <w:t xml:space="preserve">The images were read by three independent readers blinded to clinical and conventional imaging information.  Diagnostic performance of Ga-68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in localizing tumor sites was assessed in 348 patients for whom a composite truth standard</w:t>
      </w:r>
      <w:r w:rsidR="00E55DCB">
        <w:rPr>
          <w:rFonts w:ascii="Times New Roman" w:eastAsia="TimesNewRoman" w:hAnsi="Times New Roman" w:cs="Times New Roman"/>
          <w:sz w:val="22"/>
          <w:szCs w:val="22"/>
        </w:rPr>
        <w:t xml:space="preserve"> </w:t>
      </w:r>
      <w:r w:rsidRPr="00950DC7">
        <w:rPr>
          <w:rFonts w:ascii="Times New Roman" w:eastAsia="TimesNewRoman" w:hAnsi="Times New Roman" w:cs="Times New Roman"/>
          <w:sz w:val="22"/>
          <w:szCs w:val="22"/>
        </w:rPr>
        <w:t xml:space="preserve">using biopsy/histopathology and/or conventional imaging was available.  The co-primary efficacy endpoints were patient-level correct detection rate (CDR) and region-level verified localization rate (VLR).  Patient-level CDR was defined as the </w:t>
      </w:r>
      <w:bookmarkStart w:id="20" w:name="_Hlk47264522"/>
      <w:r w:rsidRPr="00950DC7">
        <w:rPr>
          <w:rFonts w:ascii="Times New Roman" w:eastAsia="TimesNewRoman" w:hAnsi="Times New Roman" w:cs="Times New Roman"/>
          <w:sz w:val="22"/>
          <w:szCs w:val="22"/>
        </w:rPr>
        <w:t>percentage of patients who have at least one true positive lesion exactly localized between PET imaging and the reference standard</w:t>
      </w:r>
      <w:bookmarkEnd w:id="20"/>
      <w:r w:rsidRPr="00950DC7">
        <w:rPr>
          <w:rFonts w:ascii="Times New Roman" w:eastAsia="TimesNewRoman" w:hAnsi="Times New Roman" w:cs="Times New Roman"/>
          <w:sz w:val="22"/>
          <w:szCs w:val="22"/>
        </w:rPr>
        <w:t>, regardless of any coexistent false-positive findings, out of all patients scanned</w:t>
      </w:r>
      <w:r w:rsidR="00E55DCB">
        <w:rPr>
          <w:rFonts w:ascii="Times New Roman" w:eastAsia="TimesNewRoman" w:hAnsi="Times New Roman" w:cs="Times New Roman"/>
          <w:sz w:val="22"/>
          <w:szCs w:val="22"/>
        </w:rPr>
        <w:t xml:space="preserve"> </w:t>
      </w:r>
      <w:r w:rsidRPr="00950DC7">
        <w:rPr>
          <w:rFonts w:ascii="Times New Roman" w:eastAsia="TimesNewRoman" w:hAnsi="Times New Roman" w:cs="Times New Roman"/>
          <w:sz w:val="22"/>
          <w:szCs w:val="22"/>
        </w:rPr>
        <w:t xml:space="preserve">and for whom a reference standard was available. Region-level VLR was defined as the percentage of regions containing at least one TP lesion (exactly localized correspondence between PET imaging and the reference standard), regardless of any co-existent FP findings within the same region, out of all regions containing at least one PET-positive finding.  The regions evaluated include prostate bed, pelvic lymph nodes, skeleton, and other distant sites (extra-pelvic lymph nodes and viscera). </w:t>
      </w:r>
      <w:bookmarkStart w:id="21" w:name="_Hlk47265010"/>
      <w:r w:rsidR="0097219B" w:rsidRPr="00950DC7">
        <w:rPr>
          <w:rStyle w:val="CrossRefChar"/>
          <w:rFonts w:cs="Times New Roman"/>
          <w:color w:val="auto"/>
          <w:sz w:val="22"/>
          <w:szCs w:val="22"/>
        </w:rPr>
        <w:fldChar w:fldCharType="begin"/>
      </w:r>
      <w:r w:rsidRPr="00950DC7">
        <w:rPr>
          <w:rStyle w:val="CrossRefChar"/>
          <w:rFonts w:cs="Times New Roman"/>
          <w:color w:val="auto"/>
          <w:sz w:val="22"/>
          <w:szCs w:val="22"/>
        </w:rPr>
        <w:instrText xml:space="preserve"> REF _Ref47661408 \h  \* MERGEFORMAT </w:instrText>
      </w:r>
      <w:r w:rsidR="0097219B" w:rsidRPr="00950DC7">
        <w:rPr>
          <w:rStyle w:val="CrossRefChar"/>
          <w:rFonts w:cs="Times New Roman"/>
          <w:color w:val="auto"/>
          <w:sz w:val="22"/>
          <w:szCs w:val="22"/>
        </w:rPr>
      </w:r>
      <w:r w:rsidR="0097219B" w:rsidRPr="00950DC7">
        <w:rPr>
          <w:rStyle w:val="CrossRefChar"/>
          <w:rFonts w:cs="Times New Roman"/>
          <w:color w:val="auto"/>
          <w:sz w:val="22"/>
          <w:szCs w:val="22"/>
        </w:rPr>
        <w:fldChar w:fldCharType="separate"/>
      </w:r>
      <w:r w:rsidRPr="00950DC7">
        <w:rPr>
          <w:rStyle w:val="CrossRefChar"/>
          <w:rFonts w:cstheme="minorBidi"/>
          <w:color w:val="auto"/>
          <w:sz w:val="22"/>
        </w:rPr>
        <w:t>Table 7</w:t>
      </w:r>
      <w:r w:rsidR="0097219B" w:rsidRPr="00950DC7">
        <w:rPr>
          <w:rStyle w:val="CrossRefChar"/>
          <w:rFonts w:cs="Times New Roman"/>
          <w:color w:val="auto"/>
          <w:sz w:val="22"/>
          <w:szCs w:val="22"/>
        </w:rPr>
        <w:fldChar w:fldCharType="end"/>
      </w:r>
      <w:r w:rsidRPr="00950DC7">
        <w:rPr>
          <w:rFonts w:ascii="Times New Roman" w:eastAsia="TimesNewRoman" w:hAnsi="Times New Roman" w:cs="Times New Roman"/>
          <w:sz w:val="22"/>
          <w:szCs w:val="22"/>
        </w:rPr>
        <w:t xml:space="preserve"> and </w:t>
      </w:r>
      <w:r w:rsidR="00A85732">
        <w:fldChar w:fldCharType="begin"/>
      </w:r>
      <w:r w:rsidR="00A85732">
        <w:instrText xml:space="preserve"> REF _Ref48470020 \h  \* MERGEFORMAT </w:instrText>
      </w:r>
      <w:r w:rsidR="00A85732">
        <w:fldChar w:fldCharType="separate"/>
      </w:r>
      <w:r w:rsidRPr="00950DC7">
        <w:rPr>
          <w:rStyle w:val="CrossRefChar"/>
          <w:rFonts w:cstheme="minorBidi"/>
          <w:color w:val="auto"/>
          <w:sz w:val="22"/>
        </w:rPr>
        <w:t>Table 8</w:t>
      </w:r>
      <w:r w:rsidR="00A85732">
        <w:fldChar w:fldCharType="end"/>
      </w:r>
      <w:r w:rsidRPr="00950DC7">
        <w:rPr>
          <w:rFonts w:ascii="Times New Roman" w:eastAsia="TimesNewRoman" w:hAnsi="Times New Roman" w:cs="Times New Roman"/>
          <w:sz w:val="22"/>
          <w:szCs w:val="22"/>
        </w:rPr>
        <w:t xml:space="preserve">show the CDR and VLR of Ga-68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The CDR results for the 3 independent readers ranged from 41.1% to 45.7%, all of which were significantly greater than the prespecified 20% threshold.  The VLR results for the 3 independent readers ranged from 36.2% to 50%, all of which were significantly greater than the prespecified threshold of 10%.  The results of the independent reads were generally consistent with one another.</w:t>
      </w:r>
    </w:p>
    <w:p w14:paraId="049B441B" w14:textId="77777777" w:rsidR="00860CD4" w:rsidRDefault="00860CD4" w:rsidP="002A26ED">
      <w:pPr>
        <w:pStyle w:val="Default"/>
        <w:rPr>
          <w:rFonts w:ascii="Times New Roman" w:eastAsia="TimesNewRoman" w:hAnsi="Times New Roman" w:cs="Times New Roman"/>
          <w:sz w:val="22"/>
          <w:szCs w:val="22"/>
        </w:rPr>
      </w:pPr>
    </w:p>
    <w:p w14:paraId="539063D9" w14:textId="77777777" w:rsidR="00993983" w:rsidRPr="00A34935" w:rsidRDefault="00993983" w:rsidP="00993983">
      <w:pPr>
        <w:pStyle w:val="Caption"/>
        <w:rPr>
          <w:rFonts w:ascii="Times New Roman" w:eastAsia="TimesNewRoman" w:hAnsi="Times New Roman" w:cs="Times New Roman"/>
          <w:sz w:val="22"/>
          <w:szCs w:val="22"/>
        </w:rPr>
      </w:pPr>
      <w:bookmarkStart w:id="22" w:name="_Ref47661408"/>
      <w:bookmarkEnd w:id="21"/>
      <w:r w:rsidRPr="00A34935">
        <w:rPr>
          <w:rFonts w:ascii="Times New Roman" w:hAnsi="Times New Roman" w:cs="Times New Roman"/>
        </w:rPr>
        <w:t xml:space="preserve">Table </w:t>
      </w:r>
      <w:r w:rsidR="0097219B" w:rsidRPr="00A34935">
        <w:rPr>
          <w:rFonts w:ascii="Times New Roman" w:hAnsi="Times New Roman" w:cs="Times New Roman"/>
        </w:rPr>
        <w:fldChar w:fldCharType="begin"/>
      </w:r>
      <w:r w:rsidRPr="00A34935">
        <w:rPr>
          <w:rFonts w:ascii="Times New Roman" w:hAnsi="Times New Roman" w:cs="Times New Roman"/>
        </w:rPr>
        <w:instrText xml:space="preserve"> SEQ Table \* ARABIC </w:instrText>
      </w:r>
      <w:r w:rsidR="0097219B" w:rsidRPr="00A34935">
        <w:rPr>
          <w:rFonts w:ascii="Times New Roman" w:hAnsi="Times New Roman" w:cs="Times New Roman"/>
        </w:rPr>
        <w:fldChar w:fldCharType="separate"/>
      </w:r>
      <w:r w:rsidR="001378C5">
        <w:rPr>
          <w:rFonts w:ascii="Times New Roman" w:hAnsi="Times New Roman" w:cs="Times New Roman"/>
          <w:noProof/>
        </w:rPr>
        <w:t>7</w:t>
      </w:r>
      <w:r w:rsidR="0097219B" w:rsidRPr="00A34935">
        <w:rPr>
          <w:rFonts w:ascii="Times New Roman" w:hAnsi="Times New Roman" w:cs="Times New Roman"/>
          <w:noProof/>
        </w:rPr>
        <w:fldChar w:fldCharType="end"/>
      </w:r>
      <w:bookmarkEnd w:id="22"/>
      <w:r w:rsidR="003C18C6">
        <w:rPr>
          <w:rFonts w:ascii="Times New Roman" w:hAnsi="Times New Roman" w:cs="Times New Roman"/>
          <w:noProof/>
        </w:rPr>
        <w:t>:</w:t>
      </w:r>
      <w:r w:rsidRPr="00A34935">
        <w:rPr>
          <w:rFonts w:ascii="Times New Roman" w:hAnsi="Times New Roman" w:cs="Times New Roman"/>
        </w:rPr>
        <w:tab/>
        <w:t xml:space="preserve">Patient-Level </w:t>
      </w:r>
      <w:r w:rsidRPr="00A34935">
        <w:rPr>
          <w:rFonts w:ascii="Times New Roman" w:eastAsia="TimesNewRoman" w:hAnsi="Times New Roman" w:cs="Times New Roman"/>
          <w:sz w:val="22"/>
          <w:szCs w:val="22"/>
        </w:rPr>
        <w:t>CDR in Patients with Biochemically Recurrent Prostate Cancer</w:t>
      </w:r>
    </w:p>
    <w:tbl>
      <w:tblPr>
        <w:tblStyle w:val="TableGrid4"/>
        <w:tblW w:w="5000" w:type="pct"/>
        <w:tblLook w:val="04A0" w:firstRow="1" w:lastRow="0" w:firstColumn="1" w:lastColumn="0" w:noHBand="0" w:noVBand="1"/>
      </w:tblPr>
      <w:tblGrid>
        <w:gridCol w:w="3256"/>
        <w:gridCol w:w="1920"/>
        <w:gridCol w:w="1920"/>
        <w:gridCol w:w="1920"/>
      </w:tblGrid>
      <w:tr w:rsidR="00993983" w:rsidRPr="00A34935" w14:paraId="4FCD3FEA" w14:textId="77777777" w:rsidTr="007C6C9A">
        <w:trPr>
          <w:tblHeader/>
        </w:trPr>
        <w:tc>
          <w:tcPr>
            <w:tcW w:w="1805" w:type="pct"/>
            <w:vAlign w:val="bottom"/>
          </w:tcPr>
          <w:p w14:paraId="655363D5" w14:textId="77777777" w:rsidR="00993983" w:rsidRPr="00A34935" w:rsidRDefault="00993983" w:rsidP="007C6C9A">
            <w:pPr>
              <w:pStyle w:val="TableHeader"/>
              <w:jc w:val="left"/>
            </w:pPr>
            <w:r w:rsidRPr="00A34935">
              <w:t>Patient-Level CDR</w:t>
            </w:r>
          </w:p>
        </w:tc>
        <w:tc>
          <w:tcPr>
            <w:tcW w:w="1065" w:type="pct"/>
            <w:vAlign w:val="bottom"/>
          </w:tcPr>
          <w:p w14:paraId="4B29C0B7" w14:textId="77777777" w:rsidR="00993983" w:rsidRPr="00A34935" w:rsidRDefault="00993983" w:rsidP="007C6C9A">
            <w:pPr>
              <w:pStyle w:val="TableHeader"/>
              <w:jc w:val="center"/>
            </w:pPr>
            <w:r w:rsidRPr="00A34935">
              <w:t>Reader 1</w:t>
            </w:r>
          </w:p>
          <w:p w14:paraId="1BD2FA42" w14:textId="77777777" w:rsidR="00993983" w:rsidRPr="00A34935" w:rsidRDefault="00993983" w:rsidP="007C6C9A">
            <w:pPr>
              <w:pStyle w:val="TableHeader"/>
              <w:jc w:val="center"/>
            </w:pPr>
            <w:r w:rsidRPr="00A34935">
              <w:t>N = 348</w:t>
            </w:r>
          </w:p>
          <w:p w14:paraId="07D77E49" w14:textId="77777777" w:rsidR="00993983" w:rsidRPr="00A34935" w:rsidRDefault="00993983" w:rsidP="007C6C9A">
            <w:pPr>
              <w:pStyle w:val="TableHeader"/>
              <w:jc w:val="center"/>
            </w:pPr>
            <w:r w:rsidRPr="00A34935">
              <w:t>n (%)</w:t>
            </w:r>
          </w:p>
        </w:tc>
        <w:tc>
          <w:tcPr>
            <w:tcW w:w="1065" w:type="pct"/>
          </w:tcPr>
          <w:p w14:paraId="711474DB" w14:textId="77777777" w:rsidR="00993983" w:rsidRPr="00A34935" w:rsidRDefault="00993983" w:rsidP="007C6C9A">
            <w:pPr>
              <w:pStyle w:val="TableHeader"/>
              <w:jc w:val="center"/>
            </w:pPr>
            <w:r w:rsidRPr="00A34935">
              <w:t>Reader 2</w:t>
            </w:r>
          </w:p>
          <w:p w14:paraId="38D3FA8F" w14:textId="77777777" w:rsidR="00993983" w:rsidRPr="00A34935" w:rsidRDefault="00993983" w:rsidP="007C6C9A">
            <w:pPr>
              <w:pStyle w:val="TableHeader"/>
              <w:jc w:val="center"/>
            </w:pPr>
            <w:r w:rsidRPr="00A34935">
              <w:t>N = 348</w:t>
            </w:r>
          </w:p>
          <w:p w14:paraId="37400350" w14:textId="77777777" w:rsidR="00993983" w:rsidRPr="00A34935" w:rsidRDefault="00993983" w:rsidP="007C6C9A">
            <w:pPr>
              <w:pStyle w:val="TableHeader"/>
              <w:jc w:val="center"/>
            </w:pPr>
            <w:r w:rsidRPr="00A34935">
              <w:t>n (%)</w:t>
            </w:r>
          </w:p>
        </w:tc>
        <w:tc>
          <w:tcPr>
            <w:tcW w:w="1065" w:type="pct"/>
          </w:tcPr>
          <w:p w14:paraId="2DCBD2DB" w14:textId="77777777" w:rsidR="00993983" w:rsidRPr="00A34935" w:rsidRDefault="00993983" w:rsidP="007C6C9A">
            <w:pPr>
              <w:pStyle w:val="TableHeader"/>
              <w:jc w:val="center"/>
            </w:pPr>
            <w:r w:rsidRPr="00A34935">
              <w:t>Reader 3</w:t>
            </w:r>
          </w:p>
          <w:p w14:paraId="7F64D746" w14:textId="77777777" w:rsidR="00993983" w:rsidRPr="00A34935" w:rsidRDefault="00993983" w:rsidP="007C6C9A">
            <w:pPr>
              <w:pStyle w:val="TableHeader"/>
              <w:jc w:val="center"/>
            </w:pPr>
            <w:r w:rsidRPr="00A34935">
              <w:t>N = 348</w:t>
            </w:r>
          </w:p>
          <w:p w14:paraId="5AA38FB7" w14:textId="77777777" w:rsidR="00993983" w:rsidRPr="00A34935" w:rsidRDefault="00993983" w:rsidP="007C6C9A">
            <w:pPr>
              <w:pStyle w:val="TableHeader"/>
              <w:jc w:val="center"/>
            </w:pPr>
            <w:r w:rsidRPr="00A34935">
              <w:t>n (%)</w:t>
            </w:r>
          </w:p>
        </w:tc>
      </w:tr>
      <w:tr w:rsidR="00993983" w:rsidRPr="00A34935" w14:paraId="1F553DC3" w14:textId="77777777" w:rsidTr="007C6C9A">
        <w:tc>
          <w:tcPr>
            <w:tcW w:w="1805" w:type="pct"/>
            <w:vAlign w:val="center"/>
          </w:tcPr>
          <w:p w14:paraId="1019C515" w14:textId="77777777" w:rsidR="00993983" w:rsidRPr="00A34935" w:rsidRDefault="00993983" w:rsidP="007C6C9A">
            <w:pPr>
              <w:pStyle w:val="TableEntry"/>
              <w:jc w:val="left"/>
              <w:rPr>
                <w:sz w:val="18"/>
                <w:szCs w:val="18"/>
              </w:rPr>
            </w:pPr>
            <w:r w:rsidRPr="00A34935">
              <w:rPr>
                <w:sz w:val="18"/>
                <w:szCs w:val="18"/>
              </w:rPr>
              <w:t>No True Positive</w:t>
            </w:r>
          </w:p>
        </w:tc>
        <w:tc>
          <w:tcPr>
            <w:tcW w:w="1065" w:type="pct"/>
            <w:vAlign w:val="center"/>
          </w:tcPr>
          <w:p w14:paraId="47AA7EA3" w14:textId="77777777" w:rsidR="00993983" w:rsidRPr="00A34935" w:rsidRDefault="00993983" w:rsidP="007C6C9A">
            <w:pPr>
              <w:pStyle w:val="TableEntry"/>
              <w:jc w:val="center"/>
              <w:rPr>
                <w:sz w:val="18"/>
                <w:szCs w:val="18"/>
              </w:rPr>
            </w:pPr>
            <w:r w:rsidRPr="00A34935">
              <w:rPr>
                <w:sz w:val="18"/>
                <w:szCs w:val="18"/>
              </w:rPr>
              <w:t>189 (54.3)</w:t>
            </w:r>
          </w:p>
        </w:tc>
        <w:tc>
          <w:tcPr>
            <w:tcW w:w="1065" w:type="pct"/>
          </w:tcPr>
          <w:p w14:paraId="72C8FC0B" w14:textId="77777777" w:rsidR="00993983" w:rsidRPr="00A34935" w:rsidRDefault="00993983" w:rsidP="007C6C9A">
            <w:pPr>
              <w:pStyle w:val="TableEntry"/>
              <w:jc w:val="center"/>
              <w:rPr>
                <w:sz w:val="18"/>
                <w:szCs w:val="18"/>
              </w:rPr>
            </w:pPr>
            <w:r w:rsidRPr="00A34935">
              <w:rPr>
                <w:sz w:val="18"/>
                <w:szCs w:val="18"/>
              </w:rPr>
              <w:t>193 (55.5)</w:t>
            </w:r>
          </w:p>
        </w:tc>
        <w:tc>
          <w:tcPr>
            <w:tcW w:w="1065" w:type="pct"/>
          </w:tcPr>
          <w:p w14:paraId="237A211E" w14:textId="77777777" w:rsidR="00993983" w:rsidRPr="00A34935" w:rsidRDefault="00993983" w:rsidP="007C6C9A">
            <w:pPr>
              <w:pStyle w:val="TableEntry"/>
              <w:jc w:val="center"/>
              <w:rPr>
                <w:sz w:val="18"/>
                <w:szCs w:val="18"/>
              </w:rPr>
            </w:pPr>
            <w:r w:rsidRPr="00A34935">
              <w:rPr>
                <w:sz w:val="18"/>
                <w:szCs w:val="18"/>
              </w:rPr>
              <w:t>205 (58.9)</w:t>
            </w:r>
          </w:p>
        </w:tc>
      </w:tr>
      <w:tr w:rsidR="00993983" w:rsidRPr="00A34935" w14:paraId="4DF57EEA" w14:textId="77777777" w:rsidTr="007C6C9A">
        <w:tc>
          <w:tcPr>
            <w:tcW w:w="1805" w:type="pct"/>
            <w:vAlign w:val="center"/>
          </w:tcPr>
          <w:p w14:paraId="242F2EB8" w14:textId="77777777" w:rsidR="00993983" w:rsidRPr="00A34935" w:rsidRDefault="00993983" w:rsidP="007C6C9A">
            <w:pPr>
              <w:pStyle w:val="TableEntry"/>
              <w:jc w:val="left"/>
              <w:rPr>
                <w:sz w:val="18"/>
                <w:szCs w:val="18"/>
              </w:rPr>
            </w:pPr>
            <w:r w:rsidRPr="00A34935">
              <w:rPr>
                <w:sz w:val="18"/>
                <w:szCs w:val="18"/>
              </w:rPr>
              <w:t>At least One True Positive</w:t>
            </w:r>
          </w:p>
        </w:tc>
        <w:tc>
          <w:tcPr>
            <w:tcW w:w="1065" w:type="pct"/>
            <w:vAlign w:val="center"/>
          </w:tcPr>
          <w:p w14:paraId="41200A42" w14:textId="77777777" w:rsidR="00993983" w:rsidRPr="00A34935" w:rsidRDefault="00993983" w:rsidP="007C6C9A">
            <w:pPr>
              <w:pStyle w:val="TableEntry"/>
              <w:jc w:val="center"/>
              <w:rPr>
                <w:sz w:val="18"/>
                <w:szCs w:val="18"/>
              </w:rPr>
            </w:pPr>
            <w:r w:rsidRPr="00A34935">
              <w:rPr>
                <w:sz w:val="18"/>
                <w:szCs w:val="18"/>
              </w:rPr>
              <w:t>159 (45.7)</w:t>
            </w:r>
          </w:p>
        </w:tc>
        <w:tc>
          <w:tcPr>
            <w:tcW w:w="1065" w:type="pct"/>
          </w:tcPr>
          <w:p w14:paraId="05364F69" w14:textId="77777777" w:rsidR="00993983" w:rsidRPr="00A34935" w:rsidRDefault="00993983" w:rsidP="007C6C9A">
            <w:pPr>
              <w:pStyle w:val="TableEntry"/>
              <w:jc w:val="center"/>
              <w:rPr>
                <w:sz w:val="18"/>
                <w:szCs w:val="18"/>
              </w:rPr>
            </w:pPr>
            <w:r w:rsidRPr="00A34935">
              <w:rPr>
                <w:sz w:val="18"/>
                <w:szCs w:val="18"/>
              </w:rPr>
              <w:t>155 (44.5)</w:t>
            </w:r>
          </w:p>
        </w:tc>
        <w:tc>
          <w:tcPr>
            <w:tcW w:w="1065" w:type="pct"/>
          </w:tcPr>
          <w:p w14:paraId="0F9122EC" w14:textId="77777777" w:rsidR="00993983" w:rsidRPr="00A34935" w:rsidRDefault="00993983" w:rsidP="007C6C9A">
            <w:pPr>
              <w:pStyle w:val="TableEntry"/>
              <w:jc w:val="center"/>
              <w:rPr>
                <w:sz w:val="18"/>
                <w:szCs w:val="18"/>
              </w:rPr>
            </w:pPr>
            <w:r w:rsidRPr="00A34935">
              <w:rPr>
                <w:sz w:val="18"/>
                <w:szCs w:val="18"/>
              </w:rPr>
              <w:t>143 (41.1)</w:t>
            </w:r>
          </w:p>
        </w:tc>
      </w:tr>
      <w:tr w:rsidR="00993983" w:rsidRPr="00A34935" w14:paraId="3A0E9A64" w14:textId="77777777" w:rsidTr="007C6C9A">
        <w:tc>
          <w:tcPr>
            <w:tcW w:w="1805" w:type="pct"/>
            <w:vAlign w:val="center"/>
          </w:tcPr>
          <w:p w14:paraId="5E12C646" w14:textId="77777777" w:rsidR="00993983" w:rsidRPr="00A34935" w:rsidRDefault="00993983" w:rsidP="007C6C9A">
            <w:pPr>
              <w:pStyle w:val="TableEntry"/>
              <w:jc w:val="left"/>
              <w:rPr>
                <w:sz w:val="18"/>
                <w:szCs w:val="18"/>
              </w:rPr>
            </w:pPr>
            <w:r w:rsidRPr="00A34935">
              <w:rPr>
                <w:sz w:val="18"/>
                <w:szCs w:val="18"/>
              </w:rPr>
              <w:t>95% CI</w:t>
            </w:r>
          </w:p>
        </w:tc>
        <w:tc>
          <w:tcPr>
            <w:tcW w:w="1065" w:type="pct"/>
            <w:vAlign w:val="center"/>
          </w:tcPr>
          <w:p w14:paraId="114D6185" w14:textId="77777777" w:rsidR="00993983" w:rsidRPr="00A34935" w:rsidRDefault="00993983" w:rsidP="007C6C9A">
            <w:pPr>
              <w:pStyle w:val="TableEntry"/>
              <w:jc w:val="center"/>
              <w:rPr>
                <w:sz w:val="18"/>
                <w:szCs w:val="18"/>
              </w:rPr>
            </w:pPr>
            <w:r w:rsidRPr="00A34935">
              <w:rPr>
                <w:sz w:val="18"/>
                <w:szCs w:val="18"/>
              </w:rPr>
              <w:t>40.4, 51.1</w:t>
            </w:r>
          </w:p>
        </w:tc>
        <w:tc>
          <w:tcPr>
            <w:tcW w:w="1065" w:type="pct"/>
          </w:tcPr>
          <w:p w14:paraId="60A2E8FB" w14:textId="77777777" w:rsidR="00993983" w:rsidRPr="00A34935" w:rsidRDefault="00993983" w:rsidP="007C6C9A">
            <w:pPr>
              <w:pStyle w:val="TableEntry"/>
              <w:jc w:val="center"/>
              <w:rPr>
                <w:sz w:val="18"/>
                <w:szCs w:val="18"/>
              </w:rPr>
            </w:pPr>
            <w:r w:rsidRPr="00A34935">
              <w:rPr>
                <w:sz w:val="18"/>
                <w:szCs w:val="18"/>
              </w:rPr>
              <w:t>39.2, 49.9</w:t>
            </w:r>
          </w:p>
        </w:tc>
        <w:tc>
          <w:tcPr>
            <w:tcW w:w="1065" w:type="pct"/>
          </w:tcPr>
          <w:p w14:paraId="64D0D1D4" w14:textId="77777777" w:rsidR="00993983" w:rsidRPr="00A34935" w:rsidRDefault="00993983" w:rsidP="007C6C9A">
            <w:pPr>
              <w:pStyle w:val="TableEntry"/>
              <w:jc w:val="center"/>
              <w:rPr>
                <w:sz w:val="18"/>
                <w:szCs w:val="18"/>
              </w:rPr>
            </w:pPr>
            <w:r w:rsidRPr="00A34935">
              <w:rPr>
                <w:sz w:val="18"/>
                <w:szCs w:val="18"/>
              </w:rPr>
              <w:t>35.9, 46.5</w:t>
            </w:r>
          </w:p>
        </w:tc>
      </w:tr>
    </w:tbl>
    <w:p w14:paraId="5D45C924" w14:textId="77777777" w:rsidR="00993983" w:rsidRPr="00A34935" w:rsidRDefault="00993983" w:rsidP="00993983">
      <w:pPr>
        <w:rPr>
          <w:rFonts w:ascii="Times New Roman" w:eastAsia="TimesNewRoman" w:hAnsi="Times New Roman" w:cs="Times New Roman"/>
        </w:rPr>
      </w:pPr>
    </w:p>
    <w:p w14:paraId="5942499C" w14:textId="77777777" w:rsidR="00993983" w:rsidRPr="00A34935" w:rsidRDefault="00993983" w:rsidP="00993983">
      <w:pPr>
        <w:pStyle w:val="Caption"/>
        <w:rPr>
          <w:rFonts w:ascii="Times New Roman" w:hAnsi="Times New Roman" w:cs="Times New Roman"/>
        </w:rPr>
      </w:pPr>
      <w:bookmarkStart w:id="23" w:name="_Ref48470020"/>
      <w:r w:rsidRPr="00A34935">
        <w:rPr>
          <w:rFonts w:ascii="Times New Roman" w:hAnsi="Times New Roman" w:cs="Times New Roman"/>
        </w:rPr>
        <w:t xml:space="preserve">Table </w:t>
      </w:r>
      <w:r w:rsidR="0097219B" w:rsidRPr="00A34935">
        <w:rPr>
          <w:rFonts w:ascii="Times New Roman" w:hAnsi="Times New Roman" w:cs="Times New Roman"/>
        </w:rPr>
        <w:fldChar w:fldCharType="begin"/>
      </w:r>
      <w:r w:rsidRPr="00A34935">
        <w:rPr>
          <w:rFonts w:ascii="Times New Roman" w:hAnsi="Times New Roman" w:cs="Times New Roman"/>
        </w:rPr>
        <w:instrText xml:space="preserve"> SEQ Table \* ARABIC </w:instrText>
      </w:r>
      <w:r w:rsidR="0097219B" w:rsidRPr="00A34935">
        <w:rPr>
          <w:rFonts w:ascii="Times New Roman" w:hAnsi="Times New Roman" w:cs="Times New Roman"/>
        </w:rPr>
        <w:fldChar w:fldCharType="separate"/>
      </w:r>
      <w:r w:rsidR="001378C5">
        <w:rPr>
          <w:rFonts w:ascii="Times New Roman" w:hAnsi="Times New Roman" w:cs="Times New Roman"/>
          <w:noProof/>
        </w:rPr>
        <w:t>8</w:t>
      </w:r>
      <w:r w:rsidR="0097219B" w:rsidRPr="00A34935">
        <w:rPr>
          <w:rFonts w:ascii="Times New Roman" w:hAnsi="Times New Roman" w:cs="Times New Roman"/>
          <w:noProof/>
        </w:rPr>
        <w:fldChar w:fldCharType="end"/>
      </w:r>
      <w:bookmarkEnd w:id="23"/>
      <w:r w:rsidR="003C18C6">
        <w:rPr>
          <w:rFonts w:ascii="Times New Roman" w:hAnsi="Times New Roman" w:cs="Times New Roman"/>
          <w:noProof/>
        </w:rPr>
        <w:t>:</w:t>
      </w:r>
      <w:r w:rsidRPr="00A34935">
        <w:rPr>
          <w:rFonts w:ascii="Times New Roman" w:hAnsi="Times New Roman" w:cs="Times New Roman"/>
        </w:rPr>
        <w:tab/>
        <w:t xml:space="preserve">Region-Level </w:t>
      </w:r>
      <w:r w:rsidRPr="00A34935">
        <w:rPr>
          <w:rFonts w:ascii="Times New Roman" w:eastAsia="TimesNewRoman" w:hAnsi="Times New Roman" w:cs="Times New Roman"/>
          <w:sz w:val="22"/>
          <w:szCs w:val="22"/>
        </w:rPr>
        <w:t>VLR in Patients with Biochemically Recurrent Prostate Cancer</w:t>
      </w:r>
    </w:p>
    <w:tbl>
      <w:tblPr>
        <w:tblStyle w:val="TableGrid4"/>
        <w:tblW w:w="5000" w:type="pct"/>
        <w:tblLook w:val="04A0" w:firstRow="1" w:lastRow="0" w:firstColumn="1" w:lastColumn="0" w:noHBand="0" w:noVBand="1"/>
      </w:tblPr>
      <w:tblGrid>
        <w:gridCol w:w="3254"/>
        <w:gridCol w:w="1921"/>
        <w:gridCol w:w="1921"/>
        <w:gridCol w:w="1920"/>
      </w:tblGrid>
      <w:tr w:rsidR="00993983" w:rsidRPr="00A34935" w14:paraId="22602D03" w14:textId="77777777" w:rsidTr="007C6C9A">
        <w:trPr>
          <w:tblHeader/>
        </w:trPr>
        <w:tc>
          <w:tcPr>
            <w:tcW w:w="1804" w:type="pct"/>
            <w:vAlign w:val="bottom"/>
          </w:tcPr>
          <w:p w14:paraId="5F0ED636" w14:textId="77777777" w:rsidR="00993983" w:rsidRPr="00A34935" w:rsidRDefault="00993983" w:rsidP="007C6C9A">
            <w:pPr>
              <w:pStyle w:val="TableHeader"/>
              <w:jc w:val="left"/>
            </w:pPr>
            <w:r w:rsidRPr="00A34935">
              <w:lastRenderedPageBreak/>
              <w:t>VLR</w:t>
            </w:r>
          </w:p>
        </w:tc>
        <w:tc>
          <w:tcPr>
            <w:tcW w:w="1065" w:type="pct"/>
            <w:vAlign w:val="bottom"/>
          </w:tcPr>
          <w:p w14:paraId="573CCF13" w14:textId="77777777" w:rsidR="00993983" w:rsidRPr="00A34935" w:rsidRDefault="00993983" w:rsidP="007C6C9A">
            <w:pPr>
              <w:pStyle w:val="TableHeader"/>
              <w:jc w:val="center"/>
            </w:pPr>
            <w:r w:rsidRPr="00A34935">
              <w:t>Reader 1</w:t>
            </w:r>
          </w:p>
          <w:p w14:paraId="52E0F699" w14:textId="77777777" w:rsidR="00993983" w:rsidRPr="00A34935" w:rsidRDefault="00993983" w:rsidP="007C6C9A">
            <w:pPr>
              <w:pStyle w:val="TableHeader"/>
              <w:jc w:val="center"/>
            </w:pPr>
            <w:r w:rsidRPr="00A34935">
              <w:t>N = 253</w:t>
            </w:r>
          </w:p>
          <w:p w14:paraId="1B613E99" w14:textId="77777777" w:rsidR="00993983" w:rsidRPr="00A34935" w:rsidRDefault="00993983" w:rsidP="007C6C9A">
            <w:pPr>
              <w:pStyle w:val="TableHeader"/>
              <w:jc w:val="center"/>
            </w:pPr>
            <w:r w:rsidRPr="00A34935">
              <w:t>n (%)</w:t>
            </w:r>
          </w:p>
        </w:tc>
        <w:tc>
          <w:tcPr>
            <w:tcW w:w="1065" w:type="pct"/>
          </w:tcPr>
          <w:p w14:paraId="7CAB4673" w14:textId="77777777" w:rsidR="00993983" w:rsidRPr="00A34935" w:rsidRDefault="00993983" w:rsidP="007C6C9A">
            <w:pPr>
              <w:pStyle w:val="TableHeader"/>
              <w:jc w:val="center"/>
            </w:pPr>
            <w:r w:rsidRPr="00A34935">
              <w:t>Reader 2</w:t>
            </w:r>
          </w:p>
          <w:p w14:paraId="51BAA5EF" w14:textId="77777777" w:rsidR="00993983" w:rsidRPr="00A34935" w:rsidRDefault="00993983" w:rsidP="007C6C9A">
            <w:pPr>
              <w:pStyle w:val="TableHeader"/>
              <w:jc w:val="center"/>
            </w:pPr>
            <w:r w:rsidRPr="00A34935">
              <w:t>N = 295</w:t>
            </w:r>
          </w:p>
          <w:p w14:paraId="007C9AEB" w14:textId="77777777" w:rsidR="00993983" w:rsidRPr="00A34935" w:rsidRDefault="00993983" w:rsidP="007C6C9A">
            <w:pPr>
              <w:pStyle w:val="TableHeader"/>
              <w:jc w:val="center"/>
            </w:pPr>
            <w:r w:rsidRPr="00A34935">
              <w:t>n (%)</w:t>
            </w:r>
          </w:p>
        </w:tc>
        <w:tc>
          <w:tcPr>
            <w:tcW w:w="1065" w:type="pct"/>
          </w:tcPr>
          <w:p w14:paraId="474FDBB9" w14:textId="77777777" w:rsidR="00993983" w:rsidRPr="00A34935" w:rsidRDefault="00993983" w:rsidP="007C6C9A">
            <w:pPr>
              <w:pStyle w:val="TableHeader"/>
              <w:jc w:val="center"/>
            </w:pPr>
            <w:r w:rsidRPr="00A34935">
              <w:t>Reader 3</w:t>
            </w:r>
          </w:p>
          <w:p w14:paraId="5DAD2472" w14:textId="77777777" w:rsidR="00993983" w:rsidRPr="00A34935" w:rsidRDefault="00993983" w:rsidP="007C6C9A">
            <w:pPr>
              <w:pStyle w:val="TableHeader"/>
              <w:jc w:val="center"/>
            </w:pPr>
            <w:r w:rsidRPr="00A34935">
              <w:t>N = 248</w:t>
            </w:r>
          </w:p>
          <w:p w14:paraId="565BFF5B" w14:textId="77777777" w:rsidR="00993983" w:rsidRPr="00A34935" w:rsidRDefault="00993983" w:rsidP="007C6C9A">
            <w:pPr>
              <w:pStyle w:val="TableHeader"/>
              <w:jc w:val="center"/>
            </w:pPr>
            <w:r w:rsidRPr="00A34935">
              <w:t>n (%)</w:t>
            </w:r>
          </w:p>
        </w:tc>
      </w:tr>
      <w:tr w:rsidR="00993983" w:rsidRPr="00A34935" w14:paraId="5A050181" w14:textId="77777777" w:rsidTr="007C6C9A">
        <w:tc>
          <w:tcPr>
            <w:tcW w:w="1804" w:type="pct"/>
            <w:vAlign w:val="center"/>
          </w:tcPr>
          <w:p w14:paraId="5EAB9598" w14:textId="77777777" w:rsidR="00993983" w:rsidRPr="00A34935" w:rsidRDefault="00993983" w:rsidP="007C6C9A">
            <w:pPr>
              <w:pStyle w:val="TableEntry"/>
              <w:rPr>
                <w:sz w:val="18"/>
                <w:szCs w:val="18"/>
              </w:rPr>
            </w:pPr>
            <w:r w:rsidRPr="00A34935">
              <w:rPr>
                <w:sz w:val="18"/>
                <w:szCs w:val="18"/>
              </w:rPr>
              <w:t>Mean ± SD</w:t>
            </w:r>
          </w:p>
        </w:tc>
        <w:tc>
          <w:tcPr>
            <w:tcW w:w="1065" w:type="pct"/>
            <w:vAlign w:val="center"/>
          </w:tcPr>
          <w:p w14:paraId="7796C953" w14:textId="77777777" w:rsidR="00993983" w:rsidRPr="00A34935" w:rsidRDefault="00993983" w:rsidP="007C6C9A">
            <w:pPr>
              <w:pStyle w:val="TableEntry"/>
              <w:jc w:val="center"/>
              <w:rPr>
                <w:sz w:val="18"/>
                <w:szCs w:val="18"/>
              </w:rPr>
            </w:pPr>
            <w:r w:rsidRPr="00A34935">
              <w:rPr>
                <w:sz w:val="18"/>
                <w:szCs w:val="18"/>
              </w:rPr>
              <w:t>50.0 ± 43.5</w:t>
            </w:r>
          </w:p>
        </w:tc>
        <w:tc>
          <w:tcPr>
            <w:tcW w:w="1065" w:type="pct"/>
          </w:tcPr>
          <w:p w14:paraId="6EB65E93" w14:textId="77777777" w:rsidR="00993983" w:rsidRPr="00A34935" w:rsidRDefault="00993983" w:rsidP="007C6C9A">
            <w:pPr>
              <w:pStyle w:val="TableEntry"/>
              <w:jc w:val="center"/>
              <w:rPr>
                <w:sz w:val="18"/>
                <w:szCs w:val="18"/>
              </w:rPr>
            </w:pPr>
            <w:r w:rsidRPr="00A34935">
              <w:rPr>
                <w:sz w:val="18"/>
                <w:szCs w:val="18"/>
              </w:rPr>
              <w:t>36.2 ± 39.6</w:t>
            </w:r>
          </w:p>
        </w:tc>
        <w:tc>
          <w:tcPr>
            <w:tcW w:w="1065" w:type="pct"/>
          </w:tcPr>
          <w:p w14:paraId="65571D1E" w14:textId="77777777" w:rsidR="00993983" w:rsidRPr="00A34935" w:rsidRDefault="00993983" w:rsidP="007C6C9A">
            <w:pPr>
              <w:pStyle w:val="TableEntry"/>
              <w:jc w:val="center"/>
              <w:rPr>
                <w:sz w:val="18"/>
                <w:szCs w:val="18"/>
              </w:rPr>
            </w:pPr>
            <w:r w:rsidRPr="00A34935">
              <w:rPr>
                <w:sz w:val="18"/>
                <w:szCs w:val="18"/>
              </w:rPr>
              <w:t>47.4 ± 44.8</w:t>
            </w:r>
          </w:p>
        </w:tc>
      </w:tr>
      <w:tr w:rsidR="00993983" w:rsidRPr="00A34935" w14:paraId="1E7C8D4F" w14:textId="77777777" w:rsidTr="007C6C9A">
        <w:tc>
          <w:tcPr>
            <w:tcW w:w="1804" w:type="pct"/>
            <w:vAlign w:val="center"/>
          </w:tcPr>
          <w:p w14:paraId="0D17AA80" w14:textId="77777777" w:rsidR="00993983" w:rsidRPr="00A34935" w:rsidRDefault="00993983" w:rsidP="007C6C9A">
            <w:pPr>
              <w:pStyle w:val="TableEntry"/>
              <w:jc w:val="left"/>
              <w:rPr>
                <w:sz w:val="18"/>
                <w:szCs w:val="18"/>
              </w:rPr>
            </w:pPr>
            <w:r w:rsidRPr="00A34935">
              <w:rPr>
                <w:sz w:val="18"/>
                <w:szCs w:val="18"/>
              </w:rPr>
              <w:t>Median</w:t>
            </w:r>
          </w:p>
        </w:tc>
        <w:tc>
          <w:tcPr>
            <w:tcW w:w="1065" w:type="pct"/>
            <w:vAlign w:val="center"/>
          </w:tcPr>
          <w:p w14:paraId="5FF4B4E8" w14:textId="77777777" w:rsidR="00993983" w:rsidRPr="00A34935" w:rsidRDefault="00993983" w:rsidP="007C6C9A">
            <w:pPr>
              <w:pStyle w:val="TableEntry"/>
              <w:jc w:val="center"/>
              <w:rPr>
                <w:sz w:val="18"/>
                <w:szCs w:val="18"/>
              </w:rPr>
            </w:pPr>
            <w:r w:rsidRPr="00A34935">
              <w:rPr>
                <w:sz w:val="18"/>
                <w:szCs w:val="18"/>
              </w:rPr>
              <w:t>50.0</w:t>
            </w:r>
          </w:p>
        </w:tc>
        <w:tc>
          <w:tcPr>
            <w:tcW w:w="1065" w:type="pct"/>
          </w:tcPr>
          <w:p w14:paraId="49CD2244" w14:textId="77777777" w:rsidR="00993983" w:rsidRPr="00A34935" w:rsidRDefault="00993983" w:rsidP="007C6C9A">
            <w:pPr>
              <w:pStyle w:val="TableEntry"/>
              <w:jc w:val="center"/>
              <w:rPr>
                <w:sz w:val="18"/>
                <w:szCs w:val="18"/>
              </w:rPr>
            </w:pPr>
            <w:r w:rsidRPr="00A34935">
              <w:rPr>
                <w:sz w:val="18"/>
                <w:szCs w:val="18"/>
              </w:rPr>
              <w:t>33.3</w:t>
            </w:r>
          </w:p>
        </w:tc>
        <w:tc>
          <w:tcPr>
            <w:tcW w:w="1065" w:type="pct"/>
          </w:tcPr>
          <w:p w14:paraId="5DA85974" w14:textId="77777777" w:rsidR="00993983" w:rsidRPr="00A34935" w:rsidRDefault="00993983" w:rsidP="007C6C9A">
            <w:pPr>
              <w:pStyle w:val="TableEntry"/>
              <w:jc w:val="center"/>
              <w:rPr>
                <w:sz w:val="18"/>
                <w:szCs w:val="18"/>
              </w:rPr>
            </w:pPr>
            <w:r w:rsidRPr="00A34935">
              <w:rPr>
                <w:sz w:val="18"/>
                <w:szCs w:val="18"/>
              </w:rPr>
              <w:t>50.0</w:t>
            </w:r>
          </w:p>
        </w:tc>
      </w:tr>
      <w:tr w:rsidR="00993983" w:rsidRPr="00A34935" w14:paraId="7B2DB2F5" w14:textId="77777777" w:rsidTr="007C6C9A">
        <w:tc>
          <w:tcPr>
            <w:tcW w:w="1804" w:type="pct"/>
            <w:vAlign w:val="center"/>
          </w:tcPr>
          <w:p w14:paraId="2B45E532" w14:textId="77777777" w:rsidR="00993983" w:rsidRPr="00A34935" w:rsidRDefault="00993983" w:rsidP="007C6C9A">
            <w:pPr>
              <w:pStyle w:val="TableEntry"/>
              <w:jc w:val="left"/>
              <w:rPr>
                <w:sz w:val="18"/>
                <w:szCs w:val="18"/>
              </w:rPr>
            </w:pPr>
            <w:r w:rsidRPr="00A34935">
              <w:rPr>
                <w:sz w:val="18"/>
                <w:szCs w:val="18"/>
              </w:rPr>
              <w:t>Minimum</w:t>
            </w:r>
          </w:p>
        </w:tc>
        <w:tc>
          <w:tcPr>
            <w:tcW w:w="1065" w:type="pct"/>
            <w:vAlign w:val="center"/>
          </w:tcPr>
          <w:p w14:paraId="33766C4F" w14:textId="77777777" w:rsidR="00993983" w:rsidRPr="00A34935" w:rsidRDefault="00993983" w:rsidP="007C6C9A">
            <w:pPr>
              <w:pStyle w:val="TableEntry"/>
              <w:jc w:val="center"/>
              <w:rPr>
                <w:sz w:val="18"/>
                <w:szCs w:val="18"/>
              </w:rPr>
            </w:pPr>
            <w:r w:rsidRPr="00A34935">
              <w:rPr>
                <w:sz w:val="18"/>
                <w:szCs w:val="18"/>
              </w:rPr>
              <w:t>0.0</w:t>
            </w:r>
          </w:p>
        </w:tc>
        <w:tc>
          <w:tcPr>
            <w:tcW w:w="1065" w:type="pct"/>
          </w:tcPr>
          <w:p w14:paraId="6125CE91" w14:textId="77777777" w:rsidR="00993983" w:rsidRPr="00A34935" w:rsidRDefault="00993983" w:rsidP="007C6C9A">
            <w:pPr>
              <w:pStyle w:val="TableEntry"/>
              <w:jc w:val="center"/>
              <w:rPr>
                <w:sz w:val="18"/>
                <w:szCs w:val="18"/>
              </w:rPr>
            </w:pPr>
            <w:r w:rsidRPr="00A34935">
              <w:rPr>
                <w:sz w:val="18"/>
                <w:szCs w:val="18"/>
              </w:rPr>
              <w:t>0.0</w:t>
            </w:r>
          </w:p>
        </w:tc>
        <w:tc>
          <w:tcPr>
            <w:tcW w:w="1065" w:type="pct"/>
          </w:tcPr>
          <w:p w14:paraId="02726F8A" w14:textId="77777777" w:rsidR="00993983" w:rsidRPr="00A34935" w:rsidRDefault="00993983" w:rsidP="007C6C9A">
            <w:pPr>
              <w:pStyle w:val="TableEntry"/>
              <w:jc w:val="center"/>
              <w:rPr>
                <w:sz w:val="18"/>
                <w:szCs w:val="18"/>
              </w:rPr>
            </w:pPr>
            <w:r w:rsidRPr="00A34935">
              <w:rPr>
                <w:sz w:val="18"/>
                <w:szCs w:val="18"/>
              </w:rPr>
              <w:t>0.0</w:t>
            </w:r>
          </w:p>
        </w:tc>
      </w:tr>
      <w:tr w:rsidR="00993983" w:rsidRPr="00A34935" w14:paraId="145D77F1" w14:textId="77777777" w:rsidTr="007C6C9A">
        <w:tc>
          <w:tcPr>
            <w:tcW w:w="1804" w:type="pct"/>
            <w:vAlign w:val="center"/>
          </w:tcPr>
          <w:p w14:paraId="23375931" w14:textId="77777777" w:rsidR="00993983" w:rsidRPr="00A34935" w:rsidRDefault="00993983" w:rsidP="007C6C9A">
            <w:pPr>
              <w:pStyle w:val="TableEntry"/>
              <w:jc w:val="left"/>
              <w:rPr>
                <w:sz w:val="18"/>
                <w:szCs w:val="18"/>
              </w:rPr>
            </w:pPr>
            <w:r w:rsidRPr="00A34935">
              <w:rPr>
                <w:sz w:val="18"/>
                <w:szCs w:val="18"/>
              </w:rPr>
              <w:t>Maximum</w:t>
            </w:r>
          </w:p>
        </w:tc>
        <w:tc>
          <w:tcPr>
            <w:tcW w:w="1065" w:type="pct"/>
            <w:vAlign w:val="center"/>
          </w:tcPr>
          <w:p w14:paraId="1D6584D8" w14:textId="77777777" w:rsidR="00993983" w:rsidRPr="00A34935" w:rsidRDefault="00993983" w:rsidP="007C6C9A">
            <w:pPr>
              <w:pStyle w:val="TableEntry"/>
              <w:jc w:val="center"/>
              <w:rPr>
                <w:sz w:val="18"/>
                <w:szCs w:val="18"/>
              </w:rPr>
            </w:pPr>
            <w:r w:rsidRPr="00A34935">
              <w:rPr>
                <w:sz w:val="18"/>
                <w:szCs w:val="18"/>
              </w:rPr>
              <w:t>100</w:t>
            </w:r>
          </w:p>
        </w:tc>
        <w:tc>
          <w:tcPr>
            <w:tcW w:w="1065" w:type="pct"/>
          </w:tcPr>
          <w:p w14:paraId="5AA6165A" w14:textId="77777777" w:rsidR="00993983" w:rsidRPr="00A34935" w:rsidRDefault="00993983" w:rsidP="007C6C9A">
            <w:pPr>
              <w:pStyle w:val="TableEntry"/>
              <w:jc w:val="center"/>
              <w:rPr>
                <w:sz w:val="18"/>
                <w:szCs w:val="18"/>
              </w:rPr>
            </w:pPr>
            <w:r w:rsidRPr="00A34935">
              <w:rPr>
                <w:sz w:val="18"/>
                <w:szCs w:val="18"/>
              </w:rPr>
              <w:t>100</w:t>
            </w:r>
          </w:p>
        </w:tc>
        <w:tc>
          <w:tcPr>
            <w:tcW w:w="1065" w:type="pct"/>
          </w:tcPr>
          <w:p w14:paraId="30B46A44" w14:textId="77777777" w:rsidR="00993983" w:rsidRPr="00A34935" w:rsidRDefault="00993983" w:rsidP="007C6C9A">
            <w:pPr>
              <w:pStyle w:val="TableEntry"/>
              <w:jc w:val="center"/>
              <w:rPr>
                <w:sz w:val="18"/>
                <w:szCs w:val="18"/>
              </w:rPr>
            </w:pPr>
            <w:r w:rsidRPr="00A34935">
              <w:rPr>
                <w:sz w:val="18"/>
                <w:szCs w:val="18"/>
              </w:rPr>
              <w:t>100</w:t>
            </w:r>
          </w:p>
        </w:tc>
      </w:tr>
      <w:tr w:rsidR="00993983" w:rsidRPr="00A34935" w14:paraId="76CD51EA" w14:textId="77777777" w:rsidTr="007C6C9A">
        <w:tc>
          <w:tcPr>
            <w:tcW w:w="1804" w:type="pct"/>
            <w:vAlign w:val="center"/>
          </w:tcPr>
          <w:p w14:paraId="60CF05BB" w14:textId="77777777" w:rsidR="00993983" w:rsidRPr="00A34935" w:rsidRDefault="00993983" w:rsidP="007C6C9A">
            <w:pPr>
              <w:pStyle w:val="TableEntry"/>
              <w:jc w:val="left"/>
              <w:rPr>
                <w:sz w:val="18"/>
                <w:szCs w:val="18"/>
              </w:rPr>
            </w:pPr>
            <w:r w:rsidRPr="00A34935">
              <w:rPr>
                <w:sz w:val="18"/>
                <w:szCs w:val="18"/>
              </w:rPr>
              <w:t>95% CI</w:t>
            </w:r>
          </w:p>
        </w:tc>
        <w:tc>
          <w:tcPr>
            <w:tcW w:w="1065" w:type="pct"/>
            <w:vAlign w:val="center"/>
          </w:tcPr>
          <w:p w14:paraId="011BC515" w14:textId="77777777" w:rsidR="00993983" w:rsidRPr="00A34935" w:rsidRDefault="00993983" w:rsidP="007C6C9A">
            <w:pPr>
              <w:pStyle w:val="TableEntry"/>
              <w:jc w:val="center"/>
              <w:rPr>
                <w:sz w:val="18"/>
                <w:szCs w:val="18"/>
              </w:rPr>
            </w:pPr>
            <w:r w:rsidRPr="00A34935">
              <w:rPr>
                <w:sz w:val="18"/>
                <w:szCs w:val="18"/>
              </w:rPr>
              <w:t>44.6, 55.4</w:t>
            </w:r>
          </w:p>
        </w:tc>
        <w:tc>
          <w:tcPr>
            <w:tcW w:w="1065" w:type="pct"/>
          </w:tcPr>
          <w:p w14:paraId="21646A8E" w14:textId="77777777" w:rsidR="00993983" w:rsidRPr="00A34935" w:rsidRDefault="00993983" w:rsidP="007C6C9A">
            <w:pPr>
              <w:pStyle w:val="TableEntry"/>
              <w:jc w:val="center"/>
              <w:rPr>
                <w:sz w:val="18"/>
                <w:szCs w:val="18"/>
              </w:rPr>
            </w:pPr>
            <w:r w:rsidRPr="00A34935">
              <w:rPr>
                <w:sz w:val="18"/>
                <w:szCs w:val="18"/>
              </w:rPr>
              <w:t>21.6, 40.7</w:t>
            </w:r>
          </w:p>
        </w:tc>
        <w:tc>
          <w:tcPr>
            <w:tcW w:w="1065" w:type="pct"/>
          </w:tcPr>
          <w:p w14:paraId="24589EB5" w14:textId="77777777" w:rsidR="00993983" w:rsidRPr="00A34935" w:rsidRDefault="00993983" w:rsidP="007C6C9A">
            <w:pPr>
              <w:pStyle w:val="TableEntry"/>
              <w:jc w:val="center"/>
              <w:rPr>
                <w:sz w:val="18"/>
                <w:szCs w:val="18"/>
              </w:rPr>
            </w:pPr>
            <w:r w:rsidRPr="00A34935">
              <w:rPr>
                <w:sz w:val="18"/>
                <w:szCs w:val="18"/>
              </w:rPr>
              <w:t>41.8, 53.0</w:t>
            </w:r>
          </w:p>
        </w:tc>
      </w:tr>
    </w:tbl>
    <w:p w14:paraId="3DCC837E" w14:textId="77777777" w:rsidR="00993983" w:rsidRPr="00A34935" w:rsidRDefault="00993983" w:rsidP="00993983">
      <w:pPr>
        <w:pStyle w:val="Caption"/>
        <w:spacing w:after="0"/>
        <w:rPr>
          <w:rFonts w:ascii="Times New Roman" w:hAnsi="Times New Roman" w:cs="Times New Roman"/>
        </w:rPr>
      </w:pPr>
      <w:bookmarkStart w:id="24" w:name="_Ref48473769"/>
    </w:p>
    <w:p w14:paraId="69DD5635" w14:textId="77777777" w:rsidR="00993983" w:rsidRPr="00A34935" w:rsidRDefault="00993983" w:rsidP="00993983">
      <w:pPr>
        <w:spacing w:after="240"/>
        <w:rPr>
          <w:rFonts w:ascii="Times New Roman" w:eastAsia="TimesNewRoman" w:hAnsi="Times New Roman" w:cs="Times New Roman"/>
        </w:rPr>
      </w:pPr>
      <w:r w:rsidRPr="00A34935">
        <w:rPr>
          <w:rFonts w:ascii="Times New Roman" w:eastAsia="TimesNewRoman" w:hAnsi="Times New Roman" w:cs="Times New Roman"/>
        </w:rPr>
        <w:t xml:space="preserve">VLR was also evaluated separately by region (prostate bed, pelvic lymph nodes, skeleton, and other distant sites [extra-pelvic lymph nodes and viscera]).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localized prostate cancer lesions in all regions and showed the highest localization rates </w:t>
      </w:r>
      <w:r w:rsidRPr="003557FB">
        <w:rPr>
          <w:rFonts w:ascii="Times New Roman" w:eastAsia="TimesNewRoman" w:hAnsi="Times New Roman" w:cs="Times New Roman"/>
        </w:rPr>
        <w:t xml:space="preserve">in bone </w:t>
      </w:r>
      <w:r w:rsidR="009B2D86" w:rsidRPr="009B2D86">
        <w:rPr>
          <w:rFonts w:ascii="Times New Roman" w:eastAsia="TimesNewRoman" w:hAnsi="Times New Roman" w:cs="Times New Roman"/>
        </w:rPr>
        <w:t>(VLR range 50 to 68%) and the lowest localisation rate in the prostate bed (VLR range 31 to 44%)</w:t>
      </w:r>
      <w:r w:rsidRPr="003557FB">
        <w:rPr>
          <w:rFonts w:ascii="Times New Roman" w:eastAsia="TimesNewRoman" w:hAnsi="Times New Roman" w:cs="Times New Roman"/>
        </w:rPr>
        <w:t>.</w:t>
      </w:r>
    </w:p>
    <w:p w14:paraId="6B411C7F" w14:textId="77777777" w:rsidR="00993983" w:rsidRPr="00A34935" w:rsidRDefault="00993983" w:rsidP="00993983">
      <w:pPr>
        <w:rPr>
          <w:rStyle w:val="CrossRefChar"/>
          <w:rFonts w:cs="Times New Roman"/>
        </w:rPr>
      </w:pPr>
      <w:bookmarkStart w:id="25" w:name="_Ref48504448"/>
      <w:bookmarkEnd w:id="24"/>
      <w:r w:rsidRPr="00A34935">
        <w:rPr>
          <w:rFonts w:ascii="Times New Roman" w:eastAsia="TimesNewRoman" w:hAnsi="Times New Roman" w:cs="Times New Roman"/>
        </w:rPr>
        <w:t xml:space="preserve">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sensitivity, specificity, PPV, NPV, and accuracy are presented by </w:t>
      </w:r>
      <w:r w:rsidRPr="003557FB">
        <w:rPr>
          <w:rFonts w:ascii="Times New Roman" w:eastAsia="TimesNewRoman" w:hAnsi="Times New Roman" w:cs="Times New Roman"/>
        </w:rPr>
        <w:t xml:space="preserve">reader in </w:t>
      </w:r>
      <w:r w:rsidR="00A85732">
        <w:fldChar w:fldCharType="begin"/>
      </w:r>
      <w:r w:rsidR="00A85732">
        <w:instrText xml:space="preserve"> REF _Ref75469212 \h  \* MERGEFORMAT </w:instrText>
      </w:r>
      <w:r w:rsidR="00A85732">
        <w:fldChar w:fldCharType="separate"/>
      </w:r>
      <w:r w:rsidR="00950DC7" w:rsidRPr="00950DC7">
        <w:rPr>
          <w:rFonts w:ascii="Times New Roman" w:hAnsi="Times New Roman" w:cs="Times New Roman"/>
        </w:rPr>
        <w:t>Table 9</w:t>
      </w:r>
      <w:r w:rsidR="00A85732">
        <w:fldChar w:fldCharType="end"/>
      </w:r>
      <w:r w:rsidRPr="003C18C6">
        <w:rPr>
          <w:rStyle w:val="CrossRefChar"/>
          <w:rFonts w:cs="Times New Roman"/>
          <w:color w:val="auto"/>
          <w:sz w:val="22"/>
        </w:rPr>
        <w:t>.</w:t>
      </w:r>
    </w:p>
    <w:p w14:paraId="3BEF2DE5" w14:textId="77777777" w:rsidR="00A908F5" w:rsidRDefault="001378C5">
      <w:pPr>
        <w:pStyle w:val="Caption"/>
        <w:keepNext/>
        <w:rPr>
          <w:rFonts w:ascii="Times New Roman" w:hAnsi="Times New Roman" w:cs="Times New Roman"/>
        </w:rPr>
      </w:pPr>
      <w:bookmarkStart w:id="26" w:name="_Ref75469212"/>
      <w:bookmarkStart w:id="27" w:name="_Ref48504846"/>
      <w:r>
        <w:t xml:space="preserve">Table </w:t>
      </w:r>
      <w:r w:rsidR="0097219B">
        <w:fldChar w:fldCharType="begin"/>
      </w:r>
      <w:r>
        <w:instrText xml:space="preserve"> SEQ Table \* ARABIC </w:instrText>
      </w:r>
      <w:r w:rsidR="0097219B">
        <w:fldChar w:fldCharType="separate"/>
      </w:r>
      <w:r>
        <w:rPr>
          <w:noProof/>
        </w:rPr>
        <w:t>9</w:t>
      </w:r>
      <w:r w:rsidR="0097219B">
        <w:fldChar w:fldCharType="end"/>
      </w:r>
      <w:bookmarkEnd w:id="26"/>
      <w:r>
        <w:t xml:space="preserve">: </w:t>
      </w:r>
      <w:bookmarkEnd w:id="25"/>
      <w:bookmarkEnd w:id="27"/>
      <w:r w:rsidR="00993983" w:rsidRPr="00A34935">
        <w:rPr>
          <w:rFonts w:ascii="Times New Roman" w:hAnsi="Times New Roman" w:cs="Times New Roman"/>
        </w:rPr>
        <w:t>Sensitivity, Specificity, PPV, NPV and Accuracy in Patients with Biochemically Recurrent Prostate Cancer</w:t>
      </w:r>
      <w:r w:rsidR="009B2D86">
        <w:rPr>
          <w:rFonts w:ascii="Times New Roman" w:hAnsi="Times New Roman" w:cs="Times New Roman"/>
        </w:rPr>
        <w:t xml:space="preserve"> (full analysis set, N=422)</w:t>
      </w:r>
    </w:p>
    <w:tbl>
      <w:tblPr>
        <w:tblStyle w:val="TableGrid4"/>
        <w:tblW w:w="3051" w:type="pct"/>
        <w:tblLook w:val="04A0" w:firstRow="1" w:lastRow="0" w:firstColumn="1" w:lastColumn="0" w:noHBand="0" w:noVBand="1"/>
      </w:tblPr>
      <w:tblGrid>
        <w:gridCol w:w="1986"/>
        <w:gridCol w:w="1173"/>
        <w:gridCol w:w="1173"/>
        <w:gridCol w:w="1170"/>
      </w:tblGrid>
      <w:tr w:rsidR="00993983" w:rsidRPr="00A34935" w14:paraId="62A7AB1C" w14:textId="77777777" w:rsidTr="007C6C9A">
        <w:trPr>
          <w:tblHeader/>
        </w:trPr>
        <w:tc>
          <w:tcPr>
            <w:tcW w:w="1805" w:type="pct"/>
            <w:vAlign w:val="bottom"/>
          </w:tcPr>
          <w:p w14:paraId="61C08A79" w14:textId="77777777" w:rsidR="00993983" w:rsidRPr="00A34935" w:rsidRDefault="00993983" w:rsidP="007C6C9A">
            <w:pPr>
              <w:pStyle w:val="TableHeader"/>
              <w:jc w:val="left"/>
            </w:pPr>
            <w:r w:rsidRPr="00A34935">
              <w:rPr>
                <w:sz w:val="18"/>
                <w:szCs w:val="18"/>
              </w:rPr>
              <w:t>Summary</w:t>
            </w:r>
          </w:p>
        </w:tc>
        <w:tc>
          <w:tcPr>
            <w:tcW w:w="1066" w:type="pct"/>
            <w:vAlign w:val="bottom"/>
          </w:tcPr>
          <w:p w14:paraId="328D2D75" w14:textId="77777777" w:rsidR="00993983" w:rsidRPr="00A34935" w:rsidRDefault="00993983" w:rsidP="007C6C9A">
            <w:pPr>
              <w:pStyle w:val="TableHeader"/>
              <w:jc w:val="center"/>
            </w:pPr>
            <w:r w:rsidRPr="00A34935">
              <w:t>Reader 1</w:t>
            </w:r>
          </w:p>
        </w:tc>
        <w:tc>
          <w:tcPr>
            <w:tcW w:w="1066" w:type="pct"/>
            <w:vAlign w:val="bottom"/>
          </w:tcPr>
          <w:p w14:paraId="6D15B1C0" w14:textId="77777777" w:rsidR="00993983" w:rsidRPr="00A34935" w:rsidRDefault="00993983" w:rsidP="007C6C9A">
            <w:pPr>
              <w:pStyle w:val="TableHeader"/>
              <w:jc w:val="center"/>
            </w:pPr>
            <w:r w:rsidRPr="00A34935">
              <w:t>Reader 2</w:t>
            </w:r>
          </w:p>
        </w:tc>
        <w:tc>
          <w:tcPr>
            <w:tcW w:w="1064" w:type="pct"/>
            <w:vAlign w:val="bottom"/>
          </w:tcPr>
          <w:p w14:paraId="74510131" w14:textId="77777777" w:rsidR="00993983" w:rsidRPr="00A34935" w:rsidRDefault="00993983" w:rsidP="007C6C9A">
            <w:pPr>
              <w:pStyle w:val="TableHeader"/>
              <w:jc w:val="center"/>
            </w:pPr>
            <w:r w:rsidRPr="00A34935">
              <w:t>Reader 3</w:t>
            </w:r>
          </w:p>
        </w:tc>
      </w:tr>
      <w:tr w:rsidR="00993983" w:rsidRPr="00A34935" w14:paraId="551F9AA6" w14:textId="77777777" w:rsidTr="007C6C9A">
        <w:tc>
          <w:tcPr>
            <w:tcW w:w="1805" w:type="pct"/>
            <w:vAlign w:val="center"/>
          </w:tcPr>
          <w:p w14:paraId="555C4A2E" w14:textId="77777777" w:rsidR="00993983" w:rsidRPr="00A34935" w:rsidRDefault="00993983" w:rsidP="007C6C9A">
            <w:pPr>
              <w:pStyle w:val="TableEntry"/>
              <w:rPr>
                <w:sz w:val="18"/>
                <w:szCs w:val="18"/>
              </w:rPr>
            </w:pPr>
            <w:r w:rsidRPr="00A34935">
              <w:rPr>
                <w:sz w:val="18"/>
                <w:szCs w:val="18"/>
              </w:rPr>
              <w:t>Sensitivity (%)</w:t>
            </w:r>
          </w:p>
        </w:tc>
        <w:tc>
          <w:tcPr>
            <w:tcW w:w="1066" w:type="pct"/>
          </w:tcPr>
          <w:p w14:paraId="5096ADF6" w14:textId="77777777" w:rsidR="00993983" w:rsidRPr="00A34935" w:rsidRDefault="00993983" w:rsidP="007C6C9A">
            <w:pPr>
              <w:pStyle w:val="TableEntry"/>
              <w:jc w:val="center"/>
              <w:rPr>
                <w:sz w:val="18"/>
                <w:szCs w:val="18"/>
              </w:rPr>
            </w:pPr>
            <w:r w:rsidRPr="00A34935">
              <w:rPr>
                <w:sz w:val="18"/>
                <w:szCs w:val="18"/>
              </w:rPr>
              <w:t xml:space="preserve">85.7 </w:t>
            </w:r>
          </w:p>
        </w:tc>
        <w:tc>
          <w:tcPr>
            <w:tcW w:w="1066" w:type="pct"/>
          </w:tcPr>
          <w:p w14:paraId="3F9C9BBF" w14:textId="77777777" w:rsidR="00993983" w:rsidRPr="00A34935" w:rsidRDefault="00993983" w:rsidP="007C6C9A">
            <w:pPr>
              <w:pStyle w:val="TableEntry"/>
              <w:jc w:val="center"/>
              <w:rPr>
                <w:sz w:val="18"/>
                <w:szCs w:val="18"/>
              </w:rPr>
            </w:pPr>
            <w:r w:rsidRPr="00A34935">
              <w:rPr>
                <w:sz w:val="18"/>
                <w:szCs w:val="18"/>
              </w:rPr>
              <w:t xml:space="preserve">90.9 </w:t>
            </w:r>
          </w:p>
        </w:tc>
        <w:tc>
          <w:tcPr>
            <w:tcW w:w="1064" w:type="pct"/>
          </w:tcPr>
          <w:p w14:paraId="760FBF02" w14:textId="77777777" w:rsidR="00993983" w:rsidRPr="00A34935" w:rsidRDefault="00993983" w:rsidP="007C6C9A">
            <w:pPr>
              <w:pStyle w:val="TableEntry"/>
              <w:jc w:val="center"/>
              <w:rPr>
                <w:sz w:val="18"/>
                <w:szCs w:val="18"/>
              </w:rPr>
            </w:pPr>
            <w:r w:rsidRPr="00A34935">
              <w:rPr>
                <w:sz w:val="18"/>
                <w:szCs w:val="18"/>
              </w:rPr>
              <w:t xml:space="preserve">81.0 </w:t>
            </w:r>
          </w:p>
        </w:tc>
      </w:tr>
      <w:tr w:rsidR="00993983" w:rsidRPr="00A34935" w14:paraId="27D73A48" w14:textId="77777777" w:rsidTr="007C6C9A">
        <w:tc>
          <w:tcPr>
            <w:tcW w:w="1805" w:type="pct"/>
            <w:vAlign w:val="center"/>
          </w:tcPr>
          <w:p w14:paraId="387CB3F0" w14:textId="77777777" w:rsidR="00993983" w:rsidRPr="00A34935" w:rsidRDefault="00993983" w:rsidP="007C6C9A">
            <w:pPr>
              <w:pStyle w:val="TableEntry"/>
              <w:rPr>
                <w:sz w:val="18"/>
                <w:szCs w:val="18"/>
              </w:rPr>
            </w:pPr>
            <w:r w:rsidRPr="00A34935">
              <w:rPr>
                <w:sz w:val="18"/>
                <w:szCs w:val="18"/>
              </w:rPr>
              <w:t>Specificity (%)</w:t>
            </w:r>
          </w:p>
        </w:tc>
        <w:tc>
          <w:tcPr>
            <w:tcW w:w="1066" w:type="pct"/>
          </w:tcPr>
          <w:p w14:paraId="230FCBAA" w14:textId="77777777" w:rsidR="00993983" w:rsidRPr="00A34935" w:rsidRDefault="00993983" w:rsidP="007C6C9A">
            <w:pPr>
              <w:pStyle w:val="TableEntry"/>
              <w:jc w:val="center"/>
              <w:rPr>
                <w:sz w:val="18"/>
                <w:szCs w:val="18"/>
              </w:rPr>
            </w:pPr>
            <w:r w:rsidRPr="00A34935">
              <w:rPr>
                <w:sz w:val="18"/>
                <w:szCs w:val="18"/>
              </w:rPr>
              <w:t xml:space="preserve">53.0 </w:t>
            </w:r>
          </w:p>
        </w:tc>
        <w:tc>
          <w:tcPr>
            <w:tcW w:w="1066" w:type="pct"/>
          </w:tcPr>
          <w:p w14:paraId="30050B8E" w14:textId="77777777" w:rsidR="00993983" w:rsidRPr="00A34935" w:rsidRDefault="00993983" w:rsidP="007C6C9A">
            <w:pPr>
              <w:pStyle w:val="TableEntry"/>
              <w:jc w:val="center"/>
              <w:rPr>
                <w:sz w:val="18"/>
                <w:szCs w:val="18"/>
              </w:rPr>
            </w:pPr>
            <w:r w:rsidRPr="00A34935">
              <w:rPr>
                <w:sz w:val="18"/>
                <w:szCs w:val="18"/>
              </w:rPr>
              <w:t xml:space="preserve">27.4 </w:t>
            </w:r>
          </w:p>
        </w:tc>
        <w:tc>
          <w:tcPr>
            <w:tcW w:w="1064" w:type="pct"/>
          </w:tcPr>
          <w:p w14:paraId="4C991569" w14:textId="77777777" w:rsidR="00993983" w:rsidRPr="00A34935" w:rsidRDefault="00993983" w:rsidP="007C6C9A">
            <w:pPr>
              <w:pStyle w:val="TableEntry"/>
              <w:jc w:val="center"/>
              <w:rPr>
                <w:sz w:val="18"/>
                <w:szCs w:val="18"/>
              </w:rPr>
            </w:pPr>
            <w:r w:rsidRPr="00A34935">
              <w:rPr>
                <w:sz w:val="18"/>
                <w:szCs w:val="18"/>
              </w:rPr>
              <w:t xml:space="preserve">47.9 </w:t>
            </w:r>
          </w:p>
        </w:tc>
      </w:tr>
      <w:tr w:rsidR="00993983" w:rsidRPr="00A34935" w14:paraId="18D66C43" w14:textId="77777777" w:rsidTr="007C6C9A">
        <w:tc>
          <w:tcPr>
            <w:tcW w:w="1805" w:type="pct"/>
            <w:vAlign w:val="center"/>
          </w:tcPr>
          <w:p w14:paraId="06E3AD88" w14:textId="77777777" w:rsidR="00993983" w:rsidRPr="00A34935" w:rsidRDefault="00993983" w:rsidP="007C6C9A">
            <w:pPr>
              <w:pStyle w:val="TableEntry"/>
              <w:rPr>
                <w:sz w:val="18"/>
                <w:szCs w:val="18"/>
              </w:rPr>
            </w:pPr>
            <w:r w:rsidRPr="00A34935">
              <w:rPr>
                <w:sz w:val="18"/>
                <w:szCs w:val="18"/>
              </w:rPr>
              <w:t>PPV</w:t>
            </w:r>
          </w:p>
        </w:tc>
        <w:tc>
          <w:tcPr>
            <w:tcW w:w="1066" w:type="pct"/>
          </w:tcPr>
          <w:p w14:paraId="6784F7EC" w14:textId="77777777" w:rsidR="00993983" w:rsidRPr="00A34935" w:rsidRDefault="00993983" w:rsidP="007C6C9A">
            <w:pPr>
              <w:pStyle w:val="TableEntry"/>
              <w:jc w:val="center"/>
              <w:rPr>
                <w:sz w:val="18"/>
                <w:szCs w:val="18"/>
              </w:rPr>
            </w:pPr>
            <w:r w:rsidRPr="00A34935">
              <w:rPr>
                <w:sz w:val="18"/>
                <w:szCs w:val="18"/>
              </w:rPr>
              <w:t xml:space="preserve">78.3 </w:t>
            </w:r>
          </w:p>
        </w:tc>
        <w:tc>
          <w:tcPr>
            <w:tcW w:w="1066" w:type="pct"/>
          </w:tcPr>
          <w:p w14:paraId="7327F771" w14:textId="77777777" w:rsidR="00993983" w:rsidRPr="00A34935" w:rsidRDefault="00993983" w:rsidP="007C6C9A">
            <w:pPr>
              <w:pStyle w:val="TableEntry"/>
              <w:jc w:val="center"/>
              <w:rPr>
                <w:sz w:val="18"/>
                <w:szCs w:val="18"/>
              </w:rPr>
            </w:pPr>
            <w:r w:rsidRPr="00A34935">
              <w:rPr>
                <w:sz w:val="18"/>
                <w:szCs w:val="18"/>
              </w:rPr>
              <w:t xml:space="preserve">71.2 </w:t>
            </w:r>
          </w:p>
        </w:tc>
        <w:tc>
          <w:tcPr>
            <w:tcW w:w="1064" w:type="pct"/>
          </w:tcPr>
          <w:p w14:paraId="5F4C9AAB" w14:textId="77777777" w:rsidR="00993983" w:rsidRPr="00A34935" w:rsidRDefault="00993983" w:rsidP="007C6C9A">
            <w:pPr>
              <w:pStyle w:val="TableEntry"/>
              <w:jc w:val="center"/>
              <w:rPr>
                <w:sz w:val="18"/>
                <w:szCs w:val="18"/>
              </w:rPr>
            </w:pPr>
            <w:r w:rsidRPr="00A34935">
              <w:rPr>
                <w:sz w:val="18"/>
                <w:szCs w:val="18"/>
              </w:rPr>
              <w:t xml:space="preserve">75.4 </w:t>
            </w:r>
          </w:p>
        </w:tc>
      </w:tr>
      <w:tr w:rsidR="00993983" w:rsidRPr="00A34935" w14:paraId="3A3A0544" w14:textId="77777777" w:rsidTr="007C6C9A">
        <w:tc>
          <w:tcPr>
            <w:tcW w:w="1805" w:type="pct"/>
            <w:vAlign w:val="center"/>
          </w:tcPr>
          <w:p w14:paraId="75040D85" w14:textId="77777777" w:rsidR="00993983" w:rsidRPr="00A34935" w:rsidRDefault="00993983" w:rsidP="007C6C9A">
            <w:pPr>
              <w:pStyle w:val="TableEntry"/>
              <w:rPr>
                <w:sz w:val="18"/>
                <w:szCs w:val="18"/>
              </w:rPr>
            </w:pPr>
            <w:r w:rsidRPr="00A34935">
              <w:rPr>
                <w:sz w:val="18"/>
                <w:szCs w:val="18"/>
              </w:rPr>
              <w:t>NPV</w:t>
            </w:r>
          </w:p>
        </w:tc>
        <w:tc>
          <w:tcPr>
            <w:tcW w:w="1066" w:type="pct"/>
          </w:tcPr>
          <w:p w14:paraId="37879696" w14:textId="77777777" w:rsidR="00993983" w:rsidRPr="00A34935" w:rsidRDefault="00993983" w:rsidP="007C6C9A">
            <w:pPr>
              <w:pStyle w:val="TableEntry"/>
              <w:jc w:val="center"/>
              <w:rPr>
                <w:sz w:val="18"/>
                <w:szCs w:val="18"/>
              </w:rPr>
            </w:pPr>
            <w:r w:rsidRPr="00A34935">
              <w:rPr>
                <w:sz w:val="18"/>
                <w:szCs w:val="18"/>
              </w:rPr>
              <w:t xml:space="preserve">65.3 </w:t>
            </w:r>
          </w:p>
        </w:tc>
        <w:tc>
          <w:tcPr>
            <w:tcW w:w="1066" w:type="pct"/>
          </w:tcPr>
          <w:p w14:paraId="67A8C84A" w14:textId="77777777" w:rsidR="00993983" w:rsidRPr="00A34935" w:rsidRDefault="00993983" w:rsidP="007C6C9A">
            <w:pPr>
              <w:pStyle w:val="TableEntry"/>
              <w:jc w:val="center"/>
              <w:rPr>
                <w:sz w:val="18"/>
                <w:szCs w:val="18"/>
              </w:rPr>
            </w:pPr>
            <w:r w:rsidRPr="00A34935">
              <w:rPr>
                <w:sz w:val="18"/>
                <w:szCs w:val="18"/>
              </w:rPr>
              <w:t xml:space="preserve">60.4 </w:t>
            </w:r>
          </w:p>
        </w:tc>
        <w:tc>
          <w:tcPr>
            <w:tcW w:w="1064" w:type="pct"/>
          </w:tcPr>
          <w:p w14:paraId="5118A9E1" w14:textId="77777777" w:rsidR="00993983" w:rsidRPr="00A34935" w:rsidRDefault="00993983" w:rsidP="007C6C9A">
            <w:pPr>
              <w:pStyle w:val="TableEntry"/>
              <w:jc w:val="center"/>
              <w:rPr>
                <w:sz w:val="18"/>
                <w:szCs w:val="18"/>
              </w:rPr>
            </w:pPr>
            <w:r w:rsidRPr="00A34935">
              <w:rPr>
                <w:sz w:val="18"/>
                <w:szCs w:val="18"/>
              </w:rPr>
              <w:t xml:space="preserve">56.0 </w:t>
            </w:r>
          </w:p>
        </w:tc>
      </w:tr>
      <w:tr w:rsidR="00993983" w:rsidRPr="00A34935" w14:paraId="70FD25C1" w14:textId="77777777" w:rsidTr="007C6C9A">
        <w:tc>
          <w:tcPr>
            <w:tcW w:w="1805" w:type="pct"/>
            <w:vAlign w:val="center"/>
          </w:tcPr>
          <w:p w14:paraId="5EE8C417" w14:textId="77777777" w:rsidR="00993983" w:rsidRPr="00A34935" w:rsidRDefault="00993983" w:rsidP="007C6C9A">
            <w:pPr>
              <w:pStyle w:val="TableEntry"/>
              <w:rPr>
                <w:sz w:val="18"/>
                <w:szCs w:val="18"/>
              </w:rPr>
            </w:pPr>
            <w:r w:rsidRPr="00A34935">
              <w:rPr>
                <w:sz w:val="18"/>
                <w:szCs w:val="18"/>
              </w:rPr>
              <w:t>Accuracy</w:t>
            </w:r>
          </w:p>
        </w:tc>
        <w:tc>
          <w:tcPr>
            <w:tcW w:w="1066" w:type="pct"/>
          </w:tcPr>
          <w:p w14:paraId="22B77DA6" w14:textId="77777777" w:rsidR="00993983" w:rsidRPr="00A34935" w:rsidRDefault="00993983" w:rsidP="007C6C9A">
            <w:pPr>
              <w:pStyle w:val="TableEntry"/>
              <w:jc w:val="center"/>
              <w:rPr>
                <w:sz w:val="18"/>
                <w:szCs w:val="18"/>
              </w:rPr>
            </w:pPr>
            <w:r w:rsidRPr="00A34935">
              <w:rPr>
                <w:sz w:val="18"/>
                <w:szCs w:val="18"/>
              </w:rPr>
              <w:t xml:space="preserve">74.7 </w:t>
            </w:r>
          </w:p>
        </w:tc>
        <w:tc>
          <w:tcPr>
            <w:tcW w:w="1066" w:type="pct"/>
          </w:tcPr>
          <w:p w14:paraId="745C143B" w14:textId="77777777" w:rsidR="00993983" w:rsidRPr="00A34935" w:rsidRDefault="00993983" w:rsidP="007C6C9A">
            <w:pPr>
              <w:pStyle w:val="TableEntry"/>
              <w:jc w:val="center"/>
              <w:rPr>
                <w:sz w:val="18"/>
                <w:szCs w:val="18"/>
              </w:rPr>
            </w:pPr>
            <w:r w:rsidRPr="00A34935">
              <w:rPr>
                <w:sz w:val="18"/>
                <w:szCs w:val="18"/>
              </w:rPr>
              <w:t xml:space="preserve">69.5 </w:t>
            </w:r>
          </w:p>
        </w:tc>
        <w:tc>
          <w:tcPr>
            <w:tcW w:w="1064" w:type="pct"/>
          </w:tcPr>
          <w:p w14:paraId="0B810DDA" w14:textId="77777777" w:rsidR="00993983" w:rsidRPr="00A34935" w:rsidRDefault="00993983" w:rsidP="007C6C9A">
            <w:pPr>
              <w:pStyle w:val="TableEntry"/>
              <w:jc w:val="center"/>
              <w:rPr>
                <w:sz w:val="18"/>
                <w:szCs w:val="18"/>
              </w:rPr>
            </w:pPr>
            <w:r w:rsidRPr="00A34935">
              <w:rPr>
                <w:sz w:val="18"/>
                <w:szCs w:val="18"/>
              </w:rPr>
              <w:t xml:space="preserve">69.8 </w:t>
            </w:r>
          </w:p>
        </w:tc>
      </w:tr>
    </w:tbl>
    <w:p w14:paraId="3A9E5AD8" w14:textId="77777777" w:rsidR="000309A1" w:rsidRDefault="000309A1">
      <w:pPr>
        <w:pStyle w:val="Default"/>
        <w:rPr>
          <w:rFonts w:ascii="Times New Roman" w:eastAsia="TimesNewRoman" w:hAnsi="Times New Roman" w:cs="Times New Roman"/>
          <w:sz w:val="22"/>
          <w:szCs w:val="22"/>
        </w:rPr>
      </w:pPr>
    </w:p>
    <w:p w14:paraId="680FE283" w14:textId="77777777" w:rsidR="000309A1" w:rsidRDefault="00950DC7">
      <w:pPr>
        <w:pStyle w:val="Default"/>
        <w:rPr>
          <w:sz w:val="21"/>
          <w:szCs w:val="21"/>
        </w:rPr>
      </w:pPr>
      <w:r w:rsidRPr="00950DC7">
        <w:rPr>
          <w:rFonts w:ascii="Times New Roman" w:eastAsia="TimesNewRoman" w:hAnsi="Times New Roman" w:cs="Times New Roman"/>
          <w:sz w:val="22"/>
          <w:szCs w:val="22"/>
        </w:rPr>
        <w:t>The percentage of patients who were scanned and had at least one false positive finding, regardless of any coexistent TP lesions, ranged from 54.9% to</w:t>
      </w:r>
      <w:r w:rsidRPr="00950DC7">
        <w:rPr>
          <w:rFonts w:ascii="Times New Roman" w:eastAsia="TimesNewRoman" w:hAnsi="Times New Roman" w:cs="Times New Roman"/>
        </w:rPr>
        <w:t xml:space="preserve"> 73.6% in the 348 participants.</w:t>
      </w:r>
    </w:p>
    <w:p w14:paraId="4471B7D2" w14:textId="77777777" w:rsidR="000309A1" w:rsidRDefault="000309A1">
      <w:pPr>
        <w:pStyle w:val="Default"/>
        <w:rPr>
          <w:sz w:val="21"/>
          <w:szCs w:val="21"/>
        </w:rPr>
      </w:pPr>
    </w:p>
    <w:p w14:paraId="59A5D345" w14:textId="77777777" w:rsidR="000309A1" w:rsidRDefault="00950DC7">
      <w:pPr>
        <w:pStyle w:val="Default"/>
        <w:rPr>
          <w:sz w:val="21"/>
          <w:szCs w:val="21"/>
        </w:rPr>
      </w:pPr>
      <w:r w:rsidRPr="00950DC7">
        <w:rPr>
          <w:rFonts w:ascii="Times New Roman" w:eastAsia="TimesNewRoman" w:hAnsi="Times New Roman" w:cs="Times New Roman"/>
          <w:sz w:val="22"/>
          <w:szCs w:val="22"/>
        </w:rPr>
        <w:t xml:space="preserve">An analysis of CDR and VLR according to 68Ga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preparation method found similar results to the main analysis.</w:t>
      </w:r>
    </w:p>
    <w:p w14:paraId="49A6F20E" w14:textId="77777777" w:rsidR="00950DC7" w:rsidRDefault="00950DC7" w:rsidP="00950DC7">
      <w:pPr>
        <w:pStyle w:val="Default"/>
        <w:spacing w:after="120"/>
        <w:rPr>
          <w:rFonts w:ascii="Times New Roman" w:hAnsi="Times New Roman" w:cs="Times New Roman"/>
          <w:b/>
          <w:bCs/>
        </w:rPr>
      </w:pPr>
    </w:p>
    <w:p w14:paraId="24A0E3D2" w14:textId="77777777" w:rsidR="00950DC7" w:rsidRPr="00950DC7" w:rsidRDefault="00950DC7" w:rsidP="00950DC7">
      <w:pPr>
        <w:pStyle w:val="Default"/>
        <w:spacing w:after="120"/>
        <w:rPr>
          <w:rFonts w:ascii="Times New Roman" w:hAnsi="Times New Roman" w:cs="Times New Roman"/>
          <w:b/>
          <w:bCs/>
        </w:rPr>
      </w:pPr>
      <w:r w:rsidRPr="00950DC7">
        <w:rPr>
          <w:rFonts w:ascii="Times New Roman" w:hAnsi="Times New Roman" w:cs="Times New Roman"/>
          <w:b/>
          <w:bCs/>
        </w:rPr>
        <w:t>Literature Review</w:t>
      </w:r>
    </w:p>
    <w:p w14:paraId="4B50B5DF" w14:textId="77777777" w:rsidR="00950DC7" w:rsidRDefault="00950DC7" w:rsidP="00950DC7">
      <w:pPr>
        <w:pStyle w:val="Default"/>
        <w:rPr>
          <w:rFonts w:ascii="Times New Roman" w:eastAsia="TimesNewRoman" w:hAnsi="Times New Roman" w:cs="Times New Roman"/>
        </w:rPr>
      </w:pPr>
      <w:r w:rsidRPr="00950DC7">
        <w:rPr>
          <w:rFonts w:ascii="Times New Roman" w:eastAsia="TimesNewRoman" w:hAnsi="Times New Roman" w:cs="Times New Roman"/>
          <w:color w:val="auto"/>
          <w:sz w:val="22"/>
          <w:szCs w:val="22"/>
          <w:lang w:val="en-AU"/>
        </w:rPr>
        <w:t xml:space="preserve">The diagnostic efficacy of Ga-68 </w:t>
      </w:r>
      <w:r w:rsidR="00860CD4" w:rsidRPr="00860CD4">
        <w:rPr>
          <w:rFonts w:ascii="Times New Roman" w:eastAsia="TimesNewRoman" w:hAnsi="Times New Roman" w:cs="Times New Roman"/>
          <w:color w:val="auto"/>
          <w:sz w:val="22"/>
          <w:szCs w:val="22"/>
          <w:lang w:val="en-AU"/>
        </w:rPr>
        <w:t>Glu-urea-Lys(</w:t>
      </w:r>
      <w:proofErr w:type="spellStart"/>
      <w:r w:rsidR="00860CD4" w:rsidRPr="00860CD4">
        <w:rPr>
          <w:rFonts w:ascii="Times New Roman" w:eastAsia="TimesNewRoman" w:hAnsi="Times New Roman" w:cs="Times New Roman"/>
          <w:color w:val="auto"/>
          <w:sz w:val="22"/>
          <w:szCs w:val="22"/>
          <w:lang w:val="en-AU"/>
        </w:rPr>
        <w:t>ahx</w:t>
      </w:r>
      <w:proofErr w:type="spellEnd"/>
      <w:r w:rsidR="00860CD4" w:rsidRPr="00860CD4">
        <w:rPr>
          <w:rFonts w:ascii="Times New Roman" w:eastAsia="TimesNewRoman" w:hAnsi="Times New Roman" w:cs="Times New Roman"/>
          <w:color w:val="auto"/>
          <w:sz w:val="22"/>
          <w:szCs w:val="22"/>
          <w:lang w:val="en-AU"/>
        </w:rPr>
        <w:t>)-</w:t>
      </w:r>
      <w:proofErr w:type="spellStart"/>
      <w:r w:rsidR="00860CD4" w:rsidRPr="00860CD4">
        <w:rPr>
          <w:rFonts w:ascii="Times New Roman" w:eastAsia="TimesNewRoman" w:hAnsi="Times New Roman" w:cs="Times New Roman"/>
          <w:color w:val="auto"/>
          <w:sz w:val="22"/>
          <w:szCs w:val="22"/>
          <w:lang w:val="en-AU"/>
        </w:rPr>
        <w:t>hbed</w:t>
      </w:r>
      <w:proofErr w:type="spellEnd"/>
      <w:r w:rsidR="00860CD4" w:rsidRPr="00860CD4">
        <w:rPr>
          <w:rFonts w:ascii="Times New Roman" w:eastAsia="TimesNewRoman" w:hAnsi="Times New Roman" w:cs="Times New Roman"/>
          <w:color w:val="auto"/>
          <w:sz w:val="22"/>
          <w:szCs w:val="22"/>
          <w:lang w:val="en-AU"/>
        </w:rPr>
        <w:t>-CC</w:t>
      </w:r>
      <w:r w:rsidRPr="00950DC7">
        <w:rPr>
          <w:rFonts w:ascii="Times New Roman" w:eastAsia="TimesNewRoman" w:hAnsi="Times New Roman" w:cs="Times New Roman"/>
          <w:color w:val="auto"/>
          <w:sz w:val="22"/>
          <w:szCs w:val="22"/>
          <w:lang w:val="en-AU"/>
        </w:rPr>
        <w:t xml:space="preserve"> is also based on </w:t>
      </w:r>
      <w:bookmarkStart w:id="28" w:name="_Hlk49268636"/>
      <w:r w:rsidRPr="00950DC7">
        <w:rPr>
          <w:rFonts w:ascii="Times New Roman" w:eastAsia="TimesNewRoman" w:hAnsi="Times New Roman" w:cs="Times New Roman"/>
          <w:color w:val="auto"/>
          <w:sz w:val="22"/>
          <w:szCs w:val="22"/>
          <w:lang w:val="en-AU"/>
        </w:rPr>
        <w:t xml:space="preserve">a review of the worldwide literature: A systematic search identified 56 </w:t>
      </w:r>
      <w:r w:rsidRPr="00950DC7">
        <w:rPr>
          <w:rFonts w:ascii="Times New Roman" w:eastAsia="TimesNewRoman" w:hAnsi="Times New Roman" w:cs="Times New Roman"/>
          <w:sz w:val="22"/>
          <w:szCs w:val="22"/>
        </w:rPr>
        <w:t>articles in patients with newly diagnosed prostate cancer published through 31 March 2020</w:t>
      </w:r>
      <w:bookmarkEnd w:id="28"/>
      <w:r w:rsidRPr="00950DC7">
        <w:rPr>
          <w:rFonts w:ascii="Times New Roman" w:eastAsia="TimesNewRoman" w:hAnsi="Times New Roman" w:cs="Times New Roman"/>
          <w:sz w:val="22"/>
          <w:szCs w:val="22"/>
        </w:rPr>
        <w:t xml:space="preserve"> and 27 articles in patients with biochemical recurrence published through 20 May 2020.  Only studies that included biopsy/histology as a standard of truth were included. In patients newly diagnosed with PC, the sensitivity and specificity of Ga-68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was good and ranged from 24%-100% and 45%-100%, </w:t>
      </w:r>
      <w:proofErr w:type="gramStart"/>
      <w:r w:rsidRPr="00950DC7">
        <w:rPr>
          <w:rFonts w:ascii="Times New Roman" w:eastAsia="TimesNewRoman" w:hAnsi="Times New Roman" w:cs="Times New Roman"/>
          <w:sz w:val="22"/>
          <w:szCs w:val="22"/>
        </w:rPr>
        <w:t>respectively;  accuracy</w:t>
      </w:r>
      <w:proofErr w:type="gramEnd"/>
      <w:r w:rsidRPr="00950DC7">
        <w:rPr>
          <w:rFonts w:ascii="Times New Roman" w:eastAsia="TimesNewRoman" w:hAnsi="Times New Roman" w:cs="Times New Roman"/>
          <w:sz w:val="22"/>
          <w:szCs w:val="22"/>
        </w:rPr>
        <w:t xml:space="preserve"> ranged from 60%-100%.  A subset of studies in patients with newly diagnosed prostate cancer systematically evaluated change in management (n=11) associated with Ga-68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scan results.  In these studies, 13%-42.5% of patients had their treatment plan modified based on Ga-68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scan results.  In patients with biochemical recurrence, the sensitivity of Ga-68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ranged from 63.3%-100%; specificity ranged from</w:t>
      </w:r>
      <w:r w:rsidR="00E55DCB">
        <w:rPr>
          <w:rFonts w:ascii="Times New Roman" w:eastAsia="TimesNewRoman" w:hAnsi="Times New Roman" w:cs="Times New Roman"/>
          <w:sz w:val="22"/>
          <w:szCs w:val="22"/>
        </w:rPr>
        <w:t xml:space="preserve"> </w:t>
      </w:r>
      <w:r w:rsidRPr="00950DC7">
        <w:rPr>
          <w:rFonts w:ascii="Times New Roman" w:eastAsia="TimesNewRoman" w:hAnsi="Times New Roman" w:cs="Times New Roman"/>
          <w:sz w:val="22"/>
          <w:szCs w:val="22"/>
        </w:rPr>
        <w:t>63%-100%</w:t>
      </w:r>
      <w:r w:rsidR="00367585">
        <w:rPr>
          <w:rFonts w:ascii="Times New Roman" w:eastAsia="TimesNewRoman" w:hAnsi="Times New Roman" w:cs="Times New Roman"/>
          <w:sz w:val="22"/>
          <w:szCs w:val="22"/>
        </w:rPr>
        <w:t>; a</w:t>
      </w:r>
      <w:r w:rsidRPr="00950DC7">
        <w:rPr>
          <w:rFonts w:ascii="Times New Roman" w:eastAsia="TimesNewRoman" w:hAnsi="Times New Roman" w:cs="Times New Roman"/>
          <w:sz w:val="22"/>
          <w:szCs w:val="22"/>
        </w:rPr>
        <w:t xml:space="preserve">ccuracy ranged from 71%-100%.  In the subset of studies that </w:t>
      </w:r>
      <w:r w:rsidRPr="00950DC7">
        <w:rPr>
          <w:rFonts w:ascii="Times New Roman" w:eastAsia="TimesNewRoman" w:hAnsi="Times New Roman" w:cs="Times New Roman"/>
          <w:sz w:val="22"/>
          <w:szCs w:val="22"/>
        </w:rPr>
        <w:lastRenderedPageBreak/>
        <w:t xml:space="preserve">evaluated change in management (n=7), 30%-75% of patients with biochemical recurrence had their treatment plan modified based on the Ga-68 </w:t>
      </w:r>
      <w:r w:rsidR="00860CD4" w:rsidRPr="00860CD4">
        <w:rPr>
          <w:rFonts w:ascii="Times New Roman" w:eastAsia="TimesNewRoman" w:hAnsi="Times New Roman" w:cs="Times New Roman"/>
          <w:sz w:val="22"/>
          <w:szCs w:val="22"/>
        </w:rPr>
        <w:t>Glu-urea-Lys(</w:t>
      </w:r>
      <w:proofErr w:type="spellStart"/>
      <w:r w:rsidR="00860CD4" w:rsidRPr="00860CD4">
        <w:rPr>
          <w:rFonts w:ascii="Times New Roman" w:eastAsia="TimesNewRoman" w:hAnsi="Times New Roman" w:cs="Times New Roman"/>
          <w:sz w:val="22"/>
          <w:szCs w:val="22"/>
        </w:rPr>
        <w:t>ahx</w:t>
      </w:r>
      <w:proofErr w:type="spellEnd"/>
      <w:r w:rsidR="00860CD4" w:rsidRPr="00860CD4">
        <w:rPr>
          <w:rFonts w:ascii="Times New Roman" w:eastAsia="TimesNewRoman" w:hAnsi="Times New Roman" w:cs="Times New Roman"/>
          <w:sz w:val="22"/>
          <w:szCs w:val="22"/>
        </w:rPr>
        <w:t>)-</w:t>
      </w:r>
      <w:proofErr w:type="spellStart"/>
      <w:r w:rsidR="00860CD4" w:rsidRPr="00860CD4">
        <w:rPr>
          <w:rFonts w:ascii="Times New Roman" w:eastAsia="TimesNewRoman" w:hAnsi="Times New Roman" w:cs="Times New Roman"/>
          <w:sz w:val="22"/>
          <w:szCs w:val="22"/>
        </w:rPr>
        <w:t>hbed</w:t>
      </w:r>
      <w:proofErr w:type="spellEnd"/>
      <w:r w:rsidR="00860CD4" w:rsidRPr="00860CD4">
        <w:rPr>
          <w:rFonts w:ascii="Times New Roman" w:eastAsia="TimesNewRoman" w:hAnsi="Times New Roman" w:cs="Times New Roman"/>
          <w:sz w:val="22"/>
          <w:szCs w:val="22"/>
        </w:rPr>
        <w:t>-CC</w:t>
      </w:r>
      <w:r w:rsidRPr="00950DC7">
        <w:rPr>
          <w:rFonts w:ascii="Times New Roman" w:eastAsia="TimesNewRoman" w:hAnsi="Times New Roman" w:cs="Times New Roman"/>
          <w:sz w:val="22"/>
          <w:szCs w:val="22"/>
        </w:rPr>
        <w:t xml:space="preserve"> scan results.</w:t>
      </w:r>
    </w:p>
    <w:p w14:paraId="725E09E5" w14:textId="77777777" w:rsidR="00950DC7" w:rsidRDefault="00950DC7" w:rsidP="00950DC7">
      <w:pPr>
        <w:pStyle w:val="Default"/>
        <w:rPr>
          <w:rFonts w:ascii="Times New Roman" w:eastAsia="TimesNewRoman" w:hAnsi="Times New Roman" w:cs="Times New Roman"/>
        </w:rPr>
      </w:pPr>
    </w:p>
    <w:p w14:paraId="1CAE86E3" w14:textId="77777777" w:rsidR="001A3992" w:rsidRPr="00A34935" w:rsidRDefault="001A3992" w:rsidP="001D02B3">
      <w:pPr>
        <w:pStyle w:val="Heading2"/>
        <w:spacing w:before="0" w:after="120"/>
        <w:rPr>
          <w:rFonts w:ascii="Times New Roman" w:hAnsi="Times New Roman" w:cs="Times New Roman"/>
          <w:lang w:val="en-US"/>
        </w:rPr>
      </w:pPr>
      <w:r w:rsidRPr="00A34935">
        <w:rPr>
          <w:rFonts w:ascii="Times New Roman" w:hAnsi="Times New Roman" w:cs="Times New Roman"/>
          <w:lang w:val="en-US"/>
        </w:rPr>
        <w:t xml:space="preserve">Pharmacokinetic properties </w:t>
      </w:r>
    </w:p>
    <w:p w14:paraId="6E796D22" w14:textId="77777777" w:rsidR="001A3992" w:rsidRPr="00A34935" w:rsidRDefault="001A3992" w:rsidP="00A34935">
      <w:pPr>
        <w:pStyle w:val="Heading3"/>
      </w:pPr>
      <w:r w:rsidRPr="00A34935">
        <w:t>Distribution</w:t>
      </w:r>
    </w:p>
    <w:p w14:paraId="435C93CF" w14:textId="77777777" w:rsidR="00993983" w:rsidRPr="00A34935" w:rsidRDefault="00993983" w:rsidP="00993983">
      <w:pPr>
        <w:rPr>
          <w:rFonts w:ascii="Times New Roman" w:hAnsi="Times New Roman" w:cs="Times New Roman"/>
        </w:rPr>
      </w:pPr>
      <w:r w:rsidRPr="00A34935">
        <w:rPr>
          <w:rFonts w:ascii="Times New Roman" w:eastAsia="TimesNewRoman" w:hAnsi="Times New Roman" w:cs="Times New Roman"/>
        </w:rPr>
        <w:t xml:space="preserve">Intravenously injected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is rapidly cleared from the blood (biological half-life 6.5 minutes for 91% of activity; 4.4 </w:t>
      </w:r>
      <w:r w:rsidR="00E55DCB">
        <w:rPr>
          <w:rFonts w:ascii="Times New Roman" w:eastAsia="TimesNewRoman" w:hAnsi="Times New Roman" w:cs="Times New Roman"/>
        </w:rPr>
        <w:t>hours</w:t>
      </w:r>
      <w:r w:rsidRPr="00A34935">
        <w:rPr>
          <w:rFonts w:ascii="Times New Roman" w:eastAsia="TimesNewRoman" w:hAnsi="Times New Roman" w:cs="Times New Roman"/>
        </w:rPr>
        <w:t xml:space="preserve"> for the remaining 9%).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 xml:space="preserve"> distributes to all PSMA-expressing organs such as spleen, adrenals, kidney, prostate, liver, and salivary glands; and accumulates primarily in the liver (15%), kidneys (7%), spleen (2%), and salivary glands (0.5%).  There is no uptake in the cerebral cortex or in the heart, and usually thymus and lung uptakes are low.</w:t>
      </w:r>
    </w:p>
    <w:p w14:paraId="519F39C0" w14:textId="77777777" w:rsidR="008B3F8B" w:rsidRDefault="008B3F8B" w:rsidP="00A34935">
      <w:pPr>
        <w:pStyle w:val="Heading3"/>
      </w:pPr>
    </w:p>
    <w:p w14:paraId="64775483" w14:textId="77777777" w:rsidR="001A3992" w:rsidRPr="00A34935" w:rsidRDefault="001A3992" w:rsidP="00A34935">
      <w:pPr>
        <w:pStyle w:val="Heading3"/>
      </w:pPr>
      <w:r w:rsidRPr="00A34935">
        <w:t>Excretion</w:t>
      </w:r>
    </w:p>
    <w:p w14:paraId="50F216A8" w14:textId="77777777" w:rsidR="00860CD4" w:rsidRDefault="00993983" w:rsidP="00993983">
      <w:pPr>
        <w:rPr>
          <w:rFonts w:ascii="Times New Roman" w:eastAsia="TimesNewRoman" w:hAnsi="Times New Roman" w:cs="Times New Roman"/>
        </w:rPr>
      </w:pPr>
      <w:r w:rsidRPr="00A34935">
        <w:rPr>
          <w:rFonts w:ascii="Times New Roman" w:eastAsia="TimesNewRoman" w:hAnsi="Times New Roman" w:cs="Times New Roman"/>
        </w:rPr>
        <w:t>A total of 14% of the injected dose is excreted in urine in the first two hours post-injection.</w:t>
      </w:r>
    </w:p>
    <w:p w14:paraId="725C088A" w14:textId="77777777" w:rsidR="001A3992" w:rsidRPr="00A34935" w:rsidRDefault="001A3992" w:rsidP="001A3992">
      <w:pPr>
        <w:pStyle w:val="Heading2"/>
        <w:spacing w:before="0" w:after="120"/>
        <w:rPr>
          <w:rFonts w:ascii="Times New Roman" w:hAnsi="Times New Roman" w:cs="Times New Roman"/>
          <w:lang w:val="en-US"/>
        </w:rPr>
      </w:pPr>
      <w:r w:rsidRPr="00A34935">
        <w:rPr>
          <w:rFonts w:ascii="Times New Roman" w:hAnsi="Times New Roman" w:cs="Times New Roman"/>
          <w:lang w:val="en-US"/>
        </w:rPr>
        <w:t>Preclinical safety data</w:t>
      </w:r>
    </w:p>
    <w:p w14:paraId="4FC08A59" w14:textId="77777777" w:rsidR="001A3992" w:rsidRPr="00A34935" w:rsidRDefault="001A3992" w:rsidP="00A34935">
      <w:pPr>
        <w:pStyle w:val="Heading3"/>
      </w:pPr>
      <w:r w:rsidRPr="00A34935">
        <w:t>Genotoxicity</w:t>
      </w:r>
    </w:p>
    <w:p w14:paraId="288847AF" w14:textId="77777777" w:rsidR="00A34935" w:rsidRPr="00A34935" w:rsidRDefault="00A34935" w:rsidP="00A34935">
      <w:pPr>
        <w:rPr>
          <w:rFonts w:ascii="Times New Roman" w:hAnsi="Times New Roman" w:cs="Times New Roman"/>
        </w:rPr>
      </w:pPr>
      <w:r w:rsidRPr="00A34935">
        <w:rPr>
          <w:rFonts w:ascii="Times New Roman" w:eastAsia="TimesNewRoman" w:hAnsi="Times New Roman" w:cs="Times New Roman"/>
        </w:rPr>
        <w:t xml:space="preserve">No animal studies on genotoxic potential have been conducted with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w:t>
      </w:r>
    </w:p>
    <w:p w14:paraId="0F32C5C4" w14:textId="77777777" w:rsidR="001A3992" w:rsidRPr="00A34935" w:rsidRDefault="001A3992" w:rsidP="00A34935">
      <w:pPr>
        <w:pStyle w:val="Heading3"/>
        <w:rPr>
          <w:lang w:val="en-US"/>
        </w:rPr>
      </w:pPr>
      <w:proofErr w:type="spellStart"/>
      <w:r w:rsidRPr="00A34935">
        <w:t>Carcin</w:t>
      </w:r>
      <w:r w:rsidRPr="00A34935">
        <w:rPr>
          <w:lang w:val="en-US"/>
        </w:rPr>
        <w:t>ogenicity</w:t>
      </w:r>
      <w:proofErr w:type="spellEnd"/>
    </w:p>
    <w:p w14:paraId="29D9A4BB" w14:textId="77777777" w:rsidR="00A34935" w:rsidRPr="00A34935" w:rsidRDefault="00A34935" w:rsidP="00A34935">
      <w:pPr>
        <w:rPr>
          <w:rFonts w:ascii="Times New Roman" w:hAnsi="Times New Roman" w:cs="Times New Roman"/>
        </w:rPr>
      </w:pPr>
      <w:r w:rsidRPr="00A34935">
        <w:rPr>
          <w:rFonts w:ascii="Times New Roman" w:eastAsia="TimesNewRoman" w:hAnsi="Times New Roman" w:cs="Times New Roman"/>
        </w:rPr>
        <w:t xml:space="preserve">No animal studies on carcinogenic potential have been conducted with Ga-68 </w:t>
      </w:r>
      <w:r w:rsidR="00860CD4" w:rsidRPr="00860CD4">
        <w:rPr>
          <w:rFonts w:ascii="Times New Roman" w:eastAsia="TimesNewRoman" w:hAnsi="Times New Roman" w:cs="Times New Roman"/>
        </w:rPr>
        <w:t>Glu-urea-Lys(</w:t>
      </w:r>
      <w:proofErr w:type="spellStart"/>
      <w:r w:rsidR="00860CD4" w:rsidRPr="00860CD4">
        <w:rPr>
          <w:rFonts w:ascii="Times New Roman" w:eastAsia="TimesNewRoman" w:hAnsi="Times New Roman" w:cs="Times New Roman"/>
        </w:rPr>
        <w:t>ahx</w:t>
      </w:r>
      <w:proofErr w:type="spellEnd"/>
      <w:r w:rsidR="00860CD4" w:rsidRPr="00860CD4">
        <w:rPr>
          <w:rFonts w:ascii="Times New Roman" w:eastAsia="TimesNewRoman" w:hAnsi="Times New Roman" w:cs="Times New Roman"/>
        </w:rPr>
        <w:t>)-</w:t>
      </w:r>
      <w:proofErr w:type="spellStart"/>
      <w:r w:rsidR="00860CD4" w:rsidRPr="00860CD4">
        <w:rPr>
          <w:rFonts w:ascii="Times New Roman" w:eastAsia="TimesNewRoman" w:hAnsi="Times New Roman" w:cs="Times New Roman"/>
        </w:rPr>
        <w:t>hbed</w:t>
      </w:r>
      <w:proofErr w:type="spellEnd"/>
      <w:r w:rsidR="00860CD4" w:rsidRPr="00860CD4">
        <w:rPr>
          <w:rFonts w:ascii="Times New Roman" w:eastAsia="TimesNewRoman" w:hAnsi="Times New Roman" w:cs="Times New Roman"/>
        </w:rPr>
        <w:t>-CC</w:t>
      </w:r>
      <w:r w:rsidRPr="00A34935">
        <w:rPr>
          <w:rFonts w:ascii="Times New Roman" w:eastAsia="TimesNewRoman" w:hAnsi="Times New Roman" w:cs="Times New Roman"/>
        </w:rPr>
        <w:t>.</w:t>
      </w:r>
    </w:p>
    <w:p w14:paraId="1D915A13" w14:textId="77777777" w:rsidR="001A3992" w:rsidRPr="00A34935" w:rsidRDefault="001A3992" w:rsidP="001A3992">
      <w:pPr>
        <w:pStyle w:val="Heading1"/>
        <w:spacing w:before="0" w:after="120"/>
        <w:rPr>
          <w:rFonts w:ascii="Times New Roman" w:hAnsi="Times New Roman" w:cs="Times New Roman"/>
          <w:lang w:val="en-US"/>
        </w:rPr>
      </w:pPr>
      <w:r w:rsidRPr="00A34935">
        <w:rPr>
          <w:rFonts w:ascii="Times New Roman" w:hAnsi="Times New Roman" w:cs="Times New Roman"/>
          <w:lang w:val="en-US"/>
        </w:rPr>
        <w:t>Pharmaceutical particulars</w:t>
      </w:r>
    </w:p>
    <w:p w14:paraId="6C3950F5" w14:textId="77777777" w:rsidR="001A3992" w:rsidRPr="00A34935" w:rsidRDefault="001A3992" w:rsidP="001A3992">
      <w:pPr>
        <w:pStyle w:val="Heading2"/>
        <w:spacing w:before="0" w:after="120"/>
        <w:rPr>
          <w:rFonts w:ascii="Times New Roman" w:hAnsi="Times New Roman" w:cs="Times New Roman"/>
          <w:lang w:val="en-US"/>
        </w:rPr>
      </w:pPr>
      <w:r w:rsidRPr="00A34935">
        <w:rPr>
          <w:rFonts w:ascii="Times New Roman" w:hAnsi="Times New Roman" w:cs="Times New Roman"/>
          <w:lang w:val="en-US"/>
        </w:rPr>
        <w:t xml:space="preserve">List of excipients </w:t>
      </w:r>
    </w:p>
    <w:p w14:paraId="6DE3C0D6" w14:textId="77777777" w:rsidR="007D10C7" w:rsidRPr="00A34935" w:rsidRDefault="007D10C7" w:rsidP="007D10C7">
      <w:pPr>
        <w:rPr>
          <w:rFonts w:ascii="Times New Roman" w:eastAsia="TimesNewRoman" w:hAnsi="Times New Roman" w:cs="Times New Roman"/>
        </w:rPr>
      </w:pPr>
      <w:r w:rsidRPr="00A34935">
        <w:rPr>
          <w:rFonts w:ascii="Times New Roman" w:eastAsia="TimesNewRoman" w:hAnsi="Times New Roman" w:cs="Times New Roman"/>
        </w:rPr>
        <w:t>ILLUCCIX Configuration “A”:</w:t>
      </w:r>
    </w:p>
    <w:p w14:paraId="5569B911" w14:textId="77777777" w:rsidR="007D10C7" w:rsidRPr="00A34935" w:rsidRDefault="007D10C7" w:rsidP="007D10C7">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A34935">
        <w:rPr>
          <w:rFonts w:ascii="Times New Roman" w:eastAsia="TimesNewRoman" w:hAnsi="Times New Roman" w:cs="Times New Roman"/>
        </w:rPr>
        <w:t>Vial 1 (</w:t>
      </w:r>
      <w:r w:rsidRPr="00860CD4">
        <w:rPr>
          <w:rFonts w:ascii="Times New Roman" w:eastAsia="TimesNewRoman" w:hAnsi="Times New Roman" w:cs="Times New Roman"/>
        </w:rPr>
        <w:t>Glu-urea-Lys(</w:t>
      </w:r>
      <w:proofErr w:type="spellStart"/>
      <w:r w:rsidRPr="00860CD4">
        <w:rPr>
          <w:rFonts w:ascii="Times New Roman" w:eastAsia="TimesNewRoman" w:hAnsi="Times New Roman" w:cs="Times New Roman"/>
        </w:rPr>
        <w:t>ahx</w:t>
      </w:r>
      <w:proofErr w:type="spellEnd"/>
      <w:r w:rsidRPr="00860CD4">
        <w:rPr>
          <w:rFonts w:ascii="Times New Roman" w:eastAsia="TimesNewRoman" w:hAnsi="Times New Roman" w:cs="Times New Roman"/>
        </w:rPr>
        <w:t>)-</w:t>
      </w:r>
      <w:proofErr w:type="spellStart"/>
      <w:r w:rsidRPr="00860CD4">
        <w:rPr>
          <w:rFonts w:ascii="Times New Roman" w:eastAsia="TimesNewRoman" w:hAnsi="Times New Roman" w:cs="Times New Roman"/>
        </w:rPr>
        <w:t>hbed</w:t>
      </w:r>
      <w:proofErr w:type="spellEnd"/>
      <w:r w:rsidRPr="00860CD4">
        <w:rPr>
          <w:rFonts w:ascii="Times New Roman" w:eastAsia="TimesNewRoman" w:hAnsi="Times New Roman" w:cs="Times New Roman"/>
        </w:rPr>
        <w:t>-CC</w:t>
      </w:r>
      <w:r w:rsidRPr="00A34935">
        <w:rPr>
          <w:rFonts w:ascii="Times New Roman" w:eastAsia="TimesNewRoman" w:hAnsi="Times New Roman" w:cs="Times New Roman"/>
        </w:rPr>
        <w:t xml:space="preserve"> Vial): contains 25 </w:t>
      </w:r>
      <w:r>
        <w:rPr>
          <w:rFonts w:ascii="Times New Roman" w:eastAsia="TimesNewRoman" w:hAnsi="Times New Roman" w:cs="Times New Roman"/>
        </w:rPr>
        <w:t>microgram</w:t>
      </w:r>
      <w:r w:rsidRPr="00A34935">
        <w:rPr>
          <w:rFonts w:ascii="Times New Roman" w:eastAsia="TimesNewRoman" w:hAnsi="Times New Roman" w:cs="Times New Roman"/>
        </w:rPr>
        <w:t xml:space="preserve"> </w:t>
      </w:r>
      <w:r>
        <w:rPr>
          <w:rFonts w:ascii="Times New Roman" w:eastAsia="TimesNewRoman" w:hAnsi="Times New Roman" w:cs="Times New Roman"/>
        </w:rPr>
        <w:t>Glu-urea-Lys(</w:t>
      </w:r>
      <w:proofErr w:type="spellStart"/>
      <w:r>
        <w:rPr>
          <w:rFonts w:ascii="Times New Roman" w:eastAsia="TimesNewRoman" w:hAnsi="Times New Roman" w:cs="Times New Roman"/>
        </w:rPr>
        <w:t>ahx</w:t>
      </w:r>
      <w:proofErr w:type="spellEnd"/>
      <w:r>
        <w:rPr>
          <w:rFonts w:ascii="Times New Roman" w:eastAsia="TimesNewRoman" w:hAnsi="Times New Roman" w:cs="Times New Roman"/>
        </w:rPr>
        <w:t>)-</w:t>
      </w:r>
      <w:proofErr w:type="spellStart"/>
      <w:r>
        <w:rPr>
          <w:rFonts w:ascii="Times New Roman" w:eastAsia="TimesNewRoman" w:hAnsi="Times New Roman" w:cs="Times New Roman"/>
        </w:rPr>
        <w:t>hbed</w:t>
      </w:r>
      <w:proofErr w:type="spellEnd"/>
      <w:r>
        <w:rPr>
          <w:rFonts w:ascii="Times New Roman" w:eastAsia="TimesNewRoman" w:hAnsi="Times New Roman" w:cs="Times New Roman"/>
        </w:rPr>
        <w:t>-CC,</w:t>
      </w:r>
      <w:r w:rsidRPr="00A34935">
        <w:rPr>
          <w:rFonts w:ascii="Times New Roman" w:eastAsia="TimesNewRoman" w:hAnsi="Times New Roman" w:cs="Times New Roman"/>
        </w:rPr>
        <w:t xml:space="preserve"> 10 </w:t>
      </w:r>
      <w:r>
        <w:rPr>
          <w:rFonts w:ascii="Times New Roman" w:eastAsia="TimesNewRoman" w:hAnsi="Times New Roman" w:cs="Times New Roman"/>
        </w:rPr>
        <w:t>microgram</w:t>
      </w:r>
      <w:r w:rsidRPr="00A34935">
        <w:rPr>
          <w:rFonts w:ascii="Times New Roman" w:eastAsia="TimesNewRoman" w:hAnsi="Times New Roman" w:cs="Times New Roman"/>
        </w:rPr>
        <w:t xml:space="preserve"> mannose </w:t>
      </w:r>
      <w:r>
        <w:rPr>
          <w:rFonts w:ascii="Times New Roman" w:eastAsia="TimesNewRoman" w:hAnsi="Times New Roman" w:cs="Times New Roman"/>
        </w:rPr>
        <w:t>and water for injection</w:t>
      </w:r>
      <w:r w:rsidR="00362B0D">
        <w:rPr>
          <w:rFonts w:ascii="Times New Roman" w:eastAsia="TimesNewRoman" w:hAnsi="Times New Roman" w:cs="Times New Roman"/>
        </w:rPr>
        <w:t>s</w:t>
      </w:r>
      <w:r>
        <w:rPr>
          <w:rFonts w:ascii="Times New Roman" w:eastAsia="TimesNewRoman" w:hAnsi="Times New Roman" w:cs="Times New Roman"/>
        </w:rPr>
        <w:t xml:space="preserve"> </w:t>
      </w:r>
      <w:r w:rsidRPr="00A34935">
        <w:rPr>
          <w:rFonts w:ascii="Times New Roman" w:eastAsia="TimesNewRoman" w:hAnsi="Times New Roman" w:cs="Times New Roman"/>
        </w:rPr>
        <w:t>as a lyophilized powder in a sterile 10 mL vial with a blue flip-off cap.</w:t>
      </w:r>
    </w:p>
    <w:p w14:paraId="53EDAD99" w14:textId="77777777" w:rsidR="007D10C7" w:rsidRPr="00A34935" w:rsidRDefault="007D10C7" w:rsidP="007D10C7">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A34935">
        <w:rPr>
          <w:rFonts w:ascii="Times New Roman" w:eastAsia="TimesNewRoman" w:hAnsi="Times New Roman" w:cs="Times New Roman"/>
        </w:rPr>
        <w:t>Vial 2 (Buffer Vial, Configuration A): contains 150 mg sodium acetate</w:t>
      </w:r>
      <w:r>
        <w:rPr>
          <w:rFonts w:ascii="Times New Roman" w:eastAsia="TimesNewRoman" w:hAnsi="Times New Roman" w:cs="Times New Roman"/>
        </w:rPr>
        <w:t>,</w:t>
      </w:r>
      <w:r w:rsidRPr="00A34935">
        <w:rPr>
          <w:rFonts w:ascii="Times New Roman" w:eastAsia="TimesNewRoman" w:hAnsi="Times New Roman" w:cs="Times New Roman"/>
        </w:rPr>
        <w:t xml:space="preserve"> </w:t>
      </w:r>
      <w:r>
        <w:rPr>
          <w:rFonts w:ascii="Times New Roman" w:eastAsia="TimesNewRoman" w:hAnsi="Times New Roman" w:cs="Times New Roman"/>
        </w:rPr>
        <w:t>0.077</w:t>
      </w:r>
      <w:r w:rsidRPr="00A34935">
        <w:rPr>
          <w:rFonts w:ascii="Times New Roman" w:eastAsia="TimesNewRoman" w:hAnsi="Times New Roman" w:cs="Times New Roman"/>
        </w:rPr>
        <w:t xml:space="preserve"> </w:t>
      </w:r>
      <w:r>
        <w:rPr>
          <w:rFonts w:ascii="Times New Roman" w:eastAsia="TimesNewRoman" w:hAnsi="Times New Roman" w:cs="Times New Roman"/>
        </w:rPr>
        <w:t>mL hydrochloric acid and water for injection</w:t>
      </w:r>
      <w:r w:rsidR="00362B0D">
        <w:rPr>
          <w:rFonts w:ascii="Times New Roman" w:eastAsia="TimesNewRoman" w:hAnsi="Times New Roman" w:cs="Times New Roman"/>
        </w:rPr>
        <w:t>s</w:t>
      </w:r>
      <w:r>
        <w:rPr>
          <w:rFonts w:ascii="Times New Roman" w:eastAsia="TimesNewRoman" w:hAnsi="Times New Roman" w:cs="Times New Roman"/>
        </w:rPr>
        <w:t xml:space="preserve"> </w:t>
      </w:r>
      <w:r w:rsidRPr="00A34935">
        <w:rPr>
          <w:rFonts w:ascii="Times New Roman" w:eastAsia="TimesNewRoman" w:hAnsi="Times New Roman" w:cs="Times New Roman"/>
        </w:rPr>
        <w:t>(2.5 mL volume) in a sterile 10 mL vial with a red flip off cap.</w:t>
      </w:r>
    </w:p>
    <w:p w14:paraId="60299A0D" w14:textId="77777777" w:rsidR="007D10C7" w:rsidRPr="00A34935" w:rsidRDefault="007D10C7" w:rsidP="007D10C7">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A34935">
        <w:rPr>
          <w:rFonts w:ascii="Times New Roman" w:eastAsia="TimesNewRoman" w:hAnsi="Times New Roman" w:cs="Times New Roman"/>
        </w:rPr>
        <w:t>Vial 3 (Sterile Vacuumed Vial): an evacuated sterile vial with white flip off cap used to collect Ga-68 chloride from generators or cyclotron</w:t>
      </w:r>
    </w:p>
    <w:p w14:paraId="3707CBE6" w14:textId="77777777" w:rsidR="007D10C7" w:rsidRPr="00A34935" w:rsidRDefault="007D10C7" w:rsidP="007D10C7">
      <w:pPr>
        <w:keepNext/>
        <w:rPr>
          <w:rFonts w:ascii="Times New Roman" w:eastAsia="TimesNewRoman" w:hAnsi="Times New Roman" w:cs="Times New Roman"/>
        </w:rPr>
      </w:pPr>
      <w:r w:rsidRPr="00A34935">
        <w:rPr>
          <w:rFonts w:ascii="Times New Roman" w:eastAsia="TimesNewRoman" w:hAnsi="Times New Roman" w:cs="Times New Roman"/>
        </w:rPr>
        <w:lastRenderedPageBreak/>
        <w:t>ILLUCCIX Configuration “B”:</w:t>
      </w:r>
    </w:p>
    <w:p w14:paraId="412614F7" w14:textId="77777777" w:rsidR="007D10C7" w:rsidRPr="00A34935" w:rsidRDefault="00A075D6" w:rsidP="007D10C7">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A34935">
        <w:rPr>
          <w:rFonts w:ascii="Times New Roman" w:eastAsia="TimesNewRoman" w:hAnsi="Times New Roman" w:cs="Times New Roman"/>
        </w:rPr>
        <w:t>Vial 1 (</w:t>
      </w:r>
      <w:r w:rsidRPr="00860CD4">
        <w:rPr>
          <w:rFonts w:ascii="Times New Roman" w:eastAsia="TimesNewRoman" w:hAnsi="Times New Roman" w:cs="Times New Roman"/>
        </w:rPr>
        <w:t>Glu-urea-Lys(</w:t>
      </w:r>
      <w:proofErr w:type="spellStart"/>
      <w:r w:rsidRPr="00860CD4">
        <w:rPr>
          <w:rFonts w:ascii="Times New Roman" w:eastAsia="TimesNewRoman" w:hAnsi="Times New Roman" w:cs="Times New Roman"/>
        </w:rPr>
        <w:t>ahx</w:t>
      </w:r>
      <w:proofErr w:type="spellEnd"/>
      <w:r w:rsidRPr="00860CD4">
        <w:rPr>
          <w:rFonts w:ascii="Times New Roman" w:eastAsia="TimesNewRoman" w:hAnsi="Times New Roman" w:cs="Times New Roman"/>
        </w:rPr>
        <w:t>)-</w:t>
      </w:r>
      <w:proofErr w:type="spellStart"/>
      <w:r w:rsidRPr="00860CD4">
        <w:rPr>
          <w:rFonts w:ascii="Times New Roman" w:eastAsia="TimesNewRoman" w:hAnsi="Times New Roman" w:cs="Times New Roman"/>
        </w:rPr>
        <w:t>hbed</w:t>
      </w:r>
      <w:proofErr w:type="spellEnd"/>
      <w:r w:rsidRPr="00860CD4">
        <w:rPr>
          <w:rFonts w:ascii="Times New Roman" w:eastAsia="TimesNewRoman" w:hAnsi="Times New Roman" w:cs="Times New Roman"/>
        </w:rPr>
        <w:t>-CC</w:t>
      </w:r>
      <w:r w:rsidRPr="00A34935">
        <w:rPr>
          <w:rFonts w:ascii="Times New Roman" w:eastAsia="TimesNewRoman" w:hAnsi="Times New Roman" w:cs="Times New Roman"/>
        </w:rPr>
        <w:t xml:space="preserve"> Vial): contains 25 </w:t>
      </w:r>
      <w:r>
        <w:rPr>
          <w:rFonts w:ascii="Times New Roman" w:eastAsia="TimesNewRoman" w:hAnsi="Times New Roman" w:cs="Times New Roman"/>
        </w:rPr>
        <w:t>microgram</w:t>
      </w:r>
      <w:r w:rsidRPr="00A34935">
        <w:rPr>
          <w:rFonts w:ascii="Times New Roman" w:eastAsia="TimesNewRoman" w:hAnsi="Times New Roman" w:cs="Times New Roman"/>
        </w:rPr>
        <w:t xml:space="preserve"> </w:t>
      </w:r>
      <w:r>
        <w:rPr>
          <w:rFonts w:ascii="Times New Roman" w:eastAsia="TimesNewRoman" w:hAnsi="Times New Roman" w:cs="Times New Roman"/>
        </w:rPr>
        <w:t>Glu-urea-Lys(</w:t>
      </w:r>
      <w:proofErr w:type="spellStart"/>
      <w:r>
        <w:rPr>
          <w:rFonts w:ascii="Times New Roman" w:eastAsia="TimesNewRoman" w:hAnsi="Times New Roman" w:cs="Times New Roman"/>
        </w:rPr>
        <w:t>ahx</w:t>
      </w:r>
      <w:proofErr w:type="spellEnd"/>
      <w:r>
        <w:rPr>
          <w:rFonts w:ascii="Times New Roman" w:eastAsia="TimesNewRoman" w:hAnsi="Times New Roman" w:cs="Times New Roman"/>
        </w:rPr>
        <w:t>)-</w:t>
      </w:r>
      <w:proofErr w:type="spellStart"/>
      <w:r>
        <w:rPr>
          <w:rFonts w:ascii="Times New Roman" w:eastAsia="TimesNewRoman" w:hAnsi="Times New Roman" w:cs="Times New Roman"/>
        </w:rPr>
        <w:t>hbed</w:t>
      </w:r>
      <w:proofErr w:type="spellEnd"/>
      <w:r>
        <w:rPr>
          <w:rFonts w:ascii="Times New Roman" w:eastAsia="TimesNewRoman" w:hAnsi="Times New Roman" w:cs="Times New Roman"/>
        </w:rPr>
        <w:t>-CC,</w:t>
      </w:r>
      <w:r w:rsidRPr="00A34935">
        <w:rPr>
          <w:rFonts w:ascii="Times New Roman" w:eastAsia="TimesNewRoman" w:hAnsi="Times New Roman" w:cs="Times New Roman"/>
        </w:rPr>
        <w:t xml:space="preserve"> 10 </w:t>
      </w:r>
      <w:r>
        <w:rPr>
          <w:rFonts w:ascii="Times New Roman" w:eastAsia="TimesNewRoman" w:hAnsi="Times New Roman" w:cs="Times New Roman"/>
        </w:rPr>
        <w:t>microgram</w:t>
      </w:r>
      <w:r w:rsidRPr="00A34935">
        <w:rPr>
          <w:rFonts w:ascii="Times New Roman" w:eastAsia="TimesNewRoman" w:hAnsi="Times New Roman" w:cs="Times New Roman"/>
        </w:rPr>
        <w:t xml:space="preserve"> mannose </w:t>
      </w:r>
      <w:r>
        <w:rPr>
          <w:rFonts w:ascii="Times New Roman" w:eastAsia="TimesNewRoman" w:hAnsi="Times New Roman" w:cs="Times New Roman"/>
        </w:rPr>
        <w:t>and water for injection</w:t>
      </w:r>
      <w:r w:rsidR="00362B0D">
        <w:rPr>
          <w:rFonts w:ascii="Times New Roman" w:eastAsia="TimesNewRoman" w:hAnsi="Times New Roman" w:cs="Times New Roman"/>
        </w:rPr>
        <w:t>s</w:t>
      </w:r>
      <w:r>
        <w:rPr>
          <w:rFonts w:ascii="Times New Roman" w:eastAsia="TimesNewRoman" w:hAnsi="Times New Roman" w:cs="Times New Roman"/>
        </w:rPr>
        <w:t xml:space="preserve"> </w:t>
      </w:r>
      <w:r w:rsidRPr="00A34935">
        <w:rPr>
          <w:rFonts w:ascii="Times New Roman" w:eastAsia="TimesNewRoman" w:hAnsi="Times New Roman" w:cs="Times New Roman"/>
        </w:rPr>
        <w:t>as a lyophilized powder in a sterile 10 mL vial with a blue flip-off cap.</w:t>
      </w:r>
    </w:p>
    <w:p w14:paraId="6CFF1C79" w14:textId="77777777" w:rsidR="00C210E4" w:rsidRDefault="007D10C7">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A34935">
        <w:rPr>
          <w:rFonts w:ascii="Times New Roman" w:eastAsia="TimesNewRoman" w:hAnsi="Times New Roman" w:cs="Times New Roman"/>
        </w:rPr>
        <w:t>Vial 2 (Buffer Vial, Configuration B): contains 150 mg sodium acetate</w:t>
      </w:r>
      <w:r>
        <w:rPr>
          <w:rFonts w:ascii="Times New Roman" w:eastAsia="TimesNewRoman" w:hAnsi="Times New Roman" w:cs="Times New Roman"/>
        </w:rPr>
        <w:t>,</w:t>
      </w:r>
      <w:r w:rsidRPr="00A34935">
        <w:rPr>
          <w:rFonts w:ascii="Times New Roman" w:eastAsia="TimesNewRoman" w:hAnsi="Times New Roman" w:cs="Times New Roman"/>
        </w:rPr>
        <w:t xml:space="preserve"> 0.</w:t>
      </w:r>
      <w:r>
        <w:rPr>
          <w:rFonts w:ascii="Times New Roman" w:eastAsia="TimesNewRoman" w:hAnsi="Times New Roman" w:cs="Times New Roman"/>
        </w:rPr>
        <w:t>1</w:t>
      </w:r>
      <w:r w:rsidRPr="00A34935">
        <w:rPr>
          <w:rFonts w:ascii="Times New Roman" w:eastAsia="TimesNewRoman" w:hAnsi="Times New Roman" w:cs="Times New Roman"/>
        </w:rPr>
        <w:t>5</w:t>
      </w:r>
      <w:r>
        <w:rPr>
          <w:rFonts w:ascii="Times New Roman" w:eastAsia="TimesNewRoman" w:hAnsi="Times New Roman" w:cs="Times New Roman"/>
        </w:rPr>
        <w:t xml:space="preserve"> mL</w:t>
      </w:r>
      <w:r w:rsidRPr="00A34935">
        <w:rPr>
          <w:rFonts w:ascii="Times New Roman" w:eastAsia="TimesNewRoman" w:hAnsi="Times New Roman" w:cs="Times New Roman"/>
        </w:rPr>
        <w:t xml:space="preserve"> </w:t>
      </w:r>
      <w:r w:rsidRPr="00F313CF">
        <w:rPr>
          <w:rFonts w:ascii="Times New Roman" w:eastAsia="TimesNewRoman" w:hAnsi="Times New Roman" w:cs="Times New Roman"/>
        </w:rPr>
        <w:t>hydrochloric acid</w:t>
      </w:r>
      <w:r w:rsidRPr="00A34935">
        <w:rPr>
          <w:rFonts w:ascii="Times New Roman" w:eastAsia="TimesNewRoman" w:hAnsi="Times New Roman" w:cs="Times New Roman"/>
        </w:rPr>
        <w:t xml:space="preserve"> </w:t>
      </w:r>
      <w:r>
        <w:rPr>
          <w:rFonts w:ascii="Times New Roman" w:eastAsia="TimesNewRoman" w:hAnsi="Times New Roman" w:cs="Times New Roman"/>
        </w:rPr>
        <w:t>and water for injection</w:t>
      </w:r>
      <w:r w:rsidR="00362B0D">
        <w:rPr>
          <w:rFonts w:ascii="Times New Roman" w:eastAsia="TimesNewRoman" w:hAnsi="Times New Roman" w:cs="Times New Roman"/>
        </w:rPr>
        <w:t>s</w:t>
      </w:r>
      <w:r>
        <w:rPr>
          <w:rFonts w:ascii="Times New Roman" w:eastAsia="TimesNewRoman" w:hAnsi="Times New Roman" w:cs="Times New Roman"/>
        </w:rPr>
        <w:t xml:space="preserve"> </w:t>
      </w:r>
      <w:r w:rsidRPr="00A34935">
        <w:rPr>
          <w:rFonts w:ascii="Times New Roman" w:eastAsia="TimesNewRoman" w:hAnsi="Times New Roman" w:cs="Times New Roman"/>
        </w:rPr>
        <w:t>(6.4 mL volume) in a sterile 10 mL v</w:t>
      </w:r>
      <w:r>
        <w:rPr>
          <w:rFonts w:ascii="Times New Roman" w:eastAsia="TimesNewRoman" w:hAnsi="Times New Roman" w:cs="Times New Roman"/>
        </w:rPr>
        <w:t xml:space="preserve">ial with a green flip off cap. </w:t>
      </w:r>
    </w:p>
    <w:p w14:paraId="11F43882" w14:textId="77777777" w:rsidR="00C210E4" w:rsidRDefault="00BC1C7A">
      <w:pPr>
        <w:pStyle w:val="ListParagraph"/>
        <w:numPr>
          <w:ilvl w:val="0"/>
          <w:numId w:val="11"/>
        </w:numPr>
        <w:spacing w:after="120" w:line="240" w:lineRule="auto"/>
        <w:ind w:left="284" w:hanging="284"/>
        <w:contextualSpacing w:val="0"/>
        <w:rPr>
          <w:rFonts w:ascii="Times New Roman" w:eastAsia="TimesNewRoman" w:hAnsi="Times New Roman" w:cs="Times New Roman"/>
        </w:rPr>
      </w:pPr>
      <w:r w:rsidRPr="00BC1C7A">
        <w:rPr>
          <w:rFonts w:ascii="Times New Roman" w:eastAsia="TimesNewRoman" w:hAnsi="Times New Roman" w:cs="Times New Roman"/>
        </w:rPr>
        <w:t>Vial 3 (Sterile Vacuumed Vial): an evacuated sterile vial with white flip off cap used to collect Ga-68 chloride from generator.</w:t>
      </w:r>
    </w:p>
    <w:p w14:paraId="61289217" w14:textId="77777777" w:rsidR="001A3992" w:rsidRPr="00A34935" w:rsidRDefault="001A3992" w:rsidP="001A3992">
      <w:pPr>
        <w:pStyle w:val="Heading2"/>
        <w:keepNext/>
        <w:keepLines/>
        <w:spacing w:before="0" w:after="120"/>
        <w:rPr>
          <w:rFonts w:ascii="Times New Roman" w:hAnsi="Times New Roman" w:cs="Times New Roman"/>
          <w:lang w:val="en-US"/>
        </w:rPr>
      </w:pPr>
      <w:r w:rsidRPr="00A34935">
        <w:rPr>
          <w:rFonts w:ascii="Times New Roman" w:hAnsi="Times New Roman" w:cs="Times New Roman"/>
          <w:lang w:val="en-US"/>
        </w:rPr>
        <w:t xml:space="preserve">Incompatibilities </w:t>
      </w:r>
    </w:p>
    <w:p w14:paraId="6C796567" w14:textId="77777777" w:rsidR="00497C85" w:rsidRPr="00A34935" w:rsidRDefault="00497C85" w:rsidP="00497C85">
      <w:pPr>
        <w:rPr>
          <w:rFonts w:ascii="Times New Roman" w:hAnsi="Times New Roman" w:cs="Times New Roman"/>
          <w:lang w:val="en-US"/>
        </w:rPr>
      </w:pPr>
      <w:r w:rsidRPr="00A34935">
        <w:rPr>
          <w:rFonts w:ascii="Times New Roman" w:hAnsi="Times New Roman" w:cs="Times New Roman"/>
        </w:rPr>
        <w:t xml:space="preserve">Incompatibilities were either not assessed or not identified as part of the registration of this medicine. </w:t>
      </w:r>
    </w:p>
    <w:p w14:paraId="08341396" w14:textId="77777777" w:rsidR="001A3992" w:rsidRPr="00A34935" w:rsidRDefault="001A3992" w:rsidP="001A3992">
      <w:pPr>
        <w:pStyle w:val="Heading2"/>
        <w:spacing w:before="0" w:after="120"/>
        <w:rPr>
          <w:rFonts w:ascii="Times New Roman" w:hAnsi="Times New Roman" w:cs="Times New Roman"/>
          <w:lang w:val="en-US"/>
        </w:rPr>
      </w:pPr>
      <w:r w:rsidRPr="00A34935">
        <w:rPr>
          <w:rFonts w:ascii="Times New Roman" w:hAnsi="Times New Roman" w:cs="Times New Roman"/>
          <w:lang w:val="en-US"/>
        </w:rPr>
        <w:t xml:space="preserve">Shelf life </w:t>
      </w:r>
    </w:p>
    <w:p w14:paraId="50E01C03" w14:textId="77777777" w:rsidR="00497C85" w:rsidRPr="00A34935" w:rsidRDefault="00497C85" w:rsidP="00497C85">
      <w:pPr>
        <w:rPr>
          <w:rFonts w:ascii="Times New Roman" w:hAnsi="Times New Roman" w:cs="Times New Roman"/>
          <w:lang w:val="en-US"/>
        </w:rPr>
      </w:pPr>
      <w:r w:rsidRPr="00A34935">
        <w:rPr>
          <w:rFonts w:ascii="Times New Roman" w:hAnsi="Times New Roman" w:cs="Times New Roman"/>
        </w:rPr>
        <w:t>In Australia, information on the shelf life can be found on the public summary of the Australian Register of Therapeutic Goods (ARTG). The expiry date can be found on the packaging.</w:t>
      </w:r>
    </w:p>
    <w:p w14:paraId="409F739C" w14:textId="77777777" w:rsidR="00E410DC" w:rsidRPr="00A34935" w:rsidRDefault="001A3992" w:rsidP="001A3992">
      <w:pPr>
        <w:pStyle w:val="Heading2"/>
        <w:keepNext/>
        <w:keepLines/>
        <w:spacing w:before="0" w:after="120"/>
        <w:rPr>
          <w:rFonts w:ascii="Times New Roman" w:hAnsi="Times New Roman" w:cs="Times New Roman"/>
          <w:lang w:val="en-US"/>
        </w:rPr>
      </w:pPr>
      <w:r w:rsidRPr="00A34935">
        <w:rPr>
          <w:rFonts w:ascii="Times New Roman" w:hAnsi="Times New Roman" w:cs="Times New Roman"/>
          <w:lang w:val="en-US"/>
        </w:rPr>
        <w:t>Special precautions for storage</w:t>
      </w:r>
    </w:p>
    <w:p w14:paraId="4022FD51" w14:textId="77777777" w:rsidR="000B3669" w:rsidRDefault="00E410DC" w:rsidP="00E410DC">
      <w:pPr>
        <w:pStyle w:val="Heading2"/>
        <w:keepNext/>
        <w:keepLines/>
        <w:numPr>
          <w:ilvl w:val="0"/>
          <w:numId w:val="0"/>
        </w:numPr>
        <w:spacing w:after="120"/>
        <w:rPr>
          <w:rFonts w:ascii="Times New Roman" w:hAnsi="Times New Roman" w:cs="Times New Roman"/>
          <w:b w:val="0"/>
          <w:smallCaps w:val="0"/>
          <w:sz w:val="22"/>
          <w:lang w:val="en-US"/>
        </w:rPr>
      </w:pPr>
      <w:r w:rsidRPr="00A34935">
        <w:rPr>
          <w:rFonts w:ascii="Times New Roman" w:hAnsi="Times New Roman" w:cs="Times New Roman"/>
          <w:b w:val="0"/>
          <w:smallCaps w:val="0"/>
          <w:sz w:val="22"/>
          <w:lang w:val="en-US"/>
        </w:rPr>
        <w:t xml:space="preserve">Store ILLUCCIX upright in the original packaging at 2-8°C.  </w:t>
      </w:r>
      <w:r w:rsidR="007D10C7">
        <w:rPr>
          <w:rFonts w:ascii="Times New Roman" w:hAnsi="Times New Roman" w:cs="Times New Roman"/>
          <w:b w:val="0"/>
          <w:smallCaps w:val="0"/>
          <w:sz w:val="22"/>
          <w:lang w:val="en-US"/>
        </w:rPr>
        <w:t xml:space="preserve">Do not freeze. </w:t>
      </w:r>
      <w:r w:rsidRPr="00A34935">
        <w:rPr>
          <w:rFonts w:ascii="Times New Roman" w:hAnsi="Times New Roman" w:cs="Times New Roman"/>
          <w:b w:val="0"/>
          <w:smallCaps w:val="0"/>
          <w:sz w:val="22"/>
          <w:lang w:val="en-US"/>
        </w:rPr>
        <w:t xml:space="preserve">After reconstitution and radiolabeling, keep Ga-68 </w:t>
      </w:r>
      <w:r w:rsidR="00860CD4" w:rsidRPr="00860CD4">
        <w:rPr>
          <w:rFonts w:ascii="Times New Roman" w:hAnsi="Times New Roman" w:cs="Times New Roman"/>
          <w:b w:val="0"/>
          <w:smallCaps w:val="0"/>
          <w:sz w:val="22"/>
          <w:lang w:val="en-US"/>
        </w:rPr>
        <w:t>Glu-urea-Lys(</w:t>
      </w:r>
      <w:proofErr w:type="spellStart"/>
      <w:r w:rsidR="00860CD4" w:rsidRPr="00860CD4">
        <w:rPr>
          <w:rFonts w:ascii="Times New Roman" w:hAnsi="Times New Roman" w:cs="Times New Roman"/>
          <w:b w:val="0"/>
          <w:smallCaps w:val="0"/>
          <w:sz w:val="22"/>
          <w:lang w:val="en-US"/>
        </w:rPr>
        <w:t>ahx</w:t>
      </w:r>
      <w:proofErr w:type="spellEnd"/>
      <w:r w:rsidR="00860CD4" w:rsidRPr="00860CD4">
        <w:rPr>
          <w:rFonts w:ascii="Times New Roman" w:hAnsi="Times New Roman" w:cs="Times New Roman"/>
          <w:b w:val="0"/>
          <w:smallCaps w:val="0"/>
          <w:sz w:val="22"/>
          <w:lang w:val="en-US"/>
        </w:rPr>
        <w:t>)-</w:t>
      </w:r>
      <w:proofErr w:type="spellStart"/>
      <w:r w:rsidR="00860CD4" w:rsidRPr="00860CD4">
        <w:rPr>
          <w:rFonts w:ascii="Times New Roman" w:hAnsi="Times New Roman" w:cs="Times New Roman"/>
          <w:b w:val="0"/>
          <w:smallCaps w:val="0"/>
          <w:sz w:val="22"/>
          <w:lang w:val="en-US"/>
        </w:rPr>
        <w:t>hbed</w:t>
      </w:r>
      <w:proofErr w:type="spellEnd"/>
      <w:r w:rsidR="00860CD4" w:rsidRPr="00860CD4">
        <w:rPr>
          <w:rFonts w:ascii="Times New Roman" w:hAnsi="Times New Roman" w:cs="Times New Roman"/>
          <w:b w:val="0"/>
          <w:smallCaps w:val="0"/>
          <w:sz w:val="22"/>
          <w:lang w:val="en-US"/>
        </w:rPr>
        <w:t>-CC</w:t>
      </w:r>
      <w:r w:rsidRPr="00A34935">
        <w:rPr>
          <w:rFonts w:ascii="Times New Roman" w:hAnsi="Times New Roman" w:cs="Times New Roman"/>
          <w:b w:val="0"/>
          <w:smallCaps w:val="0"/>
          <w:sz w:val="22"/>
          <w:lang w:val="en-US"/>
        </w:rPr>
        <w:t xml:space="preserve"> upright with appropriate shielding to protect from radiation at room temperature. Use Ga-68 </w:t>
      </w:r>
      <w:r w:rsidR="00860CD4" w:rsidRPr="00860CD4">
        <w:rPr>
          <w:rFonts w:ascii="Times New Roman" w:hAnsi="Times New Roman" w:cs="Times New Roman"/>
          <w:b w:val="0"/>
          <w:smallCaps w:val="0"/>
          <w:sz w:val="22"/>
          <w:lang w:val="en-US"/>
        </w:rPr>
        <w:t>Glu-urea-Lys(</w:t>
      </w:r>
      <w:proofErr w:type="spellStart"/>
      <w:r w:rsidR="00860CD4" w:rsidRPr="00860CD4">
        <w:rPr>
          <w:rFonts w:ascii="Times New Roman" w:hAnsi="Times New Roman" w:cs="Times New Roman"/>
          <w:b w:val="0"/>
          <w:smallCaps w:val="0"/>
          <w:sz w:val="22"/>
          <w:lang w:val="en-US"/>
        </w:rPr>
        <w:t>ahx</w:t>
      </w:r>
      <w:proofErr w:type="spellEnd"/>
      <w:r w:rsidR="00860CD4" w:rsidRPr="00860CD4">
        <w:rPr>
          <w:rFonts w:ascii="Times New Roman" w:hAnsi="Times New Roman" w:cs="Times New Roman"/>
          <w:b w:val="0"/>
          <w:smallCaps w:val="0"/>
          <w:sz w:val="22"/>
          <w:lang w:val="en-US"/>
        </w:rPr>
        <w:t>)-</w:t>
      </w:r>
      <w:proofErr w:type="spellStart"/>
      <w:r w:rsidR="00860CD4" w:rsidRPr="00860CD4">
        <w:rPr>
          <w:rFonts w:ascii="Times New Roman" w:hAnsi="Times New Roman" w:cs="Times New Roman"/>
          <w:b w:val="0"/>
          <w:smallCaps w:val="0"/>
          <w:sz w:val="22"/>
          <w:lang w:val="en-US"/>
        </w:rPr>
        <w:t>hbed</w:t>
      </w:r>
      <w:proofErr w:type="spellEnd"/>
      <w:r w:rsidR="00860CD4" w:rsidRPr="00860CD4">
        <w:rPr>
          <w:rFonts w:ascii="Times New Roman" w:hAnsi="Times New Roman" w:cs="Times New Roman"/>
          <w:b w:val="0"/>
          <w:smallCaps w:val="0"/>
          <w:sz w:val="22"/>
          <w:lang w:val="en-US"/>
        </w:rPr>
        <w:t>-CC</w:t>
      </w:r>
      <w:r w:rsidRPr="00A34935">
        <w:rPr>
          <w:rFonts w:ascii="Times New Roman" w:hAnsi="Times New Roman" w:cs="Times New Roman"/>
          <w:b w:val="0"/>
          <w:smallCaps w:val="0"/>
          <w:sz w:val="22"/>
          <w:lang w:val="en-US"/>
        </w:rPr>
        <w:t xml:space="preserve"> within 4 hours of preparation.</w:t>
      </w:r>
    </w:p>
    <w:p w14:paraId="195CD782" w14:textId="77777777" w:rsidR="00524FC8" w:rsidRPr="00A34935" w:rsidRDefault="001A3992" w:rsidP="001A3992">
      <w:pPr>
        <w:pStyle w:val="Heading2"/>
        <w:spacing w:before="0" w:after="120"/>
        <w:rPr>
          <w:rFonts w:ascii="Times New Roman" w:hAnsi="Times New Roman" w:cs="Times New Roman"/>
          <w:lang w:val="en-US"/>
        </w:rPr>
      </w:pPr>
      <w:r w:rsidRPr="00A34935">
        <w:rPr>
          <w:rFonts w:ascii="Times New Roman" w:hAnsi="Times New Roman" w:cs="Times New Roman"/>
          <w:lang w:val="en-US"/>
        </w:rPr>
        <w:t>Nature and contents of container</w:t>
      </w:r>
    </w:p>
    <w:p w14:paraId="19C449DB" w14:textId="77777777" w:rsidR="00524FC8" w:rsidRPr="00A34935" w:rsidRDefault="00860CD4" w:rsidP="00524FC8">
      <w:pPr>
        <w:rPr>
          <w:rFonts w:ascii="Times New Roman" w:hAnsi="Times New Roman" w:cs="Times New Roman"/>
          <w:lang w:val="en-US"/>
        </w:rPr>
      </w:pPr>
      <w:r w:rsidRPr="00860CD4">
        <w:rPr>
          <w:rFonts w:ascii="Times New Roman" w:hAnsi="Times New Roman" w:cs="Times New Roman"/>
          <w:lang w:val="en-US"/>
        </w:rPr>
        <w:t>Glu-urea-Lys(</w:t>
      </w:r>
      <w:proofErr w:type="spellStart"/>
      <w:r w:rsidRPr="00860CD4">
        <w:rPr>
          <w:rFonts w:ascii="Times New Roman" w:hAnsi="Times New Roman" w:cs="Times New Roman"/>
          <w:lang w:val="en-US"/>
        </w:rPr>
        <w:t>ahx</w:t>
      </w:r>
      <w:proofErr w:type="spellEnd"/>
      <w:r w:rsidRPr="00860CD4">
        <w:rPr>
          <w:rFonts w:ascii="Times New Roman" w:hAnsi="Times New Roman" w:cs="Times New Roman"/>
          <w:lang w:val="en-US"/>
        </w:rPr>
        <w:t>)-</w:t>
      </w:r>
      <w:proofErr w:type="spellStart"/>
      <w:r w:rsidRPr="00860CD4">
        <w:rPr>
          <w:rFonts w:ascii="Times New Roman" w:hAnsi="Times New Roman" w:cs="Times New Roman"/>
          <w:lang w:val="en-US"/>
        </w:rPr>
        <w:t>hbed</w:t>
      </w:r>
      <w:proofErr w:type="spellEnd"/>
      <w:r w:rsidRPr="00860CD4">
        <w:rPr>
          <w:rFonts w:ascii="Times New Roman" w:hAnsi="Times New Roman" w:cs="Times New Roman"/>
          <w:lang w:val="en-US"/>
        </w:rPr>
        <w:t>-CC</w:t>
      </w:r>
      <w:r w:rsidR="00524FC8" w:rsidRPr="00A34935">
        <w:rPr>
          <w:rFonts w:ascii="Times New Roman" w:hAnsi="Times New Roman" w:cs="Times New Roman"/>
          <w:lang w:val="en-US"/>
        </w:rPr>
        <w:t xml:space="preserve"> Vial: The container closure system for the </w:t>
      </w:r>
      <w:r w:rsidRPr="00860CD4">
        <w:rPr>
          <w:rFonts w:ascii="Times New Roman" w:hAnsi="Times New Roman" w:cs="Times New Roman"/>
          <w:lang w:val="en-US"/>
        </w:rPr>
        <w:t>Glu-urea-Lys(</w:t>
      </w:r>
      <w:proofErr w:type="spellStart"/>
      <w:r w:rsidRPr="00860CD4">
        <w:rPr>
          <w:rFonts w:ascii="Times New Roman" w:hAnsi="Times New Roman" w:cs="Times New Roman"/>
          <w:lang w:val="en-US"/>
        </w:rPr>
        <w:t>ahx</w:t>
      </w:r>
      <w:proofErr w:type="spellEnd"/>
      <w:r w:rsidRPr="00860CD4">
        <w:rPr>
          <w:rFonts w:ascii="Times New Roman" w:hAnsi="Times New Roman" w:cs="Times New Roman"/>
          <w:lang w:val="en-US"/>
        </w:rPr>
        <w:t>)-</w:t>
      </w:r>
      <w:proofErr w:type="spellStart"/>
      <w:r w:rsidRPr="00860CD4">
        <w:rPr>
          <w:rFonts w:ascii="Times New Roman" w:hAnsi="Times New Roman" w:cs="Times New Roman"/>
          <w:lang w:val="en-US"/>
        </w:rPr>
        <w:t>hbed</w:t>
      </w:r>
      <w:proofErr w:type="spellEnd"/>
      <w:r w:rsidRPr="00860CD4">
        <w:rPr>
          <w:rFonts w:ascii="Times New Roman" w:hAnsi="Times New Roman" w:cs="Times New Roman"/>
          <w:lang w:val="en-US"/>
        </w:rPr>
        <w:t>-CC</w:t>
      </w:r>
      <w:r w:rsidR="00524FC8" w:rsidRPr="00A34935">
        <w:rPr>
          <w:rFonts w:ascii="Times New Roman" w:hAnsi="Times New Roman" w:cs="Times New Roman"/>
          <w:lang w:val="en-US"/>
        </w:rPr>
        <w:t xml:space="preserve"> Sterile Vial is a clear, 10 mL Type I borosilicate glass vial, coated with 100% Silicon Dioxide, with a gray </w:t>
      </w:r>
      <w:proofErr w:type="spellStart"/>
      <w:r w:rsidR="00524FC8" w:rsidRPr="00A34935">
        <w:rPr>
          <w:rFonts w:ascii="Times New Roman" w:hAnsi="Times New Roman" w:cs="Times New Roman"/>
          <w:lang w:val="en-US"/>
        </w:rPr>
        <w:t>chlorobutyl</w:t>
      </w:r>
      <w:proofErr w:type="spellEnd"/>
      <w:r w:rsidR="00524FC8" w:rsidRPr="00A34935">
        <w:rPr>
          <w:rFonts w:ascii="Times New Roman" w:hAnsi="Times New Roman" w:cs="Times New Roman"/>
          <w:lang w:val="en-US"/>
        </w:rPr>
        <w:t xml:space="preserve"> rubber stopper, and aluminum seal with a flip off cap.</w:t>
      </w:r>
    </w:p>
    <w:p w14:paraId="1A520FCE" w14:textId="77777777" w:rsidR="00524FC8" w:rsidRPr="00A34935" w:rsidRDefault="00E410DC" w:rsidP="00524FC8">
      <w:pPr>
        <w:rPr>
          <w:rFonts w:ascii="Times New Roman" w:hAnsi="Times New Roman" w:cs="Times New Roman"/>
          <w:lang w:val="en-US"/>
        </w:rPr>
      </w:pPr>
      <w:r w:rsidRPr="00A34935">
        <w:rPr>
          <w:rFonts w:ascii="Times New Roman" w:hAnsi="Times New Roman" w:cs="Times New Roman"/>
          <w:lang w:val="en-US"/>
        </w:rPr>
        <w:t xml:space="preserve">Vacuum Vial: </w:t>
      </w:r>
      <w:r w:rsidR="00524FC8" w:rsidRPr="00A34935">
        <w:rPr>
          <w:rFonts w:ascii="Times New Roman" w:hAnsi="Times New Roman" w:cs="Times New Roman"/>
          <w:lang w:val="en-US"/>
        </w:rPr>
        <w:t xml:space="preserve">The container closure system for the Sterile Vacuum Vial is a clear, 10 mL Type I borosilicate glass vial, coated with 100% Silicon Dioxide, with a gray </w:t>
      </w:r>
      <w:proofErr w:type="spellStart"/>
      <w:r w:rsidR="00524FC8" w:rsidRPr="00A34935">
        <w:rPr>
          <w:rFonts w:ascii="Times New Roman" w:hAnsi="Times New Roman" w:cs="Times New Roman"/>
          <w:lang w:val="en-US"/>
        </w:rPr>
        <w:t>chlorobutyl</w:t>
      </w:r>
      <w:proofErr w:type="spellEnd"/>
      <w:r w:rsidR="00524FC8" w:rsidRPr="00A34935">
        <w:rPr>
          <w:rFonts w:ascii="Times New Roman" w:hAnsi="Times New Roman" w:cs="Times New Roman"/>
          <w:lang w:val="en-US"/>
        </w:rPr>
        <w:t xml:space="preserve"> rubber stopper, and aluminum seal with a flip off cap.</w:t>
      </w:r>
    </w:p>
    <w:p w14:paraId="593522FB" w14:textId="77777777" w:rsidR="001A3992" w:rsidRPr="00A34935" w:rsidRDefault="00E410DC" w:rsidP="001D02B3">
      <w:pPr>
        <w:rPr>
          <w:rFonts w:ascii="Times New Roman" w:hAnsi="Times New Roman" w:cs="Times New Roman"/>
          <w:lang w:val="en-US"/>
        </w:rPr>
      </w:pPr>
      <w:r w:rsidRPr="00A34935">
        <w:rPr>
          <w:rFonts w:ascii="Times New Roman" w:hAnsi="Times New Roman" w:cs="Times New Roman"/>
          <w:lang w:val="en-US"/>
        </w:rPr>
        <w:t xml:space="preserve">Acetate buffer vials: </w:t>
      </w:r>
      <w:r w:rsidR="00524FC8" w:rsidRPr="00A34935">
        <w:rPr>
          <w:rFonts w:ascii="Times New Roman" w:hAnsi="Times New Roman" w:cs="Times New Roman"/>
          <w:lang w:val="en-US"/>
        </w:rPr>
        <w:t>The container closure system for the sterile acetate buffer vials is a clear, 10 mL Type I borosilicate glass vial, coated with 100% Silicon Dioxide, with a gray rubber serum stopper, and flip off cap.</w:t>
      </w:r>
    </w:p>
    <w:p w14:paraId="668BEC85" w14:textId="77777777" w:rsidR="001A3992" w:rsidRPr="00A34935" w:rsidRDefault="001A3992" w:rsidP="001A3992">
      <w:pPr>
        <w:pStyle w:val="Heading2"/>
        <w:spacing w:before="0" w:after="120"/>
        <w:rPr>
          <w:rFonts w:ascii="Times New Roman" w:hAnsi="Times New Roman" w:cs="Times New Roman"/>
          <w:lang w:val="en-US"/>
        </w:rPr>
      </w:pPr>
      <w:r w:rsidRPr="00A34935">
        <w:rPr>
          <w:rFonts w:ascii="Times New Roman" w:hAnsi="Times New Roman" w:cs="Times New Roman"/>
          <w:lang w:val="en-US"/>
        </w:rPr>
        <w:t xml:space="preserve">Special precautions for disposal </w:t>
      </w:r>
    </w:p>
    <w:p w14:paraId="20FD9564" w14:textId="77777777" w:rsidR="008B3F8B" w:rsidRDefault="002B424E" w:rsidP="00497C85">
      <w:pPr>
        <w:rPr>
          <w:rFonts w:ascii="Times New Roman" w:hAnsi="Times New Roman" w:cs="Times New Roman"/>
        </w:rPr>
      </w:pPr>
      <w:r w:rsidRPr="00A34935">
        <w:rPr>
          <w:rFonts w:ascii="Times New Roman" w:hAnsi="Times New Roman" w:cs="Times New Roman"/>
        </w:rPr>
        <w:t>In Australia, any unused medicine or waste material should be disposed of in accordance with local requirements.</w:t>
      </w:r>
    </w:p>
    <w:p w14:paraId="3B58E675" w14:textId="77777777" w:rsidR="001A3992" w:rsidRPr="00A34935" w:rsidRDefault="001A3992" w:rsidP="001A3992">
      <w:pPr>
        <w:pStyle w:val="Heading2"/>
        <w:spacing w:before="0" w:after="120"/>
        <w:rPr>
          <w:rFonts w:ascii="Times New Roman" w:hAnsi="Times New Roman" w:cs="Times New Roman"/>
          <w:lang w:val="en-US"/>
        </w:rPr>
      </w:pPr>
      <w:r w:rsidRPr="00A34935">
        <w:rPr>
          <w:rFonts w:ascii="Times New Roman" w:hAnsi="Times New Roman" w:cs="Times New Roman"/>
          <w:lang w:val="en-US"/>
        </w:rPr>
        <w:t>Physicochemical properties</w:t>
      </w:r>
    </w:p>
    <w:p w14:paraId="5C8DFB22" w14:textId="77777777" w:rsidR="001A3992" w:rsidRPr="00A34935" w:rsidRDefault="001A3992" w:rsidP="00A34935">
      <w:pPr>
        <w:pStyle w:val="Heading3"/>
        <w:rPr>
          <w:lang w:val="en-US"/>
        </w:rPr>
      </w:pPr>
      <w:r w:rsidRPr="00A34935">
        <w:rPr>
          <w:lang w:val="en-US"/>
        </w:rPr>
        <w:t>Chemical structure</w:t>
      </w:r>
    </w:p>
    <w:p w14:paraId="4DE81F04" w14:textId="77777777" w:rsidR="007C6C9A" w:rsidRPr="00A34935" w:rsidRDefault="00DD290F" w:rsidP="007C6C9A">
      <w:pPr>
        <w:rPr>
          <w:rFonts w:ascii="Times New Roman" w:hAnsi="Times New Roman" w:cs="Times New Roman"/>
          <w:lang w:val="en-US"/>
        </w:rPr>
      </w:pPr>
      <w:r w:rsidRPr="00A34935">
        <w:rPr>
          <w:rFonts w:ascii="Times New Roman" w:hAnsi="Times New Roman" w:cs="Times New Roman"/>
          <w:lang w:val="en-US"/>
        </w:rPr>
        <w:t xml:space="preserve">Chemical structure </w:t>
      </w:r>
      <w:proofErr w:type="gramStart"/>
      <w:r w:rsidRPr="00A34935">
        <w:rPr>
          <w:rFonts w:ascii="Times New Roman" w:hAnsi="Times New Roman" w:cs="Times New Roman"/>
          <w:lang w:val="en-US"/>
        </w:rPr>
        <w:t>of  Ga</w:t>
      </w:r>
      <w:proofErr w:type="gramEnd"/>
      <w:r w:rsidRPr="00A34935">
        <w:rPr>
          <w:rFonts w:ascii="Times New Roman" w:hAnsi="Times New Roman" w:cs="Times New Roman"/>
          <w:lang w:val="en-US"/>
        </w:rPr>
        <w:t xml:space="preserve">-68 </w:t>
      </w:r>
      <w:r w:rsidR="00860CD4" w:rsidRPr="00860CD4">
        <w:rPr>
          <w:rFonts w:ascii="Times New Roman" w:hAnsi="Times New Roman" w:cs="Times New Roman"/>
          <w:lang w:val="en-US"/>
        </w:rPr>
        <w:t>Glu-urea-Lys(</w:t>
      </w:r>
      <w:proofErr w:type="spellStart"/>
      <w:r w:rsidR="00860CD4" w:rsidRPr="00860CD4">
        <w:rPr>
          <w:rFonts w:ascii="Times New Roman" w:hAnsi="Times New Roman" w:cs="Times New Roman"/>
          <w:lang w:val="en-US"/>
        </w:rPr>
        <w:t>ahx</w:t>
      </w:r>
      <w:proofErr w:type="spellEnd"/>
      <w:r w:rsidR="00860CD4" w:rsidRPr="00860CD4">
        <w:rPr>
          <w:rFonts w:ascii="Times New Roman" w:hAnsi="Times New Roman" w:cs="Times New Roman"/>
          <w:lang w:val="en-US"/>
        </w:rPr>
        <w:t>)-</w:t>
      </w:r>
      <w:proofErr w:type="spellStart"/>
      <w:r w:rsidR="00860CD4" w:rsidRPr="00860CD4">
        <w:rPr>
          <w:rFonts w:ascii="Times New Roman" w:hAnsi="Times New Roman" w:cs="Times New Roman"/>
          <w:lang w:val="en-US"/>
        </w:rPr>
        <w:t>hbed</w:t>
      </w:r>
      <w:proofErr w:type="spellEnd"/>
      <w:r w:rsidR="00860CD4" w:rsidRPr="00860CD4">
        <w:rPr>
          <w:rFonts w:ascii="Times New Roman" w:hAnsi="Times New Roman" w:cs="Times New Roman"/>
          <w:lang w:val="en-US"/>
        </w:rPr>
        <w:t>-CC</w:t>
      </w:r>
    </w:p>
    <w:p w14:paraId="5CFACA39" w14:textId="77777777" w:rsidR="00DD290F" w:rsidRPr="00A34935" w:rsidRDefault="00DD290F" w:rsidP="007C6C9A">
      <w:pPr>
        <w:rPr>
          <w:rFonts w:ascii="Times New Roman" w:hAnsi="Times New Roman" w:cs="Times New Roman"/>
          <w:lang w:val="en-US"/>
        </w:rPr>
      </w:pPr>
      <w:r w:rsidRPr="00A34935">
        <w:rPr>
          <w:rFonts w:ascii="Times New Roman" w:hAnsi="Times New Roman" w:cs="Times New Roman"/>
          <w:noProof/>
          <w:lang w:val="en-US"/>
        </w:rPr>
        <w:lastRenderedPageBreak/>
        <w:drawing>
          <wp:inline distT="0" distB="0" distL="0" distR="0" wp14:anchorId="6FBB3418" wp14:editId="7BCA61A5">
            <wp:extent cx="4213860" cy="1448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3860" cy="1448435"/>
                    </a:xfrm>
                    <a:prstGeom prst="rect">
                      <a:avLst/>
                    </a:prstGeom>
                    <a:noFill/>
                    <a:ln>
                      <a:noFill/>
                    </a:ln>
                  </pic:spPr>
                </pic:pic>
              </a:graphicData>
            </a:graphic>
          </wp:inline>
        </w:drawing>
      </w:r>
    </w:p>
    <w:p w14:paraId="1C2CCA85" w14:textId="77777777" w:rsidR="007D10C7" w:rsidRDefault="007D10C7" w:rsidP="00DD290F">
      <w:pPr>
        <w:rPr>
          <w:rFonts w:ascii="Times New Roman" w:hAnsi="Times New Roman" w:cs="Times New Roman"/>
          <w:lang w:val="en-US"/>
        </w:rPr>
      </w:pPr>
    </w:p>
    <w:p w14:paraId="7D6213AC" w14:textId="77777777" w:rsidR="007E098D" w:rsidRDefault="007E098D" w:rsidP="00DD290F">
      <w:pPr>
        <w:rPr>
          <w:rFonts w:ascii="Times New Roman" w:hAnsi="Times New Roman" w:cs="Times New Roman"/>
          <w:lang w:val="en-US"/>
        </w:rPr>
      </w:pPr>
    </w:p>
    <w:p w14:paraId="3699B900" w14:textId="77777777" w:rsidR="007E098D" w:rsidRDefault="007E098D" w:rsidP="00DD290F">
      <w:pPr>
        <w:rPr>
          <w:rFonts w:ascii="Times New Roman" w:hAnsi="Times New Roman" w:cs="Times New Roman"/>
          <w:lang w:val="en-US"/>
        </w:rPr>
      </w:pPr>
    </w:p>
    <w:p w14:paraId="425B173B" w14:textId="77777777" w:rsidR="007E098D" w:rsidRDefault="007E098D" w:rsidP="00DD290F">
      <w:pPr>
        <w:rPr>
          <w:rFonts w:ascii="Times New Roman" w:hAnsi="Times New Roman" w:cs="Times New Roman"/>
          <w:lang w:val="en-US"/>
        </w:rPr>
      </w:pPr>
    </w:p>
    <w:p w14:paraId="3B97114B" w14:textId="77777777" w:rsidR="007E098D" w:rsidRDefault="007E098D" w:rsidP="00DD290F">
      <w:pPr>
        <w:rPr>
          <w:rFonts w:ascii="Times New Roman" w:hAnsi="Times New Roman" w:cs="Times New Roman"/>
          <w:lang w:val="en-US"/>
        </w:rPr>
      </w:pPr>
    </w:p>
    <w:p w14:paraId="2D7F4270" w14:textId="77777777" w:rsidR="007E098D" w:rsidRDefault="007E098D" w:rsidP="00DD290F">
      <w:pPr>
        <w:rPr>
          <w:rFonts w:ascii="Times New Roman" w:hAnsi="Times New Roman" w:cs="Times New Roman"/>
          <w:lang w:val="en-US"/>
        </w:rPr>
      </w:pPr>
    </w:p>
    <w:p w14:paraId="06249483" w14:textId="77777777" w:rsidR="00DD290F" w:rsidRPr="00A34935" w:rsidRDefault="00DD290F" w:rsidP="00DD290F">
      <w:pPr>
        <w:rPr>
          <w:rFonts w:ascii="Times New Roman" w:hAnsi="Times New Roman" w:cs="Times New Roman"/>
          <w:lang w:val="en-US"/>
        </w:rPr>
      </w:pPr>
      <w:r w:rsidRPr="00A34935">
        <w:rPr>
          <w:rFonts w:ascii="Times New Roman" w:hAnsi="Times New Roman" w:cs="Times New Roman"/>
          <w:lang w:val="en-US"/>
        </w:rPr>
        <w:t xml:space="preserve">Chemical structure of </w:t>
      </w:r>
      <w:proofErr w:type="spellStart"/>
      <w:r w:rsidRPr="00A34935">
        <w:rPr>
          <w:rFonts w:ascii="Times New Roman" w:hAnsi="Times New Roman" w:cs="Times New Roman"/>
          <w:lang w:val="en-US"/>
        </w:rPr>
        <w:t>of</w:t>
      </w:r>
      <w:proofErr w:type="spellEnd"/>
      <w:r w:rsidRPr="00A34935">
        <w:rPr>
          <w:rFonts w:ascii="Times New Roman" w:hAnsi="Times New Roman" w:cs="Times New Roman"/>
          <w:lang w:val="en-US"/>
        </w:rPr>
        <w:t xml:space="preserve"> </w:t>
      </w:r>
      <w:r w:rsidR="00860CD4" w:rsidRPr="00860CD4">
        <w:rPr>
          <w:rFonts w:ascii="Times New Roman" w:hAnsi="Times New Roman" w:cs="Times New Roman"/>
          <w:lang w:val="en-US"/>
        </w:rPr>
        <w:t>Glu-urea-Lys(</w:t>
      </w:r>
      <w:proofErr w:type="spellStart"/>
      <w:r w:rsidR="00860CD4" w:rsidRPr="00860CD4">
        <w:rPr>
          <w:rFonts w:ascii="Times New Roman" w:hAnsi="Times New Roman" w:cs="Times New Roman"/>
          <w:lang w:val="en-US"/>
        </w:rPr>
        <w:t>ahx</w:t>
      </w:r>
      <w:proofErr w:type="spellEnd"/>
      <w:r w:rsidR="00860CD4" w:rsidRPr="00860CD4">
        <w:rPr>
          <w:rFonts w:ascii="Times New Roman" w:hAnsi="Times New Roman" w:cs="Times New Roman"/>
          <w:lang w:val="en-US"/>
        </w:rPr>
        <w:t>)-</w:t>
      </w:r>
      <w:proofErr w:type="spellStart"/>
      <w:r w:rsidR="00860CD4" w:rsidRPr="00860CD4">
        <w:rPr>
          <w:rFonts w:ascii="Times New Roman" w:hAnsi="Times New Roman" w:cs="Times New Roman"/>
          <w:lang w:val="en-US"/>
        </w:rPr>
        <w:t>hbed</w:t>
      </w:r>
      <w:proofErr w:type="spellEnd"/>
      <w:r w:rsidR="00860CD4" w:rsidRPr="00860CD4">
        <w:rPr>
          <w:rFonts w:ascii="Times New Roman" w:hAnsi="Times New Roman" w:cs="Times New Roman"/>
          <w:lang w:val="en-US"/>
        </w:rPr>
        <w:t>-CC</w:t>
      </w:r>
    </w:p>
    <w:p w14:paraId="4462268D" w14:textId="77777777" w:rsidR="00DD290F" w:rsidRPr="00A34935" w:rsidRDefault="00DD290F" w:rsidP="007C6C9A">
      <w:pPr>
        <w:rPr>
          <w:rFonts w:ascii="Times New Roman" w:hAnsi="Times New Roman" w:cs="Times New Roman"/>
          <w:lang w:val="en-US"/>
        </w:rPr>
      </w:pPr>
      <w:r w:rsidRPr="00A34935">
        <w:rPr>
          <w:rFonts w:ascii="Times New Roman" w:hAnsi="Times New Roman" w:cs="Times New Roman"/>
          <w:noProof/>
          <w:lang w:val="en-US"/>
        </w:rPr>
        <w:drawing>
          <wp:inline distT="0" distB="0" distL="0" distR="0" wp14:anchorId="1E10EA8F" wp14:editId="0A032DEB">
            <wp:extent cx="3771464" cy="1457960"/>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2065" cy="1462058"/>
                    </a:xfrm>
                    <a:prstGeom prst="rect">
                      <a:avLst/>
                    </a:prstGeom>
                    <a:noFill/>
                    <a:ln>
                      <a:noFill/>
                    </a:ln>
                  </pic:spPr>
                </pic:pic>
              </a:graphicData>
            </a:graphic>
          </wp:inline>
        </w:drawing>
      </w:r>
    </w:p>
    <w:p w14:paraId="046DDB93" w14:textId="77777777" w:rsidR="00DD290F" w:rsidRPr="00A34935" w:rsidRDefault="00DD290F" w:rsidP="007C6C9A">
      <w:pPr>
        <w:rPr>
          <w:rFonts w:ascii="Times New Roman" w:hAnsi="Times New Roman" w:cs="Times New Roman"/>
          <w:lang w:val="en-US"/>
        </w:rPr>
      </w:pPr>
    </w:p>
    <w:p w14:paraId="058D3C8B" w14:textId="77777777" w:rsidR="001A3992" w:rsidRPr="00A34935" w:rsidRDefault="001A3992" w:rsidP="00A34935">
      <w:pPr>
        <w:pStyle w:val="Heading3"/>
        <w:rPr>
          <w:lang w:val="en-US"/>
        </w:rPr>
      </w:pPr>
      <w:r w:rsidRPr="00A34935">
        <w:rPr>
          <w:lang w:val="en-US"/>
        </w:rPr>
        <w:t>CAS number</w:t>
      </w:r>
    </w:p>
    <w:p w14:paraId="1658656F" w14:textId="77777777" w:rsidR="00DD290F" w:rsidRPr="00A34935" w:rsidRDefault="00DD290F" w:rsidP="00DD290F">
      <w:pPr>
        <w:rPr>
          <w:rFonts w:ascii="Times New Roman" w:hAnsi="Times New Roman" w:cs="Times New Roman"/>
          <w:lang w:val="en-US"/>
        </w:rPr>
      </w:pPr>
      <w:r w:rsidRPr="00A34935">
        <w:rPr>
          <w:rFonts w:ascii="Times New Roman" w:hAnsi="Times New Roman" w:cs="Times New Roman"/>
          <w:lang w:val="en-US"/>
        </w:rPr>
        <w:t xml:space="preserve">Ga-68 </w:t>
      </w:r>
      <w:r w:rsidR="00860CD4" w:rsidRPr="00860CD4">
        <w:rPr>
          <w:rFonts w:ascii="Times New Roman" w:hAnsi="Times New Roman" w:cs="Times New Roman"/>
          <w:lang w:val="en-US"/>
        </w:rPr>
        <w:t>Glu-urea-Lys(</w:t>
      </w:r>
      <w:proofErr w:type="spellStart"/>
      <w:r w:rsidR="00860CD4" w:rsidRPr="00860CD4">
        <w:rPr>
          <w:rFonts w:ascii="Times New Roman" w:hAnsi="Times New Roman" w:cs="Times New Roman"/>
          <w:lang w:val="en-US"/>
        </w:rPr>
        <w:t>ahx</w:t>
      </w:r>
      <w:proofErr w:type="spellEnd"/>
      <w:r w:rsidR="00860CD4" w:rsidRPr="00860CD4">
        <w:rPr>
          <w:rFonts w:ascii="Times New Roman" w:hAnsi="Times New Roman" w:cs="Times New Roman"/>
          <w:lang w:val="en-US"/>
        </w:rPr>
        <w:t>)-</w:t>
      </w:r>
      <w:proofErr w:type="spellStart"/>
      <w:r w:rsidR="00860CD4" w:rsidRPr="00860CD4">
        <w:rPr>
          <w:rFonts w:ascii="Times New Roman" w:hAnsi="Times New Roman" w:cs="Times New Roman"/>
          <w:lang w:val="en-US"/>
        </w:rPr>
        <w:t>hbed</w:t>
      </w:r>
      <w:proofErr w:type="spellEnd"/>
      <w:r w:rsidR="00860CD4" w:rsidRPr="00860CD4">
        <w:rPr>
          <w:rFonts w:ascii="Times New Roman" w:hAnsi="Times New Roman" w:cs="Times New Roman"/>
          <w:lang w:val="en-US"/>
        </w:rPr>
        <w:t>-CC</w:t>
      </w:r>
      <w:r w:rsidRPr="00A34935">
        <w:rPr>
          <w:rFonts w:ascii="Times New Roman" w:hAnsi="Times New Roman" w:cs="Times New Roman"/>
          <w:lang w:val="en-US"/>
        </w:rPr>
        <w:t xml:space="preserve"> – None</w:t>
      </w:r>
    </w:p>
    <w:p w14:paraId="58380AFF" w14:textId="77777777" w:rsidR="00DD290F" w:rsidRPr="00A34935" w:rsidRDefault="00860CD4" w:rsidP="00DD290F">
      <w:pPr>
        <w:rPr>
          <w:rFonts w:ascii="Times New Roman" w:hAnsi="Times New Roman" w:cs="Times New Roman"/>
          <w:lang w:val="en-US"/>
        </w:rPr>
      </w:pPr>
      <w:r w:rsidRPr="00860CD4">
        <w:rPr>
          <w:rFonts w:ascii="Times New Roman" w:hAnsi="Times New Roman" w:cs="Times New Roman"/>
          <w:lang w:val="en-US"/>
        </w:rPr>
        <w:t>Glu-urea-Lys(</w:t>
      </w:r>
      <w:proofErr w:type="spellStart"/>
      <w:r w:rsidRPr="00860CD4">
        <w:rPr>
          <w:rFonts w:ascii="Times New Roman" w:hAnsi="Times New Roman" w:cs="Times New Roman"/>
          <w:lang w:val="en-US"/>
        </w:rPr>
        <w:t>ahx</w:t>
      </w:r>
      <w:proofErr w:type="spellEnd"/>
      <w:r w:rsidRPr="00860CD4">
        <w:rPr>
          <w:rFonts w:ascii="Times New Roman" w:hAnsi="Times New Roman" w:cs="Times New Roman"/>
          <w:lang w:val="en-US"/>
        </w:rPr>
        <w:t>)-</w:t>
      </w:r>
      <w:proofErr w:type="spellStart"/>
      <w:r w:rsidRPr="00860CD4">
        <w:rPr>
          <w:rFonts w:ascii="Times New Roman" w:hAnsi="Times New Roman" w:cs="Times New Roman"/>
          <w:lang w:val="en-US"/>
        </w:rPr>
        <w:t>hbed</w:t>
      </w:r>
      <w:proofErr w:type="spellEnd"/>
      <w:r w:rsidRPr="00860CD4">
        <w:rPr>
          <w:rFonts w:ascii="Times New Roman" w:hAnsi="Times New Roman" w:cs="Times New Roman"/>
          <w:lang w:val="en-US"/>
        </w:rPr>
        <w:t>-CC</w:t>
      </w:r>
      <w:r w:rsidR="00DD290F" w:rsidRPr="00A34935">
        <w:rPr>
          <w:rFonts w:ascii="Times New Roman" w:hAnsi="Times New Roman" w:cs="Times New Roman"/>
          <w:lang w:val="en-US"/>
        </w:rPr>
        <w:t xml:space="preserve"> - 1366302-52-4</w:t>
      </w:r>
    </w:p>
    <w:p w14:paraId="790AB0E6" w14:textId="77777777" w:rsidR="001A3992" w:rsidRPr="00A34935" w:rsidRDefault="001A3992" w:rsidP="001A3992">
      <w:pPr>
        <w:pStyle w:val="Heading1"/>
        <w:spacing w:before="0" w:after="120"/>
        <w:rPr>
          <w:rFonts w:ascii="Times New Roman" w:hAnsi="Times New Roman" w:cs="Times New Roman"/>
          <w:lang w:val="en-US"/>
        </w:rPr>
      </w:pPr>
      <w:r w:rsidRPr="00A34935">
        <w:rPr>
          <w:rFonts w:ascii="Times New Roman" w:hAnsi="Times New Roman" w:cs="Times New Roman"/>
          <w:lang w:val="en-US"/>
        </w:rPr>
        <w:t>Medicine schedule (Poisons Standard)</w:t>
      </w:r>
    </w:p>
    <w:p w14:paraId="2A3166B6" w14:textId="77777777" w:rsidR="007C6C9A" w:rsidRPr="00A34935" w:rsidRDefault="007C6C9A" w:rsidP="007C6C9A">
      <w:pPr>
        <w:rPr>
          <w:rFonts w:ascii="Times New Roman" w:hAnsi="Times New Roman" w:cs="Times New Roman"/>
          <w:lang w:val="en-US"/>
        </w:rPr>
      </w:pPr>
      <w:r w:rsidRPr="00A34935">
        <w:rPr>
          <w:rFonts w:ascii="Times New Roman" w:hAnsi="Times New Roman" w:cs="Times New Roman"/>
          <w:lang w:val="en-US"/>
        </w:rPr>
        <w:t>Not scheduled.</w:t>
      </w:r>
    </w:p>
    <w:p w14:paraId="443E1109" w14:textId="77777777" w:rsidR="001A3992" w:rsidRPr="00360FBB" w:rsidRDefault="001A3992" w:rsidP="001A3992">
      <w:pPr>
        <w:pStyle w:val="Heading1"/>
        <w:spacing w:before="0" w:after="120"/>
        <w:rPr>
          <w:rFonts w:ascii="Times New Roman" w:hAnsi="Times New Roman" w:cs="Times New Roman"/>
          <w:lang w:val="en-US"/>
        </w:rPr>
      </w:pPr>
      <w:r w:rsidRPr="00360FBB">
        <w:rPr>
          <w:rFonts w:ascii="Times New Roman" w:hAnsi="Times New Roman" w:cs="Times New Roman"/>
          <w:lang w:val="en-US"/>
        </w:rPr>
        <w:t>Sponsor</w:t>
      </w:r>
    </w:p>
    <w:p w14:paraId="1C205399" w14:textId="77777777" w:rsidR="00360FBB" w:rsidRPr="00360FBB" w:rsidRDefault="00360FBB" w:rsidP="00360FBB">
      <w:pPr>
        <w:spacing w:after="0" w:line="240" w:lineRule="auto"/>
        <w:rPr>
          <w:rFonts w:ascii="Times New Roman" w:hAnsi="Times New Roman" w:cs="Times New Roman"/>
        </w:rPr>
      </w:pPr>
      <w:proofErr w:type="spellStart"/>
      <w:r w:rsidRPr="00360FBB">
        <w:rPr>
          <w:rFonts w:ascii="Times New Roman" w:hAnsi="Times New Roman" w:cs="Times New Roman"/>
        </w:rPr>
        <w:t>Telix</w:t>
      </w:r>
      <w:proofErr w:type="spellEnd"/>
      <w:r w:rsidRPr="00360FBB">
        <w:rPr>
          <w:rFonts w:ascii="Times New Roman" w:hAnsi="Times New Roman" w:cs="Times New Roman"/>
        </w:rPr>
        <w:t xml:space="preserve"> Pharmaceuticals (ANZ) Pty Ltd.</w:t>
      </w:r>
    </w:p>
    <w:p w14:paraId="1F33D972" w14:textId="77777777" w:rsidR="00360FBB" w:rsidRPr="00360FBB" w:rsidRDefault="00360FBB" w:rsidP="00360FBB">
      <w:pPr>
        <w:spacing w:after="0" w:line="240" w:lineRule="auto"/>
        <w:rPr>
          <w:rFonts w:ascii="Times New Roman" w:hAnsi="Times New Roman" w:cs="Times New Roman"/>
        </w:rPr>
      </w:pPr>
      <w:r w:rsidRPr="00360FBB">
        <w:rPr>
          <w:rFonts w:ascii="Times New Roman" w:hAnsi="Times New Roman" w:cs="Times New Roman"/>
        </w:rPr>
        <w:t>Suite 401 55 Flemington Road,</w:t>
      </w:r>
    </w:p>
    <w:p w14:paraId="23299B1F" w14:textId="77777777" w:rsidR="00360FBB" w:rsidRPr="00360FBB" w:rsidRDefault="00360FBB" w:rsidP="00360FBB">
      <w:pPr>
        <w:spacing w:after="0" w:line="240" w:lineRule="auto"/>
        <w:rPr>
          <w:rFonts w:ascii="Times New Roman" w:hAnsi="Times New Roman" w:cs="Times New Roman"/>
        </w:rPr>
      </w:pPr>
      <w:r w:rsidRPr="00360FBB">
        <w:rPr>
          <w:rFonts w:ascii="Times New Roman" w:hAnsi="Times New Roman" w:cs="Times New Roman"/>
        </w:rPr>
        <w:t>North Melbourne,</w:t>
      </w:r>
    </w:p>
    <w:p w14:paraId="0E30AA4A" w14:textId="77777777" w:rsidR="00360FBB" w:rsidRDefault="00360FBB" w:rsidP="00360FBB">
      <w:pPr>
        <w:spacing w:after="0" w:line="240" w:lineRule="auto"/>
        <w:rPr>
          <w:rFonts w:ascii="Times New Roman" w:hAnsi="Times New Roman" w:cs="Times New Roman"/>
        </w:rPr>
      </w:pPr>
      <w:r w:rsidRPr="00360FBB">
        <w:rPr>
          <w:rFonts w:ascii="Times New Roman" w:hAnsi="Times New Roman" w:cs="Times New Roman"/>
        </w:rPr>
        <w:t>VIC</w:t>
      </w:r>
      <w:r>
        <w:rPr>
          <w:rFonts w:ascii="Times New Roman" w:hAnsi="Times New Roman" w:cs="Times New Roman"/>
        </w:rPr>
        <w:t>-</w:t>
      </w:r>
      <w:proofErr w:type="gramStart"/>
      <w:r w:rsidRPr="00360FBB">
        <w:rPr>
          <w:rFonts w:ascii="Times New Roman" w:hAnsi="Times New Roman" w:cs="Times New Roman"/>
        </w:rPr>
        <w:t>3051,Australia</w:t>
      </w:r>
      <w:proofErr w:type="gramEnd"/>
    </w:p>
    <w:p w14:paraId="7C018AEE" w14:textId="77777777" w:rsidR="00360FBB" w:rsidRPr="00CA4E41" w:rsidRDefault="00360FBB" w:rsidP="00360FBB">
      <w:pPr>
        <w:spacing w:after="0" w:line="240" w:lineRule="auto"/>
        <w:rPr>
          <w:rFonts w:ascii="Times New Roman" w:hAnsi="Times New Roman" w:cs="Times New Roman"/>
        </w:rPr>
      </w:pPr>
    </w:p>
    <w:p w14:paraId="623BD98D" w14:textId="77777777" w:rsidR="00360FBB" w:rsidRPr="00360FBB" w:rsidRDefault="00360FBB" w:rsidP="00360FBB">
      <w:pPr>
        <w:spacing w:after="0" w:line="240" w:lineRule="auto"/>
        <w:rPr>
          <w:rFonts w:ascii="Times New Roman" w:hAnsi="Times New Roman" w:cs="Times New Roman"/>
        </w:rPr>
      </w:pPr>
      <w:r w:rsidRPr="00CA4E41">
        <w:rPr>
          <w:rFonts w:ascii="Times New Roman" w:hAnsi="Times New Roman" w:cs="Times New Roman"/>
        </w:rPr>
        <w:t>Email Cont</w:t>
      </w:r>
      <w:r w:rsidR="0021256F" w:rsidRPr="00CA4E41">
        <w:rPr>
          <w:rFonts w:ascii="Times New Roman" w:hAnsi="Times New Roman" w:cs="Times New Roman"/>
        </w:rPr>
        <w:t>a</w:t>
      </w:r>
      <w:r w:rsidRPr="00CA4E41">
        <w:rPr>
          <w:rFonts w:ascii="Times New Roman" w:hAnsi="Times New Roman" w:cs="Times New Roman"/>
        </w:rPr>
        <w:t>ct</w:t>
      </w:r>
      <w:r w:rsidR="0021256F" w:rsidRPr="00CA4E41">
        <w:rPr>
          <w:rFonts w:ascii="Times New Roman" w:hAnsi="Times New Roman" w:cs="Times New Roman"/>
        </w:rPr>
        <w:t>:</w:t>
      </w:r>
      <w:r w:rsidR="0020472F">
        <w:rPr>
          <w:rFonts w:ascii="Times New Roman" w:hAnsi="Times New Roman" w:cs="Times New Roman"/>
        </w:rPr>
        <w:t xml:space="preserve"> </w:t>
      </w:r>
      <w:r w:rsidR="00273776">
        <w:rPr>
          <w:rFonts w:ascii="Times New Roman" w:hAnsi="Times New Roman" w:cs="Times New Roman"/>
        </w:rPr>
        <w:t>INFO@ANMI.BE</w:t>
      </w:r>
    </w:p>
    <w:p w14:paraId="2D15D143" w14:textId="77777777" w:rsidR="00DD290F" w:rsidRPr="00A34935" w:rsidRDefault="00DD290F" w:rsidP="00DD290F">
      <w:pPr>
        <w:rPr>
          <w:rFonts w:ascii="Times New Roman" w:hAnsi="Times New Roman" w:cs="Times New Roman"/>
          <w:lang w:val="en-US"/>
        </w:rPr>
      </w:pPr>
    </w:p>
    <w:p w14:paraId="3909C56A" w14:textId="77777777" w:rsidR="007C6C9A" w:rsidRPr="00A34935" w:rsidRDefault="001A3992" w:rsidP="001A3992">
      <w:pPr>
        <w:pStyle w:val="Heading1"/>
        <w:spacing w:before="0" w:after="120"/>
        <w:rPr>
          <w:rFonts w:ascii="Times New Roman" w:hAnsi="Times New Roman" w:cs="Times New Roman"/>
          <w:lang w:val="en-US"/>
        </w:rPr>
      </w:pPr>
      <w:r w:rsidRPr="00A34935">
        <w:rPr>
          <w:rFonts w:ascii="Times New Roman" w:hAnsi="Times New Roman" w:cs="Times New Roman"/>
          <w:lang w:val="en-US"/>
        </w:rPr>
        <w:t xml:space="preserve">Date of first approval </w:t>
      </w:r>
    </w:p>
    <w:p w14:paraId="46E757B0" w14:textId="5E8A74B7" w:rsidR="001A3992" w:rsidRPr="00A34935" w:rsidRDefault="000F2F7D" w:rsidP="007C6C9A">
      <w:pPr>
        <w:rPr>
          <w:rFonts w:ascii="Times New Roman" w:hAnsi="Times New Roman" w:cs="Times New Roman"/>
        </w:rPr>
      </w:pPr>
      <w:r>
        <w:rPr>
          <w:rFonts w:ascii="Times New Roman" w:hAnsi="Times New Roman" w:cs="Times New Roman"/>
        </w:rPr>
        <w:t>10-11-2021</w:t>
      </w:r>
    </w:p>
    <w:p w14:paraId="341BCF28" w14:textId="77777777" w:rsidR="001A3992" w:rsidRPr="00A34935" w:rsidRDefault="001A3992" w:rsidP="001A3992">
      <w:pPr>
        <w:pStyle w:val="Heading1"/>
        <w:spacing w:before="0" w:after="120"/>
        <w:rPr>
          <w:rFonts w:ascii="Times New Roman" w:hAnsi="Times New Roman" w:cs="Times New Roman"/>
          <w:lang w:val="en-US"/>
        </w:rPr>
      </w:pPr>
      <w:r w:rsidRPr="00A34935">
        <w:rPr>
          <w:rFonts w:ascii="Times New Roman" w:hAnsi="Times New Roman" w:cs="Times New Roman"/>
          <w:lang w:val="en-US"/>
        </w:rPr>
        <w:t xml:space="preserve">Date of revision </w:t>
      </w:r>
    </w:p>
    <w:p w14:paraId="29E711AA" w14:textId="77777777" w:rsidR="00960CD5" w:rsidRPr="00A34935" w:rsidRDefault="007C6C9A" w:rsidP="001A3992">
      <w:pPr>
        <w:spacing w:after="120"/>
        <w:rPr>
          <w:rFonts w:ascii="Times New Roman" w:hAnsi="Times New Roman" w:cs="Times New Roman"/>
        </w:rPr>
      </w:pPr>
      <w:r w:rsidRPr="00A34935">
        <w:rPr>
          <w:rFonts w:ascii="Times New Roman" w:hAnsi="Times New Roman" w:cs="Times New Roman"/>
        </w:rPr>
        <w:t>Not Applicable</w:t>
      </w:r>
    </w:p>
    <w:sectPr w:rsidR="00960CD5" w:rsidRPr="00A34935" w:rsidSect="000F0D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7AA03" w14:textId="77777777" w:rsidR="006D5850" w:rsidRDefault="006D5850" w:rsidP="001A3992">
      <w:pPr>
        <w:spacing w:after="0" w:line="240" w:lineRule="auto"/>
      </w:pPr>
      <w:r>
        <w:separator/>
      </w:r>
    </w:p>
  </w:endnote>
  <w:endnote w:type="continuationSeparator" w:id="0">
    <w:p w14:paraId="0871287E" w14:textId="77777777" w:rsidR="006D5850" w:rsidRDefault="006D5850"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5592944"/>
      <w:docPartObj>
        <w:docPartGallery w:val="Page Numbers (Bottom of Page)"/>
        <w:docPartUnique/>
      </w:docPartObj>
    </w:sdtPr>
    <w:sdtEndPr/>
    <w:sdtContent>
      <w:sdt>
        <w:sdtPr>
          <w:rPr>
            <w:rFonts w:ascii="Times New Roman" w:hAnsi="Times New Roman" w:cs="Times New Roman"/>
          </w:rPr>
          <w:id w:val="15592945"/>
          <w:docPartObj>
            <w:docPartGallery w:val="Page Numbers (Top of Page)"/>
            <w:docPartUnique/>
          </w:docPartObj>
        </w:sdtPr>
        <w:sdtEndPr/>
        <w:sdtContent>
          <w:p w14:paraId="69FD2EEE" w14:textId="77777777" w:rsidR="00F313CF" w:rsidRPr="00950DC7" w:rsidRDefault="00F313CF" w:rsidP="00950DC7">
            <w:pPr>
              <w:pStyle w:val="Footer"/>
              <w:pBdr>
                <w:top w:val="single" w:sz="4" w:space="1" w:color="auto"/>
              </w:pBdr>
              <w:jc w:val="center"/>
              <w:rPr>
                <w:rFonts w:ascii="Times New Roman" w:hAnsi="Times New Roman" w:cs="Times New Roman"/>
              </w:rPr>
            </w:pPr>
            <w:r w:rsidRPr="00950DC7">
              <w:rPr>
                <w:rFonts w:ascii="Times New Roman" w:hAnsi="Times New Roman" w:cs="Times New Roman"/>
              </w:rPr>
              <w:t xml:space="preserve">Page </w:t>
            </w:r>
            <w:r w:rsidR="0097219B" w:rsidRPr="00950DC7">
              <w:rPr>
                <w:rFonts w:ascii="Times New Roman" w:hAnsi="Times New Roman" w:cs="Times New Roman"/>
                <w:sz w:val="24"/>
                <w:szCs w:val="24"/>
              </w:rPr>
              <w:fldChar w:fldCharType="begin"/>
            </w:r>
            <w:r w:rsidRPr="00950DC7">
              <w:rPr>
                <w:rFonts w:ascii="Times New Roman" w:hAnsi="Times New Roman" w:cs="Times New Roman"/>
              </w:rPr>
              <w:instrText xml:space="preserve"> PAGE </w:instrText>
            </w:r>
            <w:r w:rsidR="0097219B" w:rsidRPr="00950DC7">
              <w:rPr>
                <w:rFonts w:ascii="Times New Roman" w:hAnsi="Times New Roman" w:cs="Times New Roman"/>
                <w:sz w:val="24"/>
                <w:szCs w:val="24"/>
              </w:rPr>
              <w:fldChar w:fldCharType="separate"/>
            </w:r>
            <w:r w:rsidR="006761C4">
              <w:rPr>
                <w:rFonts w:ascii="Times New Roman" w:hAnsi="Times New Roman" w:cs="Times New Roman"/>
                <w:noProof/>
              </w:rPr>
              <w:t>18</w:t>
            </w:r>
            <w:r w:rsidR="0097219B" w:rsidRPr="00950DC7">
              <w:rPr>
                <w:rFonts w:ascii="Times New Roman" w:hAnsi="Times New Roman" w:cs="Times New Roman"/>
                <w:sz w:val="24"/>
                <w:szCs w:val="24"/>
              </w:rPr>
              <w:fldChar w:fldCharType="end"/>
            </w:r>
            <w:r w:rsidRPr="00950DC7">
              <w:rPr>
                <w:rFonts w:ascii="Times New Roman" w:hAnsi="Times New Roman" w:cs="Times New Roman"/>
              </w:rPr>
              <w:t xml:space="preserve"> of </w:t>
            </w:r>
            <w:r w:rsidR="0097219B" w:rsidRPr="00950DC7">
              <w:rPr>
                <w:rFonts w:ascii="Times New Roman" w:hAnsi="Times New Roman" w:cs="Times New Roman"/>
                <w:sz w:val="24"/>
                <w:szCs w:val="24"/>
              </w:rPr>
              <w:fldChar w:fldCharType="begin"/>
            </w:r>
            <w:r w:rsidRPr="00950DC7">
              <w:rPr>
                <w:rFonts w:ascii="Times New Roman" w:hAnsi="Times New Roman" w:cs="Times New Roman"/>
              </w:rPr>
              <w:instrText xml:space="preserve"> NUMPAGES  </w:instrText>
            </w:r>
            <w:r w:rsidR="0097219B" w:rsidRPr="00950DC7">
              <w:rPr>
                <w:rFonts w:ascii="Times New Roman" w:hAnsi="Times New Roman" w:cs="Times New Roman"/>
                <w:sz w:val="24"/>
                <w:szCs w:val="24"/>
              </w:rPr>
              <w:fldChar w:fldCharType="separate"/>
            </w:r>
            <w:r w:rsidR="006761C4">
              <w:rPr>
                <w:rFonts w:ascii="Times New Roman" w:hAnsi="Times New Roman" w:cs="Times New Roman"/>
                <w:noProof/>
              </w:rPr>
              <w:t>18</w:t>
            </w:r>
            <w:r w:rsidR="0097219B" w:rsidRPr="00950DC7">
              <w:rPr>
                <w:rFonts w:ascii="Times New Roman" w:hAnsi="Times New Roman" w:cs="Times New Roman"/>
                <w:sz w:val="24"/>
                <w:szCs w:val="24"/>
              </w:rPr>
              <w:fldChar w:fldCharType="end"/>
            </w:r>
          </w:p>
        </w:sdtContent>
      </w:sdt>
    </w:sdtContent>
  </w:sdt>
  <w:p w14:paraId="30FE44B7" w14:textId="77777777" w:rsidR="00F313CF" w:rsidRPr="00B8074A" w:rsidRDefault="00F313CF" w:rsidP="0090264A">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99336" w14:textId="77777777" w:rsidR="006D5850" w:rsidRDefault="006D5850" w:rsidP="001A3992">
      <w:pPr>
        <w:spacing w:after="0" w:line="240" w:lineRule="auto"/>
      </w:pPr>
      <w:r>
        <w:separator/>
      </w:r>
    </w:p>
  </w:footnote>
  <w:footnote w:type="continuationSeparator" w:id="0">
    <w:p w14:paraId="45119EDA" w14:textId="77777777" w:rsidR="006D5850" w:rsidRDefault="006D5850"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E63E55" w14:paraId="49F72FBA" w14:textId="77777777" w:rsidTr="00E63E55">
      <w:trPr>
        <w:trHeight w:val="1012"/>
      </w:trPr>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491872C1" w14:textId="77777777" w:rsidR="00E63E55" w:rsidRDefault="00E63E55" w:rsidP="00E63E55">
          <w:pPr>
            <w:pStyle w:val="Footer"/>
            <w:rPr>
              <w:b/>
              <w:sz w:val="18"/>
              <w:szCs w:val="18"/>
            </w:rPr>
          </w:pPr>
          <w:bookmarkStart w:id="0" w:name="_Hlk80611440"/>
          <w:r>
            <w:rPr>
              <w:b/>
              <w:sz w:val="18"/>
              <w:szCs w:val="18"/>
            </w:rPr>
            <w:t>Attachment 1</w:t>
          </w:r>
          <w:r>
            <w:t xml:space="preserve"> </w:t>
          </w:r>
          <w:proofErr w:type="spellStart"/>
          <w:r>
            <w:rPr>
              <w:b/>
              <w:sz w:val="18"/>
              <w:szCs w:val="18"/>
            </w:rPr>
            <w:t>AusPAR</w:t>
          </w:r>
          <w:proofErr w:type="spellEnd"/>
          <w:r>
            <w:rPr>
              <w:b/>
              <w:sz w:val="18"/>
              <w:szCs w:val="18"/>
            </w:rPr>
            <w:t xml:space="preserve"> - - </w:t>
          </w:r>
          <w:proofErr w:type="spellStart"/>
          <w:r>
            <w:rPr>
              <w:b/>
              <w:sz w:val="18"/>
              <w:szCs w:val="18"/>
            </w:rPr>
            <w:t>Illuccix</w:t>
          </w:r>
          <w:proofErr w:type="spellEnd"/>
          <w:r>
            <w:rPr>
              <w:b/>
              <w:sz w:val="18"/>
              <w:szCs w:val="18"/>
            </w:rPr>
            <w:t xml:space="preserve"> – Glu-urea-Lys(</w:t>
          </w:r>
          <w:proofErr w:type="spellStart"/>
          <w:r>
            <w:rPr>
              <w:b/>
              <w:sz w:val="18"/>
              <w:szCs w:val="18"/>
            </w:rPr>
            <w:t>ahx</w:t>
          </w:r>
          <w:proofErr w:type="spellEnd"/>
          <w:r>
            <w:rPr>
              <w:b/>
              <w:sz w:val="18"/>
              <w:szCs w:val="18"/>
            </w:rPr>
            <w:t>)-</w:t>
          </w:r>
          <w:proofErr w:type="spellStart"/>
          <w:r>
            <w:rPr>
              <w:b/>
              <w:sz w:val="18"/>
              <w:szCs w:val="18"/>
            </w:rPr>
            <w:t>hbed</w:t>
          </w:r>
          <w:proofErr w:type="spellEnd"/>
          <w:r>
            <w:rPr>
              <w:b/>
              <w:sz w:val="18"/>
              <w:szCs w:val="18"/>
            </w:rPr>
            <w:t xml:space="preserve">-CC – </w:t>
          </w:r>
          <w:proofErr w:type="spellStart"/>
          <w:r>
            <w:rPr>
              <w:b/>
              <w:sz w:val="18"/>
              <w:szCs w:val="18"/>
            </w:rPr>
            <w:t>Telix</w:t>
          </w:r>
          <w:proofErr w:type="spellEnd"/>
          <w:r>
            <w:rPr>
              <w:b/>
              <w:sz w:val="18"/>
              <w:szCs w:val="18"/>
            </w:rPr>
            <w:t xml:space="preserve"> Pharmaceuticals (ANZ) Pty Ltd. – PM-2021-00851-1-4 FINAL 17 June 2022</w:t>
          </w:r>
          <w:r>
            <w:rPr>
              <w:b/>
            </w:rPr>
            <w:t>.</w:t>
          </w:r>
          <w:r>
            <w:rPr>
              <w:b/>
              <w:sz w:val="18"/>
              <w:szCs w:val="18"/>
            </w:rPr>
            <w:t xml:space="preserve"> This is the Product Information that was approved with the submission described in this </w:t>
          </w:r>
          <w:proofErr w:type="spellStart"/>
          <w:r>
            <w:rPr>
              <w:b/>
              <w:sz w:val="18"/>
              <w:szCs w:val="18"/>
            </w:rPr>
            <w:t>AusPAR</w:t>
          </w:r>
          <w:proofErr w:type="spellEnd"/>
          <w:r>
            <w:rPr>
              <w:b/>
              <w:sz w:val="18"/>
              <w:szCs w:val="18"/>
            </w:rPr>
            <w:t>. It may have been superseded. For the most recent PI, please refer to the TGA website at &lt;</w:t>
          </w:r>
          <w:hyperlink r:id="rId1" w:history="1">
            <w:r>
              <w:rPr>
                <w:rStyle w:val="Hyperlink"/>
                <w:b/>
                <w:sz w:val="18"/>
                <w:szCs w:val="18"/>
              </w:rPr>
              <w:t>https://www.tga.gov.au/product-information-pi</w:t>
            </w:r>
          </w:hyperlink>
          <w:r>
            <w:rPr>
              <w:b/>
              <w:sz w:val="18"/>
              <w:szCs w:val="18"/>
              <w:u w:val="single"/>
            </w:rPr>
            <w:t>&gt;</w:t>
          </w:r>
        </w:p>
      </w:tc>
      <w:bookmarkEnd w:id="0"/>
    </w:tr>
  </w:tbl>
  <w:p w14:paraId="67522B74" w14:textId="77777777" w:rsidR="00F313CF" w:rsidRDefault="00F313CF" w:rsidP="00E63E55">
    <w:pPr>
      <w:pStyle w:val="Header"/>
      <w:spacing w:before="60"/>
      <w:rPr>
        <w:rFonts w:ascii="Times New Roman" w:eastAsia="SimSun" w:hAnsi="Times New Roman" w:cs="Times New Roman"/>
      </w:rPr>
    </w:pPr>
    <w:r w:rsidRPr="00A34935">
      <w:rPr>
        <w:rFonts w:ascii="Times New Roman" w:eastAsia="SimSun" w:hAnsi="Times New Roman" w:cs="Times New Roman"/>
      </w:rPr>
      <w:t>ILLUCCIX</w:t>
    </w:r>
    <w:r>
      <w:rPr>
        <w:rFonts w:ascii="Times New Roman" w:eastAsia="SimSun" w:hAnsi="Times New Roman" w:cs="Times New Roman"/>
      </w:rPr>
      <w:t xml:space="preserve"> </w:t>
    </w:r>
    <w:r w:rsidRPr="00A34935">
      <w:rPr>
        <w:rFonts w:ascii="Times New Roman" w:eastAsia="SimSun" w:hAnsi="Times New Roman" w:cs="Times New Roman"/>
      </w:rPr>
      <w:t xml:space="preserve">(Kit for the Preparation of </w:t>
    </w:r>
    <w:r w:rsidR="00BC1C7A">
      <w:rPr>
        <w:rFonts w:ascii="Times New Roman" w:eastAsia="SimSun" w:hAnsi="Times New Roman" w:cs="Times New Roman"/>
      </w:rPr>
      <w:t xml:space="preserve">Ga-68 </w:t>
    </w:r>
    <w:r w:rsidR="00BC1C7A" w:rsidRPr="00BC1C7A">
      <w:rPr>
        <w:rFonts w:ascii="Times New Roman" w:hAnsi="Times New Roman" w:cs="Times New Roman"/>
        <w:bCs/>
      </w:rPr>
      <w:t>Glu-urea-Lys(</w:t>
    </w:r>
    <w:proofErr w:type="spellStart"/>
    <w:r w:rsidR="00BC1C7A" w:rsidRPr="00BC1C7A">
      <w:rPr>
        <w:rFonts w:ascii="Times New Roman" w:hAnsi="Times New Roman" w:cs="Times New Roman"/>
        <w:bCs/>
      </w:rPr>
      <w:t>ahx</w:t>
    </w:r>
    <w:proofErr w:type="spellEnd"/>
    <w:r w:rsidR="00BC1C7A" w:rsidRPr="00BC1C7A">
      <w:rPr>
        <w:rFonts w:ascii="Times New Roman" w:hAnsi="Times New Roman" w:cs="Times New Roman"/>
        <w:bCs/>
      </w:rPr>
      <w:t>)-</w:t>
    </w:r>
    <w:proofErr w:type="spellStart"/>
    <w:r w:rsidR="00BC1C7A" w:rsidRPr="00BC1C7A">
      <w:rPr>
        <w:rFonts w:ascii="Times New Roman" w:hAnsi="Times New Roman" w:cs="Times New Roman"/>
        <w:bCs/>
      </w:rPr>
      <w:t>hbed</w:t>
    </w:r>
    <w:proofErr w:type="spellEnd"/>
    <w:r w:rsidR="00BC1C7A" w:rsidRPr="00BC1C7A">
      <w:rPr>
        <w:rFonts w:ascii="Times New Roman" w:hAnsi="Times New Roman" w:cs="Times New Roman"/>
        <w:bCs/>
      </w:rPr>
      <w:t>-CC</w:t>
    </w:r>
    <w:r w:rsidR="00BC1C7A">
      <w:rPr>
        <w:rFonts w:ascii="Times New Roman" w:eastAsia="SimSun" w:hAnsi="Times New Roman" w:cs="Times New Roman"/>
      </w:rPr>
      <w:t>)</w:t>
    </w:r>
    <w:r>
      <w:rPr>
        <w:rFonts w:ascii="Times New Roman" w:eastAsia="SimSun" w:hAnsi="Times New Roman" w:cs="Times New Roman"/>
      </w:rPr>
      <w:t xml:space="preserve"> </w:t>
    </w:r>
    <w:r w:rsidRPr="00A34935">
      <w:rPr>
        <w:rFonts w:ascii="Times New Roman" w:eastAsia="SimSun" w:hAnsi="Times New Roman" w:cs="Times New Roman"/>
      </w:rPr>
      <w:t>Injection</w:t>
    </w:r>
  </w:p>
  <w:p w14:paraId="5659F667" w14:textId="77777777" w:rsidR="00F313CF" w:rsidRDefault="00F313CF" w:rsidP="00950DC7">
    <w:pPr>
      <w:pStyle w:val="Header"/>
      <w:pBdr>
        <w:bottom w:val="single" w:sz="4" w:space="1" w:color="auto"/>
      </w:pBdr>
    </w:pPr>
    <w:r>
      <w:rPr>
        <w:rFonts w:ascii="Times New Roman" w:eastAsia="SimSun" w:hAnsi="Times New Roman" w:cs="Times New Roman"/>
      </w:rPr>
      <w:t>Australian Product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134B79"/>
    <w:multiLevelType w:val="hybridMultilevel"/>
    <w:tmpl w:val="2B8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4168E"/>
    <w:multiLevelType w:val="hybridMultilevel"/>
    <w:tmpl w:val="D7044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90C3F"/>
    <w:multiLevelType w:val="hybridMultilevel"/>
    <w:tmpl w:val="4D4CF54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FF034D"/>
    <w:multiLevelType w:val="hybridMultilevel"/>
    <w:tmpl w:val="9B22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74790B"/>
    <w:multiLevelType w:val="hybridMultilevel"/>
    <w:tmpl w:val="ECDE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63BA1"/>
    <w:multiLevelType w:val="hybridMultilevel"/>
    <w:tmpl w:val="79563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20543"/>
    <w:multiLevelType w:val="hybridMultilevel"/>
    <w:tmpl w:val="0B42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B74A7"/>
    <w:multiLevelType w:val="hybridMultilevel"/>
    <w:tmpl w:val="0692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02964"/>
    <w:multiLevelType w:val="hybridMultilevel"/>
    <w:tmpl w:val="11A40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136F5"/>
    <w:multiLevelType w:val="hybridMultilevel"/>
    <w:tmpl w:val="26281430"/>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590CEB"/>
    <w:multiLevelType w:val="hybridMultilevel"/>
    <w:tmpl w:val="775EB81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597A587E"/>
    <w:multiLevelType w:val="hybridMultilevel"/>
    <w:tmpl w:val="436261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621470BE"/>
    <w:multiLevelType w:val="hybridMultilevel"/>
    <w:tmpl w:val="0F94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1F4D51"/>
    <w:multiLevelType w:val="hybridMultilevel"/>
    <w:tmpl w:val="D92E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780292"/>
    <w:multiLevelType w:val="hybridMultilevel"/>
    <w:tmpl w:val="ADB0AC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E3800"/>
    <w:multiLevelType w:val="hybridMultilevel"/>
    <w:tmpl w:val="4D4CF5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6818AF"/>
    <w:multiLevelType w:val="hybridMultilevel"/>
    <w:tmpl w:val="144E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F7E24"/>
    <w:multiLevelType w:val="hybridMultilevel"/>
    <w:tmpl w:val="0742BD40"/>
    <w:lvl w:ilvl="0" w:tplc="E01666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C83CC8"/>
    <w:multiLevelType w:val="hybridMultilevel"/>
    <w:tmpl w:val="FEEA04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0"/>
  </w:num>
  <w:num w:numId="4">
    <w:abstractNumId w:val="13"/>
  </w:num>
  <w:num w:numId="5">
    <w:abstractNumId w:val="28"/>
  </w:num>
  <w:num w:numId="6">
    <w:abstractNumId w:val="21"/>
  </w:num>
  <w:num w:numId="7">
    <w:abstractNumId w:val="18"/>
  </w:num>
  <w:num w:numId="8">
    <w:abstractNumId w:val="22"/>
  </w:num>
  <w:num w:numId="9">
    <w:abstractNumId w:val="6"/>
  </w:num>
  <w:num w:numId="10">
    <w:abstractNumId w:val="17"/>
  </w:num>
  <w:num w:numId="11">
    <w:abstractNumId w:val="19"/>
  </w:num>
  <w:num w:numId="12">
    <w:abstractNumId w:val="10"/>
  </w:num>
  <w:num w:numId="13">
    <w:abstractNumId w:val="8"/>
  </w:num>
  <w:num w:numId="14">
    <w:abstractNumId w:val="25"/>
  </w:num>
  <w:num w:numId="15">
    <w:abstractNumId w:val="27"/>
  </w:num>
  <w:num w:numId="16">
    <w:abstractNumId w:val="24"/>
  </w:num>
  <w:num w:numId="17">
    <w:abstractNumId w:val="4"/>
  </w:num>
  <w:num w:numId="18">
    <w:abstractNumId w:val="5"/>
  </w:num>
  <w:num w:numId="19">
    <w:abstractNumId w:val="16"/>
  </w:num>
  <w:num w:numId="20">
    <w:abstractNumId w:val="11"/>
  </w:num>
  <w:num w:numId="21">
    <w:abstractNumId w:val="2"/>
  </w:num>
  <w:num w:numId="22">
    <w:abstractNumId w:val="14"/>
  </w:num>
  <w:num w:numId="23">
    <w:abstractNumId w:val="12"/>
  </w:num>
  <w:num w:numId="24">
    <w:abstractNumId w:val="23"/>
  </w:num>
  <w:num w:numId="25">
    <w:abstractNumId w:val="9"/>
  </w:num>
  <w:num w:numId="26">
    <w:abstractNumId w:val="3"/>
  </w:num>
  <w:num w:numId="27">
    <w:abstractNumId w:val="26"/>
  </w:num>
  <w:num w:numId="28">
    <w:abstractNumId w:val="20"/>
  </w:num>
  <w:num w:numId="29">
    <w:abstractNumId w:val="20"/>
  </w:num>
  <w:num w:numId="30">
    <w:abstractNumId w:val="20"/>
  </w:num>
  <w:num w:numId="31">
    <w:abstractNumId w:val="1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6D"/>
    <w:rsid w:val="000023A1"/>
    <w:rsid w:val="0001020D"/>
    <w:rsid w:val="0001683B"/>
    <w:rsid w:val="000309A1"/>
    <w:rsid w:val="00040614"/>
    <w:rsid w:val="00054CF1"/>
    <w:rsid w:val="00070E85"/>
    <w:rsid w:val="000B2A91"/>
    <w:rsid w:val="000B3669"/>
    <w:rsid w:val="000D1C2B"/>
    <w:rsid w:val="000F0D8F"/>
    <w:rsid w:val="000F2F7D"/>
    <w:rsid w:val="000F33C1"/>
    <w:rsid w:val="00120643"/>
    <w:rsid w:val="00127F05"/>
    <w:rsid w:val="001378C5"/>
    <w:rsid w:val="00163788"/>
    <w:rsid w:val="0017120F"/>
    <w:rsid w:val="001A3992"/>
    <w:rsid w:val="001B4C9F"/>
    <w:rsid w:val="001D02B3"/>
    <w:rsid w:val="001D590C"/>
    <w:rsid w:val="001F129C"/>
    <w:rsid w:val="001F1587"/>
    <w:rsid w:val="001F379E"/>
    <w:rsid w:val="001F4480"/>
    <w:rsid w:val="0020472F"/>
    <w:rsid w:val="0021256F"/>
    <w:rsid w:val="00226A55"/>
    <w:rsid w:val="00251766"/>
    <w:rsid w:val="00252ACA"/>
    <w:rsid w:val="00273776"/>
    <w:rsid w:val="00276581"/>
    <w:rsid w:val="0028447F"/>
    <w:rsid w:val="002862E9"/>
    <w:rsid w:val="002A26ED"/>
    <w:rsid w:val="002B424E"/>
    <w:rsid w:val="002B62D9"/>
    <w:rsid w:val="002E277D"/>
    <w:rsid w:val="003016CA"/>
    <w:rsid w:val="00315594"/>
    <w:rsid w:val="00317A59"/>
    <w:rsid w:val="0032669B"/>
    <w:rsid w:val="00334D82"/>
    <w:rsid w:val="003352D2"/>
    <w:rsid w:val="00350A12"/>
    <w:rsid w:val="0035427C"/>
    <w:rsid w:val="003557FB"/>
    <w:rsid w:val="00360FBB"/>
    <w:rsid w:val="00362B0D"/>
    <w:rsid w:val="00367585"/>
    <w:rsid w:val="00383013"/>
    <w:rsid w:val="00394FE0"/>
    <w:rsid w:val="003A5B94"/>
    <w:rsid w:val="003C18C6"/>
    <w:rsid w:val="004032BD"/>
    <w:rsid w:val="00415740"/>
    <w:rsid w:val="004201D3"/>
    <w:rsid w:val="004218FB"/>
    <w:rsid w:val="00431ACD"/>
    <w:rsid w:val="00451222"/>
    <w:rsid w:val="0045730C"/>
    <w:rsid w:val="004902CF"/>
    <w:rsid w:val="00490CC2"/>
    <w:rsid w:val="00497C85"/>
    <w:rsid w:val="004C21A6"/>
    <w:rsid w:val="004C6F40"/>
    <w:rsid w:val="004D0ED4"/>
    <w:rsid w:val="004D43BA"/>
    <w:rsid w:val="004E2392"/>
    <w:rsid w:val="004F5102"/>
    <w:rsid w:val="004F56EF"/>
    <w:rsid w:val="00512BA0"/>
    <w:rsid w:val="0051590A"/>
    <w:rsid w:val="00524FC8"/>
    <w:rsid w:val="0053722A"/>
    <w:rsid w:val="00540D6C"/>
    <w:rsid w:val="00562247"/>
    <w:rsid w:val="00565DDD"/>
    <w:rsid w:val="00565DF1"/>
    <w:rsid w:val="00567443"/>
    <w:rsid w:val="00576105"/>
    <w:rsid w:val="00583626"/>
    <w:rsid w:val="005857C0"/>
    <w:rsid w:val="006076DB"/>
    <w:rsid w:val="00612035"/>
    <w:rsid w:val="00616511"/>
    <w:rsid w:val="0067412A"/>
    <w:rsid w:val="006761C4"/>
    <w:rsid w:val="00677840"/>
    <w:rsid w:val="006A1F34"/>
    <w:rsid w:val="006A420E"/>
    <w:rsid w:val="006A6ACE"/>
    <w:rsid w:val="006B715F"/>
    <w:rsid w:val="006C082E"/>
    <w:rsid w:val="006D5850"/>
    <w:rsid w:val="00712D28"/>
    <w:rsid w:val="00723FF4"/>
    <w:rsid w:val="007413D2"/>
    <w:rsid w:val="00745F40"/>
    <w:rsid w:val="007500FD"/>
    <w:rsid w:val="007614DB"/>
    <w:rsid w:val="00762B82"/>
    <w:rsid w:val="00795FB6"/>
    <w:rsid w:val="007C6C9A"/>
    <w:rsid w:val="007D10C7"/>
    <w:rsid w:val="007E098D"/>
    <w:rsid w:val="007E693C"/>
    <w:rsid w:val="007E7C69"/>
    <w:rsid w:val="0081706A"/>
    <w:rsid w:val="008502BC"/>
    <w:rsid w:val="00860CD4"/>
    <w:rsid w:val="00862834"/>
    <w:rsid w:val="00876C80"/>
    <w:rsid w:val="0088125C"/>
    <w:rsid w:val="00891DEA"/>
    <w:rsid w:val="008A4C39"/>
    <w:rsid w:val="008B1712"/>
    <w:rsid w:val="008B3F8B"/>
    <w:rsid w:val="008C0DDD"/>
    <w:rsid w:val="008C6F34"/>
    <w:rsid w:val="008F05EF"/>
    <w:rsid w:val="008F3E1C"/>
    <w:rsid w:val="0090264A"/>
    <w:rsid w:val="0092522A"/>
    <w:rsid w:val="00950DC7"/>
    <w:rsid w:val="009538EB"/>
    <w:rsid w:val="00960CD5"/>
    <w:rsid w:val="0097219B"/>
    <w:rsid w:val="00981E92"/>
    <w:rsid w:val="009868F5"/>
    <w:rsid w:val="009900F6"/>
    <w:rsid w:val="00993983"/>
    <w:rsid w:val="009A77D6"/>
    <w:rsid w:val="009B2D86"/>
    <w:rsid w:val="009B54F0"/>
    <w:rsid w:val="009C6CD6"/>
    <w:rsid w:val="009C7716"/>
    <w:rsid w:val="00A075D6"/>
    <w:rsid w:val="00A12806"/>
    <w:rsid w:val="00A14E35"/>
    <w:rsid w:val="00A3406C"/>
    <w:rsid w:val="00A34935"/>
    <w:rsid w:val="00A34CCB"/>
    <w:rsid w:val="00A85732"/>
    <w:rsid w:val="00A908F5"/>
    <w:rsid w:val="00AB4CC8"/>
    <w:rsid w:val="00AE1B5A"/>
    <w:rsid w:val="00AE1FDB"/>
    <w:rsid w:val="00AE27EE"/>
    <w:rsid w:val="00AF4E5A"/>
    <w:rsid w:val="00B2013B"/>
    <w:rsid w:val="00B30ADC"/>
    <w:rsid w:val="00B45F11"/>
    <w:rsid w:val="00B51098"/>
    <w:rsid w:val="00B7383F"/>
    <w:rsid w:val="00B755A2"/>
    <w:rsid w:val="00B822BA"/>
    <w:rsid w:val="00B83221"/>
    <w:rsid w:val="00B84757"/>
    <w:rsid w:val="00B87380"/>
    <w:rsid w:val="00BC1C7A"/>
    <w:rsid w:val="00BD2273"/>
    <w:rsid w:val="00BE4962"/>
    <w:rsid w:val="00C15203"/>
    <w:rsid w:val="00C210E4"/>
    <w:rsid w:val="00C2456A"/>
    <w:rsid w:val="00C31F78"/>
    <w:rsid w:val="00C7166D"/>
    <w:rsid w:val="00CA4E41"/>
    <w:rsid w:val="00CA6CCF"/>
    <w:rsid w:val="00D054E9"/>
    <w:rsid w:val="00D25201"/>
    <w:rsid w:val="00D402C8"/>
    <w:rsid w:val="00D44BA0"/>
    <w:rsid w:val="00D65E29"/>
    <w:rsid w:val="00D8218B"/>
    <w:rsid w:val="00D91CCA"/>
    <w:rsid w:val="00DA40EB"/>
    <w:rsid w:val="00DC1F6D"/>
    <w:rsid w:val="00DD290F"/>
    <w:rsid w:val="00DF54E4"/>
    <w:rsid w:val="00DF5E99"/>
    <w:rsid w:val="00E04CF1"/>
    <w:rsid w:val="00E22C9E"/>
    <w:rsid w:val="00E25F4C"/>
    <w:rsid w:val="00E410DC"/>
    <w:rsid w:val="00E4117A"/>
    <w:rsid w:val="00E55DCB"/>
    <w:rsid w:val="00E63E55"/>
    <w:rsid w:val="00E6497A"/>
    <w:rsid w:val="00E748D7"/>
    <w:rsid w:val="00E74A56"/>
    <w:rsid w:val="00E81AF2"/>
    <w:rsid w:val="00E9477D"/>
    <w:rsid w:val="00EA1568"/>
    <w:rsid w:val="00EA5162"/>
    <w:rsid w:val="00EA78D8"/>
    <w:rsid w:val="00EB7837"/>
    <w:rsid w:val="00EC5E86"/>
    <w:rsid w:val="00ED0937"/>
    <w:rsid w:val="00ED50FE"/>
    <w:rsid w:val="00EE3441"/>
    <w:rsid w:val="00EE3D24"/>
    <w:rsid w:val="00EF51AB"/>
    <w:rsid w:val="00F313CF"/>
    <w:rsid w:val="00F32012"/>
    <w:rsid w:val="00F620A9"/>
    <w:rsid w:val="00F63A1D"/>
    <w:rsid w:val="00F6544D"/>
    <w:rsid w:val="00F66F35"/>
    <w:rsid w:val="00F735D3"/>
    <w:rsid w:val="00FA33A0"/>
    <w:rsid w:val="00FB0881"/>
    <w:rsid w:val="00FF49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D2DA"/>
  <w15:docId w15:val="{AEEB89AE-1411-8E49-BB58-58D4394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D8F"/>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Heading2"/>
    <w:next w:val="Normal"/>
    <w:link w:val="Heading3Char"/>
    <w:uiPriority w:val="9"/>
    <w:unhideWhenUsed/>
    <w:qFormat/>
    <w:rsid w:val="00A34935"/>
    <w:pPr>
      <w:numPr>
        <w:ilvl w:val="0"/>
        <w:numId w:val="0"/>
      </w:numPr>
      <w:ind w:left="578" w:hanging="578"/>
      <w:outlineLvl w:val="2"/>
    </w:pPr>
    <w:rPr>
      <w:rFonts w:ascii="Times New Roman" w:eastAsia="SimSun" w:hAnsi="Times New Roman" w:cs="Times New Roman"/>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A34935"/>
    <w:rPr>
      <w:rFonts w:ascii="Times New Roman" w:eastAsia="SimSun" w:hAnsi="Times New Roman" w:cs="Times New Roman"/>
      <w:b/>
      <w:smallCaps/>
      <w:sz w:val="24"/>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customStyle="1" w:styleId="LightGrid1">
    <w:name w:val="Light Grid1"/>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table" w:styleId="TableGrid">
    <w:name w:val="Table Grid"/>
    <w:basedOn w:val="TableNormal"/>
    <w:uiPriority w:val="59"/>
    <w:rsid w:val="00317A5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317A59"/>
    <w:pPr>
      <w:spacing w:after="60"/>
    </w:pPr>
    <w:rPr>
      <w:rFonts w:ascii="Times New Roman" w:hAnsi="Times New Roman"/>
      <w:b/>
      <w:sz w:val="20"/>
      <w:lang w:val="en-US"/>
    </w:rPr>
  </w:style>
  <w:style w:type="paragraph" w:customStyle="1" w:styleId="TableEntry">
    <w:name w:val="Table Entry"/>
    <w:basedOn w:val="TableHeader"/>
    <w:link w:val="TableEntryChar"/>
    <w:qFormat/>
    <w:rsid w:val="00317A59"/>
    <w:rPr>
      <w:b w:val="0"/>
    </w:rPr>
  </w:style>
  <w:style w:type="character" w:customStyle="1" w:styleId="TableHeaderChar">
    <w:name w:val="Table Header Char"/>
    <w:basedOn w:val="DefaultParagraphFont"/>
    <w:link w:val="TableHeader"/>
    <w:rsid w:val="00317A59"/>
    <w:rPr>
      <w:rFonts w:ascii="Times New Roman" w:hAnsi="Times New Roman"/>
      <w:b/>
      <w:sz w:val="20"/>
      <w:lang w:val="en-US"/>
    </w:rPr>
  </w:style>
  <w:style w:type="character" w:customStyle="1" w:styleId="TableEntryChar">
    <w:name w:val="Table Entry Char"/>
    <w:basedOn w:val="TableHeaderChar"/>
    <w:link w:val="TableEntry"/>
    <w:rsid w:val="00317A59"/>
    <w:rPr>
      <w:rFonts w:ascii="Times New Roman" w:hAnsi="Times New Roman"/>
      <w:b w:val="0"/>
      <w:sz w:val="20"/>
      <w:lang w:val="en-US"/>
    </w:rPr>
  </w:style>
  <w:style w:type="paragraph" w:customStyle="1" w:styleId="CrossRef">
    <w:name w:val="Cross Ref"/>
    <w:basedOn w:val="Normal"/>
    <w:next w:val="Normal"/>
    <w:link w:val="CrossRefChar"/>
    <w:qFormat/>
    <w:rsid w:val="00317A59"/>
    <w:pPr>
      <w:spacing w:after="240"/>
    </w:pPr>
    <w:rPr>
      <w:rFonts w:ascii="Times New Roman" w:hAnsi="Times New Roman"/>
      <w:color w:val="0000FF"/>
      <w:sz w:val="24"/>
      <w:lang w:val="en-US"/>
    </w:rPr>
  </w:style>
  <w:style w:type="character" w:customStyle="1" w:styleId="CrossRefChar">
    <w:name w:val="Cross Ref Char"/>
    <w:basedOn w:val="DefaultParagraphFont"/>
    <w:link w:val="CrossRef"/>
    <w:rsid w:val="00317A59"/>
    <w:rPr>
      <w:rFonts w:ascii="Times New Roman" w:hAnsi="Times New Roman"/>
      <w:color w:val="0000FF"/>
      <w:sz w:val="24"/>
      <w:lang w:val="en-US"/>
    </w:rPr>
  </w:style>
  <w:style w:type="paragraph" w:styleId="Caption">
    <w:name w:val="caption"/>
    <w:basedOn w:val="Normal"/>
    <w:next w:val="Normal"/>
    <w:link w:val="CaptionChar"/>
    <w:uiPriority w:val="35"/>
    <w:unhideWhenUsed/>
    <w:qFormat/>
    <w:rsid w:val="00317A59"/>
    <w:pPr>
      <w:spacing w:after="120"/>
    </w:pPr>
    <w:rPr>
      <w:rFonts w:ascii="Times New Roman Bold" w:hAnsi="Times New Roman Bold"/>
      <w:b/>
      <w:iCs/>
      <w:sz w:val="24"/>
      <w:szCs w:val="18"/>
      <w:lang w:val="en-US"/>
    </w:rPr>
  </w:style>
  <w:style w:type="character" w:customStyle="1" w:styleId="CaptionChar">
    <w:name w:val="Caption Char"/>
    <w:link w:val="Caption"/>
    <w:uiPriority w:val="35"/>
    <w:locked/>
    <w:rsid w:val="00317A59"/>
    <w:rPr>
      <w:rFonts w:ascii="Times New Roman Bold" w:hAnsi="Times New Roman Bold"/>
      <w:b/>
      <w:iCs/>
      <w:sz w:val="24"/>
      <w:szCs w:val="18"/>
      <w:lang w:val="en-US"/>
    </w:rPr>
  </w:style>
  <w:style w:type="paragraph" w:styleId="CommentSubject">
    <w:name w:val="annotation subject"/>
    <w:basedOn w:val="CommentText"/>
    <w:next w:val="CommentText"/>
    <w:link w:val="CommentSubjectChar"/>
    <w:uiPriority w:val="99"/>
    <w:semiHidden/>
    <w:unhideWhenUsed/>
    <w:rsid w:val="00A12806"/>
    <w:rPr>
      <w:rFonts w:asciiTheme="minorHAnsi" w:hAnsiTheme="minorHAnsi"/>
      <w:b/>
      <w:bCs/>
    </w:rPr>
  </w:style>
  <w:style w:type="character" w:customStyle="1" w:styleId="CommentSubjectChar">
    <w:name w:val="Comment Subject Char"/>
    <w:basedOn w:val="CommentTextChar"/>
    <w:link w:val="CommentSubject"/>
    <w:uiPriority w:val="99"/>
    <w:semiHidden/>
    <w:rsid w:val="00A12806"/>
    <w:rPr>
      <w:rFonts w:ascii="Cambria" w:hAnsi="Cambria"/>
      <w:b/>
      <w:bCs/>
      <w:sz w:val="20"/>
      <w:szCs w:val="20"/>
    </w:rPr>
  </w:style>
  <w:style w:type="table" w:customStyle="1" w:styleId="TableGrid4">
    <w:name w:val="Table Grid4"/>
    <w:basedOn w:val="TableNormal"/>
    <w:next w:val="TableGrid"/>
    <w:uiPriority w:val="59"/>
    <w:rsid w:val="00993983"/>
    <w:pPr>
      <w:spacing w:after="0" w:line="240" w:lineRule="auto"/>
      <w:jc w:val="both"/>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27EE"/>
    <w:pPr>
      <w:spacing w:after="0" w:line="240" w:lineRule="auto"/>
    </w:pPr>
  </w:style>
  <w:style w:type="paragraph" w:customStyle="1" w:styleId="Default">
    <w:name w:val="Default"/>
    <w:rsid w:val="00E04CF1"/>
    <w:pPr>
      <w:autoSpaceDE w:val="0"/>
      <w:autoSpaceDN w:val="0"/>
      <w:adjustRightInd w:val="0"/>
      <w:spacing w:after="0" w:line="240" w:lineRule="auto"/>
    </w:pPr>
    <w:rPr>
      <w:rFonts w:ascii="Cambria" w:hAnsi="Cambria" w:cs="Cambr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883714">
      <w:bodyDiv w:val="1"/>
      <w:marLeft w:val="0"/>
      <w:marRight w:val="0"/>
      <w:marTop w:val="0"/>
      <w:marBottom w:val="0"/>
      <w:divBdr>
        <w:top w:val="none" w:sz="0" w:space="0" w:color="auto"/>
        <w:left w:val="none" w:sz="0" w:space="0" w:color="auto"/>
        <w:bottom w:val="none" w:sz="0" w:space="0" w:color="auto"/>
        <w:right w:val="none" w:sz="0" w:space="0" w:color="auto"/>
      </w:divBdr>
    </w:div>
    <w:div w:id="18392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tga.gov.au/reporting-proble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Downloads\pi-template-new-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F868DFCCBD24FA13444471C7E4C0C" ma:contentTypeVersion="4" ma:contentTypeDescription="Create a new document." ma:contentTypeScope="" ma:versionID="2cb48b9a25a5d85ce19dd4107ea411b2">
  <xsd:schema xmlns:xsd="http://www.w3.org/2001/XMLSchema" xmlns:xs="http://www.w3.org/2001/XMLSchema" xmlns:p="http://schemas.microsoft.com/office/2006/metadata/properties" xmlns:ns2="9d94cc1d-40f6-40d1-899c-2783c9b65876" targetNamespace="http://schemas.microsoft.com/office/2006/metadata/properties" ma:root="true" ma:fieldsID="f43e20bc39d73cd7c8b30eec1982482c" ns2:_="">
    <xsd:import namespace="9d94cc1d-40f6-40d1-899c-2783c9b658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cc1d-40f6-40d1-899c-2783c9b6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AC26-3BE2-4C53-8BF3-028B84ACE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cc1d-40f6-40d1-899c-2783c9b65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C482F-8348-4342-8311-BDB2B2530B99}">
  <ds:schemaRefs>
    <ds:schemaRef ds:uri="http://schemas.microsoft.com/sharepoint/v3/contenttype/forms"/>
  </ds:schemaRefs>
</ds:datastoreItem>
</file>

<file path=customXml/itemProps3.xml><?xml version="1.0" encoding="utf-8"?>
<ds:datastoreItem xmlns:ds="http://schemas.openxmlformats.org/officeDocument/2006/customXml" ds:itemID="{186E0007-1C5B-4ED7-A9D9-3AD146576D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F037E-E4B6-4031-83CF-45E05E5D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pi-template-new-format.dotx</Template>
  <TotalTime>13</TotalTime>
  <Pages>20</Pages>
  <Words>5658</Words>
  <Characters>32252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Telix Pharmaceuticals (ANZ) Pty Ltd</Company>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Glu-urea-Lys(ahx)-hbed-CC</dc:title>
  <dc:subject>prescription medicines</dc:subject>
  <dc:creator>Telix Pharmaceuticals (ANZ) Pty Ltd</dc:creator>
  <cp:lastModifiedBy>KOLARIK-OREILLY, Kristy</cp:lastModifiedBy>
  <cp:revision>4</cp:revision>
  <cp:lastPrinted>2021-02-24T01:33:00Z</cp:lastPrinted>
  <dcterms:created xsi:type="dcterms:W3CDTF">2022-06-17T06:01:00Z</dcterms:created>
  <dcterms:modified xsi:type="dcterms:W3CDTF">2022-06-24T05:02:00Z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2020-12-20T02:51:41Z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c6c04810-47a0-40ee-b664-291448b3f90f</vt:lpwstr>
  </property>
  <property fmtid="{D5CDD505-2E9C-101B-9397-08002B2CF9AE}" pid="8" name="MSIP_Label_1ada0a2f-b917-4d51-b0d0-d418a10c8b23_ContentBits">
    <vt:lpwstr>0</vt:lpwstr>
  </property>
  <property fmtid="{D5CDD505-2E9C-101B-9397-08002B2CF9AE}" pid="9" name="ContentTypeId">
    <vt:lpwstr>0x0101001A9F868DFCCBD24FA13444471C7E4C0C</vt:lpwstr>
  </property>
</Properties>
</file>