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B1A2FC4" w14:textId="77777777" w:rsidTr="00BF1190">
        <w:trPr>
          <w:trHeight w:val="1863"/>
        </w:trPr>
        <w:tc>
          <w:tcPr>
            <w:tcW w:w="3652" w:type="dxa"/>
            <w:tcBorders>
              <w:top w:val="nil"/>
              <w:left w:val="nil"/>
              <w:bottom w:val="nil"/>
              <w:right w:val="nil"/>
            </w:tcBorders>
          </w:tcPr>
          <w:p w14:paraId="0E3A3BF0" w14:textId="553CC921" w:rsidR="008E7846" w:rsidRPr="00096AA7" w:rsidRDefault="005173A9" w:rsidP="00096AA7">
            <w:pPr>
              <w:rPr>
                <w:rFonts w:ascii="Arial" w:hAnsi="Arial" w:cs="Arial"/>
                <w:b/>
                <w:color w:val="002C47"/>
                <w:sz w:val="36"/>
                <w:szCs w:val="36"/>
              </w:rPr>
            </w:pPr>
            <w:r>
              <w:rPr>
                <w:rFonts w:ascii="Arial" w:hAnsi="Arial" w:cs="Arial"/>
                <w:b/>
                <w:color w:val="002C47"/>
                <w:sz w:val="36"/>
                <w:szCs w:val="36"/>
              </w:rPr>
              <w:t xml:space="preserve">June </w:t>
            </w:r>
            <w:r w:rsidR="00AA1365">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D3F3B2C" w14:textId="77777777" w:rsidTr="0032583B">
        <w:trPr>
          <w:trHeight w:val="868"/>
        </w:trPr>
        <w:tc>
          <w:tcPr>
            <w:tcW w:w="9079" w:type="dxa"/>
          </w:tcPr>
          <w:p w14:paraId="66A75A47" w14:textId="58B908A0"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r w:rsidR="00AA1365" w:rsidRPr="00AA1365">
              <w:rPr>
                <w:color w:val="FFFFFF" w:themeColor="background1"/>
              </w:rPr>
              <w:t>Glu-urea-Lys(</w:t>
            </w:r>
            <w:proofErr w:type="spellStart"/>
            <w:r w:rsidR="00AA1365" w:rsidRPr="00AA1365">
              <w:rPr>
                <w:color w:val="FFFFFF" w:themeColor="background1"/>
              </w:rPr>
              <w:t>ahx</w:t>
            </w:r>
            <w:proofErr w:type="spellEnd"/>
            <w:r w:rsidR="00AA1365" w:rsidRPr="00AA1365">
              <w:rPr>
                <w:color w:val="FFFFFF" w:themeColor="background1"/>
              </w:rPr>
              <w:t>)-</w:t>
            </w:r>
            <w:proofErr w:type="spellStart"/>
            <w:r w:rsidR="00AA1365" w:rsidRPr="00AA1365">
              <w:rPr>
                <w:color w:val="FFFFFF" w:themeColor="background1"/>
              </w:rPr>
              <w:t>hbed</w:t>
            </w:r>
            <w:proofErr w:type="spellEnd"/>
            <w:r w:rsidR="00AA1365" w:rsidRPr="00AA1365">
              <w:rPr>
                <w:color w:val="FFFFFF" w:themeColor="background1"/>
              </w:rPr>
              <w:t>-CC</w:t>
            </w:r>
          </w:p>
        </w:tc>
      </w:tr>
      <w:tr w:rsidR="0032583B" w:rsidRPr="00B64760" w14:paraId="1CD5403C" w14:textId="77777777" w:rsidTr="0032583B">
        <w:tc>
          <w:tcPr>
            <w:tcW w:w="9079" w:type="dxa"/>
          </w:tcPr>
          <w:p w14:paraId="3DCDD79C" w14:textId="3FF21017"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AA1365">
              <w:rPr>
                <w:color w:val="FFFFFF" w:themeColor="background1"/>
              </w:rPr>
              <w:t>Illuccix</w:t>
            </w:r>
            <w:proofErr w:type="spellEnd"/>
          </w:p>
        </w:tc>
      </w:tr>
      <w:tr w:rsidR="0032583B" w:rsidRPr="00B64760" w14:paraId="7F15EEC7" w14:textId="77777777" w:rsidTr="0032583B">
        <w:trPr>
          <w:trHeight w:val="486"/>
        </w:trPr>
        <w:tc>
          <w:tcPr>
            <w:tcW w:w="9079" w:type="dxa"/>
          </w:tcPr>
          <w:p w14:paraId="3C0DF8FE" w14:textId="1D94F1A0" w:rsidR="0032583B" w:rsidRPr="008E7846" w:rsidRDefault="00460036" w:rsidP="0032583B">
            <w:pPr>
              <w:pStyle w:val="Subtitle"/>
              <w:rPr>
                <w:color w:val="FFFFFF" w:themeColor="background1"/>
              </w:rPr>
            </w:pPr>
            <w:r>
              <w:rPr>
                <w:color w:val="FFFFFF" w:themeColor="background1"/>
              </w:rPr>
              <w:t xml:space="preserve">Sponsor: </w:t>
            </w:r>
            <w:proofErr w:type="spellStart"/>
            <w:r w:rsidR="00AA1365" w:rsidRPr="00AA1365">
              <w:rPr>
                <w:color w:val="FFFFFF" w:themeColor="background1"/>
              </w:rPr>
              <w:t>Telix</w:t>
            </w:r>
            <w:proofErr w:type="spellEnd"/>
            <w:r w:rsidR="00AA1365" w:rsidRPr="00AA1365">
              <w:rPr>
                <w:color w:val="FFFFFF" w:themeColor="background1"/>
              </w:rPr>
              <w:t xml:space="preserve"> Pharmaceuticals (ANZ) Pty Ltd</w:t>
            </w:r>
          </w:p>
        </w:tc>
      </w:tr>
    </w:tbl>
    <w:p w14:paraId="07764594" w14:textId="25D21ABB" w:rsidR="008E7846" w:rsidRPr="0085156D" w:rsidRDefault="008E7846" w:rsidP="0085156D">
      <w:r w:rsidRPr="0085156D">
        <w:br w:type="page"/>
      </w:r>
    </w:p>
    <w:p w14:paraId="5F57E6DA" w14:textId="77777777" w:rsidR="008E7846" w:rsidRPr="001F6CBA" w:rsidRDefault="008E7846" w:rsidP="008E7846">
      <w:pPr>
        <w:pStyle w:val="NonTOCHeading2"/>
      </w:pPr>
      <w:r w:rsidRPr="001F6CBA">
        <w:lastRenderedPageBreak/>
        <w:t>About the Therapeutic Goods Administration (TGA)</w:t>
      </w:r>
    </w:p>
    <w:p w14:paraId="4A4019DA"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82CA62D"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03EFC7FF"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0D8253B"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F1906A0" w14:textId="522D1E9E"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1E1FF8D3" w14:textId="77777777" w:rsidR="008E7846" w:rsidRDefault="008E7846" w:rsidP="00875A6B">
      <w:pPr>
        <w:pStyle w:val="NonTOCHeading2"/>
      </w:pPr>
      <w:r>
        <w:t xml:space="preserve">About </w:t>
      </w:r>
      <w:proofErr w:type="spellStart"/>
      <w:r>
        <w:t>AusPARs</w:t>
      </w:r>
      <w:proofErr w:type="spellEnd"/>
    </w:p>
    <w:p w14:paraId="4B99822E"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5B23FC25"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0E8D04B1"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52F9A755"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4E954816"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4FFB5686" w14:textId="77777777" w:rsidR="00924482" w:rsidRPr="00DF1D7F" w:rsidRDefault="00924482" w:rsidP="00F54B65">
      <w:pPr>
        <w:pStyle w:val="LegalSubheading"/>
        <w:spacing w:before="3120"/>
      </w:pPr>
      <w:r w:rsidRPr="00DF1D7F">
        <w:t>Copyright</w:t>
      </w:r>
    </w:p>
    <w:p w14:paraId="7833270C" w14:textId="27FC6286"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A1365">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5D6DE56D"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C07805B" w14:textId="77777777" w:rsidR="0089635C" w:rsidRPr="0089635C" w:rsidRDefault="0089635C" w:rsidP="0010788A">
          <w:pPr>
            <w:pStyle w:val="Contents"/>
          </w:pPr>
          <w:r w:rsidRPr="0010788A">
            <w:t>Contents</w:t>
          </w:r>
        </w:p>
        <w:p w14:paraId="5BB0BDB0" w14:textId="54CCE5D5" w:rsidR="00036995"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6373304" w:history="1">
            <w:r w:rsidR="00036995" w:rsidRPr="005638D6">
              <w:rPr>
                <w:rStyle w:val="Hyperlink"/>
                <w:noProof/>
              </w:rPr>
              <w:t>List of abbreviations</w:t>
            </w:r>
            <w:r w:rsidR="00036995">
              <w:rPr>
                <w:noProof/>
                <w:webHidden/>
              </w:rPr>
              <w:tab/>
            </w:r>
            <w:r w:rsidR="00036995">
              <w:rPr>
                <w:noProof/>
                <w:webHidden/>
              </w:rPr>
              <w:fldChar w:fldCharType="begin"/>
            </w:r>
            <w:r w:rsidR="00036995">
              <w:rPr>
                <w:noProof/>
                <w:webHidden/>
              </w:rPr>
              <w:instrText xml:space="preserve"> PAGEREF _Toc106373304 \h </w:instrText>
            </w:r>
            <w:r w:rsidR="00036995">
              <w:rPr>
                <w:noProof/>
                <w:webHidden/>
              </w:rPr>
            </w:r>
            <w:r w:rsidR="00036995">
              <w:rPr>
                <w:noProof/>
                <w:webHidden/>
              </w:rPr>
              <w:fldChar w:fldCharType="separate"/>
            </w:r>
            <w:r w:rsidR="00036995">
              <w:rPr>
                <w:noProof/>
                <w:webHidden/>
              </w:rPr>
              <w:t>4</w:t>
            </w:r>
            <w:r w:rsidR="00036995">
              <w:rPr>
                <w:noProof/>
                <w:webHidden/>
              </w:rPr>
              <w:fldChar w:fldCharType="end"/>
            </w:r>
          </w:hyperlink>
        </w:p>
        <w:p w14:paraId="2669F450" w14:textId="38F40487" w:rsidR="00036995" w:rsidRDefault="009F19B0">
          <w:pPr>
            <w:pStyle w:val="TOC1"/>
            <w:rPr>
              <w:rFonts w:asciiTheme="minorHAnsi" w:eastAsiaTheme="minorEastAsia" w:hAnsiTheme="minorHAnsi" w:cstheme="minorBidi"/>
              <w:b w:val="0"/>
              <w:noProof/>
              <w:sz w:val="22"/>
              <w:lang w:eastAsia="en-AU"/>
            </w:rPr>
          </w:pPr>
          <w:hyperlink w:anchor="_Toc106373305" w:history="1">
            <w:r w:rsidR="00036995" w:rsidRPr="005638D6">
              <w:rPr>
                <w:rStyle w:val="Hyperlink"/>
                <w:noProof/>
              </w:rPr>
              <w:t>I. Introduction to product submission</w:t>
            </w:r>
            <w:r w:rsidR="00036995">
              <w:rPr>
                <w:noProof/>
                <w:webHidden/>
              </w:rPr>
              <w:tab/>
            </w:r>
            <w:r w:rsidR="00036995">
              <w:rPr>
                <w:noProof/>
                <w:webHidden/>
              </w:rPr>
              <w:fldChar w:fldCharType="begin"/>
            </w:r>
            <w:r w:rsidR="00036995">
              <w:rPr>
                <w:noProof/>
                <w:webHidden/>
              </w:rPr>
              <w:instrText xml:space="preserve"> PAGEREF _Toc106373305 \h </w:instrText>
            </w:r>
            <w:r w:rsidR="00036995">
              <w:rPr>
                <w:noProof/>
                <w:webHidden/>
              </w:rPr>
            </w:r>
            <w:r w:rsidR="00036995">
              <w:rPr>
                <w:noProof/>
                <w:webHidden/>
              </w:rPr>
              <w:fldChar w:fldCharType="separate"/>
            </w:r>
            <w:r w:rsidR="00036995">
              <w:rPr>
                <w:noProof/>
                <w:webHidden/>
              </w:rPr>
              <w:t>6</w:t>
            </w:r>
            <w:r w:rsidR="00036995">
              <w:rPr>
                <w:noProof/>
                <w:webHidden/>
              </w:rPr>
              <w:fldChar w:fldCharType="end"/>
            </w:r>
          </w:hyperlink>
        </w:p>
        <w:p w14:paraId="49CE5FB4" w14:textId="6F94ED3F" w:rsidR="00036995" w:rsidRDefault="009F19B0">
          <w:pPr>
            <w:pStyle w:val="TOC2"/>
            <w:rPr>
              <w:rFonts w:asciiTheme="minorHAnsi" w:eastAsiaTheme="minorEastAsia" w:hAnsiTheme="minorHAnsi" w:cstheme="minorBidi"/>
              <w:b w:val="0"/>
              <w:noProof/>
              <w:sz w:val="22"/>
              <w:lang w:eastAsia="en-AU"/>
            </w:rPr>
          </w:pPr>
          <w:hyperlink w:anchor="_Toc106373306" w:history="1">
            <w:r w:rsidR="00036995" w:rsidRPr="005638D6">
              <w:rPr>
                <w:rStyle w:val="Hyperlink"/>
                <w:noProof/>
                <w:lang w:eastAsia="en-AU"/>
              </w:rPr>
              <w:t>Submission details</w:t>
            </w:r>
            <w:r w:rsidR="00036995">
              <w:rPr>
                <w:noProof/>
                <w:webHidden/>
              </w:rPr>
              <w:tab/>
            </w:r>
            <w:r w:rsidR="00036995">
              <w:rPr>
                <w:noProof/>
                <w:webHidden/>
              </w:rPr>
              <w:fldChar w:fldCharType="begin"/>
            </w:r>
            <w:r w:rsidR="00036995">
              <w:rPr>
                <w:noProof/>
                <w:webHidden/>
              </w:rPr>
              <w:instrText xml:space="preserve"> PAGEREF _Toc106373306 \h </w:instrText>
            </w:r>
            <w:r w:rsidR="00036995">
              <w:rPr>
                <w:noProof/>
                <w:webHidden/>
              </w:rPr>
            </w:r>
            <w:r w:rsidR="00036995">
              <w:rPr>
                <w:noProof/>
                <w:webHidden/>
              </w:rPr>
              <w:fldChar w:fldCharType="separate"/>
            </w:r>
            <w:r w:rsidR="00036995">
              <w:rPr>
                <w:noProof/>
                <w:webHidden/>
              </w:rPr>
              <w:t>6</w:t>
            </w:r>
            <w:r w:rsidR="00036995">
              <w:rPr>
                <w:noProof/>
                <w:webHidden/>
              </w:rPr>
              <w:fldChar w:fldCharType="end"/>
            </w:r>
          </w:hyperlink>
        </w:p>
        <w:p w14:paraId="0D3A508A" w14:textId="7A9CAF90" w:rsidR="00036995" w:rsidRDefault="009F19B0">
          <w:pPr>
            <w:pStyle w:val="TOC2"/>
            <w:rPr>
              <w:rFonts w:asciiTheme="minorHAnsi" w:eastAsiaTheme="minorEastAsia" w:hAnsiTheme="minorHAnsi" w:cstheme="minorBidi"/>
              <w:b w:val="0"/>
              <w:noProof/>
              <w:sz w:val="22"/>
              <w:lang w:eastAsia="en-AU"/>
            </w:rPr>
          </w:pPr>
          <w:hyperlink w:anchor="_Toc106373307" w:history="1">
            <w:r w:rsidR="00036995" w:rsidRPr="005638D6">
              <w:rPr>
                <w:rStyle w:val="Hyperlink"/>
                <w:noProof/>
              </w:rPr>
              <w:t>Product background</w:t>
            </w:r>
            <w:r w:rsidR="00036995">
              <w:rPr>
                <w:noProof/>
                <w:webHidden/>
              </w:rPr>
              <w:tab/>
            </w:r>
            <w:r w:rsidR="00036995">
              <w:rPr>
                <w:noProof/>
                <w:webHidden/>
              </w:rPr>
              <w:fldChar w:fldCharType="begin"/>
            </w:r>
            <w:r w:rsidR="00036995">
              <w:rPr>
                <w:noProof/>
                <w:webHidden/>
              </w:rPr>
              <w:instrText xml:space="preserve"> PAGEREF _Toc106373307 \h </w:instrText>
            </w:r>
            <w:r w:rsidR="00036995">
              <w:rPr>
                <w:noProof/>
                <w:webHidden/>
              </w:rPr>
            </w:r>
            <w:r w:rsidR="00036995">
              <w:rPr>
                <w:noProof/>
                <w:webHidden/>
              </w:rPr>
              <w:fldChar w:fldCharType="separate"/>
            </w:r>
            <w:r w:rsidR="00036995">
              <w:rPr>
                <w:noProof/>
                <w:webHidden/>
              </w:rPr>
              <w:t>8</w:t>
            </w:r>
            <w:r w:rsidR="00036995">
              <w:rPr>
                <w:noProof/>
                <w:webHidden/>
              </w:rPr>
              <w:fldChar w:fldCharType="end"/>
            </w:r>
          </w:hyperlink>
        </w:p>
        <w:p w14:paraId="113070F0" w14:textId="0DAF3D7F" w:rsidR="00036995" w:rsidRDefault="009F19B0">
          <w:pPr>
            <w:pStyle w:val="TOC2"/>
            <w:rPr>
              <w:rFonts w:asciiTheme="minorHAnsi" w:eastAsiaTheme="minorEastAsia" w:hAnsiTheme="minorHAnsi" w:cstheme="minorBidi"/>
              <w:b w:val="0"/>
              <w:noProof/>
              <w:sz w:val="22"/>
              <w:lang w:eastAsia="en-AU"/>
            </w:rPr>
          </w:pPr>
          <w:hyperlink w:anchor="_Toc106373308" w:history="1">
            <w:r w:rsidR="00036995" w:rsidRPr="005638D6">
              <w:rPr>
                <w:rStyle w:val="Hyperlink"/>
                <w:noProof/>
              </w:rPr>
              <w:t>Regulatory status</w:t>
            </w:r>
            <w:r w:rsidR="00036995">
              <w:rPr>
                <w:noProof/>
                <w:webHidden/>
              </w:rPr>
              <w:tab/>
            </w:r>
            <w:r w:rsidR="00036995">
              <w:rPr>
                <w:noProof/>
                <w:webHidden/>
              </w:rPr>
              <w:fldChar w:fldCharType="begin"/>
            </w:r>
            <w:r w:rsidR="00036995">
              <w:rPr>
                <w:noProof/>
                <w:webHidden/>
              </w:rPr>
              <w:instrText xml:space="preserve"> PAGEREF _Toc106373308 \h </w:instrText>
            </w:r>
            <w:r w:rsidR="00036995">
              <w:rPr>
                <w:noProof/>
                <w:webHidden/>
              </w:rPr>
            </w:r>
            <w:r w:rsidR="00036995">
              <w:rPr>
                <w:noProof/>
                <w:webHidden/>
              </w:rPr>
              <w:fldChar w:fldCharType="separate"/>
            </w:r>
            <w:r w:rsidR="00036995">
              <w:rPr>
                <w:noProof/>
                <w:webHidden/>
              </w:rPr>
              <w:t>14</w:t>
            </w:r>
            <w:r w:rsidR="00036995">
              <w:rPr>
                <w:noProof/>
                <w:webHidden/>
              </w:rPr>
              <w:fldChar w:fldCharType="end"/>
            </w:r>
          </w:hyperlink>
        </w:p>
        <w:p w14:paraId="0A696083" w14:textId="031A43A8" w:rsidR="00036995" w:rsidRDefault="009F19B0">
          <w:pPr>
            <w:pStyle w:val="TOC2"/>
            <w:rPr>
              <w:rFonts w:asciiTheme="minorHAnsi" w:eastAsiaTheme="minorEastAsia" w:hAnsiTheme="minorHAnsi" w:cstheme="minorBidi"/>
              <w:b w:val="0"/>
              <w:noProof/>
              <w:sz w:val="22"/>
              <w:lang w:eastAsia="en-AU"/>
            </w:rPr>
          </w:pPr>
          <w:hyperlink w:anchor="_Toc106373309" w:history="1">
            <w:r w:rsidR="00036995" w:rsidRPr="005638D6">
              <w:rPr>
                <w:rStyle w:val="Hyperlink"/>
                <w:noProof/>
              </w:rPr>
              <w:t>Product Information</w:t>
            </w:r>
            <w:r w:rsidR="00036995">
              <w:rPr>
                <w:noProof/>
                <w:webHidden/>
              </w:rPr>
              <w:tab/>
            </w:r>
            <w:r w:rsidR="00036995">
              <w:rPr>
                <w:noProof/>
                <w:webHidden/>
              </w:rPr>
              <w:fldChar w:fldCharType="begin"/>
            </w:r>
            <w:r w:rsidR="00036995">
              <w:rPr>
                <w:noProof/>
                <w:webHidden/>
              </w:rPr>
              <w:instrText xml:space="preserve"> PAGEREF _Toc106373309 \h </w:instrText>
            </w:r>
            <w:r w:rsidR="00036995">
              <w:rPr>
                <w:noProof/>
                <w:webHidden/>
              </w:rPr>
            </w:r>
            <w:r w:rsidR="00036995">
              <w:rPr>
                <w:noProof/>
                <w:webHidden/>
              </w:rPr>
              <w:fldChar w:fldCharType="separate"/>
            </w:r>
            <w:r w:rsidR="00036995">
              <w:rPr>
                <w:noProof/>
                <w:webHidden/>
              </w:rPr>
              <w:t>15</w:t>
            </w:r>
            <w:r w:rsidR="00036995">
              <w:rPr>
                <w:noProof/>
                <w:webHidden/>
              </w:rPr>
              <w:fldChar w:fldCharType="end"/>
            </w:r>
          </w:hyperlink>
        </w:p>
        <w:p w14:paraId="07A83359" w14:textId="4C9273DE" w:rsidR="00036995" w:rsidRDefault="009F19B0">
          <w:pPr>
            <w:pStyle w:val="TOC1"/>
            <w:rPr>
              <w:rFonts w:asciiTheme="minorHAnsi" w:eastAsiaTheme="minorEastAsia" w:hAnsiTheme="minorHAnsi" w:cstheme="minorBidi"/>
              <w:b w:val="0"/>
              <w:noProof/>
              <w:sz w:val="22"/>
              <w:lang w:eastAsia="en-AU"/>
            </w:rPr>
          </w:pPr>
          <w:hyperlink w:anchor="_Toc106373310" w:history="1">
            <w:r w:rsidR="00036995" w:rsidRPr="005638D6">
              <w:rPr>
                <w:rStyle w:val="Hyperlink"/>
                <w:noProof/>
              </w:rPr>
              <w:t>II. Registration timeline</w:t>
            </w:r>
            <w:r w:rsidR="00036995">
              <w:rPr>
                <w:noProof/>
                <w:webHidden/>
              </w:rPr>
              <w:tab/>
            </w:r>
            <w:r w:rsidR="00036995">
              <w:rPr>
                <w:noProof/>
                <w:webHidden/>
              </w:rPr>
              <w:fldChar w:fldCharType="begin"/>
            </w:r>
            <w:r w:rsidR="00036995">
              <w:rPr>
                <w:noProof/>
                <w:webHidden/>
              </w:rPr>
              <w:instrText xml:space="preserve"> PAGEREF _Toc106373310 \h </w:instrText>
            </w:r>
            <w:r w:rsidR="00036995">
              <w:rPr>
                <w:noProof/>
                <w:webHidden/>
              </w:rPr>
            </w:r>
            <w:r w:rsidR="00036995">
              <w:rPr>
                <w:noProof/>
                <w:webHidden/>
              </w:rPr>
              <w:fldChar w:fldCharType="separate"/>
            </w:r>
            <w:r w:rsidR="00036995">
              <w:rPr>
                <w:noProof/>
                <w:webHidden/>
              </w:rPr>
              <w:t>15</w:t>
            </w:r>
            <w:r w:rsidR="00036995">
              <w:rPr>
                <w:noProof/>
                <w:webHidden/>
              </w:rPr>
              <w:fldChar w:fldCharType="end"/>
            </w:r>
          </w:hyperlink>
        </w:p>
        <w:p w14:paraId="5AC681D2" w14:textId="013F930A" w:rsidR="00036995" w:rsidRDefault="009F19B0">
          <w:pPr>
            <w:pStyle w:val="TOC1"/>
            <w:rPr>
              <w:rFonts w:asciiTheme="minorHAnsi" w:eastAsiaTheme="minorEastAsia" w:hAnsiTheme="minorHAnsi" w:cstheme="minorBidi"/>
              <w:b w:val="0"/>
              <w:noProof/>
              <w:sz w:val="22"/>
              <w:lang w:eastAsia="en-AU"/>
            </w:rPr>
          </w:pPr>
          <w:hyperlink w:anchor="_Toc106373311" w:history="1">
            <w:r w:rsidR="00036995" w:rsidRPr="005638D6">
              <w:rPr>
                <w:rStyle w:val="Hyperlink"/>
                <w:noProof/>
              </w:rPr>
              <w:t>III. Submission overview and risk/benefit assessment</w:t>
            </w:r>
            <w:r w:rsidR="00036995">
              <w:rPr>
                <w:noProof/>
                <w:webHidden/>
              </w:rPr>
              <w:tab/>
            </w:r>
            <w:r w:rsidR="00036995">
              <w:rPr>
                <w:noProof/>
                <w:webHidden/>
              </w:rPr>
              <w:fldChar w:fldCharType="begin"/>
            </w:r>
            <w:r w:rsidR="00036995">
              <w:rPr>
                <w:noProof/>
                <w:webHidden/>
              </w:rPr>
              <w:instrText xml:space="preserve"> PAGEREF _Toc106373311 \h </w:instrText>
            </w:r>
            <w:r w:rsidR="00036995">
              <w:rPr>
                <w:noProof/>
                <w:webHidden/>
              </w:rPr>
            </w:r>
            <w:r w:rsidR="00036995">
              <w:rPr>
                <w:noProof/>
                <w:webHidden/>
              </w:rPr>
              <w:fldChar w:fldCharType="separate"/>
            </w:r>
            <w:r w:rsidR="00036995">
              <w:rPr>
                <w:noProof/>
                <w:webHidden/>
              </w:rPr>
              <w:t>15</w:t>
            </w:r>
            <w:r w:rsidR="00036995">
              <w:rPr>
                <w:noProof/>
                <w:webHidden/>
              </w:rPr>
              <w:fldChar w:fldCharType="end"/>
            </w:r>
          </w:hyperlink>
        </w:p>
        <w:p w14:paraId="0C6F40BD" w14:textId="168260F2" w:rsidR="00036995" w:rsidRDefault="009F19B0">
          <w:pPr>
            <w:pStyle w:val="TOC2"/>
            <w:rPr>
              <w:rFonts w:asciiTheme="minorHAnsi" w:eastAsiaTheme="minorEastAsia" w:hAnsiTheme="minorHAnsi" w:cstheme="minorBidi"/>
              <w:b w:val="0"/>
              <w:noProof/>
              <w:sz w:val="22"/>
              <w:lang w:eastAsia="en-AU"/>
            </w:rPr>
          </w:pPr>
          <w:hyperlink w:anchor="_Toc106373312" w:history="1">
            <w:r w:rsidR="00036995" w:rsidRPr="005638D6">
              <w:rPr>
                <w:rStyle w:val="Hyperlink"/>
                <w:noProof/>
              </w:rPr>
              <w:t>Quality</w:t>
            </w:r>
            <w:r w:rsidR="00036995">
              <w:rPr>
                <w:noProof/>
                <w:webHidden/>
              </w:rPr>
              <w:tab/>
            </w:r>
            <w:r w:rsidR="00036995">
              <w:rPr>
                <w:noProof/>
                <w:webHidden/>
              </w:rPr>
              <w:fldChar w:fldCharType="begin"/>
            </w:r>
            <w:r w:rsidR="00036995">
              <w:rPr>
                <w:noProof/>
                <w:webHidden/>
              </w:rPr>
              <w:instrText xml:space="preserve"> PAGEREF _Toc106373312 \h </w:instrText>
            </w:r>
            <w:r w:rsidR="00036995">
              <w:rPr>
                <w:noProof/>
                <w:webHidden/>
              </w:rPr>
            </w:r>
            <w:r w:rsidR="00036995">
              <w:rPr>
                <w:noProof/>
                <w:webHidden/>
              </w:rPr>
              <w:fldChar w:fldCharType="separate"/>
            </w:r>
            <w:r w:rsidR="00036995">
              <w:rPr>
                <w:noProof/>
                <w:webHidden/>
              </w:rPr>
              <w:t>16</w:t>
            </w:r>
            <w:r w:rsidR="00036995">
              <w:rPr>
                <w:noProof/>
                <w:webHidden/>
              </w:rPr>
              <w:fldChar w:fldCharType="end"/>
            </w:r>
          </w:hyperlink>
        </w:p>
        <w:p w14:paraId="23135845" w14:textId="494CA1A4" w:rsidR="00036995" w:rsidRDefault="009F19B0">
          <w:pPr>
            <w:pStyle w:val="TOC2"/>
            <w:rPr>
              <w:rFonts w:asciiTheme="minorHAnsi" w:eastAsiaTheme="minorEastAsia" w:hAnsiTheme="minorHAnsi" w:cstheme="minorBidi"/>
              <w:b w:val="0"/>
              <w:noProof/>
              <w:sz w:val="22"/>
              <w:lang w:eastAsia="en-AU"/>
            </w:rPr>
          </w:pPr>
          <w:hyperlink w:anchor="_Toc106373313" w:history="1">
            <w:r w:rsidR="00036995" w:rsidRPr="005638D6">
              <w:rPr>
                <w:rStyle w:val="Hyperlink"/>
                <w:noProof/>
              </w:rPr>
              <w:t>Nonclinical</w:t>
            </w:r>
            <w:r w:rsidR="00036995">
              <w:rPr>
                <w:noProof/>
                <w:webHidden/>
              </w:rPr>
              <w:tab/>
            </w:r>
            <w:r w:rsidR="00036995">
              <w:rPr>
                <w:noProof/>
                <w:webHidden/>
              </w:rPr>
              <w:fldChar w:fldCharType="begin"/>
            </w:r>
            <w:r w:rsidR="00036995">
              <w:rPr>
                <w:noProof/>
                <w:webHidden/>
              </w:rPr>
              <w:instrText xml:space="preserve"> PAGEREF _Toc106373313 \h </w:instrText>
            </w:r>
            <w:r w:rsidR="00036995">
              <w:rPr>
                <w:noProof/>
                <w:webHidden/>
              </w:rPr>
            </w:r>
            <w:r w:rsidR="00036995">
              <w:rPr>
                <w:noProof/>
                <w:webHidden/>
              </w:rPr>
              <w:fldChar w:fldCharType="separate"/>
            </w:r>
            <w:r w:rsidR="00036995">
              <w:rPr>
                <w:noProof/>
                <w:webHidden/>
              </w:rPr>
              <w:t>17</w:t>
            </w:r>
            <w:r w:rsidR="00036995">
              <w:rPr>
                <w:noProof/>
                <w:webHidden/>
              </w:rPr>
              <w:fldChar w:fldCharType="end"/>
            </w:r>
          </w:hyperlink>
        </w:p>
        <w:p w14:paraId="382E1F17" w14:textId="48067085" w:rsidR="00036995" w:rsidRDefault="009F19B0">
          <w:pPr>
            <w:pStyle w:val="TOC2"/>
            <w:rPr>
              <w:rFonts w:asciiTheme="minorHAnsi" w:eastAsiaTheme="minorEastAsia" w:hAnsiTheme="minorHAnsi" w:cstheme="minorBidi"/>
              <w:b w:val="0"/>
              <w:noProof/>
              <w:sz w:val="22"/>
              <w:lang w:eastAsia="en-AU"/>
            </w:rPr>
          </w:pPr>
          <w:hyperlink w:anchor="_Toc106373314" w:history="1">
            <w:r w:rsidR="00036995" w:rsidRPr="005638D6">
              <w:rPr>
                <w:rStyle w:val="Hyperlink"/>
                <w:noProof/>
              </w:rPr>
              <w:t>Clinical</w:t>
            </w:r>
            <w:r w:rsidR="00036995">
              <w:rPr>
                <w:noProof/>
                <w:webHidden/>
              </w:rPr>
              <w:tab/>
            </w:r>
            <w:r w:rsidR="00036995">
              <w:rPr>
                <w:noProof/>
                <w:webHidden/>
              </w:rPr>
              <w:fldChar w:fldCharType="begin"/>
            </w:r>
            <w:r w:rsidR="00036995">
              <w:rPr>
                <w:noProof/>
                <w:webHidden/>
              </w:rPr>
              <w:instrText xml:space="preserve"> PAGEREF _Toc106373314 \h </w:instrText>
            </w:r>
            <w:r w:rsidR="00036995">
              <w:rPr>
                <w:noProof/>
                <w:webHidden/>
              </w:rPr>
            </w:r>
            <w:r w:rsidR="00036995">
              <w:rPr>
                <w:noProof/>
                <w:webHidden/>
              </w:rPr>
              <w:fldChar w:fldCharType="separate"/>
            </w:r>
            <w:r w:rsidR="00036995">
              <w:rPr>
                <w:noProof/>
                <w:webHidden/>
              </w:rPr>
              <w:t>18</w:t>
            </w:r>
            <w:r w:rsidR="00036995">
              <w:rPr>
                <w:noProof/>
                <w:webHidden/>
              </w:rPr>
              <w:fldChar w:fldCharType="end"/>
            </w:r>
          </w:hyperlink>
        </w:p>
        <w:p w14:paraId="5C6B8EE5" w14:textId="3C23B4B1" w:rsidR="00036995" w:rsidRDefault="009F19B0">
          <w:pPr>
            <w:pStyle w:val="TOC2"/>
            <w:rPr>
              <w:rFonts w:asciiTheme="minorHAnsi" w:eastAsiaTheme="minorEastAsia" w:hAnsiTheme="minorHAnsi" w:cstheme="minorBidi"/>
              <w:b w:val="0"/>
              <w:noProof/>
              <w:sz w:val="22"/>
              <w:lang w:eastAsia="en-AU"/>
            </w:rPr>
          </w:pPr>
          <w:hyperlink w:anchor="_Toc106373315" w:history="1">
            <w:r w:rsidR="00036995" w:rsidRPr="005638D6">
              <w:rPr>
                <w:rStyle w:val="Hyperlink"/>
                <w:noProof/>
                <w:lang w:eastAsia="en-AU"/>
              </w:rPr>
              <w:t>Risk management plan</w:t>
            </w:r>
            <w:r w:rsidR="00036995">
              <w:rPr>
                <w:noProof/>
                <w:webHidden/>
              </w:rPr>
              <w:tab/>
            </w:r>
            <w:r w:rsidR="00036995">
              <w:rPr>
                <w:noProof/>
                <w:webHidden/>
              </w:rPr>
              <w:fldChar w:fldCharType="begin"/>
            </w:r>
            <w:r w:rsidR="00036995">
              <w:rPr>
                <w:noProof/>
                <w:webHidden/>
              </w:rPr>
              <w:instrText xml:space="preserve"> PAGEREF _Toc106373315 \h </w:instrText>
            </w:r>
            <w:r w:rsidR="00036995">
              <w:rPr>
                <w:noProof/>
                <w:webHidden/>
              </w:rPr>
            </w:r>
            <w:r w:rsidR="00036995">
              <w:rPr>
                <w:noProof/>
                <w:webHidden/>
              </w:rPr>
              <w:fldChar w:fldCharType="separate"/>
            </w:r>
            <w:r w:rsidR="00036995">
              <w:rPr>
                <w:noProof/>
                <w:webHidden/>
              </w:rPr>
              <w:t>44</w:t>
            </w:r>
            <w:r w:rsidR="00036995">
              <w:rPr>
                <w:noProof/>
                <w:webHidden/>
              </w:rPr>
              <w:fldChar w:fldCharType="end"/>
            </w:r>
          </w:hyperlink>
        </w:p>
        <w:p w14:paraId="2555C35B" w14:textId="041D627D" w:rsidR="00036995" w:rsidRDefault="009F19B0">
          <w:pPr>
            <w:pStyle w:val="TOC2"/>
            <w:rPr>
              <w:rFonts w:asciiTheme="minorHAnsi" w:eastAsiaTheme="minorEastAsia" w:hAnsiTheme="minorHAnsi" w:cstheme="minorBidi"/>
              <w:b w:val="0"/>
              <w:noProof/>
              <w:sz w:val="22"/>
              <w:lang w:eastAsia="en-AU"/>
            </w:rPr>
          </w:pPr>
          <w:hyperlink w:anchor="_Toc106373316" w:history="1">
            <w:r w:rsidR="00036995" w:rsidRPr="005638D6">
              <w:rPr>
                <w:rStyle w:val="Hyperlink"/>
                <w:noProof/>
              </w:rPr>
              <w:t>Risk-benefit analysis</w:t>
            </w:r>
            <w:r w:rsidR="00036995">
              <w:rPr>
                <w:noProof/>
                <w:webHidden/>
              </w:rPr>
              <w:tab/>
            </w:r>
            <w:r w:rsidR="00036995">
              <w:rPr>
                <w:noProof/>
                <w:webHidden/>
              </w:rPr>
              <w:fldChar w:fldCharType="begin"/>
            </w:r>
            <w:r w:rsidR="00036995">
              <w:rPr>
                <w:noProof/>
                <w:webHidden/>
              </w:rPr>
              <w:instrText xml:space="preserve"> PAGEREF _Toc106373316 \h </w:instrText>
            </w:r>
            <w:r w:rsidR="00036995">
              <w:rPr>
                <w:noProof/>
                <w:webHidden/>
              </w:rPr>
            </w:r>
            <w:r w:rsidR="00036995">
              <w:rPr>
                <w:noProof/>
                <w:webHidden/>
              </w:rPr>
              <w:fldChar w:fldCharType="separate"/>
            </w:r>
            <w:r w:rsidR="00036995">
              <w:rPr>
                <w:noProof/>
                <w:webHidden/>
              </w:rPr>
              <w:t>44</w:t>
            </w:r>
            <w:r w:rsidR="00036995">
              <w:rPr>
                <w:noProof/>
                <w:webHidden/>
              </w:rPr>
              <w:fldChar w:fldCharType="end"/>
            </w:r>
          </w:hyperlink>
        </w:p>
        <w:p w14:paraId="66343D91" w14:textId="52AC4FA7" w:rsidR="00036995" w:rsidRDefault="009F19B0">
          <w:pPr>
            <w:pStyle w:val="TOC2"/>
            <w:rPr>
              <w:rFonts w:asciiTheme="minorHAnsi" w:eastAsiaTheme="minorEastAsia" w:hAnsiTheme="minorHAnsi" w:cstheme="minorBidi"/>
              <w:b w:val="0"/>
              <w:noProof/>
              <w:sz w:val="22"/>
              <w:lang w:eastAsia="en-AU"/>
            </w:rPr>
          </w:pPr>
          <w:hyperlink w:anchor="_Toc106373317" w:history="1">
            <w:r w:rsidR="00036995" w:rsidRPr="005638D6">
              <w:rPr>
                <w:rStyle w:val="Hyperlink"/>
                <w:noProof/>
              </w:rPr>
              <w:t>Outcome</w:t>
            </w:r>
            <w:r w:rsidR="00036995">
              <w:rPr>
                <w:noProof/>
                <w:webHidden/>
              </w:rPr>
              <w:tab/>
            </w:r>
            <w:r w:rsidR="00036995">
              <w:rPr>
                <w:noProof/>
                <w:webHidden/>
              </w:rPr>
              <w:fldChar w:fldCharType="begin"/>
            </w:r>
            <w:r w:rsidR="00036995">
              <w:rPr>
                <w:noProof/>
                <w:webHidden/>
              </w:rPr>
              <w:instrText xml:space="preserve"> PAGEREF _Toc106373317 \h </w:instrText>
            </w:r>
            <w:r w:rsidR="00036995">
              <w:rPr>
                <w:noProof/>
                <w:webHidden/>
              </w:rPr>
            </w:r>
            <w:r w:rsidR="00036995">
              <w:rPr>
                <w:noProof/>
                <w:webHidden/>
              </w:rPr>
              <w:fldChar w:fldCharType="separate"/>
            </w:r>
            <w:r w:rsidR="00036995">
              <w:rPr>
                <w:noProof/>
                <w:webHidden/>
              </w:rPr>
              <w:t>51</w:t>
            </w:r>
            <w:r w:rsidR="00036995">
              <w:rPr>
                <w:noProof/>
                <w:webHidden/>
              </w:rPr>
              <w:fldChar w:fldCharType="end"/>
            </w:r>
          </w:hyperlink>
        </w:p>
        <w:p w14:paraId="7D2AD6C3" w14:textId="17B8164B" w:rsidR="00036995" w:rsidRDefault="009F19B0">
          <w:pPr>
            <w:pStyle w:val="TOC1"/>
            <w:rPr>
              <w:rFonts w:asciiTheme="minorHAnsi" w:eastAsiaTheme="minorEastAsia" w:hAnsiTheme="minorHAnsi" w:cstheme="minorBidi"/>
              <w:b w:val="0"/>
              <w:noProof/>
              <w:sz w:val="22"/>
              <w:lang w:eastAsia="en-AU"/>
            </w:rPr>
          </w:pPr>
          <w:hyperlink w:anchor="_Toc106373318" w:history="1">
            <w:r w:rsidR="00036995" w:rsidRPr="005638D6">
              <w:rPr>
                <w:rStyle w:val="Hyperlink"/>
                <w:noProof/>
              </w:rPr>
              <w:t>Attachment 1. Product Information</w:t>
            </w:r>
            <w:r w:rsidR="00036995">
              <w:rPr>
                <w:noProof/>
                <w:webHidden/>
              </w:rPr>
              <w:tab/>
            </w:r>
            <w:r w:rsidR="00036995">
              <w:rPr>
                <w:noProof/>
                <w:webHidden/>
              </w:rPr>
              <w:fldChar w:fldCharType="begin"/>
            </w:r>
            <w:r w:rsidR="00036995">
              <w:rPr>
                <w:noProof/>
                <w:webHidden/>
              </w:rPr>
              <w:instrText xml:space="preserve"> PAGEREF _Toc106373318 \h </w:instrText>
            </w:r>
            <w:r w:rsidR="00036995">
              <w:rPr>
                <w:noProof/>
                <w:webHidden/>
              </w:rPr>
            </w:r>
            <w:r w:rsidR="00036995">
              <w:rPr>
                <w:noProof/>
                <w:webHidden/>
              </w:rPr>
              <w:fldChar w:fldCharType="separate"/>
            </w:r>
            <w:r w:rsidR="00036995">
              <w:rPr>
                <w:noProof/>
                <w:webHidden/>
              </w:rPr>
              <w:t>52</w:t>
            </w:r>
            <w:r w:rsidR="00036995">
              <w:rPr>
                <w:noProof/>
                <w:webHidden/>
              </w:rPr>
              <w:fldChar w:fldCharType="end"/>
            </w:r>
          </w:hyperlink>
        </w:p>
        <w:p w14:paraId="6DE28572" w14:textId="6F7DF70A" w:rsidR="003A7F6C" w:rsidRPr="00B811C6" w:rsidRDefault="00C525A2" w:rsidP="00B811C6">
          <w:pPr>
            <w:pStyle w:val="TOC2"/>
          </w:pPr>
          <w:r>
            <w:fldChar w:fldCharType="end"/>
          </w:r>
        </w:p>
      </w:sdtContent>
    </w:sdt>
    <w:bookmarkStart w:id="2" w:name="_Toc314842482" w:displacedByCustomXml="prev"/>
    <w:p w14:paraId="26266006" w14:textId="77777777" w:rsidR="00FD119B" w:rsidRDefault="00FD119B">
      <w:pPr>
        <w:spacing w:before="0" w:after="200" w:line="0" w:lineRule="auto"/>
      </w:pPr>
      <w:r>
        <w:br w:type="page"/>
      </w:r>
    </w:p>
    <w:p w14:paraId="616E3E6B" w14:textId="5FAF8684" w:rsidR="00C52E24" w:rsidRPr="00C52E24" w:rsidRDefault="00324E45" w:rsidP="00AA1365">
      <w:pPr>
        <w:pStyle w:val="Heading2"/>
      </w:pPr>
      <w:bookmarkStart w:id="3" w:name="_Toc351716269"/>
      <w:bookmarkStart w:id="4" w:name="_Toc351718881"/>
      <w:bookmarkStart w:id="5" w:name="_Toc355338616"/>
      <w:bookmarkStart w:id="6" w:name="_Toc356306144"/>
      <w:bookmarkStart w:id="7" w:name="_Toc106373304"/>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2"/>
        <w:gridCol w:w="6702"/>
      </w:tblGrid>
      <w:tr w:rsidR="00723F3C" w:rsidRPr="00FD119B" w14:paraId="172FDA21" w14:textId="77777777" w:rsidTr="00A304D4">
        <w:trPr>
          <w:cnfStyle w:val="100000000000" w:firstRow="1" w:lastRow="0" w:firstColumn="0" w:lastColumn="0" w:oddVBand="0" w:evenVBand="0" w:oddHBand="0" w:evenHBand="0" w:firstRowFirstColumn="0" w:firstRowLastColumn="0" w:lastRowFirstColumn="0" w:lastRowLastColumn="0"/>
        </w:trPr>
        <w:tc>
          <w:tcPr>
            <w:tcW w:w="1792" w:type="dxa"/>
            <w:tcBorders>
              <w:top w:val="single" w:sz="4" w:space="0" w:color="auto"/>
              <w:left w:val="single" w:sz="4" w:space="0" w:color="auto"/>
              <w:bottom w:val="single" w:sz="4" w:space="0" w:color="auto"/>
              <w:right w:val="single" w:sz="4" w:space="0" w:color="auto"/>
            </w:tcBorders>
          </w:tcPr>
          <w:p w14:paraId="372477EA" w14:textId="77777777" w:rsidR="00723F3C" w:rsidRPr="00FD119B" w:rsidRDefault="00723F3C" w:rsidP="00A304D4">
            <w:pPr>
              <w:keepNext w:val="0"/>
              <w:ind w:left="0" w:right="0"/>
              <w:rPr>
                <w:szCs w:val="22"/>
                <w:lang w:eastAsia="en-US"/>
              </w:rPr>
            </w:pPr>
            <w:r w:rsidRPr="00FD119B">
              <w:rPr>
                <w:szCs w:val="22"/>
                <w:lang w:eastAsia="en-US"/>
              </w:rPr>
              <w:t>Abbreviation</w:t>
            </w:r>
          </w:p>
        </w:tc>
        <w:tc>
          <w:tcPr>
            <w:tcW w:w="6702" w:type="dxa"/>
            <w:tcBorders>
              <w:top w:val="single" w:sz="4" w:space="0" w:color="auto"/>
              <w:left w:val="single" w:sz="4" w:space="0" w:color="auto"/>
              <w:bottom w:val="single" w:sz="4" w:space="0" w:color="auto"/>
              <w:right w:val="single" w:sz="4" w:space="0" w:color="auto"/>
            </w:tcBorders>
          </w:tcPr>
          <w:p w14:paraId="0D191B10" w14:textId="77777777" w:rsidR="00723F3C" w:rsidRPr="00FD119B" w:rsidRDefault="00723F3C" w:rsidP="00A304D4">
            <w:pPr>
              <w:keepNext w:val="0"/>
              <w:ind w:left="0" w:right="0"/>
              <w:rPr>
                <w:szCs w:val="22"/>
                <w:lang w:eastAsia="en-US"/>
              </w:rPr>
            </w:pPr>
            <w:r w:rsidRPr="00FD119B">
              <w:rPr>
                <w:szCs w:val="22"/>
                <w:lang w:eastAsia="en-US"/>
              </w:rPr>
              <w:t>Meaning</w:t>
            </w:r>
          </w:p>
        </w:tc>
      </w:tr>
      <w:tr w:rsidR="00AB3821" w:rsidRPr="00FD119B" w14:paraId="37D4B2AF" w14:textId="77777777" w:rsidTr="00A304D4">
        <w:tc>
          <w:tcPr>
            <w:tcW w:w="1792" w:type="dxa"/>
          </w:tcPr>
          <w:p w14:paraId="0A8F0A02" w14:textId="1BD42834" w:rsidR="00AB3821" w:rsidRDefault="00265202" w:rsidP="00A304D4">
            <w:r>
              <w:t>[</w:t>
            </w:r>
            <w:r w:rsidR="00AB3821" w:rsidRPr="004F7DDA">
              <w:rPr>
                <w:vertAlign w:val="superscript"/>
              </w:rPr>
              <w:t>68</w:t>
            </w:r>
            <w:r w:rsidR="00AB3821">
              <w:t>Ga</w:t>
            </w:r>
            <w:r>
              <w:t>]</w:t>
            </w:r>
          </w:p>
        </w:tc>
        <w:tc>
          <w:tcPr>
            <w:tcW w:w="6702" w:type="dxa"/>
          </w:tcPr>
          <w:p w14:paraId="2C7FA474" w14:textId="4B3FFF5E" w:rsidR="00AB3821" w:rsidRPr="00C94EB1" w:rsidRDefault="00AB3821" w:rsidP="00A304D4">
            <w:pPr>
              <w:rPr>
                <w:lang w:eastAsia="ja-JP"/>
              </w:rPr>
            </w:pPr>
            <w:r>
              <w:rPr>
                <w:lang w:eastAsia="ja-JP"/>
              </w:rPr>
              <w:t>Gallium-68 (isotope)</w:t>
            </w:r>
          </w:p>
        </w:tc>
      </w:tr>
      <w:tr w:rsidR="00723F3C" w:rsidRPr="00FD119B" w14:paraId="353D5EB9" w14:textId="77777777" w:rsidTr="00A304D4">
        <w:tc>
          <w:tcPr>
            <w:tcW w:w="1792" w:type="dxa"/>
          </w:tcPr>
          <w:p w14:paraId="21CFE900" w14:textId="77777777" w:rsidR="00723F3C" w:rsidRDefault="00723F3C" w:rsidP="00A304D4">
            <w:r>
              <w:t>2-PMPA</w:t>
            </w:r>
          </w:p>
        </w:tc>
        <w:tc>
          <w:tcPr>
            <w:tcW w:w="6702" w:type="dxa"/>
          </w:tcPr>
          <w:p w14:paraId="402A63A4" w14:textId="77777777" w:rsidR="00723F3C" w:rsidRDefault="00723F3C" w:rsidP="00A304D4">
            <w:pPr>
              <w:rPr>
                <w:lang w:eastAsia="ja-JP"/>
              </w:rPr>
            </w:pPr>
            <w:r w:rsidRPr="00C94EB1">
              <w:rPr>
                <w:lang w:eastAsia="ja-JP"/>
              </w:rPr>
              <w:t>2-(</w:t>
            </w:r>
            <w:proofErr w:type="spellStart"/>
            <w:r>
              <w:rPr>
                <w:lang w:eastAsia="ja-JP"/>
              </w:rPr>
              <w:t>p</w:t>
            </w:r>
            <w:r w:rsidRPr="00C94EB1">
              <w:rPr>
                <w:lang w:eastAsia="ja-JP"/>
              </w:rPr>
              <w:t>hosphonomethyl</w:t>
            </w:r>
            <w:proofErr w:type="spellEnd"/>
            <w:r w:rsidRPr="00C94EB1">
              <w:rPr>
                <w:lang w:eastAsia="ja-JP"/>
              </w:rPr>
              <w:t>)</w:t>
            </w:r>
            <w:proofErr w:type="spellStart"/>
            <w:r w:rsidRPr="00C94EB1">
              <w:rPr>
                <w:lang w:eastAsia="ja-JP"/>
              </w:rPr>
              <w:t>pentanedioic</w:t>
            </w:r>
            <w:proofErr w:type="spellEnd"/>
            <w:r w:rsidRPr="00C94EB1">
              <w:rPr>
                <w:lang w:eastAsia="ja-JP"/>
              </w:rPr>
              <w:t xml:space="preserve"> acid</w:t>
            </w:r>
          </w:p>
        </w:tc>
      </w:tr>
      <w:tr w:rsidR="00723F3C" w:rsidRPr="00FD119B" w14:paraId="245CFA48" w14:textId="77777777" w:rsidTr="00A304D4">
        <w:tc>
          <w:tcPr>
            <w:tcW w:w="1792" w:type="dxa"/>
          </w:tcPr>
          <w:p w14:paraId="0E67B860" w14:textId="77777777" w:rsidR="00723F3C" w:rsidRPr="00FD119B" w:rsidRDefault="00723F3C" w:rsidP="00A304D4">
            <w:r>
              <w:t>ACM</w:t>
            </w:r>
          </w:p>
        </w:tc>
        <w:tc>
          <w:tcPr>
            <w:tcW w:w="6702" w:type="dxa"/>
          </w:tcPr>
          <w:p w14:paraId="3C18F432" w14:textId="77777777" w:rsidR="00723F3C" w:rsidRPr="00FD119B" w:rsidRDefault="00723F3C" w:rsidP="00A304D4">
            <w:r w:rsidRPr="00460036">
              <w:t>Advisory Committee on Medicines</w:t>
            </w:r>
          </w:p>
        </w:tc>
      </w:tr>
      <w:tr w:rsidR="00723F3C" w:rsidRPr="00FD119B" w14:paraId="25D6BAF5" w14:textId="77777777" w:rsidTr="00A304D4">
        <w:tc>
          <w:tcPr>
            <w:tcW w:w="1792" w:type="dxa"/>
          </w:tcPr>
          <w:p w14:paraId="1DFA6703" w14:textId="77777777" w:rsidR="00723F3C" w:rsidRDefault="00723F3C" w:rsidP="00A304D4">
            <w:r>
              <w:t>AE</w:t>
            </w:r>
          </w:p>
        </w:tc>
        <w:tc>
          <w:tcPr>
            <w:tcW w:w="6702" w:type="dxa"/>
          </w:tcPr>
          <w:p w14:paraId="2A4EA32D" w14:textId="77777777" w:rsidR="00723F3C" w:rsidRDefault="00723F3C" w:rsidP="00A304D4">
            <w:pPr>
              <w:rPr>
                <w:lang w:eastAsia="ja-JP"/>
              </w:rPr>
            </w:pPr>
            <w:r>
              <w:rPr>
                <w:lang w:eastAsia="ja-JP"/>
              </w:rPr>
              <w:t>Adverse event</w:t>
            </w:r>
          </w:p>
        </w:tc>
      </w:tr>
      <w:tr w:rsidR="00723F3C" w:rsidRPr="00FD119B" w14:paraId="6F5030CA" w14:textId="77777777" w:rsidTr="00A304D4">
        <w:tc>
          <w:tcPr>
            <w:tcW w:w="1792" w:type="dxa"/>
          </w:tcPr>
          <w:p w14:paraId="39CF1907" w14:textId="77777777" w:rsidR="00723F3C" w:rsidRPr="00FD119B" w:rsidRDefault="00723F3C" w:rsidP="00A304D4">
            <w:r>
              <w:t>ARTG</w:t>
            </w:r>
          </w:p>
        </w:tc>
        <w:tc>
          <w:tcPr>
            <w:tcW w:w="6702" w:type="dxa"/>
          </w:tcPr>
          <w:p w14:paraId="58FFFB15" w14:textId="77777777" w:rsidR="00723F3C" w:rsidRPr="00FD119B" w:rsidRDefault="00723F3C" w:rsidP="00A304D4">
            <w:r w:rsidRPr="00460036">
              <w:t>Australian Register of Therapeutic Goods</w:t>
            </w:r>
          </w:p>
        </w:tc>
      </w:tr>
      <w:tr w:rsidR="00723F3C" w:rsidRPr="00FD119B" w14:paraId="7A347A2C" w14:textId="77777777" w:rsidTr="00A304D4">
        <w:tc>
          <w:tcPr>
            <w:tcW w:w="1792" w:type="dxa"/>
          </w:tcPr>
          <w:p w14:paraId="726C9F41" w14:textId="77777777" w:rsidR="00723F3C" w:rsidRDefault="00723F3C" w:rsidP="00A304D4">
            <w:r>
              <w:t>AUC</w:t>
            </w:r>
          </w:p>
        </w:tc>
        <w:tc>
          <w:tcPr>
            <w:tcW w:w="6702" w:type="dxa"/>
          </w:tcPr>
          <w:p w14:paraId="4C2673C7" w14:textId="77777777" w:rsidR="00723F3C" w:rsidRDefault="00723F3C" w:rsidP="00A304D4">
            <w:pPr>
              <w:rPr>
                <w:lang w:eastAsia="ja-JP"/>
              </w:rPr>
            </w:pPr>
            <w:r>
              <w:rPr>
                <w:lang w:eastAsia="ja-JP"/>
              </w:rPr>
              <w:t>Area under concentration-time curve</w:t>
            </w:r>
          </w:p>
        </w:tc>
      </w:tr>
      <w:tr w:rsidR="00723F3C" w:rsidRPr="00FD119B" w14:paraId="66317E52" w14:textId="77777777" w:rsidTr="00A304D4">
        <w:tc>
          <w:tcPr>
            <w:tcW w:w="1792" w:type="dxa"/>
          </w:tcPr>
          <w:p w14:paraId="4A3FE4DE" w14:textId="77777777" w:rsidR="00723F3C" w:rsidRDefault="00723F3C" w:rsidP="00A304D4">
            <w:r>
              <w:t>BCR PC</w:t>
            </w:r>
          </w:p>
        </w:tc>
        <w:tc>
          <w:tcPr>
            <w:tcW w:w="6702" w:type="dxa"/>
          </w:tcPr>
          <w:p w14:paraId="103BEE4B" w14:textId="77777777" w:rsidR="00723F3C" w:rsidRDefault="00723F3C" w:rsidP="00A304D4">
            <w:pPr>
              <w:rPr>
                <w:lang w:eastAsia="ja-JP"/>
              </w:rPr>
            </w:pPr>
            <w:r>
              <w:t>B</w:t>
            </w:r>
            <w:r w:rsidRPr="007A4178">
              <w:t>iochemically recurrent prostate cancer</w:t>
            </w:r>
          </w:p>
        </w:tc>
      </w:tr>
      <w:tr w:rsidR="00723F3C" w:rsidRPr="00FD119B" w14:paraId="52C67516" w14:textId="77777777" w:rsidTr="00A304D4">
        <w:tc>
          <w:tcPr>
            <w:tcW w:w="1792" w:type="dxa"/>
          </w:tcPr>
          <w:p w14:paraId="13C81025" w14:textId="77777777" w:rsidR="00723F3C" w:rsidRDefault="00723F3C" w:rsidP="00A304D4">
            <w:r>
              <w:t>CDR</w:t>
            </w:r>
          </w:p>
        </w:tc>
        <w:tc>
          <w:tcPr>
            <w:tcW w:w="6702" w:type="dxa"/>
          </w:tcPr>
          <w:p w14:paraId="7D2014AF" w14:textId="77777777" w:rsidR="00723F3C" w:rsidRDefault="00723F3C" w:rsidP="00A304D4">
            <w:r>
              <w:rPr>
                <w:iCs/>
                <w:lang w:eastAsia="ja-JP"/>
              </w:rPr>
              <w:t>C</w:t>
            </w:r>
            <w:r w:rsidRPr="00472493">
              <w:rPr>
                <w:iCs/>
                <w:lang w:eastAsia="ja-JP"/>
              </w:rPr>
              <w:t xml:space="preserve">orrect </w:t>
            </w:r>
            <w:r>
              <w:rPr>
                <w:iCs/>
                <w:lang w:eastAsia="ja-JP"/>
              </w:rPr>
              <w:t>d</w:t>
            </w:r>
            <w:r w:rsidRPr="00472493">
              <w:rPr>
                <w:iCs/>
                <w:lang w:eastAsia="ja-JP"/>
              </w:rPr>
              <w:t xml:space="preserve">etection </w:t>
            </w:r>
            <w:r>
              <w:rPr>
                <w:iCs/>
                <w:lang w:eastAsia="ja-JP"/>
              </w:rPr>
              <w:t>r</w:t>
            </w:r>
            <w:r w:rsidRPr="00472493">
              <w:rPr>
                <w:iCs/>
                <w:lang w:eastAsia="ja-JP"/>
              </w:rPr>
              <w:t>ate</w:t>
            </w:r>
          </w:p>
        </w:tc>
      </w:tr>
      <w:tr w:rsidR="00723F3C" w:rsidRPr="00FD119B" w14:paraId="75083ADB" w14:textId="77777777" w:rsidTr="00A304D4">
        <w:tc>
          <w:tcPr>
            <w:tcW w:w="1792" w:type="dxa"/>
          </w:tcPr>
          <w:p w14:paraId="22869C0B" w14:textId="77777777" w:rsidR="00723F3C" w:rsidRDefault="00723F3C" w:rsidP="00A304D4">
            <w:r>
              <w:t>CI</w:t>
            </w:r>
          </w:p>
        </w:tc>
        <w:tc>
          <w:tcPr>
            <w:tcW w:w="6702" w:type="dxa"/>
          </w:tcPr>
          <w:p w14:paraId="211D1DAD" w14:textId="77777777" w:rsidR="00723F3C" w:rsidRDefault="00723F3C" w:rsidP="00A304D4">
            <w:pPr>
              <w:rPr>
                <w:iCs/>
                <w:lang w:eastAsia="ja-JP"/>
              </w:rPr>
            </w:pPr>
            <w:r>
              <w:rPr>
                <w:iCs/>
                <w:lang w:eastAsia="ja-JP"/>
              </w:rPr>
              <w:t>Confidence interval</w:t>
            </w:r>
          </w:p>
        </w:tc>
      </w:tr>
      <w:tr w:rsidR="00723F3C" w:rsidRPr="00FD119B" w14:paraId="76C931AA" w14:textId="77777777" w:rsidTr="00A304D4">
        <w:tc>
          <w:tcPr>
            <w:tcW w:w="1792" w:type="dxa"/>
          </w:tcPr>
          <w:p w14:paraId="57C6C890" w14:textId="77777777" w:rsidR="00723F3C" w:rsidRDefault="00723F3C" w:rsidP="00A304D4">
            <w:r>
              <w:t>CLR</w:t>
            </w:r>
          </w:p>
        </w:tc>
        <w:tc>
          <w:tcPr>
            <w:tcW w:w="6702" w:type="dxa"/>
          </w:tcPr>
          <w:p w14:paraId="00091076" w14:textId="77777777" w:rsidR="00723F3C" w:rsidRDefault="00723F3C" w:rsidP="00A304D4">
            <w:pPr>
              <w:rPr>
                <w:iCs/>
                <w:lang w:eastAsia="ja-JP"/>
              </w:rPr>
            </w:pPr>
            <w:r>
              <w:rPr>
                <w:iCs/>
                <w:lang w:eastAsia="ja-JP"/>
              </w:rPr>
              <w:t>Correct localisation rate</w:t>
            </w:r>
          </w:p>
        </w:tc>
      </w:tr>
      <w:tr w:rsidR="00723F3C" w:rsidRPr="00FD119B" w14:paraId="5A572DD3" w14:textId="77777777" w:rsidTr="00A304D4">
        <w:tc>
          <w:tcPr>
            <w:tcW w:w="1792" w:type="dxa"/>
          </w:tcPr>
          <w:p w14:paraId="1F834CCF" w14:textId="77777777" w:rsidR="00723F3C" w:rsidRPr="00FD119B" w:rsidRDefault="00723F3C" w:rsidP="00A304D4">
            <w:r>
              <w:t>CT</w:t>
            </w:r>
          </w:p>
        </w:tc>
        <w:tc>
          <w:tcPr>
            <w:tcW w:w="6702" w:type="dxa"/>
          </w:tcPr>
          <w:p w14:paraId="0B2660AB" w14:textId="77777777" w:rsidR="00723F3C" w:rsidRPr="00FD119B" w:rsidRDefault="00723F3C" w:rsidP="00A304D4">
            <w:r>
              <w:t>C</w:t>
            </w:r>
            <w:r w:rsidRPr="002B06EF">
              <w:t>omputerised tomography</w:t>
            </w:r>
          </w:p>
        </w:tc>
      </w:tr>
      <w:tr w:rsidR="00723F3C" w:rsidRPr="00FD119B" w14:paraId="6F57A5F9" w14:textId="77777777" w:rsidTr="00A304D4">
        <w:tc>
          <w:tcPr>
            <w:tcW w:w="1792" w:type="dxa"/>
          </w:tcPr>
          <w:p w14:paraId="5D85F036" w14:textId="77777777" w:rsidR="00723F3C" w:rsidRDefault="00723F3C" w:rsidP="00A304D4">
            <w:proofErr w:type="spellStart"/>
            <w:r>
              <w:t>DCFPyL</w:t>
            </w:r>
            <w:proofErr w:type="spellEnd"/>
          </w:p>
        </w:tc>
        <w:tc>
          <w:tcPr>
            <w:tcW w:w="6702" w:type="dxa"/>
          </w:tcPr>
          <w:p w14:paraId="765D2B6B" w14:textId="77777777" w:rsidR="00723F3C" w:rsidRDefault="00723F3C" w:rsidP="00A304D4">
            <w:pPr>
              <w:rPr>
                <w:lang w:eastAsia="ja-JP"/>
              </w:rPr>
            </w:pPr>
            <w:r w:rsidRPr="005F714B">
              <w:rPr>
                <w:lang w:eastAsia="ja-JP"/>
              </w:rPr>
              <w:t>2-(3-{1-carboxy-5-[(6-[(18</w:t>
            </w:r>
            <w:proofErr w:type="gramStart"/>
            <w:r w:rsidRPr="005F714B">
              <w:rPr>
                <w:lang w:eastAsia="ja-JP"/>
              </w:rPr>
              <w:t>)F]fluoro</w:t>
            </w:r>
            <w:proofErr w:type="gramEnd"/>
            <w:r w:rsidRPr="005F714B">
              <w:rPr>
                <w:lang w:eastAsia="ja-JP"/>
              </w:rPr>
              <w:t>-pyridine-3-carbonyl)-amino]-pentyl}-ureido)-pentanedioic acid</w:t>
            </w:r>
          </w:p>
        </w:tc>
      </w:tr>
      <w:tr w:rsidR="00AB3821" w:rsidRPr="00FD119B" w14:paraId="505F84AC" w14:textId="77777777" w:rsidTr="00A304D4">
        <w:tc>
          <w:tcPr>
            <w:tcW w:w="1792" w:type="dxa"/>
          </w:tcPr>
          <w:p w14:paraId="19398FC8" w14:textId="5D3624BA" w:rsidR="00AB3821" w:rsidRDefault="00AB3821" w:rsidP="00A304D4">
            <w:r>
              <w:t>Ga-68</w:t>
            </w:r>
          </w:p>
        </w:tc>
        <w:tc>
          <w:tcPr>
            <w:tcW w:w="6702" w:type="dxa"/>
          </w:tcPr>
          <w:p w14:paraId="504DB682" w14:textId="22CFFB84" w:rsidR="00AB3821" w:rsidRDefault="00AB3821" w:rsidP="00A304D4">
            <w:r>
              <w:t>Gallium-68 (isotope)</w:t>
            </w:r>
          </w:p>
        </w:tc>
      </w:tr>
      <w:tr w:rsidR="00723F3C" w:rsidRPr="00FD119B" w14:paraId="7BCBE00D" w14:textId="77777777" w:rsidTr="00A304D4">
        <w:tc>
          <w:tcPr>
            <w:tcW w:w="1792" w:type="dxa"/>
          </w:tcPr>
          <w:p w14:paraId="10873646" w14:textId="77777777" w:rsidR="00723F3C" w:rsidRDefault="00723F3C" w:rsidP="00A304D4">
            <w:r>
              <w:t>HED</w:t>
            </w:r>
          </w:p>
        </w:tc>
        <w:tc>
          <w:tcPr>
            <w:tcW w:w="6702" w:type="dxa"/>
          </w:tcPr>
          <w:p w14:paraId="2E39D5CD" w14:textId="77777777" w:rsidR="00723F3C" w:rsidRDefault="00723F3C" w:rsidP="00A304D4">
            <w:pPr>
              <w:rPr>
                <w:lang w:eastAsia="ja-JP"/>
              </w:rPr>
            </w:pPr>
            <w:r>
              <w:t>H</w:t>
            </w:r>
            <w:r w:rsidRPr="00C519B8">
              <w:t>uman equivalent dose</w:t>
            </w:r>
          </w:p>
        </w:tc>
      </w:tr>
      <w:tr w:rsidR="00723F3C" w:rsidRPr="00FD119B" w14:paraId="1295D7ED" w14:textId="77777777" w:rsidTr="00A304D4">
        <w:tc>
          <w:tcPr>
            <w:tcW w:w="1792" w:type="dxa"/>
          </w:tcPr>
          <w:p w14:paraId="575F56F8" w14:textId="77777777" w:rsidR="00723F3C" w:rsidRDefault="00723F3C" w:rsidP="00A304D4">
            <w:r>
              <w:t>IV</w:t>
            </w:r>
          </w:p>
        </w:tc>
        <w:tc>
          <w:tcPr>
            <w:tcW w:w="6702" w:type="dxa"/>
          </w:tcPr>
          <w:p w14:paraId="7F9858DB" w14:textId="77777777" w:rsidR="00723F3C" w:rsidRDefault="00723F3C" w:rsidP="00A304D4">
            <w:pPr>
              <w:rPr>
                <w:lang w:eastAsia="ja-JP"/>
              </w:rPr>
            </w:pPr>
            <w:r>
              <w:rPr>
                <w:lang w:eastAsia="ja-JP"/>
              </w:rPr>
              <w:t>Intravenous</w:t>
            </w:r>
          </w:p>
        </w:tc>
      </w:tr>
      <w:tr w:rsidR="00DA0504" w:rsidRPr="00FD119B" w14:paraId="73B2F57A" w14:textId="77777777" w:rsidTr="00A304D4">
        <w:tc>
          <w:tcPr>
            <w:tcW w:w="1792" w:type="dxa"/>
          </w:tcPr>
          <w:p w14:paraId="255A5B35" w14:textId="697D9617" w:rsidR="00DA0504" w:rsidRDefault="00DA0504" w:rsidP="00A304D4">
            <w:pPr>
              <w:rPr>
                <w:lang w:eastAsia="ja-JP"/>
              </w:rPr>
            </w:pPr>
            <w:r>
              <w:rPr>
                <w:lang w:eastAsia="ja-JP"/>
              </w:rPr>
              <w:t>MBq</w:t>
            </w:r>
          </w:p>
        </w:tc>
        <w:tc>
          <w:tcPr>
            <w:tcW w:w="6702" w:type="dxa"/>
          </w:tcPr>
          <w:p w14:paraId="1669CB8F" w14:textId="10343842" w:rsidR="00DA0504" w:rsidRDefault="00DA0504" w:rsidP="00A304D4">
            <w:pPr>
              <w:rPr>
                <w:lang w:eastAsia="ja-JP"/>
              </w:rPr>
            </w:pPr>
            <w:r>
              <w:rPr>
                <w:lang w:eastAsia="ja-JP"/>
              </w:rPr>
              <w:t>Megabecquerel</w:t>
            </w:r>
          </w:p>
        </w:tc>
      </w:tr>
      <w:tr w:rsidR="00723F3C" w:rsidRPr="00FD119B" w14:paraId="17CABABC" w14:textId="77777777" w:rsidTr="00A304D4">
        <w:tc>
          <w:tcPr>
            <w:tcW w:w="1792" w:type="dxa"/>
          </w:tcPr>
          <w:p w14:paraId="19895712" w14:textId="77777777" w:rsidR="00723F3C" w:rsidRDefault="00723F3C" w:rsidP="00A304D4">
            <w:r>
              <w:rPr>
                <w:lang w:eastAsia="ja-JP"/>
              </w:rPr>
              <w:t>MBS</w:t>
            </w:r>
          </w:p>
        </w:tc>
        <w:tc>
          <w:tcPr>
            <w:tcW w:w="6702" w:type="dxa"/>
          </w:tcPr>
          <w:p w14:paraId="44DE1B51" w14:textId="77777777" w:rsidR="00723F3C" w:rsidRDefault="00723F3C" w:rsidP="00A304D4">
            <w:pPr>
              <w:rPr>
                <w:lang w:eastAsia="ja-JP"/>
              </w:rPr>
            </w:pPr>
            <w:r>
              <w:rPr>
                <w:lang w:eastAsia="ja-JP"/>
              </w:rPr>
              <w:t>Medicare Benefits Schedule</w:t>
            </w:r>
          </w:p>
        </w:tc>
      </w:tr>
      <w:tr w:rsidR="00F06A31" w:rsidRPr="00FD119B" w14:paraId="308403C2" w14:textId="77777777" w:rsidTr="00A304D4">
        <w:tc>
          <w:tcPr>
            <w:tcW w:w="1792" w:type="dxa"/>
          </w:tcPr>
          <w:p w14:paraId="5D7C486E" w14:textId="1F934B4E" w:rsidR="00F06A31" w:rsidRDefault="00F06A31" w:rsidP="00A304D4">
            <w:pPr>
              <w:rPr>
                <w:lang w:eastAsia="ja-JP"/>
              </w:rPr>
            </w:pPr>
            <w:proofErr w:type="spellStart"/>
            <w:r>
              <w:rPr>
                <w:lang w:eastAsia="ja-JP"/>
              </w:rPr>
              <w:t>mCi</w:t>
            </w:r>
            <w:proofErr w:type="spellEnd"/>
          </w:p>
        </w:tc>
        <w:tc>
          <w:tcPr>
            <w:tcW w:w="6702" w:type="dxa"/>
          </w:tcPr>
          <w:p w14:paraId="03F386B8" w14:textId="7848A8D0" w:rsidR="00F06A31" w:rsidRDefault="00F06A31" w:rsidP="00A304D4">
            <w:pPr>
              <w:rPr>
                <w:lang w:eastAsia="ja-JP"/>
              </w:rPr>
            </w:pPr>
            <w:r>
              <w:rPr>
                <w:lang w:eastAsia="ja-JP"/>
              </w:rPr>
              <w:t>Millicurie</w:t>
            </w:r>
          </w:p>
        </w:tc>
      </w:tr>
      <w:tr w:rsidR="005B5BB3" w:rsidRPr="00FD119B" w14:paraId="7B6A5C0A" w14:textId="77777777" w:rsidTr="00A304D4">
        <w:tc>
          <w:tcPr>
            <w:tcW w:w="1792" w:type="dxa"/>
          </w:tcPr>
          <w:p w14:paraId="18C52AEC" w14:textId="6CE76685" w:rsidR="005B5BB3" w:rsidRDefault="005B5BB3" w:rsidP="00A304D4">
            <w:pPr>
              <w:rPr>
                <w:lang w:eastAsia="ja-JP"/>
              </w:rPr>
            </w:pPr>
            <w:proofErr w:type="spellStart"/>
            <w:r>
              <w:rPr>
                <w:lang w:eastAsia="ja-JP"/>
              </w:rPr>
              <w:t>mCRPC</w:t>
            </w:r>
            <w:proofErr w:type="spellEnd"/>
          </w:p>
        </w:tc>
        <w:tc>
          <w:tcPr>
            <w:tcW w:w="6702" w:type="dxa"/>
          </w:tcPr>
          <w:p w14:paraId="5F0C717B" w14:textId="260AF524" w:rsidR="005B5BB3" w:rsidRDefault="005B5BB3" w:rsidP="00A304D4">
            <w:pPr>
              <w:rPr>
                <w:lang w:eastAsia="ja-JP"/>
              </w:rPr>
            </w:pPr>
            <w:r>
              <w:rPr>
                <w:lang w:eastAsia="ja-JP"/>
              </w:rPr>
              <w:t>Metastatic castration resistant prostate cancer</w:t>
            </w:r>
          </w:p>
        </w:tc>
      </w:tr>
      <w:tr w:rsidR="00723F3C" w:rsidRPr="00FD119B" w14:paraId="4503097B" w14:textId="77777777" w:rsidTr="00A304D4">
        <w:tc>
          <w:tcPr>
            <w:tcW w:w="1792" w:type="dxa"/>
          </w:tcPr>
          <w:p w14:paraId="576A7CA3" w14:textId="77777777" w:rsidR="00723F3C" w:rsidRPr="00FD119B" w:rsidRDefault="00723F3C" w:rsidP="00A304D4">
            <w:r>
              <w:t>MRI</w:t>
            </w:r>
          </w:p>
        </w:tc>
        <w:tc>
          <w:tcPr>
            <w:tcW w:w="6702" w:type="dxa"/>
          </w:tcPr>
          <w:p w14:paraId="2B3C57DA" w14:textId="77777777" w:rsidR="00723F3C" w:rsidRPr="00FD119B" w:rsidRDefault="00723F3C" w:rsidP="00A304D4">
            <w:r w:rsidRPr="00D33A4C">
              <w:t>Magnetic resonance imaging</w:t>
            </w:r>
          </w:p>
        </w:tc>
      </w:tr>
      <w:tr w:rsidR="00723F3C" w:rsidRPr="00FD119B" w14:paraId="12F496BF" w14:textId="77777777" w:rsidTr="00A304D4">
        <w:tc>
          <w:tcPr>
            <w:tcW w:w="1792" w:type="dxa"/>
          </w:tcPr>
          <w:p w14:paraId="208F91DF" w14:textId="77777777" w:rsidR="00723F3C" w:rsidRDefault="00723F3C" w:rsidP="00A304D4">
            <w:r>
              <w:t>MSAC</w:t>
            </w:r>
          </w:p>
        </w:tc>
        <w:tc>
          <w:tcPr>
            <w:tcW w:w="6702" w:type="dxa"/>
          </w:tcPr>
          <w:p w14:paraId="3EDBD7DA" w14:textId="77777777" w:rsidR="00723F3C" w:rsidRDefault="00723F3C" w:rsidP="00A304D4">
            <w:pPr>
              <w:rPr>
                <w:lang w:eastAsia="ja-JP"/>
              </w:rPr>
            </w:pPr>
            <w:r w:rsidRPr="008D59A5">
              <w:t>M</w:t>
            </w:r>
            <w:r>
              <w:t xml:space="preserve">edicare </w:t>
            </w:r>
            <w:r w:rsidRPr="008D59A5">
              <w:t>S</w:t>
            </w:r>
            <w:r>
              <w:t xml:space="preserve">ervices </w:t>
            </w:r>
            <w:r w:rsidRPr="008D59A5">
              <w:t>A</w:t>
            </w:r>
            <w:r>
              <w:t xml:space="preserve">dvisory </w:t>
            </w:r>
            <w:r w:rsidRPr="008D59A5">
              <w:t>C</w:t>
            </w:r>
            <w:r>
              <w:t>ommittee</w:t>
            </w:r>
          </w:p>
        </w:tc>
      </w:tr>
      <w:tr w:rsidR="00723F3C" w:rsidRPr="00FD119B" w14:paraId="0C6F8AA3" w14:textId="77777777" w:rsidTr="00A304D4">
        <w:tc>
          <w:tcPr>
            <w:tcW w:w="1792" w:type="dxa"/>
          </w:tcPr>
          <w:p w14:paraId="4C47DAFA" w14:textId="77777777" w:rsidR="00723F3C" w:rsidRDefault="00723F3C" w:rsidP="00A304D4">
            <w:r>
              <w:t>MSKCC</w:t>
            </w:r>
          </w:p>
        </w:tc>
        <w:tc>
          <w:tcPr>
            <w:tcW w:w="6702" w:type="dxa"/>
          </w:tcPr>
          <w:p w14:paraId="7BA88E7F" w14:textId="77777777" w:rsidR="00723F3C" w:rsidRDefault="00723F3C" w:rsidP="00A304D4">
            <w:pPr>
              <w:rPr>
                <w:lang w:eastAsia="ja-JP"/>
              </w:rPr>
            </w:pPr>
            <w:r w:rsidRPr="007A4178">
              <w:t xml:space="preserve">Memorial Sloan Kettering Cancer </w:t>
            </w:r>
            <w:proofErr w:type="spellStart"/>
            <w:r w:rsidRPr="007A4178">
              <w:t>Center</w:t>
            </w:r>
            <w:proofErr w:type="spellEnd"/>
          </w:p>
        </w:tc>
      </w:tr>
      <w:tr w:rsidR="00710D1B" w:rsidRPr="00FD119B" w14:paraId="4D68C632" w14:textId="77777777" w:rsidTr="00A304D4">
        <w:tc>
          <w:tcPr>
            <w:tcW w:w="1792" w:type="dxa"/>
          </w:tcPr>
          <w:p w14:paraId="66486395" w14:textId="028F88D1" w:rsidR="00710D1B" w:rsidRDefault="00710D1B" w:rsidP="00A304D4">
            <w:r>
              <w:t>mSv</w:t>
            </w:r>
          </w:p>
        </w:tc>
        <w:tc>
          <w:tcPr>
            <w:tcW w:w="6702" w:type="dxa"/>
          </w:tcPr>
          <w:p w14:paraId="02212A84" w14:textId="714ED21C" w:rsidR="00710D1B" w:rsidRPr="007A4178" w:rsidRDefault="00710D1B" w:rsidP="00A304D4">
            <w:r>
              <w:t>Millisievert</w:t>
            </w:r>
          </w:p>
        </w:tc>
      </w:tr>
      <w:tr w:rsidR="00723F3C" w:rsidRPr="00FD119B" w14:paraId="7A5DE5F8" w14:textId="77777777" w:rsidTr="00A304D4">
        <w:tc>
          <w:tcPr>
            <w:tcW w:w="1792" w:type="dxa"/>
          </w:tcPr>
          <w:p w14:paraId="2E26434B" w14:textId="77777777" w:rsidR="00723F3C" w:rsidRDefault="00723F3C" w:rsidP="00A304D4">
            <w:r>
              <w:t>NPV</w:t>
            </w:r>
          </w:p>
        </w:tc>
        <w:tc>
          <w:tcPr>
            <w:tcW w:w="6702" w:type="dxa"/>
          </w:tcPr>
          <w:p w14:paraId="0CF050F1" w14:textId="77777777" w:rsidR="00723F3C" w:rsidRDefault="00723F3C" w:rsidP="00A304D4">
            <w:pPr>
              <w:rPr>
                <w:iCs/>
                <w:lang w:eastAsia="ja-JP"/>
              </w:rPr>
            </w:pPr>
            <w:r>
              <w:rPr>
                <w:lang w:eastAsia="ja-JP"/>
              </w:rPr>
              <w:t>N</w:t>
            </w:r>
            <w:r w:rsidRPr="00CB7CD5">
              <w:rPr>
                <w:lang w:eastAsia="ja-JP"/>
              </w:rPr>
              <w:t>egative predictive value</w:t>
            </w:r>
          </w:p>
        </w:tc>
      </w:tr>
      <w:tr w:rsidR="00723F3C" w:rsidRPr="00FD119B" w14:paraId="3841C632" w14:textId="77777777" w:rsidTr="00A304D4">
        <w:tc>
          <w:tcPr>
            <w:tcW w:w="1792" w:type="dxa"/>
          </w:tcPr>
          <w:p w14:paraId="7F4C52AD" w14:textId="77777777" w:rsidR="00723F3C" w:rsidRPr="00FD119B" w:rsidRDefault="00723F3C" w:rsidP="00A304D4">
            <w:r>
              <w:lastRenderedPageBreak/>
              <w:t>PET</w:t>
            </w:r>
          </w:p>
        </w:tc>
        <w:tc>
          <w:tcPr>
            <w:tcW w:w="6702" w:type="dxa"/>
          </w:tcPr>
          <w:p w14:paraId="2E0CB328" w14:textId="77777777" w:rsidR="00723F3C" w:rsidRPr="00FD119B" w:rsidRDefault="00723F3C" w:rsidP="00A304D4">
            <w:r>
              <w:t>P</w:t>
            </w:r>
            <w:r w:rsidRPr="002B06EF">
              <w:t>ositron emission tomography</w:t>
            </w:r>
          </w:p>
        </w:tc>
      </w:tr>
      <w:tr w:rsidR="00723F3C" w:rsidRPr="00FD119B" w14:paraId="211C8C54" w14:textId="77777777" w:rsidTr="00A304D4">
        <w:tc>
          <w:tcPr>
            <w:tcW w:w="1792" w:type="dxa"/>
          </w:tcPr>
          <w:p w14:paraId="4E5D3CA3" w14:textId="77777777" w:rsidR="00723F3C" w:rsidRDefault="00723F3C" w:rsidP="00A304D4">
            <w:r>
              <w:t>PI</w:t>
            </w:r>
          </w:p>
        </w:tc>
        <w:tc>
          <w:tcPr>
            <w:tcW w:w="6702" w:type="dxa"/>
          </w:tcPr>
          <w:p w14:paraId="69EC1633" w14:textId="77777777" w:rsidR="00723F3C" w:rsidRDefault="00723F3C" w:rsidP="00A304D4">
            <w:pPr>
              <w:rPr>
                <w:lang w:eastAsia="ja-JP"/>
              </w:rPr>
            </w:pPr>
            <w:r>
              <w:rPr>
                <w:lang w:eastAsia="ja-JP"/>
              </w:rPr>
              <w:t>Product Information</w:t>
            </w:r>
          </w:p>
        </w:tc>
      </w:tr>
      <w:tr w:rsidR="00723F3C" w:rsidRPr="00FD119B" w14:paraId="64DDD4A0" w14:textId="77777777" w:rsidTr="00A304D4">
        <w:tc>
          <w:tcPr>
            <w:tcW w:w="1792" w:type="dxa"/>
          </w:tcPr>
          <w:p w14:paraId="5F403846" w14:textId="77777777" w:rsidR="00723F3C" w:rsidRDefault="00723F3C" w:rsidP="00A304D4">
            <w:r>
              <w:t>PK</w:t>
            </w:r>
          </w:p>
        </w:tc>
        <w:tc>
          <w:tcPr>
            <w:tcW w:w="6702" w:type="dxa"/>
          </w:tcPr>
          <w:p w14:paraId="3DBBB364" w14:textId="77777777" w:rsidR="00723F3C" w:rsidRDefault="00723F3C" w:rsidP="00A304D4">
            <w:pPr>
              <w:rPr>
                <w:lang w:eastAsia="ja-JP"/>
              </w:rPr>
            </w:pPr>
            <w:r>
              <w:rPr>
                <w:lang w:eastAsia="ja-JP"/>
              </w:rPr>
              <w:t>Pharmacokinetic(s)</w:t>
            </w:r>
          </w:p>
        </w:tc>
      </w:tr>
      <w:tr w:rsidR="00723F3C" w:rsidRPr="00FD119B" w14:paraId="79C16E52" w14:textId="77777777" w:rsidTr="00A304D4">
        <w:tc>
          <w:tcPr>
            <w:tcW w:w="1792" w:type="dxa"/>
          </w:tcPr>
          <w:p w14:paraId="2D32DB0A" w14:textId="77777777" w:rsidR="00723F3C" w:rsidRDefault="00723F3C" w:rsidP="00A304D4">
            <w:r>
              <w:t>PPV</w:t>
            </w:r>
          </w:p>
        </w:tc>
        <w:tc>
          <w:tcPr>
            <w:tcW w:w="6702" w:type="dxa"/>
          </w:tcPr>
          <w:p w14:paraId="1309CB1A" w14:textId="77777777" w:rsidR="00723F3C" w:rsidRPr="00CB7CD5" w:rsidRDefault="00723F3C" w:rsidP="00A304D4">
            <w:pPr>
              <w:rPr>
                <w:lang w:eastAsia="ja-JP"/>
              </w:rPr>
            </w:pPr>
            <w:r>
              <w:rPr>
                <w:lang w:eastAsia="ja-JP"/>
              </w:rPr>
              <w:t>Positive</w:t>
            </w:r>
            <w:r w:rsidRPr="00CB7CD5">
              <w:rPr>
                <w:lang w:eastAsia="ja-JP"/>
              </w:rPr>
              <w:t xml:space="preserve"> predictive value</w:t>
            </w:r>
          </w:p>
        </w:tc>
      </w:tr>
      <w:tr w:rsidR="00723F3C" w:rsidRPr="00FD119B" w14:paraId="254CDFB6" w14:textId="77777777" w:rsidTr="00A304D4">
        <w:tc>
          <w:tcPr>
            <w:tcW w:w="1792" w:type="dxa"/>
          </w:tcPr>
          <w:p w14:paraId="0CB243BE" w14:textId="77777777" w:rsidR="00723F3C" w:rsidRPr="00FD119B" w:rsidRDefault="00723F3C" w:rsidP="00A304D4">
            <w:r>
              <w:t>PSA</w:t>
            </w:r>
          </w:p>
        </w:tc>
        <w:tc>
          <w:tcPr>
            <w:tcW w:w="6702" w:type="dxa"/>
          </w:tcPr>
          <w:p w14:paraId="2DDD7E8E" w14:textId="1B3ACB80" w:rsidR="00723F3C" w:rsidRPr="00FD119B" w:rsidRDefault="00723F3C" w:rsidP="00A304D4">
            <w:r>
              <w:t>P</w:t>
            </w:r>
            <w:r w:rsidRPr="002B06EF">
              <w:t>rostate</w:t>
            </w:r>
            <w:r w:rsidR="004C24B8">
              <w:t>-</w:t>
            </w:r>
            <w:r w:rsidRPr="002B06EF">
              <w:t>specific antigen</w:t>
            </w:r>
          </w:p>
        </w:tc>
      </w:tr>
      <w:tr w:rsidR="00723F3C" w:rsidRPr="00FD119B" w14:paraId="2C9DA3D8" w14:textId="77777777" w:rsidTr="00A304D4">
        <w:tc>
          <w:tcPr>
            <w:tcW w:w="1792" w:type="dxa"/>
          </w:tcPr>
          <w:p w14:paraId="112EFF98" w14:textId="77777777" w:rsidR="00723F3C" w:rsidRPr="00FD119B" w:rsidRDefault="00723F3C" w:rsidP="00A304D4">
            <w:r>
              <w:t>PSMA</w:t>
            </w:r>
          </w:p>
        </w:tc>
        <w:tc>
          <w:tcPr>
            <w:tcW w:w="6702" w:type="dxa"/>
          </w:tcPr>
          <w:p w14:paraId="53101FB7" w14:textId="399DB548" w:rsidR="00723F3C" w:rsidRPr="00FD119B" w:rsidRDefault="00723F3C" w:rsidP="00A304D4">
            <w:r>
              <w:rPr>
                <w:lang w:eastAsia="ja-JP"/>
              </w:rPr>
              <w:t>Prostate</w:t>
            </w:r>
            <w:r w:rsidR="004C24B8">
              <w:rPr>
                <w:lang w:eastAsia="ja-JP"/>
              </w:rPr>
              <w:t>-</w:t>
            </w:r>
            <w:r>
              <w:rPr>
                <w:lang w:eastAsia="ja-JP"/>
              </w:rPr>
              <w:t>specific membrane antigen</w:t>
            </w:r>
          </w:p>
        </w:tc>
      </w:tr>
      <w:tr w:rsidR="00984246" w:rsidRPr="00FD119B" w14:paraId="595ABF21" w14:textId="77777777" w:rsidTr="00A304D4">
        <w:tc>
          <w:tcPr>
            <w:tcW w:w="1792" w:type="dxa"/>
          </w:tcPr>
          <w:p w14:paraId="0AE8F9E7" w14:textId="5A9D84D2" w:rsidR="00984246" w:rsidRDefault="00984246" w:rsidP="00A304D4">
            <w:r>
              <w:t>PSMA-11</w:t>
            </w:r>
          </w:p>
        </w:tc>
        <w:tc>
          <w:tcPr>
            <w:tcW w:w="6702" w:type="dxa"/>
          </w:tcPr>
          <w:p w14:paraId="26C7C845" w14:textId="2B3B5B82" w:rsidR="00984246" w:rsidRDefault="00984246" w:rsidP="00A304D4">
            <w:pPr>
              <w:rPr>
                <w:lang w:eastAsia="ja-JP"/>
              </w:rPr>
            </w:pPr>
            <w:r>
              <w:rPr>
                <w:lang w:eastAsia="ja-JP"/>
              </w:rPr>
              <w:t>Prostate-specific membrane antigen-11 (also known as Glu</w:t>
            </w:r>
            <w:r>
              <w:rPr>
                <w:lang w:eastAsia="ja-JP"/>
              </w:rPr>
              <w:noBreakHyphen/>
              <w:t>urea</w:t>
            </w:r>
            <w:r>
              <w:rPr>
                <w:lang w:eastAsia="ja-JP"/>
              </w:rPr>
              <w:noBreakHyphen/>
            </w:r>
            <w:r w:rsidRPr="00984246">
              <w:rPr>
                <w:lang w:eastAsia="ja-JP"/>
              </w:rPr>
              <w:t>Lys(</w:t>
            </w:r>
            <w:proofErr w:type="spellStart"/>
            <w:r w:rsidRPr="00984246">
              <w:rPr>
                <w:lang w:eastAsia="ja-JP"/>
              </w:rPr>
              <w:t>ahx</w:t>
            </w:r>
            <w:proofErr w:type="spellEnd"/>
            <w:r w:rsidRPr="00984246">
              <w:rPr>
                <w:lang w:eastAsia="ja-JP"/>
              </w:rPr>
              <w:t>)-</w:t>
            </w:r>
            <w:proofErr w:type="spellStart"/>
            <w:r w:rsidRPr="00984246">
              <w:rPr>
                <w:lang w:eastAsia="ja-JP"/>
              </w:rPr>
              <w:t>hbed</w:t>
            </w:r>
            <w:proofErr w:type="spellEnd"/>
            <w:r w:rsidRPr="00984246">
              <w:rPr>
                <w:lang w:eastAsia="ja-JP"/>
              </w:rPr>
              <w:t>-CC</w:t>
            </w:r>
            <w:r>
              <w:rPr>
                <w:lang w:eastAsia="ja-JP"/>
              </w:rPr>
              <w:t>)</w:t>
            </w:r>
          </w:p>
        </w:tc>
      </w:tr>
      <w:tr w:rsidR="00723F3C" w:rsidRPr="00FD119B" w14:paraId="5EA5E1FB" w14:textId="77777777" w:rsidTr="00A304D4">
        <w:tc>
          <w:tcPr>
            <w:tcW w:w="1792" w:type="dxa"/>
          </w:tcPr>
          <w:p w14:paraId="36A372AE" w14:textId="77777777" w:rsidR="00723F3C" w:rsidRDefault="00723F3C" w:rsidP="00A304D4">
            <w:r>
              <w:t>SAE</w:t>
            </w:r>
          </w:p>
        </w:tc>
        <w:tc>
          <w:tcPr>
            <w:tcW w:w="6702" w:type="dxa"/>
          </w:tcPr>
          <w:p w14:paraId="3773558D" w14:textId="77777777" w:rsidR="00723F3C" w:rsidRDefault="00723F3C" w:rsidP="00A304D4">
            <w:pPr>
              <w:rPr>
                <w:lang w:eastAsia="ja-JP"/>
              </w:rPr>
            </w:pPr>
            <w:r>
              <w:t>Serious adverse event</w:t>
            </w:r>
          </w:p>
        </w:tc>
      </w:tr>
      <w:tr w:rsidR="007464CD" w:rsidRPr="00FD119B" w14:paraId="0B303FB8" w14:textId="77777777" w:rsidTr="00A304D4">
        <w:tc>
          <w:tcPr>
            <w:tcW w:w="1792" w:type="dxa"/>
          </w:tcPr>
          <w:p w14:paraId="067D4F08" w14:textId="7E50647A" w:rsidR="007464CD" w:rsidRDefault="007464CD" w:rsidP="00A304D4">
            <w:r>
              <w:t>SD</w:t>
            </w:r>
          </w:p>
        </w:tc>
        <w:tc>
          <w:tcPr>
            <w:tcW w:w="6702" w:type="dxa"/>
          </w:tcPr>
          <w:p w14:paraId="104D93EA" w14:textId="378317FA" w:rsidR="007464CD" w:rsidRDefault="007464CD" w:rsidP="00A304D4">
            <w:r>
              <w:t>Standard deviation</w:t>
            </w:r>
          </w:p>
        </w:tc>
      </w:tr>
      <w:tr w:rsidR="00723F3C" w:rsidRPr="00FD119B" w14:paraId="6913C7EE" w14:textId="77777777" w:rsidTr="00A304D4">
        <w:tc>
          <w:tcPr>
            <w:tcW w:w="1792" w:type="dxa"/>
          </w:tcPr>
          <w:p w14:paraId="1CDB3945" w14:textId="77777777" w:rsidR="00723F3C" w:rsidRDefault="00723F3C" w:rsidP="00A304D4">
            <w:proofErr w:type="spellStart"/>
            <w:r>
              <w:t>SUV</w:t>
            </w:r>
            <w:r w:rsidRPr="00161C2C">
              <w:rPr>
                <w:vertAlign w:val="subscript"/>
              </w:rPr>
              <w:t>max</w:t>
            </w:r>
            <w:proofErr w:type="spellEnd"/>
          </w:p>
        </w:tc>
        <w:tc>
          <w:tcPr>
            <w:tcW w:w="6702" w:type="dxa"/>
          </w:tcPr>
          <w:p w14:paraId="2130D2CD" w14:textId="77777777" w:rsidR="00723F3C" w:rsidRDefault="00723F3C" w:rsidP="00A304D4">
            <w:pPr>
              <w:rPr>
                <w:lang w:eastAsia="ja-JP"/>
              </w:rPr>
            </w:pPr>
            <w:r>
              <w:rPr>
                <w:lang w:eastAsia="ja-JP"/>
              </w:rPr>
              <w:t>M</w:t>
            </w:r>
            <w:r w:rsidRPr="00161C2C">
              <w:rPr>
                <w:lang w:eastAsia="ja-JP"/>
              </w:rPr>
              <w:t>aximum standardi</w:t>
            </w:r>
            <w:r>
              <w:rPr>
                <w:lang w:eastAsia="ja-JP"/>
              </w:rPr>
              <w:t>s</w:t>
            </w:r>
            <w:r w:rsidRPr="00161C2C">
              <w:rPr>
                <w:lang w:eastAsia="ja-JP"/>
              </w:rPr>
              <w:t>ed uptake value</w:t>
            </w:r>
          </w:p>
        </w:tc>
      </w:tr>
      <w:tr w:rsidR="00723F3C" w:rsidRPr="00FD119B" w14:paraId="3C89D203" w14:textId="77777777" w:rsidTr="00A304D4">
        <w:tc>
          <w:tcPr>
            <w:tcW w:w="1792" w:type="dxa"/>
          </w:tcPr>
          <w:p w14:paraId="36E9DDE9" w14:textId="77777777" w:rsidR="00723F3C" w:rsidRDefault="00723F3C" w:rsidP="00A304D4">
            <w:proofErr w:type="spellStart"/>
            <w:r>
              <w:t>SUV</w:t>
            </w:r>
            <w:r w:rsidRPr="00161C2C">
              <w:rPr>
                <w:vertAlign w:val="subscript"/>
              </w:rPr>
              <w:t>mean</w:t>
            </w:r>
            <w:proofErr w:type="spellEnd"/>
          </w:p>
        </w:tc>
        <w:tc>
          <w:tcPr>
            <w:tcW w:w="6702" w:type="dxa"/>
          </w:tcPr>
          <w:p w14:paraId="44F3156D" w14:textId="77777777" w:rsidR="00723F3C" w:rsidRDefault="00723F3C" w:rsidP="00A304D4">
            <w:pPr>
              <w:rPr>
                <w:lang w:eastAsia="ja-JP"/>
              </w:rPr>
            </w:pPr>
            <w:r>
              <w:rPr>
                <w:lang w:eastAsia="ja-JP"/>
              </w:rPr>
              <w:t xml:space="preserve">Mean </w:t>
            </w:r>
            <w:r w:rsidRPr="00161C2C">
              <w:rPr>
                <w:lang w:eastAsia="ja-JP"/>
              </w:rPr>
              <w:t>standardi</w:t>
            </w:r>
            <w:r>
              <w:rPr>
                <w:lang w:eastAsia="ja-JP"/>
              </w:rPr>
              <w:t>s</w:t>
            </w:r>
            <w:r w:rsidRPr="00161C2C">
              <w:rPr>
                <w:lang w:eastAsia="ja-JP"/>
              </w:rPr>
              <w:t>ed uptake value</w:t>
            </w:r>
          </w:p>
        </w:tc>
      </w:tr>
      <w:tr w:rsidR="00723F3C" w:rsidRPr="00FD119B" w14:paraId="0148620D" w14:textId="77777777" w:rsidTr="00A304D4">
        <w:tc>
          <w:tcPr>
            <w:tcW w:w="1792" w:type="dxa"/>
          </w:tcPr>
          <w:p w14:paraId="0E4A87A6" w14:textId="77777777" w:rsidR="00723F3C" w:rsidRDefault="00723F3C" w:rsidP="00A304D4">
            <w:r>
              <w:t>t</w:t>
            </w:r>
            <w:r w:rsidRPr="00C94EB1">
              <w:rPr>
                <w:vertAlign w:val="subscript"/>
              </w:rPr>
              <w:t>1/2</w:t>
            </w:r>
          </w:p>
        </w:tc>
        <w:tc>
          <w:tcPr>
            <w:tcW w:w="6702" w:type="dxa"/>
          </w:tcPr>
          <w:p w14:paraId="5C429484" w14:textId="72406571" w:rsidR="00723F3C" w:rsidRDefault="00723F3C" w:rsidP="00A304D4">
            <w:pPr>
              <w:rPr>
                <w:lang w:eastAsia="ja-JP"/>
              </w:rPr>
            </w:pPr>
            <w:r>
              <w:rPr>
                <w:lang w:eastAsia="ja-JP"/>
              </w:rPr>
              <w:t>Half</w:t>
            </w:r>
            <w:r w:rsidR="004C24B8">
              <w:rPr>
                <w:lang w:eastAsia="ja-JP"/>
              </w:rPr>
              <w:t>-</w:t>
            </w:r>
            <w:r>
              <w:rPr>
                <w:lang w:eastAsia="ja-JP"/>
              </w:rPr>
              <w:t>life</w:t>
            </w:r>
          </w:p>
        </w:tc>
      </w:tr>
      <w:tr w:rsidR="00723F3C" w:rsidRPr="00FD119B" w14:paraId="318731E4" w14:textId="77777777" w:rsidTr="00A304D4">
        <w:tc>
          <w:tcPr>
            <w:tcW w:w="1792" w:type="dxa"/>
          </w:tcPr>
          <w:p w14:paraId="50E634E2" w14:textId="77777777" w:rsidR="00723F3C" w:rsidRPr="00FD119B" w:rsidRDefault="00723F3C" w:rsidP="00A304D4">
            <w:r>
              <w:t>TGA</w:t>
            </w:r>
          </w:p>
        </w:tc>
        <w:tc>
          <w:tcPr>
            <w:tcW w:w="6702" w:type="dxa"/>
          </w:tcPr>
          <w:p w14:paraId="2A87A9BB" w14:textId="77777777" w:rsidR="00723F3C" w:rsidRPr="00FD119B" w:rsidRDefault="00723F3C" w:rsidP="00A304D4">
            <w:r>
              <w:t>Therapeutic Goods Administration</w:t>
            </w:r>
          </w:p>
        </w:tc>
      </w:tr>
      <w:tr w:rsidR="00D56127" w:rsidRPr="00FD119B" w14:paraId="1144A19A" w14:textId="77777777" w:rsidTr="00A304D4">
        <w:tc>
          <w:tcPr>
            <w:tcW w:w="1792" w:type="dxa"/>
          </w:tcPr>
          <w:p w14:paraId="62250BB7" w14:textId="6FB3F58B" w:rsidR="00D56127" w:rsidRDefault="00D56127" w:rsidP="00A304D4">
            <w:r>
              <w:t>US(A)</w:t>
            </w:r>
          </w:p>
        </w:tc>
        <w:tc>
          <w:tcPr>
            <w:tcW w:w="6702" w:type="dxa"/>
          </w:tcPr>
          <w:p w14:paraId="423F4B9D" w14:textId="0086D11F" w:rsidR="00D56127" w:rsidRDefault="00D56127" w:rsidP="00A304D4">
            <w:r>
              <w:t>United States of America</w:t>
            </w:r>
          </w:p>
        </w:tc>
      </w:tr>
      <w:tr w:rsidR="00723F3C" w:rsidRPr="00FD119B" w14:paraId="339F505F" w14:textId="77777777" w:rsidTr="00A304D4">
        <w:tc>
          <w:tcPr>
            <w:tcW w:w="1792" w:type="dxa"/>
          </w:tcPr>
          <w:p w14:paraId="2A91D231" w14:textId="77777777" w:rsidR="00723F3C" w:rsidRDefault="00723F3C" w:rsidP="00A304D4">
            <w:r>
              <w:t>VLR</w:t>
            </w:r>
          </w:p>
        </w:tc>
        <w:tc>
          <w:tcPr>
            <w:tcW w:w="6702" w:type="dxa"/>
          </w:tcPr>
          <w:p w14:paraId="37397DE3" w14:textId="77777777" w:rsidR="00723F3C" w:rsidRDefault="00723F3C" w:rsidP="00A304D4">
            <w:r>
              <w:rPr>
                <w:iCs/>
                <w:lang w:eastAsia="ja-JP"/>
              </w:rPr>
              <w:t>V</w:t>
            </w:r>
            <w:r w:rsidRPr="00472493">
              <w:rPr>
                <w:iCs/>
                <w:lang w:eastAsia="ja-JP"/>
              </w:rPr>
              <w:t xml:space="preserve">erified </w:t>
            </w:r>
            <w:r>
              <w:rPr>
                <w:iCs/>
                <w:lang w:eastAsia="ja-JP"/>
              </w:rPr>
              <w:t>l</w:t>
            </w:r>
            <w:r w:rsidRPr="00472493">
              <w:rPr>
                <w:iCs/>
                <w:lang w:eastAsia="ja-JP"/>
              </w:rPr>
              <w:t xml:space="preserve">ocalisation </w:t>
            </w:r>
            <w:r>
              <w:rPr>
                <w:iCs/>
                <w:lang w:eastAsia="ja-JP"/>
              </w:rPr>
              <w:t>r</w:t>
            </w:r>
            <w:r w:rsidRPr="00472493">
              <w:rPr>
                <w:iCs/>
                <w:lang w:eastAsia="ja-JP"/>
              </w:rPr>
              <w:t>ate</w:t>
            </w:r>
          </w:p>
        </w:tc>
      </w:tr>
    </w:tbl>
    <w:p w14:paraId="035CC8BE"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0F2E61C" w14:textId="05F0982A" w:rsidR="008E7846" w:rsidRDefault="00F53C07" w:rsidP="008E7846">
      <w:pPr>
        <w:pStyle w:val="Heading2"/>
      </w:pPr>
      <w:bookmarkStart w:id="8" w:name="_Toc106373305"/>
      <w:r>
        <w:lastRenderedPageBreak/>
        <w:t>I.</w:t>
      </w:r>
      <w:r w:rsidR="003C45E7">
        <w:t xml:space="preserve"> </w:t>
      </w:r>
      <w:r w:rsidR="008E7846">
        <w:t>Introduction to product submission</w:t>
      </w:r>
      <w:bookmarkEnd w:id="8"/>
      <w:bookmarkEnd w:id="2"/>
      <w:bookmarkEnd w:id="0"/>
    </w:p>
    <w:p w14:paraId="3172B104" w14:textId="77777777" w:rsidR="008E7846" w:rsidRDefault="008E7846" w:rsidP="008E7846">
      <w:pPr>
        <w:pStyle w:val="Heading3"/>
        <w:rPr>
          <w:lang w:eastAsia="en-AU"/>
        </w:rPr>
      </w:pPr>
      <w:bookmarkStart w:id="9" w:name="_Toc247691502"/>
      <w:bookmarkStart w:id="10" w:name="_Toc314842483"/>
      <w:bookmarkStart w:id="11" w:name="_Toc106373306"/>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3B4697B1" w14:textId="77777777" w:rsidTr="003735BC">
        <w:tc>
          <w:tcPr>
            <w:tcW w:w="2907" w:type="dxa"/>
          </w:tcPr>
          <w:p w14:paraId="17FDAF36"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A376C67" w14:textId="13482F21" w:rsidR="008E7846" w:rsidRPr="003D1E62" w:rsidRDefault="008E7846" w:rsidP="001B5C90">
            <w:r w:rsidRPr="003D1E62">
              <w:t xml:space="preserve">New </w:t>
            </w:r>
            <w:r w:rsidR="001B5C90">
              <w:t>c</w:t>
            </w:r>
            <w:r w:rsidRPr="003D1E62">
              <w:t xml:space="preserve">hemical </w:t>
            </w:r>
            <w:r w:rsidR="001B5C90">
              <w:t>e</w:t>
            </w:r>
            <w:r w:rsidRPr="003D1E62">
              <w:t>ntity</w:t>
            </w:r>
          </w:p>
        </w:tc>
      </w:tr>
      <w:tr w:rsidR="00460036" w:rsidRPr="003D1E62" w14:paraId="1DAAE1AA" w14:textId="77777777" w:rsidTr="003735BC">
        <w:tc>
          <w:tcPr>
            <w:tcW w:w="2907" w:type="dxa"/>
          </w:tcPr>
          <w:p w14:paraId="1E3626E9" w14:textId="4A96DD97" w:rsidR="00460036" w:rsidRPr="003D1E62" w:rsidRDefault="00460036" w:rsidP="003D1E62">
            <w:pPr>
              <w:rPr>
                <w:i/>
              </w:rPr>
            </w:pPr>
            <w:r w:rsidRPr="00460036">
              <w:rPr>
                <w:i/>
              </w:rPr>
              <w:t>Product name:</w:t>
            </w:r>
          </w:p>
        </w:tc>
        <w:tc>
          <w:tcPr>
            <w:tcW w:w="6307" w:type="dxa"/>
          </w:tcPr>
          <w:p w14:paraId="1E7F88AC" w14:textId="2FAFFA16" w:rsidR="00460036" w:rsidRPr="003D1E62" w:rsidRDefault="00AA1365" w:rsidP="001B5C90">
            <w:proofErr w:type="spellStart"/>
            <w:r>
              <w:t>Illuccix</w:t>
            </w:r>
            <w:proofErr w:type="spellEnd"/>
          </w:p>
        </w:tc>
      </w:tr>
      <w:tr w:rsidR="00460036" w:rsidRPr="003D1E62" w14:paraId="239C9499" w14:textId="77777777" w:rsidTr="003735BC">
        <w:tc>
          <w:tcPr>
            <w:tcW w:w="2907" w:type="dxa"/>
          </w:tcPr>
          <w:p w14:paraId="3F9FEC8F" w14:textId="7059365C" w:rsidR="00460036" w:rsidRPr="003D1E62" w:rsidRDefault="00460036" w:rsidP="003D1E62">
            <w:pPr>
              <w:rPr>
                <w:i/>
              </w:rPr>
            </w:pPr>
            <w:r w:rsidRPr="00460036">
              <w:rPr>
                <w:i/>
              </w:rPr>
              <w:t>Active ingredien</w:t>
            </w:r>
            <w:r w:rsidR="00AA1365">
              <w:rPr>
                <w:i/>
              </w:rPr>
              <w:t>t</w:t>
            </w:r>
            <w:r w:rsidRPr="00460036">
              <w:rPr>
                <w:i/>
              </w:rPr>
              <w:t>:</w:t>
            </w:r>
          </w:p>
        </w:tc>
        <w:tc>
          <w:tcPr>
            <w:tcW w:w="6307" w:type="dxa"/>
          </w:tcPr>
          <w:p w14:paraId="7542ED75" w14:textId="4317D0E0" w:rsidR="00460036" w:rsidRPr="003D1E62" w:rsidRDefault="00AA1365" w:rsidP="001B5C90">
            <w:r w:rsidRPr="00493FD8">
              <w:t>Glu-urea-Lys(</w:t>
            </w:r>
            <w:proofErr w:type="spellStart"/>
            <w:r w:rsidRPr="00493FD8">
              <w:t>ahx</w:t>
            </w:r>
            <w:proofErr w:type="spellEnd"/>
            <w:r w:rsidRPr="00493FD8">
              <w:t>)-</w:t>
            </w:r>
            <w:proofErr w:type="spellStart"/>
            <w:r w:rsidRPr="00493FD8">
              <w:t>hbed</w:t>
            </w:r>
            <w:proofErr w:type="spellEnd"/>
            <w:r w:rsidRPr="00493FD8">
              <w:t>-CC</w:t>
            </w:r>
            <w:r w:rsidR="004C24B8">
              <w:t xml:space="preserve"> (also known as PSMA 11 (prostate</w:t>
            </w:r>
            <w:r w:rsidR="004C24B8">
              <w:noBreakHyphen/>
              <w:t>specific membrane antigen 11)</w:t>
            </w:r>
          </w:p>
        </w:tc>
      </w:tr>
      <w:tr w:rsidR="008E7846" w:rsidRPr="003D1E62" w14:paraId="6995F8A6" w14:textId="77777777" w:rsidTr="003735BC">
        <w:tc>
          <w:tcPr>
            <w:tcW w:w="2907" w:type="dxa"/>
          </w:tcPr>
          <w:p w14:paraId="48FD650F" w14:textId="77777777" w:rsidR="008E7846" w:rsidRPr="003D1E62" w:rsidRDefault="008E7846" w:rsidP="003D1E62">
            <w:r w:rsidRPr="003D1E62">
              <w:rPr>
                <w:i/>
              </w:rPr>
              <w:t>Decision</w:t>
            </w:r>
            <w:r w:rsidRPr="003D1E62">
              <w:t>:</w:t>
            </w:r>
          </w:p>
        </w:tc>
        <w:tc>
          <w:tcPr>
            <w:tcW w:w="6307" w:type="dxa"/>
          </w:tcPr>
          <w:p w14:paraId="3C1AC21F" w14:textId="4AE433C5" w:rsidR="008E7846" w:rsidRPr="003D1E62" w:rsidRDefault="00460036" w:rsidP="001B5C90">
            <w:r w:rsidRPr="00460036">
              <w:t>Approved</w:t>
            </w:r>
          </w:p>
        </w:tc>
      </w:tr>
      <w:tr w:rsidR="008E7846" w:rsidRPr="003D1E62" w14:paraId="055B87E5" w14:textId="77777777" w:rsidTr="003735BC">
        <w:tc>
          <w:tcPr>
            <w:tcW w:w="2907" w:type="dxa"/>
          </w:tcPr>
          <w:p w14:paraId="3970ECE5"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C3CD8F2" w14:textId="0B860CB4" w:rsidR="008E7846" w:rsidRPr="003D1E62" w:rsidRDefault="00AA1365" w:rsidP="001B5C90">
            <w:r w:rsidRPr="00CA5B89">
              <w:t>1 November 2021</w:t>
            </w:r>
          </w:p>
        </w:tc>
      </w:tr>
      <w:tr w:rsidR="00ED2922" w:rsidRPr="003D1E62" w14:paraId="15E2FADC" w14:textId="77777777" w:rsidTr="003735BC">
        <w:tc>
          <w:tcPr>
            <w:tcW w:w="2907" w:type="dxa"/>
          </w:tcPr>
          <w:p w14:paraId="237916B6" w14:textId="77777777" w:rsidR="00ED2922" w:rsidRPr="00441C3F" w:rsidRDefault="00ED2922" w:rsidP="001B5C90">
            <w:pPr>
              <w:rPr>
                <w:i/>
              </w:rPr>
            </w:pPr>
            <w:r w:rsidRPr="00441C3F">
              <w:rPr>
                <w:i/>
              </w:rPr>
              <w:t>Date of entry onto ARTG</w:t>
            </w:r>
            <w:r w:rsidR="00500337">
              <w:rPr>
                <w:i/>
              </w:rPr>
              <w:t>:</w:t>
            </w:r>
          </w:p>
        </w:tc>
        <w:tc>
          <w:tcPr>
            <w:tcW w:w="6307" w:type="dxa"/>
          </w:tcPr>
          <w:p w14:paraId="776918A2" w14:textId="7DB68CC6" w:rsidR="00ED2922" w:rsidRPr="00441C3F" w:rsidRDefault="00AA1365" w:rsidP="00D153D8">
            <w:pPr>
              <w:rPr>
                <w:i/>
              </w:rPr>
            </w:pPr>
            <w:r>
              <w:t>10 November 2021</w:t>
            </w:r>
          </w:p>
        </w:tc>
      </w:tr>
      <w:tr w:rsidR="00500337" w:rsidRPr="003D1E62" w14:paraId="30FE0569" w14:textId="77777777" w:rsidTr="003735BC">
        <w:tc>
          <w:tcPr>
            <w:tcW w:w="2907" w:type="dxa"/>
          </w:tcPr>
          <w:p w14:paraId="3FBE9513" w14:textId="39D0D146" w:rsidR="00500337" w:rsidRPr="00441C3F" w:rsidRDefault="00500337" w:rsidP="001B5C90">
            <w:pPr>
              <w:rPr>
                <w:i/>
              </w:rPr>
            </w:pPr>
            <w:r>
              <w:rPr>
                <w:i/>
              </w:rPr>
              <w:t>ARTG number:</w:t>
            </w:r>
          </w:p>
        </w:tc>
        <w:tc>
          <w:tcPr>
            <w:tcW w:w="6307" w:type="dxa"/>
          </w:tcPr>
          <w:p w14:paraId="0D69DADD" w14:textId="6ACF0C04" w:rsidR="00500337" w:rsidRPr="00441C3F" w:rsidRDefault="00AA1365" w:rsidP="00EC463D">
            <w:r w:rsidRPr="00B2110E">
              <w:t>356332 and 356333</w:t>
            </w:r>
          </w:p>
        </w:tc>
      </w:tr>
      <w:tr w:rsidR="003735BC" w:rsidRPr="003D1E62" w14:paraId="20542D78" w14:textId="77777777" w:rsidTr="003735BC">
        <w:tc>
          <w:tcPr>
            <w:tcW w:w="2907" w:type="dxa"/>
          </w:tcPr>
          <w:p w14:paraId="1C225EAB"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0DA22438" w14:textId="0F09E1B3" w:rsidR="003735BC" w:rsidRPr="00487162" w:rsidRDefault="003735BC" w:rsidP="003735BC">
            <w:r>
              <w:t>No</w:t>
            </w:r>
          </w:p>
        </w:tc>
      </w:tr>
      <w:tr w:rsidR="008E7846" w:rsidRPr="00487162" w14:paraId="07C01544" w14:textId="77777777" w:rsidTr="00BF1190">
        <w:tc>
          <w:tcPr>
            <w:tcW w:w="2907" w:type="dxa"/>
          </w:tcPr>
          <w:p w14:paraId="2200185A"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93904A5" w14:textId="77777777" w:rsidR="008E7846" w:rsidRDefault="00AA1365" w:rsidP="00E45619">
            <w:pPr>
              <w:rPr>
                <w:lang w:val="es-ES"/>
              </w:rPr>
            </w:pPr>
            <w:proofErr w:type="spellStart"/>
            <w:r w:rsidRPr="00F50BBC">
              <w:rPr>
                <w:lang w:val="es-ES"/>
              </w:rPr>
              <w:t>Telix</w:t>
            </w:r>
            <w:proofErr w:type="spellEnd"/>
            <w:r w:rsidRPr="00F50BBC">
              <w:rPr>
                <w:lang w:val="es-ES"/>
              </w:rPr>
              <w:t xml:space="preserve"> </w:t>
            </w:r>
            <w:proofErr w:type="spellStart"/>
            <w:r w:rsidRPr="00F50BBC">
              <w:rPr>
                <w:lang w:val="es-ES"/>
              </w:rPr>
              <w:t>Pharmaceuticals</w:t>
            </w:r>
            <w:proofErr w:type="spellEnd"/>
            <w:r w:rsidRPr="00F50BBC">
              <w:rPr>
                <w:lang w:val="es-ES"/>
              </w:rPr>
              <w:t xml:space="preserve"> (ANZ) </w:t>
            </w:r>
            <w:proofErr w:type="spellStart"/>
            <w:r w:rsidRPr="00F50BBC">
              <w:rPr>
                <w:lang w:val="es-ES"/>
              </w:rPr>
              <w:t>Pty</w:t>
            </w:r>
            <w:proofErr w:type="spellEnd"/>
            <w:r w:rsidRPr="00F50BBC">
              <w:rPr>
                <w:lang w:val="es-ES"/>
              </w:rPr>
              <w:t xml:space="preserve"> </w:t>
            </w:r>
            <w:proofErr w:type="spellStart"/>
            <w:r w:rsidRPr="00F50BBC">
              <w:rPr>
                <w:lang w:val="es-ES"/>
              </w:rPr>
              <w:t>Ltd</w:t>
            </w:r>
            <w:proofErr w:type="spellEnd"/>
          </w:p>
          <w:p w14:paraId="5407FEDE" w14:textId="77777777" w:rsidR="00AA1365" w:rsidRPr="00F50BBC" w:rsidRDefault="00AA1365" w:rsidP="00AA1365">
            <w:pPr>
              <w:rPr>
                <w:lang w:val="es-ES"/>
              </w:rPr>
            </w:pPr>
            <w:r w:rsidRPr="00F50BBC">
              <w:rPr>
                <w:lang w:val="es-ES"/>
              </w:rPr>
              <w:t xml:space="preserve">Suite 401 55 </w:t>
            </w:r>
            <w:proofErr w:type="spellStart"/>
            <w:r w:rsidRPr="00F50BBC">
              <w:rPr>
                <w:lang w:val="es-ES"/>
              </w:rPr>
              <w:t>Flemington</w:t>
            </w:r>
            <w:proofErr w:type="spellEnd"/>
            <w:r w:rsidRPr="00F50BBC">
              <w:rPr>
                <w:lang w:val="es-ES"/>
              </w:rPr>
              <w:t xml:space="preserve"> Road,</w:t>
            </w:r>
          </w:p>
          <w:p w14:paraId="78B30B29" w14:textId="0D30D36A" w:rsidR="00AA1365" w:rsidRPr="00487162" w:rsidRDefault="00AA1365" w:rsidP="00AA1365">
            <w:r w:rsidRPr="00F50BBC">
              <w:rPr>
                <w:lang w:val="es-ES"/>
              </w:rPr>
              <w:t>North Melbourne,</w:t>
            </w:r>
            <w:r>
              <w:rPr>
                <w:lang w:val="es-ES"/>
              </w:rPr>
              <w:t xml:space="preserve"> </w:t>
            </w:r>
            <w:r w:rsidRPr="00F50BBC">
              <w:rPr>
                <w:lang w:val="es-ES"/>
              </w:rPr>
              <w:t>VIC</w:t>
            </w:r>
            <w:r w:rsidR="00C83EC2">
              <w:rPr>
                <w:lang w:val="es-ES"/>
              </w:rPr>
              <w:t>,</w:t>
            </w:r>
            <w:r>
              <w:rPr>
                <w:lang w:val="es-ES"/>
              </w:rPr>
              <w:t xml:space="preserve"> </w:t>
            </w:r>
            <w:r w:rsidRPr="00F50BBC">
              <w:rPr>
                <w:lang w:val="es-ES"/>
              </w:rPr>
              <w:t>3051</w:t>
            </w:r>
          </w:p>
        </w:tc>
      </w:tr>
      <w:tr w:rsidR="008E7846" w:rsidRPr="00487162" w14:paraId="66FCD9D4" w14:textId="77777777" w:rsidTr="00BF1190">
        <w:tc>
          <w:tcPr>
            <w:tcW w:w="2907" w:type="dxa"/>
          </w:tcPr>
          <w:p w14:paraId="6EFC7E6F" w14:textId="6AFF7366" w:rsidR="008E7846" w:rsidRPr="00487162" w:rsidRDefault="001B5C90" w:rsidP="00E45619">
            <w:pPr>
              <w:rPr>
                <w:i/>
              </w:rPr>
            </w:pPr>
            <w:r>
              <w:rPr>
                <w:i/>
              </w:rPr>
              <w:t>Dose form:</w:t>
            </w:r>
          </w:p>
        </w:tc>
        <w:tc>
          <w:tcPr>
            <w:tcW w:w="6307" w:type="dxa"/>
          </w:tcPr>
          <w:p w14:paraId="678B5305" w14:textId="51BC96C7" w:rsidR="008E7846" w:rsidRPr="00487162" w:rsidRDefault="00AA1365" w:rsidP="00E45619">
            <w:r w:rsidRPr="000D281D">
              <w:t>Powder and d</w:t>
            </w:r>
            <w:r w:rsidRPr="00C04448">
              <w:t>iluent for injection</w:t>
            </w:r>
          </w:p>
        </w:tc>
      </w:tr>
      <w:tr w:rsidR="008E7846" w:rsidRPr="00487162" w14:paraId="4E418303" w14:textId="77777777" w:rsidTr="00BF1190">
        <w:tc>
          <w:tcPr>
            <w:tcW w:w="2907" w:type="dxa"/>
          </w:tcPr>
          <w:p w14:paraId="0D3D9341" w14:textId="6D516F65" w:rsidR="008E7846" w:rsidRPr="00487162" w:rsidRDefault="00324E45" w:rsidP="00E45619">
            <w:pPr>
              <w:rPr>
                <w:i/>
              </w:rPr>
            </w:pPr>
            <w:r>
              <w:rPr>
                <w:i/>
              </w:rPr>
              <w:t>Strength:</w:t>
            </w:r>
          </w:p>
        </w:tc>
        <w:tc>
          <w:tcPr>
            <w:tcW w:w="6307" w:type="dxa"/>
          </w:tcPr>
          <w:p w14:paraId="0E46D40C" w14:textId="39F1187E" w:rsidR="008E7846" w:rsidRPr="00487162" w:rsidRDefault="00AA1365" w:rsidP="00E45619">
            <w:r w:rsidRPr="00C23441">
              <w:t xml:space="preserve">25 </w:t>
            </w:r>
            <w:r>
              <w:t>µg</w:t>
            </w:r>
          </w:p>
        </w:tc>
      </w:tr>
      <w:tr w:rsidR="008E7846" w:rsidRPr="00487162" w14:paraId="198E8C8D" w14:textId="77777777" w:rsidTr="00BF1190">
        <w:tc>
          <w:tcPr>
            <w:tcW w:w="2907" w:type="dxa"/>
          </w:tcPr>
          <w:p w14:paraId="424BDBD6" w14:textId="6E84C080" w:rsidR="008E7846" w:rsidRPr="00487162" w:rsidRDefault="008E7846" w:rsidP="00E45619">
            <w:pPr>
              <w:rPr>
                <w:i/>
              </w:rPr>
            </w:pPr>
            <w:r w:rsidRPr="00487162">
              <w:rPr>
                <w:i/>
              </w:rPr>
              <w:t>Container:</w:t>
            </w:r>
          </w:p>
        </w:tc>
        <w:tc>
          <w:tcPr>
            <w:tcW w:w="6307" w:type="dxa"/>
          </w:tcPr>
          <w:p w14:paraId="733D8119" w14:textId="18C90828" w:rsidR="008E7846" w:rsidRPr="00487162" w:rsidRDefault="00AA1365" w:rsidP="00E45619">
            <w:r>
              <w:t>Vial</w:t>
            </w:r>
          </w:p>
        </w:tc>
      </w:tr>
      <w:tr w:rsidR="008E7846" w:rsidRPr="00487162" w14:paraId="35E6F056" w14:textId="77777777" w:rsidTr="00BF1190">
        <w:tc>
          <w:tcPr>
            <w:tcW w:w="2907" w:type="dxa"/>
          </w:tcPr>
          <w:p w14:paraId="0CB2C96E" w14:textId="7FDB976E" w:rsidR="008E7846" w:rsidRPr="00487162" w:rsidRDefault="008E7846" w:rsidP="00E45619">
            <w:pPr>
              <w:rPr>
                <w:i/>
              </w:rPr>
            </w:pPr>
            <w:r w:rsidRPr="00487162">
              <w:rPr>
                <w:i/>
              </w:rPr>
              <w:t>Pack sizes:</w:t>
            </w:r>
          </w:p>
        </w:tc>
        <w:tc>
          <w:tcPr>
            <w:tcW w:w="6307" w:type="dxa"/>
          </w:tcPr>
          <w:p w14:paraId="2FDBDC79" w14:textId="57AFE3B9" w:rsidR="00C83EC2" w:rsidRDefault="00C83EC2" w:rsidP="00AA1365">
            <w:r>
              <w:t>Two kit configurations, each containing 3 vials</w:t>
            </w:r>
          </w:p>
          <w:p w14:paraId="11C004CE" w14:textId="4190CCFA" w:rsidR="00C83EC2" w:rsidRDefault="00C83EC2" w:rsidP="00AA1365">
            <w:r w:rsidRPr="004F7DDA">
              <w:rPr>
                <w:i/>
              </w:rPr>
              <w:t>Configuration A</w:t>
            </w:r>
            <w:r w:rsidR="00382CF3">
              <w:t xml:space="preserve"> (for use with </w:t>
            </w:r>
            <w:r w:rsidR="004C24B8">
              <w:t>gallium-68 [</w:t>
            </w:r>
            <w:r w:rsidR="004C24B8" w:rsidRPr="004F7DDA">
              <w:rPr>
                <w:vertAlign w:val="superscript"/>
              </w:rPr>
              <w:t>68</w:t>
            </w:r>
            <w:r w:rsidR="004C24B8">
              <w:t xml:space="preserve">Ga] </w:t>
            </w:r>
            <w:r w:rsidR="00382CF3">
              <w:t xml:space="preserve">produced from a cyclotron and purified via GE </w:t>
            </w:r>
            <w:proofErr w:type="spellStart"/>
            <w:r w:rsidR="00382CF3">
              <w:t>FASTlab</w:t>
            </w:r>
            <w:proofErr w:type="spellEnd"/>
            <w:r w:rsidR="00382CF3">
              <w:t xml:space="preserve">; or Eckert &amp; Ziegler </w:t>
            </w:r>
            <w:proofErr w:type="spellStart"/>
            <w:r w:rsidR="00382CF3">
              <w:t>GalliaPharm</w:t>
            </w:r>
            <w:proofErr w:type="spellEnd"/>
            <w:r w:rsidR="00382CF3">
              <w:t xml:space="preserve"> Ge 68/Ga-68 generator and includes</w:t>
            </w:r>
            <w:r>
              <w:t>:</w:t>
            </w:r>
          </w:p>
          <w:p w14:paraId="40F6825C" w14:textId="5F226C0D" w:rsidR="00382CF3" w:rsidRPr="00F74A2E" w:rsidRDefault="00382CF3" w:rsidP="004F7DDA">
            <w:pPr>
              <w:pStyle w:val="ListBullet"/>
            </w:pPr>
            <w:r w:rsidRPr="00F74A2E">
              <w:t>Vial 1 (Glu-urea-Lys(</w:t>
            </w:r>
            <w:proofErr w:type="spellStart"/>
            <w:r w:rsidRPr="00F74A2E">
              <w:t>ahx</w:t>
            </w:r>
            <w:proofErr w:type="spellEnd"/>
            <w:r w:rsidRPr="00F74A2E">
              <w:t>)-</w:t>
            </w:r>
            <w:proofErr w:type="spellStart"/>
            <w:r w:rsidRPr="00F74A2E">
              <w:t>hbed</w:t>
            </w:r>
            <w:proofErr w:type="spellEnd"/>
            <w:r w:rsidRPr="00F74A2E">
              <w:t>-CC Vial): contains 25 microgram Glu-urea-Lys(</w:t>
            </w:r>
            <w:proofErr w:type="spellStart"/>
            <w:r w:rsidRPr="00F74A2E">
              <w:t>ahx</w:t>
            </w:r>
            <w:proofErr w:type="spellEnd"/>
            <w:r w:rsidRPr="00F74A2E">
              <w:t>)-</w:t>
            </w:r>
            <w:proofErr w:type="spellStart"/>
            <w:r w:rsidRPr="00F74A2E">
              <w:t>hbed</w:t>
            </w:r>
            <w:proofErr w:type="spellEnd"/>
            <w:r w:rsidRPr="00F74A2E">
              <w:t>-CC, 10 microgram mannose and water for injections as a lyophilized powder in a sterile 10 mL vial</w:t>
            </w:r>
            <w:r>
              <w:t>.</w:t>
            </w:r>
          </w:p>
          <w:p w14:paraId="2DAD1818" w14:textId="40B49019" w:rsidR="00382CF3" w:rsidRPr="00F74A2E" w:rsidRDefault="00382CF3" w:rsidP="004F7DDA">
            <w:pPr>
              <w:pStyle w:val="ListBullet"/>
            </w:pPr>
            <w:r w:rsidRPr="00F74A2E">
              <w:t>Vial 2 (Buffer Vial, Configuration A): contains 150 mg sodium acetate, 0.077 mL hydrochloric acid and water for injections (2.5 mL volume) in a sterile 10 mL vial.</w:t>
            </w:r>
          </w:p>
          <w:p w14:paraId="3DB2C6AF" w14:textId="5E35C53F" w:rsidR="00C83EC2" w:rsidRPr="00382CF3" w:rsidRDefault="00382CF3" w:rsidP="004F7DDA">
            <w:pPr>
              <w:pStyle w:val="ListBullet"/>
            </w:pPr>
            <w:r w:rsidRPr="00382CF3">
              <w:t xml:space="preserve">Vial 3 (Sterile Vacuumed Vial): an evacuated sterile vial used to collect </w:t>
            </w:r>
            <w:r w:rsidR="00680FEE">
              <w:t>[</w:t>
            </w:r>
            <w:r w:rsidR="00680FEE" w:rsidRPr="004F7DDA">
              <w:rPr>
                <w:vertAlign w:val="superscript"/>
              </w:rPr>
              <w:t>68</w:t>
            </w:r>
            <w:r w:rsidR="00680FEE">
              <w:t xml:space="preserve">Ga] </w:t>
            </w:r>
            <w:r w:rsidRPr="00382CF3">
              <w:t>chloride from generators or cyclotron</w:t>
            </w:r>
            <w:r>
              <w:t>.</w:t>
            </w:r>
          </w:p>
          <w:p w14:paraId="758D4A8D" w14:textId="0015DD87" w:rsidR="00382CF3" w:rsidRDefault="00382CF3" w:rsidP="00AA1365">
            <w:r w:rsidRPr="004F7DDA">
              <w:rPr>
                <w:i/>
              </w:rPr>
              <w:lastRenderedPageBreak/>
              <w:t>Configuration B</w:t>
            </w:r>
            <w:r>
              <w:t xml:space="preserve"> intended for use with </w:t>
            </w:r>
            <w:r w:rsidR="004C24B8">
              <w:t>[</w:t>
            </w:r>
            <w:r w:rsidR="004C24B8" w:rsidRPr="004F7DDA">
              <w:rPr>
                <w:vertAlign w:val="superscript"/>
              </w:rPr>
              <w:t>68</w:t>
            </w:r>
            <w:r w:rsidR="004C24B8">
              <w:t>Ga]</w:t>
            </w:r>
            <w:r w:rsidR="0070517C">
              <w:t xml:space="preserve"> (gallium-</w:t>
            </w:r>
            <w:r w:rsidR="004C24B8">
              <w:t xml:space="preserve">68) </w:t>
            </w:r>
            <w:r>
              <w:t xml:space="preserve">produced from an IRE Galli </w:t>
            </w:r>
            <w:proofErr w:type="spellStart"/>
            <w:r>
              <w:t>Eo</w:t>
            </w:r>
            <w:proofErr w:type="spellEnd"/>
            <w:r>
              <w:t xml:space="preserve"> Ge 68/Ga-68 generator and includes:</w:t>
            </w:r>
          </w:p>
          <w:p w14:paraId="7314D32C" w14:textId="228F6797" w:rsidR="00382CF3" w:rsidRDefault="00382CF3" w:rsidP="004F7DDA">
            <w:pPr>
              <w:pStyle w:val="ListBullet"/>
            </w:pPr>
            <w:r>
              <w:t xml:space="preserve">Vial 1: </w:t>
            </w:r>
            <w:r w:rsidRPr="00382CF3">
              <w:t>(Glu-urea-Lys(</w:t>
            </w:r>
            <w:proofErr w:type="spellStart"/>
            <w:r>
              <w:t>ahx</w:t>
            </w:r>
            <w:proofErr w:type="spellEnd"/>
            <w:r>
              <w:t>)-</w:t>
            </w:r>
            <w:proofErr w:type="spellStart"/>
            <w:r>
              <w:t>hbed</w:t>
            </w:r>
            <w:proofErr w:type="spellEnd"/>
            <w:r>
              <w:t>-CC Vial): contains 25 </w:t>
            </w:r>
            <w:r w:rsidRPr="00382CF3">
              <w:t>micro</w:t>
            </w:r>
            <w:r>
              <w:t>gram Glu-urea-Lys(</w:t>
            </w:r>
            <w:proofErr w:type="spellStart"/>
            <w:r>
              <w:t>ahx</w:t>
            </w:r>
            <w:proofErr w:type="spellEnd"/>
            <w:r>
              <w:t>)-</w:t>
            </w:r>
            <w:proofErr w:type="spellStart"/>
            <w:r>
              <w:t>hbed</w:t>
            </w:r>
            <w:proofErr w:type="spellEnd"/>
            <w:r>
              <w:t>-CC,</w:t>
            </w:r>
            <w:r>
              <w:br/>
            </w:r>
            <w:r w:rsidRPr="00382CF3">
              <w:t>10 microgram mannose and water for injections as a lyophilized powder in a steri</w:t>
            </w:r>
            <w:r>
              <w:t>le 10 mL vial.</w:t>
            </w:r>
          </w:p>
          <w:p w14:paraId="1AC13E3F" w14:textId="191B493C" w:rsidR="00382CF3" w:rsidRDefault="00382CF3" w:rsidP="004F7DDA">
            <w:pPr>
              <w:pStyle w:val="ListBullet"/>
            </w:pPr>
            <w:r w:rsidRPr="00382CF3">
              <w:t xml:space="preserve">Vial 2 (Buffer Vial, Configuration B): contains 150 mg sodium acetate, 0.15 mL hydrochloric acid and water for injections (6.4 mL volume) in a sterile 10 mL </w:t>
            </w:r>
            <w:r>
              <w:t>vial.</w:t>
            </w:r>
          </w:p>
          <w:p w14:paraId="41E62A06" w14:textId="1B8456DB" w:rsidR="008E7846" w:rsidRPr="00487162" w:rsidRDefault="00382CF3" w:rsidP="004F7DDA">
            <w:pPr>
              <w:pStyle w:val="ListBullet"/>
            </w:pPr>
            <w:r w:rsidRPr="00382CF3">
              <w:t>Vial 3 (Sterile Vacuumed Vial):</w:t>
            </w:r>
            <w:r>
              <w:t xml:space="preserve"> an evacuated sterile vial used to collect </w:t>
            </w:r>
            <w:r w:rsidR="00680FEE">
              <w:t>[</w:t>
            </w:r>
            <w:r w:rsidR="00680FEE" w:rsidRPr="00244571">
              <w:rPr>
                <w:vertAlign w:val="superscript"/>
              </w:rPr>
              <w:t>68</w:t>
            </w:r>
            <w:r w:rsidR="00680FEE">
              <w:t xml:space="preserve">Ga] </w:t>
            </w:r>
            <w:r w:rsidRPr="00382CF3">
              <w:t>chloride from generator.</w:t>
            </w:r>
          </w:p>
        </w:tc>
      </w:tr>
      <w:tr w:rsidR="008E7846" w:rsidRPr="00487162" w14:paraId="39093DEC" w14:textId="77777777" w:rsidTr="00BF1190">
        <w:tc>
          <w:tcPr>
            <w:tcW w:w="2907" w:type="dxa"/>
          </w:tcPr>
          <w:p w14:paraId="779EEA02" w14:textId="77777777" w:rsidR="008E7846" w:rsidRPr="00487162" w:rsidRDefault="008E7846" w:rsidP="001B5C90">
            <w:pPr>
              <w:rPr>
                <w:i/>
              </w:rPr>
            </w:pPr>
            <w:r w:rsidRPr="00487162">
              <w:rPr>
                <w:i/>
              </w:rPr>
              <w:lastRenderedPageBreak/>
              <w:t xml:space="preserve">Approved </w:t>
            </w:r>
            <w:r w:rsidR="001B5C90">
              <w:rPr>
                <w:i/>
              </w:rPr>
              <w:t>t</w:t>
            </w:r>
            <w:r w:rsidRPr="00487162">
              <w:rPr>
                <w:i/>
              </w:rPr>
              <w:t>herapeutic use:</w:t>
            </w:r>
          </w:p>
        </w:tc>
        <w:tc>
          <w:tcPr>
            <w:tcW w:w="6307" w:type="dxa"/>
          </w:tcPr>
          <w:p w14:paraId="13291E7D" w14:textId="77777777" w:rsidR="00AA1365" w:rsidRPr="002D2D14" w:rsidRDefault="00AA1365" w:rsidP="00AA1365">
            <w:pPr>
              <w:rPr>
                <w:i/>
              </w:rPr>
            </w:pPr>
            <w:bookmarkStart w:id="12" w:name="_Hlk86927979"/>
            <w:proofErr w:type="spellStart"/>
            <w:r w:rsidRPr="002D2D14">
              <w:rPr>
                <w:i/>
                <w:lang w:eastAsia="en-AU"/>
              </w:rPr>
              <w:t>I</w:t>
            </w:r>
            <w:r>
              <w:rPr>
                <w:i/>
                <w:lang w:eastAsia="en-AU"/>
              </w:rPr>
              <w:t>lluccix</w:t>
            </w:r>
            <w:bookmarkEnd w:id="12"/>
            <w:proofErr w:type="spellEnd"/>
            <w:r w:rsidRPr="002D2D14">
              <w:rPr>
                <w:i/>
              </w:rPr>
              <w:t>, after radiolabelling with Ga-68, is a radioactive diagnostic agent indicated for use</w:t>
            </w:r>
            <w:r w:rsidRPr="002D2D14">
              <w:rPr>
                <w:b/>
                <w:bCs/>
                <w:i/>
              </w:rPr>
              <w:t xml:space="preserve"> </w:t>
            </w:r>
            <w:r w:rsidRPr="002D2D14">
              <w:rPr>
                <w:i/>
              </w:rPr>
              <w:t xml:space="preserve">with positron emission tomography (PET) imaging combined with </w:t>
            </w:r>
            <w:r>
              <w:rPr>
                <w:i/>
              </w:rPr>
              <w:t>c</w:t>
            </w:r>
            <w:r w:rsidRPr="002D2D14">
              <w:rPr>
                <w:i/>
              </w:rPr>
              <w:t>omputerised</w:t>
            </w:r>
            <w:r w:rsidRPr="002D2D14">
              <w:rPr>
                <w:b/>
                <w:bCs/>
                <w:i/>
              </w:rPr>
              <w:t xml:space="preserve"> </w:t>
            </w:r>
            <w:r>
              <w:rPr>
                <w:i/>
              </w:rPr>
              <w:t>t</w:t>
            </w:r>
            <w:r w:rsidRPr="002D2D14">
              <w:rPr>
                <w:i/>
              </w:rPr>
              <w:t>omography (CT) in patients with prostate cancer:</w:t>
            </w:r>
          </w:p>
          <w:p w14:paraId="2B83605A" w14:textId="77777777" w:rsidR="00AA1365" w:rsidRPr="00AA1365" w:rsidRDefault="00AA1365" w:rsidP="00AA1365">
            <w:pPr>
              <w:pStyle w:val="ListBullet"/>
              <w:rPr>
                <w:i/>
                <w:iCs/>
              </w:rPr>
            </w:pPr>
            <w:r w:rsidRPr="00AA1365">
              <w:rPr>
                <w:i/>
                <w:iCs/>
              </w:rPr>
              <w:t xml:space="preserve">who are at risk of metastasis and who are suitable for initial definitive </w:t>
            </w:r>
            <w:proofErr w:type="gramStart"/>
            <w:r w:rsidRPr="00AA1365">
              <w:rPr>
                <w:i/>
                <w:iCs/>
              </w:rPr>
              <w:t>therapy.</w:t>
            </w:r>
            <w:proofErr w:type="gramEnd"/>
          </w:p>
          <w:p w14:paraId="2684359B" w14:textId="6667EA4F" w:rsidR="008E7846" w:rsidRPr="00AA1365" w:rsidRDefault="00AA1365" w:rsidP="00E45619">
            <w:pPr>
              <w:pStyle w:val="ListBullet"/>
              <w:rPr>
                <w:i/>
                <w:iCs/>
              </w:rPr>
            </w:pPr>
            <w:r w:rsidRPr="00AA1365">
              <w:rPr>
                <w:i/>
                <w:iCs/>
              </w:rPr>
              <w:t xml:space="preserve">who have suspected recurrence based on elevated serum prostate specific antigen (PSA) </w:t>
            </w:r>
            <w:proofErr w:type="gramStart"/>
            <w:r w:rsidRPr="00AA1365">
              <w:rPr>
                <w:i/>
                <w:iCs/>
              </w:rPr>
              <w:t>level.</w:t>
            </w:r>
            <w:proofErr w:type="gramEnd"/>
          </w:p>
        </w:tc>
      </w:tr>
      <w:tr w:rsidR="008E7846" w:rsidRPr="00487162" w14:paraId="35CA767C" w14:textId="77777777" w:rsidTr="00BF1190">
        <w:tc>
          <w:tcPr>
            <w:tcW w:w="2907" w:type="dxa"/>
          </w:tcPr>
          <w:p w14:paraId="32994C92" w14:textId="3B1AD799" w:rsidR="008E7846" w:rsidRPr="00487162" w:rsidRDefault="008E7846" w:rsidP="00E45619">
            <w:pPr>
              <w:rPr>
                <w:i/>
              </w:rPr>
            </w:pPr>
            <w:r w:rsidRPr="00487162">
              <w:rPr>
                <w:i/>
              </w:rPr>
              <w:t>Route of administration:</w:t>
            </w:r>
          </w:p>
        </w:tc>
        <w:tc>
          <w:tcPr>
            <w:tcW w:w="6307" w:type="dxa"/>
          </w:tcPr>
          <w:p w14:paraId="3E1B3B9B" w14:textId="29E6E858" w:rsidR="008E7846" w:rsidRPr="00487162" w:rsidRDefault="00AA1365" w:rsidP="00E45619">
            <w:r w:rsidRPr="00A90AF3">
              <w:t>Intravenous</w:t>
            </w:r>
            <w:r>
              <w:t xml:space="preserve"> bolus</w:t>
            </w:r>
          </w:p>
        </w:tc>
      </w:tr>
      <w:tr w:rsidR="008E7846" w:rsidRPr="00487162" w14:paraId="2CFF7D5D" w14:textId="77777777" w:rsidTr="00BF1190">
        <w:tc>
          <w:tcPr>
            <w:tcW w:w="2907" w:type="dxa"/>
          </w:tcPr>
          <w:p w14:paraId="33305055" w14:textId="77777777" w:rsidR="008E7846" w:rsidRPr="00487162" w:rsidRDefault="008E7846" w:rsidP="00E45619">
            <w:pPr>
              <w:rPr>
                <w:i/>
              </w:rPr>
            </w:pPr>
            <w:r w:rsidRPr="00487162">
              <w:rPr>
                <w:i/>
              </w:rPr>
              <w:t>Dosage:</w:t>
            </w:r>
          </w:p>
        </w:tc>
        <w:tc>
          <w:tcPr>
            <w:tcW w:w="6307" w:type="dxa"/>
          </w:tcPr>
          <w:p w14:paraId="2294B606" w14:textId="0FD92083" w:rsidR="000B4A7B" w:rsidRDefault="000B4A7B" w:rsidP="00AA1365">
            <w:r>
              <w:t>Radiopharmaceuticals should be used by or under the control of physicians who are qualified by specific training and experience in the safe use and handling of radionuclides, and whose experience and training have been approved by the appropriate governmental agency authorised to license the use of radionuclides.</w:t>
            </w:r>
          </w:p>
          <w:p w14:paraId="50A14977" w14:textId="1E13F8EA" w:rsidR="00BF22AA" w:rsidRDefault="00BF22AA" w:rsidP="00AA1365">
            <w:r>
              <w:t xml:space="preserve">The radionuclide is not part of the kit. Before reconstitution and radiolabelling with </w:t>
            </w:r>
            <w:r w:rsidR="004C24B8">
              <w:t>gallium-68</w:t>
            </w:r>
            <w:r w:rsidR="0070517C">
              <w:t xml:space="preserve"> [</w:t>
            </w:r>
            <w:r w:rsidR="0070517C" w:rsidRPr="004F7DDA">
              <w:rPr>
                <w:vertAlign w:val="superscript"/>
              </w:rPr>
              <w:t>68</w:t>
            </w:r>
            <w:r w:rsidR="0070517C">
              <w:t>Ga]</w:t>
            </w:r>
            <w:r>
              <w:t>, the contents of this kit are not radioactive.</w:t>
            </w:r>
          </w:p>
          <w:p w14:paraId="767A5F9C" w14:textId="1A0C5A7D" w:rsidR="00BF22AA" w:rsidRDefault="00BF22AA" w:rsidP="00AA1365">
            <w:proofErr w:type="spellStart"/>
            <w:r>
              <w:t>Illuccix</w:t>
            </w:r>
            <w:proofErr w:type="spellEnd"/>
            <w:r>
              <w:t xml:space="preserve"> is supplied as 3 vials which allows for direct preparation of </w:t>
            </w:r>
            <w:proofErr w:type="spellStart"/>
            <w:r>
              <w:t>Illuccix</w:t>
            </w:r>
            <w:proofErr w:type="spellEnd"/>
            <w:r>
              <w:t xml:space="preserve"> with eluate </w:t>
            </w:r>
            <w:r w:rsidR="000B4A7B">
              <w:t xml:space="preserve">from an appropriate </w:t>
            </w:r>
            <w:r w:rsidR="00F83731">
              <w:t>gallium-68</w:t>
            </w:r>
            <w:r w:rsidR="000B4A7B">
              <w:t xml:space="preserve"> source. See </w:t>
            </w:r>
            <w:r>
              <w:t xml:space="preserve">Section 4.2 Dose and Method of Administration, Drug Preparation for </w:t>
            </w:r>
            <w:r w:rsidR="000B4A7B">
              <w:t xml:space="preserve">specific instructions for use with each </w:t>
            </w:r>
            <w:r w:rsidR="0070517C">
              <w:t>gallium</w:t>
            </w:r>
            <w:r w:rsidR="0070517C">
              <w:noBreakHyphen/>
              <w:t>68 [</w:t>
            </w:r>
            <w:r w:rsidR="0070517C">
              <w:rPr>
                <w:vertAlign w:val="superscript"/>
              </w:rPr>
              <w:t>68</w:t>
            </w:r>
            <w:r w:rsidR="0070517C">
              <w:t xml:space="preserve">Ga] </w:t>
            </w:r>
            <w:r w:rsidR="000B4A7B">
              <w:t>source.</w:t>
            </w:r>
          </w:p>
          <w:p w14:paraId="51DFF30D" w14:textId="5DA80846" w:rsidR="00AA1365" w:rsidRDefault="00BF22AA" w:rsidP="00AA1365">
            <w:r>
              <w:t xml:space="preserve">Once prepared, </w:t>
            </w:r>
            <w:r w:rsidR="00F83731">
              <w:t>gallium-68 [</w:t>
            </w:r>
            <w:r w:rsidR="00F83731" w:rsidRPr="004F7DDA">
              <w:rPr>
                <w:vertAlign w:val="superscript"/>
              </w:rPr>
              <w:t>68</w:t>
            </w:r>
            <w:r w:rsidR="00F83731">
              <w:t>Ga]</w:t>
            </w:r>
            <w:r w:rsidR="00AA1365">
              <w:t xml:space="preserve"> </w:t>
            </w:r>
            <w:r w:rsidR="00AA1365" w:rsidRPr="00493FD8">
              <w:t>Glu-urea-Lys(</w:t>
            </w:r>
            <w:proofErr w:type="spellStart"/>
            <w:r w:rsidR="00AA1365" w:rsidRPr="00493FD8">
              <w:t>ahx</w:t>
            </w:r>
            <w:proofErr w:type="spellEnd"/>
            <w:r w:rsidR="00AA1365" w:rsidRPr="00493FD8">
              <w:t>)-</w:t>
            </w:r>
            <w:proofErr w:type="spellStart"/>
            <w:r w:rsidR="00AA1365" w:rsidRPr="00493FD8">
              <w:t>hbed</w:t>
            </w:r>
            <w:proofErr w:type="spellEnd"/>
            <w:r w:rsidR="00AA1365" w:rsidRPr="00493FD8">
              <w:t>-CC</w:t>
            </w:r>
            <w:r w:rsidR="00AA1365">
              <w:t xml:space="preserve"> is a radioactive drug and should be handled with appropriate safety measures to minimise radiation exposure</w:t>
            </w:r>
            <w:r w:rsidR="000B4A7B">
              <w:t>. S</w:t>
            </w:r>
            <w:r w:rsidR="00AA1365">
              <w:t>ee Section 4.4 Special warnings and precautions for use in the Product Information).</w:t>
            </w:r>
          </w:p>
          <w:p w14:paraId="5F86AC30" w14:textId="72AC8DA0" w:rsidR="008E7846" w:rsidRDefault="00AA1365" w:rsidP="00E45619">
            <w:r>
              <w:t xml:space="preserve">The recommended amount of activity to be administered intravenously is 185 </w:t>
            </w:r>
            <w:r w:rsidR="0032733B">
              <w:t>megab</w:t>
            </w:r>
            <w:r w:rsidR="0032733B" w:rsidRPr="0032733B">
              <w:t xml:space="preserve">ecquerel </w:t>
            </w:r>
            <w:r w:rsidR="0032733B">
              <w:t>(</w:t>
            </w:r>
            <w:r>
              <w:t>MBq</w:t>
            </w:r>
            <w:r w:rsidR="0032733B">
              <w:t>)</w:t>
            </w:r>
            <w:r>
              <w:t xml:space="preserve"> (5 </w:t>
            </w:r>
            <w:r w:rsidR="0032733B">
              <w:t>millicurie (</w:t>
            </w:r>
            <w:proofErr w:type="spellStart"/>
            <w:r>
              <w:t>mCi</w:t>
            </w:r>
            <w:proofErr w:type="spellEnd"/>
            <w:r w:rsidR="0032733B">
              <w:t>)</w:t>
            </w:r>
            <w:r>
              <w:t xml:space="preserve">) with a range of 166.5 to 203.5 MBq (4.5 to 5.5 </w:t>
            </w:r>
            <w:proofErr w:type="spellStart"/>
            <w:r>
              <w:t>mCi</w:t>
            </w:r>
            <w:proofErr w:type="spellEnd"/>
            <w:r>
              <w:t xml:space="preserve">) and a maximum dose of 25 µg of </w:t>
            </w:r>
            <w:r w:rsidRPr="00493FD8">
              <w:t>Glu</w:t>
            </w:r>
            <w:r>
              <w:noBreakHyphen/>
            </w:r>
            <w:r w:rsidRPr="00493FD8">
              <w:t>urea-Lys(</w:t>
            </w:r>
            <w:proofErr w:type="spellStart"/>
            <w:r w:rsidRPr="00493FD8">
              <w:t>ahx</w:t>
            </w:r>
            <w:proofErr w:type="spellEnd"/>
            <w:r w:rsidRPr="00493FD8">
              <w:t>)-</w:t>
            </w:r>
            <w:proofErr w:type="spellStart"/>
            <w:r w:rsidRPr="00493FD8">
              <w:t>hbed</w:t>
            </w:r>
            <w:proofErr w:type="spellEnd"/>
            <w:r w:rsidRPr="00493FD8">
              <w:t>-CC</w:t>
            </w:r>
            <w:r>
              <w:t>.</w:t>
            </w:r>
          </w:p>
          <w:p w14:paraId="2094DDB6" w14:textId="48BF89B6" w:rsidR="000B4A7B" w:rsidRDefault="000B4A7B" w:rsidP="000B4A7B">
            <w:r>
              <w:t xml:space="preserve">After reconstitution </w:t>
            </w:r>
            <w:r w:rsidR="00F83731">
              <w:t>gallium-68 [</w:t>
            </w:r>
            <w:r w:rsidR="00F83731" w:rsidRPr="00244571">
              <w:rPr>
                <w:vertAlign w:val="superscript"/>
              </w:rPr>
              <w:t>68</w:t>
            </w:r>
            <w:r w:rsidR="00F83731">
              <w:t xml:space="preserve">Ga] </w:t>
            </w:r>
            <w:r>
              <w:t>Glu-urea-Lys(</w:t>
            </w:r>
            <w:proofErr w:type="spellStart"/>
            <w:r>
              <w:t>ahx</w:t>
            </w:r>
            <w:proofErr w:type="spellEnd"/>
            <w:r>
              <w:t>)-</w:t>
            </w:r>
            <w:proofErr w:type="spellStart"/>
            <w:r>
              <w:t>hbed</w:t>
            </w:r>
            <w:proofErr w:type="spellEnd"/>
            <w:r>
              <w:t>-CC is administered by intravenous injection (bolus).</w:t>
            </w:r>
            <w:r w:rsidR="00F83731">
              <w:t xml:space="preserve"> The speed of </w:t>
            </w:r>
            <w:r>
              <w:t xml:space="preserve">administration depends on the venous tolerance to low pH </w:t>
            </w:r>
            <w:r>
              <w:lastRenderedPageBreak/>
              <w:t xml:space="preserve">solution, which is mainly dependent of the blood flow of the vein used for the injection. Tolerance can be increased by diluting </w:t>
            </w:r>
            <w:r w:rsidR="00F83731">
              <w:t>gallium-68 [</w:t>
            </w:r>
            <w:r w:rsidR="00F83731" w:rsidRPr="00244571">
              <w:rPr>
                <w:vertAlign w:val="superscript"/>
              </w:rPr>
              <w:t>68</w:t>
            </w:r>
            <w:r w:rsidR="00F83731">
              <w:t xml:space="preserve">Ga] </w:t>
            </w:r>
            <w:r>
              <w:t>Glu-urea-Lys(</w:t>
            </w:r>
            <w:proofErr w:type="spellStart"/>
            <w:r>
              <w:t>ahx</w:t>
            </w:r>
            <w:proofErr w:type="spellEnd"/>
            <w:r>
              <w:t>)-</w:t>
            </w:r>
            <w:proofErr w:type="spellStart"/>
            <w:r>
              <w:t>hbed</w:t>
            </w:r>
            <w:proofErr w:type="spellEnd"/>
            <w:r>
              <w:t>-CC Injection in isotonic saline solution.</w:t>
            </w:r>
          </w:p>
          <w:p w14:paraId="30B9C524" w14:textId="27C01795" w:rsidR="000B4A7B" w:rsidRDefault="000B4A7B" w:rsidP="000B4A7B">
            <w:r>
              <w:t xml:space="preserve">Before administration to the patient, measure the radioactivity of the vial containing </w:t>
            </w:r>
            <w:r w:rsidR="00F83731">
              <w:t>gallium-68 [</w:t>
            </w:r>
            <w:r w:rsidR="00F83731" w:rsidRPr="00244571">
              <w:rPr>
                <w:vertAlign w:val="superscript"/>
              </w:rPr>
              <w:t>68</w:t>
            </w:r>
            <w:r w:rsidR="00F83731">
              <w:t xml:space="preserve">Ga] </w:t>
            </w:r>
            <w:r>
              <w:t>Glu-urea</w:t>
            </w:r>
            <w:r w:rsidR="0070517C">
              <w:t>-</w:t>
            </w:r>
            <w:r>
              <w:t>Lys(</w:t>
            </w:r>
            <w:proofErr w:type="spellStart"/>
            <w:r>
              <w:t>ahx</w:t>
            </w:r>
            <w:proofErr w:type="spellEnd"/>
            <w:r>
              <w:t>)-</w:t>
            </w:r>
            <w:proofErr w:type="spellStart"/>
            <w:r>
              <w:t>hbed</w:t>
            </w:r>
            <w:proofErr w:type="spellEnd"/>
            <w:r>
              <w:t>-CC using a dose calibrator and calculate the necessary volume to administer based on calibration date and time. Ensure that the radioactivity to be injected is within ±10% of the recommended dose.</w:t>
            </w:r>
          </w:p>
          <w:p w14:paraId="4C888913" w14:textId="1F13338A" w:rsidR="00460036" w:rsidRPr="00487162" w:rsidRDefault="00460036" w:rsidP="00E45619">
            <w:r w:rsidRPr="00460036">
              <w:t>For further information regarding dosage, refer to the Product Information.</w:t>
            </w:r>
          </w:p>
        </w:tc>
      </w:tr>
      <w:tr w:rsidR="00460036" w:rsidRPr="00487162" w14:paraId="2B704B3A" w14:textId="77777777" w:rsidTr="00BF1190">
        <w:tc>
          <w:tcPr>
            <w:tcW w:w="2907" w:type="dxa"/>
          </w:tcPr>
          <w:p w14:paraId="60791BFF" w14:textId="77777777" w:rsidR="00460036" w:rsidRPr="00487162" w:rsidRDefault="00460036" w:rsidP="00E45619">
            <w:pPr>
              <w:rPr>
                <w:i/>
              </w:rPr>
            </w:pPr>
            <w:r w:rsidRPr="00460036">
              <w:rPr>
                <w:i/>
              </w:rPr>
              <w:lastRenderedPageBreak/>
              <w:t>Pregnancy category</w:t>
            </w:r>
            <w:r>
              <w:rPr>
                <w:i/>
              </w:rPr>
              <w:t>:</w:t>
            </w:r>
          </w:p>
        </w:tc>
        <w:tc>
          <w:tcPr>
            <w:tcW w:w="6307" w:type="dxa"/>
          </w:tcPr>
          <w:p w14:paraId="78E6F1E2" w14:textId="4B8257F4" w:rsidR="00460036" w:rsidRDefault="00460036" w:rsidP="00460036">
            <w:r>
              <w:t>This therapeutic good is exempted from pregnancy categorisation</w:t>
            </w:r>
            <w:r w:rsidR="00AA1365">
              <w:t xml:space="preserve"> (</w:t>
            </w:r>
            <w:r w:rsidR="00AA1365" w:rsidRPr="0067093A">
              <w:t>not indicated for use in females</w:t>
            </w:r>
            <w:r w:rsidR="00AA1365">
              <w:t>)</w:t>
            </w:r>
            <w:r w:rsidR="00AA1365" w:rsidRPr="00F06C2C">
              <w:t>.</w:t>
            </w:r>
          </w:p>
          <w:p w14:paraId="4EDA6562"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E02B5C2" w14:textId="77777777" w:rsidR="008E7846" w:rsidRDefault="008E7846" w:rsidP="003C45E7">
      <w:pPr>
        <w:pStyle w:val="Heading3"/>
      </w:pPr>
      <w:bookmarkStart w:id="13" w:name="_Toc247691503"/>
      <w:bookmarkStart w:id="14" w:name="_Toc314842484"/>
      <w:bookmarkStart w:id="15" w:name="_Toc106373307"/>
      <w:r>
        <w:t>Product background</w:t>
      </w:r>
      <w:bookmarkEnd w:id="13"/>
      <w:bookmarkEnd w:id="14"/>
      <w:bookmarkEnd w:id="15"/>
    </w:p>
    <w:p w14:paraId="1903841C" w14:textId="4805345F" w:rsidR="008E7846" w:rsidRDefault="00250271" w:rsidP="00940A89">
      <w:r w:rsidRPr="00250271">
        <w:t xml:space="preserve">This </w:t>
      </w:r>
      <w:proofErr w:type="spellStart"/>
      <w:r w:rsidRPr="00250271">
        <w:t>AusPAR</w:t>
      </w:r>
      <w:proofErr w:type="spellEnd"/>
      <w:r w:rsidRPr="00250271">
        <w:t xml:space="preserve"> describes the application by </w:t>
      </w:r>
      <w:proofErr w:type="spellStart"/>
      <w:r w:rsidR="00E26387" w:rsidRPr="00A90AF3">
        <w:t>Telix</w:t>
      </w:r>
      <w:proofErr w:type="spellEnd"/>
      <w:r w:rsidR="00E26387" w:rsidRPr="00A90AF3">
        <w:t xml:space="preserve"> Pharmaceuticals (ANZ) Pty Ltd.</w:t>
      </w:r>
      <w:r w:rsidR="00E26387">
        <w:t xml:space="preserve"> </w:t>
      </w:r>
      <w:r w:rsidRPr="00250271">
        <w:t xml:space="preserve">(the sponsor) to register </w:t>
      </w:r>
      <w:proofErr w:type="spellStart"/>
      <w:r w:rsidR="00E26387">
        <w:t>Illuccix</w:t>
      </w:r>
      <w:proofErr w:type="spellEnd"/>
      <w:r w:rsidR="00E26387">
        <w:t xml:space="preserve"> (</w:t>
      </w:r>
      <w:r w:rsidR="00E26387" w:rsidRPr="0013721D">
        <w:t>Glu-urea-Lys(</w:t>
      </w:r>
      <w:proofErr w:type="spellStart"/>
      <w:r w:rsidR="00E26387" w:rsidRPr="0013721D">
        <w:t>ahx</w:t>
      </w:r>
      <w:proofErr w:type="spellEnd"/>
      <w:r w:rsidR="00E26387" w:rsidRPr="0013721D">
        <w:t>)-</w:t>
      </w:r>
      <w:proofErr w:type="spellStart"/>
      <w:r w:rsidR="00E26387" w:rsidRPr="0013721D">
        <w:t>hbed</w:t>
      </w:r>
      <w:proofErr w:type="spellEnd"/>
      <w:r w:rsidR="00E26387" w:rsidRPr="0013721D">
        <w:t>-CC</w:t>
      </w:r>
      <w:r w:rsidR="00E26387">
        <w:t>)</w:t>
      </w:r>
      <w:r w:rsidR="00E26387" w:rsidRPr="00250271">
        <w:t xml:space="preserve"> </w:t>
      </w:r>
      <w:r w:rsidR="00E26387">
        <w:t>25 µg</w:t>
      </w:r>
      <w:r w:rsidRPr="00250271">
        <w:t xml:space="preserve">, </w:t>
      </w:r>
      <w:proofErr w:type="gramStart"/>
      <w:r w:rsidR="00E26387">
        <w:t>p</w:t>
      </w:r>
      <w:r w:rsidR="00E26387" w:rsidRPr="000D281D">
        <w:t>owder</w:t>
      </w:r>
      <w:proofErr w:type="gramEnd"/>
      <w:r w:rsidR="00E26387" w:rsidRPr="000D281D">
        <w:t xml:space="preserve"> and d</w:t>
      </w:r>
      <w:r w:rsidR="00E26387" w:rsidRPr="00C04448">
        <w:t>iluent for injection</w:t>
      </w:r>
      <w:r w:rsidR="00E26387" w:rsidRPr="00250271">
        <w:t xml:space="preserve"> </w:t>
      </w:r>
      <w:r w:rsidRPr="00250271">
        <w:t>for the following proposed indication</w:t>
      </w:r>
      <w:r w:rsidR="00CF5DAD">
        <w:t>:</w:t>
      </w:r>
    </w:p>
    <w:p w14:paraId="05B1A742" w14:textId="4D0D1660" w:rsidR="00E26387" w:rsidRPr="00E26387" w:rsidRDefault="00E26387" w:rsidP="00E26387">
      <w:pPr>
        <w:ind w:left="720"/>
        <w:rPr>
          <w:i/>
          <w:iCs/>
        </w:rPr>
      </w:pPr>
      <w:proofErr w:type="spellStart"/>
      <w:r w:rsidRPr="00E26387">
        <w:rPr>
          <w:i/>
          <w:iCs/>
        </w:rPr>
        <w:t>I</w:t>
      </w:r>
      <w:r>
        <w:rPr>
          <w:i/>
          <w:iCs/>
        </w:rPr>
        <w:t>lluccix</w:t>
      </w:r>
      <w:proofErr w:type="spellEnd"/>
      <w:r w:rsidRPr="00E26387">
        <w:rPr>
          <w:i/>
          <w:iCs/>
        </w:rPr>
        <w:t xml:space="preserve">, after radiolabelling with Ga-68, is a radioactive diagnostic agent indicated for use with positron emission tomography (PET) for the evaluation of prostate cancer </w:t>
      </w:r>
    </w:p>
    <w:p w14:paraId="74BF9B1E" w14:textId="4B7CEFF6" w:rsidR="00F83731" w:rsidRDefault="00F83731" w:rsidP="00BD519A">
      <w:proofErr w:type="spellStart"/>
      <w:r>
        <w:t>Illuccix</w:t>
      </w:r>
      <w:proofErr w:type="spellEnd"/>
      <w:r>
        <w:t xml:space="preserve"> is supplied as a kit (in two configurations, Configuration A and B) containing Glu</w:t>
      </w:r>
      <w:r>
        <w:noBreakHyphen/>
      </w:r>
      <w:r w:rsidRPr="0013721D">
        <w:t>urea-Lys(</w:t>
      </w:r>
      <w:proofErr w:type="spellStart"/>
      <w:r w:rsidRPr="0013721D">
        <w:t>ahx</w:t>
      </w:r>
      <w:proofErr w:type="spellEnd"/>
      <w:r w:rsidRPr="0013721D">
        <w:t>)-</w:t>
      </w:r>
      <w:proofErr w:type="spellStart"/>
      <w:r w:rsidRPr="0013721D">
        <w:t>hbed</w:t>
      </w:r>
      <w:proofErr w:type="spellEnd"/>
      <w:r w:rsidRPr="0013721D">
        <w:t>-CC</w:t>
      </w:r>
      <w:r w:rsidR="0070517C">
        <w:t xml:space="preserve"> (also known as prostate-specific membrane antigen 11 (PSMA 11), that when reconstituted and radiolabelled with the radionuclide gallium-68 [</w:t>
      </w:r>
      <w:r w:rsidR="0070517C" w:rsidRPr="004F7DDA">
        <w:rPr>
          <w:vertAlign w:val="superscript"/>
        </w:rPr>
        <w:t>68</w:t>
      </w:r>
      <w:r w:rsidR="0070517C">
        <w:t>Ga] from a suitable source, forms the active radiopharmaceutical gallium-68 [</w:t>
      </w:r>
      <w:r w:rsidR="0070517C">
        <w:rPr>
          <w:vertAlign w:val="superscript"/>
        </w:rPr>
        <w:t>68</w:t>
      </w:r>
      <w:r w:rsidR="0070517C">
        <w:t>Ga] PSMA 11. [</w:t>
      </w:r>
      <w:r w:rsidR="0070517C">
        <w:rPr>
          <w:vertAlign w:val="superscript"/>
        </w:rPr>
        <w:t>68</w:t>
      </w:r>
      <w:r w:rsidR="0070517C">
        <w:t xml:space="preserve">Ga] </w:t>
      </w:r>
      <w:r w:rsidR="00293AB9">
        <w:t xml:space="preserve">gallium </w:t>
      </w:r>
      <w:r w:rsidR="0070517C">
        <w:t>PSMA 11 is to be administered via intravenous bolus.</w:t>
      </w:r>
    </w:p>
    <w:p w14:paraId="30F79AE6" w14:textId="12523C20" w:rsidR="00E26387" w:rsidRDefault="00E26387" w:rsidP="00BD519A">
      <w:pPr>
        <w:rPr>
          <w:lang w:eastAsia="ja-JP"/>
        </w:rPr>
      </w:pPr>
      <w:r>
        <w:t>Prostate cancer is the third most common cause of cancer death in Australia and the second most common cause of cancer death among males (after lung cancer).</w:t>
      </w:r>
      <w:r>
        <w:rPr>
          <w:lang w:eastAsia="ja-JP"/>
        </w:rPr>
        <w:t xml:space="preserve"> </w:t>
      </w:r>
      <w:proofErr w:type="gramStart"/>
      <w:r>
        <w:rPr>
          <w:lang w:eastAsia="ja-JP"/>
        </w:rPr>
        <w:t>Overall</w:t>
      </w:r>
      <w:proofErr w:type="gramEnd"/>
      <w:r>
        <w:rPr>
          <w:lang w:eastAsia="ja-JP"/>
        </w:rPr>
        <w:t xml:space="preserve"> 5</w:t>
      </w:r>
      <w:r w:rsidR="00277D18">
        <w:rPr>
          <w:lang w:eastAsia="ja-JP"/>
        </w:rPr>
        <w:t> </w:t>
      </w:r>
      <w:r>
        <w:rPr>
          <w:lang w:eastAsia="ja-JP"/>
        </w:rPr>
        <w:t xml:space="preserve">year survival is 96%, but for men with metastatic (Stage </w:t>
      </w:r>
      <w:r w:rsidR="00BD519A">
        <w:rPr>
          <w:lang w:eastAsia="ja-JP"/>
        </w:rPr>
        <w:t>IV</w:t>
      </w:r>
      <w:r>
        <w:rPr>
          <w:lang w:eastAsia="ja-JP"/>
        </w:rPr>
        <w:t>)</w:t>
      </w:r>
      <w:r w:rsidR="00B673F8">
        <w:rPr>
          <w:rStyle w:val="FootnoteReference"/>
          <w:lang w:eastAsia="ja-JP"/>
        </w:rPr>
        <w:footnoteReference w:id="2"/>
      </w:r>
      <w:r>
        <w:rPr>
          <w:lang w:eastAsia="ja-JP"/>
        </w:rPr>
        <w:t xml:space="preserve"> prostate cancer at diagnosis, the 5</w:t>
      </w:r>
      <w:r w:rsidR="00BD519A">
        <w:rPr>
          <w:lang w:eastAsia="ja-JP"/>
        </w:rPr>
        <w:t xml:space="preserve"> </w:t>
      </w:r>
      <w:r>
        <w:rPr>
          <w:lang w:eastAsia="ja-JP"/>
        </w:rPr>
        <w:t>year survival is 36%.</w:t>
      </w:r>
      <w:r>
        <w:rPr>
          <w:rStyle w:val="FootnoteReference"/>
          <w:lang w:eastAsia="ja-JP"/>
        </w:rPr>
        <w:footnoteReference w:id="3"/>
      </w:r>
      <w:r>
        <w:rPr>
          <w:lang w:eastAsia="ja-JP"/>
        </w:rPr>
        <w:t xml:space="preserve"> Depending on the cancer</w:t>
      </w:r>
      <w:r w:rsidRPr="006C0D7C">
        <w:rPr>
          <w:lang w:eastAsia="ja-JP"/>
        </w:rPr>
        <w:t xml:space="preserve"> </w:t>
      </w:r>
      <w:r>
        <w:rPr>
          <w:lang w:eastAsia="ja-JP"/>
        </w:rPr>
        <w:t>stage, individual risk stratification,</w:t>
      </w:r>
      <w:r w:rsidRPr="006C0D7C">
        <w:rPr>
          <w:lang w:eastAsia="ja-JP"/>
        </w:rPr>
        <w:t xml:space="preserve"> </w:t>
      </w:r>
      <w:r>
        <w:rPr>
          <w:lang w:eastAsia="ja-JP"/>
        </w:rPr>
        <w:t xml:space="preserve">and co-morbidities, management options may include watchful waiting, </w:t>
      </w:r>
      <w:r>
        <w:rPr>
          <w:lang w:eastAsia="ja-JP"/>
        </w:rPr>
        <w:lastRenderedPageBreak/>
        <w:t>active surveillance, radical prostatectomy, external beam radiotherapy, brachytherapy, androgen deprivation therapy, androgen receptor antagonists, and chemotherapy.</w:t>
      </w:r>
      <w:r w:rsidRPr="001A7F0B">
        <w:rPr>
          <w:rStyle w:val="FootnoteReference"/>
        </w:rPr>
        <w:t xml:space="preserve"> </w:t>
      </w:r>
      <w:r>
        <w:rPr>
          <w:rStyle w:val="FootnoteReference"/>
        </w:rPr>
        <w:footnoteReference w:id="4"/>
      </w:r>
      <w:r w:rsidRPr="00C25AB7">
        <w:rPr>
          <w:vertAlign w:val="superscript"/>
        </w:rPr>
        <w:t>,</w:t>
      </w:r>
      <w:bookmarkStart w:id="17" w:name="_Ref106357318"/>
      <w:r>
        <w:rPr>
          <w:rStyle w:val="FootnoteReference"/>
        </w:rPr>
        <w:footnoteReference w:id="5"/>
      </w:r>
      <w:bookmarkEnd w:id="17"/>
    </w:p>
    <w:p w14:paraId="0A084DA8" w14:textId="66B93DD3" w:rsidR="00277D18" w:rsidRDefault="00E26387" w:rsidP="00BD519A">
      <w:r>
        <w:t xml:space="preserve">Initial imaging may include multiparametric </w:t>
      </w:r>
      <w:r w:rsidR="00BD519A">
        <w:t>m</w:t>
      </w:r>
      <w:r w:rsidR="00BD519A" w:rsidRPr="00BD519A">
        <w:t xml:space="preserve">agnetic resonance imaging </w:t>
      </w:r>
      <w:r w:rsidR="00BD519A">
        <w:t>(</w:t>
      </w:r>
      <w:r>
        <w:t>MRI</w:t>
      </w:r>
      <w:r w:rsidR="00BD519A">
        <w:t>)</w:t>
      </w:r>
      <w:r w:rsidRPr="001A7F0B">
        <w:t xml:space="preserve"> </w:t>
      </w:r>
      <w:r>
        <w:t xml:space="preserve">of the prostate. The need for other staging investigations for clinically localised disease is informed by the initial clinical risk stratification </w:t>
      </w:r>
      <w:r w:rsidR="000A71BC">
        <w:t>(</w:t>
      </w:r>
      <w:r w:rsidR="00277D18">
        <w:t xml:space="preserve">see </w:t>
      </w:r>
      <w:r w:rsidR="000A71BC">
        <w:fldChar w:fldCharType="begin"/>
      </w:r>
      <w:r w:rsidR="000A71BC">
        <w:instrText xml:space="preserve"> REF _Ref103684413 \h </w:instrText>
      </w:r>
      <w:r w:rsidR="00BD519A">
        <w:instrText xml:space="preserve"> \* MERGEFORMAT </w:instrText>
      </w:r>
      <w:r w:rsidR="000A71BC">
        <w:fldChar w:fldCharType="separate"/>
      </w:r>
      <w:r w:rsidR="00036995" w:rsidRPr="00B2200C">
        <w:t xml:space="preserve">Table </w:t>
      </w:r>
      <w:r w:rsidR="00036995">
        <w:rPr>
          <w:noProof/>
        </w:rPr>
        <w:t>1</w:t>
      </w:r>
      <w:r w:rsidR="000A71BC">
        <w:fldChar w:fldCharType="end"/>
      </w:r>
      <w:r w:rsidR="00277D18">
        <w:t>, below</w:t>
      </w:r>
      <w:r>
        <w:t>). Abdominopelvic CT (or MRI)</w:t>
      </w:r>
      <w:r w:rsidRPr="00DF3E51">
        <w:t xml:space="preserve"> </w:t>
      </w:r>
      <w:r>
        <w:t xml:space="preserve">and bone scan are used to assess for nodal and distant metastases in patients with intermediate- or high-risk prostate cancer, but there are </w:t>
      </w:r>
      <w:r w:rsidRPr="0015136F">
        <w:t>limitations in the</w:t>
      </w:r>
      <w:r>
        <w:t>ir</w:t>
      </w:r>
      <w:r w:rsidRPr="0015136F">
        <w:t xml:space="preserve"> sensitivity </w:t>
      </w:r>
      <w:r>
        <w:t>in</w:t>
      </w:r>
      <w:r w:rsidRPr="0015136F">
        <w:t xml:space="preserve"> detect</w:t>
      </w:r>
      <w:r>
        <w:t>ing</w:t>
      </w:r>
      <w:r w:rsidRPr="0015136F">
        <w:t xml:space="preserve"> </w:t>
      </w:r>
      <w:r>
        <w:t>metastatic disease</w:t>
      </w:r>
      <w:r w:rsidRPr="0015136F">
        <w:t xml:space="preserve">. </w:t>
      </w:r>
      <w:proofErr w:type="gramStart"/>
      <w:r>
        <w:t>With regard to</w:t>
      </w:r>
      <w:proofErr w:type="gramEnd"/>
      <w:r>
        <w:t xml:space="preserve"> nodal staging, the 2021 European </w:t>
      </w:r>
      <w:r w:rsidR="00E91568">
        <w:t xml:space="preserve">Association of Urology </w:t>
      </w:r>
      <w:r w:rsidR="00362C5F">
        <w:t xml:space="preserve">(EAU) </w:t>
      </w:r>
      <w:r w:rsidR="00E91568">
        <w:t>G</w:t>
      </w:r>
      <w:r>
        <w:t xml:space="preserve">uideline </w:t>
      </w:r>
      <w:r w:rsidRPr="0015136F">
        <w:t xml:space="preserve">on Prostate Cancer </w:t>
      </w:r>
      <w:r>
        <w:t xml:space="preserve">provide the following </w:t>
      </w:r>
      <w:r w:rsidRPr="00E26387">
        <w:t>guidance:</w:t>
      </w:r>
      <w:r w:rsidR="00680FEE" w:rsidRPr="004F7DDA">
        <w:rPr>
          <w:vertAlign w:val="superscript"/>
        </w:rPr>
        <w:fldChar w:fldCharType="begin"/>
      </w:r>
      <w:r w:rsidR="00680FEE" w:rsidRPr="004F7DDA">
        <w:rPr>
          <w:vertAlign w:val="superscript"/>
        </w:rPr>
        <w:instrText xml:space="preserve"> NOTEREF _Ref106357318 \h </w:instrText>
      </w:r>
      <w:r w:rsidR="00680FEE">
        <w:rPr>
          <w:vertAlign w:val="superscript"/>
        </w:rPr>
        <w:instrText xml:space="preserve"> \* MERGEFORMAT </w:instrText>
      </w:r>
      <w:r w:rsidR="00680FEE" w:rsidRPr="004F7DDA">
        <w:rPr>
          <w:vertAlign w:val="superscript"/>
        </w:rPr>
      </w:r>
      <w:r w:rsidR="00680FEE" w:rsidRPr="004F7DDA">
        <w:rPr>
          <w:vertAlign w:val="superscript"/>
        </w:rPr>
        <w:fldChar w:fldCharType="separate"/>
      </w:r>
      <w:r w:rsidR="00036995">
        <w:rPr>
          <w:vertAlign w:val="superscript"/>
        </w:rPr>
        <w:t>5</w:t>
      </w:r>
      <w:r w:rsidR="00680FEE" w:rsidRPr="004F7DDA">
        <w:rPr>
          <w:vertAlign w:val="superscript"/>
        </w:rPr>
        <w:fldChar w:fldCharType="end"/>
      </w:r>
    </w:p>
    <w:p w14:paraId="2F3363FC" w14:textId="4D5CA3B4" w:rsidR="00277D18" w:rsidRDefault="00E26387" w:rsidP="00BD519A">
      <w:pPr>
        <w:rPr>
          <w:vertAlign w:val="superscript"/>
        </w:rPr>
      </w:pPr>
      <w:r>
        <w:t>‘</w:t>
      </w:r>
      <w:r w:rsidRPr="00BD519A">
        <w:rPr>
          <w:i/>
          <w:iCs/>
        </w:rPr>
        <w:t>CT and MRI sensitivity is less than 40%.</w:t>
      </w:r>
      <w:r w:rsidRPr="004F7DDA">
        <w:rPr>
          <w:iCs/>
          <w:vertAlign w:val="superscript"/>
        </w:rPr>
        <w:footnoteReference w:id="6"/>
      </w:r>
      <w:r w:rsidRPr="004F7DDA">
        <w:rPr>
          <w:iCs/>
          <w:vertAlign w:val="superscript"/>
        </w:rPr>
        <w:t>,</w:t>
      </w:r>
      <w:r w:rsidRPr="004F7DDA">
        <w:rPr>
          <w:iCs/>
          <w:vertAlign w:val="superscript"/>
        </w:rPr>
        <w:footnoteReference w:id="7"/>
      </w:r>
      <w:r w:rsidRPr="00BD519A">
        <w:rPr>
          <w:i/>
          <w:iCs/>
        </w:rPr>
        <w:t xml:space="preserve"> Among 4,264 patients, 654 (15.3%) of whom had positive </w:t>
      </w:r>
      <w:r w:rsidR="00BD519A">
        <w:rPr>
          <w:i/>
          <w:iCs/>
        </w:rPr>
        <w:t>lymph nodes</w:t>
      </w:r>
      <w:r w:rsidRPr="00BD519A">
        <w:rPr>
          <w:i/>
          <w:iCs/>
        </w:rPr>
        <w:t xml:space="preserve"> at </w:t>
      </w:r>
      <w:r w:rsidR="00BD519A">
        <w:rPr>
          <w:i/>
          <w:iCs/>
        </w:rPr>
        <w:t>lymph node dissection</w:t>
      </w:r>
      <w:r w:rsidRPr="00BD519A">
        <w:rPr>
          <w:i/>
          <w:iCs/>
        </w:rPr>
        <w:t>, CT was positive in only 105 patients (2.5%).</w:t>
      </w:r>
      <w:r w:rsidRPr="00BD519A">
        <w:rPr>
          <w:i/>
          <w:iCs/>
          <w:vertAlign w:val="superscript"/>
        </w:rPr>
        <w:footnoteReference w:id="8"/>
      </w:r>
      <w:r w:rsidRPr="00BD519A">
        <w:rPr>
          <w:i/>
          <w:iCs/>
        </w:rPr>
        <w:t xml:space="preserve"> In a multi-centre database of 1,091 patients who underwent pelvic </w:t>
      </w:r>
      <w:r w:rsidR="00BD519A">
        <w:rPr>
          <w:i/>
          <w:iCs/>
        </w:rPr>
        <w:t>lymph node</w:t>
      </w:r>
      <w:r w:rsidRPr="00BD519A">
        <w:rPr>
          <w:i/>
          <w:iCs/>
        </w:rPr>
        <w:t xml:space="preserve"> dissection, CT</w:t>
      </w:r>
      <w:r w:rsidR="00277D18">
        <w:rPr>
          <w:i/>
          <w:iCs/>
        </w:rPr>
        <w:t> </w:t>
      </w:r>
      <w:r w:rsidRPr="00BD519A">
        <w:rPr>
          <w:i/>
          <w:iCs/>
        </w:rPr>
        <w:t>sensitivity and specificity were 8.8% and 98%, respectively.</w:t>
      </w:r>
      <w:r w:rsidRPr="004F7DDA">
        <w:rPr>
          <w:iCs/>
          <w:vertAlign w:val="superscript"/>
        </w:rPr>
        <w:footnoteReference w:id="9"/>
      </w:r>
      <w:r w:rsidRPr="00BD519A">
        <w:rPr>
          <w:i/>
          <w:iCs/>
        </w:rPr>
        <w:t xml:space="preserve"> Detection of microscopic </w:t>
      </w:r>
      <w:r w:rsidR="00BD519A">
        <w:rPr>
          <w:i/>
          <w:iCs/>
        </w:rPr>
        <w:t>lymph node</w:t>
      </w:r>
      <w:r w:rsidRPr="00BD519A">
        <w:rPr>
          <w:i/>
          <w:iCs/>
        </w:rPr>
        <w:t xml:space="preserve"> invasion by CT is &lt; 1% in patients with </w:t>
      </w:r>
      <w:r w:rsidR="006A6197">
        <w:rPr>
          <w:i/>
          <w:iCs/>
        </w:rPr>
        <w:t>International</w:t>
      </w:r>
      <w:r w:rsidR="00BD519A">
        <w:rPr>
          <w:i/>
          <w:iCs/>
        </w:rPr>
        <w:t xml:space="preserve"> Society of Urological Pathology (</w:t>
      </w:r>
      <w:r w:rsidRPr="00BD519A">
        <w:rPr>
          <w:i/>
          <w:iCs/>
        </w:rPr>
        <w:t>ISUP</w:t>
      </w:r>
      <w:r w:rsidR="00BD519A">
        <w:rPr>
          <w:i/>
          <w:iCs/>
        </w:rPr>
        <w:t>)</w:t>
      </w:r>
      <w:r w:rsidRPr="00BD519A">
        <w:rPr>
          <w:i/>
          <w:iCs/>
        </w:rPr>
        <w:t xml:space="preserve"> Grade &lt; 4 cancer, PSA &lt;20 ng/mL, or localised disease.’ </w:t>
      </w:r>
      <w:r w:rsidRPr="004F7DDA">
        <w:rPr>
          <w:iCs/>
          <w:vertAlign w:val="superscript"/>
        </w:rPr>
        <w:footnoteReference w:id="10"/>
      </w:r>
      <w:r w:rsidRPr="004F7DDA">
        <w:rPr>
          <w:iCs/>
          <w:vertAlign w:val="superscript"/>
        </w:rPr>
        <w:t>,</w:t>
      </w:r>
      <w:r w:rsidRPr="004F7DDA">
        <w:rPr>
          <w:iCs/>
          <w:vertAlign w:val="superscript"/>
        </w:rPr>
        <w:footnoteReference w:id="11"/>
      </w:r>
      <w:r w:rsidRPr="004F7DDA">
        <w:rPr>
          <w:iCs/>
          <w:vertAlign w:val="superscript"/>
        </w:rPr>
        <w:t>,</w:t>
      </w:r>
      <w:r w:rsidRPr="004F7DDA">
        <w:rPr>
          <w:iCs/>
          <w:vertAlign w:val="superscript"/>
        </w:rPr>
        <w:footnoteReference w:id="12"/>
      </w:r>
    </w:p>
    <w:p w14:paraId="25FE31CA" w14:textId="0265BB5F" w:rsidR="00E26387" w:rsidRPr="00E26387" w:rsidRDefault="00E26387" w:rsidP="00BD519A">
      <w:r w:rsidRPr="00E26387">
        <w:t xml:space="preserve">Clinical practice continues to evolve </w:t>
      </w:r>
      <w:proofErr w:type="gramStart"/>
      <w:r w:rsidRPr="00E26387">
        <w:t>with regard to</w:t>
      </w:r>
      <w:proofErr w:type="gramEnd"/>
      <w:r w:rsidRPr="00E26387">
        <w:t xml:space="preserve"> the role of imaging in the assessment and staging of prostate cancer. The </w:t>
      </w:r>
      <w:r w:rsidR="00362C5F">
        <w:t>same EAU guideline</w:t>
      </w:r>
      <w:r w:rsidRPr="00E26387">
        <w:t xml:space="preserve"> provide</w:t>
      </w:r>
      <w:r w:rsidR="00362C5F">
        <w:t>s</w:t>
      </w:r>
      <w:r w:rsidRPr="00E26387">
        <w:t xml:space="preserve"> the following summary and guidance on initial N- and M-staging</w:t>
      </w:r>
      <w:bookmarkStart w:id="18" w:name="_Ref106201660"/>
      <w:r w:rsidR="00277D18">
        <w:rPr>
          <w:rStyle w:val="FootnoteReference"/>
        </w:rPr>
        <w:footnoteReference w:id="13"/>
      </w:r>
      <w:bookmarkEnd w:id="18"/>
      <w:r w:rsidRPr="00E26387">
        <w:t xml:space="preserve"> of prostate cancer:</w:t>
      </w:r>
      <w:r w:rsidR="00680FEE" w:rsidRPr="00680FEE">
        <w:rPr>
          <w:vertAlign w:val="superscript"/>
        </w:rPr>
        <w:fldChar w:fldCharType="begin"/>
      </w:r>
      <w:r w:rsidR="00680FEE" w:rsidRPr="004F7DDA">
        <w:rPr>
          <w:vertAlign w:val="superscript"/>
        </w:rPr>
        <w:instrText xml:space="preserve"> NOTEREF _Ref106357318 \h  \* MERGEFORMAT </w:instrText>
      </w:r>
      <w:r w:rsidR="00680FEE" w:rsidRPr="00680FEE">
        <w:rPr>
          <w:vertAlign w:val="superscript"/>
        </w:rPr>
      </w:r>
      <w:r w:rsidR="00680FEE" w:rsidRPr="00680FEE">
        <w:rPr>
          <w:vertAlign w:val="superscript"/>
        </w:rPr>
        <w:fldChar w:fldCharType="separate"/>
      </w:r>
      <w:r w:rsidR="00036995">
        <w:rPr>
          <w:vertAlign w:val="superscript"/>
        </w:rPr>
        <w:t>5</w:t>
      </w:r>
      <w:r w:rsidR="00680FEE" w:rsidRPr="00680FEE">
        <w:rPr>
          <w:vertAlign w:val="superscript"/>
        </w:rPr>
        <w:fldChar w:fldCharType="end"/>
      </w:r>
    </w:p>
    <w:p w14:paraId="19CC8AF1" w14:textId="7C4C564A" w:rsidR="002359CC" w:rsidRDefault="00E26387" w:rsidP="00E26387">
      <w:pPr>
        <w:rPr>
          <w:i/>
          <w:iCs/>
        </w:rPr>
      </w:pPr>
      <w:r>
        <w:rPr>
          <w:i/>
          <w:iCs/>
        </w:rPr>
        <w:t>‘</w:t>
      </w:r>
      <w:r w:rsidRPr="00E26387">
        <w:rPr>
          <w:i/>
          <w:iCs/>
        </w:rPr>
        <w:t xml:space="preserve">The field of non-invasive N- and M-staging of </w:t>
      </w:r>
      <w:proofErr w:type="spellStart"/>
      <w:r w:rsidRPr="00E26387">
        <w:rPr>
          <w:i/>
          <w:iCs/>
        </w:rPr>
        <w:t>PCa</w:t>
      </w:r>
      <w:proofErr w:type="spellEnd"/>
      <w:r w:rsidR="00277D18">
        <w:rPr>
          <w:i/>
          <w:iCs/>
        </w:rPr>
        <w:t xml:space="preserve"> </w:t>
      </w:r>
      <w:r w:rsidR="00277D18">
        <w:rPr>
          <w:iCs/>
        </w:rPr>
        <w:t>[prostate cancer]</w:t>
      </w:r>
      <w:r w:rsidRPr="00E26387">
        <w:rPr>
          <w:i/>
          <w:iCs/>
        </w:rPr>
        <w:t xml:space="preserve"> patients is evolving very rapidly. Evidence shows that choline PET/CT, PSMA </w:t>
      </w:r>
      <w:r w:rsidR="00277D18">
        <w:rPr>
          <w:iCs/>
        </w:rPr>
        <w:t xml:space="preserve">[prostate-specific membrane antigen] </w:t>
      </w:r>
      <w:r w:rsidRPr="00E26387">
        <w:rPr>
          <w:i/>
          <w:iCs/>
        </w:rPr>
        <w:t xml:space="preserve">PET/CT and MRI provide a more sensitive detection of </w:t>
      </w:r>
      <w:r w:rsidR="002359CC">
        <w:rPr>
          <w:i/>
          <w:iCs/>
        </w:rPr>
        <w:t>lymph node</w:t>
      </w:r>
      <w:r w:rsidRPr="00E26387">
        <w:rPr>
          <w:i/>
          <w:iCs/>
        </w:rPr>
        <w:t xml:space="preserve">- and bone metastases than the classical work-up with bone scan and abdominopelvic CT. In view of the evidence offered by the randomised, multi-centre </w:t>
      </w:r>
      <w:proofErr w:type="spellStart"/>
      <w:r w:rsidRPr="00E26387">
        <w:rPr>
          <w:i/>
          <w:iCs/>
        </w:rPr>
        <w:t>proPSMA</w:t>
      </w:r>
      <w:proofErr w:type="spellEnd"/>
      <w:r w:rsidRPr="00E26387">
        <w:rPr>
          <w:i/>
          <w:iCs/>
        </w:rPr>
        <w:t xml:space="preserve"> trial</w:t>
      </w:r>
      <w:bookmarkStart w:id="19" w:name="_Ref104543225"/>
      <w:r w:rsidR="00277D18">
        <w:rPr>
          <w:i/>
          <w:iCs/>
        </w:rPr>
        <w:t>,</w:t>
      </w:r>
      <w:bookmarkStart w:id="20" w:name="_Ref106353637"/>
      <w:r w:rsidRPr="004F7DDA">
        <w:rPr>
          <w:rStyle w:val="FootnoteReference"/>
          <w:iCs/>
        </w:rPr>
        <w:footnoteReference w:id="14"/>
      </w:r>
      <w:bookmarkEnd w:id="19"/>
      <w:bookmarkEnd w:id="20"/>
      <w:r w:rsidRPr="00E26387">
        <w:rPr>
          <w:i/>
          <w:iCs/>
        </w:rPr>
        <w:t xml:space="preserve"> replacing bone scan and abdominopelvic CT by more sensitive imaging modalities may be a consideration in patients with high-risk </w:t>
      </w:r>
      <w:proofErr w:type="spellStart"/>
      <w:r w:rsidRPr="00E26387">
        <w:rPr>
          <w:i/>
          <w:iCs/>
        </w:rPr>
        <w:t>PCa</w:t>
      </w:r>
      <w:proofErr w:type="spellEnd"/>
      <w:r w:rsidRPr="00E26387">
        <w:rPr>
          <w:i/>
          <w:iCs/>
        </w:rPr>
        <w:t xml:space="preserve"> undergoing initial staging. However, in absence of prospective studies demonstrating survival benefit, caution must be used when taking therapeutic decisions. The prognosis and ideal management of patients diagnosed as metastatic by these more sensitive </w:t>
      </w:r>
      <w:r w:rsidRPr="00E26387">
        <w:rPr>
          <w:i/>
          <w:iCs/>
        </w:rPr>
        <w:lastRenderedPageBreak/>
        <w:t xml:space="preserve">tests is unknown. </w:t>
      </w:r>
      <w:proofErr w:type="gramStart"/>
      <w:r w:rsidRPr="00E26387">
        <w:rPr>
          <w:i/>
          <w:iCs/>
        </w:rPr>
        <w:t>In particular, it</w:t>
      </w:r>
      <w:proofErr w:type="gramEnd"/>
      <w:r w:rsidRPr="00E26387">
        <w:rPr>
          <w:i/>
          <w:iCs/>
        </w:rPr>
        <w:t xml:space="preserve"> is unclear whether patients with metastases detectable only with PET/CT or MRI should be managed using systemic therapies, or whether they should be subjected to aggressive local and metastases-directed therapies.</w:t>
      </w:r>
    </w:p>
    <w:p w14:paraId="23C8C9C2" w14:textId="1763F572" w:rsidR="00E26387" w:rsidRPr="00E26387" w:rsidRDefault="00E26387" w:rsidP="00E26387">
      <w:pPr>
        <w:rPr>
          <w:i/>
          <w:iCs/>
        </w:rPr>
      </w:pPr>
      <w:r w:rsidRPr="00E26387">
        <w:rPr>
          <w:i/>
          <w:iCs/>
        </w:rPr>
        <w:t>Results from RCTs</w:t>
      </w:r>
      <w:r w:rsidR="00277D18">
        <w:rPr>
          <w:i/>
          <w:iCs/>
        </w:rPr>
        <w:t xml:space="preserve"> </w:t>
      </w:r>
      <w:r w:rsidR="00277D18">
        <w:rPr>
          <w:iCs/>
        </w:rPr>
        <w:t>[randomised control trials]</w:t>
      </w:r>
      <w:r w:rsidRPr="00E26387">
        <w:rPr>
          <w:i/>
          <w:iCs/>
        </w:rPr>
        <w:t xml:space="preserve"> evaluating the management and outcome of patients with (and without) metastases detected by choline PET/CT, PSMA PET/CT and MRI are awaited before a decision can be made to treat patients based on the results of these tests.</w:t>
      </w:r>
      <w:r>
        <w:rPr>
          <w:i/>
          <w:iCs/>
        </w:rPr>
        <w:t>’</w:t>
      </w:r>
    </w:p>
    <w:p w14:paraId="27A60AA7" w14:textId="2491294F" w:rsidR="007469A6" w:rsidRDefault="00B2200C" w:rsidP="00B2200C">
      <w:pPr>
        <w:pStyle w:val="TableTitle"/>
      </w:pPr>
      <w:bookmarkStart w:id="21" w:name="_Ref103684413"/>
      <w:r w:rsidRPr="00B2200C">
        <w:t xml:space="preserve">Table </w:t>
      </w:r>
      <w:fldSimple w:instr=" SEQ Table \* ARABIC ">
        <w:r w:rsidR="00036995">
          <w:rPr>
            <w:noProof/>
          </w:rPr>
          <w:t>1</w:t>
        </w:r>
      </w:fldSimple>
      <w:bookmarkEnd w:id="21"/>
      <w:r>
        <w:t xml:space="preserve">: Extract of the initial risk stratification and staging workup for clinically localised disease, </w:t>
      </w:r>
      <w:r w:rsidR="002359CC" w:rsidRPr="002359CC">
        <w:t>National Comprehensive Cancer Network</w:t>
      </w:r>
      <w:r>
        <w:t xml:space="preserve"> Guidelines Version</w:t>
      </w:r>
      <w:r w:rsidR="00074761">
        <w:t> </w:t>
      </w:r>
      <w:r>
        <w:t>2.2021 Prostate Cancer</w:t>
      </w:r>
    </w:p>
    <w:tbl>
      <w:tblPr>
        <w:tblStyle w:val="TableTGAblue"/>
        <w:tblW w:w="8540" w:type="dxa"/>
        <w:tblLayout w:type="fixed"/>
        <w:tblLook w:val="04A0" w:firstRow="1" w:lastRow="0" w:firstColumn="1" w:lastColumn="0" w:noHBand="0" w:noVBand="1"/>
      </w:tblPr>
      <w:tblGrid>
        <w:gridCol w:w="1070"/>
        <w:gridCol w:w="2880"/>
        <w:gridCol w:w="2070"/>
        <w:gridCol w:w="2520"/>
      </w:tblGrid>
      <w:tr w:rsidR="007469A6" w:rsidRPr="002764C3" w14:paraId="002A1A03" w14:textId="77777777" w:rsidTr="004F7DDA">
        <w:trPr>
          <w:cnfStyle w:val="100000000000" w:firstRow="1" w:lastRow="0" w:firstColumn="0" w:lastColumn="0" w:oddVBand="0" w:evenVBand="0" w:oddHBand="0" w:evenHBand="0" w:firstRowFirstColumn="0" w:firstRowLastColumn="0" w:lastRowFirstColumn="0" w:lastRowLastColumn="0"/>
        </w:trPr>
        <w:tc>
          <w:tcPr>
            <w:tcW w:w="1070" w:type="dxa"/>
            <w:hideMark/>
          </w:tcPr>
          <w:p w14:paraId="260C0D14" w14:textId="77777777" w:rsidR="007469A6" w:rsidRPr="004F7DDA" w:rsidRDefault="007469A6" w:rsidP="004F7DDA">
            <w:pPr>
              <w:ind w:left="0" w:right="0"/>
              <w:rPr>
                <w:sz w:val="19"/>
                <w:szCs w:val="19"/>
              </w:rPr>
            </w:pPr>
            <w:r w:rsidRPr="004F7DDA">
              <w:rPr>
                <w:sz w:val="19"/>
                <w:szCs w:val="19"/>
                <w:lang w:eastAsia="en-US"/>
              </w:rPr>
              <w:t>Risk Group</w:t>
            </w:r>
          </w:p>
        </w:tc>
        <w:tc>
          <w:tcPr>
            <w:tcW w:w="4950" w:type="dxa"/>
            <w:gridSpan w:val="2"/>
            <w:hideMark/>
          </w:tcPr>
          <w:p w14:paraId="4120B29A" w14:textId="1A9F5F3B" w:rsidR="007469A6" w:rsidRPr="004F7DDA" w:rsidRDefault="007469A6" w:rsidP="004F7DDA">
            <w:pPr>
              <w:ind w:left="0" w:right="0"/>
              <w:rPr>
                <w:sz w:val="19"/>
                <w:szCs w:val="19"/>
              </w:rPr>
            </w:pPr>
            <w:r w:rsidRPr="004F7DDA">
              <w:rPr>
                <w:sz w:val="19"/>
                <w:szCs w:val="19"/>
                <w:lang w:eastAsia="en-US"/>
              </w:rPr>
              <w:t>Clinical/Pathologic</w:t>
            </w:r>
            <w:r>
              <w:rPr>
                <w:sz w:val="19"/>
                <w:szCs w:val="19"/>
              </w:rPr>
              <w:t xml:space="preserve"> features</w:t>
            </w:r>
          </w:p>
        </w:tc>
        <w:tc>
          <w:tcPr>
            <w:tcW w:w="2520" w:type="dxa"/>
            <w:hideMark/>
          </w:tcPr>
          <w:p w14:paraId="61C93CB0" w14:textId="54916B33" w:rsidR="007469A6" w:rsidRPr="004F7DDA" w:rsidRDefault="007469A6" w:rsidP="004F7DDA">
            <w:pPr>
              <w:ind w:left="0" w:right="0"/>
              <w:rPr>
                <w:sz w:val="19"/>
                <w:szCs w:val="19"/>
                <w:vertAlign w:val="superscript"/>
              </w:rPr>
            </w:pPr>
            <w:r>
              <w:rPr>
                <w:sz w:val="19"/>
                <w:szCs w:val="19"/>
              </w:rPr>
              <w:t>Imaging</w:t>
            </w:r>
            <w:r w:rsidR="00A24C1F">
              <w:rPr>
                <w:sz w:val="19"/>
                <w:szCs w:val="19"/>
                <w:vertAlign w:val="superscript"/>
              </w:rPr>
              <w:t>4</w:t>
            </w:r>
          </w:p>
        </w:tc>
      </w:tr>
      <w:tr w:rsidR="007469A6" w:rsidRPr="002764C3" w14:paraId="0EADED40" w14:textId="77777777" w:rsidTr="004F7DDA">
        <w:tc>
          <w:tcPr>
            <w:tcW w:w="1070" w:type="dxa"/>
            <w:hideMark/>
          </w:tcPr>
          <w:p w14:paraId="6A34920B" w14:textId="5294999C" w:rsidR="007469A6" w:rsidRPr="004F7DDA" w:rsidRDefault="00A24C1F" w:rsidP="004F7DDA">
            <w:pPr>
              <w:ind w:left="0" w:right="0"/>
              <w:rPr>
                <w:sz w:val="19"/>
                <w:szCs w:val="19"/>
                <w:vertAlign w:val="superscript"/>
              </w:rPr>
            </w:pPr>
            <w:r>
              <w:rPr>
                <w:sz w:val="19"/>
                <w:szCs w:val="19"/>
              </w:rPr>
              <w:t>Very low</w:t>
            </w:r>
            <w:r>
              <w:rPr>
                <w:sz w:val="19"/>
                <w:szCs w:val="19"/>
                <w:vertAlign w:val="superscript"/>
              </w:rPr>
              <w:t>1</w:t>
            </w:r>
          </w:p>
        </w:tc>
        <w:tc>
          <w:tcPr>
            <w:tcW w:w="4950" w:type="dxa"/>
            <w:gridSpan w:val="2"/>
            <w:hideMark/>
          </w:tcPr>
          <w:p w14:paraId="1A90A684" w14:textId="77777777" w:rsidR="007469A6" w:rsidRDefault="007469A6" w:rsidP="004F7DDA">
            <w:pPr>
              <w:ind w:left="0" w:right="0"/>
              <w:rPr>
                <w:sz w:val="19"/>
                <w:szCs w:val="19"/>
              </w:rPr>
            </w:pPr>
            <w:r>
              <w:rPr>
                <w:sz w:val="19"/>
                <w:szCs w:val="19"/>
              </w:rPr>
              <w:t xml:space="preserve">Has </w:t>
            </w:r>
            <w:proofErr w:type="gramStart"/>
            <w:r>
              <w:rPr>
                <w:sz w:val="19"/>
                <w:szCs w:val="19"/>
              </w:rPr>
              <w:t>all of</w:t>
            </w:r>
            <w:proofErr w:type="gramEnd"/>
            <w:r>
              <w:rPr>
                <w:sz w:val="19"/>
                <w:szCs w:val="19"/>
              </w:rPr>
              <w:t xml:space="preserve"> the following:</w:t>
            </w:r>
          </w:p>
          <w:p w14:paraId="067F3D56" w14:textId="0CC91E00" w:rsidR="007469A6" w:rsidRPr="004F7DDA" w:rsidRDefault="007469A6" w:rsidP="004F7DDA">
            <w:pPr>
              <w:pStyle w:val="ListBullet"/>
              <w:spacing w:before="0" w:after="0"/>
              <w:ind w:right="173"/>
              <w:rPr>
                <w:sz w:val="20"/>
              </w:rPr>
            </w:pPr>
            <w:r w:rsidRPr="004F7DDA">
              <w:rPr>
                <w:sz w:val="20"/>
              </w:rPr>
              <w:t>T1c</w:t>
            </w:r>
          </w:p>
          <w:p w14:paraId="5A60B141" w14:textId="77777777" w:rsidR="007469A6" w:rsidRPr="004F7DDA" w:rsidRDefault="007469A6" w:rsidP="004F7DDA">
            <w:pPr>
              <w:pStyle w:val="ListBullet"/>
              <w:spacing w:before="0" w:after="0"/>
              <w:ind w:right="173"/>
              <w:rPr>
                <w:sz w:val="20"/>
              </w:rPr>
            </w:pPr>
            <w:r w:rsidRPr="004F7DDA">
              <w:rPr>
                <w:sz w:val="20"/>
              </w:rPr>
              <w:t>Grade Group 1</w:t>
            </w:r>
          </w:p>
          <w:p w14:paraId="4A7D007A" w14:textId="77777777" w:rsidR="007469A6" w:rsidRPr="004F7DDA" w:rsidRDefault="007469A6" w:rsidP="004F7DDA">
            <w:pPr>
              <w:pStyle w:val="ListBullet"/>
              <w:spacing w:before="0" w:after="0"/>
              <w:ind w:right="173"/>
              <w:rPr>
                <w:sz w:val="20"/>
              </w:rPr>
            </w:pPr>
            <w:r w:rsidRPr="004F7DDA">
              <w:rPr>
                <w:sz w:val="20"/>
                <w:lang w:eastAsia="en-US"/>
              </w:rPr>
              <w:t>PSA &lt;</w:t>
            </w:r>
            <w:r w:rsidRPr="004F7DDA">
              <w:rPr>
                <w:sz w:val="20"/>
              </w:rPr>
              <w:t>10 ng/mL</w:t>
            </w:r>
          </w:p>
          <w:p w14:paraId="57F8430F" w14:textId="53E092EC" w:rsidR="007469A6" w:rsidRPr="004F7DDA" w:rsidRDefault="007469A6" w:rsidP="004F7DDA">
            <w:pPr>
              <w:pStyle w:val="ListBullet"/>
              <w:spacing w:before="0" w:after="0"/>
              <w:ind w:right="173"/>
              <w:rPr>
                <w:sz w:val="20"/>
              </w:rPr>
            </w:pPr>
            <w:r w:rsidRPr="004F7DDA">
              <w:rPr>
                <w:sz w:val="20"/>
                <w:lang w:eastAsia="en-US"/>
              </w:rPr>
              <w:t>Fewer than 3</w:t>
            </w:r>
            <w:r w:rsidRPr="004F7DDA">
              <w:rPr>
                <w:sz w:val="20"/>
              </w:rPr>
              <w:t xml:space="preserve"> prostate</w:t>
            </w:r>
            <w:r w:rsidR="00B8547B" w:rsidRPr="004F7DDA">
              <w:rPr>
                <w:sz w:val="20"/>
              </w:rPr>
              <w:t xml:space="preserve"> biopsy </w:t>
            </w:r>
            <w:r w:rsidRPr="004F7DDA">
              <w:rPr>
                <w:sz w:val="20"/>
              </w:rPr>
              <w:t>fragments</w:t>
            </w:r>
            <w:r w:rsidR="00B8547B" w:rsidRPr="004F7DDA">
              <w:rPr>
                <w:sz w:val="20"/>
              </w:rPr>
              <w:t>/cores</w:t>
            </w:r>
            <w:r w:rsidRPr="004F7DDA">
              <w:rPr>
                <w:sz w:val="20"/>
              </w:rPr>
              <w:t xml:space="preserve"> positive</w:t>
            </w:r>
            <w:r w:rsidR="00B8547B" w:rsidRPr="004F7DDA">
              <w:rPr>
                <w:sz w:val="20"/>
              </w:rPr>
              <w:t xml:space="preserve">. </w:t>
            </w:r>
            <w:r w:rsidRPr="004F7DDA">
              <w:rPr>
                <w:sz w:val="20"/>
              </w:rPr>
              <w:t>&lt; 50% cancer in each fragment /core</w:t>
            </w:r>
            <w:r w:rsidR="00A24C1F">
              <w:rPr>
                <w:sz w:val="20"/>
                <w:vertAlign w:val="superscript"/>
              </w:rPr>
              <w:t>2</w:t>
            </w:r>
          </w:p>
          <w:p w14:paraId="3D04759F" w14:textId="6A317DB3" w:rsidR="007469A6" w:rsidRPr="004F7DDA" w:rsidRDefault="007469A6" w:rsidP="004F7DDA">
            <w:pPr>
              <w:pStyle w:val="ListBullet"/>
              <w:spacing w:before="0" w:after="0"/>
              <w:ind w:right="173"/>
            </w:pPr>
            <w:r w:rsidRPr="004F7DDA">
              <w:rPr>
                <w:sz w:val="20"/>
                <w:lang w:eastAsia="en-US"/>
              </w:rPr>
              <w:t>PSA density &lt;</w:t>
            </w:r>
            <w:r w:rsidRPr="004F7DDA">
              <w:rPr>
                <w:sz w:val="20"/>
              </w:rPr>
              <w:t xml:space="preserve"> </w:t>
            </w:r>
            <w:r w:rsidRPr="004F7DDA">
              <w:rPr>
                <w:sz w:val="20"/>
                <w:lang w:eastAsia="en-US"/>
              </w:rPr>
              <w:t>0.15 ng/mL/g</w:t>
            </w:r>
            <w:r w:rsidRPr="004F7DDA">
              <w:rPr>
                <w:sz w:val="20"/>
              </w:rPr>
              <w:t xml:space="preserve"> </w:t>
            </w:r>
          </w:p>
        </w:tc>
        <w:tc>
          <w:tcPr>
            <w:tcW w:w="2520" w:type="dxa"/>
            <w:hideMark/>
          </w:tcPr>
          <w:p w14:paraId="65732DB9" w14:textId="7CDEE20F" w:rsidR="007469A6" w:rsidRPr="004F7DDA" w:rsidRDefault="007469A6" w:rsidP="004F7DDA">
            <w:pPr>
              <w:ind w:left="0" w:right="0"/>
              <w:rPr>
                <w:sz w:val="19"/>
                <w:szCs w:val="19"/>
              </w:rPr>
            </w:pPr>
            <w:r w:rsidRPr="004F7DDA">
              <w:rPr>
                <w:sz w:val="19"/>
                <w:szCs w:val="19"/>
                <w:lang w:eastAsia="en-US"/>
              </w:rPr>
              <w:t>Conside</w:t>
            </w:r>
            <w:r>
              <w:rPr>
                <w:sz w:val="19"/>
                <w:szCs w:val="19"/>
              </w:rPr>
              <w:t>r confirmatory prostate biopsy</w:t>
            </w:r>
            <w:r w:rsidRPr="004F7DDA">
              <w:rPr>
                <w:sz w:val="19"/>
                <w:szCs w:val="19"/>
                <w:lang w:eastAsia="en-US"/>
              </w:rPr>
              <w:t xml:space="preserve"> </w:t>
            </w:r>
            <w:r>
              <w:rPr>
                <w:sz w:val="19"/>
                <w:szCs w:val="19"/>
              </w:rPr>
              <w:t>±</w:t>
            </w:r>
            <w:proofErr w:type="spellStart"/>
            <w:r w:rsidRPr="004F7DDA">
              <w:rPr>
                <w:sz w:val="19"/>
                <w:szCs w:val="19"/>
                <w:lang w:eastAsia="en-US"/>
              </w:rPr>
              <w:t>mpMRI</w:t>
            </w:r>
            <w:proofErr w:type="spellEnd"/>
            <w:r w:rsidRPr="004F7DDA">
              <w:rPr>
                <w:sz w:val="19"/>
                <w:szCs w:val="19"/>
                <w:lang w:eastAsia="en-US"/>
              </w:rPr>
              <w:t xml:space="preserve"> to establish candidacy for active surveillance</w:t>
            </w:r>
          </w:p>
        </w:tc>
      </w:tr>
      <w:tr w:rsidR="007469A6" w:rsidRPr="002764C3" w14:paraId="4FD8A41A" w14:textId="77777777" w:rsidTr="004F7DDA">
        <w:tc>
          <w:tcPr>
            <w:tcW w:w="1070" w:type="dxa"/>
            <w:hideMark/>
          </w:tcPr>
          <w:p w14:paraId="417357F6" w14:textId="2065941B" w:rsidR="007469A6" w:rsidRPr="004F7DDA" w:rsidRDefault="007469A6" w:rsidP="004F7DDA">
            <w:pPr>
              <w:ind w:left="0" w:right="0"/>
              <w:rPr>
                <w:sz w:val="19"/>
                <w:szCs w:val="19"/>
                <w:vertAlign w:val="superscript"/>
              </w:rPr>
            </w:pPr>
            <w:r w:rsidRPr="004F7DDA">
              <w:rPr>
                <w:sz w:val="19"/>
                <w:szCs w:val="19"/>
                <w:lang w:eastAsia="en-US"/>
              </w:rPr>
              <w:t>Low</w:t>
            </w:r>
            <w:r w:rsidR="00A24C1F">
              <w:rPr>
                <w:sz w:val="19"/>
                <w:szCs w:val="19"/>
                <w:vertAlign w:val="superscript"/>
              </w:rPr>
              <w:t>1</w:t>
            </w:r>
          </w:p>
        </w:tc>
        <w:tc>
          <w:tcPr>
            <w:tcW w:w="4950" w:type="dxa"/>
            <w:gridSpan w:val="2"/>
            <w:hideMark/>
          </w:tcPr>
          <w:p w14:paraId="28988C4B" w14:textId="55908AD3" w:rsidR="007469A6" w:rsidRDefault="007469A6" w:rsidP="004F7DDA">
            <w:pPr>
              <w:ind w:left="0" w:right="0"/>
              <w:rPr>
                <w:sz w:val="19"/>
                <w:szCs w:val="19"/>
              </w:rPr>
            </w:pPr>
            <w:r w:rsidRPr="004F7DDA">
              <w:rPr>
                <w:sz w:val="19"/>
                <w:szCs w:val="19"/>
                <w:lang w:eastAsia="en-US"/>
              </w:rPr>
              <w:t xml:space="preserve">Has </w:t>
            </w:r>
            <w:proofErr w:type="gramStart"/>
            <w:r w:rsidRPr="004F7DDA">
              <w:rPr>
                <w:sz w:val="19"/>
                <w:szCs w:val="19"/>
                <w:lang w:eastAsia="en-US"/>
              </w:rPr>
              <w:t>all of</w:t>
            </w:r>
            <w:proofErr w:type="gramEnd"/>
            <w:r w:rsidRPr="004F7DDA">
              <w:rPr>
                <w:sz w:val="19"/>
                <w:szCs w:val="19"/>
                <w:lang w:eastAsia="en-US"/>
              </w:rPr>
              <w:t xml:space="preserve"> the following but </w:t>
            </w:r>
            <w:r w:rsidRPr="00A70241">
              <w:rPr>
                <w:sz w:val="19"/>
                <w:szCs w:val="19"/>
              </w:rPr>
              <w:t>does not qualify</w:t>
            </w:r>
            <w:r>
              <w:rPr>
                <w:sz w:val="19"/>
                <w:szCs w:val="19"/>
              </w:rPr>
              <w:t xml:space="preserve"> for very low risk:</w:t>
            </w:r>
          </w:p>
          <w:p w14:paraId="7F4AE24C" w14:textId="77777777" w:rsidR="007469A6" w:rsidRPr="004F7DDA" w:rsidRDefault="007469A6" w:rsidP="004F7DDA">
            <w:pPr>
              <w:pStyle w:val="ListBullet"/>
              <w:spacing w:before="0" w:after="0"/>
              <w:ind w:right="173"/>
              <w:rPr>
                <w:sz w:val="20"/>
              </w:rPr>
            </w:pPr>
            <w:r w:rsidRPr="004F7DDA">
              <w:rPr>
                <w:sz w:val="20"/>
              </w:rPr>
              <w:t>T1-T2a</w:t>
            </w:r>
          </w:p>
          <w:p w14:paraId="76D881A1" w14:textId="77777777" w:rsidR="007469A6" w:rsidRPr="004F7DDA" w:rsidRDefault="007469A6" w:rsidP="004F7DDA">
            <w:pPr>
              <w:pStyle w:val="ListBullet"/>
              <w:spacing w:before="0" w:after="0"/>
              <w:ind w:right="173"/>
              <w:rPr>
                <w:sz w:val="20"/>
              </w:rPr>
            </w:pPr>
            <w:r w:rsidRPr="004F7DDA">
              <w:rPr>
                <w:sz w:val="20"/>
              </w:rPr>
              <w:t>Grade Group 1</w:t>
            </w:r>
          </w:p>
          <w:p w14:paraId="52A53B14" w14:textId="6AF1FFC9" w:rsidR="007469A6" w:rsidRPr="004F7DDA" w:rsidRDefault="007469A6" w:rsidP="004F7DDA">
            <w:pPr>
              <w:pStyle w:val="ListBullet"/>
              <w:spacing w:before="0" w:after="0"/>
              <w:ind w:right="173"/>
            </w:pPr>
            <w:r w:rsidRPr="004F7DDA">
              <w:rPr>
                <w:sz w:val="20"/>
                <w:lang w:eastAsia="en-US"/>
              </w:rPr>
              <w:t>PSA &lt;10 ng/mL</w:t>
            </w:r>
          </w:p>
        </w:tc>
        <w:tc>
          <w:tcPr>
            <w:tcW w:w="2520" w:type="dxa"/>
            <w:hideMark/>
          </w:tcPr>
          <w:p w14:paraId="30448615" w14:textId="43CC717E" w:rsidR="007469A6" w:rsidRPr="004F7DDA" w:rsidRDefault="007469A6" w:rsidP="004F7DDA">
            <w:pPr>
              <w:ind w:left="0" w:right="0"/>
              <w:rPr>
                <w:sz w:val="19"/>
                <w:szCs w:val="19"/>
              </w:rPr>
            </w:pPr>
            <w:r w:rsidRPr="00A70241">
              <w:rPr>
                <w:sz w:val="19"/>
                <w:szCs w:val="19"/>
              </w:rPr>
              <w:t xml:space="preserve">Consider confirmatory prostate biopsy + </w:t>
            </w:r>
            <w:proofErr w:type="spellStart"/>
            <w:r w:rsidRPr="00A70241">
              <w:rPr>
                <w:sz w:val="19"/>
                <w:szCs w:val="19"/>
              </w:rPr>
              <w:t>mpMRI</w:t>
            </w:r>
            <w:proofErr w:type="spellEnd"/>
            <w:r w:rsidRPr="00A70241">
              <w:rPr>
                <w:sz w:val="19"/>
                <w:szCs w:val="19"/>
              </w:rPr>
              <w:t xml:space="preserve"> to establish candidacy for active surveillance</w:t>
            </w:r>
          </w:p>
        </w:tc>
      </w:tr>
      <w:tr w:rsidR="00B41242" w:rsidRPr="002764C3" w14:paraId="196A0FB3" w14:textId="77777777" w:rsidTr="004F7DDA">
        <w:trPr>
          <w:cantSplit/>
        </w:trPr>
        <w:tc>
          <w:tcPr>
            <w:tcW w:w="1070" w:type="dxa"/>
            <w:vMerge w:val="restart"/>
            <w:hideMark/>
          </w:tcPr>
          <w:p w14:paraId="451C566E" w14:textId="5123FC6E" w:rsidR="00B41242" w:rsidRPr="004F7DDA" w:rsidRDefault="00A24C1F" w:rsidP="004F7DDA">
            <w:pPr>
              <w:ind w:left="0" w:right="0"/>
              <w:rPr>
                <w:sz w:val="19"/>
                <w:szCs w:val="19"/>
                <w:vertAlign w:val="superscript"/>
              </w:rPr>
            </w:pPr>
            <w:r>
              <w:rPr>
                <w:sz w:val="19"/>
                <w:szCs w:val="19"/>
              </w:rPr>
              <w:t>Intermed</w:t>
            </w:r>
            <w:r>
              <w:rPr>
                <w:sz w:val="19"/>
                <w:szCs w:val="19"/>
                <w:vertAlign w:val="superscript"/>
              </w:rPr>
              <w:t>1</w:t>
            </w:r>
          </w:p>
        </w:tc>
        <w:tc>
          <w:tcPr>
            <w:tcW w:w="2880" w:type="dxa"/>
            <w:vMerge w:val="restart"/>
            <w:hideMark/>
          </w:tcPr>
          <w:p w14:paraId="333FA91F" w14:textId="77777777" w:rsidR="00B41242" w:rsidRDefault="00B41242" w:rsidP="004F7DDA">
            <w:pPr>
              <w:ind w:left="0" w:right="0"/>
              <w:rPr>
                <w:sz w:val="19"/>
                <w:szCs w:val="19"/>
              </w:rPr>
            </w:pPr>
            <w:r>
              <w:rPr>
                <w:sz w:val="19"/>
                <w:szCs w:val="19"/>
              </w:rPr>
              <w:t xml:space="preserve">Has </w:t>
            </w:r>
            <w:proofErr w:type="gramStart"/>
            <w:r>
              <w:rPr>
                <w:sz w:val="19"/>
                <w:szCs w:val="19"/>
              </w:rPr>
              <w:t>all of</w:t>
            </w:r>
            <w:proofErr w:type="gramEnd"/>
            <w:r>
              <w:rPr>
                <w:sz w:val="19"/>
                <w:szCs w:val="19"/>
              </w:rPr>
              <w:t xml:space="preserve"> the following:</w:t>
            </w:r>
          </w:p>
          <w:p w14:paraId="73B60291" w14:textId="77777777" w:rsidR="00B8547B" w:rsidRDefault="00B8547B" w:rsidP="004F7DDA">
            <w:pPr>
              <w:pStyle w:val="ListBullet"/>
              <w:spacing w:before="0" w:after="0"/>
              <w:ind w:right="173"/>
              <w:rPr>
                <w:sz w:val="20"/>
              </w:rPr>
            </w:pPr>
            <w:r>
              <w:rPr>
                <w:sz w:val="20"/>
              </w:rPr>
              <w:t>No high-risk group features</w:t>
            </w:r>
          </w:p>
          <w:p w14:paraId="16605384" w14:textId="268C6972" w:rsidR="00B41242" w:rsidRPr="004F7DDA" w:rsidRDefault="00B41242" w:rsidP="004F7DDA">
            <w:pPr>
              <w:pStyle w:val="ListBullet"/>
              <w:spacing w:before="0" w:after="0"/>
              <w:ind w:right="173"/>
              <w:rPr>
                <w:sz w:val="20"/>
              </w:rPr>
            </w:pPr>
            <w:r w:rsidRPr="004F7DDA">
              <w:rPr>
                <w:sz w:val="20"/>
                <w:lang w:eastAsia="en-US"/>
              </w:rPr>
              <w:t>No very-high</w:t>
            </w:r>
            <w:r w:rsidRPr="004F7DDA">
              <w:rPr>
                <w:sz w:val="20"/>
              </w:rPr>
              <w:t>-risk group features</w:t>
            </w:r>
          </w:p>
          <w:p w14:paraId="77E35959" w14:textId="77777777" w:rsidR="00B41242" w:rsidRPr="004F7DDA" w:rsidRDefault="00B41242" w:rsidP="004F7DDA">
            <w:pPr>
              <w:rPr>
                <w:sz w:val="20"/>
              </w:rPr>
            </w:pPr>
            <w:r w:rsidRPr="004F7DDA">
              <w:rPr>
                <w:sz w:val="20"/>
                <w:lang w:eastAsia="en-US"/>
              </w:rPr>
              <w:t>Has one or more</w:t>
            </w:r>
            <w:r w:rsidRPr="004F7DDA">
              <w:rPr>
                <w:sz w:val="20"/>
              </w:rPr>
              <w:t xml:space="preserve"> intermediate risk factors (IRF):</w:t>
            </w:r>
          </w:p>
          <w:p w14:paraId="3C614527" w14:textId="77777777" w:rsidR="00B41242" w:rsidRPr="004F7DDA" w:rsidRDefault="00B41242" w:rsidP="004F7DDA">
            <w:pPr>
              <w:pStyle w:val="ListBullet"/>
              <w:spacing w:before="0" w:after="0"/>
              <w:ind w:right="173"/>
              <w:rPr>
                <w:sz w:val="20"/>
              </w:rPr>
            </w:pPr>
            <w:r w:rsidRPr="004F7DDA">
              <w:rPr>
                <w:sz w:val="20"/>
              </w:rPr>
              <w:t>T2b-T2c</w:t>
            </w:r>
          </w:p>
          <w:p w14:paraId="09E30BDE" w14:textId="77777777" w:rsidR="00B41242" w:rsidRPr="004F7DDA" w:rsidRDefault="00B41242" w:rsidP="004F7DDA">
            <w:pPr>
              <w:pStyle w:val="ListBullet"/>
              <w:spacing w:before="0" w:after="0"/>
              <w:ind w:right="173"/>
              <w:rPr>
                <w:sz w:val="20"/>
              </w:rPr>
            </w:pPr>
            <w:r w:rsidRPr="004F7DDA">
              <w:rPr>
                <w:sz w:val="20"/>
              </w:rPr>
              <w:t>Grade Group 2 or 3</w:t>
            </w:r>
          </w:p>
          <w:p w14:paraId="6B2CA3C2" w14:textId="6B0DC247" w:rsidR="00B41242" w:rsidRPr="004F7DDA" w:rsidRDefault="00B41242" w:rsidP="004F7DDA">
            <w:pPr>
              <w:pStyle w:val="ListBullet"/>
              <w:spacing w:before="0" w:after="0"/>
              <w:ind w:right="173"/>
            </w:pPr>
            <w:r w:rsidRPr="004F7DDA">
              <w:rPr>
                <w:sz w:val="20"/>
              </w:rPr>
              <w:t>PSA 10-20 ng/mL</w:t>
            </w:r>
          </w:p>
        </w:tc>
        <w:tc>
          <w:tcPr>
            <w:tcW w:w="2070" w:type="dxa"/>
            <w:hideMark/>
          </w:tcPr>
          <w:p w14:paraId="506B7333" w14:textId="77777777" w:rsidR="00A24C1F" w:rsidRDefault="00A24C1F" w:rsidP="004F7DDA">
            <w:pPr>
              <w:ind w:left="0" w:right="0"/>
              <w:rPr>
                <w:sz w:val="19"/>
                <w:szCs w:val="19"/>
              </w:rPr>
            </w:pPr>
            <w:r w:rsidRPr="002764C3">
              <w:rPr>
                <w:sz w:val="19"/>
                <w:szCs w:val="19"/>
              </w:rPr>
              <w:t>Favourable</w:t>
            </w:r>
            <w:r w:rsidR="00B41242" w:rsidRPr="004F7DDA">
              <w:rPr>
                <w:sz w:val="19"/>
                <w:szCs w:val="19"/>
                <w:lang w:eastAsia="en-US"/>
              </w:rPr>
              <w:t xml:space="preserve"> intermediate</w:t>
            </w:r>
          </w:p>
          <w:p w14:paraId="33DCF669" w14:textId="7BF7119B" w:rsidR="00B41242" w:rsidRDefault="00B41242" w:rsidP="004F7DDA">
            <w:pPr>
              <w:ind w:left="0" w:right="0"/>
              <w:rPr>
                <w:sz w:val="19"/>
                <w:szCs w:val="19"/>
              </w:rPr>
            </w:pPr>
            <w:r>
              <w:rPr>
                <w:sz w:val="19"/>
                <w:szCs w:val="19"/>
              </w:rPr>
              <w:t xml:space="preserve">Has </w:t>
            </w:r>
            <w:proofErr w:type="gramStart"/>
            <w:r>
              <w:rPr>
                <w:sz w:val="19"/>
                <w:szCs w:val="19"/>
              </w:rPr>
              <w:t>all of</w:t>
            </w:r>
            <w:proofErr w:type="gramEnd"/>
            <w:r>
              <w:rPr>
                <w:sz w:val="19"/>
                <w:szCs w:val="19"/>
              </w:rPr>
              <w:t xml:space="preserve"> the following: </w:t>
            </w:r>
          </w:p>
          <w:p w14:paraId="4AD2280F" w14:textId="77777777" w:rsidR="00B41242" w:rsidRPr="004F7DDA" w:rsidRDefault="00B41242" w:rsidP="004F7DDA">
            <w:pPr>
              <w:pStyle w:val="ListBullet"/>
              <w:spacing w:before="0" w:after="0"/>
              <w:ind w:right="173"/>
              <w:rPr>
                <w:sz w:val="19"/>
                <w:szCs w:val="19"/>
              </w:rPr>
            </w:pPr>
            <w:r w:rsidRPr="004F7DDA">
              <w:rPr>
                <w:sz w:val="19"/>
                <w:szCs w:val="19"/>
              </w:rPr>
              <w:t>1 IRF</w:t>
            </w:r>
          </w:p>
          <w:p w14:paraId="05F15CF9" w14:textId="77777777" w:rsidR="00B41242" w:rsidRPr="004F7DDA" w:rsidRDefault="00B41242" w:rsidP="004F7DDA">
            <w:pPr>
              <w:pStyle w:val="ListBullet"/>
              <w:spacing w:before="0" w:after="0"/>
              <w:ind w:right="173"/>
              <w:rPr>
                <w:sz w:val="19"/>
                <w:szCs w:val="19"/>
              </w:rPr>
            </w:pPr>
            <w:r w:rsidRPr="004F7DDA">
              <w:rPr>
                <w:sz w:val="19"/>
                <w:szCs w:val="19"/>
              </w:rPr>
              <w:t>Grade Group 1 or 2</w:t>
            </w:r>
          </w:p>
          <w:p w14:paraId="2A93359A" w14:textId="75E067A4" w:rsidR="00B41242" w:rsidRPr="004F7DDA" w:rsidRDefault="00B41242" w:rsidP="004F7DDA">
            <w:pPr>
              <w:pStyle w:val="ListBullet"/>
              <w:spacing w:before="0" w:after="0"/>
              <w:ind w:right="173"/>
            </w:pPr>
            <w:r w:rsidRPr="004F7DDA">
              <w:rPr>
                <w:sz w:val="19"/>
                <w:szCs w:val="19"/>
              </w:rPr>
              <w:t>&lt; 50% biopsy cores positive</w:t>
            </w:r>
            <w:r w:rsidR="00A24C1F">
              <w:rPr>
                <w:sz w:val="19"/>
                <w:szCs w:val="19"/>
                <w:vertAlign w:val="superscript"/>
              </w:rPr>
              <w:t>2</w:t>
            </w:r>
          </w:p>
        </w:tc>
        <w:tc>
          <w:tcPr>
            <w:tcW w:w="2520" w:type="dxa"/>
          </w:tcPr>
          <w:p w14:paraId="305D4343" w14:textId="77777777" w:rsidR="00B41242" w:rsidRDefault="00B41242" w:rsidP="00B41242">
            <w:pPr>
              <w:ind w:left="0" w:right="0"/>
              <w:rPr>
                <w:sz w:val="19"/>
                <w:szCs w:val="19"/>
              </w:rPr>
            </w:pPr>
            <w:r w:rsidRPr="00A70241">
              <w:rPr>
                <w:sz w:val="19"/>
                <w:szCs w:val="19"/>
              </w:rPr>
              <w:t xml:space="preserve">Consider confirmatory prostate biopsy + </w:t>
            </w:r>
            <w:proofErr w:type="spellStart"/>
            <w:r w:rsidRPr="00A70241">
              <w:rPr>
                <w:sz w:val="19"/>
                <w:szCs w:val="19"/>
              </w:rPr>
              <w:t>mpMRI</w:t>
            </w:r>
            <w:proofErr w:type="spellEnd"/>
            <w:r w:rsidRPr="00A70241">
              <w:rPr>
                <w:sz w:val="19"/>
                <w:szCs w:val="19"/>
              </w:rPr>
              <w:t xml:space="preserve"> to establish cand</w:t>
            </w:r>
            <w:r>
              <w:rPr>
                <w:sz w:val="19"/>
                <w:szCs w:val="19"/>
              </w:rPr>
              <w:t>idacy for active surveillance</w:t>
            </w:r>
          </w:p>
          <w:p w14:paraId="19EFB875" w14:textId="4F50939E" w:rsidR="00B41242" w:rsidRDefault="00B41242" w:rsidP="00B41242">
            <w:pPr>
              <w:ind w:left="0" w:right="0"/>
              <w:rPr>
                <w:sz w:val="19"/>
                <w:szCs w:val="19"/>
              </w:rPr>
            </w:pPr>
            <w:r>
              <w:rPr>
                <w:sz w:val="19"/>
                <w:szCs w:val="19"/>
              </w:rPr>
              <w:t>Bone imaging:</w:t>
            </w:r>
            <w:r w:rsidR="00A24C1F">
              <w:rPr>
                <w:sz w:val="19"/>
                <w:szCs w:val="19"/>
                <w:vertAlign w:val="superscript"/>
              </w:rPr>
              <w:t>3</w:t>
            </w:r>
            <w:r>
              <w:rPr>
                <w:sz w:val="19"/>
                <w:szCs w:val="19"/>
              </w:rPr>
              <w:t xml:space="preserve"> not recommended for staging</w:t>
            </w:r>
          </w:p>
          <w:p w14:paraId="62AFABF1" w14:textId="08EB438D" w:rsidR="00B8547B" w:rsidRDefault="00B41242" w:rsidP="004F7DDA">
            <w:pPr>
              <w:ind w:left="0" w:right="0"/>
              <w:rPr>
                <w:sz w:val="19"/>
                <w:szCs w:val="19"/>
              </w:rPr>
            </w:pPr>
            <w:r w:rsidRPr="00A70241">
              <w:rPr>
                <w:sz w:val="19"/>
                <w:szCs w:val="19"/>
              </w:rPr>
              <w:t>Pelvic + abdominal imaging:</w:t>
            </w:r>
            <w:r w:rsidR="003F535A" w:rsidRPr="00A70241">
              <w:rPr>
                <w:sz w:val="19"/>
                <w:szCs w:val="19"/>
                <w:vertAlign w:val="superscript"/>
              </w:rPr>
              <w:t>5</w:t>
            </w:r>
            <w:r w:rsidRPr="00A70241">
              <w:rPr>
                <w:sz w:val="19"/>
                <w:szCs w:val="19"/>
              </w:rPr>
              <w:t xml:space="preserve"> recommended if nomogram predicts &gt;</w:t>
            </w:r>
            <w:r>
              <w:rPr>
                <w:sz w:val="19"/>
                <w:szCs w:val="19"/>
              </w:rPr>
              <w:t xml:space="preserve"> </w:t>
            </w:r>
            <w:r w:rsidRPr="00A70241">
              <w:rPr>
                <w:sz w:val="19"/>
                <w:szCs w:val="19"/>
              </w:rPr>
              <w:t xml:space="preserve">10% probability of </w:t>
            </w:r>
            <w:r w:rsidR="00B8547B">
              <w:rPr>
                <w:sz w:val="19"/>
                <w:szCs w:val="19"/>
              </w:rPr>
              <w:t>pelvic lymph node involvement</w:t>
            </w:r>
          </w:p>
          <w:p w14:paraId="6DFCE1A9" w14:textId="0161386E" w:rsidR="00B41242" w:rsidRPr="004F7DDA" w:rsidRDefault="00B41242" w:rsidP="004F7DDA">
            <w:pPr>
              <w:ind w:left="0" w:right="0"/>
              <w:rPr>
                <w:sz w:val="19"/>
                <w:szCs w:val="19"/>
                <w:vertAlign w:val="superscript"/>
              </w:rPr>
            </w:pPr>
            <w:r w:rsidRPr="00A70241">
              <w:rPr>
                <w:sz w:val="19"/>
                <w:szCs w:val="19"/>
              </w:rPr>
              <w:t>If regional or distant metastases are found</w:t>
            </w:r>
            <w:r w:rsidR="00074761">
              <w:rPr>
                <w:sz w:val="19"/>
                <w:szCs w:val="19"/>
              </w:rPr>
              <w:t>.</w:t>
            </w:r>
            <w:r w:rsidR="00074761">
              <w:rPr>
                <w:sz w:val="19"/>
                <w:szCs w:val="19"/>
                <w:vertAlign w:val="superscript"/>
              </w:rPr>
              <w:t>6</w:t>
            </w:r>
          </w:p>
        </w:tc>
      </w:tr>
      <w:tr w:rsidR="00B41242" w:rsidRPr="002764C3" w14:paraId="63953850" w14:textId="77777777" w:rsidTr="004F7DDA">
        <w:tc>
          <w:tcPr>
            <w:tcW w:w="1070" w:type="dxa"/>
            <w:vMerge/>
            <w:hideMark/>
          </w:tcPr>
          <w:p w14:paraId="14E910E2" w14:textId="77777777" w:rsidR="00B41242" w:rsidRPr="004F7DDA" w:rsidRDefault="00B41242" w:rsidP="004F7DDA">
            <w:pPr>
              <w:ind w:left="0" w:right="0"/>
              <w:rPr>
                <w:sz w:val="19"/>
                <w:szCs w:val="19"/>
              </w:rPr>
            </w:pPr>
          </w:p>
        </w:tc>
        <w:tc>
          <w:tcPr>
            <w:tcW w:w="2880" w:type="dxa"/>
            <w:vMerge/>
            <w:hideMark/>
          </w:tcPr>
          <w:p w14:paraId="4C39732F" w14:textId="3BF1421D" w:rsidR="00B41242" w:rsidRPr="004F7DDA" w:rsidRDefault="00B41242" w:rsidP="004F7DDA">
            <w:pPr>
              <w:ind w:left="0" w:right="0"/>
              <w:rPr>
                <w:sz w:val="19"/>
                <w:szCs w:val="19"/>
              </w:rPr>
            </w:pPr>
          </w:p>
        </w:tc>
        <w:tc>
          <w:tcPr>
            <w:tcW w:w="2070" w:type="dxa"/>
            <w:hideMark/>
          </w:tcPr>
          <w:p w14:paraId="3647B4D8" w14:textId="152DE8F9" w:rsidR="00B41242" w:rsidRDefault="00A24C1F" w:rsidP="004F7DDA">
            <w:pPr>
              <w:ind w:left="0" w:right="0"/>
              <w:rPr>
                <w:sz w:val="19"/>
                <w:szCs w:val="19"/>
              </w:rPr>
            </w:pPr>
            <w:r w:rsidRPr="002764C3">
              <w:rPr>
                <w:sz w:val="19"/>
                <w:szCs w:val="19"/>
              </w:rPr>
              <w:t>Unfavourable</w:t>
            </w:r>
            <w:r w:rsidR="00B41242" w:rsidRPr="004F7DDA">
              <w:rPr>
                <w:sz w:val="19"/>
                <w:szCs w:val="19"/>
                <w:lang w:eastAsia="en-US"/>
              </w:rPr>
              <w:t xml:space="preserve"> intermediate</w:t>
            </w:r>
          </w:p>
          <w:p w14:paraId="5A110FAB" w14:textId="77777777" w:rsidR="00B41242" w:rsidRDefault="00B41242" w:rsidP="004F7DDA">
            <w:pPr>
              <w:ind w:left="0" w:right="0"/>
              <w:rPr>
                <w:sz w:val="19"/>
                <w:szCs w:val="19"/>
              </w:rPr>
            </w:pPr>
            <w:r w:rsidRPr="00A70241">
              <w:rPr>
                <w:sz w:val="19"/>
                <w:szCs w:val="19"/>
              </w:rPr>
              <w:t xml:space="preserve">Has </w:t>
            </w:r>
            <w:r>
              <w:rPr>
                <w:sz w:val="19"/>
                <w:szCs w:val="19"/>
              </w:rPr>
              <w:t>one or more of the following:</w:t>
            </w:r>
          </w:p>
          <w:p w14:paraId="416FC2F0" w14:textId="77777777" w:rsidR="00B41242" w:rsidRPr="004F7DDA" w:rsidRDefault="00B41242" w:rsidP="004F7DDA">
            <w:pPr>
              <w:pStyle w:val="ListBullet"/>
              <w:spacing w:before="0" w:after="0"/>
              <w:ind w:right="173"/>
              <w:rPr>
                <w:sz w:val="19"/>
                <w:szCs w:val="19"/>
              </w:rPr>
            </w:pPr>
            <w:r w:rsidRPr="004F7DDA">
              <w:rPr>
                <w:sz w:val="19"/>
                <w:szCs w:val="19"/>
              </w:rPr>
              <w:t>2 or 3 IRFs</w:t>
            </w:r>
          </w:p>
          <w:p w14:paraId="5FB4A635" w14:textId="77777777" w:rsidR="00B41242" w:rsidRPr="004F7DDA" w:rsidRDefault="00B41242" w:rsidP="004F7DDA">
            <w:pPr>
              <w:pStyle w:val="ListBullet"/>
              <w:spacing w:before="0" w:after="0"/>
              <w:ind w:right="173"/>
              <w:rPr>
                <w:sz w:val="19"/>
                <w:szCs w:val="19"/>
              </w:rPr>
            </w:pPr>
            <w:r w:rsidRPr="004F7DDA">
              <w:rPr>
                <w:sz w:val="19"/>
                <w:szCs w:val="19"/>
              </w:rPr>
              <w:t>Grade Group 3</w:t>
            </w:r>
          </w:p>
          <w:p w14:paraId="77FBA261" w14:textId="3D1E9B13" w:rsidR="00B41242" w:rsidRPr="004F7DDA" w:rsidRDefault="00B41242" w:rsidP="004F7DDA">
            <w:pPr>
              <w:pStyle w:val="ListBullet"/>
              <w:spacing w:before="0" w:after="0"/>
              <w:ind w:right="173"/>
            </w:pPr>
            <w:r w:rsidRPr="004F7DDA">
              <w:rPr>
                <w:sz w:val="19"/>
                <w:szCs w:val="19"/>
              </w:rPr>
              <w:t>&gt; 50% biopsy cores positive</w:t>
            </w:r>
            <w:r w:rsidR="00A24C1F">
              <w:rPr>
                <w:sz w:val="19"/>
                <w:szCs w:val="19"/>
                <w:vertAlign w:val="superscript"/>
              </w:rPr>
              <w:t>2</w:t>
            </w:r>
          </w:p>
        </w:tc>
        <w:tc>
          <w:tcPr>
            <w:tcW w:w="2520" w:type="dxa"/>
            <w:hideMark/>
          </w:tcPr>
          <w:p w14:paraId="24FB947B" w14:textId="177831A5" w:rsidR="00B41242" w:rsidRDefault="00B41242" w:rsidP="004F7DDA">
            <w:pPr>
              <w:ind w:left="0" w:right="0"/>
              <w:rPr>
                <w:sz w:val="19"/>
                <w:szCs w:val="19"/>
              </w:rPr>
            </w:pPr>
            <w:r w:rsidRPr="004F7DDA">
              <w:rPr>
                <w:sz w:val="19"/>
                <w:szCs w:val="19"/>
                <w:lang w:eastAsia="en-US"/>
              </w:rPr>
              <w:t>Bone i</w:t>
            </w:r>
            <w:r>
              <w:rPr>
                <w:sz w:val="19"/>
                <w:szCs w:val="19"/>
              </w:rPr>
              <w:t>maging</w:t>
            </w:r>
            <w:r w:rsidRPr="004F7DDA">
              <w:rPr>
                <w:sz w:val="19"/>
                <w:szCs w:val="19"/>
                <w:lang w:eastAsia="en-US"/>
              </w:rPr>
              <w:t>:</w:t>
            </w:r>
            <w:r w:rsidR="00A24C1F">
              <w:rPr>
                <w:sz w:val="19"/>
                <w:szCs w:val="19"/>
                <w:vertAlign w:val="superscript"/>
              </w:rPr>
              <w:t>3</w:t>
            </w:r>
            <w:r w:rsidRPr="004F7DDA">
              <w:rPr>
                <w:sz w:val="19"/>
                <w:szCs w:val="19"/>
                <w:lang w:eastAsia="en-US"/>
              </w:rPr>
              <w:t xml:space="preserve"> recommended if T2 and PSA</w:t>
            </w:r>
            <w:r>
              <w:rPr>
                <w:sz w:val="19"/>
                <w:szCs w:val="19"/>
              </w:rPr>
              <w:t xml:space="preserve"> </w:t>
            </w:r>
            <w:r w:rsidRPr="004F7DDA">
              <w:rPr>
                <w:sz w:val="19"/>
                <w:szCs w:val="19"/>
                <w:lang w:eastAsia="en-US"/>
              </w:rPr>
              <w:t>&gt;</w:t>
            </w:r>
            <w:r>
              <w:rPr>
                <w:sz w:val="19"/>
                <w:szCs w:val="19"/>
              </w:rPr>
              <w:t xml:space="preserve"> 10 ng/mL</w:t>
            </w:r>
          </w:p>
          <w:p w14:paraId="6ED0DB0D" w14:textId="6EC03770" w:rsidR="00B41242" w:rsidRDefault="00B41242" w:rsidP="004F7DDA">
            <w:pPr>
              <w:ind w:left="0" w:right="0"/>
              <w:rPr>
                <w:sz w:val="19"/>
                <w:szCs w:val="19"/>
              </w:rPr>
            </w:pPr>
            <w:r w:rsidRPr="004F7DDA">
              <w:rPr>
                <w:sz w:val="19"/>
                <w:szCs w:val="19"/>
                <w:lang w:eastAsia="en-US"/>
              </w:rPr>
              <w:t>Pelvic + abdominal imaging:</w:t>
            </w:r>
            <w:r w:rsidR="003F535A" w:rsidRPr="00A70241">
              <w:rPr>
                <w:sz w:val="19"/>
                <w:szCs w:val="19"/>
                <w:vertAlign w:val="superscript"/>
              </w:rPr>
              <w:t>5</w:t>
            </w:r>
            <w:r w:rsidRPr="004F7DDA">
              <w:rPr>
                <w:sz w:val="19"/>
                <w:szCs w:val="19"/>
                <w:lang w:eastAsia="en-US"/>
              </w:rPr>
              <w:t xml:space="preserve"> recommended if nomogram predicts &gt;10% probability of </w:t>
            </w:r>
            <w:r>
              <w:rPr>
                <w:sz w:val="19"/>
                <w:szCs w:val="19"/>
              </w:rPr>
              <w:t>pelvic lymph node involvement</w:t>
            </w:r>
          </w:p>
          <w:p w14:paraId="0B916325" w14:textId="4C128137" w:rsidR="00B41242" w:rsidRPr="004F7DDA" w:rsidRDefault="00B41242" w:rsidP="004F7DDA">
            <w:pPr>
              <w:ind w:left="0" w:right="0"/>
              <w:rPr>
                <w:sz w:val="19"/>
                <w:szCs w:val="19"/>
                <w:vertAlign w:val="superscript"/>
              </w:rPr>
            </w:pPr>
            <w:r w:rsidRPr="004F7DDA">
              <w:rPr>
                <w:sz w:val="19"/>
                <w:szCs w:val="19"/>
                <w:lang w:eastAsia="en-US"/>
              </w:rPr>
              <w:t xml:space="preserve">If regional or distant </w:t>
            </w:r>
            <w:r w:rsidR="00185FC3">
              <w:rPr>
                <w:sz w:val="19"/>
                <w:szCs w:val="19"/>
              </w:rPr>
              <w:t>metastases are found.</w:t>
            </w:r>
            <w:r w:rsidR="00185FC3">
              <w:rPr>
                <w:sz w:val="19"/>
                <w:szCs w:val="19"/>
                <w:vertAlign w:val="superscript"/>
              </w:rPr>
              <w:t>6</w:t>
            </w:r>
          </w:p>
        </w:tc>
      </w:tr>
      <w:tr w:rsidR="00B8547B" w:rsidRPr="002764C3" w14:paraId="4E2F9157" w14:textId="77777777" w:rsidTr="004F7DDA">
        <w:trPr>
          <w:cantSplit/>
        </w:trPr>
        <w:tc>
          <w:tcPr>
            <w:tcW w:w="1070" w:type="dxa"/>
            <w:hideMark/>
          </w:tcPr>
          <w:p w14:paraId="6E9E45E7" w14:textId="77777777" w:rsidR="00B8547B" w:rsidRPr="004F7DDA" w:rsidRDefault="00B8547B" w:rsidP="004F7DDA">
            <w:pPr>
              <w:ind w:left="0" w:right="0"/>
              <w:rPr>
                <w:sz w:val="19"/>
                <w:szCs w:val="19"/>
              </w:rPr>
            </w:pPr>
            <w:r w:rsidRPr="004F7DDA">
              <w:rPr>
                <w:sz w:val="19"/>
                <w:szCs w:val="19"/>
                <w:lang w:eastAsia="en-US"/>
              </w:rPr>
              <w:lastRenderedPageBreak/>
              <w:t>High</w:t>
            </w:r>
          </w:p>
        </w:tc>
        <w:tc>
          <w:tcPr>
            <w:tcW w:w="4950" w:type="dxa"/>
            <w:gridSpan w:val="2"/>
            <w:hideMark/>
          </w:tcPr>
          <w:p w14:paraId="7B60D14A" w14:textId="77777777" w:rsidR="00B8547B" w:rsidRDefault="00B8547B" w:rsidP="004F7DDA">
            <w:pPr>
              <w:ind w:left="0" w:right="0"/>
              <w:rPr>
                <w:sz w:val="19"/>
                <w:szCs w:val="19"/>
              </w:rPr>
            </w:pPr>
            <w:r w:rsidRPr="004F7DDA">
              <w:rPr>
                <w:sz w:val="19"/>
                <w:szCs w:val="19"/>
                <w:lang w:eastAsia="en-US"/>
              </w:rPr>
              <w:t xml:space="preserve">Has no very-high-risk </w:t>
            </w:r>
            <w:r>
              <w:rPr>
                <w:sz w:val="19"/>
                <w:szCs w:val="19"/>
              </w:rPr>
              <w:t>features or exactly one high risk feature:</w:t>
            </w:r>
          </w:p>
          <w:p w14:paraId="4C49EC8F" w14:textId="77777777" w:rsidR="00B8547B" w:rsidRPr="004F7DDA" w:rsidRDefault="00B8547B" w:rsidP="004F7DDA">
            <w:pPr>
              <w:pStyle w:val="ListBullet"/>
              <w:spacing w:before="0" w:after="0"/>
              <w:ind w:right="173"/>
              <w:rPr>
                <w:sz w:val="19"/>
                <w:szCs w:val="19"/>
              </w:rPr>
            </w:pPr>
            <w:r w:rsidRPr="004F7DDA">
              <w:rPr>
                <w:sz w:val="19"/>
                <w:szCs w:val="19"/>
                <w:lang w:eastAsia="en-US"/>
              </w:rPr>
              <w:t>T3</w:t>
            </w:r>
            <w:r w:rsidRPr="004F7DDA">
              <w:rPr>
                <w:sz w:val="19"/>
                <w:szCs w:val="19"/>
              </w:rPr>
              <w:t>a OR</w:t>
            </w:r>
          </w:p>
          <w:p w14:paraId="4B04FA59" w14:textId="77777777" w:rsidR="00B8547B" w:rsidRPr="004F7DDA" w:rsidRDefault="00B8547B" w:rsidP="004F7DDA">
            <w:pPr>
              <w:pStyle w:val="ListBullet"/>
              <w:spacing w:before="0" w:after="0"/>
              <w:ind w:right="173"/>
              <w:rPr>
                <w:sz w:val="19"/>
                <w:szCs w:val="19"/>
              </w:rPr>
            </w:pPr>
            <w:r w:rsidRPr="004F7DDA">
              <w:rPr>
                <w:sz w:val="19"/>
                <w:szCs w:val="19"/>
                <w:lang w:eastAsia="en-US"/>
              </w:rPr>
              <w:t>Grade Group 4 or Grade</w:t>
            </w:r>
            <w:r w:rsidRPr="004F7DDA">
              <w:rPr>
                <w:sz w:val="19"/>
                <w:szCs w:val="19"/>
              </w:rPr>
              <w:t xml:space="preserve"> Group 5</w:t>
            </w:r>
          </w:p>
          <w:p w14:paraId="3871E7C1" w14:textId="7808EE45" w:rsidR="00B8547B" w:rsidRPr="004F7DDA" w:rsidRDefault="00B8547B" w:rsidP="004F7DDA">
            <w:pPr>
              <w:pStyle w:val="ListBullet"/>
              <w:spacing w:before="0" w:after="0"/>
              <w:ind w:right="173"/>
            </w:pPr>
            <w:r w:rsidRPr="004F7DDA">
              <w:rPr>
                <w:sz w:val="19"/>
                <w:szCs w:val="19"/>
                <w:lang w:eastAsia="en-US"/>
              </w:rPr>
              <w:t>PSA &gt;</w:t>
            </w:r>
            <w:r w:rsidR="00EA524A">
              <w:rPr>
                <w:sz w:val="19"/>
                <w:szCs w:val="19"/>
                <w:lang w:eastAsia="en-US"/>
              </w:rPr>
              <w:t xml:space="preserve"> </w:t>
            </w:r>
            <w:r w:rsidRPr="004F7DDA">
              <w:rPr>
                <w:sz w:val="19"/>
                <w:szCs w:val="19"/>
                <w:lang w:eastAsia="en-US"/>
              </w:rPr>
              <w:t>20 ng/mL</w:t>
            </w:r>
          </w:p>
        </w:tc>
        <w:tc>
          <w:tcPr>
            <w:tcW w:w="2520" w:type="dxa"/>
            <w:hideMark/>
          </w:tcPr>
          <w:p w14:paraId="368463A9" w14:textId="4DD91CE3" w:rsidR="00B8547B" w:rsidRDefault="00B8547B" w:rsidP="004F7DDA">
            <w:pPr>
              <w:ind w:left="0" w:right="0"/>
              <w:rPr>
                <w:sz w:val="19"/>
                <w:szCs w:val="19"/>
              </w:rPr>
            </w:pPr>
            <w:r>
              <w:rPr>
                <w:sz w:val="19"/>
                <w:szCs w:val="19"/>
              </w:rPr>
              <w:t>Bone imaging:</w:t>
            </w:r>
            <w:r w:rsidR="00A24C1F">
              <w:rPr>
                <w:sz w:val="19"/>
                <w:szCs w:val="19"/>
                <w:vertAlign w:val="superscript"/>
              </w:rPr>
              <w:t>3</w:t>
            </w:r>
            <w:r>
              <w:rPr>
                <w:sz w:val="19"/>
                <w:szCs w:val="19"/>
              </w:rPr>
              <w:t xml:space="preserve"> recommended</w:t>
            </w:r>
          </w:p>
          <w:p w14:paraId="34E42304" w14:textId="7000DB02" w:rsidR="00B8547B" w:rsidRDefault="00B8547B" w:rsidP="004F7DDA">
            <w:pPr>
              <w:ind w:left="0" w:right="0"/>
              <w:rPr>
                <w:sz w:val="19"/>
                <w:szCs w:val="19"/>
              </w:rPr>
            </w:pPr>
            <w:r w:rsidRPr="004F7DDA">
              <w:rPr>
                <w:sz w:val="19"/>
                <w:szCs w:val="19"/>
                <w:lang w:eastAsia="en-US"/>
              </w:rPr>
              <w:t>Pelvic + a</w:t>
            </w:r>
            <w:r>
              <w:rPr>
                <w:sz w:val="19"/>
                <w:szCs w:val="19"/>
              </w:rPr>
              <w:t>bdominal imaging:</w:t>
            </w:r>
            <w:r w:rsidR="003F535A" w:rsidRPr="004F7DDA">
              <w:rPr>
                <w:sz w:val="19"/>
                <w:szCs w:val="19"/>
                <w:vertAlign w:val="superscript"/>
              </w:rPr>
              <w:t>5</w:t>
            </w:r>
            <w:r>
              <w:rPr>
                <w:sz w:val="19"/>
                <w:szCs w:val="19"/>
              </w:rPr>
              <w:t xml:space="preserve"> recommended</w:t>
            </w:r>
          </w:p>
          <w:p w14:paraId="6DE03A75" w14:textId="43CBF1B2" w:rsidR="00B8547B" w:rsidRPr="004F7DDA" w:rsidRDefault="00B8547B" w:rsidP="004F7DDA">
            <w:pPr>
              <w:ind w:left="0" w:right="0"/>
              <w:rPr>
                <w:sz w:val="19"/>
                <w:szCs w:val="19"/>
                <w:vertAlign w:val="superscript"/>
              </w:rPr>
            </w:pPr>
            <w:r w:rsidRPr="004F7DDA">
              <w:rPr>
                <w:sz w:val="19"/>
                <w:szCs w:val="19"/>
                <w:lang w:eastAsia="en-US"/>
              </w:rPr>
              <w:t xml:space="preserve">If regional or distant </w:t>
            </w:r>
            <w:r w:rsidR="00185FC3">
              <w:rPr>
                <w:sz w:val="19"/>
                <w:szCs w:val="19"/>
              </w:rPr>
              <w:t>metastases are found.</w:t>
            </w:r>
            <w:r w:rsidR="00185FC3">
              <w:rPr>
                <w:sz w:val="19"/>
                <w:szCs w:val="19"/>
                <w:vertAlign w:val="superscript"/>
              </w:rPr>
              <w:t>6</w:t>
            </w:r>
          </w:p>
        </w:tc>
      </w:tr>
      <w:tr w:rsidR="00B8547B" w:rsidRPr="002764C3" w14:paraId="7E265050" w14:textId="77777777" w:rsidTr="004F7DDA">
        <w:tc>
          <w:tcPr>
            <w:tcW w:w="1070" w:type="dxa"/>
            <w:hideMark/>
          </w:tcPr>
          <w:p w14:paraId="11E793BF" w14:textId="77777777" w:rsidR="00B8547B" w:rsidRPr="004F7DDA" w:rsidRDefault="00B8547B" w:rsidP="004F7DDA">
            <w:pPr>
              <w:ind w:left="0" w:right="0"/>
              <w:rPr>
                <w:sz w:val="19"/>
                <w:szCs w:val="19"/>
              </w:rPr>
            </w:pPr>
            <w:r w:rsidRPr="004F7DDA">
              <w:rPr>
                <w:sz w:val="19"/>
                <w:szCs w:val="19"/>
                <w:lang w:eastAsia="en-US"/>
              </w:rPr>
              <w:t>Very high</w:t>
            </w:r>
          </w:p>
        </w:tc>
        <w:tc>
          <w:tcPr>
            <w:tcW w:w="4950" w:type="dxa"/>
            <w:gridSpan w:val="2"/>
            <w:hideMark/>
          </w:tcPr>
          <w:p w14:paraId="790B9F94" w14:textId="77777777" w:rsidR="00B8547B" w:rsidRDefault="00B8547B" w:rsidP="004F7DDA">
            <w:pPr>
              <w:ind w:left="0" w:right="0"/>
              <w:rPr>
                <w:sz w:val="19"/>
                <w:szCs w:val="19"/>
              </w:rPr>
            </w:pPr>
            <w:r w:rsidRPr="004F7DDA">
              <w:rPr>
                <w:sz w:val="19"/>
                <w:szCs w:val="19"/>
                <w:lang w:eastAsia="en-US"/>
              </w:rPr>
              <w:t>Has at least one of the</w:t>
            </w:r>
            <w:r>
              <w:rPr>
                <w:sz w:val="19"/>
                <w:szCs w:val="19"/>
              </w:rPr>
              <w:t xml:space="preserve"> following</w:t>
            </w:r>
          </w:p>
          <w:p w14:paraId="1BE85B21" w14:textId="5686EC4B" w:rsidR="00B8547B" w:rsidRPr="004F7DDA" w:rsidRDefault="00B8547B" w:rsidP="004F7DDA">
            <w:pPr>
              <w:pStyle w:val="ListBullet"/>
              <w:spacing w:before="0" w:after="0"/>
              <w:ind w:right="173"/>
              <w:rPr>
                <w:sz w:val="19"/>
                <w:szCs w:val="19"/>
              </w:rPr>
            </w:pPr>
            <w:r w:rsidRPr="004F7DDA">
              <w:rPr>
                <w:sz w:val="19"/>
                <w:szCs w:val="19"/>
              </w:rPr>
              <w:t>T3b-T4</w:t>
            </w:r>
          </w:p>
          <w:p w14:paraId="4DF5DB2A" w14:textId="063E379E" w:rsidR="00B8547B" w:rsidRPr="004F7DDA" w:rsidRDefault="00B8547B" w:rsidP="004F7DDA">
            <w:pPr>
              <w:pStyle w:val="ListBullet"/>
              <w:spacing w:before="0" w:after="0"/>
              <w:ind w:right="173"/>
              <w:rPr>
                <w:sz w:val="19"/>
                <w:szCs w:val="19"/>
              </w:rPr>
            </w:pPr>
            <w:r w:rsidRPr="004F7DDA">
              <w:rPr>
                <w:sz w:val="19"/>
                <w:szCs w:val="19"/>
                <w:lang w:eastAsia="en-US"/>
              </w:rPr>
              <w:t>Primary Gleason pattern</w:t>
            </w:r>
            <w:r w:rsidRPr="004F7DDA">
              <w:rPr>
                <w:sz w:val="19"/>
                <w:szCs w:val="19"/>
              </w:rPr>
              <w:t xml:space="preserve"> 5</w:t>
            </w:r>
          </w:p>
          <w:p w14:paraId="6BE5B166" w14:textId="2F62089E" w:rsidR="00B8547B" w:rsidRPr="004F7DDA" w:rsidRDefault="00B8547B" w:rsidP="004F7DDA">
            <w:pPr>
              <w:pStyle w:val="ListBullet"/>
              <w:spacing w:before="0" w:after="0"/>
              <w:ind w:right="173"/>
              <w:rPr>
                <w:sz w:val="19"/>
                <w:szCs w:val="19"/>
              </w:rPr>
            </w:pPr>
            <w:r w:rsidRPr="004F7DDA">
              <w:rPr>
                <w:sz w:val="19"/>
                <w:szCs w:val="19"/>
              </w:rPr>
              <w:t>2 or 3 high-risk features</w:t>
            </w:r>
          </w:p>
          <w:p w14:paraId="4D715392" w14:textId="27A4E5FA" w:rsidR="00B8547B" w:rsidRPr="004F7DDA" w:rsidRDefault="00B8547B" w:rsidP="004F7DDA">
            <w:pPr>
              <w:pStyle w:val="ListBullet"/>
              <w:spacing w:before="0" w:after="0"/>
              <w:ind w:right="173"/>
            </w:pPr>
            <w:r w:rsidRPr="004F7DDA">
              <w:rPr>
                <w:sz w:val="19"/>
                <w:szCs w:val="19"/>
                <w:lang w:eastAsia="en-US"/>
              </w:rPr>
              <w:t>&gt;</w:t>
            </w:r>
            <w:r w:rsidRPr="004F7DDA">
              <w:rPr>
                <w:sz w:val="19"/>
                <w:szCs w:val="19"/>
              </w:rPr>
              <w:t xml:space="preserve"> </w:t>
            </w:r>
            <w:r w:rsidRPr="004F7DDA">
              <w:rPr>
                <w:sz w:val="19"/>
                <w:szCs w:val="19"/>
                <w:lang w:eastAsia="en-US"/>
              </w:rPr>
              <w:t>4 cores with Grade</w:t>
            </w:r>
            <w:r w:rsidRPr="004F7DDA">
              <w:rPr>
                <w:sz w:val="19"/>
                <w:szCs w:val="19"/>
              </w:rPr>
              <w:t xml:space="preserve"> Group 4 or 5</w:t>
            </w:r>
          </w:p>
        </w:tc>
        <w:tc>
          <w:tcPr>
            <w:tcW w:w="2520" w:type="dxa"/>
            <w:hideMark/>
          </w:tcPr>
          <w:p w14:paraId="63BF5B7A" w14:textId="584644CF" w:rsidR="00A24C1F" w:rsidRPr="004F7DDA" w:rsidRDefault="00A24C1F" w:rsidP="004F7DDA">
            <w:pPr>
              <w:ind w:left="0" w:right="0"/>
              <w:rPr>
                <w:sz w:val="19"/>
                <w:szCs w:val="19"/>
                <w:vertAlign w:val="superscript"/>
              </w:rPr>
            </w:pPr>
            <w:r>
              <w:rPr>
                <w:sz w:val="19"/>
                <w:szCs w:val="19"/>
              </w:rPr>
              <w:t>Bone imaging:</w:t>
            </w:r>
            <w:r>
              <w:rPr>
                <w:sz w:val="19"/>
                <w:szCs w:val="19"/>
                <w:vertAlign w:val="superscript"/>
              </w:rPr>
              <w:t>3</w:t>
            </w:r>
            <w:r>
              <w:rPr>
                <w:sz w:val="19"/>
                <w:szCs w:val="19"/>
              </w:rPr>
              <w:t xml:space="preserve"> recommended</w:t>
            </w:r>
          </w:p>
          <w:p w14:paraId="21AD1CDA" w14:textId="140CA717" w:rsidR="00A24C1F" w:rsidRDefault="00B8547B" w:rsidP="004F7DDA">
            <w:pPr>
              <w:ind w:left="0" w:right="0"/>
              <w:rPr>
                <w:sz w:val="19"/>
                <w:szCs w:val="19"/>
              </w:rPr>
            </w:pPr>
            <w:r w:rsidRPr="004F7DDA">
              <w:rPr>
                <w:sz w:val="19"/>
                <w:szCs w:val="19"/>
                <w:lang w:eastAsia="en-US"/>
              </w:rPr>
              <w:t>Pelvic + abdominal imaging:</w:t>
            </w:r>
            <w:r w:rsidR="003F535A" w:rsidRPr="00A70241">
              <w:rPr>
                <w:sz w:val="19"/>
                <w:szCs w:val="19"/>
                <w:vertAlign w:val="superscript"/>
              </w:rPr>
              <w:t>5</w:t>
            </w:r>
            <w:r w:rsidRPr="004F7DDA">
              <w:rPr>
                <w:sz w:val="19"/>
                <w:szCs w:val="19"/>
                <w:lang w:eastAsia="en-US"/>
              </w:rPr>
              <w:t xml:space="preserve"> recommend</w:t>
            </w:r>
            <w:r w:rsidR="00A24C1F">
              <w:rPr>
                <w:sz w:val="19"/>
                <w:szCs w:val="19"/>
              </w:rPr>
              <w:t>ed</w:t>
            </w:r>
          </w:p>
          <w:p w14:paraId="0466FDE1" w14:textId="19D31609" w:rsidR="00B8547B" w:rsidRPr="004F7DDA" w:rsidRDefault="00B8547B" w:rsidP="004F7DDA">
            <w:pPr>
              <w:ind w:left="0" w:right="0"/>
              <w:rPr>
                <w:sz w:val="19"/>
                <w:szCs w:val="19"/>
                <w:vertAlign w:val="superscript"/>
              </w:rPr>
            </w:pPr>
            <w:r w:rsidRPr="004F7DDA">
              <w:rPr>
                <w:sz w:val="19"/>
                <w:szCs w:val="19"/>
                <w:lang w:eastAsia="en-US"/>
              </w:rPr>
              <w:t xml:space="preserve">If regional or distant </w:t>
            </w:r>
            <w:r w:rsidR="00185FC3">
              <w:rPr>
                <w:sz w:val="19"/>
                <w:szCs w:val="19"/>
              </w:rPr>
              <w:t>metastases are found.</w:t>
            </w:r>
            <w:r w:rsidR="00185FC3">
              <w:rPr>
                <w:sz w:val="19"/>
                <w:szCs w:val="19"/>
                <w:vertAlign w:val="superscript"/>
              </w:rPr>
              <w:t>6</w:t>
            </w:r>
          </w:p>
        </w:tc>
      </w:tr>
    </w:tbl>
    <w:p w14:paraId="5F75A2BA" w14:textId="04B5B597" w:rsidR="00074761" w:rsidRDefault="00074761">
      <w:pPr>
        <w:pStyle w:val="TableDescription"/>
      </w:pPr>
      <w:r>
        <w:t>Abbreviations: IRF = NCCN Guidelines intermediate risk factor; PSA = prostate-specific antigen</w:t>
      </w:r>
    </w:p>
    <w:p w14:paraId="3F8D7309" w14:textId="315729D9" w:rsidR="00074761" w:rsidRDefault="00EA524A">
      <w:pPr>
        <w:pStyle w:val="TableDescription"/>
      </w:pPr>
      <w:r>
        <w:t xml:space="preserve">T staging refers to the </w:t>
      </w:r>
      <w:r w:rsidRPr="00EA524A">
        <w:t>American Joint Committee on Cancer</w:t>
      </w:r>
      <w:r>
        <w:t xml:space="preserve"> (AJCC</w:t>
      </w:r>
      <w:r w:rsidRPr="00EA524A">
        <w:t>) TNM system</w:t>
      </w:r>
      <w:r>
        <w:t xml:space="preserve">. </w:t>
      </w:r>
      <w:r w:rsidR="00074761">
        <w:t xml:space="preserve">Grade Groups refer to </w:t>
      </w:r>
      <w:r w:rsidR="00074761" w:rsidRPr="00074761">
        <w:t>International Society of Urological Pathology (ISUP)</w:t>
      </w:r>
      <w:r w:rsidR="00074761">
        <w:t xml:space="preserve"> Grade Group system. Gleason</w:t>
      </w:r>
    </w:p>
    <w:p w14:paraId="56B8997B" w14:textId="6B906CBA" w:rsidR="00175A50" w:rsidRDefault="00A24C1F">
      <w:pPr>
        <w:pStyle w:val="TableDescription"/>
      </w:pPr>
      <w:r>
        <w:t xml:space="preserve">1: </w:t>
      </w:r>
      <w:r w:rsidR="00175A50">
        <w:t>For asymptom</w:t>
      </w:r>
      <w:r w:rsidR="00171D90">
        <w:t>atic</w:t>
      </w:r>
      <w:r w:rsidR="00175A50">
        <w:t xml:space="preserve"> patients in very low, </w:t>
      </w:r>
      <w:proofErr w:type="gramStart"/>
      <w:r w:rsidR="00175A50">
        <w:t>low</w:t>
      </w:r>
      <w:proofErr w:type="gramEnd"/>
      <w:r w:rsidR="00175A50">
        <w:t xml:space="preserve"> and intermediate risk group with life expectancy ≤ 5 years, no imaging or treatment is indicated until the patient becomes symptomatic, at which time imaging </w:t>
      </w:r>
      <w:r>
        <w:t>c</w:t>
      </w:r>
      <w:r w:rsidR="00175A50">
        <w:t xml:space="preserve">an be performed and </w:t>
      </w:r>
      <w:r>
        <w:t xml:space="preserve">androgen deprivation therapy </w:t>
      </w:r>
      <w:r w:rsidR="00175A50">
        <w:t>should be given</w:t>
      </w:r>
      <w:r>
        <w:t>.</w:t>
      </w:r>
    </w:p>
    <w:p w14:paraId="0BA8ED5F" w14:textId="3069C1AF" w:rsidR="00175A50" w:rsidRDefault="00A24C1F" w:rsidP="00175A50">
      <w:pPr>
        <w:pStyle w:val="TableDescription"/>
      </w:pPr>
      <w:r>
        <w:t xml:space="preserve">2: </w:t>
      </w:r>
      <w:r w:rsidR="00175A50">
        <w:t xml:space="preserve">An ultrasound or MRI or </w:t>
      </w:r>
      <w:r>
        <w:t xml:space="preserve">digital rectal exam </w:t>
      </w:r>
      <w:r w:rsidR="00175A50">
        <w:t>targeted lesion that is biopsied more than once and demonstrates cancer (regardless of percentage core involvement or number of cores involved) counts as a single positive core.</w:t>
      </w:r>
    </w:p>
    <w:p w14:paraId="030B2D22" w14:textId="40DA798F" w:rsidR="00175A50" w:rsidRDefault="00A24C1F" w:rsidP="00175A50">
      <w:pPr>
        <w:pStyle w:val="TableDescription"/>
      </w:pPr>
      <w:r>
        <w:t xml:space="preserve">3: </w:t>
      </w:r>
      <w:r w:rsidR="00175A50">
        <w:t xml:space="preserve">Plain films, CT, MRI, F-18 sodium fluoride </w:t>
      </w:r>
      <w:r w:rsidR="00171D90">
        <w:t xml:space="preserve">PET/CT or PET/MRI, C-11 choline PET/CT or PET/MRI, or F-18 </w:t>
      </w:r>
      <w:proofErr w:type="spellStart"/>
      <w:r w:rsidR="00171D90">
        <w:t>fluciclovine</w:t>
      </w:r>
      <w:proofErr w:type="spellEnd"/>
      <w:r w:rsidR="00171D90">
        <w:t xml:space="preserve"> PET/CT or PET/MRI can be considered for equivocal results on initial bone scan.</w:t>
      </w:r>
    </w:p>
    <w:p w14:paraId="39504AC2" w14:textId="200A4D2D" w:rsidR="00A24C1F" w:rsidRDefault="00A24C1F" w:rsidP="00175A50">
      <w:pPr>
        <w:pStyle w:val="TableDescription"/>
      </w:pPr>
      <w:r>
        <w:t>4: Bone imaging should be performed for any patient with symptoms consistent with bone metastases.</w:t>
      </w:r>
    </w:p>
    <w:p w14:paraId="7FEAE22B" w14:textId="1876457C" w:rsidR="00185FC3" w:rsidRDefault="003F535A" w:rsidP="00175A50">
      <w:pPr>
        <w:pStyle w:val="TableDescription"/>
      </w:pPr>
      <w:r>
        <w:t>5:</w:t>
      </w:r>
      <w:r w:rsidR="00171D90">
        <w:t xml:space="preserve"> </w:t>
      </w:r>
      <w:proofErr w:type="spellStart"/>
      <w:r w:rsidR="00171D90">
        <w:t>mpMRI</w:t>
      </w:r>
      <w:proofErr w:type="spellEnd"/>
      <w:r w:rsidR="00171D90">
        <w:t xml:space="preserve"> is preferred over CT for abdominal/pelvic staging.</w:t>
      </w:r>
    </w:p>
    <w:p w14:paraId="73CEE7EB" w14:textId="77777777" w:rsidR="00074761" w:rsidRDefault="00185FC3" w:rsidP="00175A50">
      <w:pPr>
        <w:pStyle w:val="TableDescription"/>
      </w:pPr>
      <w:r>
        <w:t>6: Coverage b</w:t>
      </w:r>
      <w:r w:rsidR="00074761">
        <w:t>eyond the scope of this extract; see the full guideline for further information.</w:t>
      </w:r>
    </w:p>
    <w:p w14:paraId="2F82CD08" w14:textId="0C54540E" w:rsidR="00171D90" w:rsidRDefault="00074761" w:rsidP="00175A50">
      <w:pPr>
        <w:pStyle w:val="TableDescription"/>
      </w:pPr>
      <w:r>
        <w:t xml:space="preserve">Extracted from: </w:t>
      </w:r>
      <w:r w:rsidRPr="00074761">
        <w:t>National Comprehensive Cancer Network (NCCN) Clinical Practice Guidelines in Oncology – Prostate Cancer, Version 2.2021; 17 February 2021</w:t>
      </w:r>
    </w:p>
    <w:p w14:paraId="042C4684" w14:textId="1A2964CC" w:rsidR="00B2200C" w:rsidRDefault="00B2200C" w:rsidP="00B2200C">
      <w:pPr>
        <w:rPr>
          <w:lang w:eastAsia="ja-JP"/>
        </w:rPr>
      </w:pPr>
      <w:r>
        <w:rPr>
          <w:lang w:eastAsia="ja-JP"/>
        </w:rPr>
        <w:t>The prostate</w:t>
      </w:r>
      <w:r w:rsidR="00185FC3">
        <w:rPr>
          <w:lang w:eastAsia="ja-JP"/>
        </w:rPr>
        <w:noBreakHyphen/>
      </w:r>
      <w:r>
        <w:rPr>
          <w:lang w:eastAsia="ja-JP"/>
        </w:rPr>
        <w:t xml:space="preserve">specific membrane antigen (PSMA) is a transmembrane glycoprotein that is expressed on benign and malignant prostate tissue, as well as on some non-prostate tissues such as the proximal renal tubules, jejunal brush border, salivary glands, and </w:t>
      </w:r>
      <w:proofErr w:type="spellStart"/>
      <w:r>
        <w:rPr>
          <w:lang w:eastAsia="ja-JP"/>
        </w:rPr>
        <w:t>neovasculature</w:t>
      </w:r>
      <w:proofErr w:type="spellEnd"/>
      <w:r>
        <w:rPr>
          <w:lang w:eastAsia="ja-JP"/>
        </w:rPr>
        <w:t xml:space="preserve"> of several solid tumours. PSMA is typically overexpressed in prostate cancers compared to benign prostate tissue and other tissues. </w:t>
      </w:r>
      <w:r w:rsidR="002359CC">
        <w:rPr>
          <w:lang w:eastAsia="ja-JP"/>
        </w:rPr>
        <w:t>T</w:t>
      </w:r>
      <w:r>
        <w:rPr>
          <w:lang w:eastAsia="ja-JP"/>
        </w:rPr>
        <w:t>he physiological role of PSMA in normal cells remains unclear. After a ligand binds to its extracellular portion, PSMA is internalised into the cell.</w:t>
      </w:r>
    </w:p>
    <w:p w14:paraId="3199D62C" w14:textId="620A4C66" w:rsidR="00B2200C" w:rsidRDefault="00B2200C" w:rsidP="00B2200C">
      <w:pPr>
        <w:rPr>
          <w:rFonts w:cstheme="minorHAnsi"/>
        </w:rPr>
      </w:pPr>
      <w:r>
        <w:rPr>
          <w:rFonts w:cstheme="minorHAnsi"/>
        </w:rPr>
        <w:t xml:space="preserve">There are </w:t>
      </w:r>
      <w:r w:rsidR="002359CC">
        <w:rPr>
          <w:rFonts w:cstheme="minorHAnsi"/>
        </w:rPr>
        <w:t>several</w:t>
      </w:r>
      <w:r w:rsidRPr="0038732A">
        <w:rPr>
          <w:rFonts w:cstheme="minorHAnsi"/>
        </w:rPr>
        <w:t xml:space="preserve"> PSMA targeting molecules that are </w:t>
      </w:r>
      <w:r>
        <w:rPr>
          <w:rFonts w:cstheme="minorHAnsi"/>
        </w:rPr>
        <w:t xml:space="preserve">currently </w:t>
      </w:r>
      <w:r w:rsidRPr="0038732A">
        <w:rPr>
          <w:rFonts w:cstheme="minorHAnsi"/>
        </w:rPr>
        <w:t xml:space="preserve">under investigation, including </w:t>
      </w:r>
      <w:r>
        <w:rPr>
          <w:rFonts w:cstheme="minorHAnsi"/>
        </w:rPr>
        <w:t>PSMA-11</w:t>
      </w:r>
      <w:r w:rsidR="005D1C18">
        <w:rPr>
          <w:rFonts w:cstheme="minorHAnsi"/>
        </w:rPr>
        <w:t>;</w:t>
      </w:r>
      <w:r w:rsidR="005D1C18">
        <w:rPr>
          <w:rStyle w:val="FootnoteReference"/>
          <w:rFonts w:cstheme="minorHAnsi"/>
        </w:rPr>
        <w:footnoteReference w:id="15"/>
      </w:r>
      <w:r>
        <w:rPr>
          <w:rFonts w:cstheme="minorHAnsi"/>
        </w:rPr>
        <w:t xml:space="preserve"> </w:t>
      </w:r>
      <w:r w:rsidRPr="0038732A">
        <w:rPr>
          <w:rFonts w:cstheme="minorHAnsi"/>
        </w:rPr>
        <w:t>PSMA-617</w:t>
      </w:r>
      <w:r w:rsidR="00D85555">
        <w:rPr>
          <w:rFonts w:cstheme="minorHAnsi"/>
        </w:rPr>
        <w:t>;</w:t>
      </w:r>
      <w:r w:rsidR="00D85555">
        <w:rPr>
          <w:rStyle w:val="FootnoteReference"/>
          <w:rFonts w:cstheme="minorHAnsi"/>
        </w:rPr>
        <w:footnoteReference w:id="16"/>
      </w:r>
      <w:r w:rsidRPr="0038732A">
        <w:rPr>
          <w:rFonts w:cstheme="minorHAnsi"/>
        </w:rPr>
        <w:t xml:space="preserve"> a</w:t>
      </w:r>
      <w:r>
        <w:rPr>
          <w:rFonts w:cstheme="minorHAnsi"/>
        </w:rPr>
        <w:t xml:space="preserve">nd </w:t>
      </w:r>
      <w:proofErr w:type="spellStart"/>
      <w:r w:rsidR="00680FEE">
        <w:rPr>
          <w:rFonts w:cstheme="minorHAnsi"/>
        </w:rPr>
        <w:t>DCFPyL</w:t>
      </w:r>
      <w:proofErr w:type="spellEnd"/>
      <w:r w:rsidR="00D85555">
        <w:rPr>
          <w:rFonts w:cstheme="minorHAnsi"/>
        </w:rPr>
        <w:t>.</w:t>
      </w:r>
      <w:r w:rsidR="00D85555">
        <w:rPr>
          <w:rStyle w:val="FootnoteReference"/>
          <w:rFonts w:cstheme="minorHAnsi"/>
        </w:rPr>
        <w:footnoteReference w:id="17"/>
      </w:r>
      <w:r w:rsidR="00D85555">
        <w:rPr>
          <w:rFonts w:cstheme="minorHAnsi"/>
        </w:rPr>
        <w:t xml:space="preserve"> </w:t>
      </w:r>
      <w:r>
        <w:rPr>
          <w:rFonts w:cstheme="minorHAnsi"/>
        </w:rPr>
        <w:t>T</w:t>
      </w:r>
      <w:r w:rsidRPr="0038732A">
        <w:rPr>
          <w:rFonts w:cstheme="minorHAnsi"/>
        </w:rPr>
        <w:t xml:space="preserve">hese have the same molecular moiety </w:t>
      </w:r>
      <w:r w:rsidRPr="0038732A">
        <w:rPr>
          <w:rFonts w:cstheme="minorHAnsi"/>
        </w:rPr>
        <w:lastRenderedPageBreak/>
        <w:t xml:space="preserve">that binds to the </w:t>
      </w:r>
      <w:r w:rsidRPr="00562DCE">
        <w:t>extracellular component of PSMA</w:t>
      </w:r>
      <w:r w:rsidRPr="00562DCE">
        <w:rPr>
          <w:rFonts w:cstheme="minorHAnsi"/>
        </w:rPr>
        <w:t xml:space="preserve"> </w:t>
      </w:r>
      <w:r w:rsidRPr="0038732A">
        <w:rPr>
          <w:rFonts w:cstheme="minorHAnsi"/>
        </w:rPr>
        <w:t xml:space="preserve">(described as the </w:t>
      </w:r>
      <w:r>
        <w:rPr>
          <w:rFonts w:cstheme="minorHAnsi"/>
        </w:rPr>
        <w:t>‘</w:t>
      </w:r>
      <w:r w:rsidRPr="0038732A">
        <w:rPr>
          <w:rFonts w:cstheme="minorHAnsi"/>
        </w:rPr>
        <w:t>urea motif</w:t>
      </w:r>
      <w:r>
        <w:rPr>
          <w:rFonts w:cstheme="minorHAnsi"/>
        </w:rPr>
        <w:t>’</w:t>
      </w:r>
      <w:r w:rsidRPr="0038732A">
        <w:rPr>
          <w:rFonts w:cstheme="minorHAnsi"/>
        </w:rPr>
        <w:t>) but they differ in the molecular moiety that chelates the radi</w:t>
      </w:r>
      <w:r>
        <w:rPr>
          <w:rFonts w:cstheme="minorHAnsi"/>
        </w:rPr>
        <w:t>oisotope: PSMA</w:t>
      </w:r>
      <w:r w:rsidR="00EE2441">
        <w:rPr>
          <w:rFonts w:cstheme="minorHAnsi"/>
        </w:rPr>
        <w:noBreakHyphen/>
      </w:r>
      <w:r>
        <w:rPr>
          <w:rFonts w:cstheme="minorHAnsi"/>
        </w:rPr>
        <w:t>11</w:t>
      </w:r>
      <w:r w:rsidR="005D1C18">
        <w:rPr>
          <w:rFonts w:cstheme="minorHAnsi"/>
        </w:rPr>
        <w:t xml:space="preserve"> </w:t>
      </w:r>
      <w:r>
        <w:rPr>
          <w:rFonts w:cstheme="minorHAnsi"/>
        </w:rPr>
        <w:t>chelates</w:t>
      </w:r>
      <w:r w:rsidR="005D1C18">
        <w:rPr>
          <w:rFonts w:cstheme="minorHAnsi"/>
        </w:rPr>
        <w:t xml:space="preserve"> </w:t>
      </w:r>
      <w:r w:rsidR="0025155B">
        <w:rPr>
          <w:rFonts w:cstheme="minorHAnsi"/>
        </w:rPr>
        <w:t>gallium-68</w:t>
      </w:r>
      <w:r>
        <w:rPr>
          <w:rFonts w:cstheme="minorHAnsi"/>
        </w:rPr>
        <w:t xml:space="preserve"> </w:t>
      </w:r>
      <w:r w:rsidR="00265202">
        <w:rPr>
          <w:rFonts w:cstheme="minorHAnsi"/>
        </w:rPr>
        <w:t>[</w:t>
      </w:r>
      <w:r w:rsidRPr="007D5A86">
        <w:rPr>
          <w:rFonts w:cstheme="minorHAnsi"/>
          <w:vertAlign w:val="superscript"/>
        </w:rPr>
        <w:t>68</w:t>
      </w:r>
      <w:r>
        <w:rPr>
          <w:rFonts w:cstheme="minorHAnsi"/>
        </w:rPr>
        <w:t>Ga</w:t>
      </w:r>
      <w:r w:rsidR="00265202">
        <w:rPr>
          <w:rFonts w:cstheme="minorHAnsi"/>
        </w:rPr>
        <w:t>]</w:t>
      </w:r>
      <w:r w:rsidR="005D1C18">
        <w:rPr>
          <w:rFonts w:cstheme="minorHAnsi"/>
        </w:rPr>
        <w:t>;</w:t>
      </w:r>
      <w:r w:rsidR="005D1C18">
        <w:rPr>
          <w:rStyle w:val="FootnoteReference"/>
          <w:rFonts w:cstheme="minorHAnsi"/>
        </w:rPr>
        <w:footnoteReference w:id="18"/>
      </w:r>
      <w:r>
        <w:rPr>
          <w:rFonts w:cstheme="minorHAnsi"/>
        </w:rPr>
        <w:t xml:space="preserve"> </w:t>
      </w:r>
      <w:proofErr w:type="spellStart"/>
      <w:r>
        <w:rPr>
          <w:rFonts w:cstheme="minorHAnsi"/>
        </w:rPr>
        <w:t>DCFPyl</w:t>
      </w:r>
      <w:proofErr w:type="spellEnd"/>
      <w:r>
        <w:rPr>
          <w:rFonts w:cstheme="minorHAnsi"/>
        </w:rPr>
        <w:t xml:space="preserve"> chelates</w:t>
      </w:r>
      <w:r w:rsidR="0025155B">
        <w:rPr>
          <w:rFonts w:cstheme="minorHAnsi"/>
        </w:rPr>
        <w:t xml:space="preserve"> fluorine-18</w:t>
      </w:r>
      <w:r>
        <w:rPr>
          <w:rFonts w:cstheme="minorHAnsi"/>
        </w:rPr>
        <w:t xml:space="preserve"> </w:t>
      </w:r>
      <w:r w:rsidR="00265202">
        <w:rPr>
          <w:rFonts w:cstheme="minorHAnsi"/>
        </w:rPr>
        <w:t>[</w:t>
      </w:r>
      <w:r w:rsidRPr="004F7DDA">
        <w:rPr>
          <w:rFonts w:cstheme="minorHAnsi"/>
          <w:vertAlign w:val="superscript"/>
        </w:rPr>
        <w:t>18</w:t>
      </w:r>
      <w:r>
        <w:rPr>
          <w:rFonts w:cstheme="minorHAnsi"/>
        </w:rPr>
        <w:t>F</w:t>
      </w:r>
      <w:r w:rsidR="00265202">
        <w:rPr>
          <w:rFonts w:cstheme="minorHAnsi"/>
        </w:rPr>
        <w:t>]</w:t>
      </w:r>
      <w:r>
        <w:rPr>
          <w:rFonts w:cstheme="minorHAnsi"/>
        </w:rPr>
        <w:t>,</w:t>
      </w:r>
      <w:r w:rsidR="00680FEE">
        <w:rPr>
          <w:rStyle w:val="FootnoteReference"/>
          <w:rFonts w:cstheme="minorHAnsi"/>
        </w:rPr>
        <w:footnoteReference w:id="19"/>
      </w:r>
      <w:r>
        <w:rPr>
          <w:rFonts w:cstheme="minorHAnsi"/>
        </w:rPr>
        <w:t xml:space="preserve"> </w:t>
      </w:r>
      <w:r w:rsidRPr="0038732A">
        <w:rPr>
          <w:rFonts w:cstheme="minorHAnsi"/>
        </w:rPr>
        <w:t xml:space="preserve">and PSMA-617 chelates </w:t>
      </w:r>
      <w:r w:rsidR="0025155B">
        <w:rPr>
          <w:rFonts w:cstheme="minorHAnsi"/>
        </w:rPr>
        <w:t xml:space="preserve">lutetium-177 </w:t>
      </w:r>
      <w:r w:rsidR="00265202">
        <w:rPr>
          <w:rFonts w:cstheme="minorHAnsi"/>
        </w:rPr>
        <w:t>[</w:t>
      </w:r>
      <w:r w:rsidRPr="004F7DDA">
        <w:rPr>
          <w:rFonts w:cstheme="minorHAnsi"/>
          <w:vertAlign w:val="superscript"/>
        </w:rPr>
        <w:t>177</w:t>
      </w:r>
      <w:r w:rsidRPr="0038732A">
        <w:rPr>
          <w:rFonts w:cstheme="minorHAnsi"/>
        </w:rPr>
        <w:t>Lu</w:t>
      </w:r>
      <w:r w:rsidR="00265202">
        <w:rPr>
          <w:rFonts w:cstheme="minorHAnsi"/>
        </w:rPr>
        <w:t>]</w:t>
      </w:r>
      <w:r w:rsidRPr="0038732A">
        <w:rPr>
          <w:rFonts w:cstheme="minorHAnsi"/>
        </w:rPr>
        <w:t>.</w:t>
      </w:r>
      <w:r w:rsidR="005D1C18">
        <w:rPr>
          <w:rStyle w:val="FootnoteReference"/>
          <w:rFonts w:cstheme="minorHAnsi"/>
        </w:rPr>
        <w:footnoteReference w:id="20"/>
      </w:r>
      <w:r>
        <w:rPr>
          <w:rFonts w:cstheme="minorHAnsi"/>
        </w:rPr>
        <w:t xml:space="preserve"> </w:t>
      </w:r>
      <w:r w:rsidR="0025155B">
        <w:rPr>
          <w:rFonts w:cstheme="minorHAnsi"/>
        </w:rPr>
        <w:t>[</w:t>
      </w:r>
      <w:r w:rsidRPr="007D5A86">
        <w:rPr>
          <w:rFonts w:cstheme="minorHAnsi"/>
          <w:vertAlign w:val="superscript"/>
        </w:rPr>
        <w:t>68</w:t>
      </w:r>
      <w:r w:rsidRPr="0038732A">
        <w:rPr>
          <w:rFonts w:cstheme="minorHAnsi"/>
        </w:rPr>
        <w:t>Ga</w:t>
      </w:r>
      <w:r w:rsidR="0025155B">
        <w:rPr>
          <w:rFonts w:cstheme="minorHAnsi"/>
        </w:rPr>
        <w:t>] gallium</w:t>
      </w:r>
      <w:r w:rsidRPr="0038732A">
        <w:rPr>
          <w:rFonts w:cstheme="minorHAnsi"/>
        </w:rPr>
        <w:t xml:space="preserve"> PSMA</w:t>
      </w:r>
      <w:r w:rsidR="00EE2441">
        <w:rPr>
          <w:rFonts w:cstheme="minorHAnsi"/>
        </w:rPr>
        <w:noBreakHyphen/>
      </w:r>
      <w:r w:rsidRPr="0038732A">
        <w:rPr>
          <w:rFonts w:cstheme="minorHAnsi"/>
        </w:rPr>
        <w:t xml:space="preserve">11 and </w:t>
      </w:r>
      <w:r w:rsidR="0025155B">
        <w:rPr>
          <w:rFonts w:cstheme="minorHAnsi"/>
        </w:rPr>
        <w:t>[</w:t>
      </w:r>
      <w:r w:rsidRPr="004F7DDA">
        <w:rPr>
          <w:rFonts w:cstheme="minorHAnsi"/>
          <w:vertAlign w:val="superscript"/>
        </w:rPr>
        <w:t>18</w:t>
      </w:r>
      <w:r w:rsidRPr="0038732A">
        <w:rPr>
          <w:rFonts w:cstheme="minorHAnsi"/>
        </w:rPr>
        <w:t>F</w:t>
      </w:r>
      <w:r w:rsidR="0025155B">
        <w:rPr>
          <w:rFonts w:cstheme="minorHAnsi"/>
        </w:rPr>
        <w:t>]</w:t>
      </w:r>
      <w:r w:rsidRPr="0038732A">
        <w:rPr>
          <w:rFonts w:cstheme="minorHAnsi"/>
        </w:rPr>
        <w:t xml:space="preserve"> </w:t>
      </w:r>
      <w:proofErr w:type="spellStart"/>
      <w:r w:rsidRPr="0038732A">
        <w:rPr>
          <w:rFonts w:cstheme="minorHAnsi"/>
        </w:rPr>
        <w:t>DCFPyl</w:t>
      </w:r>
      <w:proofErr w:type="spellEnd"/>
      <w:r w:rsidRPr="0038732A">
        <w:rPr>
          <w:rFonts w:cstheme="minorHAnsi"/>
        </w:rPr>
        <w:t xml:space="preserve"> </w:t>
      </w:r>
      <w:r>
        <w:rPr>
          <w:rFonts w:cstheme="minorHAnsi"/>
        </w:rPr>
        <w:t xml:space="preserve">are being investigated </w:t>
      </w:r>
      <w:r w:rsidRPr="0038732A">
        <w:rPr>
          <w:rFonts w:cstheme="minorHAnsi"/>
        </w:rPr>
        <w:t>in diagnostic PET/CT for prostate cancer</w:t>
      </w:r>
      <w:r>
        <w:rPr>
          <w:rFonts w:cstheme="minorHAnsi"/>
        </w:rPr>
        <w:t>,</w:t>
      </w:r>
      <w:r w:rsidRPr="0038732A">
        <w:rPr>
          <w:rFonts w:cstheme="minorHAnsi"/>
        </w:rPr>
        <w:t xml:space="preserve"> whereas </w:t>
      </w:r>
      <w:r w:rsidR="0025155B">
        <w:rPr>
          <w:rFonts w:cstheme="minorHAnsi"/>
        </w:rPr>
        <w:t>[</w:t>
      </w:r>
      <w:r w:rsidRPr="004F7DDA">
        <w:rPr>
          <w:rFonts w:cstheme="minorHAnsi"/>
          <w:vertAlign w:val="superscript"/>
        </w:rPr>
        <w:t>177</w:t>
      </w:r>
      <w:r w:rsidRPr="0038732A">
        <w:rPr>
          <w:rFonts w:cstheme="minorHAnsi"/>
        </w:rPr>
        <w:t>Lu</w:t>
      </w:r>
      <w:r w:rsidR="0025155B">
        <w:rPr>
          <w:rFonts w:cstheme="minorHAnsi"/>
        </w:rPr>
        <w:t>] lutetium</w:t>
      </w:r>
      <w:r w:rsidRPr="0038732A">
        <w:rPr>
          <w:rFonts w:cstheme="minorHAnsi"/>
        </w:rPr>
        <w:t xml:space="preserve"> PSMA-617 is </w:t>
      </w:r>
      <w:r>
        <w:rPr>
          <w:rFonts w:cstheme="minorHAnsi"/>
        </w:rPr>
        <w:t>being investigated in prostate</w:t>
      </w:r>
      <w:r w:rsidRPr="0038732A">
        <w:rPr>
          <w:rFonts w:cstheme="minorHAnsi"/>
        </w:rPr>
        <w:t xml:space="preserve"> cancer</w:t>
      </w:r>
      <w:r>
        <w:rPr>
          <w:rFonts w:cstheme="minorHAnsi"/>
        </w:rPr>
        <w:t xml:space="preserve"> treatment</w:t>
      </w:r>
      <w:r w:rsidRPr="0038732A">
        <w:rPr>
          <w:rFonts w:cstheme="minorHAnsi"/>
        </w:rPr>
        <w:t>.</w:t>
      </w:r>
    </w:p>
    <w:p w14:paraId="75BA33DE" w14:textId="685AB621" w:rsidR="00B2200C" w:rsidRPr="00B2200C" w:rsidRDefault="00EA524A" w:rsidP="00B2200C">
      <w:r>
        <w:rPr>
          <w:rStyle w:val="style1"/>
          <w:rFonts w:cstheme="minorHAnsi"/>
          <w:iCs/>
        </w:rPr>
        <w:t>[</w:t>
      </w:r>
      <w:r w:rsidRPr="004F7DDA">
        <w:rPr>
          <w:rStyle w:val="style1"/>
          <w:rFonts w:cstheme="minorHAnsi"/>
          <w:iCs/>
          <w:vertAlign w:val="superscript"/>
        </w:rPr>
        <w:t>68</w:t>
      </w:r>
      <w:r w:rsidR="00B2200C" w:rsidRPr="00D57FB4">
        <w:rPr>
          <w:rStyle w:val="style1"/>
          <w:rFonts w:cstheme="minorHAnsi"/>
          <w:iCs/>
        </w:rPr>
        <w:t>Ga</w:t>
      </w:r>
      <w:r>
        <w:rPr>
          <w:rStyle w:val="style1"/>
          <w:rFonts w:cstheme="minorHAnsi"/>
          <w:iCs/>
        </w:rPr>
        <w:t>] Gallium</w:t>
      </w:r>
      <w:r w:rsidR="00B2200C" w:rsidRPr="00D57FB4">
        <w:rPr>
          <w:rStyle w:val="style1"/>
          <w:rFonts w:cstheme="minorHAnsi"/>
          <w:iCs/>
        </w:rPr>
        <w:t xml:space="preserve"> PSMA-11 </w:t>
      </w:r>
      <w:r w:rsidR="00B2200C">
        <w:rPr>
          <w:rStyle w:val="style1"/>
          <w:rFonts w:cstheme="minorHAnsi"/>
          <w:iCs/>
        </w:rPr>
        <w:t xml:space="preserve">for use with PET/CT scanning </w:t>
      </w:r>
      <w:r w:rsidR="00B2200C" w:rsidRPr="00D57FB4">
        <w:rPr>
          <w:rStyle w:val="style1"/>
          <w:rFonts w:cstheme="minorHAnsi"/>
          <w:iCs/>
        </w:rPr>
        <w:t xml:space="preserve">was originally developed </w:t>
      </w:r>
      <w:r w:rsidR="00B2200C">
        <w:t xml:space="preserve">in Germany </w:t>
      </w:r>
      <w:r w:rsidR="00B2200C" w:rsidRPr="00D57FB4">
        <w:t>and shared with the scientific community free of patent</w:t>
      </w:r>
      <w:r w:rsidR="00B2200C">
        <w:t xml:space="preserve"> in 2012</w:t>
      </w:r>
      <w:r w:rsidR="00B2200C" w:rsidRPr="00B2200C">
        <w:t>. Labelling of</w:t>
      </w:r>
      <w:r w:rsidR="00B2200C">
        <w:t xml:space="preserve"> </w:t>
      </w:r>
      <w:r w:rsidR="00B2200C" w:rsidRPr="00394D30">
        <w:t>PSMA</w:t>
      </w:r>
      <w:r w:rsidR="00B2200C">
        <w:t xml:space="preserve">-11 with </w:t>
      </w:r>
      <w:r w:rsidR="00265202">
        <w:t xml:space="preserve">Gallium-11 </w:t>
      </w:r>
      <w:r w:rsidR="00B2200C">
        <w:t>has typically been</w:t>
      </w:r>
      <w:r w:rsidR="00B2200C" w:rsidRPr="00394D30">
        <w:t xml:space="preserve"> performed </w:t>
      </w:r>
      <w:r w:rsidR="00B2200C">
        <w:t>using</w:t>
      </w:r>
      <w:r w:rsidR="00B2200C" w:rsidRPr="00394D30">
        <w:t xml:space="preserve"> </w:t>
      </w:r>
      <w:r w:rsidR="00B2200C">
        <w:t>a synthesiser which</w:t>
      </w:r>
      <w:r w:rsidR="00B2200C" w:rsidRPr="00394D30">
        <w:t xml:space="preserve"> incorporate</w:t>
      </w:r>
      <w:r w:rsidR="00B2200C">
        <w:t>s</w:t>
      </w:r>
      <w:r w:rsidR="00B2200C" w:rsidRPr="00394D30">
        <w:t xml:space="preserve"> a heating step. </w:t>
      </w:r>
      <w:r w:rsidR="00B2200C">
        <w:rPr>
          <w:lang w:eastAsia="ja-JP"/>
        </w:rPr>
        <w:t>Green et al</w:t>
      </w:r>
      <w:r w:rsidR="00265202">
        <w:rPr>
          <w:lang w:eastAsia="ja-JP"/>
        </w:rPr>
        <w:t>.</w:t>
      </w:r>
      <w:r w:rsidR="00B2200C">
        <w:rPr>
          <w:lang w:eastAsia="ja-JP"/>
        </w:rPr>
        <w:t xml:space="preserve"> </w:t>
      </w:r>
      <w:r w:rsidR="00DE10A8">
        <w:rPr>
          <w:lang w:eastAsia="ja-JP"/>
        </w:rPr>
        <w:t>(</w:t>
      </w:r>
      <w:r w:rsidR="00B2200C">
        <w:rPr>
          <w:lang w:eastAsia="ja-JP"/>
        </w:rPr>
        <w:t>2017</w:t>
      </w:r>
      <w:r w:rsidR="00DE10A8">
        <w:rPr>
          <w:lang w:eastAsia="ja-JP"/>
        </w:rPr>
        <w:t>)</w:t>
      </w:r>
      <w:r w:rsidR="00B2200C">
        <w:rPr>
          <w:lang w:eastAsia="ja-JP"/>
        </w:rPr>
        <w:t>;</w:t>
      </w:r>
      <w:bookmarkStart w:id="22" w:name="_Ref103692127"/>
      <w:r w:rsidR="00B2200C">
        <w:rPr>
          <w:rStyle w:val="FootnoteReference"/>
          <w:lang w:eastAsia="ja-JP"/>
        </w:rPr>
        <w:footnoteReference w:id="21"/>
      </w:r>
      <w:bookmarkEnd w:id="22"/>
      <w:r w:rsidR="00B2200C">
        <w:rPr>
          <w:lang w:eastAsia="ja-JP"/>
        </w:rPr>
        <w:t xml:space="preserve"> reported that the average preparation time for a </w:t>
      </w:r>
      <w:r w:rsidR="00265202">
        <w:rPr>
          <w:rStyle w:val="style1"/>
          <w:rFonts w:cstheme="minorHAnsi"/>
          <w:iCs/>
        </w:rPr>
        <w:t>[</w:t>
      </w:r>
      <w:r w:rsidR="00265202" w:rsidRPr="00244571">
        <w:rPr>
          <w:rStyle w:val="style1"/>
          <w:rFonts w:cstheme="minorHAnsi"/>
          <w:iCs/>
          <w:vertAlign w:val="superscript"/>
        </w:rPr>
        <w:t>68</w:t>
      </w:r>
      <w:r w:rsidR="00265202" w:rsidRPr="00D57FB4">
        <w:rPr>
          <w:rStyle w:val="style1"/>
          <w:rFonts w:cstheme="minorHAnsi"/>
          <w:iCs/>
        </w:rPr>
        <w:t>Ga</w:t>
      </w:r>
      <w:r w:rsidR="00265202">
        <w:rPr>
          <w:rStyle w:val="style1"/>
          <w:rFonts w:cstheme="minorHAnsi"/>
          <w:iCs/>
        </w:rPr>
        <w:t>] Gallium</w:t>
      </w:r>
      <w:r w:rsidR="00265202" w:rsidRPr="00D57FB4">
        <w:rPr>
          <w:rStyle w:val="style1"/>
          <w:rFonts w:cstheme="minorHAnsi"/>
          <w:iCs/>
        </w:rPr>
        <w:t xml:space="preserve"> PSMA-11 </w:t>
      </w:r>
      <w:r w:rsidR="00B2200C">
        <w:rPr>
          <w:lang w:eastAsia="ja-JP"/>
        </w:rPr>
        <w:t>solution for injection using a synthesiser was 42</w:t>
      </w:r>
      <w:r w:rsidR="00265202">
        <w:rPr>
          <w:lang w:eastAsia="ja-JP"/>
        </w:rPr>
        <w:t> </w:t>
      </w:r>
      <w:r w:rsidR="00B2200C">
        <w:rPr>
          <w:lang w:eastAsia="ja-JP"/>
        </w:rPr>
        <w:t>minutes.</w:t>
      </w:r>
      <w:r w:rsidR="00B2200C">
        <w:t xml:space="preserve"> </w:t>
      </w:r>
      <w:r w:rsidR="00B2200C">
        <w:rPr>
          <w:lang w:eastAsia="ja-JP"/>
        </w:rPr>
        <w:t xml:space="preserve">The sponsor submitted documents indicate that preparation of a </w:t>
      </w:r>
      <w:r w:rsidR="00265202">
        <w:rPr>
          <w:rStyle w:val="style1"/>
          <w:rFonts w:cstheme="minorHAnsi"/>
          <w:iCs/>
        </w:rPr>
        <w:t>[</w:t>
      </w:r>
      <w:r w:rsidR="00265202">
        <w:rPr>
          <w:rStyle w:val="style1"/>
          <w:rFonts w:cstheme="minorHAnsi"/>
          <w:iCs/>
          <w:vertAlign w:val="superscript"/>
        </w:rPr>
        <w:t>68</w:t>
      </w:r>
      <w:r w:rsidR="00265202">
        <w:rPr>
          <w:rStyle w:val="style1"/>
          <w:rFonts w:cstheme="minorHAnsi"/>
          <w:iCs/>
        </w:rPr>
        <w:t>Ga] </w:t>
      </w:r>
      <w:r w:rsidR="00293AB9">
        <w:rPr>
          <w:rStyle w:val="style1"/>
          <w:rFonts w:cstheme="minorHAnsi"/>
          <w:iCs/>
        </w:rPr>
        <w:t>gallium</w:t>
      </w:r>
      <w:r w:rsidR="00265202">
        <w:rPr>
          <w:rStyle w:val="style1"/>
          <w:rFonts w:cstheme="minorHAnsi"/>
          <w:iCs/>
        </w:rPr>
        <w:t xml:space="preserve"> PSMA-11 </w:t>
      </w:r>
      <w:r w:rsidR="00B2200C">
        <w:rPr>
          <w:lang w:eastAsia="ja-JP"/>
        </w:rPr>
        <w:t xml:space="preserve">solution for injection using the </w:t>
      </w:r>
      <w:proofErr w:type="spellStart"/>
      <w:r w:rsidR="00B2200C">
        <w:rPr>
          <w:lang w:eastAsia="ja-JP"/>
        </w:rPr>
        <w:t>Illuccix</w:t>
      </w:r>
      <w:proofErr w:type="spellEnd"/>
      <w:r w:rsidR="00B2200C">
        <w:rPr>
          <w:lang w:eastAsia="ja-JP"/>
        </w:rPr>
        <w:t xml:space="preserve"> kit takes 5 minutes. This preparation time was confirmed by </w:t>
      </w:r>
      <w:proofErr w:type="spellStart"/>
      <w:r w:rsidR="00B2200C">
        <w:rPr>
          <w:lang w:eastAsia="ja-JP"/>
        </w:rPr>
        <w:t>Behesti</w:t>
      </w:r>
      <w:proofErr w:type="spellEnd"/>
      <w:r w:rsidR="00B2200C">
        <w:rPr>
          <w:lang w:eastAsia="ja-JP"/>
        </w:rPr>
        <w:t xml:space="preserve"> et al</w:t>
      </w:r>
      <w:r w:rsidR="00265202">
        <w:rPr>
          <w:lang w:eastAsia="ja-JP"/>
        </w:rPr>
        <w:t>.</w:t>
      </w:r>
      <w:r w:rsidR="00B2200C">
        <w:rPr>
          <w:lang w:eastAsia="ja-JP"/>
        </w:rPr>
        <w:t xml:space="preserve"> </w:t>
      </w:r>
      <w:r w:rsidR="00DE10A8">
        <w:rPr>
          <w:lang w:eastAsia="ja-JP"/>
        </w:rPr>
        <w:t>(</w:t>
      </w:r>
      <w:r w:rsidR="00B2200C">
        <w:rPr>
          <w:lang w:eastAsia="ja-JP"/>
        </w:rPr>
        <w:t>2018</w:t>
      </w:r>
      <w:r w:rsidR="00DE10A8">
        <w:rPr>
          <w:lang w:eastAsia="ja-JP"/>
        </w:rPr>
        <w:t>).</w:t>
      </w:r>
      <w:r w:rsidR="00B2200C">
        <w:rPr>
          <w:rStyle w:val="FootnoteReference"/>
          <w:lang w:eastAsia="ja-JP"/>
        </w:rPr>
        <w:footnoteReference w:id="22"/>
      </w:r>
    </w:p>
    <w:p w14:paraId="5DFD4B3F" w14:textId="3A7391CE" w:rsidR="00B2200C" w:rsidRDefault="00B2200C" w:rsidP="00817BFF">
      <w:r w:rsidRPr="00EE1003">
        <w:rPr>
          <w:lang w:eastAsia="zh-CN"/>
        </w:rPr>
        <w:t xml:space="preserve">The radioisotope </w:t>
      </w:r>
      <w:r w:rsidR="00265202">
        <w:rPr>
          <w:rStyle w:val="style1"/>
          <w:rFonts w:cstheme="minorHAnsi"/>
          <w:iCs/>
        </w:rPr>
        <w:t>[</w:t>
      </w:r>
      <w:r w:rsidR="00265202">
        <w:rPr>
          <w:rStyle w:val="style1"/>
          <w:rFonts w:cstheme="minorHAnsi"/>
          <w:iCs/>
          <w:vertAlign w:val="superscript"/>
        </w:rPr>
        <w:t>68</w:t>
      </w:r>
      <w:r w:rsidR="00265202">
        <w:rPr>
          <w:rStyle w:val="style1"/>
          <w:rFonts w:cstheme="minorHAnsi"/>
          <w:iCs/>
        </w:rPr>
        <w:t xml:space="preserve">Ga] </w:t>
      </w:r>
      <w:r w:rsidR="00293AB9">
        <w:rPr>
          <w:rStyle w:val="style1"/>
          <w:rFonts w:cstheme="minorHAnsi"/>
          <w:iCs/>
        </w:rPr>
        <w:t>gallium</w:t>
      </w:r>
      <w:r w:rsidR="00265202">
        <w:rPr>
          <w:rStyle w:val="style1"/>
          <w:rFonts w:cstheme="minorHAnsi"/>
          <w:iCs/>
        </w:rPr>
        <w:t xml:space="preserve">-68 </w:t>
      </w:r>
      <w:r w:rsidRPr="00EE1003">
        <w:rPr>
          <w:lang w:eastAsia="zh-CN"/>
        </w:rPr>
        <w:t xml:space="preserve">undergoes 100% radioactive decay to stable </w:t>
      </w:r>
      <w:r w:rsidRPr="004F7DDA">
        <w:rPr>
          <w:vertAlign w:val="superscript"/>
          <w:lang w:eastAsia="zh-CN"/>
        </w:rPr>
        <w:t>68</w:t>
      </w:r>
      <w:r w:rsidRPr="00EE1003">
        <w:rPr>
          <w:lang w:eastAsia="zh-CN"/>
        </w:rPr>
        <w:t xml:space="preserve">Zn, with a half-life of 68 minutes. Decay is by release of a positron. Immediate attraction to a nearby electron results in positron/electron annihilation and the release of </w:t>
      </w:r>
      <w:r>
        <w:rPr>
          <w:lang w:eastAsia="zh-CN"/>
        </w:rPr>
        <w:t>two</w:t>
      </w:r>
      <w:r w:rsidRPr="00EE1003">
        <w:rPr>
          <w:lang w:eastAsia="zh-CN"/>
        </w:rPr>
        <w:t xml:space="preserve"> photons that shoot off in opposite directions. These photons are detected by the PET scanner, with images showing sites with increased concentration of </w:t>
      </w:r>
      <w:r w:rsidR="00265202">
        <w:rPr>
          <w:rStyle w:val="style1"/>
          <w:rFonts w:cstheme="minorHAnsi"/>
          <w:iCs/>
        </w:rPr>
        <w:t>[</w:t>
      </w:r>
      <w:r w:rsidR="00265202">
        <w:rPr>
          <w:rStyle w:val="style1"/>
          <w:rFonts w:cstheme="minorHAnsi"/>
          <w:iCs/>
          <w:vertAlign w:val="superscript"/>
        </w:rPr>
        <w:t>68</w:t>
      </w:r>
      <w:r w:rsidR="00265202">
        <w:rPr>
          <w:rStyle w:val="style1"/>
          <w:rFonts w:cstheme="minorHAnsi"/>
          <w:iCs/>
        </w:rPr>
        <w:t xml:space="preserve">Ga] </w:t>
      </w:r>
      <w:r w:rsidR="00293AB9">
        <w:rPr>
          <w:rStyle w:val="style1"/>
          <w:rFonts w:cstheme="minorHAnsi"/>
          <w:iCs/>
        </w:rPr>
        <w:t>gallium</w:t>
      </w:r>
      <w:r w:rsidR="00265202">
        <w:rPr>
          <w:rStyle w:val="style1"/>
          <w:rFonts w:cstheme="minorHAnsi"/>
          <w:iCs/>
        </w:rPr>
        <w:t>-</w:t>
      </w:r>
      <w:proofErr w:type="gramStart"/>
      <w:r w:rsidR="00265202">
        <w:rPr>
          <w:rStyle w:val="style1"/>
          <w:rFonts w:cstheme="minorHAnsi"/>
          <w:iCs/>
        </w:rPr>
        <w:t xml:space="preserve">68 </w:t>
      </w:r>
      <w:r w:rsidRPr="00EE1003">
        <w:rPr>
          <w:lang w:eastAsia="zh-CN"/>
        </w:rPr>
        <w:t>.</w:t>
      </w:r>
      <w:proofErr w:type="gramEnd"/>
      <w:r w:rsidRPr="00EE1003">
        <w:rPr>
          <w:lang w:eastAsia="zh-CN"/>
        </w:rPr>
        <w:t xml:space="preserve"> Scanning is typically </w:t>
      </w:r>
      <w:r>
        <w:rPr>
          <w:lang w:eastAsia="zh-CN"/>
        </w:rPr>
        <w:t>commenc</w:t>
      </w:r>
      <w:r w:rsidRPr="00EE1003">
        <w:rPr>
          <w:lang w:eastAsia="zh-CN"/>
        </w:rPr>
        <w:t>ed a</w:t>
      </w:r>
      <w:r>
        <w:rPr>
          <w:lang w:eastAsia="zh-CN"/>
        </w:rPr>
        <w:t>bout</w:t>
      </w:r>
      <w:r w:rsidRPr="00EE1003">
        <w:rPr>
          <w:lang w:eastAsia="zh-CN"/>
        </w:rPr>
        <w:t xml:space="preserve"> 60</w:t>
      </w:r>
      <w:r w:rsidR="00BE712E">
        <w:rPr>
          <w:lang w:eastAsia="zh-CN"/>
        </w:rPr>
        <w:t> </w:t>
      </w:r>
      <w:r w:rsidRPr="00EE1003">
        <w:rPr>
          <w:lang w:eastAsia="zh-CN"/>
        </w:rPr>
        <w:t xml:space="preserve">minutes after </w:t>
      </w:r>
      <w:r>
        <w:rPr>
          <w:lang w:eastAsia="zh-CN"/>
        </w:rPr>
        <w:t xml:space="preserve">intravenous </w:t>
      </w:r>
      <w:r w:rsidRPr="00EE1003">
        <w:rPr>
          <w:lang w:eastAsia="zh-CN"/>
        </w:rPr>
        <w:t xml:space="preserve">administration of </w:t>
      </w:r>
      <w:r w:rsidR="00265202">
        <w:rPr>
          <w:rStyle w:val="style1"/>
          <w:rFonts w:cstheme="minorHAnsi"/>
          <w:iCs/>
        </w:rPr>
        <w:t>[</w:t>
      </w:r>
      <w:r w:rsidR="00265202">
        <w:rPr>
          <w:rStyle w:val="style1"/>
          <w:rFonts w:cstheme="minorHAnsi"/>
          <w:iCs/>
          <w:vertAlign w:val="superscript"/>
        </w:rPr>
        <w:t>68</w:t>
      </w:r>
      <w:r w:rsidR="00265202">
        <w:rPr>
          <w:rStyle w:val="style1"/>
          <w:rFonts w:cstheme="minorHAnsi"/>
          <w:iCs/>
        </w:rPr>
        <w:t>Ga] </w:t>
      </w:r>
      <w:r w:rsidR="00293AB9">
        <w:rPr>
          <w:rStyle w:val="style1"/>
          <w:rFonts w:cstheme="minorHAnsi"/>
          <w:iCs/>
        </w:rPr>
        <w:t>gallium</w:t>
      </w:r>
      <w:r w:rsidR="00265202">
        <w:rPr>
          <w:rStyle w:val="style1"/>
          <w:rFonts w:cstheme="minorHAnsi"/>
          <w:iCs/>
        </w:rPr>
        <w:t> PSMA-</w:t>
      </w:r>
      <w:proofErr w:type="gramStart"/>
      <w:r w:rsidR="00265202">
        <w:rPr>
          <w:rStyle w:val="style1"/>
          <w:rFonts w:cstheme="minorHAnsi"/>
          <w:iCs/>
        </w:rPr>
        <w:t xml:space="preserve">11 </w:t>
      </w:r>
      <w:r w:rsidRPr="00EE1003">
        <w:rPr>
          <w:lang w:eastAsia="zh-CN"/>
        </w:rPr>
        <w:t>.</w:t>
      </w:r>
      <w:r>
        <w:rPr>
          <w:lang w:eastAsia="zh-CN"/>
        </w:rPr>
        <w:t>Concurrent</w:t>
      </w:r>
      <w:proofErr w:type="gramEnd"/>
      <w:r>
        <w:rPr>
          <w:lang w:eastAsia="zh-CN"/>
        </w:rPr>
        <w:t xml:space="preserve"> PET and CT imaging assists with anatomic localisation and interpretation of the findings.</w:t>
      </w:r>
    </w:p>
    <w:p w14:paraId="2D44F336" w14:textId="141D05EB" w:rsidR="00817BFF" w:rsidRPr="00652930" w:rsidRDefault="00817BFF" w:rsidP="00817BFF">
      <w:pPr>
        <w:rPr>
          <w:rFonts w:cstheme="minorHAnsi"/>
        </w:rPr>
      </w:pPr>
      <w:r>
        <w:rPr>
          <w:rFonts w:cstheme="minorHAnsi"/>
        </w:rPr>
        <w:t xml:space="preserve">The clinical evaluation identified widespread use of </w:t>
      </w:r>
      <w:r w:rsidR="00265202">
        <w:rPr>
          <w:rStyle w:val="style1"/>
          <w:rFonts w:cstheme="minorHAnsi"/>
          <w:iCs/>
        </w:rPr>
        <w:t>[</w:t>
      </w:r>
      <w:r w:rsidR="00265202">
        <w:rPr>
          <w:rStyle w:val="style1"/>
          <w:rFonts w:cstheme="minorHAnsi"/>
          <w:iCs/>
          <w:vertAlign w:val="superscript"/>
        </w:rPr>
        <w:t>68</w:t>
      </w:r>
      <w:r w:rsidR="00293AB9">
        <w:rPr>
          <w:rStyle w:val="style1"/>
          <w:rFonts w:cstheme="minorHAnsi"/>
          <w:iCs/>
        </w:rPr>
        <w:t>Ga] gallium</w:t>
      </w:r>
      <w:r w:rsidR="00265202">
        <w:rPr>
          <w:rStyle w:val="style1"/>
          <w:rFonts w:cstheme="minorHAnsi"/>
          <w:iCs/>
        </w:rPr>
        <w:t xml:space="preserve"> </w:t>
      </w:r>
      <w:r>
        <w:rPr>
          <w:rFonts w:cstheme="minorHAnsi"/>
        </w:rPr>
        <w:t>PET/CT in clinical practice in Australia (in public hospitals and private hospitals)</w:t>
      </w:r>
      <w:r w:rsidRPr="00004300">
        <w:rPr>
          <w:rFonts w:cstheme="minorHAnsi"/>
        </w:rPr>
        <w:t xml:space="preserve"> </w:t>
      </w:r>
      <w:r>
        <w:rPr>
          <w:rFonts w:cstheme="minorHAnsi"/>
        </w:rPr>
        <w:t xml:space="preserve">and overseas. In Australia, </w:t>
      </w:r>
      <w:r w:rsidR="00265202">
        <w:rPr>
          <w:rStyle w:val="style1"/>
          <w:rFonts w:cstheme="minorHAnsi"/>
          <w:iCs/>
        </w:rPr>
        <w:t>[</w:t>
      </w:r>
      <w:r w:rsidR="00265202">
        <w:rPr>
          <w:rStyle w:val="style1"/>
          <w:rFonts w:cstheme="minorHAnsi"/>
          <w:iCs/>
          <w:vertAlign w:val="superscript"/>
        </w:rPr>
        <w:t>68</w:t>
      </w:r>
      <w:r w:rsidR="00265202">
        <w:rPr>
          <w:rStyle w:val="style1"/>
          <w:rFonts w:cstheme="minorHAnsi"/>
          <w:iCs/>
        </w:rPr>
        <w:t xml:space="preserve">Ga] </w:t>
      </w:r>
      <w:r w:rsidR="00293AB9">
        <w:rPr>
          <w:rStyle w:val="style1"/>
          <w:rFonts w:cstheme="minorHAnsi"/>
          <w:iCs/>
        </w:rPr>
        <w:t>gallium</w:t>
      </w:r>
      <w:r w:rsidR="00265202">
        <w:rPr>
          <w:rStyle w:val="style1"/>
          <w:rFonts w:cstheme="minorHAnsi"/>
          <w:iCs/>
        </w:rPr>
        <w:t xml:space="preserve"> PSMA-11 </w:t>
      </w:r>
      <w:r>
        <w:rPr>
          <w:rFonts w:cstheme="minorHAnsi"/>
        </w:rPr>
        <w:t xml:space="preserve">may be supplied to patients as an </w:t>
      </w:r>
      <w:r>
        <w:t>exempt therapeutic good under specific circumstances.</w:t>
      </w:r>
      <w:r>
        <w:rPr>
          <w:rStyle w:val="FootnoteReference"/>
        </w:rPr>
        <w:footnoteReference w:id="23"/>
      </w:r>
      <w:r>
        <w:t xml:space="preserve"> </w:t>
      </w:r>
      <w:r w:rsidR="0025155B">
        <w:t>[</w:t>
      </w:r>
      <w:r w:rsidR="0025155B">
        <w:rPr>
          <w:vertAlign w:val="superscript"/>
        </w:rPr>
        <w:t>68</w:t>
      </w:r>
      <w:r w:rsidR="0025155B">
        <w:t xml:space="preserve">Ga] gallium </w:t>
      </w:r>
      <w:r>
        <w:rPr>
          <w:rFonts w:cstheme="minorHAnsi"/>
        </w:rPr>
        <w:t xml:space="preserve">PSMA-11 may also be accessed </w:t>
      </w:r>
      <w:r>
        <w:t xml:space="preserve">under </w:t>
      </w:r>
      <w:r w:rsidRPr="00652930">
        <w:t xml:space="preserve">Category C </w:t>
      </w:r>
      <w:r>
        <w:t xml:space="preserve">of </w:t>
      </w:r>
      <w:r>
        <w:rPr>
          <w:rFonts w:cstheme="minorHAnsi"/>
        </w:rPr>
        <w:t>the Special Access Scheme</w:t>
      </w:r>
      <w:r w:rsidR="00265202">
        <w:rPr>
          <w:rFonts w:cstheme="minorHAnsi"/>
        </w:rPr>
        <w:t>;</w:t>
      </w:r>
      <w:r w:rsidR="00BE712E">
        <w:rPr>
          <w:rStyle w:val="FootnoteReference"/>
          <w:rFonts w:cstheme="minorHAnsi"/>
        </w:rPr>
        <w:footnoteReference w:id="24"/>
      </w:r>
      <w:r>
        <w:rPr>
          <w:rFonts w:cstheme="minorHAnsi"/>
        </w:rPr>
        <w:t xml:space="preserve"> for prostate cancer imaging studies. </w:t>
      </w:r>
      <w:r w:rsidRPr="00652930">
        <w:t xml:space="preserve">Category C </w:t>
      </w:r>
      <w:r>
        <w:rPr>
          <w:rFonts w:cstheme="minorHAnsi"/>
        </w:rPr>
        <w:t xml:space="preserve">allows access to specified medicines </w:t>
      </w:r>
      <w:proofErr w:type="gramStart"/>
      <w:r w:rsidRPr="00652930">
        <w:t xml:space="preserve">on the basis </w:t>
      </w:r>
      <w:r>
        <w:t>of</w:t>
      </w:r>
      <w:proofErr w:type="gramEnd"/>
      <w:r>
        <w:t xml:space="preserve"> </w:t>
      </w:r>
      <w:r w:rsidRPr="00652930">
        <w:t xml:space="preserve">an established </w:t>
      </w:r>
      <w:r>
        <w:t xml:space="preserve">history of </w:t>
      </w:r>
      <w:r w:rsidRPr="00652930">
        <w:t>use within Australia or overseas and n</w:t>
      </w:r>
      <w:r>
        <w:t xml:space="preserve">o safety concerns raised in a </w:t>
      </w:r>
      <w:r w:rsidR="00BE712E">
        <w:t>3-year</w:t>
      </w:r>
      <w:r w:rsidRPr="00652930">
        <w:t xml:space="preserve"> period.</w:t>
      </w:r>
    </w:p>
    <w:p w14:paraId="49333203" w14:textId="174EB2F9" w:rsidR="00817BFF" w:rsidRDefault="00817BFF" w:rsidP="00817BFF">
      <w:pPr>
        <w:rPr>
          <w:rFonts w:asciiTheme="minorHAnsi" w:hAnsiTheme="minorHAnsi"/>
        </w:rPr>
      </w:pPr>
      <w:r>
        <w:rPr>
          <w:lang w:eastAsia="ja-JP"/>
        </w:rPr>
        <w:t>PSMA PET/CT imaging is under consideration for Medicare Benefits Schedule (MBS) funding.</w:t>
      </w:r>
      <w:r>
        <w:rPr>
          <w:rStyle w:val="FootnoteReference"/>
          <w:rFonts w:asciiTheme="minorHAnsi" w:hAnsiTheme="minorHAnsi" w:cs="Calibri"/>
          <w:lang w:eastAsia="ja-JP"/>
        </w:rPr>
        <w:footnoteReference w:id="25"/>
      </w:r>
      <w:r w:rsidR="00D23754">
        <w:rPr>
          <w:lang w:eastAsia="ja-JP"/>
        </w:rPr>
        <w:t xml:space="preserve"> </w:t>
      </w:r>
      <w:r w:rsidRPr="008D59A5">
        <w:t xml:space="preserve">The MBS </w:t>
      </w:r>
      <w:r w:rsidR="00EE2441">
        <w:t>r</w:t>
      </w:r>
      <w:r w:rsidRPr="008D59A5">
        <w:t xml:space="preserve">eview </w:t>
      </w:r>
      <w:r w:rsidR="00EE2441">
        <w:t>t</w:t>
      </w:r>
      <w:r w:rsidRPr="008D59A5">
        <w:t>askforce recommended</w:t>
      </w:r>
      <w:r>
        <w:t xml:space="preserve"> in </w:t>
      </w:r>
      <w:r w:rsidRPr="008D59A5">
        <w:t>2018 that the M</w:t>
      </w:r>
      <w:r>
        <w:t xml:space="preserve">edicare </w:t>
      </w:r>
      <w:r w:rsidRPr="008D59A5">
        <w:t>S</w:t>
      </w:r>
      <w:r>
        <w:t xml:space="preserve">ervices </w:t>
      </w:r>
      <w:r w:rsidRPr="008D59A5">
        <w:t>A</w:t>
      </w:r>
      <w:r>
        <w:t xml:space="preserve">dvisory </w:t>
      </w:r>
      <w:r w:rsidRPr="008D59A5">
        <w:t>C</w:t>
      </w:r>
      <w:r>
        <w:t>ommittee (MSAC)</w:t>
      </w:r>
      <w:r w:rsidRPr="008D59A5">
        <w:t xml:space="preserve"> consider the inclusion on the MBS of </w:t>
      </w:r>
      <w:r w:rsidR="00265202">
        <w:rPr>
          <w:rStyle w:val="style1"/>
          <w:rFonts w:cstheme="minorHAnsi"/>
          <w:iCs/>
        </w:rPr>
        <w:t xml:space="preserve">PSMA </w:t>
      </w:r>
      <w:r w:rsidRPr="008D59A5">
        <w:t xml:space="preserve">PET/CT for </w:t>
      </w:r>
      <w:r w:rsidRPr="008D59A5">
        <w:lastRenderedPageBreak/>
        <w:t>patients with prostate cancer</w:t>
      </w:r>
      <w:r w:rsidR="00EE2441">
        <w:t>;</w:t>
      </w:r>
      <w:r>
        <w:rPr>
          <w:rStyle w:val="FootnoteReference"/>
          <w:rFonts w:cs="Calibri"/>
          <w:lang w:eastAsia="ja-JP"/>
        </w:rPr>
        <w:footnoteReference w:id="26"/>
      </w:r>
      <w:r>
        <w:rPr>
          <w:rFonts w:asciiTheme="minorHAnsi" w:hAnsiTheme="minorHAnsi" w:cs="Calibri"/>
        </w:rPr>
        <w:t xml:space="preserve">, with this reported to be due to </w:t>
      </w:r>
      <w:r w:rsidR="00EE2441">
        <w:rPr>
          <w:rFonts w:asciiTheme="minorHAnsi" w:hAnsiTheme="minorHAnsi" w:cs="Calibri"/>
        </w:rPr>
        <w:t>‘</w:t>
      </w:r>
      <w:r>
        <w:rPr>
          <w:rFonts w:asciiTheme="minorHAnsi" w:hAnsiTheme="minorHAnsi" w:cs="Calibri"/>
          <w:i/>
        </w:rPr>
        <w:t xml:space="preserve">the </w:t>
      </w:r>
      <w:r>
        <w:rPr>
          <w:rFonts w:asciiTheme="minorHAnsi" w:hAnsiTheme="minorHAnsi"/>
          <w:i/>
        </w:rPr>
        <w:t>modality’s superiority over conventional imaging for staging and restaging of prostate cancer and its ability to change management intent for newly diagnosed and recurrent prostate cancer patients.</w:t>
      </w:r>
      <w:r w:rsidR="00EE2441">
        <w:rPr>
          <w:rFonts w:asciiTheme="minorHAnsi" w:hAnsiTheme="minorHAnsi"/>
        </w:rPr>
        <w:t>’</w:t>
      </w:r>
      <w:r>
        <w:rPr>
          <w:rStyle w:val="FootnoteReference"/>
        </w:rPr>
        <w:footnoteReference w:id="27"/>
      </w:r>
      <w:r>
        <w:rPr>
          <w:rFonts w:asciiTheme="minorHAnsi" w:hAnsiTheme="minorHAnsi"/>
        </w:rPr>
        <w:t xml:space="preserve"> The MBS </w:t>
      </w:r>
      <w:r w:rsidR="00EE2441">
        <w:rPr>
          <w:rFonts w:asciiTheme="minorHAnsi" w:hAnsiTheme="minorHAnsi"/>
        </w:rPr>
        <w:t>r</w:t>
      </w:r>
      <w:r>
        <w:rPr>
          <w:rFonts w:asciiTheme="minorHAnsi" w:hAnsiTheme="minorHAnsi"/>
        </w:rPr>
        <w:t xml:space="preserve">eview </w:t>
      </w:r>
      <w:r w:rsidR="00EE2441">
        <w:rPr>
          <w:rFonts w:asciiTheme="minorHAnsi" w:hAnsiTheme="minorHAnsi"/>
        </w:rPr>
        <w:t>t</w:t>
      </w:r>
      <w:r>
        <w:rPr>
          <w:rFonts w:asciiTheme="minorHAnsi" w:hAnsiTheme="minorHAnsi"/>
        </w:rPr>
        <w:t xml:space="preserve">askforce provided the following rationale for consideration of inclusion of </w:t>
      </w:r>
      <w:r w:rsidR="00C813C2">
        <w:rPr>
          <w:rStyle w:val="style1"/>
          <w:rFonts w:cstheme="minorHAnsi"/>
          <w:iCs/>
        </w:rPr>
        <w:t>[</w:t>
      </w:r>
      <w:r w:rsidR="00C813C2">
        <w:rPr>
          <w:rStyle w:val="style1"/>
          <w:rFonts w:cstheme="minorHAnsi"/>
          <w:iCs/>
          <w:vertAlign w:val="superscript"/>
        </w:rPr>
        <w:t>68</w:t>
      </w:r>
      <w:r w:rsidR="00C813C2">
        <w:rPr>
          <w:rStyle w:val="style1"/>
          <w:rFonts w:cstheme="minorHAnsi"/>
          <w:iCs/>
        </w:rPr>
        <w:t xml:space="preserve">Ga] </w:t>
      </w:r>
      <w:r w:rsidR="00293AB9">
        <w:rPr>
          <w:rStyle w:val="style1"/>
          <w:rFonts w:cstheme="minorHAnsi"/>
          <w:iCs/>
        </w:rPr>
        <w:t>gallium</w:t>
      </w:r>
      <w:r w:rsidR="00C813C2">
        <w:rPr>
          <w:rStyle w:val="style1"/>
          <w:rFonts w:cstheme="minorHAnsi"/>
          <w:iCs/>
        </w:rPr>
        <w:t xml:space="preserve">-68 PSMA-11 </w:t>
      </w:r>
      <w:r>
        <w:rPr>
          <w:rFonts w:asciiTheme="minorHAnsi" w:hAnsiTheme="minorHAnsi"/>
        </w:rPr>
        <w:t>PET/CT on the MBS for patients with prostate cancer:</w:t>
      </w:r>
    </w:p>
    <w:p w14:paraId="4C127D4C" w14:textId="1BCB0977" w:rsidR="00817BFF" w:rsidRDefault="00817BFF" w:rsidP="003C45E7">
      <w:pPr>
        <w:pStyle w:val="ListBullet"/>
      </w:pPr>
      <w:r>
        <w:t xml:space="preserve">PSMA is over-expressed in </w:t>
      </w:r>
      <w:proofErr w:type="gramStart"/>
      <w:r>
        <w:t>the majority of</w:t>
      </w:r>
      <w:proofErr w:type="gramEnd"/>
      <w:r>
        <w:t xml:space="preserve"> patients with prostate cancer. This agent can be labelled with </w:t>
      </w:r>
      <w:r w:rsidR="00C813C2">
        <w:t>[</w:t>
      </w:r>
      <w:r w:rsidRPr="007D5A86">
        <w:rPr>
          <w:vertAlign w:val="superscript"/>
        </w:rPr>
        <w:t>68</w:t>
      </w:r>
      <w:r>
        <w:t>Ga</w:t>
      </w:r>
      <w:proofErr w:type="gramStart"/>
      <w:r w:rsidR="00C813C2">
        <w:t>]</w:t>
      </w:r>
      <w:r>
        <w:t>, and</w:t>
      </w:r>
      <w:proofErr w:type="gramEnd"/>
      <w:r>
        <w:t xml:space="preserve"> used to detect sites of prostate cancer which are invisible to other conventional imaging techniques. </w:t>
      </w:r>
      <w:r w:rsidR="00C813C2">
        <w:rPr>
          <w:rStyle w:val="style1"/>
          <w:rFonts w:cstheme="minorHAnsi"/>
          <w:iCs/>
        </w:rPr>
        <w:t>[</w:t>
      </w:r>
      <w:r w:rsidR="00C813C2">
        <w:rPr>
          <w:rStyle w:val="style1"/>
          <w:rFonts w:cstheme="minorHAnsi"/>
          <w:iCs/>
          <w:vertAlign w:val="superscript"/>
        </w:rPr>
        <w:t>68</w:t>
      </w:r>
      <w:r w:rsidR="00C813C2">
        <w:rPr>
          <w:rStyle w:val="style1"/>
          <w:rFonts w:cstheme="minorHAnsi"/>
          <w:iCs/>
        </w:rPr>
        <w:t xml:space="preserve">Ga] </w:t>
      </w:r>
      <w:r w:rsidR="00293AB9">
        <w:rPr>
          <w:rStyle w:val="style1"/>
          <w:rFonts w:cstheme="minorHAnsi"/>
          <w:iCs/>
        </w:rPr>
        <w:t>gallium</w:t>
      </w:r>
      <w:r w:rsidR="00C813C2">
        <w:rPr>
          <w:rStyle w:val="style1"/>
          <w:rFonts w:cstheme="minorHAnsi"/>
          <w:iCs/>
        </w:rPr>
        <w:t xml:space="preserve"> PSMA-11 </w:t>
      </w:r>
      <w:r>
        <w:t>has been demonstrated to have improved diagnostic accuracy compared to conventional imaging for the staging and re-staging of men with prostate cancer, principally through the detection of otherwise unsuspected sites of disease.</w:t>
      </w:r>
      <w:r>
        <w:rPr>
          <w:rStyle w:val="FootnoteReference"/>
        </w:rPr>
        <w:footnoteReference w:id="28"/>
      </w:r>
      <w:r>
        <w:rPr>
          <w:vertAlign w:val="superscript"/>
        </w:rPr>
        <w:t>,</w:t>
      </w:r>
      <w:r>
        <w:rPr>
          <w:rStyle w:val="FootnoteReference"/>
        </w:rPr>
        <w:footnoteReference w:id="29"/>
      </w:r>
      <w:r>
        <w:t xml:space="preserve"> </w:t>
      </w:r>
    </w:p>
    <w:p w14:paraId="7C5DAF23" w14:textId="7718A934" w:rsidR="00817BFF" w:rsidRDefault="00817BFF" w:rsidP="00817BFF">
      <w:pPr>
        <w:pStyle w:val="ListBullet"/>
      </w:pPr>
      <w:r>
        <w:t xml:space="preserve">In Australia, </w:t>
      </w:r>
      <w:r w:rsidR="00C813C2">
        <w:rPr>
          <w:rStyle w:val="style1"/>
          <w:rFonts w:cstheme="minorHAnsi"/>
          <w:iCs/>
        </w:rPr>
        <w:t>[</w:t>
      </w:r>
      <w:r w:rsidR="00C813C2">
        <w:rPr>
          <w:rStyle w:val="style1"/>
          <w:rFonts w:cstheme="minorHAnsi"/>
          <w:iCs/>
          <w:vertAlign w:val="superscript"/>
        </w:rPr>
        <w:t>68</w:t>
      </w:r>
      <w:r w:rsidR="00C813C2">
        <w:rPr>
          <w:rStyle w:val="style1"/>
          <w:rFonts w:cstheme="minorHAnsi"/>
          <w:iCs/>
        </w:rPr>
        <w:t xml:space="preserve">Ga] </w:t>
      </w:r>
      <w:r w:rsidR="00293AB9">
        <w:rPr>
          <w:rStyle w:val="style1"/>
          <w:rFonts w:cstheme="minorHAnsi"/>
          <w:iCs/>
        </w:rPr>
        <w:t>gallium</w:t>
      </w:r>
      <w:r w:rsidR="00C813C2">
        <w:rPr>
          <w:rStyle w:val="style1"/>
          <w:rFonts w:cstheme="minorHAnsi"/>
          <w:iCs/>
        </w:rPr>
        <w:t xml:space="preserve"> PSMA </w:t>
      </w:r>
      <w:r>
        <w:t xml:space="preserve">PET/CT has already been shown to have substantial impact on management intent among men with newly diagnosed and recurrent prostate cancer; in a recently published, prospective, multicentre study, </w:t>
      </w:r>
      <w:r w:rsidR="00C813C2">
        <w:rPr>
          <w:rStyle w:val="style1"/>
          <w:rFonts w:cstheme="minorHAnsi"/>
          <w:iCs/>
        </w:rPr>
        <w:t>[</w:t>
      </w:r>
      <w:r w:rsidR="00C813C2">
        <w:rPr>
          <w:rStyle w:val="style1"/>
          <w:rFonts w:cstheme="minorHAnsi"/>
          <w:iCs/>
          <w:vertAlign w:val="superscript"/>
        </w:rPr>
        <w:t>68</w:t>
      </w:r>
      <w:r w:rsidR="00C813C2">
        <w:rPr>
          <w:rStyle w:val="style1"/>
          <w:rFonts w:cstheme="minorHAnsi"/>
          <w:iCs/>
        </w:rPr>
        <w:t>Ga] </w:t>
      </w:r>
      <w:r w:rsidR="00293AB9">
        <w:rPr>
          <w:rStyle w:val="style1"/>
          <w:rFonts w:cstheme="minorHAnsi"/>
          <w:iCs/>
        </w:rPr>
        <w:t>gallium</w:t>
      </w:r>
      <w:r w:rsidR="00C813C2">
        <w:rPr>
          <w:rStyle w:val="style1"/>
          <w:rFonts w:cstheme="minorHAnsi"/>
          <w:iCs/>
        </w:rPr>
        <w:t xml:space="preserve"> PSMA-11 </w:t>
      </w:r>
      <w:r>
        <w:t>PET/CT changed management intent in 21% of men with newly diagnosed prostate cancer (primary staging) and in 62% of men with biochemical relapse following previous definitive therapy (re-staging).</w:t>
      </w:r>
      <w:r>
        <w:rPr>
          <w:rStyle w:val="FootnoteReference"/>
        </w:rPr>
        <w:footnoteReference w:id="30"/>
      </w:r>
      <w:r>
        <w:t xml:space="preserve"> In this study </w:t>
      </w:r>
      <w:r w:rsidR="00C813C2">
        <w:rPr>
          <w:rStyle w:val="style1"/>
          <w:rFonts w:cstheme="minorHAnsi"/>
          <w:iCs/>
        </w:rPr>
        <w:t>[</w:t>
      </w:r>
      <w:r w:rsidR="00C813C2">
        <w:rPr>
          <w:rStyle w:val="style1"/>
          <w:rFonts w:cstheme="minorHAnsi"/>
          <w:iCs/>
          <w:vertAlign w:val="superscript"/>
        </w:rPr>
        <w:t>68</w:t>
      </w:r>
      <w:r w:rsidR="00C813C2">
        <w:rPr>
          <w:rStyle w:val="style1"/>
          <w:rFonts w:cstheme="minorHAnsi"/>
          <w:iCs/>
        </w:rPr>
        <w:t xml:space="preserve">Ga] </w:t>
      </w:r>
      <w:r w:rsidR="00293AB9">
        <w:rPr>
          <w:rStyle w:val="style1"/>
          <w:rFonts w:cstheme="minorHAnsi"/>
          <w:iCs/>
        </w:rPr>
        <w:t>gallium</w:t>
      </w:r>
      <w:r w:rsidR="00C813C2">
        <w:rPr>
          <w:rStyle w:val="style1"/>
          <w:rFonts w:cstheme="minorHAnsi"/>
          <w:iCs/>
        </w:rPr>
        <w:t xml:space="preserve"> PSMA-</w:t>
      </w:r>
      <w:r>
        <w:t xml:space="preserve">PET/CT revealed sites of unsuspected disease in the prostate bed (27% of patients), locoregional lymph nodes (39%) and at sites of distant metastasis (16%). </w:t>
      </w:r>
    </w:p>
    <w:p w14:paraId="3114CC73" w14:textId="5588BE66" w:rsidR="00817BFF" w:rsidRDefault="00817BFF" w:rsidP="00817BFF">
      <w:pPr>
        <w:pStyle w:val="ListBullet"/>
      </w:pPr>
      <w:r>
        <w:t xml:space="preserve">Australia has been an early adopter of </w:t>
      </w:r>
      <w:r w:rsidR="00C813C2">
        <w:rPr>
          <w:rStyle w:val="style1"/>
          <w:rFonts w:cstheme="minorHAnsi"/>
          <w:iCs/>
        </w:rPr>
        <w:t>[</w:t>
      </w:r>
      <w:r w:rsidR="00C813C2">
        <w:rPr>
          <w:rStyle w:val="style1"/>
          <w:rFonts w:cstheme="minorHAnsi"/>
          <w:iCs/>
          <w:vertAlign w:val="superscript"/>
        </w:rPr>
        <w:t>68</w:t>
      </w:r>
      <w:r w:rsidR="00C813C2">
        <w:rPr>
          <w:rStyle w:val="style1"/>
          <w:rFonts w:cstheme="minorHAnsi"/>
          <w:iCs/>
        </w:rPr>
        <w:t xml:space="preserve">Ga] </w:t>
      </w:r>
      <w:r w:rsidR="00293AB9">
        <w:rPr>
          <w:rStyle w:val="style1"/>
          <w:rFonts w:cstheme="minorHAnsi"/>
          <w:iCs/>
        </w:rPr>
        <w:t>gallium</w:t>
      </w:r>
      <w:r w:rsidR="00C813C2">
        <w:rPr>
          <w:rStyle w:val="style1"/>
          <w:rFonts w:cstheme="minorHAnsi"/>
          <w:iCs/>
        </w:rPr>
        <w:t xml:space="preserve"> PSMA </w:t>
      </w:r>
      <w:r>
        <w:t xml:space="preserve">PET/CT and the modality is now offered in private practice settings in all states of the Commonwealth but is not yet funded universally, which has resulted in an equity gap, particularly if future research reaffirms the earlier results. </w:t>
      </w:r>
    </w:p>
    <w:p w14:paraId="05F41FA3" w14:textId="0A6AE100" w:rsidR="00817BFF" w:rsidRDefault="00817BFF" w:rsidP="00817BFF">
      <w:pPr>
        <w:pStyle w:val="ListBullet"/>
      </w:pPr>
      <w:r>
        <w:t xml:space="preserve">Without pre-empting the results of current prospective research on the actual management of prostate cancer in Australian men, the Committee is of the view that </w:t>
      </w:r>
      <w:r w:rsidR="00C813C2">
        <w:rPr>
          <w:rStyle w:val="style1"/>
          <w:rFonts w:cstheme="minorHAnsi"/>
          <w:iCs/>
        </w:rPr>
        <w:t>[</w:t>
      </w:r>
      <w:r w:rsidR="00C813C2">
        <w:rPr>
          <w:rStyle w:val="style1"/>
          <w:rFonts w:cstheme="minorHAnsi"/>
          <w:iCs/>
          <w:vertAlign w:val="superscript"/>
        </w:rPr>
        <w:t>68</w:t>
      </w:r>
      <w:r w:rsidR="00C813C2">
        <w:rPr>
          <w:rStyle w:val="style1"/>
          <w:rFonts w:cstheme="minorHAnsi"/>
          <w:iCs/>
        </w:rPr>
        <w:t xml:space="preserve">Ga] </w:t>
      </w:r>
      <w:r w:rsidR="00293AB9">
        <w:rPr>
          <w:rStyle w:val="style1"/>
          <w:rFonts w:cstheme="minorHAnsi"/>
          <w:iCs/>
        </w:rPr>
        <w:t>gallium</w:t>
      </w:r>
      <w:r w:rsidR="00C813C2">
        <w:rPr>
          <w:rStyle w:val="style1"/>
          <w:rFonts w:cstheme="minorHAnsi"/>
          <w:iCs/>
        </w:rPr>
        <w:t xml:space="preserve"> PSMA </w:t>
      </w:r>
      <w:r>
        <w:t xml:space="preserve">PET/CT will need to be considered by MSAC for inclusion on the MBS </w:t>
      </w:r>
      <w:proofErr w:type="gramStart"/>
      <w:r>
        <w:t>in the near future</w:t>
      </w:r>
      <w:proofErr w:type="gramEnd"/>
      <w:r>
        <w:t xml:space="preserve">. Because the radiopharmaceutical is extemporaneously compounded (like </w:t>
      </w:r>
      <w:r w:rsidR="00C813C2">
        <w:t>[</w:t>
      </w:r>
      <w:r w:rsidRPr="007D5A86">
        <w:rPr>
          <w:vertAlign w:val="superscript"/>
        </w:rPr>
        <w:t>68</w:t>
      </w:r>
      <w:r>
        <w:t>Ga</w:t>
      </w:r>
      <w:r w:rsidR="00C813C2">
        <w:t xml:space="preserve">] </w:t>
      </w:r>
      <w:r w:rsidR="00293AB9">
        <w:t>gallium</w:t>
      </w:r>
      <w:r w:rsidR="00C813C2">
        <w:t xml:space="preserve"> </w:t>
      </w:r>
      <w:r w:rsidR="00AB3821">
        <w:t>DOTA-TATE</w:t>
      </w:r>
      <w:r>
        <w:t>)</w:t>
      </w:r>
      <w:r w:rsidR="00AB3821">
        <w:t>;</w:t>
      </w:r>
      <w:r w:rsidR="00AB3821">
        <w:rPr>
          <w:rStyle w:val="FootnoteReference"/>
        </w:rPr>
        <w:footnoteReference w:id="31"/>
      </w:r>
      <w:r>
        <w:t xml:space="preserve"> it is unlikely that there will be a commercial sponsor for an MSAC application and the Committee feels that it would be appropriate for MSAC to begin discussions with relevant stakeholders now, on the optimal approval pathway and evidence required. </w:t>
      </w:r>
    </w:p>
    <w:p w14:paraId="1B759D37" w14:textId="77777777" w:rsidR="00EE2441" w:rsidRDefault="00817BFF" w:rsidP="00817BFF">
      <w:pPr>
        <w:pStyle w:val="ListBullet"/>
      </w:pPr>
      <w:r>
        <w:t xml:space="preserve">The Committee noted the rapid pace of research in relation to: </w:t>
      </w:r>
    </w:p>
    <w:p w14:paraId="74DE68A2" w14:textId="414676B2" w:rsidR="00EE2441" w:rsidRDefault="00817BFF" w:rsidP="00EE2441">
      <w:pPr>
        <w:pStyle w:val="ListBullet2"/>
      </w:pPr>
      <w:r>
        <w:t>Fluorine-18-based PSMA (</w:t>
      </w:r>
      <w:r w:rsidR="00C813C2">
        <w:t>[</w:t>
      </w:r>
      <w:r w:rsidRPr="004F7DDA">
        <w:rPr>
          <w:vertAlign w:val="superscript"/>
        </w:rPr>
        <w:t>18</w:t>
      </w:r>
      <w:r>
        <w:t>F</w:t>
      </w:r>
      <w:r w:rsidR="00C813C2">
        <w:t xml:space="preserve">] </w:t>
      </w:r>
      <w:r>
        <w:t xml:space="preserve">PSMA) imaging agents. </w:t>
      </w:r>
    </w:p>
    <w:p w14:paraId="016E6B1D" w14:textId="25074397" w:rsidR="00817BFF" w:rsidRDefault="00817BFF" w:rsidP="00EE2441">
      <w:pPr>
        <w:pStyle w:val="ListBullet2"/>
      </w:pPr>
      <w:r>
        <w:t xml:space="preserve">Phase II trials of Lutetium-177 </w:t>
      </w:r>
      <w:r w:rsidR="00C813C2">
        <w:t>[</w:t>
      </w:r>
      <w:r w:rsidR="00C813C2" w:rsidRPr="004F7DDA">
        <w:rPr>
          <w:vertAlign w:val="superscript"/>
        </w:rPr>
        <w:t>177</w:t>
      </w:r>
      <w:r>
        <w:t>Lu</w:t>
      </w:r>
      <w:r w:rsidR="00C813C2">
        <w:t>]</w:t>
      </w:r>
      <w:r>
        <w:t xml:space="preserve"> PSMA, both in Europe and in Australia, which have demonstrated a significant early response benefit in men with </w:t>
      </w:r>
      <w:r>
        <w:lastRenderedPageBreak/>
        <w:t xml:space="preserve">advanced, </w:t>
      </w:r>
      <w:proofErr w:type="spellStart"/>
      <w:r>
        <w:t>chemorefractory</w:t>
      </w:r>
      <w:proofErr w:type="spellEnd"/>
      <w:r>
        <w:t xml:space="preserve">, castration-resistant prostate cancer. Phase III trials of this agent are now underway. </w:t>
      </w:r>
    </w:p>
    <w:p w14:paraId="0A19C951" w14:textId="43A350A0" w:rsidR="00913367" w:rsidRPr="00817BFF" w:rsidRDefault="00817BFF" w:rsidP="00817BFF">
      <w:pPr>
        <w:pStyle w:val="ListBullet"/>
        <w:rPr>
          <w:rFonts w:ascii="Calibri" w:eastAsiaTheme="minorHAnsi" w:hAnsi="Calibri"/>
        </w:rPr>
      </w:pPr>
      <w:r>
        <w:t>The Committee agreed that these issues should be included in the horizon discussions with MSAC in relation to prostate cancer.</w:t>
      </w:r>
    </w:p>
    <w:p w14:paraId="3FFA0FB3" w14:textId="77777777" w:rsidR="008E7846" w:rsidRPr="003C45E7" w:rsidRDefault="00386150" w:rsidP="003C45E7">
      <w:pPr>
        <w:pStyle w:val="Heading3"/>
      </w:pPr>
      <w:bookmarkStart w:id="23" w:name="_Toc314842485"/>
      <w:bookmarkStart w:id="24" w:name="_Toc247691504"/>
      <w:bookmarkStart w:id="25" w:name="_Ref104549600"/>
      <w:bookmarkStart w:id="26" w:name="_Ref104549614"/>
      <w:bookmarkStart w:id="27" w:name="_Toc106373308"/>
      <w:r>
        <w:t>Regulatory s</w:t>
      </w:r>
      <w:r w:rsidR="008E7846">
        <w:t>tatus</w:t>
      </w:r>
      <w:bookmarkEnd w:id="23"/>
      <w:bookmarkEnd w:id="24"/>
      <w:bookmarkEnd w:id="25"/>
      <w:bookmarkEnd w:id="26"/>
      <w:bookmarkEnd w:id="27"/>
    </w:p>
    <w:p w14:paraId="77390C02" w14:textId="54F12071" w:rsidR="00940A89" w:rsidRDefault="00006FAB" w:rsidP="00940A89">
      <w:bookmarkStart w:id="28" w:name="_Toc247691505"/>
      <w:bookmarkStart w:id="29" w:name="_Toc314842486"/>
      <w:r w:rsidRPr="00006FAB">
        <w:t>This product is considered a new chemical entity for Australian regulatory purposes.</w:t>
      </w:r>
    </w:p>
    <w:p w14:paraId="3E511E0C" w14:textId="22B8BED1" w:rsidR="00006FAB" w:rsidRDefault="00006FAB" w:rsidP="00006FAB">
      <w:r>
        <w:t>At the time the TGA considered this application, a similar application</w:t>
      </w:r>
      <w:r w:rsidR="00CD14C9">
        <w:t xml:space="preserve"> </w:t>
      </w:r>
      <w:r>
        <w:t xml:space="preserve">was under consideration in </w:t>
      </w:r>
      <w:r w:rsidR="0000648D">
        <w:t>United States of America (USA), Europe</w:t>
      </w:r>
      <w:r w:rsidR="00DD1DEF">
        <w:t>an Union</w:t>
      </w:r>
      <w:r w:rsidR="0000648D">
        <w:t xml:space="preserve"> </w:t>
      </w:r>
      <w:r w:rsidR="004C6C88">
        <w:t xml:space="preserve">(EU) </w:t>
      </w:r>
      <w:r w:rsidR="0000648D">
        <w:t>and Canada.</w:t>
      </w:r>
    </w:p>
    <w:p w14:paraId="76D10F3A" w14:textId="247D0BEE" w:rsidR="0000648D" w:rsidRPr="001D0FE6" w:rsidRDefault="00DD1DEF" w:rsidP="00DD1DEF">
      <w:pPr>
        <w:rPr>
          <w:lang w:val="en-US"/>
        </w:rPr>
      </w:pPr>
      <w:r w:rsidRPr="004F7DDA">
        <w:rPr>
          <w:i/>
          <w:lang w:val="en-US"/>
        </w:rPr>
        <w:t>United States of America</w:t>
      </w:r>
      <w:r>
        <w:rPr>
          <w:lang w:val="en-US"/>
        </w:rPr>
        <w:t>:</w:t>
      </w:r>
      <w:r w:rsidR="0000648D">
        <w:rPr>
          <w:lang w:val="en-US"/>
        </w:rPr>
        <w:t xml:space="preserve"> A </w:t>
      </w:r>
      <w:r w:rsidR="00301809">
        <w:rPr>
          <w:lang w:val="en-US"/>
        </w:rPr>
        <w:t xml:space="preserve">New Drug Application (NDA) </w:t>
      </w:r>
      <w:r w:rsidR="0000648D">
        <w:rPr>
          <w:lang w:val="en-US"/>
        </w:rPr>
        <w:t xml:space="preserve">for </w:t>
      </w:r>
      <w:proofErr w:type="spellStart"/>
      <w:r w:rsidR="0000648D">
        <w:rPr>
          <w:lang w:val="en-US"/>
        </w:rPr>
        <w:t>I</w:t>
      </w:r>
      <w:r>
        <w:rPr>
          <w:lang w:val="en-US"/>
        </w:rPr>
        <w:t>lluccix</w:t>
      </w:r>
      <w:proofErr w:type="spellEnd"/>
      <w:r w:rsidR="0000648D">
        <w:rPr>
          <w:lang w:val="en-US"/>
        </w:rPr>
        <w:t xml:space="preserve"> was submitted to the </w:t>
      </w:r>
      <w:r w:rsidR="00301809">
        <w:rPr>
          <w:lang w:val="en-US"/>
        </w:rPr>
        <w:t>US Food and Drug Administration (</w:t>
      </w:r>
      <w:r w:rsidR="0000648D">
        <w:rPr>
          <w:lang w:val="en-US"/>
        </w:rPr>
        <w:t>FDA</w:t>
      </w:r>
      <w:r w:rsidR="00301809">
        <w:rPr>
          <w:lang w:val="en-US"/>
        </w:rPr>
        <w:t>)</w:t>
      </w:r>
      <w:r w:rsidR="0000648D">
        <w:rPr>
          <w:lang w:val="en-US"/>
        </w:rPr>
        <w:t xml:space="preserve"> on 23 September 2020. </w:t>
      </w:r>
      <w:r w:rsidR="0000648D" w:rsidRPr="001D0FE6">
        <w:rPr>
          <w:lang w:val="en-US"/>
        </w:rPr>
        <w:t xml:space="preserve">This application remains under review. The </w:t>
      </w:r>
      <w:r w:rsidR="0000648D" w:rsidRPr="00DD1DEF">
        <w:t>proposed indication</w:t>
      </w:r>
      <w:r w:rsidR="0000648D" w:rsidRPr="001D0FE6">
        <w:rPr>
          <w:lang w:val="en-US"/>
        </w:rPr>
        <w:t xml:space="preserve"> </w:t>
      </w:r>
      <w:r w:rsidR="00F74A2E">
        <w:rPr>
          <w:lang w:val="en-US"/>
        </w:rPr>
        <w:t>is</w:t>
      </w:r>
      <w:r w:rsidR="0000648D" w:rsidRPr="001D0FE6">
        <w:rPr>
          <w:lang w:val="en-US"/>
        </w:rPr>
        <w:t>:</w:t>
      </w:r>
    </w:p>
    <w:p w14:paraId="4D421FC7" w14:textId="2F516342" w:rsidR="0000648D" w:rsidRPr="00DD1DEF" w:rsidRDefault="0000648D" w:rsidP="00DD1DEF">
      <w:pPr>
        <w:ind w:left="720"/>
        <w:rPr>
          <w:rFonts w:asciiTheme="minorHAnsi" w:eastAsiaTheme="minorHAnsi" w:hAnsiTheme="minorHAnsi" w:cs="TimesNewRomanPS-ItalicMT"/>
          <w:i/>
        </w:rPr>
      </w:pPr>
      <w:proofErr w:type="spellStart"/>
      <w:r w:rsidRPr="00DD1DEF">
        <w:rPr>
          <w:rFonts w:asciiTheme="minorHAnsi" w:eastAsiaTheme="minorHAnsi" w:hAnsiTheme="minorHAnsi" w:cs="TimesNewRomanPS-ItalicMT"/>
          <w:i/>
        </w:rPr>
        <w:t>I</w:t>
      </w:r>
      <w:r w:rsidR="00DD1DEF">
        <w:rPr>
          <w:rFonts w:asciiTheme="minorHAnsi" w:eastAsiaTheme="minorHAnsi" w:hAnsiTheme="minorHAnsi" w:cs="TimesNewRomanPS-ItalicMT"/>
          <w:i/>
        </w:rPr>
        <w:t>lluccix</w:t>
      </w:r>
      <w:proofErr w:type="spellEnd"/>
      <w:r w:rsidRPr="00DD1DEF">
        <w:rPr>
          <w:rFonts w:asciiTheme="minorHAnsi" w:eastAsiaTheme="minorHAnsi" w:hAnsiTheme="minorHAnsi" w:cs="TimesNewRomanPS-ItalicMT"/>
          <w:i/>
        </w:rPr>
        <w:t xml:space="preserve">, after </w:t>
      </w:r>
      <w:proofErr w:type="spellStart"/>
      <w:r w:rsidRPr="00DD1DEF">
        <w:rPr>
          <w:rFonts w:asciiTheme="minorHAnsi" w:eastAsiaTheme="minorHAnsi" w:hAnsiTheme="minorHAnsi" w:cs="TimesNewRomanPS-ItalicMT"/>
          <w:i/>
        </w:rPr>
        <w:t>radiolabeling</w:t>
      </w:r>
      <w:proofErr w:type="spellEnd"/>
      <w:r w:rsidRPr="00DD1DEF">
        <w:rPr>
          <w:rFonts w:asciiTheme="minorHAnsi" w:eastAsiaTheme="minorHAnsi" w:hAnsiTheme="minorHAnsi" w:cs="TimesNewRomanPS-ItalicMT"/>
          <w:i/>
        </w:rPr>
        <w:t xml:space="preserve"> with Ga-68Ga,</w:t>
      </w:r>
      <w:r w:rsidRPr="00DD1DEF">
        <w:rPr>
          <w:rFonts w:asciiTheme="minorHAnsi" w:hAnsiTheme="minorHAnsi" w:cs="Calibri"/>
          <w:i/>
          <w:lang w:eastAsia="ja-JP"/>
        </w:rPr>
        <w:t xml:space="preserve"> is a radioactive diagnostic agent indicated for use with positron emission tomography (PET) for the evaluation of prostate cancer.</w:t>
      </w:r>
    </w:p>
    <w:p w14:paraId="7CC9EAEF" w14:textId="0E821E09" w:rsidR="0000648D" w:rsidRPr="004F7DDA" w:rsidRDefault="00C813C2" w:rsidP="004F7DDA">
      <w:pPr>
        <w:keepNext/>
        <w:rPr>
          <w:vertAlign w:val="superscript"/>
          <w:lang w:val="en-US"/>
        </w:rPr>
      </w:pP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00648D">
        <w:rPr>
          <w:lang w:val="en-US"/>
        </w:rPr>
        <w:t>produced by the University of California Los Angeles (UCLA) and the University of California San Francisco (UCSF) were approved by the FDA on 1</w:t>
      </w:r>
      <w:r w:rsidR="00F74A2E">
        <w:rPr>
          <w:lang w:val="en-US"/>
        </w:rPr>
        <w:t> </w:t>
      </w:r>
      <w:r w:rsidR="0000648D">
        <w:rPr>
          <w:lang w:val="en-US"/>
        </w:rPr>
        <w:t>December</w:t>
      </w:r>
      <w:r w:rsidR="00F74A2E">
        <w:rPr>
          <w:lang w:val="en-US"/>
        </w:rPr>
        <w:t> </w:t>
      </w:r>
      <w:r w:rsidR="0000648D">
        <w:rPr>
          <w:lang w:val="en-US"/>
        </w:rPr>
        <w:t>2020 for the following indication:</w:t>
      </w:r>
      <w:bookmarkStart w:id="30" w:name="_Ref106351440"/>
      <w:r w:rsidR="00F74A2E">
        <w:rPr>
          <w:rStyle w:val="FootnoteReference"/>
          <w:lang w:val="en-US"/>
        </w:rPr>
        <w:footnoteReference w:id="32"/>
      </w:r>
      <w:bookmarkEnd w:id="30"/>
      <w:r w:rsidR="00F74A2E">
        <w:rPr>
          <w:vertAlign w:val="superscript"/>
          <w:lang w:val="en-US"/>
        </w:rPr>
        <w:t>,</w:t>
      </w:r>
      <w:bookmarkStart w:id="31" w:name="_Ref106351442"/>
      <w:r w:rsidR="00F74A2E">
        <w:rPr>
          <w:rStyle w:val="FootnoteReference"/>
          <w:lang w:val="en-US"/>
        </w:rPr>
        <w:footnoteReference w:id="33"/>
      </w:r>
      <w:bookmarkEnd w:id="31"/>
    </w:p>
    <w:p w14:paraId="460BBC9E" w14:textId="3960E900" w:rsidR="00237D2A" w:rsidRPr="004F7DDA" w:rsidRDefault="0000648D">
      <w:pPr>
        <w:ind w:left="720"/>
        <w:rPr>
          <w:i/>
        </w:rPr>
      </w:pPr>
      <w:r w:rsidRPr="004F7DDA">
        <w:rPr>
          <w:i/>
        </w:rPr>
        <w:t>Ga 68 PSMA-11 Injection is a radioactive diagnostic agent indicated for positron emission tomography (PET) of prostate-specific membrane antigen (PSMA) positive lesions in men with prostate cancer:</w:t>
      </w:r>
    </w:p>
    <w:p w14:paraId="1D62B1A6" w14:textId="30C6F25F" w:rsidR="00237D2A" w:rsidRPr="004F7DDA" w:rsidRDefault="0000648D" w:rsidP="004F7DDA">
      <w:pPr>
        <w:pStyle w:val="ListBullet3"/>
        <w:rPr>
          <w:i/>
        </w:rPr>
      </w:pPr>
      <w:r w:rsidRPr="004F7DDA">
        <w:rPr>
          <w:i/>
        </w:rPr>
        <w:t>with suspected metastasis who are candidates for initial definitive therapy.</w:t>
      </w:r>
    </w:p>
    <w:p w14:paraId="6946C443" w14:textId="5B4CFBB4" w:rsidR="0000648D" w:rsidRPr="004F7DDA" w:rsidRDefault="0000648D" w:rsidP="004F7DDA">
      <w:pPr>
        <w:pStyle w:val="ListBullet3"/>
        <w:rPr>
          <w:i/>
        </w:rPr>
      </w:pPr>
      <w:r w:rsidRPr="004F7DDA">
        <w:rPr>
          <w:i/>
        </w:rPr>
        <w:t>with suspected recurrence based on elevated serum prostate-specific antigen (PSA) level.</w:t>
      </w:r>
    </w:p>
    <w:p w14:paraId="014BABA8" w14:textId="7E4F2C32" w:rsidR="0000648D" w:rsidRPr="00DD1DEF" w:rsidRDefault="00DD1DEF" w:rsidP="00DD1DEF">
      <w:r w:rsidRPr="004F7DDA">
        <w:rPr>
          <w:i/>
          <w:lang w:val="en-US"/>
        </w:rPr>
        <w:t>European Union</w:t>
      </w:r>
      <w:r w:rsidR="0000648D">
        <w:rPr>
          <w:lang w:val="en-US"/>
        </w:rPr>
        <w:t xml:space="preserve">: </w:t>
      </w:r>
      <w:r w:rsidR="004C6C88">
        <w:rPr>
          <w:lang w:val="en-US"/>
        </w:rPr>
        <w:t>A submission dated</w:t>
      </w:r>
      <w:r>
        <w:rPr>
          <w:lang w:val="en-US"/>
        </w:rPr>
        <w:t xml:space="preserve"> </w:t>
      </w:r>
      <w:r w:rsidR="0000648D">
        <w:rPr>
          <w:lang w:val="en-US"/>
        </w:rPr>
        <w:t xml:space="preserve">27 April 2020, </w:t>
      </w:r>
      <w:r w:rsidR="0000648D" w:rsidRPr="001D0FE6">
        <w:rPr>
          <w:lang w:val="en-US"/>
        </w:rPr>
        <w:t>remains under review.</w:t>
      </w:r>
      <w:r w:rsidR="0000648D">
        <w:rPr>
          <w:lang w:val="en-US"/>
        </w:rPr>
        <w:t xml:space="preserve"> </w:t>
      </w:r>
      <w:r w:rsidR="0000648D" w:rsidRPr="00DD1DEF">
        <w:t>The proposed indication was:</w:t>
      </w:r>
    </w:p>
    <w:p w14:paraId="6338B41E" w14:textId="103C575B" w:rsidR="0000648D" w:rsidRPr="00DD1DEF" w:rsidRDefault="0000648D" w:rsidP="00DD1DEF">
      <w:pPr>
        <w:ind w:left="720"/>
        <w:rPr>
          <w:rFonts w:asciiTheme="minorHAnsi" w:eastAsiaTheme="minorHAnsi" w:hAnsiTheme="minorHAnsi" w:cs="TimesNewRomanPS-ItalicMT"/>
          <w:i/>
        </w:rPr>
      </w:pPr>
      <w:r w:rsidRPr="00DD1DEF">
        <w:rPr>
          <w:rFonts w:asciiTheme="minorHAnsi" w:eastAsiaTheme="minorHAnsi" w:hAnsiTheme="minorHAnsi" w:cs="TimesNewRomanPS-ItalicMT"/>
          <w:i/>
        </w:rPr>
        <w:t>Gallium (</w:t>
      </w:r>
      <w:r w:rsidRPr="007D5A86">
        <w:rPr>
          <w:rFonts w:asciiTheme="minorHAnsi" w:eastAsiaTheme="minorHAnsi" w:hAnsiTheme="minorHAnsi" w:cs="TimesNewRomanPS-ItalicMT"/>
          <w:i/>
          <w:vertAlign w:val="superscript"/>
        </w:rPr>
        <w:t>68</w:t>
      </w:r>
      <w:r w:rsidRPr="00DD1DEF">
        <w:rPr>
          <w:rFonts w:asciiTheme="minorHAnsi" w:eastAsiaTheme="minorHAnsi" w:hAnsiTheme="minorHAnsi" w:cs="TimesNewRomanPS-ItalicMT"/>
          <w:i/>
        </w:rPr>
        <w:t>Ga) PSMA-11 Injection is indicated for Positron Emission Tomography</w:t>
      </w:r>
      <w:r w:rsidR="00DD1DEF" w:rsidRPr="00DD1DEF">
        <w:rPr>
          <w:rFonts w:asciiTheme="minorHAnsi" w:eastAsiaTheme="minorHAnsi" w:hAnsiTheme="minorHAnsi" w:cs="TimesNewRomanPS-ItalicMT"/>
          <w:i/>
        </w:rPr>
        <w:t xml:space="preserve"> </w:t>
      </w:r>
      <w:r w:rsidRPr="00DD1DEF">
        <w:rPr>
          <w:rFonts w:asciiTheme="minorHAnsi" w:eastAsiaTheme="minorHAnsi" w:hAnsiTheme="minorHAnsi" w:cs="TimesNewRomanPS-ItalicMT"/>
          <w:i/>
        </w:rPr>
        <w:t>(PET) imaging combined with Computerised Tomography (CT) scan in case of suspicion</w:t>
      </w:r>
      <w:r w:rsidR="00DD1DEF" w:rsidRPr="00DD1DEF">
        <w:rPr>
          <w:rFonts w:asciiTheme="minorHAnsi" w:eastAsiaTheme="minorHAnsi" w:hAnsiTheme="minorHAnsi" w:cs="TimesNewRomanPS-ItalicMT"/>
          <w:i/>
        </w:rPr>
        <w:t xml:space="preserve"> </w:t>
      </w:r>
      <w:r w:rsidRPr="00DD1DEF">
        <w:rPr>
          <w:rFonts w:asciiTheme="minorHAnsi" w:eastAsiaTheme="minorHAnsi" w:hAnsiTheme="minorHAnsi" w:cs="TimesNewRomanPS-ItalicMT"/>
          <w:i/>
        </w:rPr>
        <w:t>of prostate cancer relapse in adult males to detect and localize recurrent cancerous lesions</w:t>
      </w:r>
      <w:r w:rsidRPr="00DD1DEF">
        <w:rPr>
          <w:rFonts w:asciiTheme="minorHAnsi" w:eastAsia="TimesNewRomanPSMT" w:hAnsiTheme="minorHAnsi" w:cs="TimesNewRomanPSMT"/>
          <w:i/>
        </w:rPr>
        <w:t>.</w:t>
      </w:r>
    </w:p>
    <w:p w14:paraId="1162C788" w14:textId="73DA95C3" w:rsidR="0000648D" w:rsidRPr="00DD1DEF" w:rsidRDefault="00DD1DEF" w:rsidP="00DD1DEF">
      <w:r w:rsidRPr="004F7DDA">
        <w:rPr>
          <w:i/>
          <w:lang w:val="en-US"/>
        </w:rPr>
        <w:t>Canada</w:t>
      </w:r>
      <w:r w:rsidR="0000648D" w:rsidRPr="00DD1DEF">
        <w:rPr>
          <w:lang w:val="en-US"/>
        </w:rPr>
        <w:t xml:space="preserve">: </w:t>
      </w:r>
      <w:r w:rsidR="00237D2A">
        <w:rPr>
          <w:lang w:val="en-US"/>
        </w:rPr>
        <w:t>A submission</w:t>
      </w:r>
      <w:r w:rsidR="00237D2A" w:rsidRPr="00DD1DEF">
        <w:rPr>
          <w:lang w:val="en-US"/>
        </w:rPr>
        <w:t xml:space="preserve"> </w:t>
      </w:r>
      <w:r w:rsidR="00237D2A">
        <w:rPr>
          <w:lang w:val="en-US"/>
        </w:rPr>
        <w:t>dated</w:t>
      </w:r>
      <w:r w:rsidR="0000648D" w:rsidRPr="00DD1DEF">
        <w:rPr>
          <w:lang w:val="en-US"/>
        </w:rPr>
        <w:t xml:space="preserve"> 6 December 2020, remains under review</w:t>
      </w:r>
      <w:r w:rsidR="0000648D" w:rsidRPr="00DD1DEF">
        <w:t>. The proposed indication was:</w:t>
      </w:r>
    </w:p>
    <w:p w14:paraId="158D5DB6" w14:textId="64359EAC" w:rsidR="0000648D" w:rsidRPr="004F7DDA" w:rsidRDefault="0000648D" w:rsidP="004F7DDA">
      <w:pPr>
        <w:ind w:firstLine="720"/>
        <w:rPr>
          <w:i/>
        </w:rPr>
      </w:pPr>
      <w:r w:rsidRPr="004F7DDA">
        <w:rPr>
          <w:i/>
        </w:rPr>
        <w:t xml:space="preserve">After </w:t>
      </w:r>
      <w:proofErr w:type="spellStart"/>
      <w:r w:rsidRPr="004F7DDA">
        <w:rPr>
          <w:i/>
        </w:rPr>
        <w:t>radiolabeling</w:t>
      </w:r>
      <w:proofErr w:type="spellEnd"/>
      <w:r w:rsidRPr="004F7DDA">
        <w:rPr>
          <w:i/>
        </w:rPr>
        <w:t xml:space="preserve"> with </w:t>
      </w:r>
      <w:r w:rsidRPr="004F7DDA">
        <w:rPr>
          <w:i/>
          <w:vertAlign w:val="superscript"/>
        </w:rPr>
        <w:t>68</w:t>
      </w:r>
      <w:r w:rsidRPr="004F7DDA">
        <w:rPr>
          <w:i/>
        </w:rPr>
        <w:t xml:space="preserve">Ga, </w:t>
      </w:r>
      <w:proofErr w:type="spellStart"/>
      <w:r w:rsidR="00DD1DEF" w:rsidRPr="004F7DDA">
        <w:rPr>
          <w:i/>
        </w:rPr>
        <w:t>I</w:t>
      </w:r>
      <w:r w:rsidRPr="004F7DDA">
        <w:rPr>
          <w:i/>
        </w:rPr>
        <w:t>llucci</w:t>
      </w:r>
      <w:r w:rsidR="00DD1DEF" w:rsidRPr="004F7DDA">
        <w:rPr>
          <w:i/>
        </w:rPr>
        <w:t>x</w:t>
      </w:r>
      <w:proofErr w:type="spellEnd"/>
      <w:r w:rsidRPr="004F7DDA">
        <w:rPr>
          <w:i/>
        </w:rPr>
        <w:t xml:space="preserve"> is indicated for:</w:t>
      </w:r>
    </w:p>
    <w:p w14:paraId="417768A2" w14:textId="20D5A102" w:rsidR="00DD1DEF" w:rsidRPr="004F7DDA" w:rsidRDefault="0000648D" w:rsidP="004F7DDA">
      <w:pPr>
        <w:pStyle w:val="ListBullet3"/>
        <w:rPr>
          <w:i/>
        </w:rPr>
      </w:pPr>
      <w:r w:rsidRPr="004F7DDA">
        <w:rPr>
          <w:i/>
        </w:rPr>
        <w:t xml:space="preserve">staging and re-staging in intermediate and </w:t>
      </w:r>
      <w:proofErr w:type="gramStart"/>
      <w:r w:rsidRPr="004F7DDA">
        <w:rPr>
          <w:i/>
        </w:rPr>
        <w:t>high risk</w:t>
      </w:r>
      <w:proofErr w:type="gramEnd"/>
      <w:r w:rsidRPr="004F7DDA">
        <w:rPr>
          <w:i/>
        </w:rPr>
        <w:t xml:space="preserve"> prostate cancer</w:t>
      </w:r>
    </w:p>
    <w:p w14:paraId="48C98A72" w14:textId="7236F58F" w:rsidR="0000648D" w:rsidRPr="004F7DDA" w:rsidRDefault="0000648D" w:rsidP="004F7DDA">
      <w:pPr>
        <w:pStyle w:val="ListBullet3"/>
        <w:rPr>
          <w:i/>
        </w:rPr>
      </w:pPr>
      <w:r w:rsidRPr="004F7DDA">
        <w:rPr>
          <w:i/>
        </w:rPr>
        <w:t>localizing tumour tissue in recurrent prostate cancer</w:t>
      </w:r>
    </w:p>
    <w:p w14:paraId="73DB1BD4" w14:textId="77777777" w:rsidR="008E7846" w:rsidRDefault="008E7846" w:rsidP="00940A89">
      <w:pPr>
        <w:pStyle w:val="Heading3"/>
      </w:pPr>
      <w:bookmarkStart w:id="32" w:name="_Toc106373309"/>
      <w:r>
        <w:lastRenderedPageBreak/>
        <w:t>Product Information</w:t>
      </w:r>
      <w:bookmarkEnd w:id="28"/>
      <w:bookmarkEnd w:id="29"/>
      <w:bookmarkEnd w:id="32"/>
    </w:p>
    <w:p w14:paraId="37C790C6" w14:textId="13D1CB0F" w:rsidR="00940A89" w:rsidRDefault="006136D7" w:rsidP="00940A89">
      <w:bookmarkStart w:id="33" w:name="_Toc247691506"/>
      <w:bookmarkStart w:id="3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57191DBE" w14:textId="77777777" w:rsidR="00500337" w:rsidRDefault="00500337" w:rsidP="00500337">
      <w:pPr>
        <w:pStyle w:val="Heading2"/>
      </w:pPr>
      <w:bookmarkStart w:id="35" w:name="_Toc504480011"/>
      <w:bookmarkStart w:id="36" w:name="_Toc106373310"/>
      <w:r>
        <w:t>II. Registration timeline</w:t>
      </w:r>
      <w:bookmarkEnd w:id="35"/>
      <w:bookmarkEnd w:id="36"/>
    </w:p>
    <w:p w14:paraId="7996E141"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w:t>
      </w:r>
      <w:proofErr w:type="spellStart"/>
      <w:r>
        <w:t>AusPAR</w:t>
      </w:r>
      <w:proofErr w:type="spellEnd"/>
      <w:r>
        <w:t>.</w:t>
      </w:r>
    </w:p>
    <w:p w14:paraId="69F87DE2" w14:textId="71C07C47" w:rsidR="00500337" w:rsidRDefault="006A58A8" w:rsidP="00913367">
      <w:pPr>
        <w:pStyle w:val="TableTitle"/>
      </w:pPr>
      <w:r w:rsidRPr="006A58A8">
        <w:t xml:space="preserve">Table </w:t>
      </w:r>
      <w:r w:rsidR="00324E45">
        <w:t>2</w:t>
      </w:r>
      <w:r w:rsidR="00006FAB">
        <w:t>:</w:t>
      </w:r>
      <w:r w:rsidRPr="006A58A8">
        <w:t xml:space="preserve"> Timeline for Submission PM-20</w:t>
      </w:r>
      <w:r w:rsidR="00324E45">
        <w:t>2</w:t>
      </w:r>
      <w:r w:rsidR="00913367">
        <w:t>1</w:t>
      </w:r>
      <w:r w:rsidRPr="006A58A8">
        <w:t>-</w:t>
      </w:r>
      <w:r w:rsidR="00913367">
        <w:t>00851</w:t>
      </w:r>
      <w:r w:rsidRPr="006A58A8">
        <w:t>-1-</w:t>
      </w:r>
      <w:r w:rsidR="00913367">
        <w:t>4</w:t>
      </w:r>
    </w:p>
    <w:tbl>
      <w:tblPr>
        <w:tblStyle w:val="TableTGAblue"/>
        <w:tblW w:w="0" w:type="auto"/>
        <w:tblLook w:val="04A0" w:firstRow="1" w:lastRow="0" w:firstColumn="1" w:lastColumn="0" w:noHBand="0" w:noVBand="1"/>
      </w:tblPr>
      <w:tblGrid>
        <w:gridCol w:w="4263"/>
        <w:gridCol w:w="4231"/>
      </w:tblGrid>
      <w:tr w:rsidR="00500337" w14:paraId="2C162632" w14:textId="77777777" w:rsidTr="00913367">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7D0229C7" w14:textId="77777777" w:rsidR="00500337" w:rsidRDefault="00500337" w:rsidP="00500337">
            <w:pPr>
              <w:ind w:left="0" w:right="0"/>
            </w:pPr>
            <w:r>
              <w:t>Description</w:t>
            </w:r>
          </w:p>
        </w:tc>
        <w:tc>
          <w:tcPr>
            <w:tcW w:w="4231" w:type="dxa"/>
            <w:tcBorders>
              <w:top w:val="single" w:sz="4" w:space="0" w:color="auto"/>
              <w:left w:val="single" w:sz="4" w:space="0" w:color="auto"/>
              <w:bottom w:val="single" w:sz="4" w:space="0" w:color="auto"/>
              <w:right w:val="single" w:sz="4" w:space="0" w:color="auto"/>
            </w:tcBorders>
          </w:tcPr>
          <w:p w14:paraId="5709BFF6" w14:textId="77777777" w:rsidR="00500337" w:rsidRDefault="00500337" w:rsidP="00500337">
            <w:pPr>
              <w:ind w:left="0" w:right="0"/>
            </w:pPr>
            <w:r>
              <w:t>Date</w:t>
            </w:r>
          </w:p>
        </w:tc>
      </w:tr>
      <w:tr w:rsidR="00237D2A" w14:paraId="30DC8BF0" w14:textId="77777777" w:rsidTr="00913367">
        <w:tc>
          <w:tcPr>
            <w:tcW w:w="4263" w:type="dxa"/>
          </w:tcPr>
          <w:p w14:paraId="508A0A21" w14:textId="6CDFF45B" w:rsidR="00237D2A" w:rsidRDefault="00237D2A" w:rsidP="004F7DDA">
            <w:pPr>
              <w:ind w:left="0"/>
            </w:pPr>
            <w:r>
              <w:t>Designation: Priority</w:t>
            </w:r>
            <w:r w:rsidR="004F7DDA">
              <w:t>;</w:t>
            </w:r>
            <w:r w:rsidR="004F7DDA">
              <w:rPr>
                <w:rStyle w:val="FootnoteReference"/>
              </w:rPr>
              <w:footnoteReference w:id="34"/>
            </w:r>
          </w:p>
        </w:tc>
        <w:tc>
          <w:tcPr>
            <w:tcW w:w="4231" w:type="dxa"/>
          </w:tcPr>
          <w:p w14:paraId="5AB37000" w14:textId="4A7214EE" w:rsidR="00237D2A" w:rsidRDefault="00237D2A" w:rsidP="004F7DDA">
            <w:pPr>
              <w:ind w:left="0"/>
            </w:pPr>
            <w:r>
              <w:t>4 December 2020</w:t>
            </w:r>
          </w:p>
        </w:tc>
      </w:tr>
      <w:tr w:rsidR="00500337" w14:paraId="35C7C023" w14:textId="77777777" w:rsidTr="00913367">
        <w:tc>
          <w:tcPr>
            <w:tcW w:w="4263" w:type="dxa"/>
          </w:tcPr>
          <w:p w14:paraId="0091A203" w14:textId="77777777" w:rsidR="00500337" w:rsidRDefault="00500337" w:rsidP="00500337">
            <w:pPr>
              <w:ind w:left="0" w:right="0"/>
            </w:pPr>
            <w:r>
              <w:t>Submission dossier accepted and first round evaluation commenced</w:t>
            </w:r>
          </w:p>
        </w:tc>
        <w:tc>
          <w:tcPr>
            <w:tcW w:w="4231" w:type="dxa"/>
          </w:tcPr>
          <w:p w14:paraId="6E00F519" w14:textId="3E2C6C74" w:rsidR="00500337" w:rsidRDefault="00913367" w:rsidP="00500337">
            <w:pPr>
              <w:ind w:left="0" w:right="0"/>
            </w:pPr>
            <w:r>
              <w:t>13 April 2021</w:t>
            </w:r>
          </w:p>
        </w:tc>
      </w:tr>
      <w:tr w:rsidR="00500337" w14:paraId="178181AD" w14:textId="77777777" w:rsidTr="00913367">
        <w:tc>
          <w:tcPr>
            <w:tcW w:w="4263" w:type="dxa"/>
          </w:tcPr>
          <w:p w14:paraId="4B22CE10" w14:textId="77777777" w:rsidR="00500337" w:rsidRDefault="00500337" w:rsidP="00500337">
            <w:pPr>
              <w:ind w:left="0" w:right="0"/>
            </w:pPr>
            <w:r>
              <w:t>Evaluation completed</w:t>
            </w:r>
          </w:p>
        </w:tc>
        <w:tc>
          <w:tcPr>
            <w:tcW w:w="4231" w:type="dxa"/>
          </w:tcPr>
          <w:p w14:paraId="1148235E" w14:textId="234B0715" w:rsidR="00500337" w:rsidRDefault="00913367" w:rsidP="00500337">
            <w:pPr>
              <w:ind w:left="0" w:right="0"/>
            </w:pPr>
            <w:r>
              <w:t>15 October 2021</w:t>
            </w:r>
          </w:p>
        </w:tc>
      </w:tr>
      <w:tr w:rsidR="00500337" w14:paraId="2A3E2191" w14:textId="77777777" w:rsidTr="00913367">
        <w:tc>
          <w:tcPr>
            <w:tcW w:w="4263" w:type="dxa"/>
          </w:tcPr>
          <w:p w14:paraId="5E5889FC" w14:textId="0570888D" w:rsidR="00500337" w:rsidRDefault="00324E45" w:rsidP="00500337">
            <w:pPr>
              <w:ind w:left="0" w:right="0"/>
            </w:pPr>
            <w:r w:rsidRPr="00913367">
              <w:rPr>
                <w:color w:val="auto"/>
              </w:rPr>
              <w:t>Delegate’s Overall benefit-risk assessment and request for Advisory Committee advice</w:t>
            </w:r>
          </w:p>
        </w:tc>
        <w:tc>
          <w:tcPr>
            <w:tcW w:w="4231" w:type="dxa"/>
          </w:tcPr>
          <w:p w14:paraId="05B274F9" w14:textId="15DC439E" w:rsidR="00500337" w:rsidRDefault="00913367" w:rsidP="00500337">
            <w:pPr>
              <w:ind w:left="0" w:right="0"/>
            </w:pPr>
            <w:r>
              <w:t>31 August 2021</w:t>
            </w:r>
          </w:p>
        </w:tc>
      </w:tr>
      <w:tr w:rsidR="00500337" w14:paraId="3E3D1A09" w14:textId="77777777" w:rsidTr="00913367">
        <w:tc>
          <w:tcPr>
            <w:tcW w:w="4263" w:type="dxa"/>
          </w:tcPr>
          <w:p w14:paraId="2C9A787E" w14:textId="77777777" w:rsidR="00500337" w:rsidRDefault="00500337" w:rsidP="00500337">
            <w:pPr>
              <w:ind w:left="0" w:right="0"/>
            </w:pPr>
            <w:r>
              <w:t>Sponsor’s pre-Advisory Committee response</w:t>
            </w:r>
          </w:p>
        </w:tc>
        <w:tc>
          <w:tcPr>
            <w:tcW w:w="4231" w:type="dxa"/>
          </w:tcPr>
          <w:p w14:paraId="3D0D31D2" w14:textId="227FBEBA" w:rsidR="00913367" w:rsidRDefault="00913367" w:rsidP="00500337">
            <w:pPr>
              <w:ind w:left="0" w:right="0"/>
            </w:pPr>
            <w:r>
              <w:t>10 September 2021</w:t>
            </w:r>
          </w:p>
        </w:tc>
      </w:tr>
      <w:tr w:rsidR="00500337" w14:paraId="219E5175" w14:textId="77777777" w:rsidTr="00913367">
        <w:tc>
          <w:tcPr>
            <w:tcW w:w="4263" w:type="dxa"/>
          </w:tcPr>
          <w:p w14:paraId="491C8F74" w14:textId="77777777" w:rsidR="00500337" w:rsidRDefault="00500337" w:rsidP="00500337">
            <w:pPr>
              <w:ind w:left="0" w:right="0"/>
            </w:pPr>
            <w:r>
              <w:t>Advisory Committee meeting</w:t>
            </w:r>
          </w:p>
        </w:tc>
        <w:tc>
          <w:tcPr>
            <w:tcW w:w="4231" w:type="dxa"/>
          </w:tcPr>
          <w:p w14:paraId="67B83A37" w14:textId="3C715EA3" w:rsidR="00500337" w:rsidRDefault="00913367" w:rsidP="00500337">
            <w:pPr>
              <w:ind w:left="0" w:right="0"/>
            </w:pPr>
            <w:r>
              <w:t>30 September and 1 October 2021</w:t>
            </w:r>
          </w:p>
        </w:tc>
      </w:tr>
      <w:tr w:rsidR="00500337" w14:paraId="2FB7D7F7" w14:textId="77777777" w:rsidTr="00913367">
        <w:tc>
          <w:tcPr>
            <w:tcW w:w="4263" w:type="dxa"/>
          </w:tcPr>
          <w:p w14:paraId="51A7CA8C" w14:textId="77777777" w:rsidR="00500337" w:rsidRDefault="00500337" w:rsidP="00500337">
            <w:pPr>
              <w:ind w:left="0" w:right="0"/>
            </w:pPr>
            <w:r>
              <w:t>Registration decision (Outcome)</w:t>
            </w:r>
          </w:p>
        </w:tc>
        <w:tc>
          <w:tcPr>
            <w:tcW w:w="4231" w:type="dxa"/>
          </w:tcPr>
          <w:p w14:paraId="2D123CEB" w14:textId="363CDD30" w:rsidR="00500337" w:rsidRDefault="00913367" w:rsidP="00500337">
            <w:pPr>
              <w:ind w:left="0" w:right="0"/>
            </w:pPr>
            <w:r>
              <w:t>1 November 2021</w:t>
            </w:r>
          </w:p>
        </w:tc>
      </w:tr>
      <w:tr w:rsidR="00500337" w14:paraId="5E3ACF76" w14:textId="77777777" w:rsidTr="00913367">
        <w:tc>
          <w:tcPr>
            <w:tcW w:w="4263" w:type="dxa"/>
          </w:tcPr>
          <w:p w14:paraId="3AE4FB58" w14:textId="77777777" w:rsidR="00500337" w:rsidRDefault="00500337" w:rsidP="00500337">
            <w:pPr>
              <w:ind w:left="0" w:right="0"/>
            </w:pPr>
            <w:r>
              <w:t xml:space="preserve">Completion of administrative activities and registration on </w:t>
            </w:r>
            <w:r w:rsidR="00006FAB">
              <w:t xml:space="preserve">the </w:t>
            </w:r>
            <w:r>
              <w:t>ARTG</w:t>
            </w:r>
          </w:p>
        </w:tc>
        <w:tc>
          <w:tcPr>
            <w:tcW w:w="4231" w:type="dxa"/>
          </w:tcPr>
          <w:p w14:paraId="7D8B25EC" w14:textId="3A614F38" w:rsidR="00500337" w:rsidRDefault="00913367" w:rsidP="00500337">
            <w:pPr>
              <w:ind w:left="0" w:right="0"/>
            </w:pPr>
            <w:r>
              <w:t>10 November 2021</w:t>
            </w:r>
          </w:p>
        </w:tc>
      </w:tr>
      <w:tr w:rsidR="00500337" w14:paraId="6271CB7D" w14:textId="77777777" w:rsidTr="00913367">
        <w:tc>
          <w:tcPr>
            <w:tcW w:w="4263" w:type="dxa"/>
          </w:tcPr>
          <w:p w14:paraId="1135BE1B" w14:textId="77777777" w:rsidR="00500337" w:rsidRDefault="00500337" w:rsidP="00500337">
            <w:pPr>
              <w:ind w:left="0" w:right="0"/>
            </w:pPr>
            <w:r>
              <w:t>Number of working days from submission dossier acceptance to registration decision*</w:t>
            </w:r>
          </w:p>
        </w:tc>
        <w:tc>
          <w:tcPr>
            <w:tcW w:w="4231" w:type="dxa"/>
          </w:tcPr>
          <w:p w14:paraId="55CADC49" w14:textId="6CC8318B" w:rsidR="00500337" w:rsidRDefault="00913367" w:rsidP="00500337">
            <w:pPr>
              <w:ind w:left="0" w:right="0"/>
            </w:pPr>
            <w:r>
              <w:t>120</w:t>
            </w:r>
          </w:p>
        </w:tc>
      </w:tr>
    </w:tbl>
    <w:p w14:paraId="429854A0" w14:textId="77777777" w:rsidR="00500337" w:rsidRDefault="00500337" w:rsidP="00500337">
      <w:pPr>
        <w:pStyle w:val="TableDescription"/>
      </w:pPr>
      <w:r>
        <w:t>*Target timeframe for priority applications is 150 working days from acceptance for evaluation to the decision.</w:t>
      </w:r>
    </w:p>
    <w:p w14:paraId="68F34C46" w14:textId="77777777" w:rsidR="008E7846" w:rsidRPr="00792A32" w:rsidRDefault="00456765" w:rsidP="008E7846">
      <w:pPr>
        <w:pStyle w:val="Heading2"/>
      </w:pPr>
      <w:bookmarkStart w:id="37" w:name="_Toc196046504"/>
      <w:bookmarkStart w:id="38" w:name="_Toc247691527"/>
      <w:bookmarkStart w:id="39" w:name="_Toc314842510"/>
      <w:bookmarkStart w:id="40" w:name="_Toc106373311"/>
      <w:bookmarkStart w:id="41" w:name="_Toc163441390"/>
      <w:bookmarkEnd w:id="33"/>
      <w:bookmarkEnd w:id="34"/>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7"/>
      <w:bookmarkEnd w:id="38"/>
      <w:bookmarkEnd w:id="39"/>
      <w:bookmarkEnd w:id="40"/>
    </w:p>
    <w:p w14:paraId="58C20493" w14:textId="77777777" w:rsidR="00006FAB" w:rsidRDefault="00006FAB" w:rsidP="00006FAB">
      <w:bookmarkStart w:id="42" w:name="_Toc247691528"/>
      <w:r>
        <w:t>The submission was summarised in the following Delegate’s overview and recommendations.</w:t>
      </w:r>
    </w:p>
    <w:p w14:paraId="6690764D" w14:textId="2F2E53D7" w:rsidR="008E7846" w:rsidRDefault="008E7846" w:rsidP="008E7846">
      <w:pPr>
        <w:pStyle w:val="Heading3"/>
      </w:pPr>
      <w:bookmarkStart w:id="43" w:name="_Toc314842511"/>
      <w:bookmarkStart w:id="44" w:name="_Toc106373312"/>
      <w:r>
        <w:lastRenderedPageBreak/>
        <w:t>Quality</w:t>
      </w:r>
      <w:bookmarkEnd w:id="42"/>
      <w:bookmarkEnd w:id="43"/>
      <w:bookmarkEnd w:id="44"/>
    </w:p>
    <w:p w14:paraId="4D792287" w14:textId="23B042AB" w:rsidR="00116835" w:rsidRDefault="00817BFF" w:rsidP="00817BFF">
      <w:proofErr w:type="spellStart"/>
      <w:r>
        <w:t>I</w:t>
      </w:r>
      <w:r w:rsidR="00EE2441">
        <w:t>lluccix</w:t>
      </w:r>
      <w:proofErr w:type="spellEnd"/>
      <w:r>
        <w:t xml:space="preserve"> is supplied as a sterile multi-dose kit </w:t>
      </w:r>
      <w:r w:rsidR="00116835">
        <w:t xml:space="preserve">intended </w:t>
      </w:r>
      <w:r>
        <w:t xml:space="preserve">for the preparation of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Ga] </w:t>
      </w:r>
      <w:r w:rsidR="00293AB9">
        <w:rPr>
          <w:rStyle w:val="style1"/>
          <w:rFonts w:cstheme="minorHAnsi"/>
          <w:iCs/>
        </w:rPr>
        <w:t>gallium</w:t>
      </w:r>
      <w:r w:rsidR="00116835">
        <w:rPr>
          <w:rStyle w:val="style1"/>
          <w:rFonts w:cstheme="minorHAnsi"/>
          <w:iCs/>
        </w:rPr>
        <w:t xml:space="preserve">-68 </w:t>
      </w:r>
      <w:r>
        <w:rPr>
          <w:rFonts w:eastAsiaTheme="minorHAnsi" w:cs="Cambria"/>
        </w:rPr>
        <w:t>Glu-urea-Lys(</w:t>
      </w:r>
      <w:proofErr w:type="spellStart"/>
      <w:r>
        <w:rPr>
          <w:rFonts w:eastAsiaTheme="minorHAnsi" w:cs="Cambria"/>
        </w:rPr>
        <w:t>ahx</w:t>
      </w:r>
      <w:proofErr w:type="spellEnd"/>
      <w:r>
        <w:rPr>
          <w:rFonts w:eastAsiaTheme="minorHAnsi" w:cs="Cambria"/>
        </w:rPr>
        <w:t>)-</w:t>
      </w:r>
      <w:proofErr w:type="spellStart"/>
      <w:r>
        <w:rPr>
          <w:rFonts w:eastAsiaTheme="minorHAnsi" w:cs="Cambria"/>
        </w:rPr>
        <w:t>hbed</w:t>
      </w:r>
      <w:proofErr w:type="spellEnd"/>
      <w:r>
        <w:rPr>
          <w:rFonts w:eastAsiaTheme="minorHAnsi" w:cs="Cambria"/>
        </w:rPr>
        <w:t xml:space="preserve">-CC </w:t>
      </w:r>
      <w:r>
        <w:t>for intravenous use.</w:t>
      </w:r>
    </w:p>
    <w:p w14:paraId="0A2D6962" w14:textId="734D4071" w:rsidR="00817BFF" w:rsidRDefault="00817BFF" w:rsidP="00817BFF">
      <w:r>
        <w:rPr>
          <w:rFonts w:eastAsiaTheme="minorHAnsi" w:cs="Cambria"/>
        </w:rPr>
        <w:t>Glu-urea-Lys(</w:t>
      </w:r>
      <w:proofErr w:type="spellStart"/>
      <w:r>
        <w:rPr>
          <w:rFonts w:eastAsiaTheme="minorHAnsi" w:cs="Cambria"/>
        </w:rPr>
        <w:t>ahx</w:t>
      </w:r>
      <w:proofErr w:type="spellEnd"/>
      <w:r>
        <w:rPr>
          <w:rFonts w:eastAsiaTheme="minorHAnsi" w:cs="Cambria"/>
        </w:rPr>
        <w:t>)-</w:t>
      </w:r>
      <w:proofErr w:type="spellStart"/>
      <w:r>
        <w:rPr>
          <w:rFonts w:eastAsiaTheme="minorHAnsi" w:cs="Cambria"/>
        </w:rPr>
        <w:t>hbed</w:t>
      </w:r>
      <w:proofErr w:type="spellEnd"/>
      <w:r>
        <w:rPr>
          <w:rFonts w:eastAsiaTheme="minorHAnsi" w:cs="Cambria"/>
        </w:rPr>
        <w:t>-CC</w:t>
      </w:r>
      <w:r>
        <w:t xml:space="preserve"> </w:t>
      </w:r>
      <w:r>
        <w:rPr>
          <w:rFonts w:eastAsiaTheme="minorHAnsi" w:cs="Cambria"/>
        </w:rPr>
        <w:t>is also known as PSMA</w:t>
      </w:r>
      <w:r w:rsidR="00237D2A">
        <w:rPr>
          <w:rFonts w:eastAsiaTheme="minorHAnsi" w:cs="Cambria"/>
        </w:rPr>
        <w:noBreakHyphen/>
      </w:r>
      <w:r>
        <w:rPr>
          <w:rFonts w:eastAsiaTheme="minorHAnsi" w:cs="Cambria"/>
        </w:rPr>
        <w:t>11.</w:t>
      </w:r>
      <w:r w:rsidR="00EE2441">
        <w:rPr>
          <w:rFonts w:eastAsiaTheme="minorHAnsi" w:cs="Cambria"/>
        </w:rPr>
        <w:t xml:space="preserve"> </w:t>
      </w:r>
      <w:r>
        <w:t xml:space="preserve">There are two different kit configurations, for use depending on the source of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-68</w:t>
      </w:r>
      <w:r>
        <w:t>:</w:t>
      </w:r>
    </w:p>
    <w:p w14:paraId="0B3091E5" w14:textId="75AE13C0" w:rsidR="00817BFF" w:rsidRDefault="00817BFF" w:rsidP="004F7DDA">
      <w:pPr>
        <w:pStyle w:val="ListBullet"/>
      </w:pPr>
      <w:proofErr w:type="spellStart"/>
      <w:r w:rsidRPr="004F7DDA">
        <w:rPr>
          <w:i/>
        </w:rPr>
        <w:t>I</w:t>
      </w:r>
      <w:r w:rsidR="00EE2441" w:rsidRPr="004F7DDA">
        <w:rPr>
          <w:i/>
        </w:rPr>
        <w:t>lluccix</w:t>
      </w:r>
      <w:proofErr w:type="spellEnd"/>
      <w:r w:rsidRPr="004F7DDA">
        <w:rPr>
          <w:i/>
        </w:rPr>
        <w:t xml:space="preserve"> configuration </w:t>
      </w:r>
      <w:r w:rsidR="00EE2441" w:rsidRPr="004F7DDA">
        <w:rPr>
          <w:i/>
        </w:rPr>
        <w:t>‘</w:t>
      </w:r>
      <w:r w:rsidRPr="004F7DDA">
        <w:rPr>
          <w:i/>
        </w:rPr>
        <w:t>A</w:t>
      </w:r>
      <w:r w:rsidR="00EE2441" w:rsidRPr="004F7DDA">
        <w:rPr>
          <w:i/>
        </w:rPr>
        <w:t>’</w:t>
      </w:r>
      <w:r>
        <w:t xml:space="preserve"> is for use with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 xml:space="preserve">-68 </w:t>
      </w:r>
      <w:r>
        <w:t xml:space="preserve">produced from a cyclotron and purified via GE </w:t>
      </w:r>
      <w:proofErr w:type="spellStart"/>
      <w:r>
        <w:t>FASTlabTM</w:t>
      </w:r>
      <w:proofErr w:type="spellEnd"/>
      <w:r>
        <w:t xml:space="preserve"> or Eckert &amp; Ziegler </w:t>
      </w:r>
      <w:proofErr w:type="spellStart"/>
      <w:r>
        <w:t>GalliaPharm</w:t>
      </w:r>
      <w:proofErr w:type="spellEnd"/>
      <w:r>
        <w:t xml:space="preserve"> Ge 68/Ga-68 generator.</w:t>
      </w:r>
    </w:p>
    <w:p w14:paraId="6159C7FE" w14:textId="3238B1C0" w:rsidR="00817BFF" w:rsidRDefault="00817BFF" w:rsidP="004F7DDA">
      <w:pPr>
        <w:pStyle w:val="ListBullet"/>
      </w:pPr>
      <w:proofErr w:type="spellStart"/>
      <w:r w:rsidRPr="004F7DDA">
        <w:rPr>
          <w:i/>
        </w:rPr>
        <w:t>I</w:t>
      </w:r>
      <w:r w:rsidR="00EE2441" w:rsidRPr="004F7DDA">
        <w:rPr>
          <w:i/>
        </w:rPr>
        <w:t>lluccix</w:t>
      </w:r>
      <w:proofErr w:type="spellEnd"/>
      <w:r w:rsidRPr="004F7DDA">
        <w:rPr>
          <w:i/>
        </w:rPr>
        <w:t xml:space="preserve"> configuration </w:t>
      </w:r>
      <w:r w:rsidR="00EE2441" w:rsidRPr="004F7DDA">
        <w:rPr>
          <w:i/>
        </w:rPr>
        <w:t>‘</w:t>
      </w:r>
      <w:r w:rsidRPr="004F7DDA">
        <w:rPr>
          <w:i/>
        </w:rPr>
        <w:t>B</w:t>
      </w:r>
      <w:r w:rsidR="00EE2441" w:rsidRPr="004F7DDA">
        <w:rPr>
          <w:i/>
        </w:rPr>
        <w:t>’</w:t>
      </w:r>
      <w:r>
        <w:t xml:space="preserve"> is for use with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 xml:space="preserve">-68 </w:t>
      </w:r>
      <w:r>
        <w:t xml:space="preserve">produced from an IRE Galli </w:t>
      </w:r>
      <w:proofErr w:type="spellStart"/>
      <w:r>
        <w:t>Eo</w:t>
      </w:r>
      <w:proofErr w:type="spellEnd"/>
      <w:r>
        <w:t xml:space="preserve"> Ge</w:t>
      </w:r>
      <w:r w:rsidR="00EE2441">
        <w:t> </w:t>
      </w:r>
      <w:r>
        <w:t>68/Ga-68 generator.</w:t>
      </w:r>
    </w:p>
    <w:p w14:paraId="38B0BFEE" w14:textId="3159FF77" w:rsidR="00237D2A" w:rsidRPr="00F74A2E" w:rsidRDefault="00237D2A" w:rsidP="004F7DDA">
      <w:r>
        <w:t>Note the radionuclide (</w:t>
      </w:r>
      <w:r w:rsidR="00293AB9">
        <w:t>gallium</w:t>
      </w:r>
      <w:r>
        <w:t>-68) is not part of the kit.</w:t>
      </w:r>
    </w:p>
    <w:p w14:paraId="4C5A5841" w14:textId="1892DF92" w:rsidR="00817BFF" w:rsidRDefault="00817BFF" w:rsidP="00817BFF">
      <w:r>
        <w:rPr>
          <w:lang w:eastAsia="en-AU"/>
        </w:rPr>
        <w:t xml:space="preserve">Each kit contains three 10 mL glass vials and four ancillary components used for the safe transfer of liquids during its reconstitution with the radioisotope </w:t>
      </w:r>
      <w:r w:rsidR="00293AB9">
        <w:rPr>
          <w:lang w:eastAsia="en-AU"/>
        </w:rPr>
        <w:t>gallium</w:t>
      </w:r>
      <w:r>
        <w:rPr>
          <w:lang w:eastAsia="en-AU"/>
        </w:rPr>
        <w:t>-68</w:t>
      </w:r>
      <w:r w:rsidR="00116835">
        <w:rPr>
          <w:lang w:eastAsia="en-AU"/>
        </w:rPr>
        <w:t xml:space="preserve"> [</w:t>
      </w:r>
      <w:r w:rsidR="00116835" w:rsidRPr="004F7DDA">
        <w:rPr>
          <w:vertAlign w:val="superscript"/>
          <w:lang w:eastAsia="en-AU"/>
        </w:rPr>
        <w:t>68</w:t>
      </w:r>
      <w:r w:rsidR="00116835">
        <w:rPr>
          <w:lang w:eastAsia="en-AU"/>
        </w:rPr>
        <w:t>Ga]</w:t>
      </w:r>
      <w:r>
        <w:rPr>
          <w:lang w:eastAsia="en-AU"/>
        </w:rPr>
        <w:t xml:space="preserve">. The vials are closed with a rubber stopper and capped with a flip-off cap of different colour depending </w:t>
      </w:r>
      <w:proofErr w:type="gramStart"/>
      <w:r>
        <w:rPr>
          <w:lang w:eastAsia="en-AU"/>
        </w:rPr>
        <w:t>of</w:t>
      </w:r>
      <w:proofErr w:type="gramEnd"/>
      <w:r>
        <w:rPr>
          <w:lang w:eastAsia="en-AU"/>
        </w:rPr>
        <w:t xml:space="preserve"> the vial content. The </w:t>
      </w:r>
      <w:r w:rsidRPr="000A7409">
        <w:rPr>
          <w:lang w:eastAsia="en-AU"/>
        </w:rPr>
        <w:t xml:space="preserve">PSMA-11 </w:t>
      </w:r>
      <w:r w:rsidR="00723F3C">
        <w:rPr>
          <w:lang w:eastAsia="en-AU"/>
        </w:rPr>
        <w:t>s</w:t>
      </w:r>
      <w:r w:rsidRPr="000A7409">
        <w:rPr>
          <w:lang w:eastAsia="en-AU"/>
        </w:rPr>
        <w:t xml:space="preserve">terile </w:t>
      </w:r>
      <w:r w:rsidR="00723F3C">
        <w:rPr>
          <w:lang w:eastAsia="en-AU"/>
        </w:rPr>
        <w:t>v</w:t>
      </w:r>
      <w:r w:rsidRPr="000A7409">
        <w:rPr>
          <w:lang w:eastAsia="en-AU"/>
        </w:rPr>
        <w:t xml:space="preserve">ial </w:t>
      </w:r>
      <w:r>
        <w:rPr>
          <w:lang w:eastAsia="en-AU"/>
        </w:rPr>
        <w:t>has a blue cap, the</w:t>
      </w:r>
      <w:r w:rsidRPr="001735A6">
        <w:rPr>
          <w:rFonts w:eastAsia="Times New Roman"/>
          <w:lang w:eastAsia="en-AU"/>
        </w:rPr>
        <w:t xml:space="preserve"> </w:t>
      </w:r>
      <w:r w:rsidR="00723F3C">
        <w:rPr>
          <w:rFonts w:eastAsia="Times New Roman"/>
          <w:lang w:eastAsia="en-AU"/>
        </w:rPr>
        <w:t>s</w:t>
      </w:r>
      <w:r w:rsidRPr="001735A6">
        <w:rPr>
          <w:rFonts w:eastAsia="Times New Roman"/>
          <w:lang w:eastAsia="en-AU"/>
        </w:rPr>
        <w:t xml:space="preserve">terile </w:t>
      </w:r>
      <w:r w:rsidR="00723F3C">
        <w:rPr>
          <w:rFonts w:eastAsia="Times New Roman"/>
          <w:lang w:eastAsia="en-AU"/>
        </w:rPr>
        <w:t>a</w:t>
      </w:r>
      <w:r w:rsidRPr="001735A6">
        <w:rPr>
          <w:rFonts w:eastAsia="Times New Roman"/>
          <w:lang w:eastAsia="en-AU"/>
        </w:rPr>
        <w:t xml:space="preserve">cetate </w:t>
      </w:r>
      <w:r w:rsidR="00723F3C">
        <w:rPr>
          <w:rFonts w:eastAsia="Times New Roman"/>
          <w:lang w:eastAsia="en-AU"/>
        </w:rPr>
        <w:t>b</w:t>
      </w:r>
      <w:r w:rsidRPr="001735A6">
        <w:rPr>
          <w:rFonts w:eastAsia="Times New Roman"/>
          <w:lang w:eastAsia="en-AU"/>
        </w:rPr>
        <w:t xml:space="preserve">uffer </w:t>
      </w:r>
      <w:r w:rsidR="00723F3C">
        <w:rPr>
          <w:rFonts w:eastAsia="Times New Roman"/>
          <w:lang w:eastAsia="en-AU"/>
        </w:rPr>
        <w:t>v</w:t>
      </w:r>
      <w:r>
        <w:rPr>
          <w:rFonts w:eastAsia="Times New Roman"/>
          <w:lang w:eastAsia="en-AU"/>
        </w:rPr>
        <w:t>ial has a red cap (</w:t>
      </w:r>
      <w:r w:rsidRPr="001735A6">
        <w:rPr>
          <w:rFonts w:eastAsia="Times New Roman"/>
          <w:lang w:eastAsia="en-AU"/>
        </w:rPr>
        <w:t>Configuration A</w:t>
      </w:r>
      <w:r>
        <w:rPr>
          <w:rFonts w:eastAsia="Times New Roman"/>
          <w:lang w:eastAsia="en-AU"/>
        </w:rPr>
        <w:t xml:space="preserve">) or green cap (Configuration B), and </w:t>
      </w:r>
      <w:r>
        <w:rPr>
          <w:lang w:eastAsia="en-AU"/>
        </w:rPr>
        <w:t xml:space="preserve">the </w:t>
      </w:r>
      <w:r w:rsidR="00723F3C">
        <w:rPr>
          <w:lang w:eastAsia="en-AU"/>
        </w:rPr>
        <w:t>s</w:t>
      </w:r>
      <w:r>
        <w:rPr>
          <w:lang w:eastAsia="en-AU"/>
        </w:rPr>
        <w:t xml:space="preserve">terile </w:t>
      </w:r>
      <w:r w:rsidR="00723F3C">
        <w:rPr>
          <w:lang w:eastAsia="en-AU"/>
        </w:rPr>
        <w:t>v</w:t>
      </w:r>
      <w:r>
        <w:rPr>
          <w:lang w:eastAsia="en-AU"/>
        </w:rPr>
        <w:t xml:space="preserve">acuumed </w:t>
      </w:r>
      <w:r w:rsidR="00723F3C">
        <w:rPr>
          <w:lang w:eastAsia="en-AU"/>
        </w:rPr>
        <w:t>v</w:t>
      </w:r>
      <w:r>
        <w:rPr>
          <w:lang w:eastAsia="en-AU"/>
        </w:rPr>
        <w:t xml:space="preserve">ial has a white cap </w:t>
      </w:r>
      <w:r w:rsidR="00EE2441">
        <w:rPr>
          <w:lang w:eastAsia="en-AU"/>
        </w:rPr>
        <w:t>(</w:t>
      </w:r>
      <w:r w:rsidR="00237D2A">
        <w:rPr>
          <w:lang w:eastAsia="en-AU"/>
        </w:rPr>
        <w:t xml:space="preserve">see </w:t>
      </w:r>
      <w:r w:rsidR="00EE2441">
        <w:rPr>
          <w:lang w:eastAsia="en-AU"/>
        </w:rPr>
        <w:fldChar w:fldCharType="begin"/>
      </w:r>
      <w:r w:rsidR="00EE2441">
        <w:rPr>
          <w:lang w:eastAsia="en-AU"/>
        </w:rPr>
        <w:instrText xml:space="preserve"> REF _Ref103686745 \h </w:instrText>
      </w:r>
      <w:r w:rsidR="00EE2441">
        <w:rPr>
          <w:lang w:eastAsia="en-AU"/>
        </w:rPr>
      </w:r>
      <w:r w:rsidR="00EE2441">
        <w:rPr>
          <w:lang w:eastAsia="en-AU"/>
        </w:rPr>
        <w:fldChar w:fldCharType="separate"/>
      </w:r>
      <w:r w:rsidR="00036995" w:rsidRPr="00817BFF">
        <w:t xml:space="preserve">Figure </w:t>
      </w:r>
      <w:r w:rsidR="00036995">
        <w:rPr>
          <w:noProof/>
        </w:rPr>
        <w:t>1</w:t>
      </w:r>
      <w:r w:rsidR="00EE2441">
        <w:rPr>
          <w:lang w:eastAsia="en-AU"/>
        </w:rPr>
        <w:fldChar w:fldCharType="end"/>
      </w:r>
      <w:r w:rsidR="00237D2A">
        <w:rPr>
          <w:lang w:eastAsia="en-AU"/>
        </w:rPr>
        <w:t xml:space="preserve"> below</w:t>
      </w:r>
      <w:r>
        <w:rPr>
          <w:lang w:eastAsia="en-AU"/>
        </w:rPr>
        <w:t>)</w:t>
      </w:r>
      <w:r>
        <w:rPr>
          <w:rFonts w:eastAsia="Times New Roman"/>
          <w:lang w:eastAsia="en-AU"/>
        </w:rPr>
        <w:t>.</w:t>
      </w:r>
      <w:r w:rsidRPr="00773170">
        <w:t xml:space="preserve"> </w:t>
      </w:r>
      <w:r>
        <w:rPr>
          <w:lang w:eastAsia="en-AU"/>
        </w:rPr>
        <w:t xml:space="preserve">The two kit configurations differ only </w:t>
      </w:r>
      <w:proofErr w:type="gramStart"/>
      <w:r>
        <w:rPr>
          <w:lang w:eastAsia="en-AU"/>
        </w:rPr>
        <w:t>with regard to</w:t>
      </w:r>
      <w:proofErr w:type="gramEnd"/>
      <w:r>
        <w:rPr>
          <w:lang w:eastAsia="en-AU"/>
        </w:rPr>
        <w:t xml:space="preserve"> the </w:t>
      </w:r>
      <w:r w:rsidR="00723F3C">
        <w:rPr>
          <w:rFonts w:eastAsia="Times New Roman"/>
          <w:lang w:eastAsia="en-AU"/>
        </w:rPr>
        <w:t>s</w:t>
      </w:r>
      <w:r w:rsidRPr="001735A6">
        <w:rPr>
          <w:rFonts w:eastAsia="Times New Roman"/>
          <w:lang w:eastAsia="en-AU"/>
        </w:rPr>
        <w:t xml:space="preserve">terile </w:t>
      </w:r>
      <w:r w:rsidR="00723F3C">
        <w:rPr>
          <w:rFonts w:eastAsia="Times New Roman"/>
          <w:lang w:eastAsia="en-AU"/>
        </w:rPr>
        <w:t>a</w:t>
      </w:r>
      <w:r w:rsidRPr="001735A6">
        <w:rPr>
          <w:rFonts w:eastAsia="Times New Roman"/>
          <w:lang w:eastAsia="en-AU"/>
        </w:rPr>
        <w:t xml:space="preserve">cetate </w:t>
      </w:r>
      <w:r w:rsidR="00723F3C">
        <w:rPr>
          <w:rFonts w:eastAsia="Times New Roman"/>
          <w:lang w:eastAsia="en-AU"/>
        </w:rPr>
        <w:t>b</w:t>
      </w:r>
      <w:r w:rsidRPr="001735A6">
        <w:rPr>
          <w:rFonts w:eastAsia="Times New Roman"/>
          <w:lang w:eastAsia="en-AU"/>
        </w:rPr>
        <w:t xml:space="preserve">uffer </w:t>
      </w:r>
      <w:r w:rsidR="00723F3C">
        <w:rPr>
          <w:rFonts w:eastAsia="Times New Roman"/>
          <w:lang w:eastAsia="en-AU"/>
        </w:rPr>
        <w:t>v</w:t>
      </w:r>
      <w:r>
        <w:rPr>
          <w:rFonts w:eastAsia="Times New Roman"/>
          <w:lang w:eastAsia="en-AU"/>
        </w:rPr>
        <w:t>ial (different concentration and volume of the buffer solution).</w:t>
      </w:r>
    </w:p>
    <w:p w14:paraId="660B333C" w14:textId="30DA1A46" w:rsidR="00817BFF" w:rsidRPr="00817BFF" w:rsidRDefault="00817BFF" w:rsidP="00817BFF">
      <w:pPr>
        <w:pStyle w:val="FigureTitle"/>
      </w:pPr>
      <w:bookmarkStart w:id="45" w:name="_Ref103686745"/>
      <w:bookmarkStart w:id="46" w:name="_Ref103686734"/>
      <w:r w:rsidRPr="00817BFF">
        <w:t xml:space="preserve">Figure </w:t>
      </w:r>
      <w:fldSimple w:instr=" SEQ Figure \* ARABIC ">
        <w:r w:rsidR="00036995">
          <w:rPr>
            <w:noProof/>
          </w:rPr>
          <w:t>1</w:t>
        </w:r>
      </w:fldSimple>
      <w:bookmarkEnd w:id="45"/>
      <w:r w:rsidRPr="00817BFF">
        <w:t>:</w:t>
      </w:r>
      <w:r>
        <w:t xml:space="preserve"> </w:t>
      </w:r>
      <w:proofErr w:type="spellStart"/>
      <w:r w:rsidRPr="00817BFF">
        <w:t>I</w:t>
      </w:r>
      <w:r>
        <w:t>lluccix</w:t>
      </w:r>
      <w:proofErr w:type="spellEnd"/>
      <w:r w:rsidRPr="00817BFF">
        <w:t xml:space="preserve"> kit for radiopharmaceutical preparation (configuration A)</w:t>
      </w:r>
      <w:bookmarkEnd w:id="46"/>
    </w:p>
    <w:p w14:paraId="58C7EE07" w14:textId="44E3C923" w:rsidR="00817BFF" w:rsidRDefault="00817BFF" w:rsidP="00A643F1">
      <w:bookmarkStart w:id="47" w:name="_Toc314842512"/>
      <w:r>
        <w:rPr>
          <w:noProof/>
          <w:lang w:val="en-GB" w:eastAsia="en-GB"/>
        </w:rPr>
        <w:drawing>
          <wp:inline distT="0" distB="0" distL="0" distR="0" wp14:anchorId="53277766" wp14:editId="5387D03C">
            <wp:extent cx="3601941" cy="2032253"/>
            <wp:effectExtent l="0" t="0" r="0" b="6350"/>
            <wp:docPr id="5" name="Picture 5" descr="Illuccix kit for radiopharmaceutical preparation (configura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lluccix kit for radiopharmaceutical preparation (configuration A)"/>
                    <pic:cNvPicPr/>
                  </pic:nvPicPr>
                  <pic:blipFill>
                    <a:blip r:embed="rId14"/>
                    <a:stretch>
                      <a:fillRect/>
                    </a:stretch>
                  </pic:blipFill>
                  <pic:spPr>
                    <a:xfrm>
                      <a:off x="0" y="0"/>
                      <a:ext cx="3625497" cy="2045544"/>
                    </a:xfrm>
                    <a:prstGeom prst="rect">
                      <a:avLst/>
                    </a:prstGeom>
                  </pic:spPr>
                </pic:pic>
              </a:graphicData>
            </a:graphic>
          </wp:inline>
        </w:drawing>
      </w:r>
    </w:p>
    <w:p w14:paraId="71A8251E" w14:textId="24D90445" w:rsidR="003901F1" w:rsidRDefault="003901F1" w:rsidP="004F7DDA">
      <w:pPr>
        <w:pStyle w:val="FigureDescription"/>
      </w:pPr>
      <w:r>
        <w:t>Blue lid vial/Vial 1 (Glu-urea-Lys(</w:t>
      </w:r>
      <w:proofErr w:type="spellStart"/>
      <w:r>
        <w:t>ahx</w:t>
      </w:r>
      <w:proofErr w:type="spellEnd"/>
      <w:r>
        <w:t>)-</w:t>
      </w:r>
      <w:proofErr w:type="spellStart"/>
      <w:r>
        <w:t>hbed</w:t>
      </w:r>
      <w:proofErr w:type="spellEnd"/>
      <w:r>
        <w:t>-CC V</w:t>
      </w:r>
      <w:r w:rsidR="00116835">
        <w:t xml:space="preserve">ial): contains 25 </w:t>
      </w:r>
      <w:proofErr w:type="gramStart"/>
      <w:r w:rsidR="00116835">
        <w:t>microgram</w:t>
      </w:r>
      <w:proofErr w:type="gramEnd"/>
      <w:r w:rsidR="00116835">
        <w:br/>
      </w:r>
      <w:r>
        <w:t>Glu-urea-Lys(</w:t>
      </w:r>
      <w:proofErr w:type="spellStart"/>
      <w:r>
        <w:t>ahx</w:t>
      </w:r>
      <w:proofErr w:type="spellEnd"/>
      <w:r>
        <w:t>)-</w:t>
      </w:r>
      <w:proofErr w:type="spellStart"/>
      <w:r>
        <w:t>hbed</w:t>
      </w:r>
      <w:proofErr w:type="spellEnd"/>
      <w:r>
        <w:t>-CC</w:t>
      </w:r>
      <w:r w:rsidR="00116835">
        <w:t xml:space="preserve"> (also known as PSMA-11)</w:t>
      </w:r>
      <w:r>
        <w:t>, 10 microgram mannose and water for injections as a lyophilized powder in a sterile 10 mL vial with a blue flip-off cap.</w:t>
      </w:r>
    </w:p>
    <w:p w14:paraId="376638B2" w14:textId="1B155F02" w:rsidR="003901F1" w:rsidRDefault="003901F1" w:rsidP="004F7DDA">
      <w:pPr>
        <w:pStyle w:val="FigureDescription"/>
      </w:pPr>
      <w:r>
        <w:t>Red or green lid vial/Vial 2 (Buffer Vial):</w:t>
      </w:r>
    </w:p>
    <w:p w14:paraId="35933EBC" w14:textId="055D7379" w:rsidR="003901F1" w:rsidRDefault="003901F1" w:rsidP="004F7DDA">
      <w:pPr>
        <w:pStyle w:val="FigureDescription"/>
      </w:pPr>
      <w:r>
        <w:t>Configuration A (green lid</w:t>
      </w:r>
      <w:r w:rsidR="00116835">
        <w:t>, not pictured</w:t>
      </w:r>
      <w:r>
        <w:t>): contains 150 mg sodium acetate, 0.077 mL hydrochloric acid and water for injections (2.5 mL volume) in a sterile 10 mL vial with a red flip off cap.</w:t>
      </w:r>
    </w:p>
    <w:p w14:paraId="268BA47F" w14:textId="4D0243D3" w:rsidR="003901F1" w:rsidRDefault="003901F1" w:rsidP="004F7DDA">
      <w:pPr>
        <w:pStyle w:val="FigureDescription"/>
      </w:pPr>
      <w:r>
        <w:t>Configuration B</w:t>
      </w:r>
      <w:r w:rsidR="00116835">
        <w:t xml:space="preserve"> (blue lid)</w:t>
      </w:r>
      <w:r>
        <w:t>: contains 150 mg sodium acetate, 0.15 mL hydrochloric acid and water for injections (6.4 mL volume) in a sterile 10 mL vial with a green flip off cap.</w:t>
      </w:r>
    </w:p>
    <w:p w14:paraId="2A9970DB" w14:textId="20770617" w:rsidR="003901F1" w:rsidRDefault="003901F1" w:rsidP="004F7DDA">
      <w:pPr>
        <w:pStyle w:val="FigureDescription"/>
      </w:pPr>
      <w:r>
        <w:t>White lid vial/Vial 3 (Sterile Vacuumed Vial): an evacuated sterile vial with white flip off cap used to collect Ga-68 chloride from generators or cyclotron</w:t>
      </w:r>
    </w:p>
    <w:p w14:paraId="7293A21C" w14:textId="651015D0" w:rsidR="00E55DFF" w:rsidRDefault="00E55DFF">
      <w:proofErr w:type="spellStart"/>
      <w:r>
        <w:t>Illuccix</w:t>
      </w:r>
      <w:proofErr w:type="spellEnd"/>
      <w:r>
        <w:t xml:space="preserve"> should be stored upright in the origin</w:t>
      </w:r>
      <w:r w:rsidR="00116835">
        <w:t xml:space="preserve">al packaging at 2 to </w:t>
      </w:r>
      <w:r>
        <w:t xml:space="preserve">8°C. Do not freeze. After reconstitution and </w:t>
      </w:r>
      <w:r w:rsidR="00116835">
        <w:t>radiolabelling</w:t>
      </w:r>
      <w:r>
        <w:t>, keep Ga-68 Glu-urea-Lys(</w:t>
      </w:r>
      <w:proofErr w:type="spellStart"/>
      <w:r>
        <w:t>ahx</w:t>
      </w:r>
      <w:proofErr w:type="spellEnd"/>
      <w:r>
        <w:t>)-</w:t>
      </w:r>
      <w:proofErr w:type="spellStart"/>
      <w:r>
        <w:t>hbed</w:t>
      </w:r>
      <w:proofErr w:type="spellEnd"/>
      <w:r>
        <w:t xml:space="preserve">-CC upright with appropriate shielding to protect from radiation at room temperature. </w:t>
      </w:r>
      <w:proofErr w:type="spellStart"/>
      <w:r>
        <w:t>Illuccix</w:t>
      </w:r>
      <w:proofErr w:type="spellEnd"/>
      <w:r>
        <w:t xml:space="preserve"> has a shelf</w:t>
      </w:r>
      <w:r>
        <w:noBreakHyphen/>
        <w:t>life of up to 12 months. The expiry date can be found on the packaging</w:t>
      </w:r>
    </w:p>
    <w:p w14:paraId="11315782" w14:textId="588614B8" w:rsidR="00E55DFF" w:rsidRDefault="00E55DFF">
      <w:r>
        <w:t xml:space="preserve">Use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 xml:space="preserve">-68 </w:t>
      </w:r>
      <w:r>
        <w:t>Glu-urea-Lys(</w:t>
      </w:r>
      <w:proofErr w:type="spellStart"/>
      <w:r>
        <w:t>ahx</w:t>
      </w:r>
      <w:proofErr w:type="spellEnd"/>
      <w:r>
        <w:t>)-</w:t>
      </w:r>
      <w:proofErr w:type="spellStart"/>
      <w:r>
        <w:t>hbed</w:t>
      </w:r>
      <w:proofErr w:type="spellEnd"/>
      <w:r>
        <w:t>-CC within 4 hours of preparation.</w:t>
      </w:r>
    </w:p>
    <w:p w14:paraId="1814BBC3" w14:textId="38D760A7" w:rsidR="00E55DFF" w:rsidRPr="00F74A2E" w:rsidRDefault="00E55DFF" w:rsidP="004F7DDA">
      <w:pPr>
        <w:pStyle w:val="Heading4"/>
      </w:pPr>
      <w:r>
        <w:lastRenderedPageBreak/>
        <w:t>Conclusions and recommendation</w:t>
      </w:r>
    </w:p>
    <w:p w14:paraId="0BDB0BB0" w14:textId="5E58CFAF" w:rsidR="00723F3C" w:rsidRPr="00723F3C" w:rsidRDefault="00723F3C" w:rsidP="00A643F1">
      <w:pPr>
        <w:rPr>
          <w:b/>
        </w:rPr>
      </w:pPr>
      <w:r w:rsidRPr="00723F3C">
        <w:t>Approval is recommended for registration of the proposed product from a pharmaceutical chemistry perspective.</w:t>
      </w:r>
    </w:p>
    <w:p w14:paraId="0944EB9E" w14:textId="1ECF26D5" w:rsidR="008E7846" w:rsidRDefault="008E7846" w:rsidP="008E7846">
      <w:pPr>
        <w:pStyle w:val="Heading3"/>
      </w:pPr>
      <w:bookmarkStart w:id="48" w:name="_Toc106373313"/>
      <w:r>
        <w:t>Nonclinical</w:t>
      </w:r>
      <w:bookmarkEnd w:id="47"/>
      <w:bookmarkEnd w:id="48"/>
    </w:p>
    <w:p w14:paraId="526322BA" w14:textId="77777777" w:rsidR="003901F1" w:rsidRDefault="00817BFF" w:rsidP="00817BFF">
      <w:r w:rsidRPr="00817BFF">
        <w:t>The nonclinical dossier was mostly literature based. The search strategy used to source the literature material was acceptable. Two sponsor led studies were submitted that complied with ICH guideline M3(R2) for nonclinical assessment of pharmaceuticals.</w:t>
      </w:r>
      <w:r w:rsidR="00D53703">
        <w:rPr>
          <w:rStyle w:val="FootnoteReference"/>
        </w:rPr>
        <w:footnoteReference w:id="35"/>
      </w:r>
      <w:r w:rsidRPr="00817BFF">
        <w:t xml:space="preserve"> As a </w:t>
      </w:r>
      <w:proofErr w:type="spellStart"/>
      <w:r w:rsidRPr="00817BFF">
        <w:t>microdose</w:t>
      </w:r>
      <w:proofErr w:type="spellEnd"/>
      <w:r w:rsidRPr="00817BFF">
        <w:t xml:space="preserve"> radiopharmaceutical, the non-clinical testing strategy considered recommendations outlined in </w:t>
      </w:r>
      <w:r w:rsidR="0027438C" w:rsidRPr="0027438C">
        <w:t>United States</w:t>
      </w:r>
      <w:r w:rsidR="0027438C">
        <w:t xml:space="preserve"> (US)</w:t>
      </w:r>
      <w:r w:rsidR="0027438C" w:rsidRPr="0027438C">
        <w:t xml:space="preserve"> Food and Drug Administration</w:t>
      </w:r>
      <w:r w:rsidR="0027438C">
        <w:t xml:space="preserve"> (</w:t>
      </w:r>
      <w:r w:rsidRPr="00817BFF">
        <w:t>FDA</w:t>
      </w:r>
      <w:r w:rsidR="0027438C">
        <w:t>)</w:t>
      </w:r>
      <w:r w:rsidRPr="00817BFF">
        <w:t xml:space="preserve"> guidance on </w:t>
      </w:r>
      <w:proofErr w:type="spellStart"/>
      <w:r w:rsidRPr="00817BFF">
        <w:t>microdose</w:t>
      </w:r>
      <w:proofErr w:type="spellEnd"/>
      <w:r w:rsidRPr="00817BFF">
        <w:t xml:space="preserve"> radiopharmaceutical diagnostic drugs</w:t>
      </w:r>
      <w:r>
        <w:t>,</w:t>
      </w:r>
      <w:r w:rsidRPr="00817BFF">
        <w:rPr>
          <w:vertAlign w:val="superscript"/>
        </w:rPr>
        <w:footnoteReference w:id="36"/>
      </w:r>
      <w:r w:rsidRPr="00817BFF">
        <w:t xml:space="preserve"> which is not adopted by the TGA but is nevertheless pertinent to the product type. The</w:t>
      </w:r>
      <w:r w:rsidR="0027438C">
        <w:t xml:space="preserve"> </w:t>
      </w:r>
      <w:r w:rsidRPr="00817BFF">
        <w:t>FDA guidance document includes the following background</w:t>
      </w:r>
      <w:r>
        <w:t>:</w:t>
      </w:r>
    </w:p>
    <w:p w14:paraId="5B87D483" w14:textId="1231D5CC" w:rsidR="00817BFF" w:rsidRPr="00817BFF" w:rsidRDefault="00817BFF" w:rsidP="00817BFF">
      <w:r>
        <w:t>‘</w:t>
      </w:r>
      <w:r w:rsidRPr="00817BFF">
        <w:rPr>
          <w:i/>
          <w:iCs/>
        </w:rPr>
        <w:t xml:space="preserve">For radiopharmaceutical diagnostic drugs, the </w:t>
      </w:r>
      <w:proofErr w:type="spellStart"/>
      <w:r w:rsidRPr="00817BFF">
        <w:rPr>
          <w:i/>
          <w:iCs/>
        </w:rPr>
        <w:t>microdose</w:t>
      </w:r>
      <w:proofErr w:type="spellEnd"/>
      <w:r w:rsidRPr="00817BFF">
        <w:rPr>
          <w:i/>
          <w:iCs/>
        </w:rPr>
        <w:t xml:space="preserve"> evaluated during early clinical trials does not differ significantly from the </w:t>
      </w:r>
      <w:proofErr w:type="spellStart"/>
      <w:r w:rsidRPr="00817BFF">
        <w:rPr>
          <w:i/>
          <w:iCs/>
        </w:rPr>
        <w:t>microdose</w:t>
      </w:r>
      <w:proofErr w:type="spellEnd"/>
      <w:r w:rsidRPr="00817BFF">
        <w:rPr>
          <w:i/>
          <w:iCs/>
        </w:rPr>
        <w:t xml:space="preserve"> intended for marketing approval and is less than or equal to 100 micrograms (µg). Because these diagnostic drugs are administered using a dose at the low end of the dose-response curve, dose-related adverse events are unlikely to occur. The Agency recommends that sponsors tailor the amount and type of nonclinical supporting data to account for the low potential for adverse events.’</w:t>
      </w:r>
    </w:p>
    <w:p w14:paraId="04F07E02" w14:textId="4AB4A3F0" w:rsidR="00817BFF" w:rsidRPr="00C519B8" w:rsidRDefault="00817BFF" w:rsidP="00817BFF">
      <w:pPr>
        <w:rPr>
          <w:kern w:val="2"/>
        </w:rPr>
      </w:pPr>
      <w:r w:rsidRPr="00C519B8">
        <w:rPr>
          <w:i/>
        </w:rPr>
        <w:t>In vitro</w:t>
      </w:r>
      <w:r w:rsidRPr="00C519B8">
        <w:t xml:space="preserve"> studies demonstrated nanomolar affinity of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 xml:space="preserve"> PSMA-11 </w:t>
      </w:r>
      <w:r w:rsidRPr="00C519B8">
        <w:t xml:space="preserve">for PSMA expressed by human prostate cancer cell lines. Binding was inhibited by </w:t>
      </w:r>
      <w:r>
        <w:t xml:space="preserve">the </w:t>
      </w:r>
      <w:r w:rsidRPr="00C519B8">
        <w:t xml:space="preserve">competitive inhibitor of PSMA, </w:t>
      </w:r>
      <w:r w:rsidR="0027438C" w:rsidRPr="0027438C">
        <w:t>2-</w:t>
      </w:r>
      <w:r w:rsidR="00D928D5">
        <w:t>(</w:t>
      </w:r>
      <w:proofErr w:type="spellStart"/>
      <w:r w:rsidR="0027438C">
        <w:t>p</w:t>
      </w:r>
      <w:r w:rsidR="0027438C" w:rsidRPr="0027438C">
        <w:t>hosphonomethyl</w:t>
      </w:r>
      <w:proofErr w:type="spellEnd"/>
      <w:r w:rsidR="00D928D5">
        <w:t xml:space="preserve">) </w:t>
      </w:r>
      <w:proofErr w:type="spellStart"/>
      <w:r w:rsidR="0027438C" w:rsidRPr="0027438C">
        <w:t>pentanedioic</w:t>
      </w:r>
      <w:proofErr w:type="spellEnd"/>
      <w:r w:rsidR="0027438C" w:rsidRPr="0027438C">
        <w:t xml:space="preserve"> acid </w:t>
      </w:r>
      <w:r w:rsidR="00D928D5">
        <w:t>(</w:t>
      </w:r>
      <w:r w:rsidRPr="00C519B8">
        <w:t>2-PMPA</w:t>
      </w:r>
      <w:r w:rsidR="00D928D5">
        <w:t>)</w:t>
      </w:r>
      <w:r w:rsidRPr="00C519B8">
        <w:t xml:space="preserve">. </w:t>
      </w:r>
      <w:r w:rsidRPr="00A86ACD">
        <w:rPr>
          <w:i/>
        </w:rPr>
        <w:t>In vivo</w:t>
      </w:r>
      <w:r w:rsidRPr="00C519B8">
        <w:t xml:space="preserve"> studies provided proof of principle demonstration and visualisation of tumour uptake of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 xml:space="preserve"> PSMA-11</w:t>
      </w:r>
      <w:r w:rsidRPr="00C519B8">
        <w:t xml:space="preserve"> in mice bearing tumours of the PSMA-positive prostate cancer cell line LNCaP.</w:t>
      </w:r>
      <w:r w:rsidR="003901F1">
        <w:rPr>
          <w:rStyle w:val="FootnoteReference"/>
        </w:rPr>
        <w:footnoteReference w:id="37"/>
      </w:r>
      <w:r w:rsidRPr="00C519B8">
        <w:t xml:space="preserve"> This uptake was inhibited by 2-PMPA.</w:t>
      </w:r>
    </w:p>
    <w:p w14:paraId="191ED318" w14:textId="48ED1B79" w:rsidR="00817BFF" w:rsidRPr="00C519B8" w:rsidRDefault="00817BFF" w:rsidP="00817BFF">
      <w:pPr>
        <w:rPr>
          <w:kern w:val="2"/>
        </w:rPr>
      </w:pPr>
      <w:r w:rsidRPr="00C519B8">
        <w:rPr>
          <w:kern w:val="2"/>
        </w:rPr>
        <w:t xml:space="preserve">Data on plasma kinetic characteristics of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 xml:space="preserve"> PSMA-11 </w:t>
      </w:r>
      <w:r w:rsidRPr="00C519B8">
        <w:t xml:space="preserve">were not </w:t>
      </w:r>
      <w:r>
        <w:t>available</w:t>
      </w:r>
      <w:r w:rsidRPr="00C519B8">
        <w:t xml:space="preserve"> in the literature. As an intravenous agent, bioavaila</w:t>
      </w:r>
      <w:r>
        <w:t xml:space="preserve">bility of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 xml:space="preserve"> PSMA-11 </w:t>
      </w:r>
      <w:r w:rsidRPr="00C519B8">
        <w:t xml:space="preserve">is assumed to be 100%. In mice, </w:t>
      </w:r>
      <w:r w:rsidR="00116835">
        <w:rPr>
          <w:rStyle w:val="style1"/>
          <w:rFonts w:cstheme="minorHAnsi"/>
          <w:iCs/>
        </w:rPr>
        <w:t>[</w:t>
      </w:r>
      <w:r w:rsidR="00116835">
        <w:rPr>
          <w:rStyle w:val="style1"/>
          <w:rFonts w:cstheme="minorHAnsi"/>
          <w:iCs/>
          <w:vertAlign w:val="superscript"/>
        </w:rPr>
        <w:t>68</w:t>
      </w:r>
      <w:r w:rsidR="00116835">
        <w:rPr>
          <w:rStyle w:val="style1"/>
          <w:rFonts w:cstheme="minorHAnsi"/>
          <w:iCs/>
        </w:rPr>
        <w:t xml:space="preserve">Ga] </w:t>
      </w:r>
      <w:r w:rsidR="00293AB9">
        <w:rPr>
          <w:rStyle w:val="style1"/>
          <w:rFonts w:cstheme="minorHAnsi"/>
          <w:iCs/>
        </w:rPr>
        <w:t>gallium</w:t>
      </w:r>
      <w:r w:rsidR="00116835">
        <w:rPr>
          <w:rStyle w:val="style1"/>
          <w:rFonts w:cstheme="minorHAnsi"/>
          <w:iCs/>
        </w:rPr>
        <w:t xml:space="preserve"> PSMA-11 </w:t>
      </w:r>
      <w:r w:rsidRPr="00C519B8">
        <w:t xml:space="preserve">showed high distribution in kidneys, spleen, and to a lesser degree the liver and lung. Similar patterns of tissue distribution were observed in patients.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w:t>
      </w:r>
      <w:r w:rsidRPr="00C519B8">
        <w:t xml:space="preserve"> is cleared from the blood in a biphasic manner (</w:t>
      </w:r>
      <w:r w:rsidR="00D928D5">
        <w:t>half</w:t>
      </w:r>
      <w:r w:rsidR="00E55DFF">
        <w:t>-</w:t>
      </w:r>
      <w:r w:rsidR="00D928D5">
        <w:t>life (</w:t>
      </w:r>
      <w:r w:rsidRPr="00C519B8">
        <w:t>t</w:t>
      </w:r>
      <w:r w:rsidRPr="00C519B8">
        <w:rPr>
          <w:vertAlign w:val="subscript"/>
        </w:rPr>
        <w:t>½</w:t>
      </w:r>
      <w:r w:rsidR="00D928D5">
        <w:t>):</w:t>
      </w:r>
      <w:r w:rsidRPr="00C519B8">
        <w:t xml:space="preserve"> 6.5</w:t>
      </w:r>
      <w:r w:rsidR="003901F1">
        <w:t> </w:t>
      </w:r>
      <w:r w:rsidRPr="00C519B8">
        <w:t>min</w:t>
      </w:r>
      <w:r w:rsidR="003901F1">
        <w:t>s</w:t>
      </w:r>
      <w:r w:rsidRPr="00C519B8">
        <w:t xml:space="preserve"> and 4.4 h</w:t>
      </w:r>
      <w:r w:rsidR="00D928D5">
        <w:t>our</w:t>
      </w:r>
      <w:r w:rsidRPr="00C519B8">
        <w:t xml:space="preserve">). </w:t>
      </w:r>
      <w:r w:rsidRPr="00C519B8">
        <w:rPr>
          <w:i/>
        </w:rPr>
        <w:t>In vitro</w:t>
      </w:r>
      <w:r w:rsidRPr="00C519B8">
        <w:t xml:space="preserve"> assessments using human serum, showed high stability of the chelate, with no observed loss of the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-68 </w:t>
      </w:r>
      <w:r w:rsidRPr="00C519B8">
        <w:t>radioisotope after long incubations at room temperature and at 37°C.</w:t>
      </w:r>
    </w:p>
    <w:p w14:paraId="4E94F451" w14:textId="55D78A9A" w:rsidR="00817BFF" w:rsidRPr="00C519B8" w:rsidRDefault="00817BFF" w:rsidP="00817BFF">
      <w:pPr>
        <w:rPr>
          <w:kern w:val="2"/>
        </w:rPr>
      </w:pPr>
      <w:r w:rsidRPr="00C519B8">
        <w:t xml:space="preserve">Specialised safety pharmacology studies were not conducted with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w:t>
      </w:r>
      <w:r w:rsidRPr="00C519B8">
        <w:t xml:space="preserve">, and no safety pharmacology data were identified in the literature. </w:t>
      </w:r>
      <w:r>
        <w:t>T</w:t>
      </w:r>
      <w:r w:rsidRPr="00C519B8">
        <w:t xml:space="preserve">he absence of organ system safety pharmacology studies is </w:t>
      </w:r>
      <w:r>
        <w:t>acceptable</w:t>
      </w:r>
      <w:r w:rsidRPr="00C519B8">
        <w:t xml:space="preserve"> </w:t>
      </w:r>
      <w:r>
        <w:t>given</w:t>
      </w:r>
      <w:r w:rsidRPr="00C519B8">
        <w:t xml:space="preserve"> the </w:t>
      </w:r>
      <w:proofErr w:type="spellStart"/>
      <w:r w:rsidRPr="00C519B8">
        <w:t>microdose</w:t>
      </w:r>
      <w:proofErr w:type="spellEnd"/>
      <w:r w:rsidRPr="00C519B8">
        <w:t xml:space="preserve"> level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Ga] </w:t>
      </w:r>
      <w:r w:rsidR="00293AB9">
        <w:rPr>
          <w:rStyle w:val="style1"/>
          <w:rFonts w:cstheme="minorHAnsi"/>
          <w:iCs/>
        </w:rPr>
        <w:t>gallium</w:t>
      </w:r>
      <w:r w:rsidR="00DA0504">
        <w:rPr>
          <w:rStyle w:val="style1"/>
          <w:rFonts w:cstheme="minorHAnsi"/>
          <w:iCs/>
        </w:rPr>
        <w:t xml:space="preserve"> PSMA-11</w:t>
      </w:r>
      <w:r w:rsidRPr="00C519B8">
        <w:t xml:space="preserve"> intended to be used clinically.</w:t>
      </w:r>
    </w:p>
    <w:p w14:paraId="436DB4E5" w14:textId="1F4AA711" w:rsidR="00817BFF" w:rsidRPr="00C519B8" w:rsidRDefault="00817BFF" w:rsidP="00817BFF">
      <w:pPr>
        <w:rPr>
          <w:kern w:val="2"/>
        </w:rPr>
      </w:pPr>
      <w:r w:rsidRPr="00C519B8">
        <w:rPr>
          <w:kern w:val="2"/>
        </w:rPr>
        <w:t xml:space="preserve">In a single dose toxicity study in Wistar rats, </w:t>
      </w:r>
      <w:r w:rsidRPr="00C519B8">
        <w:t>non-labelled PSMA-11 was not associated with any mortalities or adverse findings at a human equivalent dose (HED)</w:t>
      </w:r>
      <w:r>
        <w:t xml:space="preserve"> of 0.014</w:t>
      </w:r>
      <w:r w:rsidR="00D928D5">
        <w:t> </w:t>
      </w:r>
      <w:r>
        <w:t xml:space="preserve">mg/kg, </w:t>
      </w:r>
      <w:r w:rsidR="00D928D5">
        <w:t>intravenous (</w:t>
      </w:r>
      <w:r>
        <w:t>IV</w:t>
      </w:r>
      <w:r w:rsidR="00D928D5">
        <w:t>)</w:t>
      </w:r>
      <w:r>
        <w:t xml:space="preserve"> (based on </w:t>
      </w:r>
      <w:r w:rsidRPr="00C519B8">
        <w:t xml:space="preserve">60 kg adult; </w:t>
      </w:r>
      <w:r w:rsidR="00DA0504">
        <w:t>more than</w:t>
      </w:r>
      <w:r w:rsidR="00570181">
        <w:t> </w:t>
      </w:r>
      <w:r w:rsidRPr="00C519B8">
        <w:t>33</w:t>
      </w:r>
      <w:r w:rsidR="00DA0504">
        <w:t xml:space="preserve"> times</w:t>
      </w:r>
      <w:r w:rsidRPr="00C519B8">
        <w:t xml:space="preserve"> the proposed maximum dose of PSMA-11</w:t>
      </w:r>
      <w:r>
        <w:t xml:space="preserve"> of</w:t>
      </w:r>
      <w:r w:rsidRPr="00C519B8">
        <w:t xml:space="preserve"> 25 </w:t>
      </w:r>
      <w:proofErr w:type="spellStart"/>
      <w:r w:rsidRPr="00C519B8">
        <w:t>μg</w:t>
      </w:r>
      <w:proofErr w:type="spellEnd"/>
      <w:r w:rsidRPr="00C519B8">
        <w:t>).</w:t>
      </w:r>
      <w:r>
        <w:t xml:space="preserve"> There were no r</w:t>
      </w:r>
      <w:r w:rsidRPr="00C519B8">
        <w:rPr>
          <w:kern w:val="2"/>
        </w:rPr>
        <w:t>epeat dose toxicity studies</w:t>
      </w:r>
      <w:r>
        <w:rPr>
          <w:kern w:val="2"/>
        </w:rPr>
        <w:t>, which is acceptable given</w:t>
      </w:r>
      <w:r w:rsidRPr="00C519B8">
        <w:rPr>
          <w:kern w:val="2"/>
        </w:rPr>
        <w:t xml:space="preserve"> th</w:t>
      </w:r>
      <w:r>
        <w:rPr>
          <w:kern w:val="2"/>
        </w:rPr>
        <w:t>e proposed</w:t>
      </w:r>
      <w:r w:rsidRPr="00C519B8">
        <w:rPr>
          <w:kern w:val="2"/>
        </w:rPr>
        <w:t xml:space="preserve"> product is intended to be used on a single occasion for </w:t>
      </w:r>
      <w:proofErr w:type="spellStart"/>
      <w:r w:rsidRPr="00C519B8">
        <w:rPr>
          <w:kern w:val="2"/>
        </w:rPr>
        <w:t>radiodiagnostic</w:t>
      </w:r>
      <w:proofErr w:type="spellEnd"/>
      <w:r w:rsidRPr="00C519B8">
        <w:rPr>
          <w:kern w:val="2"/>
        </w:rPr>
        <w:t xml:space="preserve"> purposes.</w:t>
      </w:r>
    </w:p>
    <w:p w14:paraId="62C19D7D" w14:textId="4B43CF84" w:rsidR="00817BFF" w:rsidRPr="00C519B8" w:rsidRDefault="00817BFF" w:rsidP="00817BFF">
      <w:pPr>
        <w:rPr>
          <w:kern w:val="2"/>
        </w:rPr>
      </w:pPr>
      <w:r w:rsidRPr="00C519B8">
        <w:rPr>
          <w:kern w:val="2"/>
        </w:rPr>
        <w:lastRenderedPageBreak/>
        <w:t>The genotoxic and carcinogenic potential</w:t>
      </w:r>
      <w:r>
        <w:rPr>
          <w:kern w:val="2"/>
        </w:rPr>
        <w:t>s</w:t>
      </w:r>
      <w:r w:rsidRPr="00C519B8">
        <w:rPr>
          <w:kern w:val="2"/>
        </w:rPr>
        <w:t xml:space="preserve">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w:t>
      </w:r>
      <w:r w:rsidRPr="00C519B8">
        <w:rPr>
          <w:kern w:val="2"/>
        </w:rPr>
        <w:t xml:space="preserve"> have not been evaluated. As a product administered in </w:t>
      </w:r>
      <w:proofErr w:type="spellStart"/>
      <w:r w:rsidRPr="00C519B8">
        <w:rPr>
          <w:kern w:val="2"/>
        </w:rPr>
        <w:t>microdose</w:t>
      </w:r>
      <w:proofErr w:type="spellEnd"/>
      <w:r w:rsidRPr="00C519B8">
        <w:rPr>
          <w:kern w:val="2"/>
        </w:rPr>
        <w:t xml:space="preserve"> quantities, at single use exposures, this is acceptable. </w:t>
      </w:r>
      <w:r>
        <w:rPr>
          <w:kern w:val="2"/>
        </w:rPr>
        <w:t>Radiation risk is addressed as a precaution in the Product Information</w:t>
      </w:r>
      <w:r w:rsidR="00D928D5">
        <w:rPr>
          <w:kern w:val="2"/>
        </w:rPr>
        <w:t xml:space="preserve"> (PI)</w:t>
      </w:r>
      <w:r>
        <w:rPr>
          <w:kern w:val="2"/>
        </w:rPr>
        <w:t>.</w:t>
      </w:r>
    </w:p>
    <w:p w14:paraId="38C3BE9E" w14:textId="04F068A1" w:rsidR="00817BFF" w:rsidRPr="00C519B8" w:rsidRDefault="00817BFF" w:rsidP="00817BFF">
      <w:pPr>
        <w:rPr>
          <w:kern w:val="2"/>
        </w:rPr>
      </w:pPr>
      <w:r w:rsidRPr="00C519B8">
        <w:rPr>
          <w:kern w:val="2"/>
        </w:rPr>
        <w:t xml:space="preserve">Studies that assessed potential developmental and reproductive toxicity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Ga] </w:t>
      </w:r>
      <w:r w:rsidR="00293AB9">
        <w:rPr>
          <w:rStyle w:val="style1"/>
          <w:rFonts w:cstheme="minorHAnsi"/>
          <w:iCs/>
        </w:rPr>
        <w:t>gallium</w:t>
      </w:r>
      <w:r w:rsidR="00DA0504">
        <w:rPr>
          <w:rStyle w:val="style1"/>
          <w:rFonts w:cstheme="minorHAnsi"/>
          <w:iCs/>
        </w:rPr>
        <w:t xml:space="preserve"> PSMA-11 </w:t>
      </w:r>
      <w:r w:rsidRPr="00C519B8">
        <w:rPr>
          <w:kern w:val="2"/>
        </w:rPr>
        <w:t>were not conducted.</w:t>
      </w:r>
      <w:r>
        <w:rPr>
          <w:kern w:val="2"/>
        </w:rPr>
        <w:t xml:space="preserve"> </w:t>
      </w:r>
      <w:r w:rsidRPr="00C519B8">
        <w:rPr>
          <w:kern w:val="2"/>
        </w:rPr>
        <w:t xml:space="preserve">This is acceptable based on the already known developmental risks of </w:t>
      </w:r>
      <w:proofErr w:type="spellStart"/>
      <w:r w:rsidRPr="00C519B8">
        <w:rPr>
          <w:kern w:val="2"/>
        </w:rPr>
        <w:t>fetal</w:t>
      </w:r>
      <w:proofErr w:type="spellEnd"/>
      <w:r w:rsidRPr="00C519B8">
        <w:rPr>
          <w:kern w:val="2"/>
        </w:rPr>
        <w:t xml:space="preserve"> exposures to radiation and the </w:t>
      </w:r>
      <w:proofErr w:type="spellStart"/>
      <w:r w:rsidRPr="00C519B8">
        <w:rPr>
          <w:kern w:val="2"/>
        </w:rPr>
        <w:t>microdose</w:t>
      </w:r>
      <w:proofErr w:type="spellEnd"/>
      <w:r w:rsidRPr="00C519B8">
        <w:rPr>
          <w:kern w:val="2"/>
        </w:rPr>
        <w:t xml:space="preserve"> levels associated with the radiopharmaceutical.</w:t>
      </w:r>
    </w:p>
    <w:p w14:paraId="4874970E" w14:textId="3428A7EC" w:rsidR="00817BFF" w:rsidRPr="00C519B8" w:rsidRDefault="00817BFF" w:rsidP="00817BFF">
      <w:pPr>
        <w:rPr>
          <w:kern w:val="2"/>
        </w:rPr>
      </w:pPr>
      <w:r w:rsidRPr="00C519B8">
        <w:rPr>
          <w:kern w:val="2"/>
        </w:rPr>
        <w:t xml:space="preserve">A pregnancy category was not proposed for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w:t>
      </w:r>
      <w:r w:rsidRPr="00C519B8">
        <w:rPr>
          <w:kern w:val="2"/>
        </w:rPr>
        <w:t xml:space="preserve">, nor is one required, as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r w:rsidRPr="00C519B8">
        <w:rPr>
          <w:kern w:val="2"/>
        </w:rPr>
        <w:t xml:space="preserve">is a diagnostic agent </w:t>
      </w:r>
      <w:r>
        <w:rPr>
          <w:kern w:val="2"/>
        </w:rPr>
        <w:t xml:space="preserve">used at </w:t>
      </w:r>
      <w:proofErr w:type="spellStart"/>
      <w:r>
        <w:rPr>
          <w:kern w:val="2"/>
        </w:rPr>
        <w:t>microdose</w:t>
      </w:r>
      <w:proofErr w:type="spellEnd"/>
      <w:r>
        <w:rPr>
          <w:kern w:val="2"/>
        </w:rPr>
        <w:t xml:space="preserve"> levels </w:t>
      </w:r>
      <w:r w:rsidRPr="00C519B8">
        <w:rPr>
          <w:kern w:val="2"/>
        </w:rPr>
        <w:t>and is not indicated for use in female patients.</w:t>
      </w:r>
    </w:p>
    <w:p w14:paraId="3BD3BDE4" w14:textId="34321F86" w:rsidR="00817BFF" w:rsidRDefault="00817BFF" w:rsidP="00817BFF">
      <w:r>
        <w:t>C</w:t>
      </w:r>
      <w:r w:rsidRPr="00A80BEA">
        <w:t xml:space="preserve">omplexation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-68 </w:t>
      </w:r>
      <w:r w:rsidRPr="00A80BEA">
        <w:t>to HBED-CC</w:t>
      </w:r>
      <w:r w:rsidR="00DA0504">
        <w:t xml:space="preserve"> (PSMA-11)</w:t>
      </w:r>
      <w:r w:rsidRPr="00A80BEA">
        <w:t xml:space="preserve"> can form </w:t>
      </w:r>
      <w:r w:rsidR="00D928D5">
        <w:t>three</w:t>
      </w:r>
      <w:r w:rsidRPr="00A80BEA">
        <w:t xml:space="preserve"> different diastereomers (</w:t>
      </w:r>
      <w:proofErr w:type="gramStart"/>
      <w:r w:rsidRPr="00A80BEA">
        <w:rPr>
          <w:i/>
        </w:rPr>
        <w:t>R,S</w:t>
      </w:r>
      <w:proofErr w:type="gramEnd"/>
      <w:r>
        <w:t>;</w:t>
      </w:r>
      <w:r w:rsidRPr="00A80BEA">
        <w:t xml:space="preserve"> </w:t>
      </w:r>
      <w:r w:rsidRPr="00A80BEA">
        <w:rPr>
          <w:i/>
        </w:rPr>
        <w:t>S,S</w:t>
      </w:r>
      <w:r w:rsidRPr="00A80BEA">
        <w:t xml:space="preserve">; and </w:t>
      </w:r>
      <w:r w:rsidRPr="00A80BEA">
        <w:rPr>
          <w:i/>
        </w:rPr>
        <w:t>R,R</w:t>
      </w:r>
      <w:r w:rsidRPr="00A80BEA">
        <w:t xml:space="preserve">), with the </w:t>
      </w:r>
      <w:r w:rsidRPr="004F7DDA">
        <w:rPr>
          <w:i/>
        </w:rPr>
        <w:t>R,R</w:t>
      </w:r>
      <w:r w:rsidRPr="00A80BEA">
        <w:t xml:space="preserve"> configuration described as the most stable</w:t>
      </w:r>
      <w:r>
        <w:t>. The</w:t>
      </w:r>
      <w:r w:rsidRPr="00A80BEA">
        <w:t xml:space="preserve"> </w:t>
      </w:r>
      <w:proofErr w:type="gramStart"/>
      <w:r w:rsidRPr="004F7DDA">
        <w:rPr>
          <w:i/>
        </w:rPr>
        <w:t>R,S</w:t>
      </w:r>
      <w:proofErr w:type="gramEnd"/>
      <w:r w:rsidRPr="00A80BEA">
        <w:t xml:space="preserve"> and </w:t>
      </w:r>
      <w:r w:rsidRPr="004F7DDA">
        <w:rPr>
          <w:i/>
        </w:rPr>
        <w:t>S,S</w:t>
      </w:r>
      <w:r w:rsidRPr="00A80BEA">
        <w:t xml:space="preserve"> diastereomers </w:t>
      </w:r>
      <w:r>
        <w:t xml:space="preserve">formed more readily at room temperature </w:t>
      </w:r>
      <w:r w:rsidRPr="00A80BEA">
        <w:t xml:space="preserve">will interconvert to </w:t>
      </w:r>
      <w:r>
        <w:t xml:space="preserve">R,R </w:t>
      </w:r>
      <w:r w:rsidRPr="00A80BEA">
        <w:t xml:space="preserve">over time </w:t>
      </w:r>
      <w:r>
        <w:t xml:space="preserve">and be comparable at </w:t>
      </w:r>
      <w:r w:rsidR="00D928D5">
        <w:t>one</w:t>
      </w:r>
      <w:r>
        <w:t xml:space="preserve"> hour post-synthesis </w:t>
      </w:r>
      <w:r w:rsidRPr="00A80BEA">
        <w:t>(</w:t>
      </w:r>
      <w:r w:rsidRPr="00DB5F89">
        <w:t>Study ANMI-PG01-NC01</w:t>
      </w:r>
      <w:r w:rsidRPr="00A80BEA">
        <w:t xml:space="preserve">). Binding properties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-68 </w:t>
      </w:r>
      <w:r w:rsidRPr="00A80BEA">
        <w:t>were not found to be affected by the presence o</w:t>
      </w:r>
      <w:r>
        <w:t>f the less stable diastereomers.</w:t>
      </w:r>
    </w:p>
    <w:p w14:paraId="69E3F651" w14:textId="6F36E45A" w:rsidR="00E55DFF" w:rsidRDefault="00E55DFF" w:rsidP="004F7DDA">
      <w:pPr>
        <w:pStyle w:val="Heading4"/>
      </w:pPr>
      <w:r>
        <w:t>Conclusions and recommendation</w:t>
      </w:r>
    </w:p>
    <w:p w14:paraId="4528AA72" w14:textId="5F0BF638" w:rsidR="00817BFF" w:rsidRDefault="00817BFF" w:rsidP="00817BFF">
      <w:r w:rsidRPr="00C519B8">
        <w:t>There are no objections to registration</w:t>
      </w:r>
      <w:r w:rsidRPr="0060411F">
        <w:t xml:space="preserve"> </w:t>
      </w:r>
      <w:r>
        <w:t xml:space="preserve">of </w:t>
      </w:r>
      <w:proofErr w:type="spellStart"/>
      <w:r>
        <w:t>I</w:t>
      </w:r>
      <w:r w:rsidR="00D928D5">
        <w:t>lluccix</w:t>
      </w:r>
      <w:proofErr w:type="spellEnd"/>
      <w:r>
        <w:t xml:space="preserve"> from a </w:t>
      </w:r>
      <w:r w:rsidRPr="00C519B8">
        <w:t>nonclinical</w:t>
      </w:r>
      <w:r>
        <w:t xml:space="preserve"> perspective</w:t>
      </w:r>
      <w:r w:rsidRPr="00C519B8">
        <w:t>.</w:t>
      </w:r>
    </w:p>
    <w:p w14:paraId="2DEBCECE" w14:textId="7FBDD894" w:rsidR="00817BFF" w:rsidRDefault="00817BFF" w:rsidP="00817BFF">
      <w:r>
        <w:t xml:space="preserve">The recommended changes to the </w:t>
      </w:r>
      <w:r w:rsidR="00D928D5">
        <w:t>PI</w:t>
      </w:r>
      <w:r>
        <w:t xml:space="preserve"> have been incorporated in the latest version.</w:t>
      </w:r>
    </w:p>
    <w:p w14:paraId="50F84FCF" w14:textId="77777777" w:rsidR="008E7846" w:rsidRDefault="008E7846" w:rsidP="008E7846">
      <w:pPr>
        <w:pStyle w:val="Heading3"/>
      </w:pPr>
      <w:bookmarkStart w:id="49" w:name="_Toc247691530"/>
      <w:bookmarkStart w:id="50" w:name="_Toc314842513"/>
      <w:bookmarkStart w:id="51" w:name="_Toc106373314"/>
      <w:r>
        <w:t>Clinical</w:t>
      </w:r>
      <w:bookmarkEnd w:id="49"/>
      <w:bookmarkEnd w:id="50"/>
      <w:bookmarkEnd w:id="51"/>
    </w:p>
    <w:p w14:paraId="12F476CA" w14:textId="3B5ED6FA" w:rsidR="00817BFF" w:rsidRDefault="00817BFF" w:rsidP="00817BFF">
      <w:bookmarkStart w:id="52" w:name="_Toc314842514"/>
      <w:r>
        <w:t xml:space="preserve">This is a hybrid submission which includes studies of the </w:t>
      </w:r>
      <w:r w:rsidR="008A2443">
        <w:t>s</w:t>
      </w:r>
      <w:r>
        <w:t>ponsor’s product as well as published literature from a systematic literature search</w:t>
      </w:r>
      <w:r w:rsidRPr="009B23BA">
        <w:t xml:space="preserve"> </w:t>
      </w:r>
      <w:r>
        <w:t>approved by TGA. The clinical dossier included:</w:t>
      </w:r>
    </w:p>
    <w:p w14:paraId="477DE864" w14:textId="76A62026" w:rsidR="00817BFF" w:rsidRDefault="00817BFF" w:rsidP="008A2443">
      <w:pPr>
        <w:pStyle w:val="ListBullet"/>
        <w:rPr>
          <w:rFonts w:eastAsiaTheme="minorHAnsi"/>
          <w:bCs/>
        </w:rPr>
      </w:pPr>
      <w:r>
        <w:t xml:space="preserve">Clinical study reports from 4 studies evaluating the </w:t>
      </w:r>
      <w:r w:rsidR="008A2443">
        <w:t>s</w:t>
      </w:r>
      <w:r>
        <w:t>ponsor’s product:</w:t>
      </w:r>
    </w:p>
    <w:p w14:paraId="44492955" w14:textId="6542FAD6" w:rsidR="00817BFF" w:rsidRDefault="00817BFF" w:rsidP="008A2443">
      <w:pPr>
        <w:pStyle w:val="ListBullet2"/>
        <w:rPr>
          <w:rFonts w:eastAsiaTheme="minorHAnsi"/>
        </w:rPr>
      </w:pPr>
      <w:r>
        <w:t>Study BCR-RET-01</w:t>
      </w:r>
      <w:r w:rsidR="008A2443">
        <w:t>,</w:t>
      </w:r>
      <w:r>
        <w:t xml:space="preserve"> main efficacy and safety study</w:t>
      </w:r>
      <w:r>
        <w:rPr>
          <w:rFonts w:eastAsiaTheme="minorHAnsi"/>
        </w:rPr>
        <w:t>.</w:t>
      </w:r>
    </w:p>
    <w:p w14:paraId="45C37606" w14:textId="68CB95E9" w:rsidR="00817BFF" w:rsidRDefault="00817BFF" w:rsidP="008A2443">
      <w:pPr>
        <w:pStyle w:val="ListBullet2"/>
        <w:rPr>
          <w:rFonts w:eastAsiaTheme="minorHAnsi"/>
        </w:rPr>
      </w:pPr>
      <w:r>
        <w:rPr>
          <w:rFonts w:eastAsiaTheme="minorHAnsi"/>
        </w:rPr>
        <w:t>Study ANMI-PG01-C301</w:t>
      </w:r>
      <w:r w:rsidR="008A2443">
        <w:rPr>
          <w:rFonts w:eastAsiaTheme="minorHAnsi"/>
        </w:rPr>
        <w:t xml:space="preserve">, </w:t>
      </w:r>
      <w:r>
        <w:rPr>
          <w:rFonts w:eastAsiaTheme="minorHAnsi"/>
        </w:rPr>
        <w:t>supportive efficacy and safety study.</w:t>
      </w:r>
    </w:p>
    <w:p w14:paraId="76939D57" w14:textId="50445707" w:rsidR="00817BFF" w:rsidRDefault="00817BFF" w:rsidP="008A2443">
      <w:pPr>
        <w:pStyle w:val="ListBullet2"/>
        <w:rPr>
          <w:rFonts w:eastAsiaTheme="minorHAnsi"/>
        </w:rPr>
      </w:pPr>
      <w:r>
        <w:t>Study PSMA-617-01 (</w:t>
      </w:r>
      <w:proofErr w:type="spellStart"/>
      <w:r>
        <w:t>Endocyte</w:t>
      </w:r>
      <w:proofErr w:type="spellEnd"/>
      <w:r>
        <w:t xml:space="preserve"> VISION Trial)</w:t>
      </w:r>
      <w:r w:rsidR="008A2443">
        <w:t>,</w:t>
      </w:r>
      <w:r>
        <w:t xml:space="preserve"> included for safety data only.</w:t>
      </w:r>
    </w:p>
    <w:p w14:paraId="180818A8" w14:textId="01F014D3" w:rsidR="00817BFF" w:rsidRDefault="00817BFF" w:rsidP="008A2443">
      <w:pPr>
        <w:pStyle w:val="ListBullet2"/>
        <w:rPr>
          <w:rFonts w:eastAsiaTheme="minorHAnsi"/>
        </w:rPr>
      </w:pPr>
      <w:r>
        <w:rPr>
          <w:rFonts w:eastAsiaTheme="minorHAnsi"/>
        </w:rPr>
        <w:t>Study GA68PSMA-2016-1</w:t>
      </w:r>
      <w:r w:rsidR="000B38FD">
        <w:rPr>
          <w:rFonts w:eastAsiaTheme="minorHAnsi"/>
        </w:rPr>
        <w:t xml:space="preserve">, </w:t>
      </w:r>
      <w:r>
        <w:rPr>
          <w:rFonts w:eastAsiaTheme="minorHAnsi"/>
        </w:rPr>
        <w:t xml:space="preserve">biodistribution and </w:t>
      </w:r>
      <w:r w:rsidR="006C3938">
        <w:rPr>
          <w:rFonts w:eastAsiaTheme="minorHAnsi"/>
        </w:rPr>
        <w:t xml:space="preserve">pharmacokinetic </w:t>
      </w:r>
      <w:r>
        <w:rPr>
          <w:rFonts w:eastAsiaTheme="minorHAnsi"/>
        </w:rPr>
        <w:t xml:space="preserve">study in </w:t>
      </w:r>
      <w:r w:rsidR="000B38FD">
        <w:rPr>
          <w:rFonts w:eastAsiaTheme="minorHAnsi"/>
        </w:rPr>
        <w:t>three</w:t>
      </w:r>
      <w:r>
        <w:rPr>
          <w:rFonts w:eastAsiaTheme="minorHAnsi"/>
        </w:rPr>
        <w:t xml:space="preserve"> healthy volunteers.</w:t>
      </w:r>
    </w:p>
    <w:p w14:paraId="09A696DD" w14:textId="725B9E84" w:rsidR="00817BFF" w:rsidRPr="00DB5F89" w:rsidRDefault="00817BFF" w:rsidP="008A2443">
      <w:pPr>
        <w:pStyle w:val="ListBullet"/>
        <w:rPr>
          <w:rFonts w:eastAsiaTheme="minorHAnsi"/>
          <w:bCs/>
        </w:rPr>
      </w:pPr>
      <w:r w:rsidRPr="00DB5F89">
        <w:rPr>
          <w:rFonts w:eastAsiaTheme="minorHAnsi"/>
          <w:bCs/>
        </w:rPr>
        <w:t>Biopharmaceutic study report (</w:t>
      </w:r>
      <w:r w:rsidR="000B38FD">
        <w:rPr>
          <w:rFonts w:eastAsiaTheme="minorHAnsi"/>
          <w:bCs/>
        </w:rPr>
        <w:t xml:space="preserve">Study </w:t>
      </w:r>
      <w:r w:rsidRPr="00DB5F89">
        <w:rPr>
          <w:rFonts w:eastAsiaTheme="minorHAnsi"/>
          <w:bCs/>
        </w:rPr>
        <w:t>ANMI-PG01-NC01)</w:t>
      </w:r>
      <w:r w:rsidRPr="00DB5F89">
        <w:t xml:space="preserve"> investigating </w:t>
      </w:r>
      <w:r w:rsidRPr="00DB5F89">
        <w:rPr>
          <w:i/>
        </w:rPr>
        <w:t>in vitro</w:t>
      </w:r>
      <w:r w:rsidRPr="00DB5F89">
        <w:t xml:space="preserve"> cellular binding and internalisation using two different preparations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Ga] </w:t>
      </w:r>
      <w:r w:rsidR="00293AB9">
        <w:rPr>
          <w:rStyle w:val="style1"/>
          <w:rFonts w:cstheme="minorHAnsi"/>
          <w:iCs/>
        </w:rPr>
        <w:t>gallium</w:t>
      </w:r>
      <w:r w:rsidR="00DA0504">
        <w:rPr>
          <w:rStyle w:val="style1"/>
          <w:rFonts w:cstheme="minorHAnsi"/>
          <w:iCs/>
        </w:rPr>
        <w:t> PSMA</w:t>
      </w:r>
      <w:r w:rsidR="00DA0504">
        <w:rPr>
          <w:rStyle w:val="style1"/>
          <w:rFonts w:cstheme="minorHAnsi"/>
          <w:iCs/>
        </w:rPr>
        <w:noBreakHyphen/>
        <w:t xml:space="preserve">11 </w:t>
      </w:r>
      <w:r w:rsidRPr="00DB5F89">
        <w:t xml:space="preserve">(one using the </w:t>
      </w:r>
      <w:proofErr w:type="spellStart"/>
      <w:r w:rsidRPr="00DB5F89">
        <w:t>Telix</w:t>
      </w:r>
      <w:proofErr w:type="spellEnd"/>
      <w:r w:rsidRPr="00DB5F89">
        <w:t xml:space="preserve"> (</w:t>
      </w:r>
      <w:proofErr w:type="spellStart"/>
      <w:r w:rsidRPr="00DB5F89">
        <w:t>A</w:t>
      </w:r>
      <w:r w:rsidR="000B38FD">
        <w:t>nmi</w:t>
      </w:r>
      <w:proofErr w:type="spellEnd"/>
      <w:r w:rsidR="00A7208C">
        <w:t>)</w:t>
      </w:r>
      <w:r w:rsidRPr="00DB5F89">
        <w:t xml:space="preserve"> </w:t>
      </w:r>
      <w:r w:rsidR="000B38FD">
        <w:t>k</w:t>
      </w:r>
      <w:r w:rsidRPr="00DB5F89">
        <w:t>it and one using the synthesiser method).</w:t>
      </w:r>
    </w:p>
    <w:p w14:paraId="56F647BE" w14:textId="74094D59" w:rsidR="00817BFF" w:rsidRDefault="00817BFF" w:rsidP="008A2443">
      <w:pPr>
        <w:pStyle w:val="ListBullet"/>
      </w:pPr>
      <w:r>
        <w:t xml:space="preserve">Integrated </w:t>
      </w:r>
      <w:r w:rsidR="00A7208C">
        <w:t>s</w:t>
      </w:r>
      <w:r>
        <w:t xml:space="preserve">ummary of </w:t>
      </w:r>
      <w:r w:rsidR="00A7208C">
        <w:t>e</w:t>
      </w:r>
      <w:r>
        <w:t>fficacy</w:t>
      </w:r>
      <w:r w:rsidR="008A2443">
        <w:t xml:space="preserve">, </w:t>
      </w:r>
      <w:r>
        <w:t>this provides details from the literature review and meta-analysis</w:t>
      </w:r>
    </w:p>
    <w:p w14:paraId="412B2B5A" w14:textId="01087C14" w:rsidR="00817BFF" w:rsidRDefault="00817BFF" w:rsidP="008A2443">
      <w:pPr>
        <w:pStyle w:val="ListBullet"/>
      </w:pPr>
      <w:r>
        <w:t>Clinical literature search</w:t>
      </w:r>
      <w:r w:rsidR="008A2443">
        <w:t>,</w:t>
      </w:r>
      <w:r>
        <w:t xml:space="preserve"> this describes part of the literature search methodology</w:t>
      </w:r>
    </w:p>
    <w:p w14:paraId="302AE1AE" w14:textId="3FDD332E" w:rsidR="00817BFF" w:rsidRDefault="00817BFF" w:rsidP="008A2443">
      <w:pPr>
        <w:pStyle w:val="ListBullet"/>
      </w:pPr>
      <w:r>
        <w:t xml:space="preserve">Approximately 140 literature references. In </w:t>
      </w:r>
      <w:proofErr w:type="gramStart"/>
      <w:r>
        <w:t>all of</w:t>
      </w:r>
      <w:proofErr w:type="gramEnd"/>
      <w:r>
        <w:t xml:space="preserve"> the cited articles, the</w:t>
      </w:r>
      <w:r w:rsidR="00DA0504">
        <w:t xml:space="preserve">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Ga] </w:t>
      </w:r>
      <w:r w:rsidR="00293AB9">
        <w:rPr>
          <w:rStyle w:val="style1"/>
          <w:rFonts w:cstheme="minorHAnsi"/>
          <w:iCs/>
        </w:rPr>
        <w:t>gallium</w:t>
      </w:r>
      <w:r w:rsidR="00DA0504">
        <w:rPr>
          <w:rStyle w:val="style1"/>
          <w:rFonts w:cstheme="minorHAnsi"/>
          <w:iCs/>
        </w:rPr>
        <w:t xml:space="preserve"> PSMA-11 </w:t>
      </w:r>
      <w:r>
        <w:t>solution for injection was prepared using manual methods or semi-automated synthesiser methods.</w:t>
      </w:r>
    </w:p>
    <w:p w14:paraId="78209CB6" w14:textId="77777777" w:rsidR="00817BFF" w:rsidRDefault="00817BFF">
      <w:pPr>
        <w:pStyle w:val="Heading4"/>
      </w:pPr>
      <w:r w:rsidRPr="0032733B">
        <w:t>Pharmacology</w:t>
      </w:r>
    </w:p>
    <w:p w14:paraId="1628DD6B" w14:textId="5636C64A" w:rsidR="00817BFF" w:rsidRDefault="00817BFF" w:rsidP="008A2443">
      <w:pPr>
        <w:rPr>
          <w:lang w:val="en-US"/>
        </w:rPr>
      </w:pPr>
      <w:r>
        <w:rPr>
          <w:lang w:eastAsia="ja-JP"/>
        </w:rPr>
        <w:t xml:space="preserve">Information on the clinical pharmacology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r>
        <w:rPr>
          <w:lang w:eastAsia="ja-JP"/>
        </w:rPr>
        <w:t xml:space="preserve">was largely derived from published literature. In addition, </w:t>
      </w:r>
      <w:r>
        <w:rPr>
          <w:lang w:val="en-US"/>
        </w:rPr>
        <w:t>Study Ga</w:t>
      </w:r>
      <w:r w:rsidR="0032733B">
        <w:rPr>
          <w:lang w:val="en-US"/>
        </w:rPr>
        <w:t>-</w:t>
      </w:r>
      <w:r>
        <w:rPr>
          <w:lang w:val="en-US"/>
        </w:rPr>
        <w:t xml:space="preserve">68PSMA-2016-1 evaluated the </w:t>
      </w:r>
      <w:r w:rsidR="00A7208C">
        <w:rPr>
          <w:lang w:val="en-US"/>
        </w:rPr>
        <w:lastRenderedPageBreak/>
        <w:t>pharmacokinetics (</w:t>
      </w:r>
      <w:r>
        <w:rPr>
          <w:lang w:val="en-US"/>
        </w:rPr>
        <w:t>PK</w:t>
      </w:r>
      <w:r w:rsidR="00A7208C">
        <w:rPr>
          <w:lang w:val="en-US"/>
        </w:rPr>
        <w:t>)</w:t>
      </w:r>
      <w:r>
        <w:rPr>
          <w:lang w:val="en-US"/>
        </w:rPr>
        <w:t xml:space="preserve"> profile, dosimetry, and biodistribution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r>
        <w:rPr>
          <w:lang w:val="en-US"/>
        </w:rPr>
        <w:t xml:space="preserve">prepared using the </w:t>
      </w:r>
      <w:r w:rsidR="00A7208C">
        <w:rPr>
          <w:lang w:val="en-US"/>
        </w:rPr>
        <w:t>s</w:t>
      </w:r>
      <w:r>
        <w:rPr>
          <w:lang w:val="en-US"/>
        </w:rPr>
        <w:t xml:space="preserve">ponsor’s </w:t>
      </w:r>
      <w:r w:rsidR="00A7208C">
        <w:rPr>
          <w:lang w:val="en-US"/>
        </w:rPr>
        <w:t>k</w:t>
      </w:r>
      <w:r>
        <w:rPr>
          <w:lang w:val="en-US"/>
        </w:rPr>
        <w:t xml:space="preserve">it compared to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r>
        <w:rPr>
          <w:lang w:val="en-US"/>
        </w:rPr>
        <w:t xml:space="preserve">prepared by a </w:t>
      </w:r>
      <w:proofErr w:type="spellStart"/>
      <w:r>
        <w:rPr>
          <w:lang w:val="en-US"/>
        </w:rPr>
        <w:t>synthesiser</w:t>
      </w:r>
      <w:proofErr w:type="spellEnd"/>
      <w:r>
        <w:rPr>
          <w:lang w:val="en-US"/>
        </w:rPr>
        <w:t>.</w:t>
      </w:r>
    </w:p>
    <w:p w14:paraId="38C3098B" w14:textId="5E7BB06B" w:rsidR="00817BFF" w:rsidRPr="00B87A2A" w:rsidRDefault="00DA0504" w:rsidP="008A2443">
      <w:pPr>
        <w:rPr>
          <w:rFonts w:asciiTheme="minorHAnsi" w:hAnsiTheme="minorHAnsi" w:cs="Calibri"/>
        </w:rPr>
      </w:pP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817BFF">
        <w:rPr>
          <w:lang w:eastAsia="ja-JP"/>
        </w:rPr>
        <w:t xml:space="preserve">is administered as an </w:t>
      </w:r>
      <w:r w:rsidR="00A7208C">
        <w:rPr>
          <w:lang w:eastAsia="ja-JP"/>
        </w:rPr>
        <w:t>IV</w:t>
      </w:r>
      <w:r w:rsidR="00817BFF">
        <w:rPr>
          <w:lang w:eastAsia="ja-JP"/>
        </w:rPr>
        <w:t xml:space="preserve"> injection. </w:t>
      </w:r>
      <w:r w:rsidR="00817BFF" w:rsidRPr="00B87A2A">
        <w:rPr>
          <w:rFonts w:asciiTheme="minorHAnsi" w:hAnsiTheme="minorHAnsi" w:cs="Calibri"/>
        </w:rPr>
        <w:t>As with other radiopharmaceuticals</w:t>
      </w:r>
      <w:r w:rsidR="00817BFF" w:rsidRPr="008E6B0E">
        <w:rPr>
          <w:rFonts w:asciiTheme="minorHAnsi" w:hAnsiTheme="minorHAnsi" w:cs="Calibri"/>
        </w:rPr>
        <w:t xml:space="preserve"> </w:t>
      </w:r>
      <w:r w:rsidR="00817BFF" w:rsidRPr="00B87A2A">
        <w:rPr>
          <w:rFonts w:asciiTheme="minorHAnsi" w:hAnsiTheme="minorHAnsi" w:cs="Calibri"/>
        </w:rPr>
        <w:t xml:space="preserve">administered </w:t>
      </w:r>
      <w:r w:rsidR="00817BFF">
        <w:rPr>
          <w:rFonts w:asciiTheme="minorHAnsi" w:hAnsiTheme="minorHAnsi" w:cs="Calibri"/>
        </w:rPr>
        <w:t xml:space="preserve">as a </w:t>
      </w:r>
      <w:proofErr w:type="spellStart"/>
      <w:r w:rsidR="00817BFF" w:rsidRPr="00B87A2A">
        <w:rPr>
          <w:rFonts w:asciiTheme="minorHAnsi" w:hAnsiTheme="minorHAnsi" w:cs="Calibri"/>
        </w:rPr>
        <w:t>microdose</w:t>
      </w:r>
      <w:proofErr w:type="spellEnd"/>
      <w:r w:rsidR="00817BFF" w:rsidRPr="00B87A2A">
        <w:rPr>
          <w:rFonts w:asciiTheme="minorHAnsi" w:hAnsiTheme="minorHAnsi" w:cs="Calibri"/>
        </w:rPr>
        <w:t xml:space="preserve">, conventional </w:t>
      </w:r>
      <w:r w:rsidR="00817BFF">
        <w:rPr>
          <w:rFonts w:asciiTheme="minorHAnsi" w:hAnsiTheme="minorHAnsi" w:cs="Calibri"/>
        </w:rPr>
        <w:t>PK</w:t>
      </w:r>
      <w:r w:rsidR="00817BFF" w:rsidRPr="00B87A2A">
        <w:rPr>
          <w:rFonts w:asciiTheme="minorHAnsi" w:hAnsiTheme="minorHAnsi" w:cs="Calibri"/>
        </w:rPr>
        <w:t xml:space="preserve"> </w:t>
      </w:r>
      <w:r w:rsidR="00817BFF">
        <w:rPr>
          <w:rFonts w:asciiTheme="minorHAnsi" w:hAnsiTheme="minorHAnsi" w:cs="Calibri"/>
        </w:rPr>
        <w:t>analyses</w:t>
      </w:r>
      <w:r w:rsidR="00817BFF" w:rsidRPr="00B87A2A">
        <w:rPr>
          <w:rFonts w:asciiTheme="minorHAnsi" w:hAnsiTheme="minorHAnsi" w:cs="Calibri"/>
        </w:rPr>
        <w:t xml:space="preserve"> are not applicable.</w:t>
      </w:r>
    </w:p>
    <w:p w14:paraId="2D51F1C3" w14:textId="785E8827" w:rsidR="00817BFF" w:rsidRDefault="00817BFF" w:rsidP="008A2443">
      <w:pPr>
        <w:pStyle w:val="Heading5"/>
      </w:pPr>
      <w:r>
        <w:t xml:space="preserve">Biodistribution of </w:t>
      </w:r>
      <w:r w:rsidR="00B4668B">
        <w:t xml:space="preserve">PMSA-11 </w:t>
      </w:r>
      <w:r>
        <w:t>activity</w:t>
      </w:r>
    </w:p>
    <w:p w14:paraId="3BB49EA1" w14:textId="39EC8E0C" w:rsidR="00817BFF" w:rsidRDefault="00817BFF" w:rsidP="00817BFF">
      <w:proofErr w:type="spellStart"/>
      <w:r>
        <w:t>Sandgren</w:t>
      </w:r>
      <w:proofErr w:type="spellEnd"/>
      <w:r>
        <w:t xml:space="preserve"> et al</w:t>
      </w:r>
      <w:r w:rsidR="00DA0504">
        <w:t>.</w:t>
      </w:r>
      <w:r>
        <w:t xml:space="preserve"> </w:t>
      </w:r>
      <w:r w:rsidR="00DE10A8">
        <w:t>(</w:t>
      </w:r>
      <w:r>
        <w:t>2019</w:t>
      </w:r>
      <w:r w:rsidR="00DE10A8">
        <w:t>)</w:t>
      </w:r>
      <w:r w:rsidR="008A2443">
        <w:t>;</w:t>
      </w:r>
      <w:bookmarkStart w:id="53" w:name="_Ref104554654"/>
      <w:r>
        <w:rPr>
          <w:rStyle w:val="FootnoteReference"/>
        </w:rPr>
        <w:footnoteReference w:id="38"/>
      </w:r>
      <w:bookmarkEnd w:id="53"/>
      <w:r w:rsidRPr="004879EC">
        <w:t xml:space="preserve"> investigated biodistribution in </w:t>
      </w:r>
      <w:r>
        <w:t>six</w:t>
      </w:r>
      <w:r w:rsidRPr="004879EC">
        <w:t xml:space="preserve"> patients with </w:t>
      </w:r>
      <w:proofErr w:type="gramStart"/>
      <w:r>
        <w:t>low</w:t>
      </w:r>
      <w:r w:rsidR="008A2443">
        <w:t xml:space="preserve"> </w:t>
      </w:r>
      <w:r>
        <w:t>risk</w:t>
      </w:r>
      <w:proofErr w:type="gramEnd"/>
      <w:r>
        <w:t xml:space="preserve"> </w:t>
      </w:r>
      <w:r w:rsidRPr="004879EC">
        <w:t>prostate cancer who received 133</w:t>
      </w:r>
      <w:r w:rsidR="0032733B">
        <w:t xml:space="preserve"> to</w:t>
      </w:r>
      <w:r w:rsidRPr="004879EC">
        <w:t xml:space="preserve">178 </w:t>
      </w:r>
      <w:r w:rsidR="0032733B">
        <w:t>megab</w:t>
      </w:r>
      <w:r w:rsidR="0032733B" w:rsidRPr="0032733B">
        <w:t xml:space="preserve">ecquerel </w:t>
      </w:r>
      <w:r w:rsidR="0032733B">
        <w:t>(</w:t>
      </w:r>
      <w:r w:rsidRPr="004879EC">
        <w:t>MBq</w:t>
      </w:r>
      <w:r w:rsidR="0032733B">
        <w:t>)</w:t>
      </w:r>
      <w:r w:rsidRPr="004879EC">
        <w:t xml:space="preserve">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r>
        <w:t>by i</w:t>
      </w:r>
      <w:r>
        <w:rPr>
          <w:lang w:eastAsia="ja-JP"/>
        </w:rPr>
        <w:t xml:space="preserve">ntravenous injection </w:t>
      </w:r>
      <w:r w:rsidR="00A7208C">
        <w:rPr>
          <w:lang w:eastAsia="ja-JP"/>
        </w:rPr>
        <w:t>(</w:t>
      </w:r>
      <w:r w:rsidR="00DA0504">
        <w:rPr>
          <w:lang w:eastAsia="ja-JP"/>
        </w:rPr>
        <w:t xml:space="preserve">see </w:t>
      </w:r>
      <w:r w:rsidR="00A7208C">
        <w:rPr>
          <w:lang w:eastAsia="ja-JP"/>
        </w:rPr>
        <w:fldChar w:fldCharType="begin"/>
      </w:r>
      <w:r w:rsidR="00A7208C">
        <w:rPr>
          <w:lang w:eastAsia="ja-JP"/>
        </w:rPr>
        <w:instrText xml:space="preserve"> REF _Ref103690322 \h </w:instrText>
      </w:r>
      <w:r w:rsidR="00A7208C">
        <w:rPr>
          <w:lang w:eastAsia="ja-JP"/>
        </w:rPr>
      </w:r>
      <w:r w:rsidR="00A7208C">
        <w:rPr>
          <w:lang w:eastAsia="ja-JP"/>
        </w:rPr>
        <w:fldChar w:fldCharType="separate"/>
      </w:r>
      <w:r w:rsidR="00036995" w:rsidRPr="008A2443">
        <w:t xml:space="preserve">Figure </w:t>
      </w:r>
      <w:r w:rsidR="00036995">
        <w:rPr>
          <w:noProof/>
        </w:rPr>
        <w:t>2</w:t>
      </w:r>
      <w:r w:rsidR="00A7208C">
        <w:rPr>
          <w:lang w:eastAsia="ja-JP"/>
        </w:rPr>
        <w:fldChar w:fldCharType="end"/>
      </w:r>
      <w:r>
        <w:rPr>
          <w:lang w:eastAsia="ja-JP"/>
        </w:rPr>
        <w:t xml:space="preserve">).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r>
        <w:t xml:space="preserve">was rapidly cleared from the blood </w:t>
      </w:r>
      <w:r>
        <w:rPr>
          <w:lang w:eastAsia="ja-JP"/>
        </w:rPr>
        <w:t>and accumulated preferentially in the liver (15%), kidneys (7%), spleen (2%), and salivary glands (0.5%).</w:t>
      </w:r>
      <w:r>
        <w:t xml:space="preserve"> </w:t>
      </w:r>
      <w:r w:rsidRPr="004879EC">
        <w:t xml:space="preserve">The blood activity showed a bi-exponential behaviour, containing a fast component with a </w:t>
      </w:r>
      <w:r w:rsidR="00A7208C">
        <w:t>t</w:t>
      </w:r>
      <w:r w:rsidR="00A7208C" w:rsidRPr="00A7208C">
        <w:rPr>
          <w:vertAlign w:val="subscript"/>
        </w:rPr>
        <w:t>1/2</w:t>
      </w:r>
      <w:r w:rsidR="00A7208C">
        <w:t xml:space="preserve"> of </w:t>
      </w:r>
      <w:r w:rsidRPr="004879EC">
        <w:t>6.5</w:t>
      </w:r>
      <w:r w:rsidR="008A2443">
        <w:t xml:space="preserve"> </w:t>
      </w:r>
      <w:r w:rsidRPr="004879EC">
        <w:t>min</w:t>
      </w:r>
      <w:r>
        <w:t>ute</w:t>
      </w:r>
      <w:r w:rsidR="0032733B">
        <w:t>s</w:t>
      </w:r>
      <w:r w:rsidRPr="004879EC">
        <w:t xml:space="preserve">, </w:t>
      </w:r>
      <w:r w:rsidR="0032733B">
        <w:t>followed by a</w:t>
      </w:r>
      <w:r w:rsidRPr="004879EC">
        <w:t xml:space="preserve"> slow</w:t>
      </w:r>
      <w:r w:rsidR="0032733B">
        <w:t xml:space="preserve"> component</w:t>
      </w:r>
      <w:r w:rsidRPr="004879EC">
        <w:t xml:space="preserve"> </w:t>
      </w:r>
      <w:r w:rsidR="0032733B">
        <w:t>t</w:t>
      </w:r>
      <w:r w:rsidR="0032733B">
        <w:rPr>
          <w:vertAlign w:val="subscript"/>
        </w:rPr>
        <w:t>1/2</w:t>
      </w:r>
      <w:r w:rsidR="0032733B">
        <w:t xml:space="preserve"> of </w:t>
      </w:r>
      <w:r w:rsidRPr="004879EC">
        <w:t>4.4</w:t>
      </w:r>
      <w:r w:rsidR="008A2443">
        <w:t xml:space="preserve"> </w:t>
      </w:r>
      <w:r w:rsidRPr="004879EC">
        <w:t>h</w:t>
      </w:r>
      <w:r>
        <w:t>our</w:t>
      </w:r>
      <w:r w:rsidR="0032733B">
        <w:t>s</w:t>
      </w:r>
      <w:r w:rsidRPr="004879EC">
        <w:t>, though</w:t>
      </w:r>
      <w:r>
        <w:t>t</w:t>
      </w:r>
      <w:r w:rsidRPr="004879EC">
        <w:t xml:space="preserve"> to represent biological clearance from blood.</w:t>
      </w:r>
    </w:p>
    <w:p w14:paraId="7B528600" w14:textId="5C9B3678" w:rsidR="008A2443" w:rsidRDefault="008A2443" w:rsidP="008A2443">
      <w:pPr>
        <w:pStyle w:val="FigureTitle"/>
      </w:pPr>
      <w:bookmarkStart w:id="54" w:name="_Ref103690322"/>
      <w:r w:rsidRPr="008A2443">
        <w:t xml:space="preserve">Figure </w:t>
      </w:r>
      <w:fldSimple w:instr=" SEQ Figure \* ARABIC ">
        <w:r w:rsidR="00036995">
          <w:rPr>
            <w:noProof/>
          </w:rPr>
          <w:t>2</w:t>
        </w:r>
      </w:fldSimple>
      <w:bookmarkEnd w:id="54"/>
      <w:r w:rsidRPr="008A2443">
        <w:t>:</w:t>
      </w:r>
      <w:r>
        <w:t xml:space="preserve"> </w:t>
      </w:r>
      <w:proofErr w:type="spellStart"/>
      <w:r w:rsidR="00DA0504">
        <w:t>Sandgren</w:t>
      </w:r>
      <w:proofErr w:type="spellEnd"/>
      <w:r w:rsidR="00863216" w:rsidRPr="00863216">
        <w:t xml:space="preserve"> et al. </w:t>
      </w:r>
      <w:r w:rsidR="00863216">
        <w:t xml:space="preserve">(2019) </w:t>
      </w:r>
      <w:r w:rsidRPr="000F3274">
        <w:t xml:space="preserve">Median activity concentration of the </w:t>
      </w:r>
      <w:r w:rsidR="0001050C">
        <w:t>six</w:t>
      </w:r>
      <w:r w:rsidRPr="000F3274">
        <w:t xml:space="preserve"> participants expressed as percent injected activity for a selection of organs</w:t>
      </w:r>
    </w:p>
    <w:p w14:paraId="3709EDCC" w14:textId="2FB215F5" w:rsidR="00817BFF" w:rsidRDefault="008A2443" w:rsidP="00817BFF">
      <w:r>
        <w:rPr>
          <w:noProof/>
          <w:lang w:val="en-GB" w:eastAsia="en-GB"/>
        </w:rPr>
        <w:drawing>
          <wp:inline distT="0" distB="0" distL="0" distR="0" wp14:anchorId="53067BC0" wp14:editId="31B66918">
            <wp:extent cx="5462124" cy="3732452"/>
            <wp:effectExtent l="0" t="0" r="5715" b="1905"/>
            <wp:docPr id="28" name="Picture 28" descr="Sandgren K, et al. (2019) Median activity concentration of the six participants expressed as percent injected activity for a selection of organs. The blood activity showed a bi-exponential behaviour, containing a fast component with a t1/2 of 6.5 minutes, followed by a slow component t1/2 of 4.4 hours, thought to represent biological clearance from blood." title="Sandgren K, et al. (2019) Median activity concentration of the six participants expressed as percent injected activity for a selection of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edian activity concentration of the six participants expressed as percent injected activity for a selection of organs"/>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76074" cy="3741984"/>
                    </a:xfrm>
                    <a:prstGeom prst="rect">
                      <a:avLst/>
                    </a:prstGeom>
                    <a:ln>
                      <a:noFill/>
                    </a:ln>
                    <a:extLst>
                      <a:ext uri="{53640926-AAD7-44D8-BBD7-CCE9431645EC}">
                        <a14:shadowObscured xmlns:a14="http://schemas.microsoft.com/office/drawing/2010/main"/>
                      </a:ext>
                    </a:extLst>
                  </pic:spPr>
                </pic:pic>
              </a:graphicData>
            </a:graphic>
          </wp:inline>
        </w:drawing>
      </w:r>
    </w:p>
    <w:p w14:paraId="5FD64D85" w14:textId="0446903A" w:rsidR="00863216" w:rsidRDefault="00DA0504" w:rsidP="00DE10A8">
      <w:pPr>
        <w:pStyle w:val="FigureDescription"/>
      </w:pPr>
      <w:r>
        <w:t xml:space="preserve">Abbreviations: </w:t>
      </w:r>
      <w:r w:rsidR="00863216">
        <w:t>%IA = Percentage injected activity; h = hours</w:t>
      </w:r>
    </w:p>
    <w:p w14:paraId="0AE03EEB" w14:textId="147ED59A" w:rsidR="00171D90" w:rsidRDefault="00863216" w:rsidP="00DE10A8">
      <w:pPr>
        <w:pStyle w:val="FigureDescription"/>
      </w:pPr>
      <w:r w:rsidRPr="00863216">
        <w:t xml:space="preserve">Organ activity uptake at different time points post-injection of </w:t>
      </w:r>
      <w:r w:rsidR="00DA0504" w:rsidRPr="00DA0504">
        <w:t>[</w:t>
      </w:r>
      <w:r w:rsidR="00DA0504" w:rsidRPr="004F7DDA">
        <w:rPr>
          <w:vertAlign w:val="superscript"/>
        </w:rPr>
        <w:t>68</w:t>
      </w:r>
      <w:r w:rsidR="00DA0504" w:rsidRPr="00DA0504">
        <w:t xml:space="preserve">Ga] </w:t>
      </w:r>
      <w:r w:rsidR="00293AB9">
        <w:t>gallium</w:t>
      </w:r>
      <w:r w:rsidR="00DA0504" w:rsidRPr="00DA0504">
        <w:t xml:space="preserve"> PSMA-11 </w:t>
      </w:r>
      <w:r>
        <w:t>and their fitted curves</w:t>
      </w:r>
      <w:r w:rsidRPr="00863216">
        <w:t>. The fitted blood curve w</w:t>
      </w:r>
      <w:r>
        <w:t>as calculated on pooled normalis</w:t>
      </w:r>
      <w:r w:rsidRPr="00863216">
        <w:t>ed data and forced through the point 100% at time zero.</w:t>
      </w:r>
      <w:r>
        <w:t xml:space="preserve"> </w:t>
      </w:r>
      <w:r w:rsidR="00171D90">
        <w:t>The median activity concentration of the six participants expressed in percent injected activity (%IA) for a selection of organs. The fitted bi</w:t>
      </w:r>
      <w:r>
        <w:t>-</w:t>
      </w:r>
      <w:r w:rsidR="00171D90">
        <w:t>exponential or mono exponential functions used can be seen in each graph.</w:t>
      </w:r>
    </w:p>
    <w:p w14:paraId="5E0137C3" w14:textId="317B9E81" w:rsidR="00DE10A8" w:rsidRDefault="00DE10A8" w:rsidP="00DE10A8">
      <w:pPr>
        <w:pStyle w:val="FigureDescription"/>
      </w:pPr>
      <w:r>
        <w:t xml:space="preserve">Source: </w:t>
      </w:r>
      <w:proofErr w:type="spellStart"/>
      <w:r w:rsidR="00863216" w:rsidRPr="00863216">
        <w:t>Sandgren</w:t>
      </w:r>
      <w:proofErr w:type="spellEnd"/>
      <w:r w:rsidR="00863216" w:rsidRPr="00863216">
        <w:t xml:space="preserve"> K, et al. Radiation dosimetry of [68Ga]</w:t>
      </w:r>
      <w:r w:rsidR="00DA0504">
        <w:t xml:space="preserve"> </w:t>
      </w:r>
      <w:r w:rsidR="00863216" w:rsidRPr="00863216">
        <w:t>PSMA-11 in low-risk prostate cancer patients. EJNMMI Phys. 2019 Jan;6(1):2</w:t>
      </w:r>
    </w:p>
    <w:p w14:paraId="1DD3B7FD" w14:textId="02852E9D" w:rsidR="008A2443" w:rsidRDefault="008A2443" w:rsidP="008A2443">
      <w:pPr>
        <w:rPr>
          <w:rFonts w:cs="Segoe UI"/>
          <w:shd w:val="clear" w:color="auto" w:fill="FFFFFF"/>
        </w:rPr>
      </w:pPr>
      <w:r w:rsidRPr="00A65B03">
        <w:lastRenderedPageBreak/>
        <w:t>In a 2013 study by Afshar-</w:t>
      </w:r>
      <w:proofErr w:type="spellStart"/>
      <w:r w:rsidRPr="00A65B03">
        <w:t>Oromieh</w:t>
      </w:r>
      <w:proofErr w:type="spellEnd"/>
      <w:r w:rsidRPr="00A65B03">
        <w:t xml:space="preserve"> et al</w:t>
      </w:r>
      <w:r w:rsidR="00DE10A8">
        <w:t>;</w:t>
      </w:r>
      <w:bookmarkStart w:id="55" w:name="_Ref103690582"/>
      <w:r w:rsidRPr="00A65B03">
        <w:rPr>
          <w:rStyle w:val="FootnoteReference"/>
        </w:rPr>
        <w:footnoteReference w:id="39"/>
      </w:r>
      <w:bookmarkEnd w:id="55"/>
      <w:r w:rsidRPr="00A65B03">
        <w:t xml:space="preserve">, </w:t>
      </w:r>
      <w:r w:rsidRPr="00A65B03">
        <w:rPr>
          <w:lang w:val="en-US"/>
        </w:rPr>
        <w:t xml:space="preserve">37 patients with prostate cancer and rising PSA levels underwent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r w:rsidRPr="00A65B03">
        <w:rPr>
          <w:lang w:val="en-US"/>
        </w:rPr>
        <w:t>PET/CT one hour and three hours post-injection of a median dose of 121 MBq of Ga</w:t>
      </w:r>
      <w:r>
        <w:rPr>
          <w:lang w:val="en-US"/>
        </w:rPr>
        <w:t>-</w:t>
      </w:r>
      <w:r w:rsidRPr="00A65B03">
        <w:rPr>
          <w:lang w:val="en-US"/>
        </w:rPr>
        <w:t xml:space="preserve">68 PSMA-11. </w:t>
      </w:r>
      <w:r>
        <w:rPr>
          <w:lang w:val="en-US"/>
        </w:rPr>
        <w:t xml:space="preserve">Mean and maximum </w:t>
      </w:r>
      <w:proofErr w:type="spellStart"/>
      <w:r w:rsidRPr="000A6E7D">
        <w:rPr>
          <w:szCs w:val="19"/>
          <w:lang w:val="en-US"/>
        </w:rPr>
        <w:t>standardised</w:t>
      </w:r>
      <w:proofErr w:type="spellEnd"/>
      <w:r w:rsidRPr="000A6E7D">
        <w:rPr>
          <w:szCs w:val="19"/>
          <w:lang w:val="en-US"/>
        </w:rPr>
        <w:t xml:space="preserve"> uptake values (</w:t>
      </w:r>
      <w:proofErr w:type="spellStart"/>
      <w:r w:rsidRPr="000A6E7D">
        <w:rPr>
          <w:szCs w:val="19"/>
          <w:lang w:val="en-US"/>
        </w:rPr>
        <w:t>SUV</w:t>
      </w:r>
      <w:r w:rsidRPr="00A7208C">
        <w:rPr>
          <w:szCs w:val="19"/>
          <w:vertAlign w:val="subscript"/>
          <w:lang w:val="en-US"/>
        </w:rPr>
        <w:t>mean</w:t>
      </w:r>
      <w:proofErr w:type="spellEnd"/>
      <w:r w:rsidRPr="000A6E7D">
        <w:rPr>
          <w:szCs w:val="19"/>
          <w:lang w:val="en-US"/>
        </w:rPr>
        <w:t>/</w:t>
      </w:r>
      <w:proofErr w:type="spellStart"/>
      <w:r w:rsidRPr="000A6E7D">
        <w:rPr>
          <w:szCs w:val="19"/>
          <w:lang w:val="en-US"/>
        </w:rPr>
        <w:t>SUV</w:t>
      </w:r>
      <w:r w:rsidRPr="00A7208C">
        <w:rPr>
          <w:szCs w:val="19"/>
          <w:vertAlign w:val="subscript"/>
          <w:lang w:val="en-US"/>
        </w:rPr>
        <w:t>max</w:t>
      </w:r>
      <w:proofErr w:type="spellEnd"/>
      <w:r w:rsidRPr="000A6E7D">
        <w:rPr>
          <w:szCs w:val="19"/>
          <w:lang w:val="en-US"/>
        </w:rPr>
        <w:t xml:space="preserve">) for different organs and </w:t>
      </w:r>
      <w:proofErr w:type="spellStart"/>
      <w:r w:rsidRPr="000A6E7D">
        <w:rPr>
          <w:szCs w:val="19"/>
          <w:lang w:val="en-US"/>
        </w:rPr>
        <w:t>tumour</w:t>
      </w:r>
      <w:proofErr w:type="spellEnd"/>
      <w:r w:rsidRPr="000A6E7D">
        <w:rPr>
          <w:szCs w:val="19"/>
          <w:lang w:val="en-US"/>
        </w:rPr>
        <w:t xml:space="preserve"> lesions </w:t>
      </w:r>
      <w:r>
        <w:rPr>
          <w:szCs w:val="19"/>
          <w:lang w:val="en-US"/>
        </w:rPr>
        <w:t xml:space="preserve">were calculated </w:t>
      </w:r>
      <w:r w:rsidRPr="000A6E7D">
        <w:rPr>
          <w:szCs w:val="19"/>
          <w:lang w:val="en-US"/>
        </w:rPr>
        <w:t>at 1 and 3 hours post injection</w:t>
      </w:r>
      <w:r>
        <w:rPr>
          <w:szCs w:val="19"/>
          <w:lang w:val="en-US"/>
        </w:rPr>
        <w:t xml:space="preserve"> (</w:t>
      </w:r>
      <w:r w:rsidR="00863216">
        <w:rPr>
          <w:szCs w:val="19"/>
          <w:lang w:val="en-US"/>
        </w:rPr>
        <w:t xml:space="preserve">see </w:t>
      </w:r>
      <w:r w:rsidR="00A7208C">
        <w:rPr>
          <w:szCs w:val="19"/>
          <w:lang w:val="en-US"/>
        </w:rPr>
        <w:fldChar w:fldCharType="begin"/>
      </w:r>
      <w:r w:rsidR="00A7208C">
        <w:rPr>
          <w:szCs w:val="19"/>
          <w:lang w:val="en-US"/>
        </w:rPr>
        <w:instrText xml:space="preserve"> REF _Ref103690444 \h </w:instrText>
      </w:r>
      <w:r w:rsidR="00A7208C">
        <w:rPr>
          <w:szCs w:val="19"/>
          <w:lang w:val="en-US"/>
        </w:rPr>
      </w:r>
      <w:r w:rsidR="00A7208C">
        <w:rPr>
          <w:szCs w:val="19"/>
          <w:lang w:val="en-US"/>
        </w:rPr>
        <w:fldChar w:fldCharType="separate"/>
      </w:r>
      <w:r w:rsidR="00036995" w:rsidRPr="008A2443">
        <w:t xml:space="preserve">Figure </w:t>
      </w:r>
      <w:r w:rsidR="00036995">
        <w:rPr>
          <w:noProof/>
        </w:rPr>
        <w:t>3</w:t>
      </w:r>
      <w:r w:rsidR="00A7208C">
        <w:rPr>
          <w:szCs w:val="19"/>
          <w:lang w:val="en-US"/>
        </w:rPr>
        <w:fldChar w:fldCharType="end"/>
      </w:r>
      <w:r w:rsidR="00A7208C">
        <w:rPr>
          <w:szCs w:val="19"/>
          <w:lang w:val="en-US"/>
        </w:rPr>
        <w:t>)</w:t>
      </w:r>
      <w:r>
        <w:rPr>
          <w:szCs w:val="19"/>
          <w:lang w:val="en-US"/>
        </w:rPr>
        <w:t>.</w:t>
      </w:r>
      <w:r w:rsidRPr="00A65B03">
        <w:rPr>
          <w:rFonts w:cs="AdvTT3713a231"/>
          <w:lang w:val="en-US"/>
        </w:rPr>
        <w:t xml:space="preserve"> The authors concluded that </w:t>
      </w:r>
      <w:r w:rsidR="00A7208C">
        <w:rPr>
          <w:rFonts w:cs="AdvTT3713a231"/>
          <w:lang w:val="en-US"/>
        </w:rPr>
        <w:t>‘</w:t>
      </w:r>
      <w:r w:rsidRPr="00A7208C">
        <w:rPr>
          <w:rFonts w:cs="Segoe UI"/>
          <w:i/>
          <w:iCs/>
          <w:shd w:val="clear" w:color="auto" w:fill="FFFFFF"/>
        </w:rPr>
        <w:t>Within healthy organs, kidneys and salivary glands demonstrated the highest radiotracer uptake. Lesions suspicious for prostate carcinoma presented with excellent contrast as early as 1 h post-injection with high detection rates even at low PSA levels.</w:t>
      </w:r>
      <w:r w:rsidR="00A7208C">
        <w:rPr>
          <w:rFonts w:cs="Segoe UI"/>
          <w:shd w:val="clear" w:color="auto" w:fill="FFFFFF"/>
        </w:rPr>
        <w:t>’</w:t>
      </w:r>
    </w:p>
    <w:p w14:paraId="369DD6C5" w14:textId="25433473" w:rsidR="00B4668B" w:rsidRDefault="008A2443" w:rsidP="004F7DDA">
      <w:pPr>
        <w:pStyle w:val="FigureTitle"/>
        <w:rPr>
          <w:noProof/>
          <w:lang w:val="en-GB" w:eastAsia="en-GB"/>
        </w:rPr>
      </w:pPr>
      <w:bookmarkStart w:id="56" w:name="_Ref103690444"/>
      <w:r w:rsidRPr="008A2443">
        <w:t xml:space="preserve">Figure </w:t>
      </w:r>
      <w:fldSimple w:instr=" SEQ Figure \* ARABIC ">
        <w:r w:rsidR="00036995">
          <w:rPr>
            <w:noProof/>
          </w:rPr>
          <w:t>3</w:t>
        </w:r>
      </w:fldSimple>
      <w:bookmarkEnd w:id="56"/>
      <w:r w:rsidR="00A7208C" w:rsidRPr="00A65B03">
        <w:rPr>
          <w:lang w:val="en-US"/>
        </w:rPr>
        <w:t xml:space="preserve">. </w:t>
      </w:r>
      <w:r w:rsidR="00863216" w:rsidRPr="00A65B03">
        <w:t>Afshar-</w:t>
      </w:r>
      <w:proofErr w:type="spellStart"/>
      <w:r w:rsidR="00863216" w:rsidRPr="00A65B03">
        <w:t>Oromieh</w:t>
      </w:r>
      <w:proofErr w:type="spellEnd"/>
      <w:r w:rsidR="00863216" w:rsidRPr="00A65B03">
        <w:t xml:space="preserve"> et al</w:t>
      </w:r>
      <w:r w:rsidR="00863216">
        <w:t xml:space="preserve"> (2013); </w:t>
      </w:r>
      <w:r w:rsidR="00A7208C">
        <w:rPr>
          <w:lang w:val="en-US"/>
        </w:rPr>
        <w:t xml:space="preserve">Mean and maximum </w:t>
      </w:r>
      <w:proofErr w:type="spellStart"/>
      <w:r w:rsidR="00A7208C" w:rsidRPr="000A6E7D">
        <w:rPr>
          <w:szCs w:val="19"/>
          <w:lang w:val="en-US"/>
        </w:rPr>
        <w:t>standardised</w:t>
      </w:r>
      <w:proofErr w:type="spellEnd"/>
      <w:r w:rsidR="00A7208C" w:rsidRPr="000A6E7D">
        <w:rPr>
          <w:szCs w:val="19"/>
          <w:lang w:val="en-US"/>
        </w:rPr>
        <w:t xml:space="preserve"> uptake values</w:t>
      </w:r>
      <w:r w:rsidR="00A7208C" w:rsidRPr="000A6E7D">
        <w:rPr>
          <w:lang w:val="en-US"/>
        </w:rPr>
        <w:t xml:space="preserve"> </w:t>
      </w:r>
      <w:r w:rsidRPr="000A6E7D">
        <w:rPr>
          <w:lang w:val="en-US"/>
        </w:rPr>
        <w:t xml:space="preserve">at </w:t>
      </w:r>
      <w:proofErr w:type="gramStart"/>
      <w:r w:rsidRPr="000A6E7D">
        <w:rPr>
          <w:lang w:val="en-US"/>
        </w:rPr>
        <w:t>1 and 3 hours</w:t>
      </w:r>
      <w:proofErr w:type="gramEnd"/>
      <w:r w:rsidRPr="000A6E7D">
        <w:rPr>
          <w:lang w:val="en-US"/>
        </w:rPr>
        <w:t xml:space="preserve"> pos</w:t>
      </w:r>
      <w:r w:rsidR="00DA0504">
        <w:rPr>
          <w:lang w:val="en-US"/>
        </w:rPr>
        <w:t>t</w:t>
      </w:r>
      <w:r w:rsidR="00863216">
        <w:rPr>
          <w:lang w:val="en-US"/>
        </w:rPr>
        <w:t>-</w:t>
      </w:r>
      <w:r w:rsidRPr="000A6E7D">
        <w:rPr>
          <w:lang w:val="en-US"/>
        </w:rPr>
        <w:t xml:space="preserve">injection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p>
    <w:p w14:paraId="4041CD8F" w14:textId="6E39B33B" w:rsidR="0023337D" w:rsidRPr="004F7DDA" w:rsidRDefault="008A2443" w:rsidP="008A2443">
      <w:pPr>
        <w:rPr>
          <w:lang w:eastAsia="ja-JP"/>
        </w:rPr>
      </w:pPr>
      <w:r>
        <w:rPr>
          <w:noProof/>
          <w:lang w:val="en-GB" w:eastAsia="en-GB"/>
        </w:rPr>
        <w:drawing>
          <wp:inline distT="0" distB="0" distL="0" distR="0" wp14:anchorId="205759B3" wp14:editId="4B27EC11">
            <wp:extent cx="5429250" cy="3519682"/>
            <wp:effectExtent l="0" t="0" r="0" b="5080"/>
            <wp:docPr id="29" name="Picture 29" descr="Mean and maximum standardised uptake values at 1 and 3 hours post injection of 68Ga PSMA-11"/>
            <wp:cNvGraphicFramePr/>
            <a:graphic xmlns:a="http://schemas.openxmlformats.org/drawingml/2006/main">
              <a:graphicData uri="http://schemas.openxmlformats.org/drawingml/2006/picture">
                <pic:pic xmlns:pic="http://schemas.openxmlformats.org/drawingml/2006/picture">
                  <pic:nvPicPr>
                    <pic:cNvPr id="29" name="Picture 29" descr="Mean and maximum standardised uptake values at 1 and 3 hours post injection of 68Ga PSMA-11"/>
                    <pic:cNvPicPr/>
                  </pic:nvPicPr>
                  <pic:blipFill rotWithShape="1">
                    <a:blip r:embed="rId16"/>
                    <a:srcRect t="7447" r="51476"/>
                    <a:stretch/>
                  </pic:blipFill>
                  <pic:spPr bwMode="auto">
                    <a:xfrm>
                      <a:off x="0" y="0"/>
                      <a:ext cx="5519711" cy="3578326"/>
                    </a:xfrm>
                    <a:prstGeom prst="rect">
                      <a:avLst/>
                    </a:prstGeom>
                    <a:ln>
                      <a:noFill/>
                    </a:ln>
                    <a:extLst>
                      <a:ext uri="{53640926-AAD7-44D8-BBD7-CCE9431645EC}">
                        <a14:shadowObscured xmlns:a14="http://schemas.microsoft.com/office/drawing/2010/main"/>
                      </a:ext>
                    </a:extLst>
                  </pic:spPr>
                </pic:pic>
              </a:graphicData>
            </a:graphic>
          </wp:inline>
        </w:drawing>
      </w:r>
    </w:p>
    <w:p w14:paraId="455B2313" w14:textId="7803AE47" w:rsidR="0023337D" w:rsidRDefault="0023337D" w:rsidP="008A2443">
      <w:pPr>
        <w:rPr>
          <w:lang w:eastAsia="ja-JP"/>
        </w:rPr>
      </w:pPr>
      <w:r>
        <w:rPr>
          <w:noProof/>
          <w:lang w:val="en-GB" w:eastAsia="en-GB"/>
        </w:rPr>
        <w:lastRenderedPageBreak/>
        <w:drawing>
          <wp:inline distT="0" distB="0" distL="0" distR="0" wp14:anchorId="416425E0" wp14:editId="46F654CA">
            <wp:extent cx="5486400" cy="3276156"/>
            <wp:effectExtent l="0" t="0" r="0" b="635"/>
            <wp:docPr id="11" name="Picture 11" descr="Mean and maximum standardised uptake values at 1 and 3 hours post injection of 68Ga PSMA-11"/>
            <wp:cNvGraphicFramePr/>
            <a:graphic xmlns:a="http://schemas.openxmlformats.org/drawingml/2006/main">
              <a:graphicData uri="http://schemas.openxmlformats.org/drawingml/2006/picture">
                <pic:pic xmlns:pic="http://schemas.openxmlformats.org/drawingml/2006/picture">
                  <pic:nvPicPr>
                    <pic:cNvPr id="29" name="Picture 29" descr="Mean and maximum standardised uptake values at 1 and 3 hours post injection of 68Ga PSMA-11"/>
                    <pic:cNvPicPr/>
                  </pic:nvPicPr>
                  <pic:blipFill rotWithShape="1">
                    <a:blip r:embed="rId16"/>
                    <a:srcRect l="49311" t="7179" r="1300"/>
                    <a:stretch/>
                  </pic:blipFill>
                  <pic:spPr bwMode="auto">
                    <a:xfrm>
                      <a:off x="0" y="0"/>
                      <a:ext cx="5612644" cy="3351541"/>
                    </a:xfrm>
                    <a:prstGeom prst="rect">
                      <a:avLst/>
                    </a:prstGeom>
                    <a:ln>
                      <a:noFill/>
                    </a:ln>
                    <a:extLst>
                      <a:ext uri="{53640926-AAD7-44D8-BBD7-CCE9431645EC}">
                        <a14:shadowObscured xmlns:a14="http://schemas.microsoft.com/office/drawing/2010/main"/>
                      </a:ext>
                    </a:extLst>
                  </pic:spPr>
                </pic:pic>
              </a:graphicData>
            </a:graphic>
          </wp:inline>
        </w:drawing>
      </w:r>
    </w:p>
    <w:p w14:paraId="51D8006D" w14:textId="73E91005" w:rsidR="00B4668B" w:rsidRDefault="00B4668B" w:rsidP="003C45E7">
      <w:pPr>
        <w:pStyle w:val="FigureDescription"/>
        <w:rPr>
          <w:lang w:eastAsia="ja-JP"/>
        </w:rPr>
      </w:pPr>
      <w:r>
        <w:rPr>
          <w:lang w:eastAsia="ja-JP"/>
        </w:rPr>
        <w:t xml:space="preserve">Abbreviations: </w:t>
      </w:r>
      <w:proofErr w:type="spellStart"/>
      <w:r>
        <w:rPr>
          <w:lang w:eastAsia="ja-JP"/>
        </w:rPr>
        <w:t>gl</w:t>
      </w:r>
      <w:proofErr w:type="spellEnd"/>
      <w:r>
        <w:rPr>
          <w:lang w:eastAsia="ja-JP"/>
        </w:rPr>
        <w:t xml:space="preserve"> = gland; h = hours; </w:t>
      </w:r>
      <w:proofErr w:type="spellStart"/>
      <w:r>
        <w:rPr>
          <w:lang w:eastAsia="ja-JP"/>
        </w:rPr>
        <w:t>p.i.</w:t>
      </w:r>
      <w:proofErr w:type="spellEnd"/>
      <w:r>
        <w:rPr>
          <w:lang w:eastAsia="ja-JP"/>
        </w:rPr>
        <w:t xml:space="preserve"> = post-injection; SUV = standardised uptake values.</w:t>
      </w:r>
    </w:p>
    <w:p w14:paraId="5149DDFE" w14:textId="3AE5299F" w:rsidR="00A7208C" w:rsidRDefault="00A7208C" w:rsidP="00A7208C">
      <w:pPr>
        <w:pStyle w:val="FigureDescription"/>
        <w:rPr>
          <w:lang w:eastAsia="ja-JP"/>
        </w:rPr>
      </w:pPr>
      <w:r>
        <w:rPr>
          <w:lang w:eastAsia="ja-JP"/>
        </w:rPr>
        <w:t xml:space="preserve">Source: </w:t>
      </w:r>
      <w:r w:rsidR="0023337D" w:rsidRPr="0023337D">
        <w:t xml:space="preserve"> Afshar-</w:t>
      </w:r>
      <w:proofErr w:type="spellStart"/>
      <w:r w:rsidR="0023337D" w:rsidRPr="0023337D">
        <w:t>Oromieh</w:t>
      </w:r>
      <w:proofErr w:type="spellEnd"/>
      <w:r w:rsidR="0023337D" w:rsidRPr="0023337D">
        <w:t xml:space="preserve">, A., </w:t>
      </w:r>
      <w:proofErr w:type="spellStart"/>
      <w:r w:rsidR="0023337D" w:rsidRPr="0023337D">
        <w:t>Malcher</w:t>
      </w:r>
      <w:proofErr w:type="spellEnd"/>
      <w:r w:rsidR="0023337D" w:rsidRPr="0023337D">
        <w:t>, A., Eder, M. et al. PET imaging with a [68</w:t>
      </w:r>
      <w:proofErr w:type="gramStart"/>
      <w:r w:rsidR="0023337D" w:rsidRPr="0023337D">
        <w:t>Ga]gallium</w:t>
      </w:r>
      <w:proofErr w:type="gramEnd"/>
      <w:r w:rsidR="0023337D" w:rsidRPr="0023337D">
        <w:t xml:space="preserve">-labelled PSMA ligand for the diagnosis of prostate cancer: biodistribution in humans and first evaluation of tumour lesions. </w:t>
      </w:r>
      <w:r w:rsidR="0023337D" w:rsidRPr="004F7DDA">
        <w:rPr>
          <w:i/>
        </w:rPr>
        <w:t xml:space="preserve">Eur J </w:t>
      </w:r>
      <w:proofErr w:type="spellStart"/>
      <w:r w:rsidR="0023337D" w:rsidRPr="004F7DDA">
        <w:rPr>
          <w:i/>
        </w:rPr>
        <w:t>Nucl</w:t>
      </w:r>
      <w:proofErr w:type="spellEnd"/>
      <w:r w:rsidR="0023337D" w:rsidRPr="004F7DDA">
        <w:rPr>
          <w:i/>
        </w:rPr>
        <w:t xml:space="preserve"> Med Mol Imaging</w:t>
      </w:r>
      <w:r w:rsidR="0023337D" w:rsidRPr="0023337D">
        <w:t xml:space="preserve"> 40, 486–495 (2013).</w:t>
      </w:r>
    </w:p>
    <w:p w14:paraId="167BA436" w14:textId="4401AC8E" w:rsidR="008A2443" w:rsidRDefault="008A2443" w:rsidP="008A2443">
      <w:pPr>
        <w:rPr>
          <w:shd w:val="clear" w:color="auto" w:fill="FFFFFF"/>
        </w:rPr>
      </w:pPr>
      <w:r>
        <w:rPr>
          <w:lang w:val="en-US"/>
        </w:rPr>
        <w:t xml:space="preserve">Prasad et al </w:t>
      </w:r>
      <w:r w:rsidR="00DE10A8">
        <w:rPr>
          <w:lang w:val="en-US"/>
        </w:rPr>
        <w:t>(</w:t>
      </w:r>
      <w:r>
        <w:rPr>
          <w:lang w:val="en-US"/>
        </w:rPr>
        <w:t>2016</w:t>
      </w:r>
      <w:r w:rsidR="00DE10A8">
        <w:rPr>
          <w:lang w:val="en-US"/>
        </w:rPr>
        <w:t>)</w:t>
      </w:r>
      <w:r>
        <w:rPr>
          <w:lang w:val="en-US"/>
        </w:rPr>
        <w:t>;</w:t>
      </w:r>
      <w:bookmarkStart w:id="57" w:name="_Ref103691767"/>
      <w:r>
        <w:rPr>
          <w:rStyle w:val="FootnoteReference"/>
          <w:rFonts w:eastAsia="TimesNewRoman" w:cs="TimesNewRoman"/>
          <w:lang w:val="en-US"/>
        </w:rPr>
        <w:footnoteReference w:id="40"/>
      </w:r>
      <w:bookmarkEnd w:id="57"/>
      <w:r>
        <w:rPr>
          <w:lang w:val="en-US"/>
        </w:rPr>
        <w:t xml:space="preserve"> investigated tracer distribution in 101 patients with prostate cancer and </w:t>
      </w:r>
      <w:proofErr w:type="gramStart"/>
      <w:r>
        <w:rPr>
          <w:lang w:val="en-US"/>
        </w:rPr>
        <w:t xml:space="preserve">quantified </w:t>
      </w:r>
      <w:r w:rsidR="00DA0504" w:rsidRPr="00DA0504">
        <w:rPr>
          <w:rStyle w:val="Heading1Char"/>
          <w:rFonts w:eastAsia="Cambria" w:cstheme="minorHAnsi"/>
          <w:iCs/>
        </w:rPr>
        <w:t xml:space="preserve"> </w:t>
      </w:r>
      <w:r w:rsidR="00DA0504">
        <w:rPr>
          <w:rStyle w:val="style1"/>
          <w:rFonts w:cstheme="minorHAnsi"/>
          <w:iCs/>
        </w:rPr>
        <w:t>[</w:t>
      </w:r>
      <w:proofErr w:type="gramEnd"/>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w:t>
      </w:r>
      <w:r>
        <w:rPr>
          <w:lang w:val="en-US"/>
        </w:rPr>
        <w:t xml:space="preserve"> uptake in normal organs and presumed </w:t>
      </w:r>
      <w:proofErr w:type="spellStart"/>
      <w:r>
        <w:rPr>
          <w:lang w:val="en-US"/>
        </w:rPr>
        <w:t>tumour</w:t>
      </w:r>
      <w:proofErr w:type="spellEnd"/>
      <w:r>
        <w:rPr>
          <w:lang w:val="en-US"/>
        </w:rPr>
        <w:t xml:space="preserve"> deposits by </w:t>
      </w:r>
      <w:proofErr w:type="spellStart"/>
      <w:r>
        <w:rPr>
          <w:lang w:val="en-US"/>
        </w:rPr>
        <w:t>SUV</w:t>
      </w:r>
      <w:r w:rsidRPr="00A7208C">
        <w:rPr>
          <w:vertAlign w:val="subscript"/>
          <w:lang w:val="en-US"/>
        </w:rPr>
        <w:t>max</w:t>
      </w:r>
      <w:proofErr w:type="spellEnd"/>
      <w:r>
        <w:rPr>
          <w:lang w:val="en-US"/>
        </w:rPr>
        <w:t xml:space="preserve">. The calculated </w:t>
      </w:r>
      <w:proofErr w:type="spellStart"/>
      <w:r>
        <w:rPr>
          <w:lang w:val="en-US"/>
        </w:rPr>
        <w:t>SUV</w:t>
      </w:r>
      <w:r w:rsidRPr="00A7208C">
        <w:rPr>
          <w:vertAlign w:val="subscript"/>
          <w:lang w:val="en-US"/>
        </w:rPr>
        <w:t>max</w:t>
      </w:r>
      <w:proofErr w:type="spellEnd"/>
      <w:r>
        <w:rPr>
          <w:lang w:val="en-US"/>
        </w:rPr>
        <w:t xml:space="preserve"> for primary prostate </w:t>
      </w:r>
      <w:proofErr w:type="spellStart"/>
      <w:r>
        <w:rPr>
          <w:lang w:val="en-US"/>
        </w:rPr>
        <w:t>tumour</w:t>
      </w:r>
      <w:proofErr w:type="spellEnd"/>
      <w:r>
        <w:rPr>
          <w:lang w:val="en-US"/>
        </w:rPr>
        <w:t xml:space="preserve"> and metastases was considerably higher than the </w:t>
      </w:r>
      <w:proofErr w:type="spellStart"/>
      <w:r>
        <w:rPr>
          <w:lang w:val="en-US"/>
        </w:rPr>
        <w:t>SUV</w:t>
      </w:r>
      <w:r w:rsidRPr="00A7208C">
        <w:rPr>
          <w:vertAlign w:val="subscript"/>
          <w:lang w:val="en-US"/>
        </w:rPr>
        <w:t>max</w:t>
      </w:r>
      <w:proofErr w:type="spellEnd"/>
      <w:r>
        <w:rPr>
          <w:lang w:val="en-US"/>
        </w:rPr>
        <w:t xml:space="preserve"> for non-pathological tissues (</w:t>
      </w:r>
      <w:r w:rsidR="00B4668B">
        <w:rPr>
          <w:lang w:val="en-US"/>
        </w:rPr>
        <w:t xml:space="preserve">see </w:t>
      </w:r>
      <w:r w:rsidR="00A7208C">
        <w:rPr>
          <w:lang w:val="en-US"/>
        </w:rPr>
        <w:fldChar w:fldCharType="begin"/>
      </w:r>
      <w:r w:rsidR="00A7208C">
        <w:rPr>
          <w:lang w:val="en-US"/>
        </w:rPr>
        <w:instrText xml:space="preserve"> REF _Ref103690660 \h </w:instrText>
      </w:r>
      <w:r w:rsidR="00A7208C">
        <w:rPr>
          <w:lang w:val="en-US"/>
        </w:rPr>
      </w:r>
      <w:r w:rsidR="00A7208C">
        <w:rPr>
          <w:lang w:val="en-US"/>
        </w:rPr>
        <w:fldChar w:fldCharType="separate"/>
      </w:r>
      <w:r w:rsidR="00036995" w:rsidRPr="008A2443">
        <w:t xml:space="preserve">Figure </w:t>
      </w:r>
      <w:r w:rsidR="00036995">
        <w:rPr>
          <w:noProof/>
        </w:rPr>
        <w:t>4</w:t>
      </w:r>
      <w:r w:rsidR="00A7208C">
        <w:rPr>
          <w:lang w:val="en-US"/>
        </w:rPr>
        <w:fldChar w:fldCharType="end"/>
      </w:r>
      <w:r>
        <w:rPr>
          <w:lang w:val="en-US"/>
        </w:rPr>
        <w:t>)</w:t>
      </w:r>
      <w:r>
        <w:rPr>
          <w:rFonts w:ascii="Times New Roman" w:eastAsiaTheme="minorHAnsi" w:hAnsi="Times New Roman"/>
          <w:sz w:val="24"/>
          <w:szCs w:val="24"/>
          <w:lang w:eastAsia="en-AU"/>
        </w:rPr>
        <w:t xml:space="preserve">. </w:t>
      </w:r>
      <w:r>
        <w:rPr>
          <w:lang w:val="en-US"/>
        </w:rPr>
        <w:t xml:space="preserve">The median </w:t>
      </w:r>
      <w:proofErr w:type="spellStart"/>
      <w:r>
        <w:rPr>
          <w:lang w:val="en-US"/>
        </w:rPr>
        <w:t>SUV</w:t>
      </w:r>
      <w:r w:rsidRPr="00A7208C">
        <w:rPr>
          <w:vertAlign w:val="subscript"/>
          <w:lang w:val="en-US"/>
        </w:rPr>
        <w:t>max</w:t>
      </w:r>
      <w:proofErr w:type="spellEnd"/>
      <w:r>
        <w:rPr>
          <w:lang w:val="en-US"/>
        </w:rPr>
        <w:t xml:space="preserve"> in normal prostate tissue was 2.2; a cutoff </w:t>
      </w:r>
      <w:proofErr w:type="spellStart"/>
      <w:r>
        <w:rPr>
          <w:lang w:val="en-US"/>
        </w:rPr>
        <w:t>SUV</w:t>
      </w:r>
      <w:r w:rsidRPr="00A7208C">
        <w:rPr>
          <w:vertAlign w:val="subscript"/>
          <w:lang w:val="en-US"/>
        </w:rPr>
        <w:t>max</w:t>
      </w:r>
      <w:proofErr w:type="spellEnd"/>
      <w:r>
        <w:rPr>
          <w:lang w:val="en-US"/>
        </w:rPr>
        <w:t xml:space="preserve"> value of 3.2 for differentiating prostate </w:t>
      </w:r>
      <w:proofErr w:type="spellStart"/>
      <w:r>
        <w:rPr>
          <w:lang w:val="en-US"/>
        </w:rPr>
        <w:t>tumour</w:t>
      </w:r>
      <w:proofErr w:type="spellEnd"/>
      <w:r>
        <w:rPr>
          <w:lang w:val="en-US"/>
        </w:rPr>
        <w:t xml:space="preserve"> from normal prostate tissue was calculated to give a sensitivity of 94.3% and a specificity of 100%. The best cut</w:t>
      </w:r>
      <w:r w:rsidR="00A7208C">
        <w:rPr>
          <w:lang w:val="en-US"/>
        </w:rPr>
        <w:t xml:space="preserve"> </w:t>
      </w:r>
      <w:r>
        <w:rPr>
          <w:lang w:val="en-US"/>
        </w:rPr>
        <w:t xml:space="preserve">off values for differentiating non-pathological tissue uptake from </w:t>
      </w:r>
      <w:proofErr w:type="spellStart"/>
      <w:r>
        <w:rPr>
          <w:lang w:val="en-US"/>
        </w:rPr>
        <w:t>tumour</w:t>
      </w:r>
      <w:proofErr w:type="spellEnd"/>
      <w:r>
        <w:rPr>
          <w:lang w:val="en-US"/>
        </w:rPr>
        <w:t xml:space="preserve"> uptake in lymph nodes and bones were found to be a </w:t>
      </w:r>
      <w:proofErr w:type="spellStart"/>
      <w:r>
        <w:rPr>
          <w:lang w:val="en-US"/>
        </w:rPr>
        <w:t>SUV</w:t>
      </w:r>
      <w:r w:rsidRPr="00A7208C">
        <w:rPr>
          <w:vertAlign w:val="subscript"/>
          <w:lang w:val="en-US"/>
        </w:rPr>
        <w:t>max</w:t>
      </w:r>
      <w:proofErr w:type="spellEnd"/>
      <w:r>
        <w:rPr>
          <w:lang w:val="en-US"/>
        </w:rPr>
        <w:t xml:space="preserve"> of 3.2 and 1.9, respectively. The authors concluded that </w:t>
      </w:r>
      <w:r w:rsidR="00A7208C">
        <w:rPr>
          <w:shd w:val="clear" w:color="auto" w:fill="FFFFFF"/>
        </w:rPr>
        <w:t>‘</w:t>
      </w:r>
      <w:r w:rsidRPr="00A7208C">
        <w:rPr>
          <w:i/>
          <w:iCs/>
          <w:shd w:val="clear" w:color="auto" w:fill="FFFFFF"/>
        </w:rPr>
        <w:t>Both primary tumours and small metastatic lesions were detectable due to their high tracer uptake. Four-times-higher median uptake in primary tumours in comparison to normal prostate stroma resulted in a high diagnostic accuracy.</w:t>
      </w:r>
      <w:r w:rsidR="00A7208C">
        <w:rPr>
          <w:shd w:val="clear" w:color="auto" w:fill="FFFFFF"/>
        </w:rPr>
        <w:t>’</w:t>
      </w:r>
    </w:p>
    <w:p w14:paraId="3AEFD539" w14:textId="155CF81A" w:rsidR="008A2443" w:rsidRDefault="008A2443" w:rsidP="008A2443">
      <w:pPr>
        <w:pStyle w:val="FigureTitle"/>
      </w:pPr>
      <w:bookmarkStart w:id="58" w:name="_Ref103690660"/>
      <w:r w:rsidRPr="008A2443">
        <w:lastRenderedPageBreak/>
        <w:t xml:space="preserve">Figure </w:t>
      </w:r>
      <w:fldSimple w:instr=" SEQ Figure \* ARABIC ">
        <w:r w:rsidR="00036995">
          <w:rPr>
            <w:noProof/>
          </w:rPr>
          <w:t>4</w:t>
        </w:r>
      </w:fldSimple>
      <w:bookmarkEnd w:id="58"/>
      <w:r>
        <w:t xml:space="preserve">: </w:t>
      </w:r>
      <w:r w:rsidR="00B4668B" w:rsidRPr="00B4668B">
        <w:t xml:space="preserve">Prasad V, et al. </w:t>
      </w:r>
      <w:r w:rsidR="00B4668B">
        <w:t xml:space="preserve">(2016) </w:t>
      </w:r>
      <w:r w:rsidRPr="00905D56">
        <w:rPr>
          <w:lang w:val="en-US"/>
        </w:rPr>
        <w:t xml:space="preserve">Pathological </w:t>
      </w:r>
      <w:r w:rsidR="0099728E">
        <w:rPr>
          <w:lang w:val="en-US"/>
        </w:rPr>
        <w:t>v</w:t>
      </w:r>
      <w:r w:rsidRPr="00905D56">
        <w:rPr>
          <w:lang w:val="en-US"/>
        </w:rPr>
        <w:t xml:space="preserve">ersus </w:t>
      </w:r>
      <w:r w:rsidR="0099728E">
        <w:rPr>
          <w:lang w:val="en-US"/>
        </w:rPr>
        <w:t>n</w:t>
      </w:r>
      <w:r w:rsidRPr="00905D56">
        <w:rPr>
          <w:lang w:val="en-US"/>
        </w:rPr>
        <w:t>on-</w:t>
      </w:r>
      <w:r w:rsidR="0099728E">
        <w:rPr>
          <w:lang w:val="en-US"/>
        </w:rPr>
        <w:t>p</w:t>
      </w:r>
      <w:r w:rsidRPr="00905D56">
        <w:rPr>
          <w:lang w:val="en-US"/>
        </w:rPr>
        <w:t xml:space="preserve">athological </w:t>
      </w:r>
      <w:r w:rsidR="0099728E">
        <w:rPr>
          <w:lang w:val="en-US"/>
        </w:rPr>
        <w:t>u</w:t>
      </w:r>
      <w:r w:rsidRPr="00905D56">
        <w:rPr>
          <w:lang w:val="en-US"/>
        </w:rPr>
        <w:t xml:space="preserve">ptake in the </w:t>
      </w:r>
      <w:r w:rsidR="0099728E">
        <w:rPr>
          <w:lang w:val="en-US"/>
        </w:rPr>
        <w:t>p</w:t>
      </w:r>
      <w:r w:rsidRPr="00905D56">
        <w:rPr>
          <w:lang w:val="en-US"/>
        </w:rPr>
        <w:t xml:space="preserve">rostate, </w:t>
      </w:r>
      <w:r w:rsidR="0099728E">
        <w:rPr>
          <w:lang w:val="en-US"/>
        </w:rPr>
        <w:t>l</w:t>
      </w:r>
      <w:r w:rsidRPr="00905D56">
        <w:rPr>
          <w:lang w:val="en-US"/>
        </w:rPr>
        <w:t xml:space="preserve">ymph </w:t>
      </w:r>
      <w:r w:rsidR="0099728E">
        <w:rPr>
          <w:lang w:val="en-US"/>
        </w:rPr>
        <w:t>n</w:t>
      </w:r>
      <w:r w:rsidRPr="00905D56">
        <w:rPr>
          <w:lang w:val="en-US"/>
        </w:rPr>
        <w:t>odes</w:t>
      </w:r>
      <w:r>
        <w:rPr>
          <w:lang w:val="en-US"/>
        </w:rPr>
        <w:t xml:space="preserve"> </w:t>
      </w:r>
      <w:r w:rsidRPr="00905D56">
        <w:rPr>
          <w:lang w:val="en-US"/>
        </w:rPr>
        <w:t xml:space="preserve">and </w:t>
      </w:r>
      <w:r w:rsidR="0099728E">
        <w:rPr>
          <w:lang w:val="en-US"/>
        </w:rPr>
        <w:t>b</w:t>
      </w:r>
      <w:r w:rsidRPr="00905D56">
        <w:rPr>
          <w:lang w:val="en-US"/>
        </w:rPr>
        <w:t>one</w:t>
      </w:r>
    </w:p>
    <w:p w14:paraId="750FF901" w14:textId="636DC46B" w:rsidR="008A2443" w:rsidRDefault="008A2443" w:rsidP="008A2443">
      <w:r>
        <w:rPr>
          <w:noProof/>
          <w:lang w:val="en-GB" w:eastAsia="en-GB"/>
        </w:rPr>
        <w:drawing>
          <wp:inline distT="0" distB="0" distL="0" distR="0" wp14:anchorId="5F1D8DB6" wp14:editId="2301E7BE">
            <wp:extent cx="5138442" cy="3439115"/>
            <wp:effectExtent l="0" t="0" r="5080" b="9525"/>
            <wp:docPr id="31" name="Picture 31" descr="Pathological versus non-pathological uptake in the prostate, lymph nodes and bone"/>
            <wp:cNvGraphicFramePr/>
            <a:graphic xmlns:a="http://schemas.openxmlformats.org/drawingml/2006/main">
              <a:graphicData uri="http://schemas.openxmlformats.org/drawingml/2006/picture">
                <pic:pic xmlns:pic="http://schemas.openxmlformats.org/drawingml/2006/picture">
                  <pic:nvPicPr>
                    <pic:cNvPr id="31" name="Picture 31" descr="Pathological versus non-pathological uptake in the prostate, lymph nodes and bone"/>
                    <pic:cNvPicPr/>
                  </pic:nvPicPr>
                  <pic:blipFill rotWithShape="1">
                    <a:blip r:embed="rId17"/>
                    <a:srcRect l="8869" t="3492" r="7581" b="10545"/>
                    <a:stretch/>
                  </pic:blipFill>
                  <pic:spPr bwMode="auto">
                    <a:xfrm>
                      <a:off x="0" y="0"/>
                      <a:ext cx="5166354" cy="3457796"/>
                    </a:xfrm>
                    <a:prstGeom prst="rect">
                      <a:avLst/>
                    </a:prstGeom>
                    <a:ln>
                      <a:noFill/>
                    </a:ln>
                    <a:extLst>
                      <a:ext uri="{53640926-AAD7-44D8-BBD7-CCE9431645EC}">
                        <a14:shadowObscured xmlns:a14="http://schemas.microsoft.com/office/drawing/2010/main"/>
                      </a:ext>
                    </a:extLst>
                  </pic:spPr>
                </pic:pic>
              </a:graphicData>
            </a:graphic>
          </wp:inline>
        </w:drawing>
      </w:r>
    </w:p>
    <w:p w14:paraId="05152553" w14:textId="67783B45" w:rsidR="00B4668B" w:rsidRDefault="00B4668B" w:rsidP="003C45E7">
      <w:pPr>
        <w:pStyle w:val="FigureDescription"/>
      </w:pPr>
      <w:r>
        <w:t>Abbreviations: AUC = area under the concentration-time curve; N = numbers; SUV = standardised uptake values</w:t>
      </w:r>
    </w:p>
    <w:p w14:paraId="1A38C3E0" w14:textId="301797B0" w:rsidR="00B4668B" w:rsidRDefault="00171D90" w:rsidP="0099728E">
      <w:pPr>
        <w:pStyle w:val="FigureDescription"/>
      </w:pPr>
      <w:r>
        <w:t xml:space="preserve">Boxplots (upper row) and </w:t>
      </w:r>
      <w:r w:rsidR="00B4668B">
        <w:t>receiver operating curve</w:t>
      </w:r>
      <w:r>
        <w:t xml:space="preserve"> analysis (lower row) of pathological versus non-pathological uptake in the prostate, lymph nodes and bone. The best diagnostic accuracy was achieved with </w:t>
      </w:r>
      <w:proofErr w:type="spellStart"/>
      <w:r>
        <w:t>SUV</w:t>
      </w:r>
      <w:r w:rsidRPr="0037310D">
        <w:rPr>
          <w:vertAlign w:val="subscript"/>
        </w:rPr>
        <w:t>max</w:t>
      </w:r>
      <w:proofErr w:type="spellEnd"/>
      <w:r>
        <w:t xml:space="preserve"> </w:t>
      </w:r>
      <w:proofErr w:type="spellStart"/>
      <w:r>
        <w:t>cutoff</w:t>
      </w:r>
      <w:proofErr w:type="spellEnd"/>
      <w:r>
        <w:t xml:space="preserve"> values of 3.2, 3.2 and 1.9 for the prostate, lymph nodes and bone, respectively.</w:t>
      </w:r>
    </w:p>
    <w:p w14:paraId="7BAE2F6E" w14:textId="5066B8E2" w:rsidR="0099728E" w:rsidRDefault="00B4668B" w:rsidP="0099728E">
      <w:pPr>
        <w:pStyle w:val="FigureDescription"/>
      </w:pPr>
      <w:r w:rsidRPr="00B4668B">
        <w:t>Prasad V, et al. Biodistribution of [(</w:t>
      </w:r>
      <w:proofErr w:type="gramStart"/>
      <w:r w:rsidRPr="00B4668B">
        <w:t>68)Ga</w:t>
      </w:r>
      <w:proofErr w:type="gramEnd"/>
      <w:r w:rsidRPr="00B4668B">
        <w:t>]PSMA-HBED-CC in patients with prostate cancer: characterization of uptake in normal organs and tumour lesions. Mol Imaging Biol. 2016 Jun;18(3):428-436</w:t>
      </w:r>
    </w:p>
    <w:p w14:paraId="2FCFD059" w14:textId="1487FB60" w:rsidR="008A2443" w:rsidRDefault="008A2443" w:rsidP="008A2443">
      <w:r>
        <w:rPr>
          <w:rFonts w:cs="TimesNewRoman"/>
          <w:lang w:val="en-US"/>
        </w:rPr>
        <w:t xml:space="preserve">The </w:t>
      </w:r>
      <w:r w:rsidR="00A304D4">
        <w:rPr>
          <w:rFonts w:cs="TimesNewRoman"/>
          <w:lang w:val="en-US"/>
        </w:rPr>
        <w:t>s</w:t>
      </w:r>
      <w:r>
        <w:rPr>
          <w:rFonts w:cs="TimesNewRoman"/>
          <w:lang w:val="en-US"/>
        </w:rPr>
        <w:t xml:space="preserve">ponsor’s </w:t>
      </w:r>
      <w:r w:rsidR="00B4668B">
        <w:rPr>
          <w:rFonts w:cs="TimesNewRoman"/>
          <w:lang w:val="en-US"/>
        </w:rPr>
        <w:t>S</w:t>
      </w:r>
      <w:r>
        <w:rPr>
          <w:rFonts w:cs="TimesNewRoman"/>
          <w:lang w:val="en-US"/>
        </w:rPr>
        <w:t>tudy</w:t>
      </w:r>
      <w:r w:rsidRPr="00F4449E">
        <w:rPr>
          <w:rFonts w:cs="TimesNewRoman"/>
          <w:b/>
          <w:lang w:val="en-US"/>
        </w:rPr>
        <w:t xml:space="preserve"> </w:t>
      </w:r>
      <w:r w:rsidRPr="00BB4065">
        <w:rPr>
          <w:rFonts w:cs="TimesNewRoman"/>
          <w:lang w:val="en-US"/>
        </w:rPr>
        <w:t>Ga68PSMA-2016-1</w:t>
      </w:r>
      <w:r>
        <w:rPr>
          <w:rFonts w:cs="TimesNewRoman"/>
          <w:lang w:val="en-US"/>
        </w:rPr>
        <w:t xml:space="preserve"> assessed the PK, biodistribution, dosimetry and safety of two different preparations of </w:t>
      </w:r>
      <w:r w:rsidR="00DA0504">
        <w:rPr>
          <w:rStyle w:val="style1"/>
          <w:rFonts w:cstheme="minorHAnsi"/>
          <w:iCs/>
        </w:rPr>
        <w:t>[</w:t>
      </w:r>
      <w:r w:rsidR="00DA0504">
        <w:rPr>
          <w:rStyle w:val="style1"/>
          <w:rFonts w:cstheme="minorHAnsi"/>
          <w:iCs/>
          <w:vertAlign w:val="superscript"/>
        </w:rPr>
        <w:t>68</w:t>
      </w:r>
      <w:r w:rsidR="00DA0504">
        <w:rPr>
          <w:rStyle w:val="style1"/>
          <w:rFonts w:cstheme="minorHAnsi"/>
          <w:iCs/>
        </w:rPr>
        <w:t xml:space="preserve">Ga] </w:t>
      </w:r>
      <w:r w:rsidR="00293AB9">
        <w:rPr>
          <w:rStyle w:val="style1"/>
          <w:rFonts w:cstheme="minorHAnsi"/>
          <w:iCs/>
        </w:rPr>
        <w:t>gallium</w:t>
      </w:r>
      <w:r w:rsidR="00DA0504">
        <w:rPr>
          <w:rStyle w:val="style1"/>
          <w:rFonts w:cstheme="minorHAnsi"/>
          <w:iCs/>
        </w:rPr>
        <w:t xml:space="preserve"> PSMA-11 </w:t>
      </w:r>
      <w:r>
        <w:rPr>
          <w:rFonts w:cs="TimesNewRoman"/>
          <w:lang w:val="en-US"/>
        </w:rPr>
        <w:t xml:space="preserve">(one prepared using the </w:t>
      </w:r>
      <w:proofErr w:type="spellStart"/>
      <w:r>
        <w:rPr>
          <w:rFonts w:cs="TimesNewRoman"/>
          <w:lang w:val="en-US"/>
        </w:rPr>
        <w:t>Telix</w:t>
      </w:r>
      <w:proofErr w:type="spellEnd"/>
      <w:r>
        <w:rPr>
          <w:rFonts w:cs="TimesNewRoman"/>
          <w:lang w:val="en-US"/>
        </w:rPr>
        <w:t xml:space="preserve"> </w:t>
      </w:r>
      <w:r w:rsidR="0099728E">
        <w:rPr>
          <w:rFonts w:cs="TimesNewRoman"/>
          <w:lang w:val="en-US"/>
        </w:rPr>
        <w:t>k</w:t>
      </w:r>
      <w:r>
        <w:rPr>
          <w:rFonts w:cs="TimesNewRoman"/>
          <w:lang w:val="en-US"/>
        </w:rPr>
        <w:t xml:space="preserve">it and one prepared using the </w:t>
      </w:r>
      <w:proofErr w:type="spellStart"/>
      <w:r>
        <w:rPr>
          <w:rFonts w:cs="TimesNewRoman"/>
          <w:lang w:val="en-US"/>
        </w:rPr>
        <w:t>Scintomics</w:t>
      </w:r>
      <w:proofErr w:type="spellEnd"/>
      <w:r>
        <w:rPr>
          <w:rFonts w:cs="TimesNewRoman"/>
          <w:lang w:val="en-US"/>
        </w:rPr>
        <w:t xml:space="preserve"> synthesizer with a heating step incorporated in the process) administered at least </w:t>
      </w:r>
      <w:r w:rsidR="0099728E">
        <w:rPr>
          <w:rFonts w:cs="TimesNewRoman"/>
          <w:lang w:val="en-US"/>
        </w:rPr>
        <w:t>seven</w:t>
      </w:r>
      <w:r>
        <w:rPr>
          <w:rFonts w:cs="TimesNewRoman"/>
          <w:lang w:val="en-US"/>
        </w:rPr>
        <w:t xml:space="preserve"> days apart to </w:t>
      </w:r>
      <w:r w:rsidR="0099728E">
        <w:rPr>
          <w:rFonts w:cs="TimesNewRoman"/>
          <w:lang w:val="en-US"/>
        </w:rPr>
        <w:t>three</w:t>
      </w:r>
      <w:r>
        <w:rPr>
          <w:rFonts w:cs="TimesNewRoman"/>
          <w:lang w:val="en-US"/>
        </w:rPr>
        <w:t xml:space="preserve"> healthy volunteers. </w:t>
      </w:r>
      <w:r>
        <w:t xml:space="preserve">The doses 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 </w:t>
      </w:r>
      <w:r>
        <w:t xml:space="preserve">received by the </w:t>
      </w:r>
      <w:r w:rsidR="0099728E">
        <w:t>three</w:t>
      </w:r>
      <w:r>
        <w:t xml:space="preserve"> participants ranged from 173 to 188</w:t>
      </w:r>
      <w:r w:rsidR="002C00DD">
        <w:t xml:space="preserve"> </w:t>
      </w:r>
      <w:r>
        <w:t xml:space="preserve">MBq for doses prepared using the </w:t>
      </w:r>
      <w:proofErr w:type="spellStart"/>
      <w:r w:rsidR="0099728E">
        <w:t>Telix</w:t>
      </w:r>
      <w:proofErr w:type="spellEnd"/>
      <w:r w:rsidR="0099728E">
        <w:t xml:space="preserve"> k</w:t>
      </w:r>
      <w:r>
        <w:t>it and from 162 to 192</w:t>
      </w:r>
      <w:r w:rsidR="002C00DD">
        <w:t xml:space="preserve"> </w:t>
      </w:r>
      <w:r>
        <w:t>MBq for doses prepared using the synthesiser method.</w:t>
      </w:r>
    </w:p>
    <w:p w14:paraId="5278B9A7" w14:textId="3FC3426E" w:rsidR="008A2443" w:rsidRDefault="008A2443" w:rsidP="008A2443">
      <w:pPr>
        <w:rPr>
          <w:rFonts w:cs="TimesNewRoman"/>
          <w:lang w:val="en-US"/>
        </w:rPr>
      </w:pPr>
      <w:r>
        <w:rPr>
          <w:rFonts w:cs="TimesNewRoman"/>
          <w:lang w:val="en-US"/>
        </w:rPr>
        <w:t>Mean PK parameters (</w:t>
      </w:r>
      <w:r w:rsidR="0099728E">
        <w:rPr>
          <w:rFonts w:cs="TimesNewRoman"/>
          <w:lang w:val="en-US"/>
        </w:rPr>
        <w:t>area under concentration</w:t>
      </w:r>
      <w:r w:rsidR="00B4668B">
        <w:rPr>
          <w:rFonts w:cs="TimesNewRoman"/>
          <w:lang w:val="en-US"/>
        </w:rPr>
        <w:t>-</w:t>
      </w:r>
      <w:r w:rsidR="0099728E">
        <w:rPr>
          <w:rFonts w:cs="TimesNewRoman"/>
          <w:lang w:val="en-US"/>
        </w:rPr>
        <w:t>time curve (</w:t>
      </w:r>
      <w:r>
        <w:rPr>
          <w:rFonts w:cs="TimesNewRoman"/>
          <w:lang w:val="en-US"/>
        </w:rPr>
        <w:t>AUC</w:t>
      </w:r>
      <w:r w:rsidR="0099728E">
        <w:rPr>
          <w:rFonts w:cs="TimesNewRoman"/>
          <w:lang w:val="en-US"/>
        </w:rPr>
        <w:t>)</w:t>
      </w:r>
      <w:r>
        <w:rPr>
          <w:rFonts w:cs="TimesNewRoman"/>
          <w:lang w:val="en-US"/>
        </w:rPr>
        <w:t>, rate constants in the tri-exponential model used) were similar for the two preparations, with some inter</w:t>
      </w:r>
      <w:r w:rsidR="0099728E">
        <w:rPr>
          <w:rFonts w:cs="TimesNewRoman"/>
          <w:lang w:val="en-US"/>
        </w:rPr>
        <w:noBreakHyphen/>
      </w:r>
      <w:r>
        <w:rPr>
          <w:rFonts w:cs="TimesNewRoman"/>
          <w:lang w:val="en-US"/>
        </w:rPr>
        <w:t xml:space="preserve">individual variation. Comparison of </w:t>
      </w:r>
      <w:proofErr w:type="spellStart"/>
      <w:r>
        <w:rPr>
          <w:rFonts w:cs="TimesNewRoman"/>
          <w:lang w:val="en-US"/>
        </w:rPr>
        <w:t>SUV</w:t>
      </w:r>
      <w:r w:rsidRPr="0099728E">
        <w:rPr>
          <w:rFonts w:cs="TimesNewRoman"/>
          <w:vertAlign w:val="subscript"/>
          <w:lang w:val="en-US"/>
        </w:rPr>
        <w:t>max</w:t>
      </w:r>
      <w:proofErr w:type="spellEnd"/>
      <w:r>
        <w:rPr>
          <w:rFonts w:cs="TimesNewRoman"/>
          <w:lang w:val="en-US"/>
        </w:rPr>
        <w:t xml:space="preserve"> for the different organs and tissues found that the highest uptake for both preparations was the kidneys, followed by the salivary glands, small bowel, lacrimal glands, spleen, liver, and larynx in descending order.</w:t>
      </w:r>
      <w:r w:rsidR="00D23754">
        <w:rPr>
          <w:rFonts w:cs="TimesNewRoman"/>
          <w:lang w:val="en-US"/>
        </w:rPr>
        <w:t xml:space="preserve"> </w:t>
      </w:r>
      <w:r>
        <w:rPr>
          <w:rFonts w:cs="TimesNewRoman"/>
          <w:lang w:val="en-US"/>
        </w:rPr>
        <w:t>The biodistribution and dosimetry of the two preparations was similar.</w:t>
      </w:r>
    </w:p>
    <w:p w14:paraId="7C772068" w14:textId="77777777" w:rsidR="008A2443" w:rsidRDefault="008A2443" w:rsidP="008A2443">
      <w:pPr>
        <w:rPr>
          <w:rFonts w:cs="TimesNewRoman"/>
          <w:lang w:val="en-US"/>
        </w:rPr>
      </w:pPr>
      <w:r>
        <w:rPr>
          <w:rFonts w:cs="TimesNewRoman"/>
          <w:lang w:val="en-US"/>
        </w:rPr>
        <w:t>This study did not include patients with prostate cancer, so uptake in prostate cancer deposits was not assessed.</w:t>
      </w:r>
    </w:p>
    <w:p w14:paraId="01232B20" w14:textId="77777777" w:rsidR="008A2443" w:rsidRDefault="008A2443" w:rsidP="004F7DDA">
      <w:pPr>
        <w:pStyle w:val="Heading5"/>
      </w:pPr>
      <w:r>
        <w:t>Radiation dosimetry</w:t>
      </w:r>
    </w:p>
    <w:p w14:paraId="3D3A091F" w14:textId="4E40BE17" w:rsidR="008A2443" w:rsidRPr="00981941" w:rsidRDefault="008A2443" w:rsidP="008A2443">
      <w:r w:rsidRPr="003523F0">
        <w:t>Radiation absorbed doses for organs and tissues w</w:t>
      </w:r>
      <w:r>
        <w:t>ere</w:t>
      </w:r>
      <w:r w:rsidRPr="003523F0">
        <w:t xml:space="preserve"> </w:t>
      </w:r>
      <w:r>
        <w:t>assess</w:t>
      </w:r>
      <w:r w:rsidRPr="003523F0">
        <w:t>ed in</w:t>
      </w:r>
      <w:r w:rsidRPr="002E4D22">
        <w:t xml:space="preserve"> </w:t>
      </w:r>
      <w:proofErr w:type="gramStart"/>
      <w:r w:rsidRPr="003523F0">
        <w:t>a number of</w:t>
      </w:r>
      <w:proofErr w:type="gramEnd"/>
      <w:r w:rsidRPr="003523F0">
        <w:t xml:space="preserve"> publications</w:t>
      </w:r>
      <w:r>
        <w:t>, as well as in Study Ga68PSMA-2016-1</w:t>
      </w:r>
      <w:r w:rsidRPr="003523F0">
        <w:t xml:space="preserve">. The kidney was </w:t>
      </w:r>
      <w:r>
        <w:t xml:space="preserve">consistently </w:t>
      </w:r>
      <w:r w:rsidRPr="003523F0">
        <w:t>identified as the organ with the highest absorbed dose</w:t>
      </w:r>
      <w:r>
        <w:t xml:space="preserve">. Estimated radiation absorbed doses from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w:t>
      </w:r>
      <w:r>
        <w:t xml:space="preserve"> prepared using the </w:t>
      </w:r>
      <w:proofErr w:type="spellStart"/>
      <w:r>
        <w:t>Telix</w:t>
      </w:r>
      <w:proofErr w:type="spellEnd"/>
      <w:r>
        <w:t xml:space="preserve"> kit in Study</w:t>
      </w:r>
      <w:r w:rsidR="002C00DD">
        <w:t> </w:t>
      </w:r>
      <w:r>
        <w:t>Ga68PSMA</w:t>
      </w:r>
      <w:r w:rsidR="002C00DD">
        <w:noBreakHyphen/>
      </w:r>
      <w:r>
        <w:t>2016-</w:t>
      </w:r>
      <w:r>
        <w:lastRenderedPageBreak/>
        <w:t xml:space="preserve">1 are shown in </w:t>
      </w:r>
      <w:r>
        <w:fldChar w:fldCharType="begin"/>
      </w:r>
      <w:r>
        <w:instrText xml:space="preserve"> REF _Ref103346578 \h </w:instrText>
      </w:r>
      <w:r>
        <w:fldChar w:fldCharType="separate"/>
      </w:r>
      <w:r w:rsidR="00036995" w:rsidRPr="008A2443">
        <w:t xml:space="preserve">Table </w:t>
      </w:r>
      <w:r w:rsidR="00036995">
        <w:rPr>
          <w:noProof/>
        </w:rPr>
        <w:t>2</w:t>
      </w:r>
      <w:r>
        <w:fldChar w:fldCharType="end"/>
      </w:r>
      <w:r>
        <w:t xml:space="preserve">. </w:t>
      </w:r>
      <w:r w:rsidRPr="00981941">
        <w:t>For an a</w:t>
      </w:r>
      <w:r>
        <w:t>dministered activity of 185 MBq</w:t>
      </w:r>
      <w:r w:rsidRPr="00981941">
        <w:t>, the</w:t>
      </w:r>
      <w:r>
        <w:t xml:space="preserve"> </w:t>
      </w:r>
      <w:r w:rsidRPr="00981941">
        <w:t>highest</w:t>
      </w:r>
      <w:r w:rsidR="0099728E">
        <w:t xml:space="preserve"> </w:t>
      </w:r>
      <w:r w:rsidRPr="00981941">
        <w:t xml:space="preserve">magnitude radiation doses </w:t>
      </w:r>
      <w:r>
        <w:t>we</w:t>
      </w:r>
      <w:r w:rsidRPr="00981941">
        <w:t>re delivered to the kidney</w:t>
      </w:r>
      <w:r>
        <w:t>s</w:t>
      </w:r>
      <w:r w:rsidRPr="00981941">
        <w:t>, bladder wall, small intestine wall, and spleen</w:t>
      </w:r>
      <w:r>
        <w:t xml:space="preserve">. </w:t>
      </w:r>
      <w:r w:rsidRPr="00C53ADE">
        <w:rPr>
          <w:lang w:eastAsia="ja-JP"/>
        </w:rPr>
        <w:t>The reported individual organ absorbed doses and total body effective dose are consistent with those observed with other tracers used in PET/CT scanning</w:t>
      </w:r>
      <w:r w:rsidRPr="00C53ADE">
        <w:rPr>
          <w:rFonts w:cs="TimesNewRoman"/>
          <w:lang w:val="en-US"/>
        </w:rPr>
        <w:t>.</w:t>
      </w:r>
    </w:p>
    <w:p w14:paraId="2ABCDE04" w14:textId="3848D4BD" w:rsidR="008A2443" w:rsidRDefault="008A2443" w:rsidP="008A2443">
      <w:pPr>
        <w:pStyle w:val="TableTitle"/>
      </w:pPr>
      <w:bookmarkStart w:id="59" w:name="_Ref103346578"/>
      <w:r w:rsidRPr="008A2443">
        <w:t xml:space="preserve">Table </w:t>
      </w:r>
      <w:fldSimple w:instr=" SEQ Table \* ARABIC ">
        <w:r w:rsidR="00036995">
          <w:rPr>
            <w:noProof/>
          </w:rPr>
          <w:t>2</w:t>
        </w:r>
      </w:fldSimple>
      <w:bookmarkEnd w:id="59"/>
      <w:r>
        <w:t>:</w:t>
      </w:r>
      <w:r w:rsidRPr="008A2443">
        <w:t xml:space="preserve"> </w:t>
      </w:r>
      <w:r w:rsidR="0099728E">
        <w:t>S</w:t>
      </w:r>
      <w:r w:rsidR="0099728E" w:rsidRPr="00981941">
        <w:t>tudy Ga68PSMA-2016-1</w:t>
      </w:r>
      <w:r w:rsidR="0099728E">
        <w:t xml:space="preserve"> </w:t>
      </w:r>
      <w:r w:rsidRPr="00981941">
        <w:t xml:space="preserve">Estimated </w:t>
      </w:r>
      <w:r w:rsidR="00A1503D">
        <w:t xml:space="preserve">mean </w:t>
      </w:r>
      <w:r w:rsidR="0099728E">
        <w:t>r</w:t>
      </w:r>
      <w:r w:rsidRPr="00981941">
        <w:t xml:space="preserve">adiation </w:t>
      </w:r>
      <w:r w:rsidR="0099728E">
        <w:t>a</w:t>
      </w:r>
      <w:r w:rsidRPr="00981941">
        <w:t xml:space="preserve">bsorbed </w:t>
      </w:r>
      <w:r w:rsidR="0099728E">
        <w:t>d</w:t>
      </w:r>
      <w:r w:rsidRPr="00981941">
        <w:t>oses of Ga</w:t>
      </w:r>
      <w:r w:rsidR="00A1503D">
        <w:noBreakHyphen/>
      </w:r>
      <w:r w:rsidRPr="00981941">
        <w:t xml:space="preserve">68 PSMA-11 </w:t>
      </w:r>
      <w:r w:rsidR="0099728E">
        <w:t>p</w:t>
      </w:r>
      <w:r w:rsidRPr="00981941">
        <w:t xml:space="preserve">repared </w:t>
      </w:r>
      <w:r w:rsidR="0099728E">
        <w:t>u</w:t>
      </w:r>
      <w:r w:rsidRPr="00981941">
        <w:t>sing the</w:t>
      </w:r>
      <w:r>
        <w:t xml:space="preserve"> </w:t>
      </w:r>
      <w:proofErr w:type="spellStart"/>
      <w:r w:rsidRPr="00981941">
        <w:t>Telix</w:t>
      </w:r>
      <w:proofErr w:type="spellEnd"/>
      <w:r w:rsidRPr="00981941">
        <w:t xml:space="preserve"> </w:t>
      </w:r>
      <w:r w:rsidR="0099728E">
        <w:t>k</w:t>
      </w:r>
      <w:r w:rsidRPr="00981941">
        <w:t xml:space="preserve">it in </w:t>
      </w:r>
      <w:r w:rsidR="0099728E">
        <w:t>v</w:t>
      </w:r>
      <w:r w:rsidRPr="00981941">
        <w:t xml:space="preserve">arious </w:t>
      </w:r>
      <w:r w:rsidR="0099728E">
        <w:t>o</w:t>
      </w:r>
      <w:r w:rsidRPr="00981941">
        <w:t>rgans/</w:t>
      </w:r>
      <w:r w:rsidR="0099728E">
        <w:t>t</w:t>
      </w:r>
      <w:r w:rsidRPr="00981941">
        <w:t xml:space="preserve">issues in </w:t>
      </w:r>
      <w:r w:rsidR="0099728E">
        <w:t>h</w:t>
      </w:r>
      <w:r w:rsidRPr="00981941">
        <w:t xml:space="preserve">ealthy </w:t>
      </w:r>
      <w:r w:rsidR="0099728E">
        <w:t>v</w:t>
      </w:r>
      <w:r w:rsidRPr="00981941">
        <w:t>olunteer</w:t>
      </w:r>
    </w:p>
    <w:p w14:paraId="56D65DF1" w14:textId="5359E5C1" w:rsidR="008A2443" w:rsidRDefault="008A2443" w:rsidP="008A2443">
      <w:r>
        <w:rPr>
          <w:noProof/>
          <w:lang w:val="en-GB" w:eastAsia="en-GB"/>
        </w:rPr>
        <w:drawing>
          <wp:inline distT="0" distB="0" distL="0" distR="0" wp14:anchorId="15706387" wp14:editId="175DD8BB">
            <wp:extent cx="4351020" cy="4250069"/>
            <wp:effectExtent l="0" t="0" r="0" b="0"/>
            <wp:docPr id="9" name="Picture 9" descr="Study Ga68PSMA-2016-1 Estimated radiation absorbed doses of Ga-68 PSMA-11 prepared using the Telix kit in various organs/tissues in healthy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Ga68PSMA-2016-1 Estimated radiation absorbed doses of Ga-68 PSMA-11 prepared using the Telix kit in various organs/tissues in healthy volunteer"/>
                    <pic:cNvPicPr/>
                  </pic:nvPicPr>
                  <pic:blipFill>
                    <a:blip r:embed="rId18"/>
                    <a:stretch>
                      <a:fillRect/>
                    </a:stretch>
                  </pic:blipFill>
                  <pic:spPr>
                    <a:xfrm>
                      <a:off x="0" y="0"/>
                      <a:ext cx="4365688" cy="4264397"/>
                    </a:xfrm>
                    <a:prstGeom prst="rect">
                      <a:avLst/>
                    </a:prstGeom>
                  </pic:spPr>
                </pic:pic>
              </a:graphicData>
            </a:graphic>
          </wp:inline>
        </w:drawing>
      </w:r>
    </w:p>
    <w:p w14:paraId="3AD004D1" w14:textId="4E6B0C65" w:rsidR="00A1503D" w:rsidRDefault="00A1503D" w:rsidP="004F7DDA">
      <w:pPr>
        <w:pStyle w:val="TableDescription"/>
      </w:pPr>
      <w:r>
        <w:t xml:space="preserve">Abbreviations: GI = gastrointestinal; </w:t>
      </w:r>
      <w:proofErr w:type="spellStart"/>
      <w:r>
        <w:t>mGy</w:t>
      </w:r>
      <w:proofErr w:type="spellEnd"/>
      <w:r>
        <w:t xml:space="preserve">/MBq = </w:t>
      </w:r>
      <w:proofErr w:type="spellStart"/>
      <w:r>
        <w:t>milligray</w:t>
      </w:r>
      <w:proofErr w:type="spellEnd"/>
      <w:r>
        <w:t>/</w:t>
      </w:r>
      <w:r w:rsidRPr="00A1503D">
        <w:t>megabecquerel</w:t>
      </w:r>
      <w:r>
        <w:t xml:space="preserve"> (mean absorbed dose per unit administered activity; SD = standard deviation</w:t>
      </w:r>
    </w:p>
    <w:p w14:paraId="2F030D17" w14:textId="77777777" w:rsidR="008A2443" w:rsidRPr="008A2443" w:rsidRDefault="008A2443" w:rsidP="004F7DDA">
      <w:pPr>
        <w:pStyle w:val="Heading5"/>
      </w:pPr>
      <w:r w:rsidRPr="008A2443">
        <w:t>Metabolism</w:t>
      </w:r>
    </w:p>
    <w:p w14:paraId="2319FEC1" w14:textId="0DD6A804" w:rsidR="008A2443" w:rsidRDefault="008A2443" w:rsidP="008A2443">
      <w:pPr>
        <w:rPr>
          <w:lang w:eastAsia="ja-JP"/>
        </w:rPr>
      </w:pPr>
      <w:r>
        <w:rPr>
          <w:lang w:eastAsia="ja-JP"/>
        </w:rPr>
        <w:t xml:space="preserve">The metabolism 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w:t>
      </w:r>
      <w:proofErr w:type="gramStart"/>
      <w:r w:rsidR="002C00DD">
        <w:rPr>
          <w:rStyle w:val="style1"/>
          <w:rFonts w:cstheme="minorHAnsi"/>
          <w:iCs/>
        </w:rPr>
        <w:t xml:space="preserve">11 </w:t>
      </w:r>
      <w:r>
        <w:rPr>
          <w:lang w:eastAsia="ja-JP"/>
        </w:rPr>
        <w:t xml:space="preserve"> has</w:t>
      </w:r>
      <w:proofErr w:type="gramEnd"/>
      <w:r>
        <w:rPr>
          <w:lang w:eastAsia="ja-JP"/>
        </w:rPr>
        <w:t xml:space="preserve"> not been defined. It is thought that the internalised peptide is broken down to the constituent amino acids within the cell.</w:t>
      </w:r>
    </w:p>
    <w:p w14:paraId="374EEBF5" w14:textId="77777777" w:rsidR="008A2443" w:rsidRDefault="008A2443" w:rsidP="004F7DDA">
      <w:pPr>
        <w:pStyle w:val="Heading5"/>
        <w:rPr>
          <w:lang w:eastAsia="ja-JP"/>
        </w:rPr>
      </w:pPr>
      <w:r>
        <w:rPr>
          <w:lang w:eastAsia="ja-JP"/>
        </w:rPr>
        <w:t>Excretion</w:t>
      </w:r>
    </w:p>
    <w:p w14:paraId="69BEF888" w14:textId="5B321086" w:rsidR="008A2443" w:rsidRDefault="008A2443" w:rsidP="008A2443">
      <w:pPr>
        <w:rPr>
          <w:lang w:eastAsia="ja-JP"/>
        </w:rPr>
      </w:pPr>
      <w:r>
        <w:rPr>
          <w:lang w:eastAsia="ja-JP"/>
        </w:rPr>
        <w:t xml:space="preserve">The main route of excretion is urinary. </w:t>
      </w:r>
      <w:r w:rsidRPr="0099728E">
        <w:rPr>
          <w:lang w:eastAsia="ja-JP"/>
        </w:rPr>
        <w:t>Green et al</w:t>
      </w:r>
      <w:r w:rsidR="002C00DD">
        <w:rPr>
          <w:lang w:eastAsia="ja-JP"/>
        </w:rPr>
        <w:t>.</w:t>
      </w:r>
      <w:r w:rsidRPr="0099728E">
        <w:rPr>
          <w:lang w:eastAsia="ja-JP"/>
        </w:rPr>
        <w:t xml:space="preserve"> </w:t>
      </w:r>
      <w:r w:rsidR="00DE10A8">
        <w:rPr>
          <w:lang w:eastAsia="ja-JP"/>
        </w:rPr>
        <w:t>(</w:t>
      </w:r>
      <w:r w:rsidRPr="0099728E">
        <w:rPr>
          <w:lang w:eastAsia="ja-JP"/>
        </w:rPr>
        <w:t>2017</w:t>
      </w:r>
      <w:r w:rsidR="00DE10A8">
        <w:rPr>
          <w:lang w:eastAsia="ja-JP"/>
        </w:rPr>
        <w:t>)</w:t>
      </w:r>
      <w:r w:rsidR="0099728E" w:rsidRPr="0099728E">
        <w:rPr>
          <w:lang w:eastAsia="ja-JP"/>
        </w:rPr>
        <w:t>;</w:t>
      </w:r>
      <w:r w:rsidR="0099728E" w:rsidRPr="0099728E">
        <w:rPr>
          <w:lang w:eastAsia="ja-JP"/>
        </w:rPr>
        <w:fldChar w:fldCharType="begin"/>
      </w:r>
      <w:r w:rsidR="0099728E" w:rsidRPr="0099728E">
        <w:rPr>
          <w:lang w:eastAsia="ja-JP"/>
        </w:rPr>
        <w:instrText xml:space="preserve"> NOTEREF _Ref103692127 \f \h </w:instrText>
      </w:r>
      <w:r w:rsidR="0099728E">
        <w:rPr>
          <w:lang w:eastAsia="ja-JP"/>
        </w:rPr>
        <w:instrText xml:space="preserve"> \* MERGEFORMAT </w:instrText>
      </w:r>
      <w:r w:rsidR="0099728E" w:rsidRPr="0099728E">
        <w:rPr>
          <w:lang w:eastAsia="ja-JP"/>
        </w:rPr>
      </w:r>
      <w:r w:rsidR="0099728E" w:rsidRPr="0099728E">
        <w:rPr>
          <w:lang w:eastAsia="ja-JP"/>
        </w:rPr>
        <w:fldChar w:fldCharType="separate"/>
      </w:r>
      <w:r w:rsidR="00036995" w:rsidRPr="00036995">
        <w:rPr>
          <w:rStyle w:val="FootnoteReference"/>
        </w:rPr>
        <w:t>21</w:t>
      </w:r>
      <w:r w:rsidR="0099728E" w:rsidRPr="0099728E">
        <w:rPr>
          <w:lang w:eastAsia="ja-JP"/>
        </w:rPr>
        <w:fldChar w:fldCharType="end"/>
      </w:r>
      <w:r>
        <w:rPr>
          <w:lang w:eastAsia="ja-JP"/>
        </w:rPr>
        <w:t xml:space="preserve"> collected voided urine from participants at 48 and 120</w:t>
      </w:r>
      <w:r w:rsidR="00554E79">
        <w:rPr>
          <w:lang w:eastAsia="ja-JP"/>
        </w:rPr>
        <w:t xml:space="preserve"> </w:t>
      </w:r>
      <w:r>
        <w:rPr>
          <w:lang w:eastAsia="ja-JP"/>
        </w:rPr>
        <w:t xml:space="preserve">minutes after injection 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w:t>
      </w:r>
      <w:r>
        <w:rPr>
          <w:lang w:eastAsia="ja-JP"/>
        </w:rPr>
        <w:t>. The radioactivity in the voided urine collected over the 120</w:t>
      </w:r>
      <w:r w:rsidR="00554E79">
        <w:rPr>
          <w:lang w:eastAsia="ja-JP"/>
        </w:rPr>
        <w:t xml:space="preserve"> </w:t>
      </w:r>
      <w:r>
        <w:rPr>
          <w:lang w:eastAsia="ja-JP"/>
        </w:rPr>
        <w:t>minutes accounted for 14% of the injected dose. In Study Ga68PSMA-2016-1, voided urine was collected for 180 minutes post-injection and was found to contain 30</w:t>
      </w:r>
      <w:r w:rsidR="00554E79">
        <w:rPr>
          <w:lang w:eastAsia="ja-JP"/>
        </w:rPr>
        <w:t xml:space="preserve"> to </w:t>
      </w:r>
      <w:r>
        <w:rPr>
          <w:lang w:eastAsia="ja-JP"/>
        </w:rPr>
        <w:t>50% of the injected dose.</w:t>
      </w:r>
    </w:p>
    <w:p w14:paraId="5E517423" w14:textId="3CC486F4" w:rsidR="008A2443" w:rsidRPr="008A2443" w:rsidRDefault="008A2443" w:rsidP="004F7DDA">
      <w:pPr>
        <w:pStyle w:val="Heading5"/>
        <w:rPr>
          <w:rFonts w:asciiTheme="minorHAnsi" w:hAnsiTheme="minorHAnsi"/>
        </w:rPr>
      </w:pPr>
      <w:r>
        <w:rPr>
          <w:lang w:eastAsia="ja-JP"/>
        </w:rPr>
        <w:t>Dosage</w:t>
      </w:r>
    </w:p>
    <w:p w14:paraId="75E150C8" w14:textId="4E10F4A6" w:rsidR="008A2443" w:rsidRDefault="008A2443" w:rsidP="008A2443">
      <w:pPr>
        <w:rPr>
          <w:lang w:eastAsia="ja-JP"/>
        </w:rPr>
      </w:pPr>
      <w:r>
        <w:rPr>
          <w:lang w:eastAsia="ja-JP"/>
        </w:rPr>
        <w:t xml:space="preserve">The proposed activity of </w:t>
      </w:r>
      <w:proofErr w:type="spellStart"/>
      <w:r>
        <w:rPr>
          <w:lang w:eastAsia="ja-JP"/>
        </w:rPr>
        <w:t>I</w:t>
      </w:r>
      <w:r w:rsidR="00554E79">
        <w:rPr>
          <w:lang w:eastAsia="ja-JP"/>
        </w:rPr>
        <w:t>lluccix</w:t>
      </w:r>
      <w:proofErr w:type="spellEnd"/>
      <w:r>
        <w:rPr>
          <w:lang w:eastAsia="ja-JP"/>
        </w:rPr>
        <w:t xml:space="preserve"> (185</w:t>
      </w:r>
      <w:r w:rsidR="00554E79">
        <w:rPr>
          <w:lang w:eastAsia="ja-JP"/>
        </w:rPr>
        <w:t xml:space="preserve"> </w:t>
      </w:r>
      <w:r>
        <w:rPr>
          <w:lang w:eastAsia="ja-JP"/>
        </w:rPr>
        <w:t>M</w:t>
      </w:r>
      <w:r w:rsidR="002C00DD">
        <w:rPr>
          <w:lang w:eastAsia="ja-JP"/>
        </w:rPr>
        <w:t>B</w:t>
      </w:r>
      <w:r>
        <w:rPr>
          <w:lang w:eastAsia="ja-JP"/>
        </w:rPr>
        <w:t>q ±10%) is based on</w:t>
      </w:r>
      <w:r w:rsidRPr="00A90E1A">
        <w:rPr>
          <w:lang w:eastAsia="ja-JP"/>
        </w:rPr>
        <w:t xml:space="preserve"> </w:t>
      </w:r>
      <w:r>
        <w:rPr>
          <w:lang w:eastAsia="ja-JP"/>
        </w:rPr>
        <w:t xml:space="preserve">clinical studies evaluating the </w:t>
      </w:r>
      <w:proofErr w:type="spellStart"/>
      <w:r>
        <w:rPr>
          <w:lang w:eastAsia="ja-JP"/>
        </w:rPr>
        <w:t>Telix</w:t>
      </w:r>
      <w:proofErr w:type="spellEnd"/>
      <w:r>
        <w:rPr>
          <w:lang w:eastAsia="ja-JP"/>
        </w:rPr>
        <w:t xml:space="preserve"> kit as well as published experience with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w:t>
      </w:r>
      <w:r>
        <w:rPr>
          <w:lang w:eastAsia="ja-JP"/>
        </w:rPr>
        <w:t xml:space="preserve">. Flat dosing and weight-based dosing have both been used in the published literature, and in the clinical studies evaluating the </w:t>
      </w:r>
      <w:proofErr w:type="spellStart"/>
      <w:r>
        <w:rPr>
          <w:lang w:eastAsia="ja-JP"/>
        </w:rPr>
        <w:t>Telix</w:t>
      </w:r>
      <w:proofErr w:type="spellEnd"/>
      <w:r>
        <w:rPr>
          <w:lang w:eastAsia="ja-JP"/>
        </w:rPr>
        <w:t xml:space="preserve"> kit. In </w:t>
      </w:r>
      <w:r w:rsidR="00554E79">
        <w:rPr>
          <w:lang w:eastAsia="ja-JP"/>
        </w:rPr>
        <w:t xml:space="preserve">Study </w:t>
      </w:r>
      <w:r>
        <w:rPr>
          <w:lang w:eastAsia="ja-JP"/>
        </w:rPr>
        <w:t>BCR-RET-01, the dose activity was 2.5 MBq/kg Ga</w:t>
      </w:r>
      <w:r w:rsidR="00A1503D">
        <w:rPr>
          <w:lang w:eastAsia="ja-JP"/>
        </w:rPr>
        <w:noBreakHyphen/>
      </w:r>
      <w:r>
        <w:rPr>
          <w:lang w:eastAsia="ja-JP"/>
        </w:rPr>
        <w:t>68</w:t>
      </w:r>
      <w:r w:rsidR="00A1503D">
        <w:rPr>
          <w:lang w:eastAsia="ja-JP"/>
        </w:rPr>
        <w:t> </w:t>
      </w:r>
      <w:r>
        <w:rPr>
          <w:lang w:eastAsia="ja-JP"/>
        </w:rPr>
        <w:t>PSMA-11</w:t>
      </w:r>
      <w:r w:rsidRPr="000D413C">
        <w:rPr>
          <w:lang w:eastAsia="ja-JP"/>
        </w:rPr>
        <w:t xml:space="preserve"> </w:t>
      </w:r>
      <w:r>
        <w:rPr>
          <w:lang w:eastAsia="ja-JP"/>
        </w:rPr>
        <w:t xml:space="preserve">(minimum of 100 MBq, maximum of 300 MBq), whereas </w:t>
      </w:r>
      <w:r w:rsidR="00554E79">
        <w:rPr>
          <w:lang w:eastAsia="ja-JP"/>
        </w:rPr>
        <w:lastRenderedPageBreak/>
        <w:t>Study</w:t>
      </w:r>
      <w:r w:rsidR="00A1503D">
        <w:rPr>
          <w:lang w:eastAsia="ja-JP"/>
        </w:rPr>
        <w:t> </w:t>
      </w:r>
      <w:r>
        <w:rPr>
          <w:lang w:eastAsia="ja-JP"/>
        </w:rPr>
        <w:t>ANMI</w:t>
      </w:r>
      <w:r w:rsidR="00A1503D">
        <w:rPr>
          <w:lang w:eastAsia="ja-JP"/>
        </w:rPr>
        <w:noBreakHyphen/>
      </w:r>
      <w:r>
        <w:rPr>
          <w:lang w:eastAsia="ja-JP"/>
        </w:rPr>
        <w:t>PG01-C301 and Ga68</w:t>
      </w:r>
      <w:r w:rsidR="00554E79">
        <w:rPr>
          <w:lang w:eastAsia="ja-JP"/>
        </w:rPr>
        <w:t xml:space="preserve"> </w:t>
      </w:r>
      <w:r>
        <w:rPr>
          <w:lang w:eastAsia="ja-JP"/>
        </w:rPr>
        <w:t xml:space="preserve">PSMA-2016-01 evaluated a dose of 185 MBq ±10%. The doses used in the clinical trials are consistent with the doses used in published studies and the recommendations in the 2017 </w:t>
      </w:r>
      <w:r w:rsidR="00E74EE3">
        <w:rPr>
          <w:lang w:eastAsia="ja-JP"/>
        </w:rPr>
        <w:t>j</w:t>
      </w:r>
      <w:r>
        <w:rPr>
          <w:lang w:eastAsia="ja-JP"/>
        </w:rPr>
        <w:t xml:space="preserve">oint </w:t>
      </w:r>
      <w:r w:rsidR="00E74EE3">
        <w:rPr>
          <w:lang w:eastAsia="ja-JP"/>
        </w:rPr>
        <w:t xml:space="preserve">European Association of Nuclear Medicine (EANM) </w:t>
      </w:r>
      <w:r>
        <w:rPr>
          <w:lang w:eastAsia="ja-JP"/>
        </w:rPr>
        <w:t xml:space="preserve">and </w:t>
      </w:r>
      <w:r w:rsidR="00E74EE3" w:rsidRPr="00E74EE3">
        <w:rPr>
          <w:lang w:eastAsia="ja-JP"/>
        </w:rPr>
        <w:t>Society of Nuclear Medicine and Molecular Imaging</w:t>
      </w:r>
      <w:r w:rsidR="00E74EE3">
        <w:rPr>
          <w:lang w:eastAsia="ja-JP"/>
        </w:rPr>
        <w:t xml:space="preserve"> (</w:t>
      </w:r>
      <w:r>
        <w:rPr>
          <w:lang w:eastAsia="ja-JP"/>
        </w:rPr>
        <w:t>SNMMI</w:t>
      </w:r>
      <w:r w:rsidR="00E74EE3">
        <w:rPr>
          <w:lang w:eastAsia="ja-JP"/>
        </w:rPr>
        <w:t>)</w:t>
      </w:r>
      <w:r>
        <w:rPr>
          <w:lang w:eastAsia="ja-JP"/>
        </w:rPr>
        <w:t xml:space="preserve"> procedure guideline for prostate cancer imaging.</w:t>
      </w:r>
      <w:bookmarkStart w:id="60" w:name="_Ref104544752"/>
      <w:r>
        <w:rPr>
          <w:rStyle w:val="FootnoteReference"/>
          <w:lang w:eastAsia="ja-JP"/>
        </w:rPr>
        <w:footnoteReference w:id="41"/>
      </w:r>
      <w:bookmarkEnd w:id="60"/>
      <w:r>
        <w:rPr>
          <w:lang w:eastAsia="ja-JP"/>
        </w:rPr>
        <w:t xml:space="preserve"> The guideline advises that </w:t>
      </w:r>
      <w:r w:rsidR="00554E79">
        <w:rPr>
          <w:lang w:eastAsia="ja-JP"/>
        </w:rPr>
        <w:t>‘</w:t>
      </w:r>
      <w:r>
        <w:rPr>
          <w:i/>
          <w:lang w:eastAsia="ja-JP"/>
        </w:rPr>
        <w:t xml:space="preserve">Currently, the optimal injected activity is still under debate. </w:t>
      </w:r>
      <w:proofErr w:type="gramStart"/>
      <w:r>
        <w:rPr>
          <w:i/>
          <w:lang w:eastAsia="ja-JP"/>
        </w:rPr>
        <w:t>The majority of</w:t>
      </w:r>
      <w:proofErr w:type="gramEnd"/>
      <w:r>
        <w:rPr>
          <w:i/>
          <w:lang w:eastAsia="ja-JP"/>
        </w:rPr>
        <w:t xml:space="preserve"> published data is based on an injected activity of approximately 1.8–2.2 MBq per kilogram of body weight</w:t>
      </w:r>
      <w:r w:rsidR="00554E79">
        <w:rPr>
          <w:i/>
          <w:lang w:eastAsia="ja-JP"/>
        </w:rPr>
        <w:t>’</w:t>
      </w:r>
      <w:r>
        <w:rPr>
          <w:lang w:eastAsia="ja-JP"/>
        </w:rPr>
        <w:t>.</w:t>
      </w:r>
    </w:p>
    <w:p w14:paraId="5FE50257" w14:textId="6C2FCA9D" w:rsidR="008A2443" w:rsidRDefault="008A2443" w:rsidP="008A2443">
      <w:pPr>
        <w:rPr>
          <w:lang w:eastAsia="ja-JP"/>
        </w:rPr>
      </w:pPr>
      <w:r>
        <w:rPr>
          <w:lang w:eastAsia="ja-JP"/>
        </w:rPr>
        <w:t xml:space="preserve">It is not clear that there is any particular advantage to </w:t>
      </w:r>
      <w:proofErr w:type="gramStart"/>
      <w:r>
        <w:rPr>
          <w:lang w:eastAsia="ja-JP"/>
        </w:rPr>
        <w:t>weight</w:t>
      </w:r>
      <w:r w:rsidR="00554E79">
        <w:rPr>
          <w:lang w:eastAsia="ja-JP"/>
        </w:rPr>
        <w:t xml:space="preserve"> </w:t>
      </w:r>
      <w:r>
        <w:rPr>
          <w:lang w:eastAsia="ja-JP"/>
        </w:rPr>
        <w:t>based</w:t>
      </w:r>
      <w:proofErr w:type="gramEnd"/>
      <w:r>
        <w:rPr>
          <w:lang w:eastAsia="ja-JP"/>
        </w:rPr>
        <w:t xml:space="preserve"> dosing over a flat dose regimen, and the latter has the advantage of simplifying dosing. The proposed dose of 185</w:t>
      </w:r>
      <w:r w:rsidR="00246D34">
        <w:rPr>
          <w:lang w:eastAsia="ja-JP"/>
        </w:rPr>
        <w:t> </w:t>
      </w:r>
      <w:r>
        <w:rPr>
          <w:lang w:eastAsia="ja-JP"/>
        </w:rPr>
        <w:t>M</w:t>
      </w:r>
      <w:r w:rsidR="002C00DD">
        <w:rPr>
          <w:lang w:eastAsia="ja-JP"/>
        </w:rPr>
        <w:t>B</w:t>
      </w:r>
      <w:r>
        <w:rPr>
          <w:lang w:eastAsia="ja-JP"/>
        </w:rPr>
        <w:t xml:space="preserve">q ±10% would encompass the </w:t>
      </w:r>
      <w:proofErr w:type="gramStart"/>
      <w:r>
        <w:rPr>
          <w:lang w:eastAsia="ja-JP"/>
        </w:rPr>
        <w:t>weight</w:t>
      </w:r>
      <w:r w:rsidR="00554E79">
        <w:rPr>
          <w:lang w:eastAsia="ja-JP"/>
        </w:rPr>
        <w:t xml:space="preserve"> </w:t>
      </w:r>
      <w:r>
        <w:rPr>
          <w:lang w:eastAsia="ja-JP"/>
        </w:rPr>
        <w:t>based</w:t>
      </w:r>
      <w:proofErr w:type="gramEnd"/>
      <w:r>
        <w:rPr>
          <w:lang w:eastAsia="ja-JP"/>
        </w:rPr>
        <w:t xml:space="preserve"> dosing regimen recommended in the 2017 guideline for most patients. Image quality is not solely dependent upon dose but may also vary according to patient, </w:t>
      </w:r>
      <w:proofErr w:type="gramStart"/>
      <w:r>
        <w:rPr>
          <w:lang w:eastAsia="ja-JP"/>
        </w:rPr>
        <w:t>site</w:t>
      </w:r>
      <w:proofErr w:type="gramEnd"/>
      <w:r>
        <w:rPr>
          <w:lang w:eastAsia="ja-JP"/>
        </w:rPr>
        <w:t xml:space="preserve"> and scanner characteristics.</w:t>
      </w:r>
    </w:p>
    <w:p w14:paraId="6F979CD8" w14:textId="77777777" w:rsidR="008A2443" w:rsidRDefault="008A2443" w:rsidP="004F7DDA">
      <w:pPr>
        <w:pStyle w:val="Heading5"/>
      </w:pPr>
      <w:r>
        <w:t>Pharmacodynamic interactions</w:t>
      </w:r>
    </w:p>
    <w:p w14:paraId="2668F11F" w14:textId="5FAC448A" w:rsidR="008A2443" w:rsidRDefault="008A2443" w:rsidP="008A2443">
      <w:pPr>
        <w:rPr>
          <w:lang w:eastAsia="ja-JP"/>
        </w:rPr>
      </w:pPr>
      <w:r>
        <w:rPr>
          <w:lang w:eastAsia="ja-JP"/>
        </w:rPr>
        <w:t xml:space="preserve">The evaluation assessed whether concurrent androgen deprivation therapy may affect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 </w:t>
      </w:r>
      <w:r>
        <w:rPr>
          <w:lang w:eastAsia="ja-JP"/>
        </w:rPr>
        <w:t xml:space="preserve">PET/CT imaging. There are variable findings in the literature as to whether </w:t>
      </w:r>
      <w:r w:rsidR="00554E79">
        <w:rPr>
          <w:lang w:eastAsia="ja-JP"/>
        </w:rPr>
        <w:t>androgen deprivation therapy</w:t>
      </w:r>
      <w:r>
        <w:rPr>
          <w:lang w:eastAsia="ja-JP"/>
        </w:rPr>
        <w:t xml:space="preserve"> may reduce or increase PSMA expression on prostate cancer cells, but </w:t>
      </w:r>
      <w:proofErr w:type="gramStart"/>
      <w:r>
        <w:rPr>
          <w:lang w:eastAsia="ja-JP"/>
        </w:rPr>
        <w:t>the majority of</w:t>
      </w:r>
      <w:proofErr w:type="gramEnd"/>
      <w:r>
        <w:rPr>
          <w:lang w:eastAsia="ja-JP"/>
        </w:rPr>
        <w:t xml:space="preserve"> research suggests that PSMA expression may increase in the short</w:t>
      </w:r>
      <w:r w:rsidR="00554E79">
        <w:rPr>
          <w:lang w:eastAsia="ja-JP"/>
        </w:rPr>
        <w:t xml:space="preserve"> </w:t>
      </w:r>
      <w:r>
        <w:rPr>
          <w:lang w:eastAsia="ja-JP"/>
        </w:rPr>
        <w:t xml:space="preserve">term with </w:t>
      </w:r>
      <w:r w:rsidR="00FA4DFF" w:rsidRPr="00A951ED">
        <w:t>androgen</w:t>
      </w:r>
      <w:r w:rsidR="00FA4DFF">
        <w:t xml:space="preserve"> deprivation therapy</w:t>
      </w:r>
      <w:r>
        <w:rPr>
          <w:lang w:eastAsia="ja-JP"/>
        </w:rPr>
        <w:t xml:space="preserve">. </w:t>
      </w:r>
      <w:r w:rsidRPr="00631230">
        <w:rPr>
          <w:lang w:eastAsia="ja-JP"/>
        </w:rPr>
        <w:t xml:space="preserve">The </w:t>
      </w:r>
      <w:r>
        <w:rPr>
          <w:lang w:eastAsia="ja-JP"/>
        </w:rPr>
        <w:t>effect</w:t>
      </w:r>
      <w:r w:rsidRPr="00631230">
        <w:rPr>
          <w:lang w:eastAsia="ja-JP"/>
        </w:rPr>
        <w:t xml:space="preserve"> of </w:t>
      </w:r>
      <w:r w:rsidR="00554E79">
        <w:rPr>
          <w:lang w:eastAsia="ja-JP"/>
        </w:rPr>
        <w:t>androgen deprivation therapy</w:t>
      </w:r>
      <w:r w:rsidRPr="00631230">
        <w:rPr>
          <w:lang w:eastAsia="ja-JP"/>
        </w:rPr>
        <w:t xml:space="preserve"> on </w:t>
      </w:r>
      <w:r>
        <w:rPr>
          <w:lang w:eastAsia="ja-JP"/>
        </w:rPr>
        <w:t xml:space="preserve">the reliability 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 </w:t>
      </w:r>
      <w:r>
        <w:rPr>
          <w:lang w:eastAsia="ja-JP"/>
        </w:rPr>
        <w:t>PET/CT imaging has not yet been established</w:t>
      </w:r>
      <w:r w:rsidRPr="00631230">
        <w:rPr>
          <w:lang w:eastAsia="ja-JP"/>
        </w:rPr>
        <w:t>.</w:t>
      </w:r>
      <w:r>
        <w:rPr>
          <w:lang w:eastAsia="ja-JP"/>
        </w:rPr>
        <w:t xml:space="preserve"> This uncertainty is addressed in </w:t>
      </w:r>
      <w:r w:rsidR="002C00DD">
        <w:rPr>
          <w:lang w:eastAsia="ja-JP"/>
        </w:rPr>
        <w:t>S</w:t>
      </w:r>
      <w:r>
        <w:rPr>
          <w:lang w:eastAsia="ja-JP"/>
        </w:rPr>
        <w:t xml:space="preserve">ection 4.5 of the </w:t>
      </w:r>
      <w:r w:rsidR="00554E79">
        <w:rPr>
          <w:lang w:eastAsia="ja-JP"/>
        </w:rPr>
        <w:t>PI</w:t>
      </w:r>
      <w:r>
        <w:rPr>
          <w:lang w:eastAsia="ja-JP"/>
        </w:rPr>
        <w:t>.</w:t>
      </w:r>
    </w:p>
    <w:p w14:paraId="22F70669" w14:textId="6ECE5359" w:rsidR="008A2443" w:rsidRDefault="00246D34" w:rsidP="004F7DDA">
      <w:pPr>
        <w:pStyle w:val="Heading5"/>
        <w:rPr>
          <w:lang w:val="en-US"/>
        </w:rPr>
      </w:pPr>
      <w:r>
        <w:rPr>
          <w:lang w:val="en-US"/>
        </w:rPr>
        <w:t>Radiation source and image quality</w:t>
      </w:r>
    </w:p>
    <w:p w14:paraId="79BD9CF1" w14:textId="550AA2C3" w:rsidR="008A2443" w:rsidRDefault="008A2443" w:rsidP="008A2443">
      <w:pPr>
        <w:rPr>
          <w:lang w:eastAsia="ja-JP"/>
        </w:rPr>
      </w:pPr>
      <w:r>
        <w:rPr>
          <w:lang w:val="en-US"/>
        </w:rPr>
        <w:t xml:space="preserve">The </w:t>
      </w:r>
      <w:r w:rsidRPr="00D22770">
        <w:rPr>
          <w:i/>
          <w:lang w:val="en-US"/>
        </w:rPr>
        <w:t>in vitro</w:t>
      </w:r>
      <w:r>
        <w:rPr>
          <w:lang w:val="en-US"/>
        </w:rPr>
        <w:t xml:space="preserve"> biopharmaceutic </w:t>
      </w:r>
      <w:r w:rsidRPr="008A2443">
        <w:rPr>
          <w:lang w:val="en-US"/>
        </w:rPr>
        <w:t>study</w:t>
      </w:r>
      <w:r w:rsidR="00554E79">
        <w:rPr>
          <w:lang w:val="en-US"/>
        </w:rPr>
        <w:t>, Study</w:t>
      </w:r>
      <w:r w:rsidRPr="008A2443">
        <w:rPr>
          <w:lang w:val="en-US"/>
        </w:rPr>
        <w:t xml:space="preserve"> ANMI-PG01-NC01 investigated</w:t>
      </w:r>
      <w:r w:rsidRPr="00F53C73">
        <w:rPr>
          <w:lang w:val="en-US"/>
        </w:rPr>
        <w:t xml:space="preserve"> two different </w:t>
      </w:r>
      <w:r>
        <w:rPr>
          <w:lang w:val="en-US"/>
        </w:rPr>
        <w:t>method</w:t>
      </w:r>
      <w:r w:rsidRPr="00F53C73">
        <w:rPr>
          <w:lang w:val="en-US"/>
        </w:rPr>
        <w:t>s</w:t>
      </w:r>
      <w:r>
        <w:rPr>
          <w:lang w:val="en-US"/>
        </w:rPr>
        <w:t xml:space="preserve"> of</w:t>
      </w:r>
      <w:r w:rsidRPr="00F53C73">
        <w:rPr>
          <w:lang w:val="en-US"/>
        </w:rPr>
        <w:t xml:space="preserve"> preparation</w:t>
      </w:r>
      <w:r>
        <w:rPr>
          <w:lang w:val="en-US"/>
        </w:rPr>
        <w:t xml:space="preserve"> </w:t>
      </w:r>
      <w:r w:rsidRPr="00F53C73">
        <w:rPr>
          <w:lang w:val="en-US"/>
        </w:rPr>
        <w:t xml:space="preserve">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w:t>
      </w:r>
      <w:r w:rsidRPr="00F53C73">
        <w:rPr>
          <w:lang w:val="en-US"/>
        </w:rPr>
        <w:t xml:space="preserve">: one prepared using a </w:t>
      </w:r>
      <w:proofErr w:type="spellStart"/>
      <w:r w:rsidRPr="00F53C73">
        <w:rPr>
          <w:lang w:val="en-US"/>
        </w:rPr>
        <w:t>synthesiser</w:t>
      </w:r>
      <w:proofErr w:type="spellEnd"/>
      <w:r w:rsidRPr="00F53C73">
        <w:rPr>
          <w:lang w:val="en-US"/>
        </w:rPr>
        <w:t xml:space="preserve"> </w:t>
      </w:r>
      <w:r>
        <w:rPr>
          <w:lang w:val="en-US"/>
        </w:rPr>
        <w:t>with</w:t>
      </w:r>
      <w:r w:rsidRPr="00F53C73">
        <w:rPr>
          <w:lang w:val="en-US"/>
        </w:rPr>
        <w:t xml:space="preserve"> a heating step, and one prepared using the </w:t>
      </w:r>
      <w:proofErr w:type="spellStart"/>
      <w:r w:rsidRPr="00F53C73">
        <w:rPr>
          <w:lang w:val="en-US"/>
        </w:rPr>
        <w:t>Telix</w:t>
      </w:r>
      <w:proofErr w:type="spellEnd"/>
      <w:r w:rsidRPr="00F53C73">
        <w:rPr>
          <w:lang w:val="en-US"/>
        </w:rPr>
        <w:t xml:space="preserve"> </w:t>
      </w:r>
      <w:r w:rsidR="00554E79">
        <w:rPr>
          <w:lang w:val="en-US"/>
        </w:rPr>
        <w:t>k</w:t>
      </w:r>
      <w:r w:rsidRPr="00F53C73">
        <w:rPr>
          <w:lang w:val="en-US"/>
        </w:rPr>
        <w:t xml:space="preserve">it at room temperature. </w:t>
      </w:r>
      <w:r>
        <w:t xml:space="preserve">This study was also evaluated in the nonclinical evaluation. The cellular binding and internalisation of the two different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 </w:t>
      </w:r>
      <w:r>
        <w:t xml:space="preserve">preparations were found to be similar, </w:t>
      </w:r>
      <w:proofErr w:type="gramStart"/>
      <w:r>
        <w:t>in spite of</w:t>
      </w:r>
      <w:proofErr w:type="gramEnd"/>
      <w:r>
        <w:t xml:space="preserve"> the difference in the diastereomer profiles of the preparations. </w:t>
      </w:r>
      <w:r w:rsidRPr="00F4449E">
        <w:rPr>
          <w:rFonts w:cs="Calibri"/>
          <w:lang w:eastAsia="ja-JP"/>
        </w:rPr>
        <w:t>The findings from this study suggest that the presence of different patterns of diastereomers a</w:t>
      </w:r>
      <w:r>
        <w:rPr>
          <w:rFonts w:cs="Calibri"/>
          <w:lang w:eastAsia="ja-JP"/>
        </w:rPr>
        <w:t>ris</w:t>
      </w:r>
      <w:r w:rsidRPr="00F4449E">
        <w:rPr>
          <w:rFonts w:cs="Calibri"/>
          <w:lang w:eastAsia="ja-JP"/>
        </w:rPr>
        <w:t xml:space="preserve">ing </w:t>
      </w:r>
      <w:r>
        <w:rPr>
          <w:rFonts w:cs="Calibri"/>
          <w:lang w:eastAsia="ja-JP"/>
        </w:rPr>
        <w:t>from</w:t>
      </w:r>
      <w:r w:rsidRPr="00F4449E">
        <w:rPr>
          <w:rFonts w:cs="Calibri"/>
          <w:lang w:eastAsia="ja-JP"/>
        </w:rPr>
        <w:t xml:space="preserve"> </w:t>
      </w:r>
      <w:r>
        <w:rPr>
          <w:rFonts w:cs="Calibri"/>
          <w:lang w:eastAsia="ja-JP"/>
        </w:rPr>
        <w:t>the different</w:t>
      </w:r>
      <w:r w:rsidRPr="00F4449E">
        <w:rPr>
          <w:rFonts w:cs="Calibri"/>
          <w:lang w:eastAsia="ja-JP"/>
        </w:rPr>
        <w:t xml:space="preserve"> preparation method</w:t>
      </w:r>
      <w:r>
        <w:rPr>
          <w:rFonts w:cs="Calibri"/>
          <w:lang w:eastAsia="ja-JP"/>
        </w:rPr>
        <w:t>s</w:t>
      </w:r>
      <w:r w:rsidRPr="00F4449E">
        <w:rPr>
          <w:rFonts w:cs="Calibri"/>
          <w:lang w:eastAsia="ja-JP"/>
        </w:rPr>
        <w:t xml:space="preserve"> does not alter cell binding and internalisation.</w:t>
      </w:r>
    </w:p>
    <w:p w14:paraId="7A3ACF98" w14:textId="43AE7185" w:rsidR="008A2443" w:rsidRDefault="008A2443" w:rsidP="008A2443">
      <w:pPr>
        <w:rPr>
          <w:rFonts w:ascii="Times New Roman" w:eastAsiaTheme="minorHAnsi" w:hAnsi="Times New Roman"/>
          <w:sz w:val="24"/>
          <w:szCs w:val="24"/>
          <w:lang w:eastAsia="en-AU"/>
        </w:rPr>
      </w:pPr>
      <w:proofErr w:type="spellStart"/>
      <w:r>
        <w:rPr>
          <w:lang w:eastAsia="ja-JP"/>
        </w:rPr>
        <w:t>Calderoni</w:t>
      </w:r>
      <w:proofErr w:type="spellEnd"/>
      <w:r>
        <w:rPr>
          <w:lang w:eastAsia="ja-JP"/>
        </w:rPr>
        <w:t xml:space="preserve"> et al</w:t>
      </w:r>
      <w:r w:rsidR="002C00DD">
        <w:rPr>
          <w:lang w:eastAsia="ja-JP"/>
        </w:rPr>
        <w:t>.</w:t>
      </w:r>
      <w:r>
        <w:rPr>
          <w:lang w:eastAsia="ja-JP"/>
        </w:rPr>
        <w:t xml:space="preserve"> </w:t>
      </w:r>
      <w:r w:rsidR="00DE10A8">
        <w:rPr>
          <w:lang w:eastAsia="ja-JP"/>
        </w:rPr>
        <w:t>(</w:t>
      </w:r>
      <w:r>
        <w:rPr>
          <w:lang w:eastAsia="ja-JP"/>
        </w:rPr>
        <w:t>2020</w:t>
      </w:r>
      <w:r w:rsidR="00DE10A8">
        <w:rPr>
          <w:lang w:eastAsia="ja-JP"/>
        </w:rPr>
        <w:t>)</w:t>
      </w:r>
      <w:r w:rsidR="00554E79">
        <w:rPr>
          <w:lang w:eastAsia="ja-JP"/>
        </w:rPr>
        <w:t>;</w:t>
      </w:r>
      <w:bookmarkStart w:id="61" w:name="_Ref103692665"/>
      <w:r>
        <w:rPr>
          <w:rStyle w:val="FootnoteReference"/>
          <w:lang w:eastAsia="ja-JP"/>
        </w:rPr>
        <w:footnoteReference w:id="42"/>
      </w:r>
      <w:bookmarkEnd w:id="61"/>
      <w:r>
        <w:rPr>
          <w:lang w:eastAsia="ja-JP"/>
        </w:rPr>
        <w:t xml:space="preserve"> reported that the method of preparation 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w:t>
      </w:r>
      <w:r w:rsidR="002C00DD">
        <w:rPr>
          <w:rStyle w:val="style1"/>
          <w:rFonts w:cstheme="minorHAnsi"/>
          <w:iCs/>
        </w:rPr>
        <w:noBreakHyphen/>
        <w:t xml:space="preserve">11 </w:t>
      </w:r>
      <w:r>
        <w:rPr>
          <w:lang w:eastAsia="ja-JP"/>
        </w:rPr>
        <w:t xml:space="preserve">does not appear to affect image quality. This study retrospectively compared PET/CT image quality with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 </w:t>
      </w:r>
      <w:r>
        <w:rPr>
          <w:lang w:eastAsia="ja-JP"/>
        </w:rPr>
        <w:t xml:space="preserve">prepared using the </w:t>
      </w:r>
      <w:proofErr w:type="spellStart"/>
      <w:r>
        <w:rPr>
          <w:lang w:eastAsia="ja-JP"/>
        </w:rPr>
        <w:t>Telix</w:t>
      </w:r>
      <w:proofErr w:type="spellEnd"/>
      <w:r>
        <w:rPr>
          <w:lang w:eastAsia="ja-JP"/>
        </w:rPr>
        <w:t xml:space="preserve"> kit to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Ga] </w:t>
      </w:r>
      <w:r w:rsidR="00293AB9">
        <w:rPr>
          <w:rStyle w:val="style1"/>
          <w:rFonts w:cstheme="minorHAnsi"/>
          <w:iCs/>
        </w:rPr>
        <w:t>gallium</w:t>
      </w:r>
      <w:r w:rsidR="002C00DD">
        <w:rPr>
          <w:rStyle w:val="style1"/>
          <w:rFonts w:cstheme="minorHAnsi"/>
          <w:iCs/>
        </w:rPr>
        <w:t xml:space="preserve"> PSMA-11 </w:t>
      </w:r>
      <w:r>
        <w:rPr>
          <w:lang w:eastAsia="ja-JP"/>
        </w:rPr>
        <w:t>prepared using a synthesiser method in 200 patients with prostate cancer. The study concluded that there was no significant difference in the image ratings between the kit and synthesiser module (</w:t>
      </w:r>
      <w:r w:rsidR="00246D34">
        <w:rPr>
          <w:lang w:eastAsia="ja-JP"/>
        </w:rPr>
        <w:t xml:space="preserve">see </w:t>
      </w:r>
      <w:r>
        <w:rPr>
          <w:lang w:eastAsia="ja-JP"/>
        </w:rPr>
        <w:fldChar w:fldCharType="begin"/>
      </w:r>
      <w:r>
        <w:rPr>
          <w:lang w:eastAsia="ja-JP"/>
        </w:rPr>
        <w:instrText xml:space="preserve"> REF _Ref103346681 \h </w:instrText>
      </w:r>
      <w:r>
        <w:rPr>
          <w:lang w:eastAsia="ja-JP"/>
        </w:rPr>
      </w:r>
      <w:r>
        <w:rPr>
          <w:lang w:eastAsia="ja-JP"/>
        </w:rPr>
        <w:fldChar w:fldCharType="separate"/>
      </w:r>
      <w:r w:rsidR="00036995" w:rsidRPr="008A2443">
        <w:t xml:space="preserve">Table </w:t>
      </w:r>
      <w:r w:rsidR="00036995">
        <w:rPr>
          <w:noProof/>
        </w:rPr>
        <w:t>3</w:t>
      </w:r>
      <w:r>
        <w:rPr>
          <w:lang w:eastAsia="ja-JP"/>
        </w:rPr>
        <w:fldChar w:fldCharType="end"/>
      </w:r>
      <w:r>
        <w:rPr>
          <w:lang w:eastAsia="ja-JP"/>
        </w:rPr>
        <w:t>)</w:t>
      </w:r>
    </w:p>
    <w:p w14:paraId="5E355093" w14:textId="64737B50" w:rsidR="008A2443" w:rsidRDefault="008A2443" w:rsidP="008A2443">
      <w:pPr>
        <w:pStyle w:val="TableTitle"/>
      </w:pPr>
      <w:bookmarkStart w:id="62" w:name="_Ref103346681"/>
      <w:r w:rsidRPr="008A2443">
        <w:t xml:space="preserve">Table </w:t>
      </w:r>
      <w:fldSimple w:instr=" SEQ Table \* ARABIC ">
        <w:r w:rsidR="00036995">
          <w:rPr>
            <w:noProof/>
          </w:rPr>
          <w:t>3</w:t>
        </w:r>
      </w:fldSimple>
      <w:bookmarkEnd w:id="62"/>
      <w:r>
        <w:t xml:space="preserve">: </w:t>
      </w:r>
      <w:proofErr w:type="spellStart"/>
      <w:r w:rsidR="00246D34">
        <w:t>Calderoni</w:t>
      </w:r>
      <w:proofErr w:type="spellEnd"/>
      <w:r w:rsidR="00246D34">
        <w:t xml:space="preserve"> et al</w:t>
      </w:r>
      <w:r w:rsidR="002C00DD">
        <w:t>.</w:t>
      </w:r>
      <w:r w:rsidR="00246D34">
        <w:t xml:space="preserve"> (2020); </w:t>
      </w:r>
      <w:r>
        <w:t xml:space="preserve">Rating of images according to </w:t>
      </w:r>
      <w:r w:rsidR="002C00DD">
        <w:t xml:space="preserve">preparation method 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w:t>
      </w:r>
    </w:p>
    <w:p w14:paraId="08DA10F3" w14:textId="06875E40" w:rsidR="008A2443" w:rsidRDefault="008A2443" w:rsidP="008A2443">
      <w:r>
        <w:rPr>
          <w:noProof/>
          <w:lang w:val="en-GB" w:eastAsia="en-GB"/>
        </w:rPr>
        <w:drawing>
          <wp:inline distT="0" distB="0" distL="0" distR="0" wp14:anchorId="653261B6" wp14:editId="2C80B7FE">
            <wp:extent cx="3395207" cy="1089214"/>
            <wp:effectExtent l="0" t="0" r="0" b="0"/>
            <wp:docPr id="4" name="Picture 4" descr="Rating of images according to Ga68 PSMA-11 preparation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ting of images according to Ga68 PSMA-11 preparation method "/>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3468297" cy="1112662"/>
                    </a:xfrm>
                    <a:prstGeom prst="rect">
                      <a:avLst/>
                    </a:prstGeom>
                  </pic:spPr>
                </pic:pic>
              </a:graphicData>
            </a:graphic>
          </wp:inline>
        </w:drawing>
      </w:r>
    </w:p>
    <w:p w14:paraId="1237814A" w14:textId="653D0313" w:rsidR="00554E79" w:rsidRDefault="00554E79" w:rsidP="00554E79">
      <w:pPr>
        <w:pStyle w:val="TableDescription"/>
      </w:pPr>
      <w:r>
        <w:lastRenderedPageBreak/>
        <w:t xml:space="preserve">Source: </w:t>
      </w:r>
      <w:proofErr w:type="spellStart"/>
      <w:r w:rsidR="00246D34" w:rsidRPr="00246D34">
        <w:rPr>
          <w:lang w:eastAsia="ja-JP"/>
        </w:rPr>
        <w:t>Calderoni</w:t>
      </w:r>
      <w:proofErr w:type="spellEnd"/>
      <w:r w:rsidR="00246D34" w:rsidRPr="00246D34">
        <w:rPr>
          <w:lang w:eastAsia="ja-JP"/>
        </w:rPr>
        <w:t xml:space="preserve"> et al. Evaluation of an Automated Module Synthesis and a Sterile Cold Kit–Based Preparation of 68Ga-PSMA-11 in Patients with Prostate Cancer. </w:t>
      </w:r>
      <w:r w:rsidR="00246D34" w:rsidRPr="004F7DDA">
        <w:rPr>
          <w:i/>
          <w:lang w:eastAsia="ja-JP"/>
        </w:rPr>
        <w:t>Journal of Nuclear Medicine</w:t>
      </w:r>
      <w:r w:rsidR="00246D34" w:rsidRPr="00246D34">
        <w:rPr>
          <w:lang w:eastAsia="ja-JP"/>
        </w:rPr>
        <w:t>. 2020; 61 (5) 716-722</w:t>
      </w:r>
    </w:p>
    <w:p w14:paraId="2E698FA3" w14:textId="70ABE05E" w:rsidR="00363767" w:rsidRDefault="00363767" w:rsidP="004F7DDA">
      <w:pPr>
        <w:pStyle w:val="Heading4"/>
      </w:pPr>
      <w:r>
        <w:t xml:space="preserve">Diagnostic </w:t>
      </w:r>
      <w:r w:rsidR="00246D34">
        <w:t>e</w:t>
      </w:r>
      <w:r w:rsidRPr="00F74A2E">
        <w:t>fficacy</w:t>
      </w:r>
    </w:p>
    <w:p w14:paraId="22B830D7" w14:textId="76E60236" w:rsidR="00363767" w:rsidRPr="007A4178" w:rsidRDefault="00363767" w:rsidP="00363767">
      <w:r w:rsidRPr="007A4178">
        <w:t xml:space="preserve">The evidence of clinical diagnostic efficacy for the </w:t>
      </w:r>
      <w:proofErr w:type="spellStart"/>
      <w:r w:rsidRPr="007A4178">
        <w:t>Telix</w:t>
      </w:r>
      <w:proofErr w:type="spellEnd"/>
      <w:r w:rsidRPr="007A4178">
        <w:t xml:space="preserve"> </w:t>
      </w:r>
      <w:r w:rsidR="00554E79" w:rsidRPr="007A4178">
        <w:t>k</w:t>
      </w:r>
      <w:r w:rsidRPr="007A4178">
        <w:t>it is based primarily on:</w:t>
      </w:r>
    </w:p>
    <w:p w14:paraId="0F366CAB" w14:textId="06EDD67A" w:rsidR="00363767" w:rsidRPr="007A4178" w:rsidRDefault="00363767" w:rsidP="00363767">
      <w:pPr>
        <w:pStyle w:val="ListBullet"/>
      </w:pPr>
      <w:r w:rsidRPr="007A4178">
        <w:t xml:space="preserve">Study BCR-RET-01, a retrospective analysis of efficacy information collected as part of a prospective study by Memorial Sloan Kettering Cancer </w:t>
      </w:r>
      <w:proofErr w:type="spellStart"/>
      <w:r w:rsidRPr="007A4178">
        <w:t>Center</w:t>
      </w:r>
      <w:proofErr w:type="spellEnd"/>
      <w:r w:rsidRPr="007A4178">
        <w:t xml:space="preserve"> (MSKCC) in patients with known or suspected biochemically recurrent prostate cancer (BCR PC); and </w:t>
      </w:r>
    </w:p>
    <w:p w14:paraId="35F39751" w14:textId="416F3884" w:rsidR="00363767" w:rsidRPr="007A4178" w:rsidRDefault="00363767" w:rsidP="00363767">
      <w:pPr>
        <w:pStyle w:val="ListBullet"/>
      </w:pPr>
      <w:r w:rsidRPr="007A4178">
        <w:t>Published studies reporting the diagnostic efficacy of Ga-68 PSMA-11 PET/CT in patients with prostate cancer.</w:t>
      </w:r>
    </w:p>
    <w:p w14:paraId="5656C8E5" w14:textId="0CCB68A4" w:rsidR="00363767" w:rsidRDefault="00363767" w:rsidP="00363767">
      <w:r>
        <w:t xml:space="preserve">The submission also included the </w:t>
      </w:r>
      <w:r w:rsidR="00A304D4">
        <w:t>s</w:t>
      </w:r>
      <w:r>
        <w:t xml:space="preserve">ponsor’s </w:t>
      </w:r>
      <w:r w:rsidR="00246D34">
        <w:t>S</w:t>
      </w:r>
      <w:r>
        <w:t>tudy ANMI-PG01-C301 as a supportive efficacy study.</w:t>
      </w:r>
      <w:r w:rsidR="00D23754">
        <w:t xml:space="preserve"> </w:t>
      </w:r>
      <w:r>
        <w:t>This was a retrospective, observational study conducted in Europe in patients with prostate cancer who had undergone radical treatment by prostatectomy or radiotherapy.</w:t>
      </w:r>
    </w:p>
    <w:p w14:paraId="2CDB86B4" w14:textId="4D687335" w:rsidR="00363767" w:rsidRPr="001674AD" w:rsidRDefault="00363767" w:rsidP="00363767">
      <w:pPr>
        <w:pStyle w:val="TableTitle"/>
      </w:pPr>
      <w:r w:rsidRPr="00363767">
        <w:t xml:space="preserve">Table </w:t>
      </w:r>
      <w:fldSimple w:instr=" SEQ Table \* ARABIC ">
        <w:r w:rsidR="00036995">
          <w:rPr>
            <w:noProof/>
          </w:rPr>
          <w:t>4</w:t>
        </w:r>
      </w:fldSimple>
      <w:r>
        <w:t xml:space="preserve">: </w:t>
      </w:r>
      <w:r w:rsidRPr="001674AD">
        <w:t xml:space="preserve">Description of </w:t>
      </w:r>
      <w:r w:rsidR="0037310D">
        <w:t>c</w:t>
      </w:r>
      <w:r w:rsidRPr="001674AD">
        <w:t xml:space="preserve">linical </w:t>
      </w:r>
      <w:r w:rsidR="0037310D">
        <w:t>e</w:t>
      </w:r>
      <w:r w:rsidRPr="001674AD">
        <w:t xml:space="preserve">fficacy </w:t>
      </w:r>
      <w:r w:rsidR="0037310D">
        <w:t>s</w:t>
      </w:r>
      <w:r w:rsidRPr="001674AD">
        <w:t xml:space="preserve">tudies </w:t>
      </w:r>
      <w:r w:rsidR="0037310D">
        <w:t>c</w:t>
      </w:r>
      <w:r w:rsidRPr="001674AD">
        <w:t xml:space="preserve">onducted by </w:t>
      </w:r>
      <w:r w:rsidR="00246D34">
        <w:t>sponsor</w:t>
      </w:r>
    </w:p>
    <w:p w14:paraId="10468D10" w14:textId="4CE4ACD9" w:rsidR="00363767" w:rsidRDefault="00363767" w:rsidP="00363767">
      <w:pPr>
        <w:pStyle w:val="Caption"/>
      </w:pPr>
      <w:r>
        <w:rPr>
          <w:noProof/>
          <w:lang w:val="en-GB" w:eastAsia="en-GB"/>
        </w:rPr>
        <w:drawing>
          <wp:inline distT="0" distB="0" distL="0" distR="0" wp14:anchorId="0D05E88C" wp14:editId="1A39A019">
            <wp:extent cx="5340096" cy="1416041"/>
            <wp:effectExtent l="0" t="0" r="0" b="0"/>
            <wp:docPr id="1" name="Picture 1" descr="Description of Clinical Efficacy Studies Conducted by Te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of Clinical Efficacy Studies Conducted by Telix"/>
                    <pic:cNvPicPr/>
                  </pic:nvPicPr>
                  <pic:blipFill>
                    <a:blip r:embed="rId21"/>
                    <a:stretch>
                      <a:fillRect/>
                    </a:stretch>
                  </pic:blipFill>
                  <pic:spPr>
                    <a:xfrm>
                      <a:off x="0" y="0"/>
                      <a:ext cx="5343276" cy="1416884"/>
                    </a:xfrm>
                    <a:prstGeom prst="rect">
                      <a:avLst/>
                    </a:prstGeom>
                  </pic:spPr>
                </pic:pic>
              </a:graphicData>
            </a:graphic>
          </wp:inline>
        </w:drawing>
      </w:r>
    </w:p>
    <w:p w14:paraId="17F877A3" w14:textId="07419E62" w:rsidR="00363767" w:rsidRDefault="00363767" w:rsidP="00363767">
      <w:pPr>
        <w:pStyle w:val="TableDescription"/>
      </w:pPr>
      <w:r w:rsidRPr="001674AD">
        <w:t>Abbreviations: BCR PC = biochemically recurrent prostate cancer; CDR = correct detection rate; ID</w:t>
      </w:r>
      <w:r w:rsidR="00246D34">
        <w:t> </w:t>
      </w:r>
      <w:r w:rsidRPr="001674AD">
        <w:t>=</w:t>
      </w:r>
      <w:r w:rsidR="00246D34">
        <w:t> </w:t>
      </w:r>
      <w:r w:rsidRPr="001674AD">
        <w:t>identification; IV = intravenous; MSKCC = Memorial</w:t>
      </w:r>
      <w:r>
        <w:t xml:space="preserve"> </w:t>
      </w:r>
      <w:r w:rsidRPr="001674AD">
        <w:t xml:space="preserve">Sloan Kettering Cancer </w:t>
      </w:r>
      <w:proofErr w:type="spellStart"/>
      <w:r w:rsidRPr="001674AD">
        <w:t>Center</w:t>
      </w:r>
      <w:proofErr w:type="spellEnd"/>
      <w:r w:rsidRPr="001674AD">
        <w:t>; OBS</w:t>
      </w:r>
      <w:r w:rsidR="00246D34">
        <w:t> </w:t>
      </w:r>
      <w:r w:rsidRPr="001674AD">
        <w:t>=</w:t>
      </w:r>
      <w:r w:rsidR="00246D34">
        <w:t> </w:t>
      </w:r>
      <w:r w:rsidRPr="001674AD">
        <w:t>observational; OL = open</w:t>
      </w:r>
      <w:r w:rsidR="0037310D">
        <w:t xml:space="preserve"> </w:t>
      </w:r>
      <w:r w:rsidRPr="001674AD">
        <w:t xml:space="preserve">label; RET = retrospective; </w:t>
      </w:r>
      <w:proofErr w:type="spellStart"/>
      <w:r w:rsidRPr="001674AD">
        <w:t>sens</w:t>
      </w:r>
      <w:proofErr w:type="spellEnd"/>
      <w:r w:rsidRPr="001674AD">
        <w:t xml:space="preserve"> = sensitivity; SOT = standard of truth; spec = specificity;</w:t>
      </w:r>
      <w:r>
        <w:t xml:space="preserve"> </w:t>
      </w:r>
      <w:r w:rsidRPr="001674AD">
        <w:t>VLR = verified local</w:t>
      </w:r>
      <w:r w:rsidR="00A304D4">
        <w:t>is</w:t>
      </w:r>
      <w:r w:rsidRPr="001674AD">
        <w:t>ation rate.</w:t>
      </w:r>
    </w:p>
    <w:p w14:paraId="5C83002F" w14:textId="77777777" w:rsidR="00363767" w:rsidRDefault="00363767" w:rsidP="004F7DDA">
      <w:pPr>
        <w:pStyle w:val="Heading5"/>
      </w:pPr>
      <w:r>
        <w:t>Study BCR-RET-01</w:t>
      </w:r>
    </w:p>
    <w:p w14:paraId="28AAEFB4" w14:textId="10174173" w:rsidR="00363767" w:rsidRPr="001674AD" w:rsidRDefault="00363767" w:rsidP="00363767">
      <w:r>
        <w:t>This was a retrospective, open-label study evaluating data collected as part of an ongoing prospective study</w:t>
      </w:r>
      <w:r w:rsidRPr="0006049F">
        <w:rPr>
          <w:lang w:eastAsia="ja-JP"/>
        </w:rPr>
        <w:t xml:space="preserve">, </w:t>
      </w:r>
      <w:r w:rsidRPr="007A4178">
        <w:rPr>
          <w:rFonts w:eastAsiaTheme="minorHAnsi"/>
          <w:lang w:val="en-US"/>
        </w:rPr>
        <w:t xml:space="preserve">PSMA PET </w:t>
      </w:r>
      <w:r w:rsidR="007A4178">
        <w:rPr>
          <w:rFonts w:eastAsiaTheme="minorHAnsi"/>
          <w:lang w:val="en-US"/>
        </w:rPr>
        <w:t>i</w:t>
      </w:r>
      <w:r w:rsidRPr="007A4178">
        <w:rPr>
          <w:rFonts w:eastAsiaTheme="minorHAnsi"/>
          <w:lang w:val="en-US"/>
        </w:rPr>
        <w:t xml:space="preserve">maging of </w:t>
      </w:r>
      <w:r w:rsidR="007A4178">
        <w:rPr>
          <w:rFonts w:eastAsiaTheme="minorHAnsi"/>
          <w:lang w:val="en-US"/>
        </w:rPr>
        <w:t>r</w:t>
      </w:r>
      <w:r w:rsidRPr="007A4178">
        <w:rPr>
          <w:rFonts w:eastAsiaTheme="minorHAnsi"/>
          <w:lang w:val="en-US"/>
        </w:rPr>
        <w:t xml:space="preserve">ecurrent </w:t>
      </w:r>
      <w:r w:rsidR="007A4178">
        <w:rPr>
          <w:rFonts w:eastAsiaTheme="minorHAnsi"/>
          <w:lang w:val="en-US"/>
        </w:rPr>
        <w:t>p</w:t>
      </w:r>
      <w:r w:rsidRPr="007A4178">
        <w:rPr>
          <w:rFonts w:eastAsiaTheme="minorHAnsi"/>
          <w:lang w:val="en-US"/>
        </w:rPr>
        <w:t xml:space="preserve">rostate </w:t>
      </w:r>
      <w:r w:rsidR="007A4178">
        <w:rPr>
          <w:rFonts w:eastAsiaTheme="minorHAnsi"/>
          <w:lang w:val="en-US"/>
        </w:rPr>
        <w:t>c</w:t>
      </w:r>
      <w:r w:rsidRPr="007A4178">
        <w:rPr>
          <w:rFonts w:eastAsiaTheme="minorHAnsi"/>
          <w:lang w:val="en-US"/>
        </w:rPr>
        <w:t>ancer</w:t>
      </w:r>
      <w:r w:rsidR="008929A3">
        <w:rPr>
          <w:rFonts w:eastAsiaTheme="minorHAnsi"/>
          <w:lang w:val="en-US"/>
        </w:rPr>
        <w:t xml:space="preserve"> </w:t>
      </w:r>
      <w:r w:rsidR="008929A3" w:rsidRPr="0006049F">
        <w:rPr>
          <w:rFonts w:eastAsia="TimesNewRoman" w:cs="TimesNewRoman"/>
          <w:lang w:val="en-US"/>
        </w:rPr>
        <w:t>being</w:t>
      </w:r>
      <w:r w:rsidR="008929A3" w:rsidRPr="0006049F">
        <w:rPr>
          <w:lang w:eastAsia="ja-JP"/>
        </w:rPr>
        <w:t xml:space="preserve"> conducted at </w:t>
      </w:r>
      <w:r w:rsidR="008929A3">
        <w:rPr>
          <w:lang w:eastAsia="ja-JP"/>
        </w:rPr>
        <w:t xml:space="preserve">seven </w:t>
      </w:r>
      <w:r w:rsidR="008929A3" w:rsidRPr="0006049F">
        <w:rPr>
          <w:lang w:eastAsia="ja-JP"/>
        </w:rPr>
        <w:t>MSKCC</w:t>
      </w:r>
      <w:r w:rsidR="008929A3">
        <w:rPr>
          <w:lang w:eastAsia="ja-JP"/>
        </w:rPr>
        <w:t xml:space="preserve"> sites in the </w:t>
      </w:r>
      <w:proofErr w:type="gramStart"/>
      <w:r w:rsidR="008929A3">
        <w:rPr>
          <w:lang w:eastAsia="ja-JP"/>
        </w:rPr>
        <w:t>USA.</w:t>
      </w:r>
      <w:r w:rsidRPr="007A4178">
        <w:rPr>
          <w:rFonts w:eastAsiaTheme="minorHAnsi"/>
          <w:lang w:val="en-US"/>
        </w:rPr>
        <w:t>.</w:t>
      </w:r>
      <w:proofErr w:type="gramEnd"/>
      <w:r w:rsidR="008929A3">
        <w:rPr>
          <w:rStyle w:val="FootnoteReference"/>
          <w:rFonts w:eastAsiaTheme="minorHAnsi"/>
          <w:lang w:val="en-US"/>
        </w:rPr>
        <w:footnoteReference w:id="43"/>
      </w:r>
      <w:r w:rsidRPr="007A4178">
        <w:rPr>
          <w:rFonts w:eastAsiaTheme="minorHAnsi"/>
          <w:lang w:val="en-US"/>
        </w:rPr>
        <w:t xml:space="preserve"> </w:t>
      </w:r>
    </w:p>
    <w:p w14:paraId="40BAA40F" w14:textId="0D58849B" w:rsidR="00363767" w:rsidRDefault="00363767" w:rsidP="00363767">
      <w:pPr>
        <w:rPr>
          <w:lang w:eastAsia="ja-JP"/>
        </w:rPr>
      </w:pPr>
      <w:r>
        <w:rPr>
          <w:lang w:eastAsia="ja-JP"/>
        </w:rPr>
        <w:t xml:space="preserve">The primary objective of the retrospective study was to demonstrate the efficacy of the </w:t>
      </w:r>
      <w:proofErr w:type="spellStart"/>
      <w:r>
        <w:rPr>
          <w:lang w:eastAsia="ja-JP"/>
        </w:rPr>
        <w:t>Telix</w:t>
      </w:r>
      <w:proofErr w:type="spellEnd"/>
      <w:r>
        <w:rPr>
          <w:lang w:eastAsia="ja-JP"/>
        </w:rPr>
        <w:t xml:space="preserve"> Kit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w:t>
      </w:r>
      <w:r>
        <w:rPr>
          <w:lang w:eastAsia="ja-JP"/>
        </w:rPr>
        <w:t xml:space="preserve">) as an accurate imaging technique for use with PET for the detection and localisation of prostate cancer in men diagnosed with BCR PC. The secondary objective was to evaluate the diagnostic accuracy 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 </w:t>
      </w:r>
      <w:r>
        <w:rPr>
          <w:lang w:eastAsia="ja-JP"/>
        </w:rPr>
        <w:t xml:space="preserve">as well as to assess the safety profile of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 </w:t>
      </w:r>
      <w:r>
        <w:rPr>
          <w:lang w:eastAsia="ja-JP"/>
        </w:rPr>
        <w:t xml:space="preserve">imaging in patients diagnosed with </w:t>
      </w:r>
      <w:r w:rsidR="002C00DD">
        <w:rPr>
          <w:lang w:eastAsia="ja-JP"/>
        </w:rPr>
        <w:t>biochemically recurrent prostate cancer</w:t>
      </w:r>
      <w:r>
        <w:rPr>
          <w:lang w:eastAsia="ja-JP"/>
        </w:rPr>
        <w:t>.</w:t>
      </w:r>
    </w:p>
    <w:p w14:paraId="2BAFC946" w14:textId="205E0E25" w:rsidR="00B813F0" w:rsidRDefault="00B813F0" w:rsidP="004F7DDA">
      <w:pPr>
        <w:pStyle w:val="Heading6"/>
        <w:rPr>
          <w:lang w:eastAsia="ja-JP"/>
        </w:rPr>
      </w:pPr>
      <w:r>
        <w:rPr>
          <w:lang w:eastAsia="ja-JP"/>
        </w:rPr>
        <w:t>Inclusion and exclusion criteria</w:t>
      </w:r>
    </w:p>
    <w:p w14:paraId="53349ADB" w14:textId="77777777" w:rsidR="00363767" w:rsidRDefault="00363767" w:rsidP="00363767">
      <w:pPr>
        <w:rPr>
          <w:lang w:eastAsia="ja-JP"/>
        </w:rPr>
      </w:pPr>
      <w:r>
        <w:rPr>
          <w:lang w:eastAsia="ja-JP"/>
        </w:rPr>
        <w:t>Inclusion criteria for the prospective study included:</w:t>
      </w:r>
    </w:p>
    <w:p w14:paraId="2425A15F" w14:textId="4368991B" w:rsidR="00363767" w:rsidRPr="00651A18" w:rsidRDefault="007A4178" w:rsidP="00363767">
      <w:pPr>
        <w:pStyle w:val="ListBullet"/>
        <w:rPr>
          <w:lang w:val="en-US"/>
        </w:rPr>
      </w:pPr>
      <w:r>
        <w:rPr>
          <w:lang w:val="en-US"/>
        </w:rPr>
        <w:t>b</w:t>
      </w:r>
      <w:r w:rsidR="00363767" w:rsidRPr="00651A18">
        <w:rPr>
          <w:lang w:val="en-US"/>
        </w:rPr>
        <w:t xml:space="preserve">iopsy proven adenocarcinoma of the </w:t>
      </w:r>
      <w:proofErr w:type="gramStart"/>
      <w:r w:rsidR="00363767" w:rsidRPr="00651A18">
        <w:rPr>
          <w:lang w:val="en-US"/>
        </w:rPr>
        <w:t>prostate</w:t>
      </w:r>
      <w:r>
        <w:rPr>
          <w:lang w:val="en-US"/>
        </w:rPr>
        <w:t>;</w:t>
      </w:r>
      <w:proofErr w:type="gramEnd"/>
    </w:p>
    <w:p w14:paraId="52AC7CDF" w14:textId="1EC67D33" w:rsidR="00363767" w:rsidRPr="00651A18" w:rsidRDefault="007A4178" w:rsidP="00363767">
      <w:pPr>
        <w:pStyle w:val="ListBullet"/>
        <w:rPr>
          <w:lang w:val="en-US"/>
        </w:rPr>
      </w:pPr>
      <w:r>
        <w:rPr>
          <w:lang w:val="en-US"/>
        </w:rPr>
        <w:t>i</w:t>
      </w:r>
      <w:r w:rsidR="00363767" w:rsidRPr="00651A18">
        <w:rPr>
          <w:lang w:val="en-US"/>
        </w:rPr>
        <w:t>nitially treated with definitive local therapy (surgery and radiation therapy are the most common treatments, but other treatments are also eligible</w:t>
      </w:r>
      <w:proofErr w:type="gramStart"/>
      <w:r w:rsidR="00363767" w:rsidRPr="00651A18">
        <w:rPr>
          <w:lang w:val="en-US"/>
        </w:rPr>
        <w:t>)</w:t>
      </w:r>
      <w:r>
        <w:rPr>
          <w:lang w:val="en-US"/>
        </w:rPr>
        <w:t>;</w:t>
      </w:r>
      <w:proofErr w:type="gramEnd"/>
    </w:p>
    <w:p w14:paraId="3E3F5C2A" w14:textId="3D9C0B3F" w:rsidR="00363767" w:rsidRPr="00463D1D" w:rsidRDefault="007A4178" w:rsidP="00363767">
      <w:pPr>
        <w:pStyle w:val="ListBullet"/>
        <w:rPr>
          <w:lang w:val="en-US"/>
        </w:rPr>
      </w:pPr>
      <w:r>
        <w:rPr>
          <w:lang w:val="en-US"/>
        </w:rPr>
        <w:lastRenderedPageBreak/>
        <w:t>f</w:t>
      </w:r>
      <w:r w:rsidR="00363767" w:rsidRPr="00651A18">
        <w:rPr>
          <w:lang w:val="en-US"/>
        </w:rPr>
        <w:t>or patients initially treated with surgery, radiation therapy</w:t>
      </w:r>
      <w:r w:rsidR="00363767">
        <w:rPr>
          <w:lang w:val="en-US"/>
        </w:rPr>
        <w:t xml:space="preserve">, brachytherapy, or cryotherapy, </w:t>
      </w:r>
      <w:r w:rsidR="00363767" w:rsidRPr="00463D1D">
        <w:rPr>
          <w:lang w:val="en-US"/>
        </w:rPr>
        <w:t xml:space="preserve">PSA ≥ 0.2 ng/mL in at least two consecutive tests within </w:t>
      </w:r>
      <w:r>
        <w:rPr>
          <w:lang w:val="en-US"/>
        </w:rPr>
        <w:t>six</w:t>
      </w:r>
      <w:r w:rsidR="00363767" w:rsidRPr="00463D1D">
        <w:rPr>
          <w:lang w:val="en-US"/>
        </w:rPr>
        <w:t xml:space="preserve"> months of date of consent for patients. Note: The most recent PSA value must be within </w:t>
      </w:r>
      <w:r>
        <w:rPr>
          <w:lang w:val="en-US"/>
        </w:rPr>
        <w:t>six</w:t>
      </w:r>
      <w:r w:rsidR="00363767" w:rsidRPr="00463D1D">
        <w:rPr>
          <w:lang w:val="en-US"/>
        </w:rPr>
        <w:t xml:space="preserve"> weeks of </w:t>
      </w:r>
      <w:proofErr w:type="gramStart"/>
      <w:r w:rsidR="00363767" w:rsidRPr="00463D1D">
        <w:rPr>
          <w:lang w:val="en-US"/>
        </w:rPr>
        <w:t>consent</w:t>
      </w:r>
      <w:r>
        <w:rPr>
          <w:lang w:val="en-US"/>
        </w:rPr>
        <w:t>;</w:t>
      </w:r>
      <w:proofErr w:type="gramEnd"/>
    </w:p>
    <w:p w14:paraId="1FBF9957" w14:textId="47A82AB0" w:rsidR="00363767" w:rsidRPr="00463D1D" w:rsidRDefault="007A4178" w:rsidP="00363767">
      <w:pPr>
        <w:pStyle w:val="ListBullet"/>
        <w:rPr>
          <w:lang w:val="en-US"/>
        </w:rPr>
      </w:pPr>
      <w:r>
        <w:rPr>
          <w:lang w:val="en-US"/>
        </w:rPr>
        <w:t>f</w:t>
      </w:r>
      <w:r w:rsidR="00363767" w:rsidRPr="00651A18">
        <w:rPr>
          <w:lang w:val="en-US"/>
        </w:rPr>
        <w:t xml:space="preserve">or patients who have received additional treatment in the </w:t>
      </w:r>
      <w:r w:rsidR="00363767">
        <w:rPr>
          <w:lang w:val="en-US"/>
        </w:rPr>
        <w:t xml:space="preserve">recurrent or metastatic setting, </w:t>
      </w:r>
      <w:r w:rsidR="00363767" w:rsidRPr="00463D1D">
        <w:rPr>
          <w:lang w:val="en-US"/>
        </w:rPr>
        <w:t xml:space="preserve">PSA ≥ 2 ng/ml above the most recent therapy </w:t>
      </w:r>
      <w:proofErr w:type="gramStart"/>
      <w:r w:rsidR="00363767" w:rsidRPr="00463D1D">
        <w:rPr>
          <w:lang w:val="en-US"/>
        </w:rPr>
        <w:t>nadir</w:t>
      </w:r>
      <w:r>
        <w:rPr>
          <w:lang w:val="en-US"/>
        </w:rPr>
        <w:t>;</w:t>
      </w:r>
      <w:proofErr w:type="gramEnd"/>
    </w:p>
    <w:p w14:paraId="146A6F88" w14:textId="087F38B6" w:rsidR="00363767" w:rsidRDefault="007A4178" w:rsidP="00363767">
      <w:pPr>
        <w:pStyle w:val="ListBullet"/>
        <w:rPr>
          <w:lang w:val="en-US"/>
        </w:rPr>
      </w:pPr>
      <w:r>
        <w:rPr>
          <w:lang w:val="en-US"/>
        </w:rPr>
        <w:t>a</w:t>
      </w:r>
      <w:r w:rsidR="00363767" w:rsidRPr="00651A18">
        <w:rPr>
          <w:lang w:val="en-US"/>
        </w:rPr>
        <w:t>ge ≥ 18 years</w:t>
      </w:r>
      <w:r>
        <w:rPr>
          <w:lang w:val="en-US"/>
        </w:rPr>
        <w:t>, and</w:t>
      </w:r>
    </w:p>
    <w:p w14:paraId="52456E7A" w14:textId="3CD4DBB3" w:rsidR="00363767" w:rsidRPr="002C576A" w:rsidRDefault="007A4178" w:rsidP="00363767">
      <w:pPr>
        <w:pStyle w:val="ListBullet"/>
        <w:rPr>
          <w:lang w:val="en-US"/>
        </w:rPr>
      </w:pPr>
      <w:r>
        <w:rPr>
          <w:lang w:val="en-US"/>
        </w:rPr>
        <w:t>p</w:t>
      </w:r>
      <w:r w:rsidR="00363767" w:rsidRPr="002C576A">
        <w:rPr>
          <w:lang w:val="en-US"/>
        </w:rPr>
        <w:t>atient must be able to tolerate PET/CT or PET/MR imaging</w:t>
      </w:r>
      <w:r>
        <w:rPr>
          <w:lang w:val="en-US"/>
        </w:rPr>
        <w:t>.</w:t>
      </w:r>
    </w:p>
    <w:p w14:paraId="4CAC0F64" w14:textId="77777777" w:rsidR="00363767" w:rsidRDefault="00363767" w:rsidP="00363767">
      <w:pPr>
        <w:rPr>
          <w:lang w:val="en-US"/>
        </w:rPr>
      </w:pPr>
      <w:r>
        <w:rPr>
          <w:lang w:val="en-US"/>
        </w:rPr>
        <w:t>Additional inclusion criteria for the retrospective study included:</w:t>
      </w:r>
    </w:p>
    <w:p w14:paraId="7FD75DB2" w14:textId="27A9DF72" w:rsidR="00363767" w:rsidRPr="00651A18" w:rsidRDefault="007A4178" w:rsidP="00363767">
      <w:pPr>
        <w:pStyle w:val="ListBullet"/>
        <w:rPr>
          <w:lang w:val="en-US"/>
        </w:rPr>
      </w:pPr>
      <w:r>
        <w:rPr>
          <w:lang w:val="en-US"/>
        </w:rPr>
        <w:t>r</w:t>
      </w:r>
      <w:r w:rsidR="00363767" w:rsidRPr="00651A18">
        <w:rPr>
          <w:lang w:val="en-US"/>
        </w:rPr>
        <w:t xml:space="preserve">ising PSA after curative intent therapy with prostatectomy or radiation therapy (external beam, or brachytherapy) or </w:t>
      </w:r>
      <w:proofErr w:type="gramStart"/>
      <w:r w:rsidR="00363767" w:rsidRPr="00651A18">
        <w:rPr>
          <w:lang w:val="en-US"/>
        </w:rPr>
        <w:t>cryotherapy</w:t>
      </w:r>
      <w:r>
        <w:rPr>
          <w:lang w:val="en-US"/>
        </w:rPr>
        <w:t>;</w:t>
      </w:r>
      <w:proofErr w:type="gramEnd"/>
    </w:p>
    <w:p w14:paraId="043264DD" w14:textId="1FA057A7" w:rsidR="00363767" w:rsidRPr="00651A18" w:rsidRDefault="007A4178" w:rsidP="00363767">
      <w:pPr>
        <w:pStyle w:val="ListBullet2"/>
        <w:rPr>
          <w:lang w:val="en-US"/>
        </w:rPr>
      </w:pPr>
      <w:r>
        <w:rPr>
          <w:lang w:val="en-US"/>
        </w:rPr>
        <w:t>i</w:t>
      </w:r>
      <w:r w:rsidR="00363767" w:rsidRPr="00651A18">
        <w:rPr>
          <w:lang w:val="en-US"/>
        </w:rPr>
        <w:t>f post-radical prostatectomy, PSA ≥</w:t>
      </w:r>
      <w:r>
        <w:rPr>
          <w:lang w:val="en-US"/>
        </w:rPr>
        <w:t> </w:t>
      </w:r>
      <w:r w:rsidR="00363767" w:rsidRPr="00651A18">
        <w:rPr>
          <w:lang w:val="en-US"/>
        </w:rPr>
        <w:t>0.2 ng/mL measured &gt;</w:t>
      </w:r>
      <w:r>
        <w:rPr>
          <w:lang w:val="en-US"/>
        </w:rPr>
        <w:t xml:space="preserve"> </w:t>
      </w:r>
      <w:r w:rsidR="00363767" w:rsidRPr="00651A18">
        <w:rPr>
          <w:lang w:val="en-US"/>
        </w:rPr>
        <w:t>6 weeks post-operatively and confirmatory persistent PSA &gt;</w:t>
      </w:r>
      <w:r>
        <w:rPr>
          <w:lang w:val="en-US"/>
        </w:rPr>
        <w:t> </w:t>
      </w:r>
      <w:r w:rsidR="00363767" w:rsidRPr="00651A18">
        <w:rPr>
          <w:lang w:val="en-US"/>
        </w:rPr>
        <w:t>0.2 ng/mL</w:t>
      </w:r>
      <w:r>
        <w:rPr>
          <w:lang w:val="en-US"/>
        </w:rPr>
        <w:t>,</w:t>
      </w:r>
    </w:p>
    <w:p w14:paraId="1C5414AE" w14:textId="3CEB080B" w:rsidR="00363767" w:rsidRDefault="007A4178" w:rsidP="00363767">
      <w:pPr>
        <w:pStyle w:val="ListBullet2"/>
        <w:rPr>
          <w:lang w:val="en-US"/>
        </w:rPr>
      </w:pPr>
      <w:r>
        <w:rPr>
          <w:lang w:val="en-US"/>
        </w:rPr>
        <w:t>i</w:t>
      </w:r>
      <w:r w:rsidR="00363767" w:rsidRPr="00651A18">
        <w:rPr>
          <w:lang w:val="en-US"/>
        </w:rPr>
        <w:t>f post-radiation therapy, PSA ≥</w:t>
      </w:r>
      <w:r>
        <w:rPr>
          <w:lang w:val="en-US"/>
        </w:rPr>
        <w:t> </w:t>
      </w:r>
      <w:r w:rsidR="00363767" w:rsidRPr="00651A18">
        <w:rPr>
          <w:lang w:val="en-US"/>
        </w:rPr>
        <w:t>2 ng/mL rise above PSA nadir</w:t>
      </w:r>
      <w:r w:rsidR="00363767">
        <w:rPr>
          <w:lang w:val="en-US"/>
        </w:rPr>
        <w:t>.</w:t>
      </w:r>
    </w:p>
    <w:p w14:paraId="3750C908" w14:textId="713F4AB2" w:rsidR="00B813F0" w:rsidRDefault="00B813F0" w:rsidP="004F7DDA">
      <w:pPr>
        <w:pStyle w:val="Heading6"/>
      </w:pPr>
      <w:r>
        <w:t>Methods</w:t>
      </w:r>
    </w:p>
    <w:p w14:paraId="60AA18FF" w14:textId="17E3EC5A" w:rsidR="00363767" w:rsidRDefault="002C00DD" w:rsidP="00363767">
      <w:pPr>
        <w:rPr>
          <w:lang w:eastAsia="ja-JP"/>
        </w:rPr>
      </w:pP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363767" w:rsidRPr="006A0241">
        <w:t xml:space="preserve">was prepared either by </w:t>
      </w:r>
      <w:r w:rsidR="00363767">
        <w:t>the</w:t>
      </w:r>
      <w:r w:rsidR="00363767" w:rsidRPr="006A0241">
        <w:t xml:space="preserve"> MSKCC method or by the </w:t>
      </w:r>
      <w:proofErr w:type="spellStart"/>
      <w:r w:rsidR="00363767" w:rsidRPr="006A0241">
        <w:t>Telix</w:t>
      </w:r>
      <w:proofErr w:type="spellEnd"/>
      <w:r w:rsidR="00363767" w:rsidRPr="006A0241">
        <w:t xml:space="preserve"> Kit</w:t>
      </w:r>
      <w:r w:rsidR="00363767">
        <w:t>. A</w:t>
      </w:r>
      <w:r w:rsidR="00363767" w:rsidRPr="006A0241">
        <w:t xml:space="preserve">llocation to either </w:t>
      </w:r>
      <w:r w:rsidR="00363767">
        <w:t xml:space="preserve">preparation </w:t>
      </w:r>
      <w:r w:rsidR="00363767" w:rsidRPr="006A0241">
        <w:t xml:space="preserve">method </w:t>
      </w:r>
      <w:r w:rsidR="00363767">
        <w:t xml:space="preserve">was </w:t>
      </w:r>
      <w:r w:rsidR="00363767" w:rsidRPr="006A0241">
        <w:t xml:space="preserve">by convenience. </w:t>
      </w:r>
      <w:r w:rsidR="00363767">
        <w:t>The target dose activity was 2.5</w:t>
      </w:r>
      <w:r w:rsidR="007A4178">
        <w:t> </w:t>
      </w:r>
      <w:r w:rsidR="00363767">
        <w:t>MBq/kg body weight (minimum of 100 MBq, maximum of 300 MBq) via an intravenous catheter. Image acquisition was initiated 60</w:t>
      </w:r>
      <w:r w:rsidR="007A4178">
        <w:t xml:space="preserve"> to </w:t>
      </w:r>
      <w:r w:rsidR="00363767">
        <w:t>90 minutes after administration.</w:t>
      </w:r>
    </w:p>
    <w:p w14:paraId="788DDAE8" w14:textId="74318B45" w:rsidR="00363767" w:rsidRDefault="00363767" w:rsidP="00363767">
      <w:pPr>
        <w:rPr>
          <w:lang w:eastAsia="ja-JP"/>
        </w:rPr>
      </w:pPr>
      <w:r>
        <w:rPr>
          <w:lang w:eastAsia="ja-JP"/>
        </w:rPr>
        <w:t xml:space="preserve">De-identified </w:t>
      </w:r>
      <w:r w:rsidR="002C00DD">
        <w:rPr>
          <w:rStyle w:val="style1"/>
          <w:rFonts w:cstheme="minorHAnsi"/>
          <w:iCs/>
        </w:rPr>
        <w:t>[</w:t>
      </w:r>
      <w:r w:rsidR="002C00DD">
        <w:rPr>
          <w:rStyle w:val="style1"/>
          <w:rFonts w:cstheme="minorHAnsi"/>
          <w:iCs/>
          <w:vertAlign w:val="superscript"/>
        </w:rPr>
        <w:t>68</w:t>
      </w:r>
      <w:r w:rsidR="002C00DD">
        <w:rPr>
          <w:rStyle w:val="style1"/>
          <w:rFonts w:cstheme="minorHAnsi"/>
          <w:iCs/>
        </w:rPr>
        <w:t xml:space="preserve">Ga] </w:t>
      </w:r>
      <w:r w:rsidR="00293AB9">
        <w:rPr>
          <w:rStyle w:val="style1"/>
          <w:rFonts w:cstheme="minorHAnsi"/>
          <w:iCs/>
        </w:rPr>
        <w:t>gallium</w:t>
      </w:r>
      <w:r w:rsidR="002C00DD">
        <w:rPr>
          <w:rStyle w:val="style1"/>
          <w:rFonts w:cstheme="minorHAnsi"/>
          <w:iCs/>
        </w:rPr>
        <w:t xml:space="preserve"> PSMA-11 </w:t>
      </w:r>
      <w:r>
        <w:rPr>
          <w:lang w:eastAsia="ja-JP"/>
        </w:rPr>
        <w:t xml:space="preserve">PET scan images for each patient were independently interpreted by </w:t>
      </w:r>
      <w:r w:rsidR="007A4178">
        <w:rPr>
          <w:lang w:eastAsia="ja-JP"/>
        </w:rPr>
        <w:t>three</w:t>
      </w:r>
      <w:r>
        <w:rPr>
          <w:lang w:eastAsia="ja-JP"/>
        </w:rPr>
        <w:t xml:space="preserve"> readers</w:t>
      </w:r>
      <w:r w:rsidRPr="002749F0">
        <w:rPr>
          <w:lang w:eastAsia="ja-JP"/>
        </w:rPr>
        <w:t xml:space="preserve"> </w:t>
      </w:r>
      <w:r>
        <w:rPr>
          <w:lang w:eastAsia="ja-JP"/>
        </w:rPr>
        <w:t xml:space="preserve">blinded to clinical data and conventional imaging data. Each reader was to review the images and determine whether the patient was positive or negative for BCR PC, based solely on the </w:t>
      </w:r>
      <w:r w:rsidR="00F06A31">
        <w:rPr>
          <w:rStyle w:val="style1"/>
          <w:rFonts w:cstheme="minorHAnsi"/>
          <w:iCs/>
        </w:rPr>
        <w:t>[</w:t>
      </w:r>
      <w:r w:rsidR="00F06A31">
        <w:rPr>
          <w:rStyle w:val="style1"/>
          <w:rFonts w:cstheme="minorHAnsi"/>
          <w:iCs/>
          <w:vertAlign w:val="superscript"/>
        </w:rPr>
        <w:t>68</w:t>
      </w:r>
      <w:r w:rsidR="00F06A31">
        <w:rPr>
          <w:rStyle w:val="style1"/>
          <w:rFonts w:cstheme="minorHAnsi"/>
          <w:iCs/>
        </w:rPr>
        <w:t xml:space="preserve">Ga] </w:t>
      </w:r>
      <w:r w:rsidR="00293AB9">
        <w:rPr>
          <w:rStyle w:val="style1"/>
          <w:rFonts w:cstheme="minorHAnsi"/>
          <w:iCs/>
        </w:rPr>
        <w:t>gallium</w:t>
      </w:r>
      <w:r w:rsidR="00F06A31">
        <w:rPr>
          <w:rStyle w:val="style1"/>
          <w:rFonts w:cstheme="minorHAnsi"/>
          <w:iCs/>
        </w:rPr>
        <w:t xml:space="preserve"> PSMA-11 </w:t>
      </w:r>
      <w:r>
        <w:rPr>
          <w:lang w:eastAsia="ja-JP"/>
        </w:rPr>
        <w:t>PET scan image. The reader was to document the specific location where BCR PC was observed according to pre-defined regions</w:t>
      </w:r>
      <w:r w:rsidRPr="00465121">
        <w:rPr>
          <w:lang w:eastAsia="ja-JP"/>
        </w:rPr>
        <w:t xml:space="preserve"> </w:t>
      </w:r>
      <w:r>
        <w:rPr>
          <w:lang w:eastAsia="ja-JP"/>
        </w:rPr>
        <w:t xml:space="preserve">and sub-regions. The four pre-defined regions were </w:t>
      </w:r>
      <w:r w:rsidRPr="003E30D9">
        <w:rPr>
          <w:rFonts w:eastAsia="TimesNewRoman" w:cs="TimesNewRoman"/>
          <w:lang w:val="en-US"/>
        </w:rPr>
        <w:t>prostate bed, pelvic lymph</w:t>
      </w:r>
      <w:r>
        <w:rPr>
          <w:rFonts w:eastAsia="TimesNewRoman" w:cs="TimesNewRoman"/>
          <w:lang w:val="en-US"/>
        </w:rPr>
        <w:t xml:space="preserve"> </w:t>
      </w:r>
      <w:r w:rsidRPr="003E30D9">
        <w:rPr>
          <w:rFonts w:eastAsia="TimesNewRoman" w:cs="TimesNewRoman"/>
          <w:lang w:val="en-US"/>
        </w:rPr>
        <w:t>nodes, skeleton, and other distant sites</w:t>
      </w:r>
      <w:r>
        <w:rPr>
          <w:rFonts w:eastAsia="TimesNewRoman" w:cs="TimesNewRoman"/>
          <w:lang w:val="en-US"/>
        </w:rPr>
        <w:t xml:space="preserve"> (extra-pelvic lymph nodes and viscera)</w:t>
      </w:r>
      <w:r>
        <w:rPr>
          <w:lang w:eastAsia="ja-JP"/>
        </w:rPr>
        <w:t>.</w:t>
      </w:r>
    </w:p>
    <w:p w14:paraId="7513E22D" w14:textId="6D6E21E5" w:rsidR="00363767" w:rsidRDefault="00F06A31" w:rsidP="00363767">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363767">
        <w:t>PET findings were assessed against the reference standards of histopathology (standard of truth) and conventional imaging. It is noteworthy that p</w:t>
      </w:r>
      <w:r w:rsidR="00363767">
        <w:rPr>
          <w:lang w:eastAsia="ja-JP"/>
        </w:rPr>
        <w:t xml:space="preserve">ositive </w:t>
      </w: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363767">
        <w:rPr>
          <w:lang w:eastAsia="ja-JP"/>
        </w:rPr>
        <w:t xml:space="preserve">PET findings were verified by biopsy, surgical procedure, and/or conventional imaging </w:t>
      </w:r>
      <w:r w:rsidR="00363767" w:rsidRPr="007A4178">
        <w:rPr>
          <w:iCs/>
          <w:lang w:eastAsia="ja-JP"/>
        </w:rPr>
        <w:t>at the discretion of the referring physician</w:t>
      </w:r>
      <w:r w:rsidR="00363767">
        <w:rPr>
          <w:lang w:eastAsia="ja-JP"/>
        </w:rPr>
        <w:t>, so reference standard data may not be available in all scenarios.</w:t>
      </w:r>
    </w:p>
    <w:p w14:paraId="16D8C7C5" w14:textId="37B86E31" w:rsidR="00363767" w:rsidRDefault="00363767" w:rsidP="00363767">
      <w:r>
        <w:t xml:space="preserve">The retrospective study included 422 consecutive patients who had a </w:t>
      </w:r>
      <w:r w:rsidR="00F06A31">
        <w:rPr>
          <w:rStyle w:val="style1"/>
          <w:rFonts w:cstheme="minorHAnsi"/>
          <w:iCs/>
        </w:rPr>
        <w:t>[</w:t>
      </w:r>
      <w:r w:rsidR="00F06A31">
        <w:rPr>
          <w:rStyle w:val="style1"/>
          <w:rFonts w:cstheme="minorHAnsi"/>
          <w:iCs/>
          <w:vertAlign w:val="superscript"/>
        </w:rPr>
        <w:t>68</w:t>
      </w:r>
      <w:r w:rsidR="00F06A31">
        <w:rPr>
          <w:rStyle w:val="style1"/>
          <w:rFonts w:cstheme="minorHAnsi"/>
          <w:iCs/>
        </w:rPr>
        <w:t>Ga] </w:t>
      </w:r>
      <w:r w:rsidR="00293AB9">
        <w:rPr>
          <w:rStyle w:val="style1"/>
          <w:rFonts w:cstheme="minorHAnsi"/>
          <w:iCs/>
        </w:rPr>
        <w:t>gallium</w:t>
      </w:r>
      <w:r w:rsidR="00F06A31">
        <w:rPr>
          <w:rStyle w:val="style1"/>
          <w:rFonts w:cstheme="minorHAnsi"/>
          <w:iCs/>
        </w:rPr>
        <w:t xml:space="preserve"> PSMA-11 </w:t>
      </w:r>
      <w:r>
        <w:t xml:space="preserve">PET scan between 4 August 2017 (the start of the MSKCC study) and 31 August 2019, which permitted all patients in this window to have at least </w:t>
      </w:r>
      <w:r w:rsidR="007A4178">
        <w:t xml:space="preserve">six </w:t>
      </w:r>
      <w:r>
        <w:t>months of clinical follow</w:t>
      </w:r>
      <w:r w:rsidR="007A4178">
        <w:t xml:space="preserve"> </w:t>
      </w:r>
      <w:r>
        <w:t xml:space="preserve">up after the scan. The primary efficacy analyses were originally planned to be conducted on the </w:t>
      </w:r>
      <w:r w:rsidR="007A4178">
        <w:t>f</w:t>
      </w:r>
      <w:r>
        <w:t xml:space="preserve">ull </w:t>
      </w:r>
      <w:r w:rsidR="007A4178">
        <w:t>a</w:t>
      </w:r>
      <w:r>
        <w:t xml:space="preserve">nalysis </w:t>
      </w:r>
      <w:r w:rsidR="007A4178">
        <w:t>s</w:t>
      </w:r>
      <w:r>
        <w:t>et (422 patients), but during the</w:t>
      </w:r>
      <w:r w:rsidRPr="00380BD9">
        <w:t xml:space="preserve"> </w:t>
      </w:r>
      <w:r>
        <w:t xml:space="preserve">transfer of data from MSKCC, </w:t>
      </w:r>
      <w:proofErr w:type="spellStart"/>
      <w:r>
        <w:t>Telix</w:t>
      </w:r>
      <w:proofErr w:type="spellEnd"/>
      <w:r>
        <w:t xml:space="preserve"> learned that only 348 patients had reference standard data to compare to their PSMA scan result. The FDA had provided advice that the co-primary analysis should be based on a comparison of PSMA scan results to a reference standard, so </w:t>
      </w:r>
      <w:proofErr w:type="spellStart"/>
      <w:r>
        <w:t>Telix</w:t>
      </w:r>
      <w:proofErr w:type="spellEnd"/>
      <w:r>
        <w:t xml:space="preserve"> defined a new primary efficacy population, the </w:t>
      </w:r>
      <w:r w:rsidR="007A4178">
        <w:t>e</w:t>
      </w:r>
      <w:r>
        <w:t xml:space="preserve">fficacy </w:t>
      </w:r>
      <w:r w:rsidR="007A4178">
        <w:t>e</w:t>
      </w:r>
      <w:r>
        <w:t xml:space="preserve">valuable </w:t>
      </w:r>
      <w:r w:rsidR="007A4178">
        <w:t>p</w:t>
      </w:r>
      <w:r>
        <w:t>opulation, comprising 348 patients who had reference standard data in addition to a PSMA scan (</w:t>
      </w:r>
      <w:r w:rsidR="008929A3">
        <w:t xml:space="preserve">see </w:t>
      </w:r>
      <w:r>
        <w:fldChar w:fldCharType="begin"/>
      </w:r>
      <w:r>
        <w:instrText xml:space="preserve"> REF _Ref103346913 \h </w:instrText>
      </w:r>
      <w:r>
        <w:fldChar w:fldCharType="separate"/>
      </w:r>
      <w:r w:rsidR="00036995" w:rsidRPr="00363767">
        <w:t xml:space="preserve">Table </w:t>
      </w:r>
      <w:r w:rsidR="00036995">
        <w:rPr>
          <w:noProof/>
        </w:rPr>
        <w:t>5</w:t>
      </w:r>
      <w:r>
        <w:fldChar w:fldCharType="end"/>
      </w:r>
      <w:r>
        <w:t>). Of these, only 57 patients had histopathology as a reference standard, and the rest had c</w:t>
      </w:r>
      <w:r w:rsidRPr="000D2741">
        <w:rPr>
          <w:rFonts w:asciiTheme="minorHAnsi" w:hAnsiTheme="minorHAnsi"/>
          <w:lang w:eastAsia="ja-JP"/>
        </w:rPr>
        <w:t>onventional imaging as the reference standard</w:t>
      </w:r>
      <w:r>
        <w:rPr>
          <w:rFonts w:asciiTheme="minorHAnsi" w:hAnsiTheme="minorHAnsi"/>
          <w:lang w:eastAsia="ja-JP"/>
        </w:rPr>
        <w:t xml:space="preserve"> (</w:t>
      </w:r>
      <w:r w:rsidRPr="000D2741">
        <w:rPr>
          <w:rFonts w:asciiTheme="minorHAnsi" w:hAnsiTheme="minorHAnsi"/>
          <w:lang w:eastAsia="ja-JP"/>
        </w:rPr>
        <w:t>mostly MRI (252</w:t>
      </w:r>
      <w:r w:rsidR="007A4178">
        <w:rPr>
          <w:rFonts w:asciiTheme="minorHAnsi" w:hAnsiTheme="minorHAnsi"/>
          <w:lang w:eastAsia="ja-JP"/>
        </w:rPr>
        <w:t xml:space="preserve"> out of </w:t>
      </w:r>
      <w:r w:rsidRPr="000D2741">
        <w:rPr>
          <w:rFonts w:asciiTheme="minorHAnsi" w:hAnsiTheme="minorHAnsi"/>
          <w:lang w:eastAsia="ja-JP"/>
        </w:rPr>
        <w:t>348), CT (180</w:t>
      </w:r>
      <w:r w:rsidR="007A4178">
        <w:rPr>
          <w:rFonts w:asciiTheme="minorHAnsi" w:hAnsiTheme="minorHAnsi"/>
          <w:lang w:eastAsia="ja-JP"/>
        </w:rPr>
        <w:t xml:space="preserve"> out of </w:t>
      </w:r>
      <w:r w:rsidRPr="000D2741">
        <w:rPr>
          <w:rFonts w:asciiTheme="minorHAnsi" w:hAnsiTheme="minorHAnsi"/>
          <w:lang w:eastAsia="ja-JP"/>
        </w:rPr>
        <w:t>348) and radionuclide bone scan (128</w:t>
      </w:r>
      <w:r w:rsidR="007A4178">
        <w:rPr>
          <w:rFonts w:asciiTheme="minorHAnsi" w:hAnsiTheme="minorHAnsi"/>
          <w:lang w:eastAsia="ja-JP"/>
        </w:rPr>
        <w:t xml:space="preserve"> out of </w:t>
      </w:r>
      <w:r w:rsidRPr="000D2741">
        <w:rPr>
          <w:rFonts w:asciiTheme="minorHAnsi" w:hAnsiTheme="minorHAnsi"/>
          <w:lang w:eastAsia="ja-JP"/>
        </w:rPr>
        <w:t xml:space="preserve">348), but also PET (with </w:t>
      </w:r>
      <w:r w:rsidR="008929A3">
        <w:rPr>
          <w:rFonts w:asciiTheme="minorHAnsi" w:hAnsiTheme="minorHAnsi"/>
          <w:lang w:eastAsia="ja-JP"/>
        </w:rPr>
        <w:t>[</w:t>
      </w:r>
      <w:r w:rsidR="008929A3" w:rsidRPr="004F7DDA">
        <w:rPr>
          <w:rFonts w:asciiTheme="minorHAnsi" w:hAnsiTheme="minorHAnsi"/>
          <w:vertAlign w:val="superscript"/>
          <w:lang w:eastAsia="ja-JP"/>
        </w:rPr>
        <w:t>18</w:t>
      </w:r>
      <w:proofErr w:type="gramStart"/>
      <w:r w:rsidR="00F06A31">
        <w:rPr>
          <w:rFonts w:asciiTheme="minorHAnsi" w:hAnsiTheme="minorHAnsi"/>
          <w:lang w:eastAsia="ja-JP"/>
        </w:rPr>
        <w:t>F]</w:t>
      </w:r>
      <w:r w:rsidR="00F06A31">
        <w:rPr>
          <w:rFonts w:asciiTheme="minorHAnsi" w:hAnsiTheme="minorHAnsi"/>
          <w:lang w:eastAsia="ja-JP"/>
        </w:rPr>
        <w:noBreakHyphen/>
      </w:r>
      <w:proofErr w:type="gramEnd"/>
      <w:r w:rsidR="008929A3" w:rsidRPr="008929A3">
        <w:rPr>
          <w:rFonts w:asciiTheme="minorHAnsi" w:hAnsiTheme="minorHAnsi"/>
          <w:lang w:eastAsia="ja-JP"/>
        </w:rPr>
        <w:t>fluorodeoxyglucose</w:t>
      </w:r>
      <w:r w:rsidRPr="000D2741">
        <w:rPr>
          <w:rFonts w:asciiTheme="minorHAnsi" w:hAnsiTheme="minorHAnsi"/>
          <w:lang w:eastAsia="ja-JP"/>
        </w:rPr>
        <w:t xml:space="preserve">, </w:t>
      </w:r>
      <w:r w:rsidR="00937AD4">
        <w:rPr>
          <w:rFonts w:asciiTheme="minorHAnsi" w:hAnsiTheme="minorHAnsi"/>
          <w:lang w:eastAsia="ja-JP"/>
        </w:rPr>
        <w:t>[</w:t>
      </w:r>
      <w:r w:rsidR="00937AD4" w:rsidRPr="004F7DDA">
        <w:rPr>
          <w:rFonts w:asciiTheme="minorHAnsi" w:hAnsiTheme="minorHAnsi"/>
          <w:vertAlign w:val="superscript"/>
          <w:lang w:eastAsia="ja-JP"/>
        </w:rPr>
        <w:t>11</w:t>
      </w:r>
      <w:r w:rsidR="00937AD4">
        <w:rPr>
          <w:rFonts w:asciiTheme="minorHAnsi" w:hAnsiTheme="minorHAnsi"/>
          <w:lang w:eastAsia="ja-JP"/>
        </w:rPr>
        <w:t>C]- and [</w:t>
      </w:r>
      <w:r w:rsidR="00937AD4" w:rsidRPr="004F7DDA">
        <w:rPr>
          <w:rFonts w:asciiTheme="minorHAnsi" w:hAnsiTheme="minorHAnsi"/>
          <w:vertAlign w:val="superscript"/>
          <w:lang w:eastAsia="ja-JP"/>
        </w:rPr>
        <w:t>18</w:t>
      </w:r>
      <w:r w:rsidR="00937AD4">
        <w:rPr>
          <w:rFonts w:asciiTheme="minorHAnsi" w:hAnsiTheme="minorHAnsi"/>
          <w:lang w:eastAsia="ja-JP"/>
        </w:rPr>
        <w:t>F]</w:t>
      </w:r>
      <w:r w:rsidR="00937AD4">
        <w:rPr>
          <w:rFonts w:asciiTheme="minorHAnsi" w:hAnsiTheme="minorHAnsi"/>
          <w:lang w:eastAsia="ja-JP"/>
        </w:rPr>
        <w:noBreakHyphen/>
      </w:r>
      <w:r w:rsidRPr="000D2741">
        <w:rPr>
          <w:rFonts w:asciiTheme="minorHAnsi" w:hAnsiTheme="minorHAnsi"/>
          <w:lang w:eastAsia="ja-JP"/>
        </w:rPr>
        <w:t xml:space="preserve">choline, </w:t>
      </w:r>
      <w:r w:rsidR="00937AD4">
        <w:rPr>
          <w:rFonts w:asciiTheme="minorHAnsi" w:hAnsiTheme="minorHAnsi"/>
          <w:lang w:eastAsia="ja-JP"/>
        </w:rPr>
        <w:t>[</w:t>
      </w:r>
      <w:r w:rsidR="00937AD4" w:rsidRPr="004F7DDA">
        <w:rPr>
          <w:rFonts w:asciiTheme="minorHAnsi" w:hAnsiTheme="minorHAnsi"/>
          <w:vertAlign w:val="superscript"/>
          <w:lang w:eastAsia="ja-JP"/>
        </w:rPr>
        <w:t>18</w:t>
      </w:r>
      <w:r w:rsidR="00937AD4">
        <w:rPr>
          <w:rFonts w:asciiTheme="minorHAnsi" w:hAnsiTheme="minorHAnsi"/>
          <w:lang w:eastAsia="ja-JP"/>
        </w:rPr>
        <w:t>F]-</w:t>
      </w:r>
      <w:proofErr w:type="spellStart"/>
      <w:r w:rsidRPr="000D2741">
        <w:rPr>
          <w:rFonts w:asciiTheme="minorHAnsi" w:hAnsiTheme="minorHAnsi"/>
          <w:lang w:eastAsia="ja-JP"/>
        </w:rPr>
        <w:t>fluciclovine</w:t>
      </w:r>
      <w:proofErr w:type="spellEnd"/>
      <w:r w:rsidRPr="000D2741">
        <w:rPr>
          <w:rFonts w:asciiTheme="minorHAnsi" w:hAnsiTheme="minorHAnsi"/>
          <w:lang w:eastAsia="ja-JP"/>
        </w:rPr>
        <w:t xml:space="preserve">, </w:t>
      </w:r>
      <w:r w:rsidR="00937AD4">
        <w:rPr>
          <w:rFonts w:asciiTheme="minorHAnsi" w:hAnsiTheme="minorHAnsi"/>
          <w:lang w:eastAsia="ja-JP"/>
        </w:rPr>
        <w:t>[</w:t>
      </w:r>
      <w:r w:rsidR="00937AD4" w:rsidRPr="004F7DDA">
        <w:rPr>
          <w:rFonts w:asciiTheme="minorHAnsi" w:hAnsiTheme="minorHAnsi"/>
          <w:vertAlign w:val="superscript"/>
          <w:lang w:eastAsia="ja-JP"/>
        </w:rPr>
        <w:t>18</w:t>
      </w:r>
      <w:r w:rsidR="00937AD4">
        <w:rPr>
          <w:rFonts w:asciiTheme="minorHAnsi" w:hAnsiTheme="minorHAnsi"/>
          <w:lang w:eastAsia="ja-JP"/>
        </w:rPr>
        <w:t>F]-</w:t>
      </w:r>
      <w:r w:rsidRPr="000D2741">
        <w:rPr>
          <w:rFonts w:asciiTheme="minorHAnsi" w:hAnsiTheme="minorHAnsi"/>
          <w:lang w:eastAsia="ja-JP"/>
        </w:rPr>
        <w:t xml:space="preserve">sodium fluoride, </w:t>
      </w:r>
      <w:r w:rsidRPr="000D2741">
        <w:rPr>
          <w:rFonts w:asciiTheme="minorHAnsi" w:hAnsiTheme="minorHAnsi"/>
          <w:lang w:eastAsia="ja-JP"/>
        </w:rPr>
        <w:lastRenderedPageBreak/>
        <w:t xml:space="preserve">or other), ultrasound, x-ray, MAG3 </w:t>
      </w:r>
      <w:r w:rsidR="00937AD4">
        <w:rPr>
          <w:rFonts w:asciiTheme="minorHAnsi" w:hAnsiTheme="minorHAnsi"/>
          <w:lang w:eastAsia="ja-JP"/>
        </w:rPr>
        <w:t>(</w:t>
      </w:r>
      <w:proofErr w:type="spellStart"/>
      <w:r w:rsidR="00937AD4">
        <w:rPr>
          <w:rFonts w:asciiTheme="minorHAnsi" w:hAnsiTheme="minorHAnsi"/>
          <w:lang w:eastAsia="ja-JP"/>
        </w:rPr>
        <w:t>m</w:t>
      </w:r>
      <w:r w:rsidR="00937AD4" w:rsidRPr="00937AD4">
        <w:rPr>
          <w:rFonts w:asciiTheme="minorHAnsi" w:hAnsiTheme="minorHAnsi"/>
          <w:lang w:eastAsia="ja-JP"/>
        </w:rPr>
        <w:t>ercaptuacetyltriglycine</w:t>
      </w:r>
      <w:proofErr w:type="spellEnd"/>
      <w:r w:rsidR="00937AD4">
        <w:rPr>
          <w:rFonts w:asciiTheme="minorHAnsi" w:hAnsiTheme="minorHAnsi"/>
          <w:lang w:eastAsia="ja-JP"/>
        </w:rPr>
        <w:t>)</w:t>
      </w:r>
      <w:r w:rsidR="00937AD4" w:rsidRPr="00937AD4">
        <w:rPr>
          <w:rFonts w:asciiTheme="minorHAnsi" w:hAnsiTheme="minorHAnsi"/>
          <w:lang w:eastAsia="ja-JP"/>
        </w:rPr>
        <w:t xml:space="preserve"> </w:t>
      </w:r>
      <w:r w:rsidRPr="000D2741">
        <w:rPr>
          <w:rFonts w:asciiTheme="minorHAnsi" w:hAnsiTheme="minorHAnsi"/>
          <w:lang w:eastAsia="ja-JP"/>
        </w:rPr>
        <w:t>renal scan, and DEXA</w:t>
      </w:r>
      <w:r w:rsidR="00937AD4">
        <w:rPr>
          <w:rFonts w:asciiTheme="minorHAnsi" w:hAnsiTheme="minorHAnsi"/>
          <w:lang w:eastAsia="ja-JP"/>
        </w:rPr>
        <w:t xml:space="preserve"> (</w:t>
      </w:r>
      <w:r w:rsidR="00937AD4" w:rsidRPr="00937AD4">
        <w:rPr>
          <w:rFonts w:asciiTheme="minorHAnsi" w:hAnsiTheme="minorHAnsi"/>
          <w:lang w:eastAsia="ja-JP"/>
        </w:rPr>
        <w:t>dual-energy X-ray absorptiometry</w:t>
      </w:r>
      <w:r>
        <w:rPr>
          <w:rFonts w:asciiTheme="minorHAnsi" w:hAnsiTheme="minorHAnsi"/>
          <w:lang w:eastAsia="ja-JP"/>
        </w:rPr>
        <w:t>)</w:t>
      </w:r>
      <w:r w:rsidRPr="000D2741">
        <w:rPr>
          <w:rFonts w:asciiTheme="minorHAnsi" w:hAnsiTheme="minorHAnsi"/>
          <w:lang w:eastAsia="ja-JP"/>
        </w:rPr>
        <w:t>.</w:t>
      </w:r>
    </w:p>
    <w:p w14:paraId="62930593" w14:textId="7A48AA4E" w:rsidR="00363767" w:rsidRPr="00467A6F" w:rsidRDefault="00363767" w:rsidP="00363767">
      <w:pPr>
        <w:pStyle w:val="TableTitle"/>
      </w:pPr>
      <w:bookmarkStart w:id="63" w:name="_Ref103346913"/>
      <w:r w:rsidRPr="00363767">
        <w:t xml:space="preserve">Table </w:t>
      </w:r>
      <w:fldSimple w:instr=" SEQ Table \* ARABIC ">
        <w:r w:rsidR="00036995">
          <w:rPr>
            <w:noProof/>
          </w:rPr>
          <w:t>5</w:t>
        </w:r>
      </w:fldSimple>
      <w:bookmarkEnd w:id="63"/>
      <w:r>
        <w:t>:</w:t>
      </w:r>
      <w:r w:rsidRPr="00363767">
        <w:t xml:space="preserve"> </w:t>
      </w:r>
      <w:r w:rsidR="00472493">
        <w:t xml:space="preserve">Study </w:t>
      </w:r>
      <w:r w:rsidR="00472493" w:rsidRPr="00467A6F">
        <w:t>BCR-RET-01</w:t>
      </w:r>
      <w:r w:rsidR="00472493">
        <w:t xml:space="preserve"> </w:t>
      </w:r>
      <w:r w:rsidRPr="00467A6F">
        <w:t>Reference standards</w:t>
      </w:r>
    </w:p>
    <w:p w14:paraId="7BC7D739" w14:textId="2CCC9253" w:rsidR="00363767" w:rsidRDefault="00363767" w:rsidP="00363767">
      <w:pPr>
        <w:pStyle w:val="Caption"/>
      </w:pPr>
      <w:r>
        <w:rPr>
          <w:noProof/>
          <w:lang w:val="en-GB" w:eastAsia="en-GB"/>
        </w:rPr>
        <w:drawing>
          <wp:inline distT="0" distB="0" distL="0" distR="0" wp14:anchorId="29A02B94" wp14:editId="63B7D547">
            <wp:extent cx="4722144" cy="1356360"/>
            <wp:effectExtent l="0" t="0" r="2540" b="0"/>
            <wp:docPr id="14" name="Picture 14" descr="Study BCR-RET-01 Referenc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BCR-RET-01 Reference standards"/>
                    <pic:cNvPicPr/>
                  </pic:nvPicPr>
                  <pic:blipFill>
                    <a:blip r:embed="rId22"/>
                    <a:stretch>
                      <a:fillRect/>
                    </a:stretch>
                  </pic:blipFill>
                  <pic:spPr>
                    <a:xfrm>
                      <a:off x="0" y="0"/>
                      <a:ext cx="4861987" cy="1396528"/>
                    </a:xfrm>
                    <a:prstGeom prst="rect">
                      <a:avLst/>
                    </a:prstGeom>
                  </pic:spPr>
                </pic:pic>
              </a:graphicData>
            </a:graphic>
          </wp:inline>
        </w:drawing>
      </w:r>
    </w:p>
    <w:p w14:paraId="4118FCA6" w14:textId="538723A3" w:rsidR="00363767" w:rsidRDefault="00363767" w:rsidP="00363767">
      <w:r>
        <w:t xml:space="preserve">In the </w:t>
      </w:r>
      <w:r w:rsidR="00472493">
        <w:t>f</w:t>
      </w:r>
      <w:r>
        <w:t xml:space="preserve">ull </w:t>
      </w:r>
      <w:r w:rsidR="00472493">
        <w:t>a</w:t>
      </w:r>
      <w:r>
        <w:t xml:space="preserve">nalysis </w:t>
      </w:r>
      <w:r w:rsidR="00472493">
        <w:t>s</w:t>
      </w:r>
      <w:r>
        <w:t xml:space="preserve">et, the mean age was 68.4 years (range 44.7 to 91.9), and mean weight was 87.3 kg (range 56.4 to 150.5). 81.5% </w:t>
      </w:r>
      <w:r w:rsidR="00472493">
        <w:t xml:space="preserve">of the patients </w:t>
      </w:r>
      <w:r>
        <w:t xml:space="preserve">had undergone prostatectomy. The demographic profile of the </w:t>
      </w:r>
      <w:r w:rsidR="00472493">
        <w:t>p</w:t>
      </w:r>
      <w:r>
        <w:t xml:space="preserve">atient </w:t>
      </w:r>
      <w:r w:rsidR="00472493">
        <w:t>e</w:t>
      </w:r>
      <w:r>
        <w:t xml:space="preserve">fficacy </w:t>
      </w:r>
      <w:r w:rsidR="00472493">
        <w:t>e</w:t>
      </w:r>
      <w:r>
        <w:t xml:space="preserve">valuable </w:t>
      </w:r>
      <w:r w:rsidR="00472493">
        <w:t>s</w:t>
      </w:r>
      <w:r>
        <w:t xml:space="preserve">et was </w:t>
      </w:r>
      <w:proofErr w:type="gramStart"/>
      <w:r>
        <w:t>similar to</w:t>
      </w:r>
      <w:proofErr w:type="gramEnd"/>
      <w:r>
        <w:t xml:space="preserve"> the </w:t>
      </w:r>
      <w:r w:rsidR="00472493">
        <w:t>f</w:t>
      </w:r>
      <w:r>
        <w:t xml:space="preserve">ull </w:t>
      </w:r>
      <w:r w:rsidR="00472493">
        <w:t>a</w:t>
      </w:r>
      <w:r>
        <w:t xml:space="preserve">nalysis </w:t>
      </w:r>
      <w:r w:rsidR="00472493">
        <w:t>s</w:t>
      </w:r>
      <w:r>
        <w:t xml:space="preserve">et. PSA levels at the time of the PSMA scan are shown in </w:t>
      </w:r>
      <w:r>
        <w:fldChar w:fldCharType="begin"/>
      </w:r>
      <w:r>
        <w:instrText xml:space="preserve"> REF _Ref103346968 \h </w:instrText>
      </w:r>
      <w:r>
        <w:fldChar w:fldCharType="separate"/>
      </w:r>
      <w:r w:rsidR="00036995" w:rsidRPr="00363767">
        <w:t xml:space="preserve">Table </w:t>
      </w:r>
      <w:r w:rsidR="00036995">
        <w:rPr>
          <w:noProof/>
        </w:rPr>
        <w:t>6</w:t>
      </w:r>
      <w:r>
        <w:fldChar w:fldCharType="end"/>
      </w:r>
      <w:r>
        <w:t>. Nearly half had PSA &lt;</w:t>
      </w:r>
      <w:r w:rsidR="00472493">
        <w:t> </w:t>
      </w:r>
      <w:r>
        <w:t>1</w:t>
      </w:r>
      <w:r w:rsidR="00472493">
        <w:t xml:space="preserve"> </w:t>
      </w:r>
      <w:r>
        <w:t>ng/</w:t>
      </w:r>
      <w:proofErr w:type="spellStart"/>
      <w:r>
        <w:t>mL.</w:t>
      </w:r>
      <w:proofErr w:type="spellEnd"/>
    </w:p>
    <w:p w14:paraId="3F16412F" w14:textId="5E118565" w:rsidR="00363767" w:rsidRDefault="00363767" w:rsidP="00363767">
      <w:pPr>
        <w:pStyle w:val="TableTitle"/>
      </w:pPr>
      <w:bookmarkStart w:id="64" w:name="_Ref103346968"/>
      <w:r w:rsidRPr="00363767">
        <w:t xml:space="preserve">Table </w:t>
      </w:r>
      <w:fldSimple w:instr=" SEQ Table \* ARABIC ">
        <w:r w:rsidR="00036995">
          <w:rPr>
            <w:noProof/>
          </w:rPr>
          <w:t>6</w:t>
        </w:r>
      </w:fldSimple>
      <w:bookmarkEnd w:id="64"/>
      <w:r>
        <w:t xml:space="preserve">: </w:t>
      </w:r>
      <w:r w:rsidR="00472493">
        <w:t xml:space="preserve">Study BCR-RET-01 </w:t>
      </w:r>
      <w:r w:rsidR="00472493" w:rsidRPr="00472493">
        <w:t>Prostate specific antigen</w:t>
      </w:r>
      <w:r>
        <w:t xml:space="preserve"> levels</w:t>
      </w:r>
    </w:p>
    <w:p w14:paraId="341ACF10" w14:textId="28358922" w:rsidR="00363767" w:rsidRDefault="00363767" w:rsidP="00363767">
      <w:r>
        <w:rPr>
          <w:noProof/>
          <w:lang w:val="en-GB" w:eastAsia="en-GB"/>
        </w:rPr>
        <w:drawing>
          <wp:inline distT="0" distB="0" distL="0" distR="0" wp14:anchorId="0FB0CF6E" wp14:editId="0D125F71">
            <wp:extent cx="4945380" cy="485775"/>
            <wp:effectExtent l="0" t="0" r="762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5380" cy="485775"/>
                    </a:xfrm>
                    <a:prstGeom prst="rect">
                      <a:avLst/>
                    </a:prstGeom>
                  </pic:spPr>
                </pic:pic>
              </a:graphicData>
            </a:graphic>
          </wp:inline>
        </w:drawing>
      </w:r>
      <w:r>
        <w:rPr>
          <w:noProof/>
          <w:lang w:val="en-GB" w:eastAsia="en-GB"/>
        </w:rPr>
        <w:drawing>
          <wp:inline distT="0" distB="0" distL="0" distR="0" wp14:anchorId="3C427522" wp14:editId="6A896C4D">
            <wp:extent cx="4933950" cy="2114550"/>
            <wp:effectExtent l="0" t="0" r="0" b="0"/>
            <wp:docPr id="15" name="Picture 15" descr="Study BCR-RET-01 Prostate specific antige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BCR-RET-01 Prostate specific antigen levels"/>
                    <pic:cNvPicPr/>
                  </pic:nvPicPr>
                  <pic:blipFill>
                    <a:blip r:embed="rId24"/>
                    <a:stretch>
                      <a:fillRect/>
                    </a:stretch>
                  </pic:blipFill>
                  <pic:spPr>
                    <a:xfrm>
                      <a:off x="0" y="0"/>
                      <a:ext cx="4933950" cy="2114550"/>
                    </a:xfrm>
                    <a:prstGeom prst="rect">
                      <a:avLst/>
                    </a:prstGeom>
                  </pic:spPr>
                </pic:pic>
              </a:graphicData>
            </a:graphic>
          </wp:inline>
        </w:drawing>
      </w:r>
    </w:p>
    <w:p w14:paraId="28DA9E77" w14:textId="0C5801B7" w:rsidR="00937AD4" w:rsidRDefault="00937AD4" w:rsidP="004F7DDA">
      <w:pPr>
        <w:pStyle w:val="TableDescription"/>
      </w:pPr>
      <w:r>
        <w:t>Abbreviations: n = subjects; N = all subjects</w:t>
      </w:r>
      <w:r w:rsidR="00463E69">
        <w:t>;</w:t>
      </w:r>
      <w:r>
        <w:t xml:space="preserve"> PSA = prostate specific antigen; SD = standard deviation.</w:t>
      </w:r>
    </w:p>
    <w:p w14:paraId="274677CA" w14:textId="3430B53F" w:rsidR="00463E69" w:rsidRDefault="00463E69" w:rsidP="004F7DDA">
      <w:pPr>
        <w:pStyle w:val="TableDescription"/>
      </w:pPr>
      <w:r>
        <w:t>PSA group is given in number of subjects (n); and as a percentage (%) of all subjects.</w:t>
      </w:r>
    </w:p>
    <w:p w14:paraId="4D6E70A4" w14:textId="480735A9" w:rsidR="00363767" w:rsidRDefault="00363767" w:rsidP="00363767">
      <w:r>
        <w:t xml:space="preserve">The </w:t>
      </w:r>
      <w:proofErr w:type="spellStart"/>
      <w:r>
        <w:t>Telix</w:t>
      </w:r>
      <w:proofErr w:type="spellEnd"/>
      <w:r>
        <w:t xml:space="preserve"> kit was used for 295 patients and the MSKCC </w:t>
      </w:r>
      <w:r w:rsidR="00472493">
        <w:t>m</w:t>
      </w:r>
      <w:r>
        <w:t xml:space="preserve">ethod was used for 127 patients. </w:t>
      </w:r>
      <w:r w:rsidRPr="006A0241">
        <w:t xml:space="preserve">The mean </w:t>
      </w:r>
      <w:r>
        <w:t>administered dose</w:t>
      </w:r>
      <w:r w:rsidRPr="006A0241">
        <w:t xml:space="preserve"> overall was 6.584</w:t>
      </w:r>
      <w:r w:rsidR="00472493">
        <w:t> </w:t>
      </w:r>
      <w:proofErr w:type="spellStart"/>
      <w:r w:rsidRPr="006A0241">
        <w:t>mCi</w:t>
      </w:r>
      <w:proofErr w:type="spellEnd"/>
      <w:r w:rsidRPr="006A0241">
        <w:t xml:space="preserve"> (</w:t>
      </w:r>
      <w:r>
        <w:t xml:space="preserve">equivalent to </w:t>
      </w:r>
      <w:r w:rsidRPr="006A0241">
        <w:t>243.6</w:t>
      </w:r>
      <w:r w:rsidR="00472493">
        <w:t> </w:t>
      </w:r>
      <w:r w:rsidRPr="006A0241">
        <w:t>MBq).</w:t>
      </w:r>
    </w:p>
    <w:p w14:paraId="640879A6" w14:textId="0DB02665" w:rsidR="00363767" w:rsidRDefault="00363767" w:rsidP="00363767">
      <w:pPr>
        <w:pStyle w:val="TableTitle"/>
        <w:rPr>
          <w:lang w:eastAsia="ja-JP"/>
        </w:rPr>
      </w:pPr>
      <w:r w:rsidRPr="00363767">
        <w:lastRenderedPageBreak/>
        <w:t xml:space="preserve">Table </w:t>
      </w:r>
      <w:fldSimple w:instr=" SEQ Table \* ARABIC ">
        <w:r w:rsidR="00036995">
          <w:rPr>
            <w:noProof/>
          </w:rPr>
          <w:t>7</w:t>
        </w:r>
      </w:fldSimple>
      <w:r>
        <w:t>:</w:t>
      </w:r>
      <w:r w:rsidRPr="00363767">
        <w:rPr>
          <w:lang w:val="en-US"/>
        </w:rPr>
        <w:t xml:space="preserve"> </w:t>
      </w:r>
      <w:r>
        <w:rPr>
          <w:lang w:val="en-US"/>
        </w:rPr>
        <w:t>Study BCR-RET-01</w:t>
      </w:r>
      <w:r w:rsidR="00472493">
        <w:rPr>
          <w:lang w:val="en-US"/>
        </w:rPr>
        <w:t xml:space="preserve"> </w:t>
      </w:r>
      <w:r>
        <w:rPr>
          <w:lang w:val="en-US"/>
        </w:rPr>
        <w:t xml:space="preserve">Summary of </w:t>
      </w:r>
      <w:r w:rsidR="00472493">
        <w:rPr>
          <w:lang w:val="en-US"/>
        </w:rPr>
        <w:t>d</w:t>
      </w:r>
      <w:r>
        <w:rPr>
          <w:lang w:val="en-US"/>
        </w:rPr>
        <w:t xml:space="preserve">ose </w:t>
      </w:r>
      <w:r w:rsidR="00472493">
        <w:rPr>
          <w:lang w:val="en-US"/>
        </w:rPr>
        <w:t>o</w:t>
      </w:r>
      <w:r>
        <w:rPr>
          <w:lang w:val="en-US"/>
        </w:rPr>
        <w:t xml:space="preserve">verall and by </w:t>
      </w:r>
      <w:r w:rsidR="00472493">
        <w:rPr>
          <w:lang w:val="en-US"/>
        </w:rPr>
        <w:t>p</w:t>
      </w:r>
      <w:r>
        <w:rPr>
          <w:lang w:val="en-US"/>
        </w:rPr>
        <w:t xml:space="preserve">reparation </w:t>
      </w:r>
      <w:r w:rsidR="00472493">
        <w:rPr>
          <w:lang w:val="en-US"/>
        </w:rPr>
        <w:t>m</w:t>
      </w:r>
      <w:r>
        <w:rPr>
          <w:lang w:val="en-US"/>
        </w:rPr>
        <w:t>ethod</w:t>
      </w:r>
    </w:p>
    <w:p w14:paraId="21347B11" w14:textId="04870370" w:rsidR="00363767" w:rsidRDefault="00363767" w:rsidP="00363767">
      <w:r>
        <w:rPr>
          <w:noProof/>
          <w:lang w:val="en-GB" w:eastAsia="en-GB"/>
        </w:rPr>
        <w:drawing>
          <wp:inline distT="0" distB="0" distL="0" distR="0" wp14:anchorId="4B0177D6" wp14:editId="1497807C">
            <wp:extent cx="5448369" cy="2516623"/>
            <wp:effectExtent l="0" t="0" r="0" b="0"/>
            <wp:docPr id="13" name="Picture 13" descr="Study BCR-RET-01 Summary of dose overall and by prepar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udy BCR-RET-01 Summary of dose overall and by preparation method"/>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b="10802"/>
                    <a:stretch/>
                  </pic:blipFill>
                  <pic:spPr bwMode="auto">
                    <a:xfrm>
                      <a:off x="0" y="0"/>
                      <a:ext cx="5491943" cy="2536750"/>
                    </a:xfrm>
                    <a:prstGeom prst="rect">
                      <a:avLst/>
                    </a:prstGeom>
                    <a:ln>
                      <a:noFill/>
                    </a:ln>
                    <a:extLst>
                      <a:ext uri="{53640926-AAD7-44D8-BBD7-CCE9431645EC}">
                        <a14:shadowObscured xmlns:a14="http://schemas.microsoft.com/office/drawing/2010/main"/>
                      </a:ext>
                    </a:extLst>
                  </pic:spPr>
                </pic:pic>
              </a:graphicData>
            </a:graphic>
          </wp:inline>
        </w:drawing>
      </w:r>
    </w:p>
    <w:p w14:paraId="4A9BA093" w14:textId="7A4BCDC2" w:rsidR="0037310D" w:rsidRDefault="0037310D" w:rsidP="0037310D">
      <w:pPr>
        <w:pStyle w:val="TableDescription"/>
      </w:pPr>
      <w:r>
        <w:t xml:space="preserve">Abbreviations: </w:t>
      </w:r>
      <w:proofErr w:type="spellStart"/>
      <w:r w:rsidR="00463E69">
        <w:t>mCi</w:t>
      </w:r>
      <w:proofErr w:type="spellEnd"/>
      <w:r w:rsidR="00463E69">
        <w:t xml:space="preserve"> = millicurie unit; </w:t>
      </w:r>
      <w:r>
        <w:t xml:space="preserve">min = minutes; MSKCC = </w:t>
      </w:r>
      <w:r w:rsidRPr="001674AD">
        <w:t>Memorial</w:t>
      </w:r>
      <w:r>
        <w:t xml:space="preserve"> </w:t>
      </w:r>
      <w:r w:rsidRPr="001674AD">
        <w:t xml:space="preserve">Sloan Kettering Cancer </w:t>
      </w:r>
      <w:proofErr w:type="spellStart"/>
      <w:r w:rsidRPr="001674AD">
        <w:t>Center</w:t>
      </w:r>
      <w:proofErr w:type="spellEnd"/>
      <w:r>
        <w:t>; N</w:t>
      </w:r>
      <w:r w:rsidR="00F06A31">
        <w:t> </w:t>
      </w:r>
      <w:r>
        <w:t xml:space="preserve">= total number of </w:t>
      </w:r>
      <w:r w:rsidR="00463E69">
        <w:t>subjects</w:t>
      </w:r>
      <w:r>
        <w:t xml:space="preserve">; n = number of </w:t>
      </w:r>
      <w:r w:rsidR="00463E69">
        <w:t xml:space="preserve">subjects </w:t>
      </w:r>
      <w:r>
        <w:t>in a specific group.</w:t>
      </w:r>
    </w:p>
    <w:p w14:paraId="759FCB79" w14:textId="62A8AEF3" w:rsidR="00B813F0" w:rsidRDefault="00B813F0" w:rsidP="004F7DDA">
      <w:pPr>
        <w:pStyle w:val="Heading6"/>
      </w:pPr>
      <w:r>
        <w:t>Efficacy endpoints</w:t>
      </w:r>
    </w:p>
    <w:p w14:paraId="06B11F78" w14:textId="3D4E9DA8" w:rsidR="00363767" w:rsidRDefault="00363767" w:rsidP="00472493">
      <w:pPr>
        <w:rPr>
          <w:rFonts w:asciiTheme="minorHAnsi" w:eastAsia="TimesNewRoman" w:hAnsiTheme="minorHAnsi" w:cs="TimesNewRoman"/>
          <w:lang w:val="en-US"/>
        </w:rPr>
      </w:pPr>
      <w:r>
        <w:rPr>
          <w:lang w:eastAsia="ja-JP"/>
        </w:rPr>
        <w:t xml:space="preserve">The </w:t>
      </w:r>
      <w:r w:rsidRPr="00411B8C">
        <w:rPr>
          <w:lang w:eastAsia="ja-JP"/>
        </w:rPr>
        <w:t>co-primary efficacy endpoints</w:t>
      </w:r>
      <w:r>
        <w:rPr>
          <w:lang w:eastAsia="ja-JP"/>
        </w:rPr>
        <w:t xml:space="preserve"> of </w:t>
      </w:r>
      <w:r w:rsidR="00472493">
        <w:rPr>
          <w:lang w:eastAsia="ja-JP"/>
        </w:rPr>
        <w:t xml:space="preserve">Study </w:t>
      </w:r>
      <w:r>
        <w:rPr>
          <w:lang w:eastAsia="ja-JP"/>
        </w:rPr>
        <w:t xml:space="preserve">BCR-RET-01 were </w:t>
      </w:r>
      <w:r w:rsidRPr="00472493">
        <w:rPr>
          <w:iCs/>
          <w:lang w:eastAsia="ja-JP"/>
        </w:rPr>
        <w:t>patient</w:t>
      </w:r>
      <w:r w:rsidR="00472493">
        <w:rPr>
          <w:iCs/>
          <w:lang w:eastAsia="ja-JP"/>
        </w:rPr>
        <w:t xml:space="preserve"> </w:t>
      </w:r>
      <w:r w:rsidRPr="00472493">
        <w:rPr>
          <w:iCs/>
          <w:lang w:eastAsia="ja-JP"/>
        </w:rPr>
        <w:t xml:space="preserve">level </w:t>
      </w:r>
      <w:r w:rsidR="00472493">
        <w:rPr>
          <w:iCs/>
          <w:lang w:eastAsia="ja-JP"/>
        </w:rPr>
        <w:t>c</w:t>
      </w:r>
      <w:r w:rsidRPr="00472493">
        <w:rPr>
          <w:iCs/>
          <w:lang w:eastAsia="ja-JP"/>
        </w:rPr>
        <w:t xml:space="preserve">orrect </w:t>
      </w:r>
      <w:r w:rsidR="00472493">
        <w:rPr>
          <w:iCs/>
          <w:lang w:eastAsia="ja-JP"/>
        </w:rPr>
        <w:t>d</w:t>
      </w:r>
      <w:r w:rsidRPr="00472493">
        <w:rPr>
          <w:iCs/>
          <w:lang w:eastAsia="ja-JP"/>
        </w:rPr>
        <w:t xml:space="preserve">etection </w:t>
      </w:r>
      <w:r w:rsidR="00472493">
        <w:rPr>
          <w:iCs/>
          <w:lang w:eastAsia="ja-JP"/>
        </w:rPr>
        <w:t>r</w:t>
      </w:r>
      <w:r w:rsidRPr="00472493">
        <w:rPr>
          <w:iCs/>
          <w:lang w:eastAsia="ja-JP"/>
        </w:rPr>
        <w:t>ate and region</w:t>
      </w:r>
      <w:r w:rsidR="00472493">
        <w:rPr>
          <w:iCs/>
          <w:lang w:eastAsia="ja-JP"/>
        </w:rPr>
        <w:t xml:space="preserve"> </w:t>
      </w:r>
      <w:r w:rsidRPr="00472493">
        <w:rPr>
          <w:iCs/>
          <w:lang w:eastAsia="ja-JP"/>
        </w:rPr>
        <w:t xml:space="preserve">level </w:t>
      </w:r>
      <w:r w:rsidR="00472493">
        <w:rPr>
          <w:iCs/>
          <w:lang w:eastAsia="ja-JP"/>
        </w:rPr>
        <w:t>v</w:t>
      </w:r>
      <w:r w:rsidRPr="00472493">
        <w:rPr>
          <w:iCs/>
          <w:lang w:eastAsia="ja-JP"/>
        </w:rPr>
        <w:t xml:space="preserve">erified </w:t>
      </w:r>
      <w:r w:rsidR="00472493">
        <w:rPr>
          <w:iCs/>
          <w:lang w:eastAsia="ja-JP"/>
        </w:rPr>
        <w:t>l</w:t>
      </w:r>
      <w:r w:rsidRPr="00472493">
        <w:rPr>
          <w:iCs/>
          <w:lang w:eastAsia="ja-JP"/>
        </w:rPr>
        <w:t xml:space="preserve">ocalisation </w:t>
      </w:r>
      <w:r w:rsidR="00472493">
        <w:rPr>
          <w:iCs/>
          <w:lang w:eastAsia="ja-JP"/>
        </w:rPr>
        <w:t>r</w:t>
      </w:r>
      <w:r w:rsidRPr="00472493">
        <w:rPr>
          <w:iCs/>
          <w:lang w:eastAsia="ja-JP"/>
        </w:rPr>
        <w:t>ate.</w:t>
      </w:r>
      <w:r>
        <w:rPr>
          <w:lang w:eastAsia="ja-JP"/>
        </w:rPr>
        <w:t xml:space="preserve"> </w:t>
      </w:r>
      <w:r w:rsidR="00463E69">
        <w:rPr>
          <w:iCs/>
          <w:lang w:eastAsia="ja-JP"/>
        </w:rPr>
        <w:t>C</w:t>
      </w:r>
      <w:r w:rsidR="00463E69" w:rsidRPr="00472493">
        <w:rPr>
          <w:iCs/>
          <w:lang w:eastAsia="ja-JP"/>
        </w:rPr>
        <w:t xml:space="preserve">orrect </w:t>
      </w:r>
      <w:r w:rsidR="00463E69">
        <w:rPr>
          <w:iCs/>
          <w:lang w:eastAsia="ja-JP"/>
        </w:rPr>
        <w:t>d</w:t>
      </w:r>
      <w:r w:rsidR="00463E69" w:rsidRPr="00472493">
        <w:rPr>
          <w:iCs/>
          <w:lang w:eastAsia="ja-JP"/>
        </w:rPr>
        <w:t xml:space="preserve">etection </w:t>
      </w:r>
      <w:r w:rsidR="00463E69">
        <w:rPr>
          <w:iCs/>
          <w:lang w:eastAsia="ja-JP"/>
        </w:rPr>
        <w:t>r</w:t>
      </w:r>
      <w:r w:rsidR="00463E69" w:rsidRPr="00472493">
        <w:rPr>
          <w:iCs/>
          <w:lang w:eastAsia="ja-JP"/>
        </w:rPr>
        <w:t xml:space="preserve">ate </w:t>
      </w:r>
      <w:r>
        <w:rPr>
          <w:lang w:eastAsia="ja-JP"/>
        </w:rPr>
        <w:t>was d</w:t>
      </w:r>
      <w:r w:rsidRPr="00CF34F6">
        <w:rPr>
          <w:lang w:eastAsia="ja-JP"/>
        </w:rPr>
        <w:t>efined as</w:t>
      </w:r>
      <w:r>
        <w:rPr>
          <w:b/>
          <w:lang w:eastAsia="ja-JP"/>
        </w:rPr>
        <w:t xml:space="preserve"> </w:t>
      </w:r>
      <w:r>
        <w:rPr>
          <w:lang w:eastAsia="ja-JP"/>
        </w:rPr>
        <w:t xml:space="preserve">the percentage of patients who have at least one true positive lesion (exactly localised correspondence between </w:t>
      </w:r>
      <w:r w:rsidR="00F06A31">
        <w:rPr>
          <w:rStyle w:val="style1"/>
          <w:rFonts w:cstheme="minorHAnsi"/>
          <w:iCs/>
        </w:rPr>
        <w:t>[</w:t>
      </w:r>
      <w:r w:rsidR="00F06A31">
        <w:rPr>
          <w:rStyle w:val="style1"/>
          <w:rFonts w:cstheme="minorHAnsi"/>
          <w:iCs/>
          <w:vertAlign w:val="superscript"/>
        </w:rPr>
        <w:t>68</w:t>
      </w:r>
      <w:r w:rsidR="00F06A31">
        <w:rPr>
          <w:rStyle w:val="style1"/>
          <w:rFonts w:cstheme="minorHAnsi"/>
          <w:iCs/>
        </w:rPr>
        <w:t xml:space="preserve">Ga] </w:t>
      </w:r>
      <w:r w:rsidR="00293AB9">
        <w:rPr>
          <w:rStyle w:val="style1"/>
          <w:rFonts w:cstheme="minorHAnsi"/>
          <w:iCs/>
        </w:rPr>
        <w:t>gallium</w:t>
      </w:r>
      <w:r w:rsidR="00F06A31">
        <w:rPr>
          <w:rStyle w:val="style1"/>
          <w:rFonts w:cstheme="minorHAnsi"/>
          <w:iCs/>
        </w:rPr>
        <w:t xml:space="preserve"> PSMA-11 </w:t>
      </w:r>
      <w:r>
        <w:t>PET imaging and the</w:t>
      </w:r>
      <w:r>
        <w:rPr>
          <w:lang w:eastAsia="ja-JP"/>
        </w:rPr>
        <w:t xml:space="preserve"> reference standard), regardless of any co-existent false positive findings, out of all patients who are scanned. </w:t>
      </w:r>
      <w:r w:rsidR="00293AB9">
        <w:rPr>
          <w:iCs/>
          <w:lang w:eastAsia="ja-JP"/>
        </w:rPr>
        <w:t>V</w:t>
      </w:r>
      <w:r w:rsidR="00463E69" w:rsidRPr="00472493">
        <w:rPr>
          <w:iCs/>
          <w:lang w:eastAsia="ja-JP"/>
        </w:rPr>
        <w:t xml:space="preserve">erified </w:t>
      </w:r>
      <w:r w:rsidR="00463E69">
        <w:rPr>
          <w:iCs/>
          <w:lang w:eastAsia="ja-JP"/>
        </w:rPr>
        <w:t>l</w:t>
      </w:r>
      <w:r w:rsidR="00463E69" w:rsidRPr="00472493">
        <w:rPr>
          <w:iCs/>
          <w:lang w:eastAsia="ja-JP"/>
        </w:rPr>
        <w:t xml:space="preserve">ocalisation </w:t>
      </w:r>
      <w:r w:rsidR="00463E69">
        <w:rPr>
          <w:iCs/>
          <w:lang w:eastAsia="ja-JP"/>
        </w:rPr>
        <w:t>r</w:t>
      </w:r>
      <w:r w:rsidR="00463E69" w:rsidRPr="00472493">
        <w:rPr>
          <w:iCs/>
          <w:lang w:eastAsia="ja-JP"/>
        </w:rPr>
        <w:t xml:space="preserve">ate </w:t>
      </w:r>
      <w:r>
        <w:rPr>
          <w:lang w:eastAsia="ja-JP"/>
        </w:rPr>
        <w:t>was d</w:t>
      </w:r>
      <w:r>
        <w:rPr>
          <w:rFonts w:asciiTheme="minorHAnsi" w:hAnsiTheme="minorHAnsi"/>
          <w:lang w:eastAsia="ja-JP"/>
        </w:rPr>
        <w:t xml:space="preserve">efined as </w:t>
      </w:r>
      <w:r w:rsidRPr="003E30D9">
        <w:rPr>
          <w:rFonts w:asciiTheme="minorHAnsi" w:hAnsiTheme="minorHAnsi"/>
          <w:lang w:eastAsia="ja-JP"/>
        </w:rPr>
        <w:t>the percentage of regions containing at least one</w:t>
      </w:r>
      <w:r>
        <w:rPr>
          <w:rFonts w:asciiTheme="minorHAnsi" w:hAnsiTheme="minorHAnsi"/>
          <w:lang w:eastAsia="ja-JP"/>
        </w:rPr>
        <w:t xml:space="preserve"> </w:t>
      </w:r>
      <w:r w:rsidR="00472493">
        <w:rPr>
          <w:lang w:eastAsia="ja-JP"/>
        </w:rPr>
        <w:t>true positive</w:t>
      </w:r>
      <w:r>
        <w:rPr>
          <w:rFonts w:asciiTheme="minorHAnsi" w:hAnsiTheme="minorHAnsi"/>
          <w:lang w:eastAsia="ja-JP"/>
        </w:rPr>
        <w:t xml:space="preserve"> lesion</w:t>
      </w:r>
      <w:r w:rsidRPr="003E30D9">
        <w:rPr>
          <w:rFonts w:asciiTheme="minorHAnsi" w:hAnsiTheme="minorHAnsi"/>
          <w:lang w:eastAsia="ja-JP"/>
        </w:rPr>
        <w:t xml:space="preserve">, regardless of any co-existent </w:t>
      </w:r>
      <w:r w:rsidR="00472493">
        <w:rPr>
          <w:lang w:eastAsia="ja-JP"/>
        </w:rPr>
        <w:t xml:space="preserve">false positive </w:t>
      </w:r>
      <w:r w:rsidRPr="003E30D9">
        <w:rPr>
          <w:rFonts w:asciiTheme="minorHAnsi" w:hAnsiTheme="minorHAnsi"/>
          <w:lang w:eastAsia="ja-JP"/>
        </w:rPr>
        <w:t xml:space="preserve">findings within the same region, out of all regions containing at </w:t>
      </w:r>
      <w:r w:rsidRPr="003E30D9">
        <w:rPr>
          <w:rFonts w:asciiTheme="minorHAnsi" w:eastAsia="TimesNewRoman" w:hAnsiTheme="minorHAnsi" w:cs="TimesNewRoman"/>
          <w:lang w:val="en-US"/>
        </w:rPr>
        <w:t>least one PET</w:t>
      </w:r>
      <w:r w:rsidR="00472493">
        <w:rPr>
          <w:rFonts w:asciiTheme="minorHAnsi" w:eastAsia="TimesNewRoman" w:hAnsiTheme="minorHAnsi" w:cs="TimesNewRoman"/>
          <w:lang w:val="en-US"/>
        </w:rPr>
        <w:t xml:space="preserve"> </w:t>
      </w:r>
      <w:r w:rsidRPr="003E30D9">
        <w:rPr>
          <w:rFonts w:asciiTheme="minorHAnsi" w:eastAsia="TimesNewRoman" w:hAnsiTheme="minorHAnsi" w:cs="TimesNewRoman"/>
          <w:lang w:val="en-US"/>
        </w:rPr>
        <w:t>positive finding.</w:t>
      </w:r>
    </w:p>
    <w:p w14:paraId="5410EFF8" w14:textId="3C4E4589" w:rsidR="00363767" w:rsidRPr="00A2432C" w:rsidRDefault="00363767" w:rsidP="00472493">
      <w:pPr>
        <w:rPr>
          <w:i/>
          <w:lang w:eastAsia="ja-JP"/>
        </w:rPr>
      </w:pPr>
      <w:r w:rsidRPr="00A2432C">
        <w:rPr>
          <w:lang w:eastAsia="ja-JP"/>
        </w:rPr>
        <w:t xml:space="preserve">The selection of </w:t>
      </w:r>
      <w:r w:rsidR="00463E69">
        <w:rPr>
          <w:iCs/>
          <w:lang w:eastAsia="ja-JP"/>
        </w:rPr>
        <w:t>c</w:t>
      </w:r>
      <w:r w:rsidR="00463E69" w:rsidRPr="00472493">
        <w:rPr>
          <w:iCs/>
          <w:lang w:eastAsia="ja-JP"/>
        </w:rPr>
        <w:t xml:space="preserve">orrect </w:t>
      </w:r>
      <w:r w:rsidR="00463E69">
        <w:rPr>
          <w:iCs/>
          <w:lang w:eastAsia="ja-JP"/>
        </w:rPr>
        <w:t>d</w:t>
      </w:r>
      <w:r w:rsidR="00463E69" w:rsidRPr="00472493">
        <w:rPr>
          <w:iCs/>
          <w:lang w:eastAsia="ja-JP"/>
        </w:rPr>
        <w:t xml:space="preserve">etection </w:t>
      </w:r>
      <w:r w:rsidR="00463E69">
        <w:rPr>
          <w:iCs/>
          <w:lang w:eastAsia="ja-JP"/>
        </w:rPr>
        <w:t>r</w:t>
      </w:r>
      <w:r w:rsidR="00463E69" w:rsidRPr="00472493">
        <w:rPr>
          <w:iCs/>
          <w:lang w:eastAsia="ja-JP"/>
        </w:rPr>
        <w:t>ate</w:t>
      </w:r>
      <w:r w:rsidR="00463E69" w:rsidRPr="00A2432C" w:rsidDel="00463E69">
        <w:rPr>
          <w:lang w:eastAsia="ja-JP"/>
        </w:rPr>
        <w:t xml:space="preserve"> </w:t>
      </w:r>
      <w:r w:rsidRPr="00A2432C">
        <w:rPr>
          <w:lang w:eastAsia="ja-JP"/>
        </w:rPr>
        <w:t xml:space="preserve">and </w:t>
      </w:r>
      <w:r w:rsidR="00463E69">
        <w:rPr>
          <w:iCs/>
          <w:lang w:eastAsia="ja-JP"/>
        </w:rPr>
        <w:t>v</w:t>
      </w:r>
      <w:r w:rsidR="00463E69" w:rsidRPr="00472493">
        <w:rPr>
          <w:iCs/>
          <w:lang w:eastAsia="ja-JP"/>
        </w:rPr>
        <w:t xml:space="preserve">erified </w:t>
      </w:r>
      <w:r w:rsidR="00463E69">
        <w:rPr>
          <w:iCs/>
          <w:lang w:eastAsia="ja-JP"/>
        </w:rPr>
        <w:t>l</w:t>
      </w:r>
      <w:r w:rsidR="00463E69" w:rsidRPr="00472493">
        <w:rPr>
          <w:iCs/>
          <w:lang w:eastAsia="ja-JP"/>
        </w:rPr>
        <w:t xml:space="preserve">ocalisation </w:t>
      </w:r>
      <w:r w:rsidR="00463E69">
        <w:rPr>
          <w:iCs/>
          <w:lang w:eastAsia="ja-JP"/>
        </w:rPr>
        <w:t>r</w:t>
      </w:r>
      <w:r w:rsidR="00463E69" w:rsidRPr="00472493">
        <w:rPr>
          <w:iCs/>
          <w:lang w:eastAsia="ja-JP"/>
        </w:rPr>
        <w:t xml:space="preserve">ate </w:t>
      </w:r>
      <w:r w:rsidRPr="00A2432C">
        <w:rPr>
          <w:lang w:eastAsia="ja-JP"/>
        </w:rPr>
        <w:t>as co-primary endpoints was based on pre</w:t>
      </w:r>
      <w:r w:rsidR="00472493">
        <w:rPr>
          <w:lang w:eastAsia="ja-JP"/>
        </w:rPr>
        <w:t>-new drug application</w:t>
      </w:r>
      <w:r w:rsidRPr="00A2432C">
        <w:rPr>
          <w:lang w:eastAsia="ja-JP"/>
        </w:rPr>
        <w:t xml:space="preserve"> advice from the FDA. The FDA recommended that the primary analysis of the diagnostic performance of </w:t>
      </w:r>
      <w:r w:rsidR="00F06A31">
        <w:rPr>
          <w:rStyle w:val="style1"/>
          <w:rFonts w:cstheme="minorHAnsi"/>
          <w:iCs/>
        </w:rPr>
        <w:t>[</w:t>
      </w:r>
      <w:r w:rsidR="00F06A31">
        <w:rPr>
          <w:rStyle w:val="style1"/>
          <w:rFonts w:cstheme="minorHAnsi"/>
          <w:iCs/>
          <w:vertAlign w:val="superscript"/>
        </w:rPr>
        <w:t>68</w:t>
      </w:r>
      <w:r w:rsidR="00F06A31">
        <w:rPr>
          <w:rStyle w:val="style1"/>
          <w:rFonts w:cstheme="minorHAnsi"/>
          <w:iCs/>
        </w:rPr>
        <w:t xml:space="preserve">Ga] </w:t>
      </w:r>
      <w:r w:rsidR="00293AB9">
        <w:rPr>
          <w:rStyle w:val="style1"/>
          <w:rFonts w:cstheme="minorHAnsi"/>
          <w:iCs/>
        </w:rPr>
        <w:t>gallium</w:t>
      </w:r>
      <w:r w:rsidR="00F06A31">
        <w:rPr>
          <w:rStyle w:val="style1"/>
          <w:rFonts w:cstheme="minorHAnsi"/>
          <w:iCs/>
        </w:rPr>
        <w:t xml:space="preserve"> PSMA-11 </w:t>
      </w:r>
      <w:r w:rsidRPr="00A2432C">
        <w:rPr>
          <w:lang w:eastAsia="ja-JP"/>
        </w:rPr>
        <w:t>PET should be measured against a reference standard constructed from histologic confirmation whenever possible and conventional imaging and clinical follow-up when histopathology cannot be obtained. The FDA required lesions be exactly localised with a 1:1 correspondence between the anatomical location of the PSMA scan result and a reference standard, for an observation to be considered positive. At a pre-</w:t>
      </w:r>
      <w:r w:rsidR="00472493">
        <w:rPr>
          <w:lang w:eastAsia="ja-JP"/>
        </w:rPr>
        <w:t>new drug application</w:t>
      </w:r>
      <w:r w:rsidRPr="00A2432C">
        <w:rPr>
          <w:lang w:eastAsia="ja-JP"/>
        </w:rPr>
        <w:t xml:space="preserve"> meeting on 21 Feb</w:t>
      </w:r>
      <w:r w:rsidR="00463E69">
        <w:rPr>
          <w:lang w:eastAsia="ja-JP"/>
        </w:rPr>
        <w:t>ruary</w:t>
      </w:r>
      <w:r w:rsidRPr="00A2432C">
        <w:rPr>
          <w:lang w:eastAsia="ja-JP"/>
        </w:rPr>
        <w:t xml:space="preserve"> 2020, the FDA recommended that </w:t>
      </w:r>
      <w:r w:rsidR="00463E69">
        <w:rPr>
          <w:iCs/>
          <w:lang w:eastAsia="ja-JP"/>
        </w:rPr>
        <w:t>correct detection rate</w:t>
      </w:r>
      <w:r w:rsidR="00463E69" w:rsidRPr="00A2432C" w:rsidDel="00463E69">
        <w:rPr>
          <w:lang w:eastAsia="ja-JP"/>
        </w:rPr>
        <w:t xml:space="preserve"> </w:t>
      </w:r>
      <w:r w:rsidRPr="00A2432C">
        <w:rPr>
          <w:lang w:eastAsia="ja-JP"/>
        </w:rPr>
        <w:t xml:space="preserve">and </w:t>
      </w:r>
      <w:r w:rsidR="00463E69">
        <w:rPr>
          <w:iCs/>
          <w:lang w:eastAsia="ja-JP"/>
        </w:rPr>
        <w:t>v</w:t>
      </w:r>
      <w:r w:rsidR="00463E69" w:rsidRPr="00472493">
        <w:rPr>
          <w:iCs/>
          <w:lang w:eastAsia="ja-JP"/>
        </w:rPr>
        <w:t xml:space="preserve">erified </w:t>
      </w:r>
      <w:r w:rsidR="00463E69">
        <w:rPr>
          <w:iCs/>
          <w:lang w:eastAsia="ja-JP"/>
        </w:rPr>
        <w:t>l</w:t>
      </w:r>
      <w:r w:rsidR="00463E69" w:rsidRPr="00472493">
        <w:rPr>
          <w:iCs/>
          <w:lang w:eastAsia="ja-JP"/>
        </w:rPr>
        <w:t xml:space="preserve">ocalisation </w:t>
      </w:r>
      <w:r w:rsidR="00463E69">
        <w:rPr>
          <w:iCs/>
          <w:lang w:eastAsia="ja-JP"/>
        </w:rPr>
        <w:t>r</w:t>
      </w:r>
      <w:r w:rsidR="00463E69" w:rsidRPr="00472493">
        <w:rPr>
          <w:iCs/>
          <w:lang w:eastAsia="ja-JP"/>
        </w:rPr>
        <w:t xml:space="preserve">ate </w:t>
      </w:r>
      <w:r w:rsidRPr="00A2432C">
        <w:rPr>
          <w:lang w:eastAsia="ja-JP"/>
        </w:rPr>
        <w:t>should be co-primary endpoints</w:t>
      </w:r>
      <w:r>
        <w:rPr>
          <w:lang w:eastAsia="ja-JP"/>
        </w:rPr>
        <w:t>, and that the thresholds for success should be pre-defined</w:t>
      </w:r>
      <w:r w:rsidRPr="00A2432C">
        <w:rPr>
          <w:lang w:eastAsia="ja-JP"/>
        </w:rPr>
        <w:t>.</w:t>
      </w:r>
    </w:p>
    <w:p w14:paraId="28D2F1D5" w14:textId="7C54E800" w:rsidR="00363767" w:rsidRDefault="00363767" w:rsidP="00472493">
      <w:pPr>
        <w:rPr>
          <w:lang w:eastAsia="ja-JP"/>
        </w:rPr>
      </w:pPr>
      <w:r>
        <w:rPr>
          <w:lang w:eastAsia="ja-JP"/>
        </w:rPr>
        <w:t xml:space="preserve">The pre-defined thresholds of success for </w:t>
      </w:r>
      <w:r w:rsidR="00463E69">
        <w:rPr>
          <w:iCs/>
          <w:lang w:eastAsia="ja-JP"/>
        </w:rPr>
        <w:t>correct detection rate</w:t>
      </w:r>
      <w:r w:rsidR="00463E69" w:rsidDel="00463E69">
        <w:rPr>
          <w:lang w:eastAsia="ja-JP"/>
        </w:rPr>
        <w:t xml:space="preserve"> </w:t>
      </w:r>
      <w:r>
        <w:rPr>
          <w:lang w:eastAsia="ja-JP"/>
        </w:rPr>
        <w:t xml:space="preserve">and </w:t>
      </w:r>
      <w:r w:rsidR="00463E69">
        <w:rPr>
          <w:iCs/>
          <w:lang w:eastAsia="ja-JP"/>
        </w:rPr>
        <w:t xml:space="preserve">verified localisation rate </w:t>
      </w:r>
      <w:r>
        <w:rPr>
          <w:lang w:eastAsia="ja-JP"/>
        </w:rPr>
        <w:t>were 20% and 10%, respectively, with a successful outcome achieved if t</w:t>
      </w:r>
      <w:r w:rsidRPr="00677305">
        <w:rPr>
          <w:lang w:eastAsia="ja-JP"/>
        </w:rPr>
        <w:t xml:space="preserve">he lower bound of the 95% </w:t>
      </w:r>
      <w:proofErr w:type="gramStart"/>
      <w:r w:rsidRPr="00677305">
        <w:rPr>
          <w:lang w:eastAsia="ja-JP"/>
        </w:rPr>
        <w:t>two</w:t>
      </w:r>
      <w:r w:rsidR="00472493">
        <w:rPr>
          <w:lang w:eastAsia="ja-JP"/>
        </w:rPr>
        <w:t xml:space="preserve"> </w:t>
      </w:r>
      <w:r w:rsidRPr="00677305">
        <w:rPr>
          <w:lang w:eastAsia="ja-JP"/>
        </w:rPr>
        <w:t>sided</w:t>
      </w:r>
      <w:proofErr w:type="gramEnd"/>
      <w:r w:rsidRPr="00677305">
        <w:rPr>
          <w:lang w:eastAsia="ja-JP"/>
        </w:rPr>
        <w:t xml:space="preserve"> </w:t>
      </w:r>
      <w:r w:rsidR="00DF0DB0">
        <w:rPr>
          <w:lang w:eastAsia="ja-JP"/>
        </w:rPr>
        <w:t>confidence interval (CI)</w:t>
      </w:r>
      <w:r w:rsidRPr="00677305">
        <w:rPr>
          <w:lang w:eastAsia="ja-JP"/>
        </w:rPr>
        <w:t xml:space="preserve"> exceed</w:t>
      </w:r>
      <w:r>
        <w:rPr>
          <w:lang w:eastAsia="ja-JP"/>
        </w:rPr>
        <w:t>ed</w:t>
      </w:r>
      <w:r w:rsidRPr="00677305">
        <w:rPr>
          <w:lang w:eastAsia="ja-JP"/>
        </w:rPr>
        <w:t xml:space="preserve"> the threshold for at least </w:t>
      </w:r>
      <w:r w:rsidR="00472493">
        <w:rPr>
          <w:lang w:eastAsia="ja-JP"/>
        </w:rPr>
        <w:t>two</w:t>
      </w:r>
      <w:r w:rsidRPr="00677305">
        <w:rPr>
          <w:lang w:eastAsia="ja-JP"/>
        </w:rPr>
        <w:t xml:space="preserve"> of the </w:t>
      </w:r>
      <w:r w:rsidR="00472493">
        <w:rPr>
          <w:lang w:eastAsia="ja-JP"/>
        </w:rPr>
        <w:t>three</w:t>
      </w:r>
      <w:r w:rsidRPr="00677305">
        <w:rPr>
          <w:lang w:eastAsia="ja-JP"/>
        </w:rPr>
        <w:t xml:space="preserve"> readers.</w:t>
      </w:r>
      <w:r>
        <w:rPr>
          <w:lang w:eastAsia="ja-JP"/>
        </w:rPr>
        <w:t xml:space="preserve"> The selection of a 20% threshold for </w:t>
      </w:r>
      <w:r w:rsidR="00463E69">
        <w:rPr>
          <w:iCs/>
          <w:lang w:eastAsia="ja-JP"/>
        </w:rPr>
        <w:t>correct detection rate</w:t>
      </w:r>
      <w:r w:rsidR="00463E69" w:rsidDel="00463E69">
        <w:rPr>
          <w:lang w:eastAsia="ja-JP"/>
        </w:rPr>
        <w:t xml:space="preserve"> </w:t>
      </w:r>
      <w:r>
        <w:rPr>
          <w:lang w:eastAsia="ja-JP"/>
        </w:rPr>
        <w:t xml:space="preserve">was aligned with the threshold for CDR used in the Phase </w:t>
      </w:r>
      <w:r w:rsidR="00472493">
        <w:rPr>
          <w:lang w:eastAsia="ja-JP"/>
        </w:rPr>
        <w:t>III</w:t>
      </w:r>
      <w:r>
        <w:rPr>
          <w:lang w:eastAsia="ja-JP"/>
        </w:rPr>
        <w:t xml:space="preserve"> CONDOR </w:t>
      </w:r>
      <w:r w:rsidR="00472493">
        <w:rPr>
          <w:lang w:eastAsia="ja-JP"/>
        </w:rPr>
        <w:t>trial</w:t>
      </w:r>
      <w:r>
        <w:rPr>
          <w:lang w:eastAsia="ja-JP"/>
        </w:rPr>
        <w:t xml:space="preserve"> which evaluated the PSMA-directed radiopharmaceutical </w:t>
      </w:r>
      <w:r w:rsidR="00463E69">
        <w:rPr>
          <w:lang w:eastAsia="ja-JP"/>
        </w:rPr>
        <w:t>[</w:t>
      </w:r>
      <w:r w:rsidRPr="004F7DDA">
        <w:rPr>
          <w:vertAlign w:val="superscript"/>
          <w:lang w:eastAsia="ja-JP"/>
        </w:rPr>
        <w:t>18</w:t>
      </w:r>
      <w:r>
        <w:rPr>
          <w:lang w:eastAsia="ja-JP"/>
        </w:rPr>
        <w:t>F</w:t>
      </w:r>
      <w:r w:rsidR="00463E69">
        <w:rPr>
          <w:lang w:eastAsia="ja-JP"/>
        </w:rPr>
        <w:t>]-</w:t>
      </w:r>
      <w:proofErr w:type="spellStart"/>
      <w:r>
        <w:rPr>
          <w:lang w:eastAsia="ja-JP"/>
        </w:rPr>
        <w:t>DCFPyl</w:t>
      </w:r>
      <w:proofErr w:type="spellEnd"/>
      <w:r w:rsidR="00472493">
        <w:rPr>
          <w:lang w:eastAsia="ja-JP"/>
        </w:rPr>
        <w:t>.</w:t>
      </w:r>
      <w:bookmarkStart w:id="65" w:name="_Ref106203856"/>
      <w:r w:rsidR="00463E69">
        <w:rPr>
          <w:rStyle w:val="FootnoteReference"/>
          <w:lang w:eastAsia="ja-JP"/>
        </w:rPr>
        <w:footnoteReference w:id="44"/>
      </w:r>
      <w:bookmarkEnd w:id="65"/>
    </w:p>
    <w:p w14:paraId="3F945212" w14:textId="76E03A05" w:rsidR="00363767" w:rsidRPr="004F7DDA" w:rsidRDefault="00363767" w:rsidP="004F7DDA">
      <w:pPr>
        <w:keepNext/>
        <w:rPr>
          <w:i/>
        </w:rPr>
      </w:pPr>
      <w:r w:rsidRPr="004F7DDA">
        <w:rPr>
          <w:i/>
        </w:rPr>
        <w:lastRenderedPageBreak/>
        <w:t>Secondary efficacy endpoints included:</w:t>
      </w:r>
    </w:p>
    <w:p w14:paraId="381D4046" w14:textId="3F616B6F" w:rsidR="00363767" w:rsidRDefault="00B813F0" w:rsidP="00363767">
      <w:r>
        <w:rPr>
          <w:iCs/>
          <w:lang w:eastAsia="ja-JP"/>
        </w:rPr>
        <w:t>correct detection rate</w:t>
      </w:r>
      <w:r w:rsidDel="00B813F0">
        <w:t xml:space="preserve"> </w:t>
      </w:r>
      <w:r w:rsidR="00363767">
        <w:t xml:space="preserve">and </w:t>
      </w:r>
      <w:r w:rsidRPr="00B813F0">
        <w:t xml:space="preserve">verified localisation rate </w:t>
      </w:r>
      <w:r w:rsidR="00363767">
        <w:t>for the secondary populations (</w:t>
      </w:r>
      <w:r w:rsidR="00472493">
        <w:t>f</w:t>
      </w:r>
      <w:r w:rsidR="00363767">
        <w:t xml:space="preserve">ull </w:t>
      </w:r>
      <w:r w:rsidR="00472493">
        <w:t>p</w:t>
      </w:r>
      <w:r w:rsidR="00363767">
        <w:t xml:space="preserve">atient </w:t>
      </w:r>
      <w:r w:rsidR="00472493">
        <w:t>a</w:t>
      </w:r>
      <w:r w:rsidR="00363767">
        <w:t xml:space="preserve">nalysis </w:t>
      </w:r>
      <w:r w:rsidR="00472493">
        <w:t>s</w:t>
      </w:r>
      <w:r w:rsidR="00363767">
        <w:t xml:space="preserve">et, </w:t>
      </w:r>
      <w:r w:rsidR="00472493">
        <w:t>p</w:t>
      </w:r>
      <w:r w:rsidR="00363767">
        <w:t xml:space="preserve">atient </w:t>
      </w:r>
      <w:r w:rsidR="00472493">
        <w:t>c</w:t>
      </w:r>
      <w:r w:rsidR="00363767">
        <w:t xml:space="preserve">omposite </w:t>
      </w:r>
      <w:r w:rsidR="00472493">
        <w:t>r</w:t>
      </w:r>
      <w:r w:rsidR="00363767">
        <w:t xml:space="preserve">eference </w:t>
      </w:r>
      <w:r w:rsidR="00472493">
        <w:t>s</w:t>
      </w:r>
      <w:r w:rsidR="00363767">
        <w:t xml:space="preserve">et, and </w:t>
      </w:r>
      <w:r w:rsidR="00472493">
        <w:t>p</w:t>
      </w:r>
      <w:r w:rsidR="00363767">
        <w:t xml:space="preserve">atient </w:t>
      </w:r>
      <w:r w:rsidR="00472493">
        <w:t>h</w:t>
      </w:r>
      <w:r w:rsidR="00363767">
        <w:t xml:space="preserve">istopathology </w:t>
      </w:r>
      <w:r w:rsidR="00472493">
        <w:t>o</w:t>
      </w:r>
      <w:r w:rsidR="00363767">
        <w:t xml:space="preserve">nly </w:t>
      </w:r>
      <w:r w:rsidR="00472493">
        <w:t>s</w:t>
      </w:r>
      <w:r w:rsidR="00363767">
        <w:t>et).</w:t>
      </w:r>
    </w:p>
    <w:p w14:paraId="55379F0F" w14:textId="244D0670" w:rsidR="00363767" w:rsidRDefault="00472493" w:rsidP="00363767">
      <w:pPr>
        <w:pStyle w:val="ListBullet"/>
      </w:pPr>
      <w:r>
        <w:rPr>
          <w:iCs/>
          <w:lang w:eastAsia="ja-JP"/>
        </w:rPr>
        <w:t>V</w:t>
      </w:r>
      <w:r w:rsidRPr="00472493">
        <w:rPr>
          <w:iCs/>
          <w:lang w:eastAsia="ja-JP"/>
        </w:rPr>
        <w:t xml:space="preserve">erified </w:t>
      </w:r>
      <w:r>
        <w:rPr>
          <w:iCs/>
          <w:lang w:eastAsia="ja-JP"/>
        </w:rPr>
        <w:t>l</w:t>
      </w:r>
      <w:r w:rsidRPr="00472493">
        <w:rPr>
          <w:iCs/>
          <w:lang w:eastAsia="ja-JP"/>
        </w:rPr>
        <w:t xml:space="preserve">ocalisation </w:t>
      </w:r>
      <w:r>
        <w:rPr>
          <w:iCs/>
          <w:lang w:eastAsia="ja-JP"/>
        </w:rPr>
        <w:t>r</w:t>
      </w:r>
      <w:r w:rsidRPr="00472493">
        <w:rPr>
          <w:iCs/>
          <w:lang w:eastAsia="ja-JP"/>
        </w:rPr>
        <w:t>ate</w:t>
      </w:r>
      <w:r w:rsidR="00363767">
        <w:t xml:space="preserve"> by region (prostate bed, pelvic lymph nodes, skeleton, and other distant sites)</w:t>
      </w:r>
      <w:r>
        <w:t>.</w:t>
      </w:r>
    </w:p>
    <w:p w14:paraId="51DDF64A" w14:textId="0C030E9A" w:rsidR="00363767" w:rsidRDefault="00472493" w:rsidP="00363767">
      <w:pPr>
        <w:pStyle w:val="ListBullet"/>
      </w:pPr>
      <w:r>
        <w:t>P</w:t>
      </w:r>
      <w:r w:rsidR="00363767">
        <w:t xml:space="preserve">ooled region-level </w:t>
      </w:r>
      <w:r w:rsidR="00B813F0">
        <w:rPr>
          <w:iCs/>
          <w:lang w:eastAsia="ja-JP"/>
        </w:rPr>
        <w:t>verified localisation rate</w:t>
      </w:r>
      <w:r>
        <w:t>.</w:t>
      </w:r>
    </w:p>
    <w:p w14:paraId="4B3E47AE" w14:textId="6C53D1E1" w:rsidR="00363767" w:rsidRDefault="00472493" w:rsidP="00DA02C1">
      <w:pPr>
        <w:pStyle w:val="ListBullet"/>
      </w:pPr>
      <w:r>
        <w:t>R</w:t>
      </w:r>
      <w:r w:rsidR="00363767">
        <w:t xml:space="preserve">egion-level mean </w:t>
      </w:r>
      <w:r w:rsidR="00B813F0">
        <w:rPr>
          <w:lang w:eastAsia="ja-JP"/>
        </w:rPr>
        <w:t>verified localisation rate</w:t>
      </w:r>
      <w:r>
        <w:t>.</w:t>
      </w:r>
    </w:p>
    <w:p w14:paraId="2F50AD09" w14:textId="23786C96" w:rsidR="00363767" w:rsidRDefault="00472493" w:rsidP="00363767">
      <w:pPr>
        <w:pStyle w:val="ListBullet"/>
      </w:pPr>
      <w:r>
        <w:t>P</w:t>
      </w:r>
      <w:r w:rsidR="00363767">
        <w:t xml:space="preserve">ercentage of patients scanned who had at least one </w:t>
      </w:r>
      <w:r w:rsidR="00B813F0">
        <w:t xml:space="preserve">false positive </w:t>
      </w:r>
      <w:r w:rsidR="00363767">
        <w:t xml:space="preserve">finding, regardless of any co-existent </w:t>
      </w:r>
      <w:proofErr w:type="spellStart"/>
      <w:r w:rsidR="00B813F0">
        <w:t>transperineal</w:t>
      </w:r>
      <w:proofErr w:type="spellEnd"/>
      <w:r w:rsidR="00B813F0">
        <w:t xml:space="preserve"> </w:t>
      </w:r>
      <w:r w:rsidR="00363767">
        <w:t>lesions.</w:t>
      </w:r>
    </w:p>
    <w:p w14:paraId="450B0F68" w14:textId="5DEA69E4" w:rsidR="00363767" w:rsidRDefault="00472493" w:rsidP="00363767">
      <w:pPr>
        <w:pStyle w:val="ListBullet"/>
      </w:pPr>
      <w:r>
        <w:rPr>
          <w:iCs/>
          <w:lang w:eastAsia="ja-JP"/>
        </w:rPr>
        <w:t>C</w:t>
      </w:r>
      <w:r w:rsidRPr="00472493">
        <w:rPr>
          <w:iCs/>
          <w:lang w:eastAsia="ja-JP"/>
        </w:rPr>
        <w:t xml:space="preserve">orrect </w:t>
      </w:r>
      <w:r>
        <w:rPr>
          <w:iCs/>
          <w:lang w:eastAsia="ja-JP"/>
        </w:rPr>
        <w:t>d</w:t>
      </w:r>
      <w:r w:rsidRPr="00472493">
        <w:rPr>
          <w:iCs/>
          <w:lang w:eastAsia="ja-JP"/>
        </w:rPr>
        <w:t xml:space="preserve">etection </w:t>
      </w:r>
      <w:r>
        <w:rPr>
          <w:iCs/>
          <w:lang w:eastAsia="ja-JP"/>
        </w:rPr>
        <w:t>r</w:t>
      </w:r>
      <w:r w:rsidRPr="00472493">
        <w:rPr>
          <w:iCs/>
          <w:lang w:eastAsia="ja-JP"/>
        </w:rPr>
        <w:t>ate</w:t>
      </w:r>
      <w:r w:rsidR="00363767" w:rsidRPr="00575CE6">
        <w:rPr>
          <w:rFonts w:asciiTheme="minorHAnsi" w:hAnsiTheme="minorHAnsi"/>
        </w:rPr>
        <w:t xml:space="preserve"> and </w:t>
      </w:r>
      <w:r w:rsidR="00B813F0">
        <w:rPr>
          <w:iCs/>
          <w:lang w:eastAsia="ja-JP"/>
        </w:rPr>
        <w:t xml:space="preserve">verified localisation rate </w:t>
      </w:r>
      <w:r w:rsidR="00363767" w:rsidRPr="00575CE6">
        <w:rPr>
          <w:rFonts w:asciiTheme="minorHAnsi" w:hAnsiTheme="minorHAnsi"/>
        </w:rPr>
        <w:t>by PSA sub-group (&lt;</w:t>
      </w:r>
      <w:r>
        <w:rPr>
          <w:rFonts w:asciiTheme="minorHAnsi" w:hAnsiTheme="minorHAnsi"/>
        </w:rPr>
        <w:t> </w:t>
      </w:r>
      <w:r w:rsidR="00363767" w:rsidRPr="00575CE6">
        <w:rPr>
          <w:rFonts w:asciiTheme="minorHAnsi" w:hAnsiTheme="minorHAnsi"/>
        </w:rPr>
        <w:t>0.5, 0.5</w:t>
      </w:r>
      <w:r>
        <w:rPr>
          <w:rFonts w:asciiTheme="minorHAnsi" w:hAnsiTheme="minorHAnsi"/>
        </w:rPr>
        <w:t xml:space="preserve"> to </w:t>
      </w:r>
      <w:r w:rsidR="00363767" w:rsidRPr="00575CE6">
        <w:rPr>
          <w:rFonts w:asciiTheme="minorHAnsi" w:hAnsiTheme="minorHAnsi"/>
        </w:rPr>
        <w:t>&lt;</w:t>
      </w:r>
      <w:r w:rsidR="00B813F0">
        <w:rPr>
          <w:rFonts w:asciiTheme="minorHAnsi" w:hAnsiTheme="minorHAnsi"/>
        </w:rPr>
        <w:t> </w:t>
      </w:r>
      <w:r w:rsidR="00363767" w:rsidRPr="00575CE6">
        <w:rPr>
          <w:rFonts w:asciiTheme="minorHAnsi" w:hAnsiTheme="minorHAnsi"/>
        </w:rPr>
        <w:t>1, 1</w:t>
      </w:r>
      <w:r>
        <w:rPr>
          <w:rFonts w:asciiTheme="minorHAnsi" w:hAnsiTheme="minorHAnsi"/>
        </w:rPr>
        <w:t xml:space="preserve"> to </w:t>
      </w:r>
      <w:r w:rsidR="00363767" w:rsidRPr="00575CE6">
        <w:rPr>
          <w:rFonts w:asciiTheme="minorHAnsi" w:hAnsiTheme="minorHAnsi"/>
        </w:rPr>
        <w:t>&lt;</w:t>
      </w:r>
      <w:r>
        <w:rPr>
          <w:rFonts w:asciiTheme="minorHAnsi" w:hAnsiTheme="minorHAnsi"/>
        </w:rPr>
        <w:t> </w:t>
      </w:r>
      <w:r w:rsidR="00363767" w:rsidRPr="00575CE6">
        <w:rPr>
          <w:rFonts w:asciiTheme="minorHAnsi" w:hAnsiTheme="minorHAnsi"/>
        </w:rPr>
        <w:t>2, 2</w:t>
      </w:r>
      <w:r>
        <w:rPr>
          <w:rFonts w:asciiTheme="minorHAnsi" w:hAnsiTheme="minorHAnsi"/>
        </w:rPr>
        <w:t xml:space="preserve"> to </w:t>
      </w:r>
      <w:r w:rsidR="00363767" w:rsidRPr="00575CE6">
        <w:rPr>
          <w:rFonts w:asciiTheme="minorHAnsi" w:hAnsiTheme="minorHAnsi"/>
        </w:rPr>
        <w:t xml:space="preserve">&lt;5, and </w:t>
      </w:r>
      <w:r w:rsidR="00363767" w:rsidRPr="00575CE6">
        <w:rPr>
          <w:rFonts w:asciiTheme="minorHAnsi" w:eastAsia="TimesNewRomanPSMT" w:hAnsiTheme="minorHAnsi" w:cs="TimesNewRomanPSMT"/>
        </w:rPr>
        <w:t>≥</w:t>
      </w:r>
      <w:r>
        <w:rPr>
          <w:rFonts w:asciiTheme="minorHAnsi" w:eastAsia="TimesNewRomanPSMT" w:hAnsiTheme="minorHAnsi" w:cs="TimesNewRomanPSMT"/>
        </w:rPr>
        <w:t> </w:t>
      </w:r>
      <w:r w:rsidR="00363767" w:rsidRPr="00575CE6">
        <w:rPr>
          <w:rFonts w:asciiTheme="minorHAnsi" w:eastAsia="TimesNewRomanPSMT" w:hAnsiTheme="minorHAnsi" w:cs="TimesNewRomanPSMT"/>
        </w:rPr>
        <w:t xml:space="preserve">5 </w:t>
      </w:r>
      <w:r w:rsidR="00363767" w:rsidRPr="00575CE6">
        <w:rPr>
          <w:rFonts w:asciiTheme="minorHAnsi" w:hAnsiTheme="minorHAnsi"/>
        </w:rPr>
        <w:t>ng/mL) and by nadir subgroup (&lt;</w:t>
      </w:r>
      <w:r>
        <w:rPr>
          <w:rFonts w:asciiTheme="minorHAnsi" w:hAnsiTheme="minorHAnsi"/>
        </w:rPr>
        <w:t> </w:t>
      </w:r>
      <w:r w:rsidR="00363767" w:rsidRPr="00575CE6">
        <w:rPr>
          <w:rFonts w:asciiTheme="minorHAnsi" w:hAnsiTheme="minorHAnsi"/>
        </w:rPr>
        <w:t xml:space="preserve">1 and </w:t>
      </w:r>
      <w:r w:rsidR="00363767" w:rsidRPr="00575CE6">
        <w:rPr>
          <w:rFonts w:asciiTheme="minorHAnsi" w:eastAsia="TimesNewRomanPSMT" w:hAnsiTheme="minorHAnsi" w:cs="TimesNewRomanPSMT"/>
        </w:rPr>
        <w:t>≥</w:t>
      </w:r>
      <w:r>
        <w:rPr>
          <w:rFonts w:asciiTheme="minorHAnsi" w:eastAsia="TimesNewRomanPSMT" w:hAnsiTheme="minorHAnsi" w:cs="TimesNewRomanPSMT"/>
        </w:rPr>
        <w:t> </w:t>
      </w:r>
      <w:r w:rsidR="00363767" w:rsidRPr="00575CE6">
        <w:rPr>
          <w:rFonts w:asciiTheme="minorHAnsi" w:hAnsiTheme="minorHAnsi"/>
        </w:rPr>
        <w:t>1 ng/mL)</w:t>
      </w:r>
      <w:r w:rsidR="00363767">
        <w:t>.</w:t>
      </w:r>
    </w:p>
    <w:p w14:paraId="545ADA27" w14:textId="18F928BD" w:rsidR="00363767" w:rsidRDefault="00363767" w:rsidP="00363767">
      <w:pPr>
        <w:pStyle w:val="ListBullet"/>
      </w:pPr>
      <w:r>
        <w:t>Pairwise patient and region</w:t>
      </w:r>
      <w:r w:rsidR="00472493">
        <w:t xml:space="preserve"> </w:t>
      </w:r>
      <w:r>
        <w:t>level inter-reader agreement on PSMA PET scan interpretations.</w:t>
      </w:r>
    </w:p>
    <w:p w14:paraId="30B48309" w14:textId="30898270" w:rsidR="0060135E" w:rsidRDefault="0060135E" w:rsidP="004F7DDA">
      <w:pPr>
        <w:pStyle w:val="Heading6"/>
      </w:pPr>
      <w:r>
        <w:t>Results</w:t>
      </w:r>
    </w:p>
    <w:p w14:paraId="3C6FEE0C" w14:textId="08B33CD6" w:rsidR="00363767" w:rsidRDefault="00363767" w:rsidP="00363767">
      <w:r>
        <w:t xml:space="preserve">The study was successful in achieving both co-primary endpoints. </w:t>
      </w:r>
      <w:r w:rsidR="00B813F0">
        <w:rPr>
          <w:iCs/>
          <w:lang w:eastAsia="ja-JP"/>
        </w:rPr>
        <w:t>correct detection rate</w:t>
      </w:r>
      <w:r w:rsidR="00B813F0" w:rsidDel="00B813F0">
        <w:t xml:space="preserve"> </w:t>
      </w:r>
      <w:r>
        <w:t xml:space="preserve">for the </w:t>
      </w:r>
      <w:r w:rsidR="00472493">
        <w:t>three</w:t>
      </w:r>
      <w:r>
        <w:t xml:space="preserve"> independent readers ranged from 41.1% to 45.7%, with the lower bound of the 95% CI for each of the </w:t>
      </w:r>
      <w:r w:rsidR="00472493">
        <w:t>three</w:t>
      </w:r>
      <w:r>
        <w:t xml:space="preserve"> readers exceeding the pre-defined threshold of 20% (</w:t>
      </w:r>
      <w:r w:rsidR="00B813F0">
        <w:t xml:space="preserve">see </w:t>
      </w:r>
      <w:r>
        <w:fldChar w:fldCharType="begin"/>
      </w:r>
      <w:r>
        <w:instrText xml:space="preserve"> REF _Ref103347217 \h </w:instrText>
      </w:r>
      <w:r>
        <w:fldChar w:fldCharType="separate"/>
      </w:r>
      <w:r w:rsidR="00036995" w:rsidRPr="00363767">
        <w:t xml:space="preserve">Table </w:t>
      </w:r>
      <w:r w:rsidR="00036995">
        <w:rPr>
          <w:noProof/>
        </w:rPr>
        <w:t>8</w:t>
      </w:r>
      <w:r>
        <w:fldChar w:fldCharType="end"/>
      </w:r>
      <w:r>
        <w:t xml:space="preserve">). </w:t>
      </w:r>
      <w:r w:rsidR="00B813F0">
        <w:rPr>
          <w:iCs/>
          <w:lang w:eastAsia="ja-JP"/>
        </w:rPr>
        <w:t xml:space="preserve">verified localisation rate </w:t>
      </w:r>
      <w:r>
        <w:t xml:space="preserve">for the </w:t>
      </w:r>
      <w:r w:rsidR="00472493">
        <w:t>three</w:t>
      </w:r>
      <w:r>
        <w:t xml:space="preserve"> readers ranged from 36.2% to 50%, with the lower bound of the 95% CI for each of the </w:t>
      </w:r>
      <w:r w:rsidR="00472493">
        <w:t>three</w:t>
      </w:r>
      <w:r>
        <w:t xml:space="preserve"> readers exceeding the pre-defined threshold of 10% (</w:t>
      </w:r>
      <w:r w:rsidR="00B813F0">
        <w:t xml:space="preserve">see </w:t>
      </w:r>
      <w:r>
        <w:fldChar w:fldCharType="begin"/>
      </w:r>
      <w:r>
        <w:instrText xml:space="preserve"> REF _Ref103347222 \h </w:instrText>
      </w:r>
      <w:r>
        <w:fldChar w:fldCharType="separate"/>
      </w:r>
      <w:r w:rsidR="00036995" w:rsidRPr="00363767">
        <w:t xml:space="preserve">Table </w:t>
      </w:r>
      <w:r w:rsidR="00036995">
        <w:rPr>
          <w:noProof/>
        </w:rPr>
        <w:t>9</w:t>
      </w:r>
      <w:r>
        <w:fldChar w:fldCharType="end"/>
      </w:r>
      <w:r>
        <w:t>).</w:t>
      </w:r>
    </w:p>
    <w:p w14:paraId="24CAA12D" w14:textId="63821FE7" w:rsidR="00363767" w:rsidRPr="00363767" w:rsidRDefault="00363767" w:rsidP="00363767">
      <w:pPr>
        <w:pStyle w:val="TableTitle"/>
        <w:rPr>
          <w:rFonts w:asciiTheme="minorHAnsi" w:hAnsiTheme="minorHAnsi"/>
        </w:rPr>
      </w:pPr>
      <w:bookmarkStart w:id="66" w:name="_Ref103347217"/>
      <w:r w:rsidRPr="00363767">
        <w:t xml:space="preserve">Table </w:t>
      </w:r>
      <w:fldSimple w:instr=" SEQ Table \* ARABIC ">
        <w:r w:rsidR="00036995">
          <w:rPr>
            <w:noProof/>
          </w:rPr>
          <w:t>8</w:t>
        </w:r>
      </w:fldSimple>
      <w:bookmarkEnd w:id="66"/>
      <w:r>
        <w:t>:</w:t>
      </w:r>
      <w:r w:rsidRPr="00363767">
        <w:rPr>
          <w:rFonts w:asciiTheme="minorHAnsi" w:hAnsiTheme="minorHAnsi"/>
          <w:bCs/>
        </w:rPr>
        <w:t xml:space="preserve"> </w:t>
      </w:r>
      <w:r w:rsidR="00472493">
        <w:rPr>
          <w:rFonts w:asciiTheme="minorHAnsi" w:hAnsiTheme="minorHAnsi"/>
          <w:bCs/>
        </w:rPr>
        <w:t xml:space="preserve">Study </w:t>
      </w:r>
      <w:r w:rsidR="00472493" w:rsidRPr="001709C0">
        <w:rPr>
          <w:rFonts w:asciiTheme="minorHAnsi" w:hAnsiTheme="minorHAnsi"/>
          <w:bCs/>
        </w:rPr>
        <w:t>BCR-RET-01</w:t>
      </w:r>
      <w:r w:rsidR="00E87749">
        <w:rPr>
          <w:rFonts w:asciiTheme="minorHAnsi" w:hAnsiTheme="minorHAnsi"/>
          <w:bCs/>
        </w:rPr>
        <w:t xml:space="preserve"> </w:t>
      </w:r>
      <w:r w:rsidRPr="001709C0">
        <w:rPr>
          <w:rFonts w:asciiTheme="minorHAnsi" w:hAnsiTheme="minorHAnsi"/>
          <w:bCs/>
        </w:rPr>
        <w:t xml:space="preserve">Correct </w:t>
      </w:r>
      <w:r w:rsidR="00E87749">
        <w:rPr>
          <w:rFonts w:asciiTheme="minorHAnsi" w:hAnsiTheme="minorHAnsi"/>
          <w:bCs/>
        </w:rPr>
        <w:t>d</w:t>
      </w:r>
      <w:r w:rsidRPr="001709C0">
        <w:rPr>
          <w:rFonts w:asciiTheme="minorHAnsi" w:hAnsiTheme="minorHAnsi"/>
          <w:bCs/>
        </w:rPr>
        <w:t xml:space="preserve">etection </w:t>
      </w:r>
      <w:r w:rsidR="00E87749">
        <w:rPr>
          <w:rFonts w:asciiTheme="minorHAnsi" w:hAnsiTheme="minorHAnsi"/>
          <w:bCs/>
        </w:rPr>
        <w:t>r</w:t>
      </w:r>
      <w:r w:rsidRPr="001709C0">
        <w:rPr>
          <w:rFonts w:asciiTheme="minorHAnsi" w:hAnsiTheme="minorHAnsi"/>
          <w:bCs/>
        </w:rPr>
        <w:t>ate</w:t>
      </w:r>
      <w:r w:rsidR="00E87749">
        <w:rPr>
          <w:rFonts w:asciiTheme="minorHAnsi" w:hAnsiTheme="minorHAnsi"/>
          <w:bCs/>
        </w:rPr>
        <w:t xml:space="preserve"> (p</w:t>
      </w:r>
      <w:r w:rsidRPr="004B2FBE">
        <w:rPr>
          <w:rFonts w:cs="TimesNewRoman"/>
        </w:rPr>
        <w:t>at</w:t>
      </w:r>
      <w:r>
        <w:rPr>
          <w:rFonts w:cs="TimesNewRoman"/>
        </w:rPr>
        <w:t>i</w:t>
      </w:r>
      <w:r w:rsidRPr="004B2FBE">
        <w:rPr>
          <w:rFonts w:cs="TimesNewRoman"/>
        </w:rPr>
        <w:t xml:space="preserve">ent </w:t>
      </w:r>
      <w:r w:rsidR="00E87749">
        <w:rPr>
          <w:rFonts w:cs="TimesNewRoman"/>
        </w:rPr>
        <w:t>e</w:t>
      </w:r>
      <w:r w:rsidRPr="004B2FBE">
        <w:rPr>
          <w:rFonts w:cs="TimesNewRoman"/>
        </w:rPr>
        <w:t xml:space="preserve">fficacy </w:t>
      </w:r>
      <w:r w:rsidR="00E87749">
        <w:rPr>
          <w:rFonts w:cs="TimesNewRoman"/>
        </w:rPr>
        <w:t>e</w:t>
      </w:r>
      <w:r w:rsidRPr="004B2FBE">
        <w:rPr>
          <w:rFonts w:cs="TimesNewRoman"/>
        </w:rPr>
        <w:t xml:space="preserve">valuable </w:t>
      </w:r>
      <w:r w:rsidR="00E87749">
        <w:rPr>
          <w:rFonts w:cs="TimesNewRoman"/>
        </w:rPr>
        <w:t>p</w:t>
      </w:r>
      <w:r w:rsidRPr="004B2FBE">
        <w:rPr>
          <w:rFonts w:cs="TimesNewRoman"/>
        </w:rPr>
        <w:t>opulation</w:t>
      </w:r>
      <w:r w:rsidR="00E87749">
        <w:rPr>
          <w:rFonts w:cs="TimesNewRoman"/>
        </w:rPr>
        <w:t>)</w:t>
      </w:r>
    </w:p>
    <w:p w14:paraId="0CC07A09" w14:textId="11B6C2CD" w:rsidR="00C817A7" w:rsidRPr="00E87749" w:rsidRDefault="00363767" w:rsidP="00E87749">
      <w:pPr>
        <w:pStyle w:val="TableDescription"/>
      </w:pPr>
      <w:r>
        <w:rPr>
          <w:noProof/>
          <w:lang w:val="en-GB" w:eastAsia="en-GB"/>
        </w:rPr>
        <w:drawing>
          <wp:inline distT="0" distB="0" distL="0" distR="0" wp14:anchorId="462912CA" wp14:editId="18C232D5">
            <wp:extent cx="4943475" cy="1047750"/>
            <wp:effectExtent l="0" t="0" r="9525" b="0"/>
            <wp:docPr id="17" name="Picture 17" descr="Study BCR-RET-01 Correct detection rate (patient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y BCR-RET-01 Correct detection rate (patient efficacy evaluable population)"/>
                    <pic:cNvPicPr/>
                  </pic:nvPicPr>
                  <pic:blipFill>
                    <a:blip r:embed="rId27"/>
                    <a:stretch>
                      <a:fillRect/>
                    </a:stretch>
                  </pic:blipFill>
                  <pic:spPr>
                    <a:xfrm>
                      <a:off x="0" y="0"/>
                      <a:ext cx="4943475" cy="1047750"/>
                    </a:xfrm>
                    <a:prstGeom prst="rect">
                      <a:avLst/>
                    </a:prstGeom>
                  </pic:spPr>
                </pic:pic>
              </a:graphicData>
            </a:graphic>
          </wp:inline>
        </w:drawing>
      </w:r>
      <w:r>
        <w:br/>
      </w:r>
      <w:r w:rsidRPr="00E87749">
        <w:t xml:space="preserve">Abbreviations: </w:t>
      </w:r>
      <w:r w:rsidR="00B813F0">
        <w:t xml:space="preserve">CDR = </w:t>
      </w:r>
      <w:r w:rsidR="00B813F0">
        <w:rPr>
          <w:iCs/>
          <w:lang w:eastAsia="ja-JP"/>
        </w:rPr>
        <w:t>correct detection rate</w:t>
      </w:r>
      <w:r w:rsidR="00B813F0">
        <w:t xml:space="preserve">; </w:t>
      </w:r>
      <w:r w:rsidRPr="00E87749">
        <w:t>CI = confidence interval; N = total number of subjects; n</w:t>
      </w:r>
      <w:r w:rsidR="00B813F0">
        <w:t> </w:t>
      </w:r>
      <w:r w:rsidRPr="00E87749">
        <w:t>=</w:t>
      </w:r>
      <w:r w:rsidR="00B813F0">
        <w:t> </w:t>
      </w:r>
      <w:r w:rsidRPr="00E87749">
        <w:t>number of subjects in a specific group.</w:t>
      </w:r>
    </w:p>
    <w:p w14:paraId="37699FDA" w14:textId="68C29AFB" w:rsidR="00363767" w:rsidRPr="00E87749" w:rsidRDefault="00363767" w:rsidP="00E87749">
      <w:pPr>
        <w:pStyle w:val="TableDescription"/>
      </w:pPr>
      <w:r w:rsidRPr="00E87749">
        <w:t>* Lower bound of 95% CI for CDR exceeded threshold of 20%.</w:t>
      </w:r>
    </w:p>
    <w:p w14:paraId="7F4CC7B1" w14:textId="1E706DBC" w:rsidR="00363767" w:rsidRPr="001709C0" w:rsidRDefault="00363767" w:rsidP="00363767">
      <w:pPr>
        <w:pStyle w:val="TableTitle"/>
      </w:pPr>
      <w:bookmarkStart w:id="67" w:name="_Ref103347222"/>
      <w:r w:rsidRPr="00363767">
        <w:t xml:space="preserve">Table </w:t>
      </w:r>
      <w:fldSimple w:instr=" SEQ Table \* ARABIC ">
        <w:r w:rsidR="00036995">
          <w:rPr>
            <w:noProof/>
          </w:rPr>
          <w:t>9</w:t>
        </w:r>
      </w:fldSimple>
      <w:bookmarkEnd w:id="67"/>
      <w:r>
        <w:t>:</w:t>
      </w:r>
      <w:r w:rsidRPr="00363767">
        <w:rPr>
          <w:bCs/>
        </w:rPr>
        <w:t xml:space="preserve"> </w:t>
      </w:r>
      <w:r w:rsidR="00E87749">
        <w:rPr>
          <w:bCs/>
        </w:rPr>
        <w:t xml:space="preserve">Study </w:t>
      </w:r>
      <w:r w:rsidR="00E87749" w:rsidRPr="001709C0">
        <w:rPr>
          <w:bCs/>
        </w:rPr>
        <w:t xml:space="preserve">BCR-RET-01 </w:t>
      </w:r>
      <w:r w:rsidRPr="001709C0">
        <w:rPr>
          <w:bCs/>
        </w:rPr>
        <w:t xml:space="preserve">Verified </w:t>
      </w:r>
      <w:r w:rsidR="00E87749">
        <w:rPr>
          <w:bCs/>
        </w:rPr>
        <w:t>l</w:t>
      </w:r>
      <w:r w:rsidRPr="001709C0">
        <w:rPr>
          <w:bCs/>
        </w:rPr>
        <w:t>ocali</w:t>
      </w:r>
      <w:r>
        <w:rPr>
          <w:bCs/>
        </w:rPr>
        <w:t>s</w:t>
      </w:r>
      <w:r w:rsidRPr="001709C0">
        <w:rPr>
          <w:bCs/>
        </w:rPr>
        <w:t xml:space="preserve">ation </w:t>
      </w:r>
      <w:r w:rsidR="00E87749">
        <w:rPr>
          <w:bCs/>
        </w:rPr>
        <w:t>r</w:t>
      </w:r>
      <w:r w:rsidRPr="001709C0">
        <w:rPr>
          <w:bCs/>
        </w:rPr>
        <w:t>ate</w:t>
      </w:r>
      <w:r>
        <w:rPr>
          <w:bCs/>
        </w:rPr>
        <w:t xml:space="preserve"> </w:t>
      </w:r>
      <w:r w:rsidR="00E87749">
        <w:rPr>
          <w:bCs/>
        </w:rPr>
        <w:t>(r</w:t>
      </w:r>
      <w:r>
        <w:rPr>
          <w:rFonts w:cs="TimesNewRoman"/>
        </w:rPr>
        <w:t>egion</w:t>
      </w:r>
      <w:r w:rsidRPr="004B2FBE">
        <w:rPr>
          <w:rFonts w:cs="TimesNewRoman"/>
        </w:rPr>
        <w:t xml:space="preserve"> </w:t>
      </w:r>
      <w:r w:rsidR="00E87749">
        <w:rPr>
          <w:rFonts w:cs="TimesNewRoman"/>
        </w:rPr>
        <w:t>e</w:t>
      </w:r>
      <w:r w:rsidRPr="004B2FBE">
        <w:rPr>
          <w:rFonts w:cs="TimesNewRoman"/>
        </w:rPr>
        <w:t xml:space="preserve">fficacy </w:t>
      </w:r>
      <w:r w:rsidR="00E87749">
        <w:rPr>
          <w:rFonts w:cs="TimesNewRoman"/>
        </w:rPr>
        <w:t>e</w:t>
      </w:r>
      <w:r w:rsidRPr="004B2FBE">
        <w:rPr>
          <w:rFonts w:cs="TimesNewRoman"/>
        </w:rPr>
        <w:t xml:space="preserve">valuable </w:t>
      </w:r>
      <w:r w:rsidR="00E87749">
        <w:rPr>
          <w:rFonts w:cs="TimesNewRoman"/>
        </w:rPr>
        <w:t>p</w:t>
      </w:r>
      <w:r w:rsidRPr="004B2FBE">
        <w:rPr>
          <w:rFonts w:cs="TimesNewRoman"/>
        </w:rPr>
        <w:t>opulation</w:t>
      </w:r>
      <w:r w:rsidR="00E87749">
        <w:rPr>
          <w:rFonts w:cs="TimesNewRoman"/>
        </w:rPr>
        <w:t>)</w:t>
      </w:r>
    </w:p>
    <w:p w14:paraId="4AE7AE19" w14:textId="1631A680" w:rsidR="00363767" w:rsidRPr="00363767" w:rsidRDefault="00363767" w:rsidP="00363767">
      <w:pPr>
        <w:pStyle w:val="Caption"/>
      </w:pPr>
      <w:r>
        <w:rPr>
          <w:noProof/>
          <w:lang w:val="en-GB" w:eastAsia="en-GB"/>
        </w:rPr>
        <w:drawing>
          <wp:inline distT="0" distB="0" distL="0" distR="0" wp14:anchorId="09CD46AF" wp14:editId="3140FAB1">
            <wp:extent cx="4953000" cy="1400175"/>
            <wp:effectExtent l="0" t="0" r="0" b="9525"/>
            <wp:docPr id="18" name="Picture 18" descr="Study BCR-RET-01 Verified localisation rate (region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BCR-RET-01 Verified localisation rate (region efficacy evaluable population)"/>
                    <pic:cNvPicPr/>
                  </pic:nvPicPr>
                  <pic:blipFill>
                    <a:blip r:embed="rId28"/>
                    <a:stretch>
                      <a:fillRect/>
                    </a:stretch>
                  </pic:blipFill>
                  <pic:spPr>
                    <a:xfrm>
                      <a:off x="0" y="0"/>
                      <a:ext cx="4953000" cy="1400175"/>
                    </a:xfrm>
                    <a:prstGeom prst="rect">
                      <a:avLst/>
                    </a:prstGeom>
                  </pic:spPr>
                </pic:pic>
              </a:graphicData>
            </a:graphic>
          </wp:inline>
        </w:drawing>
      </w:r>
    </w:p>
    <w:p w14:paraId="34B0A244" w14:textId="6A19672F" w:rsidR="00363767" w:rsidRPr="001709C0" w:rsidRDefault="00363767" w:rsidP="00363767">
      <w:pPr>
        <w:pStyle w:val="TableDescription"/>
      </w:pPr>
      <w:r w:rsidRPr="001709C0">
        <w:t>Abbreviations: CI = confidence interval; N = total number of subjects; n = number of subjects in a specific</w:t>
      </w:r>
      <w:r w:rsidR="00B813F0">
        <w:t xml:space="preserve"> group; SD = standard deviation; VLR = </w:t>
      </w:r>
      <w:r w:rsidR="00B813F0">
        <w:rPr>
          <w:iCs/>
          <w:lang w:eastAsia="ja-JP"/>
        </w:rPr>
        <w:t>verified localisation rate.</w:t>
      </w:r>
    </w:p>
    <w:p w14:paraId="721DDEE2" w14:textId="7B89BCFF" w:rsidR="00363767" w:rsidRDefault="00363767" w:rsidP="00363767">
      <w:pPr>
        <w:pStyle w:val="TableDescription"/>
      </w:pPr>
      <w:r w:rsidRPr="001709C0">
        <w:t>* Lower bound of 95% CI for</w:t>
      </w:r>
      <w:r>
        <w:t xml:space="preserve"> VLR exceeded threshold of 10%.</w:t>
      </w:r>
    </w:p>
    <w:p w14:paraId="317734CF" w14:textId="26E70662" w:rsidR="003E7487" w:rsidRDefault="003E7487" w:rsidP="003E7487">
      <w:r w:rsidRPr="00873E44">
        <w:t xml:space="preserve">Secondary efficacy endpoints included </w:t>
      </w:r>
      <w:r w:rsidR="00B813F0">
        <w:rPr>
          <w:iCs/>
          <w:lang w:eastAsia="ja-JP"/>
        </w:rPr>
        <w:t>correct detection rate</w:t>
      </w:r>
      <w:r w:rsidR="00B813F0" w:rsidDel="00B813F0">
        <w:t xml:space="preserve"> </w:t>
      </w:r>
      <w:r>
        <w:t xml:space="preserve">in </w:t>
      </w:r>
      <w:r w:rsidRPr="00873E44">
        <w:t xml:space="preserve">the </w:t>
      </w:r>
      <w:r w:rsidR="00E87749">
        <w:t>f</w:t>
      </w:r>
      <w:r w:rsidRPr="00873E44">
        <w:t xml:space="preserve">ull </w:t>
      </w:r>
      <w:r w:rsidR="00E87749">
        <w:t>p</w:t>
      </w:r>
      <w:r w:rsidRPr="00873E44">
        <w:t xml:space="preserve">atient </w:t>
      </w:r>
      <w:r w:rsidR="00E87749">
        <w:t>a</w:t>
      </w:r>
      <w:r w:rsidRPr="00873E44">
        <w:t xml:space="preserve">nalysis </w:t>
      </w:r>
      <w:r w:rsidR="00E87749">
        <w:t>s</w:t>
      </w:r>
      <w:r w:rsidRPr="00873E44">
        <w:t>et</w:t>
      </w:r>
      <w:r>
        <w:t xml:space="preserve"> </w:t>
      </w:r>
      <w:r w:rsidR="00D4335E">
        <w:t>(</w:t>
      </w:r>
      <w:r w:rsidR="00B813F0">
        <w:t xml:space="preserve">see </w:t>
      </w:r>
      <w:r w:rsidR="00D4335E">
        <w:fldChar w:fldCharType="begin"/>
      </w:r>
      <w:r w:rsidR="00D4335E">
        <w:instrText xml:space="preserve"> REF _Ref103607853 \h </w:instrText>
      </w:r>
      <w:r w:rsidR="00D4335E">
        <w:fldChar w:fldCharType="separate"/>
      </w:r>
      <w:r w:rsidR="00036995" w:rsidRPr="00A643F1">
        <w:t xml:space="preserve">Table </w:t>
      </w:r>
      <w:r w:rsidR="00036995">
        <w:rPr>
          <w:noProof/>
        </w:rPr>
        <w:t>10</w:t>
      </w:r>
      <w:r w:rsidR="00D4335E">
        <w:fldChar w:fldCharType="end"/>
      </w:r>
      <w:r>
        <w:t>)</w:t>
      </w:r>
      <w:r w:rsidRPr="00873E44">
        <w:t xml:space="preserve">, </w:t>
      </w:r>
      <w:r>
        <w:t xml:space="preserve">the </w:t>
      </w:r>
      <w:r w:rsidR="00E87749">
        <w:t>p</w:t>
      </w:r>
      <w:r w:rsidRPr="00873E44">
        <w:t xml:space="preserve">atient </w:t>
      </w:r>
      <w:r w:rsidR="00E87749">
        <w:t>c</w:t>
      </w:r>
      <w:r w:rsidRPr="00873E44">
        <w:t xml:space="preserve">omposite </w:t>
      </w:r>
      <w:r w:rsidR="00E87749">
        <w:t>r</w:t>
      </w:r>
      <w:r w:rsidRPr="00873E44">
        <w:t xml:space="preserve">eference </w:t>
      </w:r>
      <w:r w:rsidR="00E87749">
        <w:t>s</w:t>
      </w:r>
      <w:r w:rsidRPr="00873E44">
        <w:t>et</w:t>
      </w:r>
      <w:r w:rsidR="00D4335E">
        <w:t xml:space="preserve"> (</w:t>
      </w:r>
      <w:r w:rsidR="00B813F0">
        <w:t xml:space="preserve">see </w:t>
      </w:r>
      <w:r w:rsidR="00D4335E">
        <w:fldChar w:fldCharType="begin"/>
      </w:r>
      <w:r w:rsidR="00D4335E">
        <w:instrText xml:space="preserve"> REF _Ref103607866 \h </w:instrText>
      </w:r>
      <w:r w:rsidR="00D4335E">
        <w:fldChar w:fldCharType="separate"/>
      </w:r>
      <w:r w:rsidR="00036995" w:rsidRPr="00A643F1">
        <w:t xml:space="preserve">Table </w:t>
      </w:r>
      <w:r w:rsidR="00036995">
        <w:rPr>
          <w:noProof/>
        </w:rPr>
        <w:t>11</w:t>
      </w:r>
      <w:r w:rsidR="00D4335E">
        <w:fldChar w:fldCharType="end"/>
      </w:r>
      <w:r>
        <w:t>)</w:t>
      </w:r>
      <w:r w:rsidRPr="00873E44">
        <w:t xml:space="preserve">, and </w:t>
      </w:r>
      <w:r>
        <w:t xml:space="preserve">the </w:t>
      </w:r>
      <w:r w:rsidR="00E87749">
        <w:t>p</w:t>
      </w:r>
      <w:r w:rsidRPr="00873E44">
        <w:t xml:space="preserve">atient </w:t>
      </w:r>
      <w:r w:rsidR="00E87749">
        <w:lastRenderedPageBreak/>
        <w:t>h</w:t>
      </w:r>
      <w:r w:rsidRPr="00873E44">
        <w:t xml:space="preserve">istopathology </w:t>
      </w:r>
      <w:r w:rsidR="00E87749">
        <w:t>o</w:t>
      </w:r>
      <w:r w:rsidRPr="00873E44">
        <w:t xml:space="preserve">nly </w:t>
      </w:r>
      <w:r w:rsidR="00E87749">
        <w:t>s</w:t>
      </w:r>
      <w:r w:rsidRPr="00873E44">
        <w:t>et</w:t>
      </w:r>
      <w:r>
        <w:t xml:space="preserve"> (</w:t>
      </w:r>
      <w:r w:rsidR="00B813F0">
        <w:t xml:space="preserve">see </w:t>
      </w:r>
      <w:r w:rsidR="00D4335E">
        <w:fldChar w:fldCharType="begin"/>
      </w:r>
      <w:r w:rsidR="00D4335E">
        <w:instrText xml:space="preserve"> REF _Ref103607880 \h </w:instrText>
      </w:r>
      <w:r w:rsidR="00D4335E">
        <w:fldChar w:fldCharType="separate"/>
      </w:r>
      <w:r w:rsidR="00036995" w:rsidRPr="00A643F1">
        <w:t xml:space="preserve">Table </w:t>
      </w:r>
      <w:r w:rsidR="00036995">
        <w:rPr>
          <w:noProof/>
        </w:rPr>
        <w:t>12</w:t>
      </w:r>
      <w:r w:rsidR="00D4335E">
        <w:fldChar w:fldCharType="end"/>
      </w:r>
      <w:r>
        <w:t xml:space="preserve">), and </w:t>
      </w:r>
      <w:r w:rsidR="00B813F0">
        <w:rPr>
          <w:iCs/>
          <w:lang w:eastAsia="ja-JP"/>
        </w:rPr>
        <w:t xml:space="preserve">verified localisation rate </w:t>
      </w:r>
      <w:r>
        <w:t xml:space="preserve">in the </w:t>
      </w:r>
      <w:r w:rsidR="00E87749">
        <w:t>f</w:t>
      </w:r>
      <w:r w:rsidRPr="00873E44">
        <w:t xml:space="preserve">ull </w:t>
      </w:r>
      <w:r w:rsidR="00E87749">
        <w:t>r</w:t>
      </w:r>
      <w:r>
        <w:t>egion</w:t>
      </w:r>
      <w:r w:rsidRPr="00873E44">
        <w:t xml:space="preserve"> </w:t>
      </w:r>
      <w:r w:rsidR="00E87749">
        <w:t>a</w:t>
      </w:r>
      <w:r w:rsidRPr="00873E44">
        <w:t xml:space="preserve">nalysis </w:t>
      </w:r>
      <w:r w:rsidR="00E87749">
        <w:t>s</w:t>
      </w:r>
      <w:r w:rsidRPr="00873E44">
        <w:t>et</w:t>
      </w:r>
      <w:r>
        <w:t xml:space="preserve"> </w:t>
      </w:r>
      <w:r w:rsidR="00D4335E">
        <w:t>(</w:t>
      </w:r>
      <w:r w:rsidR="00B813F0">
        <w:t xml:space="preserve">see </w:t>
      </w:r>
      <w:r w:rsidR="00D4335E">
        <w:fldChar w:fldCharType="begin"/>
      </w:r>
      <w:r w:rsidR="00D4335E">
        <w:instrText xml:space="preserve"> REF _Ref103607889 \h </w:instrText>
      </w:r>
      <w:r w:rsidR="00D4335E">
        <w:fldChar w:fldCharType="separate"/>
      </w:r>
      <w:r w:rsidR="00036995" w:rsidRPr="00A643F1">
        <w:t xml:space="preserve">Table </w:t>
      </w:r>
      <w:r w:rsidR="00036995">
        <w:rPr>
          <w:noProof/>
        </w:rPr>
        <w:t>13</w:t>
      </w:r>
      <w:r w:rsidR="00D4335E">
        <w:fldChar w:fldCharType="end"/>
      </w:r>
      <w:r>
        <w:t>)</w:t>
      </w:r>
      <w:r w:rsidRPr="00873E44">
        <w:t xml:space="preserve">, </w:t>
      </w:r>
      <w:r>
        <w:t xml:space="preserve">the </w:t>
      </w:r>
      <w:r w:rsidR="00E87749">
        <w:t>r</w:t>
      </w:r>
      <w:r>
        <w:t>egion</w:t>
      </w:r>
      <w:r w:rsidRPr="00873E44">
        <w:t xml:space="preserve"> </w:t>
      </w:r>
      <w:r w:rsidR="00E87749">
        <w:t>c</w:t>
      </w:r>
      <w:r w:rsidRPr="00873E44">
        <w:t xml:space="preserve">omposite </w:t>
      </w:r>
      <w:r w:rsidR="00E87749">
        <w:t>r</w:t>
      </w:r>
      <w:r w:rsidRPr="00873E44">
        <w:t xml:space="preserve">eference </w:t>
      </w:r>
      <w:r w:rsidR="00E87749">
        <w:t>s</w:t>
      </w:r>
      <w:r w:rsidRPr="00873E44">
        <w:t>et</w:t>
      </w:r>
      <w:r w:rsidR="00D4335E">
        <w:t xml:space="preserve"> (</w:t>
      </w:r>
      <w:r w:rsidR="00B813F0">
        <w:t xml:space="preserve">see </w:t>
      </w:r>
      <w:r w:rsidR="00D4335E">
        <w:fldChar w:fldCharType="begin"/>
      </w:r>
      <w:r w:rsidR="00D4335E">
        <w:instrText xml:space="preserve"> REF _Ref103607902 \h </w:instrText>
      </w:r>
      <w:r w:rsidR="00D4335E">
        <w:fldChar w:fldCharType="separate"/>
      </w:r>
      <w:r w:rsidR="00036995" w:rsidRPr="00A643F1">
        <w:t xml:space="preserve">Table </w:t>
      </w:r>
      <w:r w:rsidR="00036995">
        <w:rPr>
          <w:noProof/>
        </w:rPr>
        <w:t>14</w:t>
      </w:r>
      <w:r w:rsidR="00D4335E">
        <w:fldChar w:fldCharType="end"/>
      </w:r>
      <w:r>
        <w:t>)</w:t>
      </w:r>
      <w:r w:rsidRPr="00873E44">
        <w:t xml:space="preserve">, and the </w:t>
      </w:r>
      <w:r w:rsidR="00E87749">
        <w:t>r</w:t>
      </w:r>
      <w:r>
        <w:t>egion</w:t>
      </w:r>
      <w:r w:rsidRPr="00873E44">
        <w:t xml:space="preserve"> </w:t>
      </w:r>
      <w:r w:rsidR="00E87749">
        <w:t>h</w:t>
      </w:r>
      <w:r w:rsidRPr="00873E44">
        <w:t xml:space="preserve">istopathology </w:t>
      </w:r>
      <w:r w:rsidR="00E87749">
        <w:t>o</w:t>
      </w:r>
      <w:r w:rsidRPr="00873E44">
        <w:t xml:space="preserve">nly </w:t>
      </w:r>
      <w:r w:rsidR="00E87749">
        <w:t>s</w:t>
      </w:r>
      <w:r w:rsidRPr="00873E44">
        <w:t>et</w:t>
      </w:r>
      <w:r>
        <w:t xml:space="preserve"> (</w:t>
      </w:r>
      <w:r w:rsidR="00B813F0">
        <w:t xml:space="preserve">see </w:t>
      </w:r>
      <w:r w:rsidR="00D4335E">
        <w:fldChar w:fldCharType="begin"/>
      </w:r>
      <w:r w:rsidR="00D4335E">
        <w:instrText xml:space="preserve"> REF _Ref103607916 \h </w:instrText>
      </w:r>
      <w:r w:rsidR="00D4335E">
        <w:fldChar w:fldCharType="separate"/>
      </w:r>
      <w:r w:rsidR="00036995" w:rsidRPr="00A643F1">
        <w:t xml:space="preserve">Table </w:t>
      </w:r>
      <w:r w:rsidR="00036995">
        <w:rPr>
          <w:noProof/>
        </w:rPr>
        <w:t>15</w:t>
      </w:r>
      <w:r w:rsidR="00D4335E">
        <w:fldChar w:fldCharType="end"/>
      </w:r>
      <w:r>
        <w:t>)</w:t>
      </w:r>
      <w:r w:rsidRPr="00873E44">
        <w:t xml:space="preserve">. </w:t>
      </w:r>
      <w:r w:rsidR="00B813F0">
        <w:rPr>
          <w:iCs/>
          <w:lang w:eastAsia="ja-JP"/>
        </w:rPr>
        <w:t>Correct detection rates</w:t>
      </w:r>
      <w:r w:rsidR="00B813F0" w:rsidDel="00B813F0">
        <w:t xml:space="preserve"> </w:t>
      </w:r>
      <w:r>
        <w:t xml:space="preserve">and </w:t>
      </w:r>
      <w:r w:rsidR="00B813F0">
        <w:rPr>
          <w:iCs/>
          <w:lang w:eastAsia="ja-JP"/>
        </w:rPr>
        <w:t xml:space="preserve">verified localisation rates </w:t>
      </w:r>
      <w:r>
        <w:t xml:space="preserve">were lower in the </w:t>
      </w:r>
      <w:r w:rsidR="00E87749">
        <w:t>f</w:t>
      </w:r>
      <w:r>
        <w:t xml:space="preserve">ull </w:t>
      </w:r>
      <w:r w:rsidR="00E87749">
        <w:t>a</w:t>
      </w:r>
      <w:r>
        <w:t xml:space="preserve">nalysis </w:t>
      </w:r>
      <w:r w:rsidR="00E87749">
        <w:t>s</w:t>
      </w:r>
      <w:r>
        <w:t xml:space="preserve">et compared to the </w:t>
      </w:r>
      <w:r w:rsidR="00E87749">
        <w:t>e</w:t>
      </w:r>
      <w:r>
        <w:t xml:space="preserve">fficacy </w:t>
      </w:r>
      <w:r w:rsidR="00E87749">
        <w:t>e</w:t>
      </w:r>
      <w:r>
        <w:t xml:space="preserve">valuable </w:t>
      </w:r>
      <w:r w:rsidR="00E87749">
        <w:t>p</w:t>
      </w:r>
      <w:r>
        <w:t xml:space="preserve">opulation, as 74 patients in the </w:t>
      </w:r>
      <w:r w:rsidR="00E87749">
        <w:t>f</w:t>
      </w:r>
      <w:r>
        <w:t xml:space="preserve">ull </w:t>
      </w:r>
      <w:r w:rsidR="00E87749">
        <w:t>a</w:t>
      </w:r>
      <w:r>
        <w:t xml:space="preserve">nalysis </w:t>
      </w:r>
      <w:r w:rsidR="00E87749">
        <w:t>s</w:t>
      </w:r>
      <w:r>
        <w:t xml:space="preserve">et had no reference standard data, but the pre-defined success criteria for </w:t>
      </w:r>
      <w:r w:rsidR="00B813F0">
        <w:rPr>
          <w:iCs/>
          <w:lang w:eastAsia="ja-JP"/>
        </w:rPr>
        <w:t>correct detection rate</w:t>
      </w:r>
      <w:r w:rsidR="00B813F0" w:rsidDel="00B813F0">
        <w:t xml:space="preserve"> </w:t>
      </w:r>
      <w:r>
        <w:t xml:space="preserve">and </w:t>
      </w:r>
      <w:r w:rsidR="00B813F0">
        <w:rPr>
          <w:iCs/>
          <w:lang w:eastAsia="ja-JP"/>
        </w:rPr>
        <w:t xml:space="preserve">verified localisation rate </w:t>
      </w:r>
      <w:r>
        <w:t xml:space="preserve">were still met in the </w:t>
      </w:r>
      <w:r w:rsidR="00E87749">
        <w:t>f</w:t>
      </w:r>
      <w:r>
        <w:t xml:space="preserve">ull </w:t>
      </w:r>
      <w:r w:rsidR="00E87749">
        <w:t>a</w:t>
      </w:r>
      <w:r>
        <w:t xml:space="preserve">nalysis </w:t>
      </w:r>
      <w:r w:rsidR="00E87749">
        <w:t>s</w:t>
      </w:r>
      <w:r>
        <w:t xml:space="preserve">et. </w:t>
      </w:r>
      <w:r w:rsidR="00B813F0">
        <w:rPr>
          <w:iCs/>
          <w:lang w:eastAsia="ja-JP"/>
        </w:rPr>
        <w:t>Correct detection rates</w:t>
      </w:r>
      <w:r w:rsidR="00B813F0" w:rsidRPr="00873E44" w:rsidDel="00B813F0">
        <w:rPr>
          <w:lang w:eastAsia="ja-JP"/>
        </w:rPr>
        <w:t xml:space="preserve"> </w:t>
      </w:r>
      <w:r w:rsidRPr="00873E44">
        <w:rPr>
          <w:lang w:eastAsia="ja-JP"/>
        </w:rPr>
        <w:t xml:space="preserve">and </w:t>
      </w:r>
      <w:r w:rsidR="00B813F0">
        <w:rPr>
          <w:iCs/>
          <w:lang w:eastAsia="ja-JP"/>
        </w:rPr>
        <w:t xml:space="preserve">verified localisation rates </w:t>
      </w:r>
      <w:r w:rsidRPr="00873E44">
        <w:rPr>
          <w:lang w:eastAsia="ja-JP"/>
        </w:rPr>
        <w:t xml:space="preserve">were </w:t>
      </w:r>
      <w:r>
        <w:rPr>
          <w:lang w:eastAsia="ja-JP"/>
        </w:rPr>
        <w:t xml:space="preserve">highest in the </w:t>
      </w:r>
      <w:r w:rsidR="00E87749">
        <w:rPr>
          <w:lang w:eastAsia="ja-JP"/>
        </w:rPr>
        <w:t>h</w:t>
      </w:r>
      <w:r>
        <w:rPr>
          <w:lang w:eastAsia="ja-JP"/>
        </w:rPr>
        <w:t xml:space="preserve">istopathology </w:t>
      </w:r>
      <w:r w:rsidR="00E87749">
        <w:rPr>
          <w:lang w:eastAsia="ja-JP"/>
        </w:rPr>
        <w:t>o</w:t>
      </w:r>
      <w:r>
        <w:rPr>
          <w:lang w:eastAsia="ja-JP"/>
        </w:rPr>
        <w:t xml:space="preserve">nly population, where histopathology (the standard of truth) was available as the reference standard. In this population, </w:t>
      </w:r>
      <w:r w:rsidR="00B813F0">
        <w:rPr>
          <w:iCs/>
          <w:lang w:eastAsia="ja-JP"/>
        </w:rPr>
        <w:t>correct detection rates</w:t>
      </w:r>
      <w:r w:rsidR="00B813F0" w:rsidDel="00B813F0">
        <w:rPr>
          <w:lang w:eastAsia="ja-JP"/>
        </w:rPr>
        <w:t xml:space="preserve"> </w:t>
      </w:r>
      <w:r>
        <w:rPr>
          <w:lang w:eastAsia="ja-JP"/>
        </w:rPr>
        <w:t xml:space="preserve">for the </w:t>
      </w:r>
      <w:r w:rsidR="00E87749">
        <w:rPr>
          <w:lang w:eastAsia="ja-JP"/>
        </w:rPr>
        <w:t>three</w:t>
      </w:r>
      <w:r>
        <w:rPr>
          <w:lang w:eastAsia="ja-JP"/>
        </w:rPr>
        <w:t xml:space="preserve"> readers ranged </w:t>
      </w:r>
      <w:r w:rsidRPr="00663600">
        <w:rPr>
          <w:lang w:eastAsia="ja-JP"/>
        </w:rPr>
        <w:t xml:space="preserve">from 81.3% to </w:t>
      </w:r>
      <w:proofErr w:type="gramStart"/>
      <w:r w:rsidRPr="00663600">
        <w:rPr>
          <w:lang w:eastAsia="ja-JP"/>
        </w:rPr>
        <w:t>87.9%, and</w:t>
      </w:r>
      <w:proofErr w:type="gramEnd"/>
      <w:r w:rsidRPr="00663600">
        <w:rPr>
          <w:lang w:eastAsia="ja-JP"/>
        </w:rPr>
        <w:t xml:space="preserve"> </w:t>
      </w:r>
      <w:r w:rsidR="00B813F0">
        <w:rPr>
          <w:iCs/>
          <w:lang w:eastAsia="ja-JP"/>
        </w:rPr>
        <w:t xml:space="preserve">verified localisation rates </w:t>
      </w:r>
      <w:r w:rsidRPr="00663600">
        <w:rPr>
          <w:lang w:eastAsia="ja-JP"/>
        </w:rPr>
        <w:t>ranged from 79.7% to 87.9%.</w:t>
      </w:r>
    </w:p>
    <w:p w14:paraId="21A340BA" w14:textId="6314244F" w:rsidR="00C817A7" w:rsidRDefault="00C817A7" w:rsidP="00A643F1">
      <w:pPr>
        <w:pStyle w:val="TableTitle"/>
      </w:pPr>
      <w:bookmarkStart w:id="68" w:name="_Ref103607853"/>
      <w:r w:rsidRPr="00A643F1">
        <w:t xml:space="preserve">Table </w:t>
      </w:r>
      <w:fldSimple w:instr=" SEQ Table \* ARABIC ">
        <w:r w:rsidR="00036995">
          <w:rPr>
            <w:noProof/>
          </w:rPr>
          <w:t>10</w:t>
        </w:r>
      </w:fldSimple>
      <w:bookmarkEnd w:id="68"/>
      <w:r w:rsidR="006A5D31">
        <w:t>:</w:t>
      </w:r>
      <w:r w:rsidR="006A5D31" w:rsidRPr="006A5D31">
        <w:t xml:space="preserve"> </w:t>
      </w:r>
      <w:r w:rsidR="006A5D31">
        <w:t xml:space="preserve">Study </w:t>
      </w:r>
      <w:r w:rsidR="006A5D31" w:rsidRPr="000A5A6B">
        <w:t>BCR-RET-01</w:t>
      </w:r>
      <w:r w:rsidR="00E87749">
        <w:t xml:space="preserve"> </w:t>
      </w:r>
      <w:r w:rsidR="00E87749" w:rsidRPr="001709C0">
        <w:rPr>
          <w:rFonts w:asciiTheme="minorHAnsi" w:hAnsiTheme="minorHAnsi"/>
          <w:bCs/>
        </w:rPr>
        <w:t xml:space="preserve">Correct </w:t>
      </w:r>
      <w:r w:rsidR="00E87749">
        <w:rPr>
          <w:rFonts w:asciiTheme="minorHAnsi" w:hAnsiTheme="minorHAnsi"/>
          <w:bCs/>
        </w:rPr>
        <w:t>d</w:t>
      </w:r>
      <w:r w:rsidR="00E87749" w:rsidRPr="001709C0">
        <w:rPr>
          <w:rFonts w:asciiTheme="minorHAnsi" w:hAnsiTheme="minorHAnsi"/>
          <w:bCs/>
        </w:rPr>
        <w:t xml:space="preserve">etection </w:t>
      </w:r>
      <w:r w:rsidR="00E87749">
        <w:rPr>
          <w:rFonts w:asciiTheme="minorHAnsi" w:hAnsiTheme="minorHAnsi"/>
          <w:bCs/>
        </w:rPr>
        <w:t>r</w:t>
      </w:r>
      <w:r w:rsidR="00E87749" w:rsidRPr="001709C0">
        <w:rPr>
          <w:rFonts w:asciiTheme="minorHAnsi" w:hAnsiTheme="minorHAnsi"/>
          <w:bCs/>
        </w:rPr>
        <w:t>ate</w:t>
      </w:r>
      <w:r w:rsidR="006A5D31" w:rsidRPr="000A5A6B">
        <w:t xml:space="preserve"> by </w:t>
      </w:r>
      <w:r w:rsidR="00E87749">
        <w:t>r</w:t>
      </w:r>
      <w:r w:rsidR="006A5D31" w:rsidRPr="000A5A6B">
        <w:t>eader</w:t>
      </w:r>
      <w:r w:rsidR="006A5D31">
        <w:t xml:space="preserve"> (f</w:t>
      </w:r>
      <w:r w:rsidR="006A5D31" w:rsidRPr="000A5A6B">
        <w:t xml:space="preserve">ull </w:t>
      </w:r>
      <w:r w:rsidR="006A5D31">
        <w:t>p</w:t>
      </w:r>
      <w:r w:rsidR="006A5D31" w:rsidRPr="000A5A6B">
        <w:t xml:space="preserve">atient </w:t>
      </w:r>
      <w:r w:rsidR="006A5D31">
        <w:t>a</w:t>
      </w:r>
      <w:r w:rsidR="006A5D31" w:rsidRPr="000A5A6B">
        <w:t xml:space="preserve">nalysis </w:t>
      </w:r>
      <w:r w:rsidR="006A5D31">
        <w:t>s</w:t>
      </w:r>
      <w:r w:rsidR="006A5D31" w:rsidRPr="000A5A6B">
        <w:t>et</w:t>
      </w:r>
      <w:r w:rsidR="006A5D31">
        <w:t>)</w:t>
      </w:r>
    </w:p>
    <w:p w14:paraId="53233DAE" w14:textId="48E9B39B" w:rsidR="00363767" w:rsidRDefault="006A5D31" w:rsidP="00C817A7">
      <w:r>
        <w:rPr>
          <w:noProof/>
          <w:lang w:val="en-GB" w:eastAsia="en-GB"/>
        </w:rPr>
        <w:drawing>
          <wp:inline distT="0" distB="0" distL="0" distR="0" wp14:anchorId="07F5B880" wp14:editId="0F7CA159">
            <wp:extent cx="5396231" cy="899770"/>
            <wp:effectExtent l="0" t="0" r="0" b="0"/>
            <wp:docPr id="8" name="Picture 8" descr="Study BCR-RET-01 Correct detection rate by reader (full patien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BCR-RET-01 Correct detection rate by reader (full patient analysis set)"/>
                    <pic:cNvPicPr/>
                  </pic:nvPicPr>
                  <pic:blipFill rotWithShape="1">
                    <a:blip r:embed="rId29"/>
                    <a:srcRect b="25838"/>
                    <a:stretch/>
                  </pic:blipFill>
                  <pic:spPr bwMode="auto">
                    <a:xfrm>
                      <a:off x="0" y="0"/>
                      <a:ext cx="5400040" cy="900405"/>
                    </a:xfrm>
                    <a:prstGeom prst="rect">
                      <a:avLst/>
                    </a:prstGeom>
                    <a:ln>
                      <a:noFill/>
                    </a:ln>
                    <a:extLst>
                      <a:ext uri="{53640926-AAD7-44D8-BBD7-CCE9431645EC}">
                        <a14:shadowObscured xmlns:a14="http://schemas.microsoft.com/office/drawing/2010/main"/>
                      </a:ext>
                    </a:extLst>
                  </pic:spPr>
                </pic:pic>
              </a:graphicData>
            </a:graphic>
          </wp:inline>
        </w:drawing>
      </w:r>
    </w:p>
    <w:p w14:paraId="4E3F0A7B" w14:textId="7E0864A2" w:rsidR="007464CD" w:rsidRDefault="007464CD" w:rsidP="0037310D">
      <w:pPr>
        <w:pStyle w:val="TableDescription"/>
      </w:pPr>
      <w:r>
        <w:t>Abbreviations: C.I. = confidence intervals; N = total number of subjects; n = number of subjects in a specific group.</w:t>
      </w:r>
    </w:p>
    <w:p w14:paraId="489C1467" w14:textId="661EFF8F" w:rsidR="0037310D" w:rsidRDefault="0037310D" w:rsidP="0037310D">
      <w:pPr>
        <w:pStyle w:val="TableDescription"/>
      </w:pPr>
      <w:r>
        <w:t xml:space="preserve">a: 95% </w:t>
      </w:r>
      <w:proofErr w:type="gramStart"/>
      <w:r>
        <w:t>two sided</w:t>
      </w:r>
      <w:proofErr w:type="gramEnd"/>
      <w:r>
        <w:t xml:space="preserve"> exact binomial confidence interval</w:t>
      </w:r>
    </w:p>
    <w:p w14:paraId="0BFB9642" w14:textId="6F12663E" w:rsidR="006A5D31" w:rsidRDefault="006A5D31" w:rsidP="00A643F1">
      <w:pPr>
        <w:pStyle w:val="TableTitle"/>
      </w:pPr>
      <w:bookmarkStart w:id="69" w:name="_Ref103607866"/>
      <w:r w:rsidRPr="00A643F1">
        <w:t xml:space="preserve">Table </w:t>
      </w:r>
      <w:fldSimple w:instr=" SEQ Table \* ARABIC ">
        <w:r w:rsidR="00036995">
          <w:rPr>
            <w:noProof/>
          </w:rPr>
          <w:t>11</w:t>
        </w:r>
      </w:fldSimple>
      <w:bookmarkEnd w:id="69"/>
      <w:r>
        <w:t xml:space="preserve">: Study </w:t>
      </w:r>
      <w:r w:rsidRPr="000A5A6B">
        <w:t>BCR-RET-01</w:t>
      </w:r>
      <w:r w:rsidR="00663600">
        <w:t xml:space="preserve"> </w:t>
      </w:r>
      <w:r w:rsidR="00663600" w:rsidRPr="001709C0">
        <w:rPr>
          <w:bCs/>
        </w:rPr>
        <w:t xml:space="preserve">Verified </w:t>
      </w:r>
      <w:r w:rsidR="00663600">
        <w:rPr>
          <w:bCs/>
        </w:rPr>
        <w:t>l</w:t>
      </w:r>
      <w:r w:rsidR="00663600" w:rsidRPr="001709C0">
        <w:rPr>
          <w:bCs/>
        </w:rPr>
        <w:t>ocali</w:t>
      </w:r>
      <w:r w:rsidR="00663600">
        <w:rPr>
          <w:bCs/>
        </w:rPr>
        <w:t>s</w:t>
      </w:r>
      <w:r w:rsidR="00663600" w:rsidRPr="001709C0">
        <w:rPr>
          <w:bCs/>
        </w:rPr>
        <w:t xml:space="preserve">ation </w:t>
      </w:r>
      <w:r w:rsidR="00663600">
        <w:rPr>
          <w:bCs/>
        </w:rPr>
        <w:t>r</w:t>
      </w:r>
      <w:r w:rsidR="00663600" w:rsidRPr="001709C0">
        <w:rPr>
          <w:bCs/>
        </w:rPr>
        <w:t>ate</w:t>
      </w:r>
      <w:r w:rsidRPr="000A5A6B">
        <w:t xml:space="preserve"> by </w:t>
      </w:r>
      <w:r w:rsidR="00663600">
        <w:t>r</w:t>
      </w:r>
      <w:r w:rsidRPr="000A5A6B">
        <w:t>eader</w:t>
      </w:r>
      <w:r>
        <w:t xml:space="preserve"> (f</w:t>
      </w:r>
      <w:r w:rsidRPr="000A5A6B">
        <w:t xml:space="preserve">ull </w:t>
      </w:r>
      <w:r>
        <w:t>r</w:t>
      </w:r>
      <w:r w:rsidRPr="000A5A6B">
        <w:t xml:space="preserve">egion </w:t>
      </w:r>
      <w:r>
        <w:t>a</w:t>
      </w:r>
      <w:r w:rsidRPr="000A5A6B">
        <w:t xml:space="preserve">nalysis </w:t>
      </w:r>
      <w:r>
        <w:t>s</w:t>
      </w:r>
      <w:r w:rsidRPr="000A5A6B">
        <w:t>et</w:t>
      </w:r>
      <w:r>
        <w:t>)</w:t>
      </w:r>
    </w:p>
    <w:p w14:paraId="75EF9861" w14:textId="5F6FE6E1" w:rsidR="006A5D31" w:rsidRDefault="006A5D31" w:rsidP="006A5D31">
      <w:r>
        <w:rPr>
          <w:noProof/>
          <w:lang w:val="en-GB" w:eastAsia="en-GB"/>
        </w:rPr>
        <w:drawing>
          <wp:inline distT="0" distB="0" distL="0" distR="0" wp14:anchorId="2BBCA6A1" wp14:editId="4E8FB81C">
            <wp:extent cx="5398258" cy="1089965"/>
            <wp:effectExtent l="0" t="0" r="0" b="0"/>
            <wp:docPr id="26" name="Picture 26" descr="Study BCR-RET-01 Verified localisation rate by reader (full regio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BCR-RET-01 Verified localisation rate by reader (full region analysis set)"/>
                    <pic:cNvPicPr/>
                  </pic:nvPicPr>
                  <pic:blipFill rotWithShape="1">
                    <a:blip r:embed="rId30"/>
                    <a:srcRect b="22471"/>
                    <a:stretch/>
                  </pic:blipFill>
                  <pic:spPr bwMode="auto">
                    <a:xfrm>
                      <a:off x="0" y="0"/>
                      <a:ext cx="5400040" cy="1090325"/>
                    </a:xfrm>
                    <a:prstGeom prst="rect">
                      <a:avLst/>
                    </a:prstGeom>
                    <a:ln>
                      <a:noFill/>
                    </a:ln>
                    <a:extLst>
                      <a:ext uri="{53640926-AAD7-44D8-BBD7-CCE9431645EC}">
                        <a14:shadowObscured xmlns:a14="http://schemas.microsoft.com/office/drawing/2010/main"/>
                      </a:ext>
                    </a:extLst>
                  </pic:spPr>
                </pic:pic>
              </a:graphicData>
            </a:graphic>
          </wp:inline>
        </w:drawing>
      </w:r>
    </w:p>
    <w:p w14:paraId="15D1E352" w14:textId="67305AAE" w:rsidR="007464CD" w:rsidRDefault="007464CD" w:rsidP="0037310D">
      <w:pPr>
        <w:pStyle w:val="TableDescription"/>
      </w:pPr>
      <w:r>
        <w:t>Abbreviations: C.I. = confidence intervals; N = total number of subjects; n = number of subjects in a specific group; SD = standard deviation.</w:t>
      </w:r>
    </w:p>
    <w:p w14:paraId="62F92C63" w14:textId="517CD296" w:rsidR="0037310D" w:rsidRDefault="0037310D" w:rsidP="0037310D">
      <w:pPr>
        <w:pStyle w:val="TableDescription"/>
      </w:pPr>
      <w:r>
        <w:t xml:space="preserve">a: 95% </w:t>
      </w:r>
      <w:proofErr w:type="gramStart"/>
      <w:r>
        <w:t>two sided</w:t>
      </w:r>
      <w:proofErr w:type="gramEnd"/>
      <w:r w:rsidRPr="004F7DDA">
        <w:rPr>
          <w:i/>
        </w:rPr>
        <w:t xml:space="preserve"> t</w:t>
      </w:r>
      <w:r w:rsidR="007464CD">
        <w:t xml:space="preserve">–test </w:t>
      </w:r>
      <w:r>
        <w:t>confidence interval</w:t>
      </w:r>
    </w:p>
    <w:p w14:paraId="7A4DD579" w14:textId="4197D72A" w:rsidR="006A5D31" w:rsidRPr="000A5A6B" w:rsidRDefault="006A5D31" w:rsidP="00A643F1">
      <w:pPr>
        <w:pStyle w:val="TableTitle"/>
      </w:pPr>
      <w:bookmarkStart w:id="70" w:name="_Ref103607880"/>
      <w:r w:rsidRPr="00A643F1">
        <w:t xml:space="preserve">Table </w:t>
      </w:r>
      <w:fldSimple w:instr=" SEQ Table \* ARABIC ">
        <w:r w:rsidR="00036995">
          <w:rPr>
            <w:noProof/>
          </w:rPr>
          <w:t>12</w:t>
        </w:r>
      </w:fldSimple>
      <w:bookmarkEnd w:id="70"/>
      <w:r>
        <w:t xml:space="preserve">: Study </w:t>
      </w:r>
      <w:r w:rsidRPr="000A5A6B">
        <w:t>BCR-RET-01</w:t>
      </w:r>
      <w:r>
        <w:t xml:space="preserve"> </w:t>
      </w:r>
      <w:r w:rsidR="00663600" w:rsidRPr="001709C0">
        <w:rPr>
          <w:rFonts w:asciiTheme="minorHAnsi" w:hAnsiTheme="minorHAnsi"/>
          <w:bCs/>
        </w:rPr>
        <w:t xml:space="preserve">Correct </w:t>
      </w:r>
      <w:r w:rsidR="00663600">
        <w:rPr>
          <w:rFonts w:asciiTheme="minorHAnsi" w:hAnsiTheme="minorHAnsi"/>
          <w:bCs/>
        </w:rPr>
        <w:t>d</w:t>
      </w:r>
      <w:r w:rsidR="00663600" w:rsidRPr="001709C0">
        <w:rPr>
          <w:rFonts w:asciiTheme="minorHAnsi" w:hAnsiTheme="minorHAnsi"/>
          <w:bCs/>
        </w:rPr>
        <w:t xml:space="preserve">etection </w:t>
      </w:r>
      <w:r w:rsidR="00663600">
        <w:rPr>
          <w:rFonts w:asciiTheme="minorHAnsi" w:hAnsiTheme="minorHAnsi"/>
          <w:bCs/>
        </w:rPr>
        <w:t>r</w:t>
      </w:r>
      <w:r w:rsidR="00663600" w:rsidRPr="001709C0">
        <w:rPr>
          <w:rFonts w:asciiTheme="minorHAnsi" w:hAnsiTheme="minorHAnsi"/>
          <w:bCs/>
        </w:rPr>
        <w:t>ate</w:t>
      </w:r>
      <w:r w:rsidRPr="000A5A6B">
        <w:t xml:space="preserve"> by </w:t>
      </w:r>
      <w:r w:rsidR="00663600">
        <w:t>r</w:t>
      </w:r>
      <w:r w:rsidRPr="000A5A6B">
        <w:t>eader</w:t>
      </w:r>
      <w:r>
        <w:t xml:space="preserve"> (p</w:t>
      </w:r>
      <w:r w:rsidRPr="000A5A6B">
        <w:t xml:space="preserve">atient </w:t>
      </w:r>
      <w:r>
        <w:t>c</w:t>
      </w:r>
      <w:r w:rsidRPr="000A5A6B">
        <w:t xml:space="preserve">omposite </w:t>
      </w:r>
      <w:r>
        <w:t>r</w:t>
      </w:r>
      <w:r w:rsidRPr="000A5A6B">
        <w:t xml:space="preserve">eference </w:t>
      </w:r>
      <w:r>
        <w:t>s</w:t>
      </w:r>
      <w:r w:rsidRPr="000A5A6B">
        <w:t>et</w:t>
      </w:r>
      <w:r>
        <w:t>)</w:t>
      </w:r>
    </w:p>
    <w:p w14:paraId="13388C75" w14:textId="7A96F265" w:rsidR="006A5D31" w:rsidRDefault="006A5D31" w:rsidP="006A5D31">
      <w:pPr>
        <w:pStyle w:val="Caption"/>
      </w:pPr>
      <w:r>
        <w:rPr>
          <w:noProof/>
          <w:lang w:val="en-GB" w:eastAsia="en-GB"/>
        </w:rPr>
        <w:drawing>
          <wp:inline distT="0" distB="0" distL="0" distR="0" wp14:anchorId="14280126" wp14:editId="0A5004C7">
            <wp:extent cx="5399996" cy="899769"/>
            <wp:effectExtent l="0" t="0" r="0" b="0"/>
            <wp:docPr id="23" name="Picture 23" descr="Study BCR-RET-01 Correct detection rate by reader (patient composite referenc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BCR-RET-01 Correct detection rate by reader (patient composite reference set)"/>
                    <pic:cNvPicPr/>
                  </pic:nvPicPr>
                  <pic:blipFill rotWithShape="1">
                    <a:blip r:embed="rId31"/>
                    <a:srcRect b="26315"/>
                    <a:stretch/>
                  </pic:blipFill>
                  <pic:spPr bwMode="auto">
                    <a:xfrm>
                      <a:off x="0" y="0"/>
                      <a:ext cx="5400040" cy="899776"/>
                    </a:xfrm>
                    <a:prstGeom prst="rect">
                      <a:avLst/>
                    </a:prstGeom>
                    <a:ln>
                      <a:noFill/>
                    </a:ln>
                    <a:extLst>
                      <a:ext uri="{53640926-AAD7-44D8-BBD7-CCE9431645EC}">
                        <a14:shadowObscured xmlns:a14="http://schemas.microsoft.com/office/drawing/2010/main"/>
                      </a:ext>
                    </a:extLst>
                  </pic:spPr>
                </pic:pic>
              </a:graphicData>
            </a:graphic>
          </wp:inline>
        </w:drawing>
      </w:r>
    </w:p>
    <w:p w14:paraId="228D4739" w14:textId="4B36246C" w:rsidR="007464CD" w:rsidRDefault="007464CD" w:rsidP="0037310D">
      <w:pPr>
        <w:pStyle w:val="TableDescription"/>
      </w:pPr>
      <w:r>
        <w:t>Abbreviations: C.I. = confidence intervals; N = total number of subjects; n = number of subjects in a specific group</w:t>
      </w:r>
    </w:p>
    <w:p w14:paraId="0BDDFFEF" w14:textId="324F2D65" w:rsidR="0037310D" w:rsidRPr="0037310D" w:rsidRDefault="0037310D" w:rsidP="0037310D">
      <w:pPr>
        <w:pStyle w:val="TableDescription"/>
      </w:pPr>
      <w:r>
        <w:t xml:space="preserve">a: 95% </w:t>
      </w:r>
      <w:proofErr w:type="gramStart"/>
      <w:r>
        <w:t>two sided</w:t>
      </w:r>
      <w:proofErr w:type="gramEnd"/>
      <w:r>
        <w:t xml:space="preserve"> exact binomial </w:t>
      </w:r>
      <w:r w:rsidR="007464CD">
        <w:t xml:space="preserve">test </w:t>
      </w:r>
      <w:r>
        <w:t>confidence interval</w:t>
      </w:r>
    </w:p>
    <w:p w14:paraId="7DF65D9B" w14:textId="199DFACF" w:rsidR="006A5D31" w:rsidRDefault="006A5D31" w:rsidP="00A643F1">
      <w:pPr>
        <w:pStyle w:val="TableTitle"/>
      </w:pPr>
      <w:bookmarkStart w:id="71" w:name="_Ref103607889"/>
      <w:r w:rsidRPr="00A643F1">
        <w:lastRenderedPageBreak/>
        <w:t xml:space="preserve">Table </w:t>
      </w:r>
      <w:fldSimple w:instr=" SEQ Table \* ARABIC ">
        <w:r w:rsidR="00036995">
          <w:rPr>
            <w:noProof/>
          </w:rPr>
          <w:t>13</w:t>
        </w:r>
      </w:fldSimple>
      <w:bookmarkEnd w:id="71"/>
      <w:r>
        <w:t xml:space="preserve">: Study </w:t>
      </w:r>
      <w:r w:rsidRPr="000A5A6B">
        <w:t>BCR-RET-01</w:t>
      </w:r>
      <w:r>
        <w:t xml:space="preserve"> </w:t>
      </w:r>
      <w:r w:rsidR="00663600" w:rsidRPr="001709C0">
        <w:rPr>
          <w:bCs/>
        </w:rPr>
        <w:t xml:space="preserve">Verified </w:t>
      </w:r>
      <w:r w:rsidR="00663600">
        <w:rPr>
          <w:bCs/>
        </w:rPr>
        <w:t>l</w:t>
      </w:r>
      <w:r w:rsidR="00663600" w:rsidRPr="001709C0">
        <w:rPr>
          <w:bCs/>
        </w:rPr>
        <w:t>ocali</w:t>
      </w:r>
      <w:r w:rsidR="00663600">
        <w:rPr>
          <w:bCs/>
        </w:rPr>
        <w:t>s</w:t>
      </w:r>
      <w:r w:rsidR="00663600" w:rsidRPr="001709C0">
        <w:rPr>
          <w:bCs/>
        </w:rPr>
        <w:t xml:space="preserve">ation </w:t>
      </w:r>
      <w:r w:rsidR="00663600">
        <w:rPr>
          <w:bCs/>
        </w:rPr>
        <w:t>r</w:t>
      </w:r>
      <w:r w:rsidR="00663600" w:rsidRPr="001709C0">
        <w:rPr>
          <w:bCs/>
        </w:rPr>
        <w:t>ate</w:t>
      </w:r>
      <w:r w:rsidRPr="000A5A6B">
        <w:t xml:space="preserve"> by </w:t>
      </w:r>
      <w:r w:rsidR="00663600">
        <w:t>r</w:t>
      </w:r>
      <w:r w:rsidRPr="000A5A6B">
        <w:t>eader</w:t>
      </w:r>
      <w:r>
        <w:t xml:space="preserve"> (r</w:t>
      </w:r>
      <w:r w:rsidRPr="000A5A6B">
        <w:t xml:space="preserve">egion </w:t>
      </w:r>
      <w:r>
        <w:t>c</w:t>
      </w:r>
      <w:r w:rsidRPr="000A5A6B">
        <w:t xml:space="preserve">omposite </w:t>
      </w:r>
      <w:r>
        <w:t>r</w:t>
      </w:r>
      <w:r w:rsidRPr="000A5A6B">
        <w:t xml:space="preserve">eference </w:t>
      </w:r>
      <w:r>
        <w:t>s</w:t>
      </w:r>
      <w:r w:rsidRPr="000A5A6B">
        <w:t>et</w:t>
      </w:r>
      <w:r>
        <w:t>)</w:t>
      </w:r>
    </w:p>
    <w:p w14:paraId="4D263A6E" w14:textId="77777777" w:rsidR="007464CD" w:rsidRDefault="006A5D31" w:rsidP="0037310D">
      <w:pPr>
        <w:pStyle w:val="TableDescription"/>
      </w:pPr>
      <w:r>
        <w:rPr>
          <w:noProof/>
          <w:lang w:val="en-GB" w:eastAsia="en-GB"/>
        </w:rPr>
        <w:drawing>
          <wp:inline distT="0" distB="0" distL="0" distR="0" wp14:anchorId="52C4DE0A" wp14:editId="5987099F">
            <wp:extent cx="5398730" cy="1075334"/>
            <wp:effectExtent l="0" t="0" r="0" b="0"/>
            <wp:docPr id="27" name="Picture 27" descr="Study BCR-RET-01 Verified localisation rate by reader (region composite referenc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BCR-RET-01 Verified localisation rate by reader (region composite reference set)"/>
                    <pic:cNvPicPr/>
                  </pic:nvPicPr>
                  <pic:blipFill rotWithShape="1">
                    <a:blip r:embed="rId32"/>
                    <a:srcRect b="23026"/>
                    <a:stretch/>
                  </pic:blipFill>
                  <pic:spPr bwMode="auto">
                    <a:xfrm>
                      <a:off x="0" y="0"/>
                      <a:ext cx="5400040" cy="1075595"/>
                    </a:xfrm>
                    <a:prstGeom prst="rect">
                      <a:avLst/>
                    </a:prstGeom>
                    <a:ln>
                      <a:noFill/>
                    </a:ln>
                    <a:extLst>
                      <a:ext uri="{53640926-AAD7-44D8-BBD7-CCE9431645EC}">
                        <a14:shadowObscured xmlns:a14="http://schemas.microsoft.com/office/drawing/2010/main"/>
                      </a:ext>
                    </a:extLst>
                  </pic:spPr>
                </pic:pic>
              </a:graphicData>
            </a:graphic>
          </wp:inline>
        </w:drawing>
      </w:r>
      <w:r w:rsidR="0037310D" w:rsidRPr="0037310D">
        <w:t xml:space="preserve"> </w:t>
      </w:r>
    </w:p>
    <w:p w14:paraId="68BB9869" w14:textId="225A0BF2" w:rsidR="007464CD" w:rsidRDefault="007464CD" w:rsidP="0037310D">
      <w:pPr>
        <w:pStyle w:val="TableDescription"/>
      </w:pPr>
      <w:r>
        <w:t>Abbreviations: C.I. = confidence intervals; N = total number of subjects; n = number of subjects in a specific group; SD = standard deviation.</w:t>
      </w:r>
    </w:p>
    <w:p w14:paraId="12D64BB4" w14:textId="03D04A35" w:rsidR="006A5D31" w:rsidRDefault="0037310D" w:rsidP="0037310D">
      <w:pPr>
        <w:pStyle w:val="TableDescription"/>
      </w:pPr>
      <w:r>
        <w:t xml:space="preserve">a: 95% </w:t>
      </w:r>
      <w:proofErr w:type="gramStart"/>
      <w:r>
        <w:t>two sided</w:t>
      </w:r>
      <w:proofErr w:type="gramEnd"/>
      <w:r>
        <w:t xml:space="preserve"> t confidence interval</w:t>
      </w:r>
    </w:p>
    <w:p w14:paraId="54B94F3F" w14:textId="0619D0E2" w:rsidR="006A5D31" w:rsidRPr="006A5D31" w:rsidRDefault="006A5D31" w:rsidP="00A643F1">
      <w:pPr>
        <w:pStyle w:val="TableTitle"/>
      </w:pPr>
      <w:bookmarkStart w:id="72" w:name="_Ref103607902"/>
      <w:r w:rsidRPr="00A643F1">
        <w:t xml:space="preserve">Table </w:t>
      </w:r>
      <w:fldSimple w:instr=" SEQ Table \* ARABIC ">
        <w:r w:rsidR="00036995">
          <w:rPr>
            <w:noProof/>
          </w:rPr>
          <w:t>14</w:t>
        </w:r>
      </w:fldSimple>
      <w:bookmarkEnd w:id="72"/>
      <w:r>
        <w:t xml:space="preserve">: Study </w:t>
      </w:r>
      <w:r>
        <w:rPr>
          <w:lang w:eastAsia="ja-JP"/>
        </w:rPr>
        <w:t xml:space="preserve">BCR-RET-01 </w:t>
      </w:r>
      <w:r w:rsidR="00663600" w:rsidRPr="001709C0">
        <w:rPr>
          <w:rFonts w:asciiTheme="minorHAnsi" w:hAnsiTheme="minorHAnsi"/>
          <w:bCs/>
        </w:rPr>
        <w:t xml:space="preserve">Correct </w:t>
      </w:r>
      <w:r w:rsidR="00663600">
        <w:rPr>
          <w:rFonts w:asciiTheme="minorHAnsi" w:hAnsiTheme="minorHAnsi"/>
          <w:bCs/>
        </w:rPr>
        <w:t>d</w:t>
      </w:r>
      <w:r w:rsidR="00663600" w:rsidRPr="001709C0">
        <w:rPr>
          <w:rFonts w:asciiTheme="minorHAnsi" w:hAnsiTheme="minorHAnsi"/>
          <w:bCs/>
        </w:rPr>
        <w:t xml:space="preserve">etection </w:t>
      </w:r>
      <w:r w:rsidR="00663600">
        <w:rPr>
          <w:rFonts w:asciiTheme="minorHAnsi" w:hAnsiTheme="minorHAnsi"/>
          <w:bCs/>
        </w:rPr>
        <w:t>r</w:t>
      </w:r>
      <w:r w:rsidR="00663600" w:rsidRPr="001709C0">
        <w:rPr>
          <w:rFonts w:asciiTheme="minorHAnsi" w:hAnsiTheme="minorHAnsi"/>
          <w:bCs/>
        </w:rPr>
        <w:t>ate</w:t>
      </w:r>
      <w:r w:rsidRPr="00652433">
        <w:rPr>
          <w:lang w:eastAsia="ja-JP"/>
        </w:rPr>
        <w:t xml:space="preserve"> by </w:t>
      </w:r>
      <w:r w:rsidR="00663600">
        <w:rPr>
          <w:lang w:eastAsia="ja-JP"/>
        </w:rPr>
        <w:t>r</w:t>
      </w:r>
      <w:r w:rsidRPr="00652433">
        <w:rPr>
          <w:lang w:eastAsia="ja-JP"/>
        </w:rPr>
        <w:t>eader</w:t>
      </w:r>
      <w:r>
        <w:rPr>
          <w:lang w:eastAsia="ja-JP"/>
        </w:rPr>
        <w:t xml:space="preserve"> (p</w:t>
      </w:r>
      <w:r w:rsidRPr="00652433">
        <w:rPr>
          <w:lang w:eastAsia="ja-JP"/>
        </w:rPr>
        <w:t xml:space="preserve">atient </w:t>
      </w:r>
      <w:r>
        <w:rPr>
          <w:lang w:eastAsia="ja-JP"/>
        </w:rPr>
        <w:t>h</w:t>
      </w:r>
      <w:r w:rsidRPr="00652433">
        <w:rPr>
          <w:lang w:eastAsia="ja-JP"/>
        </w:rPr>
        <w:t xml:space="preserve">istopathology </w:t>
      </w:r>
      <w:r>
        <w:rPr>
          <w:lang w:eastAsia="ja-JP"/>
        </w:rPr>
        <w:t>o</w:t>
      </w:r>
      <w:r w:rsidRPr="00652433">
        <w:rPr>
          <w:lang w:eastAsia="ja-JP"/>
        </w:rPr>
        <w:t xml:space="preserve">nly </w:t>
      </w:r>
      <w:r>
        <w:rPr>
          <w:lang w:eastAsia="ja-JP"/>
        </w:rPr>
        <w:t>set)</w:t>
      </w:r>
    </w:p>
    <w:p w14:paraId="4F57BEC0" w14:textId="77777777" w:rsidR="007464CD" w:rsidRDefault="006A5D31" w:rsidP="0037310D">
      <w:pPr>
        <w:pStyle w:val="TableDescription"/>
      </w:pPr>
      <w:r>
        <w:rPr>
          <w:noProof/>
          <w:lang w:val="en-GB" w:eastAsia="en-GB"/>
        </w:rPr>
        <w:drawing>
          <wp:inline distT="0" distB="0" distL="0" distR="0" wp14:anchorId="36FEADA3" wp14:editId="37840029">
            <wp:extent cx="5398434" cy="907085"/>
            <wp:effectExtent l="0" t="0" r="0" b="7620"/>
            <wp:docPr id="24" name="Picture 24" descr="Study BCR-RET-01 Correct detection rate by reader (patient histopathology onl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BCR-RET-01 Correct detection rate by reader (patient histopathology only set)"/>
                    <pic:cNvPicPr/>
                  </pic:nvPicPr>
                  <pic:blipFill rotWithShape="1">
                    <a:blip r:embed="rId33"/>
                    <a:srcRect b="25870"/>
                    <a:stretch/>
                  </pic:blipFill>
                  <pic:spPr bwMode="auto">
                    <a:xfrm>
                      <a:off x="0" y="0"/>
                      <a:ext cx="5400040" cy="907355"/>
                    </a:xfrm>
                    <a:prstGeom prst="rect">
                      <a:avLst/>
                    </a:prstGeom>
                    <a:ln>
                      <a:noFill/>
                    </a:ln>
                    <a:extLst>
                      <a:ext uri="{53640926-AAD7-44D8-BBD7-CCE9431645EC}">
                        <a14:shadowObscured xmlns:a14="http://schemas.microsoft.com/office/drawing/2010/main"/>
                      </a:ext>
                    </a:extLst>
                  </pic:spPr>
                </pic:pic>
              </a:graphicData>
            </a:graphic>
          </wp:inline>
        </w:drawing>
      </w:r>
      <w:r w:rsidR="0037310D" w:rsidRPr="0037310D">
        <w:t xml:space="preserve"> </w:t>
      </w:r>
    </w:p>
    <w:p w14:paraId="0F0433F9" w14:textId="236A4843" w:rsidR="007464CD" w:rsidRDefault="007464CD" w:rsidP="0037310D">
      <w:pPr>
        <w:pStyle w:val="TableDescription"/>
      </w:pPr>
      <w:r>
        <w:t>Abbreviations: C.I. = confidence intervals; N = total number of subjects; n = number of subjects in a specific group</w:t>
      </w:r>
    </w:p>
    <w:p w14:paraId="0CA47086" w14:textId="5380CB4D" w:rsidR="006A5D31" w:rsidRDefault="0037310D" w:rsidP="0037310D">
      <w:pPr>
        <w:pStyle w:val="TableDescription"/>
      </w:pPr>
      <w:r>
        <w:t xml:space="preserve">a: 95% </w:t>
      </w:r>
      <w:proofErr w:type="gramStart"/>
      <w:r>
        <w:t>two sided</w:t>
      </w:r>
      <w:proofErr w:type="gramEnd"/>
      <w:r>
        <w:t xml:space="preserve"> exact binomial confidence interval</w:t>
      </w:r>
    </w:p>
    <w:p w14:paraId="3084FC88" w14:textId="7C20A1ED" w:rsidR="006A5D31" w:rsidRPr="006A5D31" w:rsidRDefault="006A5D31" w:rsidP="00A643F1">
      <w:pPr>
        <w:pStyle w:val="TableTitle"/>
      </w:pPr>
      <w:bookmarkStart w:id="73" w:name="_Ref103607916"/>
      <w:r w:rsidRPr="00A643F1">
        <w:t xml:space="preserve">Table </w:t>
      </w:r>
      <w:fldSimple w:instr=" SEQ Table \* ARABIC ">
        <w:r w:rsidR="00036995">
          <w:rPr>
            <w:noProof/>
          </w:rPr>
          <w:t>15</w:t>
        </w:r>
      </w:fldSimple>
      <w:bookmarkEnd w:id="73"/>
      <w:r>
        <w:t xml:space="preserve">: Study </w:t>
      </w:r>
      <w:r w:rsidRPr="000A5A6B">
        <w:t>BCR-RET-01</w:t>
      </w:r>
      <w:r>
        <w:t xml:space="preserve"> </w:t>
      </w:r>
      <w:r w:rsidR="00663600" w:rsidRPr="001709C0">
        <w:rPr>
          <w:bCs/>
        </w:rPr>
        <w:t xml:space="preserve">Verified </w:t>
      </w:r>
      <w:r w:rsidR="00663600">
        <w:rPr>
          <w:bCs/>
        </w:rPr>
        <w:t>l</w:t>
      </w:r>
      <w:r w:rsidR="00663600" w:rsidRPr="001709C0">
        <w:rPr>
          <w:bCs/>
        </w:rPr>
        <w:t>ocali</w:t>
      </w:r>
      <w:r w:rsidR="00663600">
        <w:rPr>
          <w:bCs/>
        </w:rPr>
        <w:t>s</w:t>
      </w:r>
      <w:r w:rsidR="00663600" w:rsidRPr="001709C0">
        <w:rPr>
          <w:bCs/>
        </w:rPr>
        <w:t xml:space="preserve">ation </w:t>
      </w:r>
      <w:r w:rsidR="00663600">
        <w:rPr>
          <w:bCs/>
        </w:rPr>
        <w:t>r</w:t>
      </w:r>
      <w:r w:rsidR="00663600" w:rsidRPr="001709C0">
        <w:rPr>
          <w:bCs/>
        </w:rPr>
        <w:t>ate</w:t>
      </w:r>
      <w:r w:rsidRPr="000A5A6B">
        <w:t xml:space="preserve"> by </w:t>
      </w:r>
      <w:r w:rsidR="00663600">
        <w:t>r</w:t>
      </w:r>
      <w:r w:rsidRPr="000A5A6B">
        <w:t>eader</w:t>
      </w:r>
      <w:r>
        <w:t xml:space="preserve"> (r</w:t>
      </w:r>
      <w:r w:rsidRPr="000A5A6B">
        <w:t xml:space="preserve">egion </w:t>
      </w:r>
      <w:r>
        <w:t>h</w:t>
      </w:r>
      <w:r w:rsidRPr="000A5A6B">
        <w:t xml:space="preserve">istopathology </w:t>
      </w:r>
      <w:r>
        <w:t>o</w:t>
      </w:r>
      <w:r w:rsidRPr="000A5A6B">
        <w:t xml:space="preserve">nly </w:t>
      </w:r>
      <w:r>
        <w:t>s</w:t>
      </w:r>
      <w:r w:rsidRPr="000A5A6B">
        <w:t>et</w:t>
      </w:r>
      <w:r>
        <w:t>)</w:t>
      </w:r>
    </w:p>
    <w:p w14:paraId="646638A0" w14:textId="77777777" w:rsidR="007464CD" w:rsidRDefault="006A5D31" w:rsidP="0037310D">
      <w:pPr>
        <w:pStyle w:val="TableDescription"/>
      </w:pPr>
      <w:r>
        <w:rPr>
          <w:noProof/>
          <w:lang w:val="en-GB" w:eastAsia="en-GB"/>
        </w:rPr>
        <w:drawing>
          <wp:inline distT="0" distB="0" distL="0" distR="0" wp14:anchorId="7A84BCC8" wp14:editId="1D7C8919">
            <wp:extent cx="5397590" cy="1075334"/>
            <wp:effectExtent l="0" t="0" r="0" b="0"/>
            <wp:docPr id="30" name="Picture 30" descr="Study BCR-RET-01 Verified localisation rate by reader (region histopathology onl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BCR-RET-01 Verified localisation rate by reader (region histopathology only set)"/>
                    <pic:cNvPicPr/>
                  </pic:nvPicPr>
                  <pic:blipFill rotWithShape="1">
                    <a:blip r:embed="rId34"/>
                    <a:srcRect b="22639"/>
                    <a:stretch/>
                  </pic:blipFill>
                  <pic:spPr bwMode="auto">
                    <a:xfrm>
                      <a:off x="0" y="0"/>
                      <a:ext cx="5400040" cy="1075822"/>
                    </a:xfrm>
                    <a:prstGeom prst="rect">
                      <a:avLst/>
                    </a:prstGeom>
                    <a:ln>
                      <a:noFill/>
                    </a:ln>
                    <a:extLst>
                      <a:ext uri="{53640926-AAD7-44D8-BBD7-CCE9431645EC}">
                        <a14:shadowObscured xmlns:a14="http://schemas.microsoft.com/office/drawing/2010/main"/>
                      </a:ext>
                    </a:extLst>
                  </pic:spPr>
                </pic:pic>
              </a:graphicData>
            </a:graphic>
          </wp:inline>
        </w:drawing>
      </w:r>
      <w:r w:rsidR="0037310D" w:rsidRPr="0037310D">
        <w:t xml:space="preserve"> </w:t>
      </w:r>
    </w:p>
    <w:p w14:paraId="63F6FC51" w14:textId="74FBFDA3" w:rsidR="007464CD" w:rsidRDefault="007464CD" w:rsidP="0037310D">
      <w:pPr>
        <w:pStyle w:val="TableDescription"/>
      </w:pPr>
      <w:r>
        <w:t>Abbreviations: C.I. = confidence intervals; N = total number of subjects; n = number of subjects in a specific group; SD = standard deviation.</w:t>
      </w:r>
    </w:p>
    <w:p w14:paraId="599760F5" w14:textId="229C5F0B" w:rsidR="006A5D31" w:rsidRDefault="0037310D" w:rsidP="0037310D">
      <w:pPr>
        <w:pStyle w:val="TableDescription"/>
      </w:pPr>
      <w:r>
        <w:t xml:space="preserve">a: 95% </w:t>
      </w:r>
      <w:proofErr w:type="gramStart"/>
      <w:r>
        <w:t>two sided</w:t>
      </w:r>
      <w:proofErr w:type="gramEnd"/>
      <w:r>
        <w:t xml:space="preserve"> t confidence interval</w:t>
      </w:r>
    </w:p>
    <w:p w14:paraId="3DFF1EA2" w14:textId="3B4E5A26" w:rsidR="00300920" w:rsidRDefault="00300920" w:rsidP="00DA02C1">
      <w:pPr>
        <w:rPr>
          <w:rFonts w:eastAsiaTheme="minorHAnsi" w:cs="TimesNewRoman"/>
          <w:color w:val="0000FF"/>
          <w:sz w:val="18"/>
          <w:szCs w:val="18"/>
        </w:rPr>
      </w:pPr>
      <w:r w:rsidRPr="009F46AD">
        <w:t xml:space="preserve">Analyses by PSA Subgroup showed that </w:t>
      </w:r>
      <w:r w:rsidR="007464CD">
        <w:rPr>
          <w:iCs/>
          <w:lang w:eastAsia="ja-JP"/>
        </w:rPr>
        <w:t xml:space="preserve">correct detection rates </w:t>
      </w:r>
      <w:r w:rsidRPr="009F46AD">
        <w:t>increased with increasing PSA level</w:t>
      </w:r>
      <w:r>
        <w:t xml:space="preserve"> (</w:t>
      </w:r>
      <w:r w:rsidR="007464CD">
        <w:t xml:space="preserve">see </w:t>
      </w:r>
      <w:r>
        <w:fldChar w:fldCharType="begin"/>
      </w:r>
      <w:r>
        <w:instrText xml:space="preserve"> REF _Ref103597897 \h </w:instrText>
      </w:r>
      <w:r>
        <w:fldChar w:fldCharType="separate"/>
      </w:r>
      <w:r w:rsidR="00036995" w:rsidRPr="00A643F1">
        <w:t xml:space="preserve">Table </w:t>
      </w:r>
      <w:r w:rsidR="00036995">
        <w:rPr>
          <w:noProof/>
        </w:rPr>
        <w:t>16</w:t>
      </w:r>
      <w:r>
        <w:fldChar w:fldCharType="end"/>
      </w:r>
      <w:r>
        <w:t>)</w:t>
      </w:r>
      <w:r w:rsidRPr="009F46AD">
        <w:t>.</w:t>
      </w:r>
    </w:p>
    <w:p w14:paraId="12A423D3" w14:textId="43628FCB" w:rsidR="00300920" w:rsidRDefault="00300920" w:rsidP="00A643F1">
      <w:pPr>
        <w:pStyle w:val="TableTitle"/>
      </w:pPr>
      <w:bookmarkStart w:id="74" w:name="_Ref103597897"/>
      <w:r w:rsidRPr="00A643F1">
        <w:lastRenderedPageBreak/>
        <w:t xml:space="preserve">Table </w:t>
      </w:r>
      <w:fldSimple w:instr=" SEQ Table \* ARABIC ">
        <w:r w:rsidR="00036995">
          <w:rPr>
            <w:noProof/>
          </w:rPr>
          <w:t>16</w:t>
        </w:r>
      </w:fldSimple>
      <w:bookmarkEnd w:id="74"/>
      <w:r>
        <w:t xml:space="preserve">: Study </w:t>
      </w:r>
      <w:r w:rsidRPr="00652433">
        <w:t>BCR-RET-01</w:t>
      </w:r>
      <w:r>
        <w:t xml:space="preserve"> </w:t>
      </w:r>
      <w:r w:rsidR="00663600" w:rsidRPr="001709C0">
        <w:rPr>
          <w:rFonts w:asciiTheme="minorHAnsi" w:hAnsiTheme="minorHAnsi"/>
          <w:bCs/>
        </w:rPr>
        <w:t xml:space="preserve">Correct </w:t>
      </w:r>
      <w:r w:rsidR="00663600">
        <w:rPr>
          <w:rFonts w:asciiTheme="minorHAnsi" w:hAnsiTheme="minorHAnsi"/>
          <w:bCs/>
        </w:rPr>
        <w:t>d</w:t>
      </w:r>
      <w:r w:rsidR="00663600" w:rsidRPr="001709C0">
        <w:rPr>
          <w:rFonts w:asciiTheme="minorHAnsi" w:hAnsiTheme="minorHAnsi"/>
          <w:bCs/>
        </w:rPr>
        <w:t xml:space="preserve">etection </w:t>
      </w:r>
      <w:r w:rsidR="00663600">
        <w:rPr>
          <w:rFonts w:asciiTheme="minorHAnsi" w:hAnsiTheme="minorHAnsi"/>
          <w:bCs/>
        </w:rPr>
        <w:t>r</w:t>
      </w:r>
      <w:r w:rsidR="00663600" w:rsidRPr="001709C0">
        <w:rPr>
          <w:rFonts w:asciiTheme="minorHAnsi" w:hAnsiTheme="minorHAnsi"/>
          <w:bCs/>
        </w:rPr>
        <w:t>ate</w:t>
      </w:r>
      <w:r w:rsidRPr="00652433">
        <w:t xml:space="preserve"> by </w:t>
      </w:r>
      <w:r w:rsidR="00663600">
        <w:t>r</w:t>
      </w:r>
      <w:r w:rsidRPr="00652433">
        <w:t xml:space="preserve">eader and </w:t>
      </w:r>
      <w:r w:rsidR="00663600">
        <w:t>p</w:t>
      </w:r>
      <w:r w:rsidR="00663600" w:rsidRPr="002B06EF">
        <w:t>rostate specific antigen</w:t>
      </w:r>
      <w:r w:rsidR="00663600" w:rsidRPr="00652433">
        <w:t xml:space="preserve"> </w:t>
      </w:r>
      <w:r w:rsidR="00663600">
        <w:t>s</w:t>
      </w:r>
      <w:r w:rsidRPr="00652433">
        <w:t>ubgroup</w:t>
      </w:r>
      <w:r>
        <w:t xml:space="preserve"> (p</w:t>
      </w:r>
      <w:r w:rsidRPr="00652433">
        <w:t xml:space="preserve">atient </w:t>
      </w:r>
      <w:r>
        <w:t>e</w:t>
      </w:r>
      <w:r w:rsidRPr="00652433">
        <w:t xml:space="preserve">fficacy </w:t>
      </w:r>
      <w:r>
        <w:t>e</w:t>
      </w:r>
      <w:r w:rsidRPr="00652433">
        <w:t xml:space="preserve">valuation </w:t>
      </w:r>
      <w:r>
        <w:t>s</w:t>
      </w:r>
      <w:r w:rsidRPr="00652433">
        <w:t>et</w:t>
      </w:r>
      <w:r>
        <w:t>)</w:t>
      </w:r>
    </w:p>
    <w:p w14:paraId="61FBC86E" w14:textId="4DA43469" w:rsidR="00300920" w:rsidRDefault="00300920" w:rsidP="00300920">
      <w:r>
        <w:rPr>
          <w:noProof/>
          <w:lang w:val="en-GB" w:eastAsia="en-GB"/>
        </w:rPr>
        <w:drawing>
          <wp:inline distT="0" distB="0" distL="0" distR="0" wp14:anchorId="5F71E098" wp14:editId="20BCDDF3">
            <wp:extent cx="5399424" cy="3547872"/>
            <wp:effectExtent l="0" t="0" r="0" b="0"/>
            <wp:docPr id="25" name="Picture 25" descr="Study BCR-RET-01 Correct detection rate by reader and prostate specific antigen subgroup (patient efficacy evalu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BCR-RET-01 Correct detection rate by reader and prostate specific antigen subgroup (patient efficacy evaluation set)"/>
                    <pic:cNvPicPr/>
                  </pic:nvPicPr>
                  <pic:blipFill rotWithShape="1">
                    <a:blip r:embed="rId35"/>
                    <a:srcRect b="8406"/>
                    <a:stretch/>
                  </pic:blipFill>
                  <pic:spPr bwMode="auto">
                    <a:xfrm>
                      <a:off x="0" y="0"/>
                      <a:ext cx="5400040" cy="3548277"/>
                    </a:xfrm>
                    <a:prstGeom prst="rect">
                      <a:avLst/>
                    </a:prstGeom>
                    <a:ln>
                      <a:noFill/>
                    </a:ln>
                    <a:extLst>
                      <a:ext uri="{53640926-AAD7-44D8-BBD7-CCE9431645EC}">
                        <a14:shadowObscured xmlns:a14="http://schemas.microsoft.com/office/drawing/2010/main"/>
                      </a:ext>
                    </a:extLst>
                  </pic:spPr>
                </pic:pic>
              </a:graphicData>
            </a:graphic>
          </wp:inline>
        </w:drawing>
      </w:r>
    </w:p>
    <w:p w14:paraId="0972D6D3" w14:textId="7A293421" w:rsidR="007464CD" w:rsidRDefault="007464CD" w:rsidP="0037310D">
      <w:pPr>
        <w:pStyle w:val="TableDescription"/>
      </w:pPr>
      <w:r>
        <w:t>Abbreviations: C.I. = confidence intervals; N = total number of subjects; n = number of subjects in a specific group; PSA = prostate specific antigen.</w:t>
      </w:r>
    </w:p>
    <w:p w14:paraId="2F7B800E" w14:textId="3449ACB1" w:rsidR="0037310D" w:rsidRDefault="0037310D" w:rsidP="0037310D">
      <w:pPr>
        <w:pStyle w:val="TableDescription"/>
      </w:pPr>
      <w:r>
        <w:t xml:space="preserve">a: 95% </w:t>
      </w:r>
      <w:proofErr w:type="gramStart"/>
      <w:r>
        <w:t>two sided</w:t>
      </w:r>
      <w:proofErr w:type="gramEnd"/>
      <w:r>
        <w:t xml:space="preserve"> exact binomial confidence interval</w:t>
      </w:r>
    </w:p>
    <w:p w14:paraId="486F408E" w14:textId="7185EC21" w:rsidR="00300920" w:rsidRDefault="00300920" w:rsidP="00300920">
      <w:pPr>
        <w:rPr>
          <w:rFonts w:eastAsiaTheme="minorHAnsi" w:cs="TimesNewRoman"/>
          <w:color w:val="0000FF"/>
          <w:sz w:val="18"/>
          <w:szCs w:val="18"/>
        </w:rPr>
      </w:pPr>
      <w:r>
        <w:t xml:space="preserve">Analyses based on the method of preparation of </w:t>
      </w:r>
      <w:r w:rsidR="00F06A31">
        <w:rPr>
          <w:rStyle w:val="style1"/>
          <w:rFonts w:cstheme="minorHAnsi"/>
          <w:iCs/>
        </w:rPr>
        <w:t>[</w:t>
      </w:r>
      <w:r w:rsidR="00F06A31">
        <w:rPr>
          <w:rStyle w:val="style1"/>
          <w:rFonts w:cstheme="minorHAnsi"/>
          <w:iCs/>
          <w:vertAlign w:val="superscript"/>
        </w:rPr>
        <w:t>68</w:t>
      </w:r>
      <w:r w:rsidR="00F06A31">
        <w:rPr>
          <w:rStyle w:val="style1"/>
          <w:rFonts w:cstheme="minorHAnsi"/>
          <w:iCs/>
        </w:rPr>
        <w:t xml:space="preserve">Ga] </w:t>
      </w:r>
      <w:r w:rsidR="00293AB9">
        <w:rPr>
          <w:rStyle w:val="style1"/>
          <w:rFonts w:cstheme="minorHAnsi"/>
          <w:iCs/>
        </w:rPr>
        <w:t>gallium</w:t>
      </w:r>
      <w:r w:rsidR="00F06A31">
        <w:rPr>
          <w:rStyle w:val="style1"/>
          <w:rFonts w:cstheme="minorHAnsi"/>
          <w:iCs/>
        </w:rPr>
        <w:t xml:space="preserve"> PSMA-11 </w:t>
      </w:r>
      <w:r>
        <w:t xml:space="preserve">(that is </w:t>
      </w:r>
      <w:proofErr w:type="spellStart"/>
      <w:r>
        <w:t>Telix</w:t>
      </w:r>
      <w:proofErr w:type="spellEnd"/>
      <w:r>
        <w:t xml:space="preserve"> kit v</w:t>
      </w:r>
      <w:r w:rsidR="00663600">
        <w:t>ersus</w:t>
      </w:r>
      <w:r>
        <w:t xml:space="preserve"> MSKCC method) showed similar outcomes for </w:t>
      </w:r>
      <w:r w:rsidR="007464CD">
        <w:rPr>
          <w:iCs/>
          <w:lang w:eastAsia="ja-JP"/>
        </w:rPr>
        <w:t xml:space="preserve">correct detection rate </w:t>
      </w:r>
      <w:r>
        <w:t>(</w:t>
      </w:r>
      <w:r w:rsidR="007464CD">
        <w:t xml:space="preserve">see </w:t>
      </w:r>
      <w:r>
        <w:fldChar w:fldCharType="begin"/>
      </w:r>
      <w:r>
        <w:instrText xml:space="preserve"> REF _Ref103598050 \h </w:instrText>
      </w:r>
      <w:r>
        <w:fldChar w:fldCharType="separate"/>
      </w:r>
      <w:r w:rsidR="00036995" w:rsidRPr="00A643F1">
        <w:t xml:space="preserve">Table </w:t>
      </w:r>
      <w:r w:rsidR="00036995">
        <w:rPr>
          <w:noProof/>
        </w:rPr>
        <w:t>17</w:t>
      </w:r>
      <w:r>
        <w:fldChar w:fldCharType="end"/>
      </w:r>
      <w:r>
        <w:t xml:space="preserve">) and </w:t>
      </w:r>
      <w:r w:rsidR="007464CD">
        <w:rPr>
          <w:iCs/>
          <w:lang w:eastAsia="ja-JP"/>
        </w:rPr>
        <w:t xml:space="preserve">verified localisation rate </w:t>
      </w:r>
      <w:r>
        <w:t>(</w:t>
      </w:r>
      <w:r w:rsidR="007464CD">
        <w:t xml:space="preserve">see </w:t>
      </w:r>
      <w:r>
        <w:fldChar w:fldCharType="begin"/>
      </w:r>
      <w:r>
        <w:instrText xml:space="preserve"> REF _Ref103598056 \h </w:instrText>
      </w:r>
      <w:r>
        <w:fldChar w:fldCharType="separate"/>
      </w:r>
      <w:r w:rsidR="00036995" w:rsidRPr="00A643F1">
        <w:t xml:space="preserve">Table </w:t>
      </w:r>
      <w:r w:rsidR="00036995">
        <w:rPr>
          <w:noProof/>
        </w:rPr>
        <w:t>18</w:t>
      </w:r>
      <w:r>
        <w:fldChar w:fldCharType="end"/>
      </w:r>
      <w:r>
        <w:t>).</w:t>
      </w:r>
    </w:p>
    <w:p w14:paraId="289D439E" w14:textId="699F1147" w:rsidR="00300920" w:rsidRPr="004B2FBE" w:rsidRDefault="00300920" w:rsidP="00A643F1">
      <w:pPr>
        <w:pStyle w:val="TableTitle"/>
      </w:pPr>
      <w:bookmarkStart w:id="75" w:name="_Ref103598050"/>
      <w:r w:rsidRPr="00A643F1">
        <w:t xml:space="preserve">Table </w:t>
      </w:r>
      <w:fldSimple w:instr=" SEQ Table \* ARABIC ">
        <w:r w:rsidR="00036995">
          <w:rPr>
            <w:noProof/>
          </w:rPr>
          <w:t>17</w:t>
        </w:r>
      </w:fldSimple>
      <w:bookmarkEnd w:id="75"/>
      <w:r>
        <w:t xml:space="preserve">: </w:t>
      </w:r>
      <w:r w:rsidR="007464CD">
        <w:t xml:space="preserve">Study </w:t>
      </w:r>
      <w:r w:rsidR="007464CD" w:rsidRPr="000A5A6B">
        <w:t>BCR-RET-01</w:t>
      </w:r>
      <w:r w:rsidR="007464CD">
        <w:t xml:space="preserve"> </w:t>
      </w:r>
      <w:r w:rsidR="00663600" w:rsidRPr="001709C0">
        <w:rPr>
          <w:rFonts w:asciiTheme="minorHAnsi" w:hAnsiTheme="minorHAnsi"/>
          <w:bCs/>
        </w:rPr>
        <w:t xml:space="preserve">Correct </w:t>
      </w:r>
      <w:r w:rsidR="00663600">
        <w:rPr>
          <w:rFonts w:asciiTheme="minorHAnsi" w:hAnsiTheme="minorHAnsi"/>
          <w:bCs/>
        </w:rPr>
        <w:t>d</w:t>
      </w:r>
      <w:r w:rsidR="00663600" w:rsidRPr="001709C0">
        <w:rPr>
          <w:rFonts w:asciiTheme="minorHAnsi" w:hAnsiTheme="minorHAnsi"/>
          <w:bCs/>
        </w:rPr>
        <w:t xml:space="preserve">etection </w:t>
      </w:r>
      <w:r w:rsidR="00663600">
        <w:rPr>
          <w:rFonts w:asciiTheme="minorHAnsi" w:hAnsiTheme="minorHAnsi"/>
          <w:bCs/>
        </w:rPr>
        <w:t>r</w:t>
      </w:r>
      <w:r w:rsidR="00663600" w:rsidRPr="001709C0">
        <w:rPr>
          <w:rFonts w:asciiTheme="minorHAnsi" w:hAnsiTheme="minorHAnsi"/>
          <w:bCs/>
        </w:rPr>
        <w:t>ate</w:t>
      </w:r>
      <w:r>
        <w:t xml:space="preserve"> by </w:t>
      </w:r>
      <w:r w:rsidR="00663600">
        <w:t>r</w:t>
      </w:r>
      <w:r w:rsidRPr="004B2FBE">
        <w:t xml:space="preserve">eader and </w:t>
      </w:r>
      <w:r w:rsidR="00663600">
        <w:t>p</w:t>
      </w:r>
      <w:r w:rsidRPr="004B2FBE">
        <w:t xml:space="preserve">reparation </w:t>
      </w:r>
      <w:r w:rsidR="00663600">
        <w:t>m</w:t>
      </w:r>
      <w:r w:rsidRPr="004B2FBE">
        <w:t>ethod</w:t>
      </w:r>
      <w:r w:rsidR="00663600">
        <w:t xml:space="preserve"> (p</w:t>
      </w:r>
      <w:r w:rsidRPr="004B2FBE">
        <w:t>at</w:t>
      </w:r>
      <w:r>
        <w:t>i</w:t>
      </w:r>
      <w:r w:rsidRPr="004B2FBE">
        <w:t xml:space="preserve">ent </w:t>
      </w:r>
      <w:r w:rsidR="00663600">
        <w:t>e</w:t>
      </w:r>
      <w:r w:rsidRPr="004B2FBE">
        <w:t xml:space="preserve">fficacy </w:t>
      </w:r>
      <w:r w:rsidR="00663600">
        <w:t>e</w:t>
      </w:r>
      <w:r w:rsidRPr="004B2FBE">
        <w:t xml:space="preserve">valuable </w:t>
      </w:r>
      <w:r w:rsidR="00663600">
        <w:t>p</w:t>
      </w:r>
      <w:r w:rsidRPr="004B2FBE">
        <w:t>opulation</w:t>
      </w:r>
      <w:r w:rsidR="00663600">
        <w:t>)</w:t>
      </w:r>
    </w:p>
    <w:p w14:paraId="6A146378" w14:textId="77777777" w:rsidR="0037310D" w:rsidRDefault="00300920" w:rsidP="00300920">
      <w:pPr>
        <w:pStyle w:val="Caption"/>
      </w:pPr>
      <w:r>
        <w:rPr>
          <w:noProof/>
          <w:lang w:val="en-GB" w:eastAsia="en-GB"/>
        </w:rPr>
        <w:drawing>
          <wp:inline distT="0" distB="0" distL="0" distR="0" wp14:anchorId="4B80D220" wp14:editId="1B9FD189">
            <wp:extent cx="4819015" cy="1477671"/>
            <wp:effectExtent l="0" t="0" r="635" b="8255"/>
            <wp:docPr id="19" name="Picture 19" descr="Correct detection rate by reader and preparation method (patient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rrect detection rate by reader and preparation method (patient efficacy evaluable population)"/>
                    <pic:cNvPicPr/>
                  </pic:nvPicPr>
                  <pic:blipFill rotWithShape="1">
                    <a:blip r:embed="rId36"/>
                    <a:srcRect b="17472"/>
                    <a:stretch/>
                  </pic:blipFill>
                  <pic:spPr bwMode="auto">
                    <a:xfrm>
                      <a:off x="0" y="0"/>
                      <a:ext cx="4834409" cy="1482391"/>
                    </a:xfrm>
                    <a:prstGeom prst="rect">
                      <a:avLst/>
                    </a:prstGeom>
                    <a:ln>
                      <a:noFill/>
                    </a:ln>
                    <a:extLst>
                      <a:ext uri="{53640926-AAD7-44D8-BBD7-CCE9431645EC}">
                        <a14:shadowObscured xmlns:a14="http://schemas.microsoft.com/office/drawing/2010/main"/>
                      </a:ext>
                    </a:extLst>
                  </pic:spPr>
                </pic:pic>
              </a:graphicData>
            </a:graphic>
          </wp:inline>
        </w:drawing>
      </w:r>
    </w:p>
    <w:p w14:paraId="77219380" w14:textId="761F02E7" w:rsidR="007464CD" w:rsidRDefault="007464CD" w:rsidP="00300920">
      <w:pPr>
        <w:pStyle w:val="Caption"/>
      </w:pPr>
      <w:r>
        <w:t xml:space="preserve">Abbreviations: C.I. = confidence intervals; MSKCC = </w:t>
      </w:r>
      <w:r w:rsidRPr="007A4178">
        <w:t xml:space="preserve">Memorial Sloan Kettering Cancer </w:t>
      </w:r>
      <w:proofErr w:type="spellStart"/>
      <w:r w:rsidRPr="007A4178">
        <w:t>Center</w:t>
      </w:r>
      <w:proofErr w:type="spellEnd"/>
      <w:r>
        <w:t>; N = total number of subjects; n = number of subjects in a specific group.</w:t>
      </w:r>
    </w:p>
    <w:p w14:paraId="6D90AADD" w14:textId="23B1CD66" w:rsidR="00300920" w:rsidRDefault="0037310D" w:rsidP="00300920">
      <w:pPr>
        <w:pStyle w:val="Caption"/>
      </w:pPr>
      <w:r>
        <w:t xml:space="preserve">a: 95% </w:t>
      </w:r>
      <w:proofErr w:type="gramStart"/>
      <w:r>
        <w:t>two sided</w:t>
      </w:r>
      <w:proofErr w:type="gramEnd"/>
      <w:r>
        <w:t xml:space="preserve"> exact binomial confidence interval</w:t>
      </w:r>
    </w:p>
    <w:p w14:paraId="2AF90F22" w14:textId="5868392B" w:rsidR="00300920" w:rsidRDefault="00300920" w:rsidP="00A643F1">
      <w:pPr>
        <w:pStyle w:val="TableTitle"/>
        <w:rPr>
          <w:color w:val="000000"/>
          <w:sz w:val="18"/>
        </w:rPr>
      </w:pPr>
      <w:bookmarkStart w:id="76" w:name="_Ref103598056"/>
      <w:r w:rsidRPr="00A643F1">
        <w:lastRenderedPageBreak/>
        <w:t xml:space="preserve">Table </w:t>
      </w:r>
      <w:fldSimple w:instr=" SEQ Table \* ARABIC ">
        <w:r w:rsidR="00036995">
          <w:rPr>
            <w:noProof/>
          </w:rPr>
          <w:t>18</w:t>
        </w:r>
      </w:fldSimple>
      <w:bookmarkEnd w:id="76"/>
      <w:r>
        <w:t xml:space="preserve">: </w:t>
      </w:r>
      <w:r w:rsidR="007464CD">
        <w:t xml:space="preserve">Study BCR-RET-01 </w:t>
      </w:r>
      <w:r w:rsidR="00663600" w:rsidRPr="001709C0">
        <w:rPr>
          <w:bCs/>
        </w:rPr>
        <w:t xml:space="preserve">Verified </w:t>
      </w:r>
      <w:r w:rsidR="00663600">
        <w:rPr>
          <w:bCs/>
        </w:rPr>
        <w:t>l</w:t>
      </w:r>
      <w:r w:rsidR="00663600" w:rsidRPr="001709C0">
        <w:rPr>
          <w:bCs/>
        </w:rPr>
        <w:t>ocali</w:t>
      </w:r>
      <w:r w:rsidR="00663600">
        <w:rPr>
          <w:bCs/>
        </w:rPr>
        <w:t>s</w:t>
      </w:r>
      <w:r w:rsidR="00663600" w:rsidRPr="001709C0">
        <w:rPr>
          <w:bCs/>
        </w:rPr>
        <w:t xml:space="preserve">ation </w:t>
      </w:r>
      <w:r w:rsidR="00663600">
        <w:rPr>
          <w:bCs/>
        </w:rPr>
        <w:t>r</w:t>
      </w:r>
      <w:r w:rsidR="00663600" w:rsidRPr="001709C0">
        <w:rPr>
          <w:bCs/>
        </w:rPr>
        <w:t>ate</w:t>
      </w:r>
      <w:r>
        <w:t xml:space="preserve"> by </w:t>
      </w:r>
      <w:r w:rsidR="00663600">
        <w:t>r</w:t>
      </w:r>
      <w:r w:rsidRPr="004B2FBE">
        <w:t xml:space="preserve">eader and </w:t>
      </w:r>
      <w:r w:rsidR="00663600">
        <w:t>p</w:t>
      </w:r>
      <w:r w:rsidRPr="004B2FBE">
        <w:t xml:space="preserve">reparation </w:t>
      </w:r>
      <w:r w:rsidR="00663600">
        <w:t>m</w:t>
      </w:r>
      <w:r w:rsidRPr="004B2FBE">
        <w:t>ethod</w:t>
      </w:r>
      <w:r w:rsidR="00663600">
        <w:t xml:space="preserve"> (r</w:t>
      </w:r>
      <w:r>
        <w:t>egion</w:t>
      </w:r>
      <w:r w:rsidRPr="004B2FBE">
        <w:t xml:space="preserve"> </w:t>
      </w:r>
      <w:r w:rsidR="00663600">
        <w:t>e</w:t>
      </w:r>
      <w:r w:rsidRPr="004B2FBE">
        <w:t xml:space="preserve">fficacy </w:t>
      </w:r>
      <w:r w:rsidR="00663600">
        <w:t>e</w:t>
      </w:r>
      <w:r w:rsidRPr="004B2FBE">
        <w:t xml:space="preserve">valuable </w:t>
      </w:r>
      <w:r w:rsidR="00663600">
        <w:t>p</w:t>
      </w:r>
      <w:r w:rsidRPr="004B2FBE">
        <w:t>opulation</w:t>
      </w:r>
      <w:r w:rsidR="00663600">
        <w:t>)</w:t>
      </w:r>
    </w:p>
    <w:p w14:paraId="357BEF80" w14:textId="3FCF70CE" w:rsidR="00300920" w:rsidRDefault="00300920" w:rsidP="00300920">
      <w:pPr>
        <w:pStyle w:val="Caption"/>
      </w:pPr>
      <w:r>
        <w:rPr>
          <w:noProof/>
          <w:lang w:val="en-GB" w:eastAsia="en-GB"/>
        </w:rPr>
        <w:drawing>
          <wp:inline distT="0" distB="0" distL="0" distR="0" wp14:anchorId="2C9555C1" wp14:editId="6CBF8814">
            <wp:extent cx="5442925" cy="2298138"/>
            <wp:effectExtent l="0" t="0" r="5715" b="6985"/>
            <wp:docPr id="20" name="Picture 20" descr="Verified localisation rate by reader and preparation method (region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erified localisation rate by reader and preparation method (region efficacy evaluable population)"/>
                    <pic:cNvPicPr/>
                  </pic:nvPicPr>
                  <pic:blipFill rotWithShape="1">
                    <a:blip r:embed="rId37"/>
                    <a:srcRect b="12393"/>
                    <a:stretch/>
                  </pic:blipFill>
                  <pic:spPr bwMode="auto">
                    <a:xfrm>
                      <a:off x="0" y="0"/>
                      <a:ext cx="5472466" cy="2310611"/>
                    </a:xfrm>
                    <a:prstGeom prst="rect">
                      <a:avLst/>
                    </a:prstGeom>
                    <a:ln>
                      <a:noFill/>
                    </a:ln>
                    <a:extLst>
                      <a:ext uri="{53640926-AAD7-44D8-BBD7-CCE9431645EC}">
                        <a14:shadowObscured xmlns:a14="http://schemas.microsoft.com/office/drawing/2010/main"/>
                      </a:ext>
                    </a:extLst>
                  </pic:spPr>
                </pic:pic>
              </a:graphicData>
            </a:graphic>
          </wp:inline>
        </w:drawing>
      </w:r>
    </w:p>
    <w:p w14:paraId="2AACAADC" w14:textId="7182627F" w:rsidR="007464CD" w:rsidRDefault="007464CD" w:rsidP="0037310D">
      <w:pPr>
        <w:pStyle w:val="TableDescription"/>
      </w:pPr>
      <w:r>
        <w:t xml:space="preserve">Abbreviations: C.I. = confidence intervals; max = maximum; min = minimum; MSKCC = Memorial Sloan Kettering Cancer </w:t>
      </w:r>
      <w:proofErr w:type="spellStart"/>
      <w:r>
        <w:t>Center</w:t>
      </w:r>
      <w:proofErr w:type="spellEnd"/>
      <w:r>
        <w:t>; N = total number of subjects; n = number of subjects in a specific group; SD = standard deviation.</w:t>
      </w:r>
    </w:p>
    <w:p w14:paraId="142754AC" w14:textId="3877B9C4" w:rsidR="0037310D" w:rsidRPr="0037310D" w:rsidRDefault="0037310D" w:rsidP="0037310D">
      <w:pPr>
        <w:pStyle w:val="TableDescription"/>
      </w:pPr>
      <w:r w:rsidRPr="0037310D">
        <w:t xml:space="preserve">a: 95% </w:t>
      </w:r>
      <w:proofErr w:type="gramStart"/>
      <w:r w:rsidRPr="0037310D">
        <w:t>two sided</w:t>
      </w:r>
      <w:proofErr w:type="gramEnd"/>
      <w:r w:rsidRPr="0037310D">
        <w:t xml:space="preserve"> </w:t>
      </w:r>
      <w:r w:rsidRPr="004F7DDA">
        <w:rPr>
          <w:i/>
        </w:rPr>
        <w:t>t</w:t>
      </w:r>
      <w:r w:rsidR="007464CD">
        <w:t>-test</w:t>
      </w:r>
      <w:r w:rsidRPr="0037310D">
        <w:t xml:space="preserve"> confidence interval</w:t>
      </w:r>
    </w:p>
    <w:p w14:paraId="36AA4363" w14:textId="313F767A" w:rsidR="00300920" w:rsidRDefault="00300920" w:rsidP="00300920">
      <w:pPr>
        <w:rPr>
          <w:lang w:eastAsia="ja-JP"/>
        </w:rPr>
      </w:pPr>
      <w:r>
        <w:t xml:space="preserve">The </w:t>
      </w:r>
      <w:r>
        <w:rPr>
          <w:lang w:eastAsia="ja-JP"/>
        </w:rPr>
        <w:t xml:space="preserve">percentage of patients who had at least one </w:t>
      </w:r>
      <w:r w:rsidR="007464CD">
        <w:rPr>
          <w:lang w:eastAsia="ja-JP"/>
        </w:rPr>
        <w:t xml:space="preserve">false positive </w:t>
      </w:r>
      <w:r>
        <w:rPr>
          <w:lang w:eastAsia="ja-JP"/>
        </w:rPr>
        <w:t xml:space="preserve">finding, regardless of any co-existent </w:t>
      </w:r>
      <w:proofErr w:type="spellStart"/>
      <w:r w:rsidR="007464CD">
        <w:rPr>
          <w:lang w:eastAsia="ja-JP"/>
        </w:rPr>
        <w:t>transperineal</w:t>
      </w:r>
      <w:proofErr w:type="spellEnd"/>
      <w:r w:rsidR="007464CD">
        <w:rPr>
          <w:lang w:eastAsia="ja-JP"/>
        </w:rPr>
        <w:t xml:space="preserve"> </w:t>
      </w:r>
      <w:r>
        <w:rPr>
          <w:lang w:eastAsia="ja-JP"/>
        </w:rPr>
        <w:t xml:space="preserve">lesions, was notably higher in the </w:t>
      </w:r>
      <w:r w:rsidR="007464CD">
        <w:rPr>
          <w:lang w:eastAsia="ja-JP"/>
        </w:rPr>
        <w:t xml:space="preserve">patient efficacy evaluable set </w:t>
      </w:r>
      <w:r>
        <w:rPr>
          <w:lang w:eastAsia="ja-JP"/>
        </w:rPr>
        <w:t>(</w:t>
      </w:r>
      <w:r w:rsidR="0060135E">
        <w:rPr>
          <w:lang w:eastAsia="ja-JP"/>
        </w:rPr>
        <w:t>see </w:t>
      </w:r>
      <w:r w:rsidR="007151A2">
        <w:rPr>
          <w:lang w:eastAsia="ja-JP"/>
        </w:rPr>
        <w:fldChar w:fldCharType="begin"/>
      </w:r>
      <w:r w:rsidR="007151A2">
        <w:rPr>
          <w:lang w:eastAsia="ja-JP"/>
        </w:rPr>
        <w:instrText xml:space="preserve"> REF _Ref103599863 \h </w:instrText>
      </w:r>
      <w:r w:rsidR="007151A2">
        <w:rPr>
          <w:lang w:eastAsia="ja-JP"/>
        </w:rPr>
      </w:r>
      <w:r w:rsidR="007151A2">
        <w:rPr>
          <w:lang w:eastAsia="ja-JP"/>
        </w:rPr>
        <w:fldChar w:fldCharType="separate"/>
      </w:r>
      <w:r w:rsidR="00036995" w:rsidRPr="00A643F1">
        <w:t xml:space="preserve">Table </w:t>
      </w:r>
      <w:r w:rsidR="00036995">
        <w:rPr>
          <w:noProof/>
        </w:rPr>
        <w:t>19</w:t>
      </w:r>
      <w:r w:rsidR="007151A2">
        <w:rPr>
          <w:lang w:eastAsia="ja-JP"/>
        </w:rPr>
        <w:fldChar w:fldCharType="end"/>
      </w:r>
      <w:r>
        <w:rPr>
          <w:lang w:eastAsia="ja-JP"/>
        </w:rPr>
        <w:t>) than the</w:t>
      </w:r>
      <w:r w:rsidRPr="00D30948">
        <w:rPr>
          <w:lang w:eastAsia="ja-JP"/>
        </w:rPr>
        <w:t xml:space="preserve"> </w:t>
      </w:r>
      <w:r w:rsidR="0060135E">
        <w:rPr>
          <w:lang w:eastAsia="ja-JP"/>
        </w:rPr>
        <w:t xml:space="preserve">histopathology only set </w:t>
      </w:r>
      <w:r w:rsidR="007151A2">
        <w:rPr>
          <w:lang w:eastAsia="ja-JP"/>
        </w:rPr>
        <w:t>(</w:t>
      </w:r>
      <w:r w:rsidR="0060135E">
        <w:rPr>
          <w:lang w:eastAsia="ja-JP"/>
        </w:rPr>
        <w:t xml:space="preserve">see </w:t>
      </w:r>
      <w:r w:rsidR="007151A2">
        <w:rPr>
          <w:lang w:eastAsia="ja-JP"/>
        </w:rPr>
        <w:fldChar w:fldCharType="begin"/>
      </w:r>
      <w:r w:rsidR="007151A2">
        <w:rPr>
          <w:lang w:eastAsia="ja-JP"/>
        </w:rPr>
        <w:instrText xml:space="preserve"> REF _Ref103599871 \h </w:instrText>
      </w:r>
      <w:r w:rsidR="007151A2">
        <w:rPr>
          <w:lang w:eastAsia="ja-JP"/>
        </w:rPr>
      </w:r>
      <w:r w:rsidR="007151A2">
        <w:rPr>
          <w:lang w:eastAsia="ja-JP"/>
        </w:rPr>
        <w:fldChar w:fldCharType="separate"/>
      </w:r>
      <w:r w:rsidR="00036995" w:rsidRPr="00A643F1">
        <w:t xml:space="preserve">Table </w:t>
      </w:r>
      <w:r w:rsidR="00036995">
        <w:rPr>
          <w:noProof/>
        </w:rPr>
        <w:t>20</w:t>
      </w:r>
      <w:r w:rsidR="007151A2">
        <w:rPr>
          <w:lang w:eastAsia="ja-JP"/>
        </w:rPr>
        <w:fldChar w:fldCharType="end"/>
      </w:r>
      <w:r>
        <w:rPr>
          <w:lang w:eastAsia="ja-JP"/>
        </w:rPr>
        <w:t xml:space="preserve">), which may </w:t>
      </w:r>
      <w:proofErr w:type="gramStart"/>
      <w:r>
        <w:rPr>
          <w:lang w:eastAsia="ja-JP"/>
        </w:rPr>
        <w:t>be a reflection of</w:t>
      </w:r>
      <w:proofErr w:type="gramEnd"/>
      <w:r>
        <w:rPr>
          <w:lang w:eastAsia="ja-JP"/>
        </w:rPr>
        <w:t xml:space="preserve"> the limitations of conventional imaging as a reference standard.</w:t>
      </w:r>
    </w:p>
    <w:p w14:paraId="0C768798" w14:textId="007557B2" w:rsidR="00300920" w:rsidRDefault="007151A2" w:rsidP="00A643F1">
      <w:pPr>
        <w:pStyle w:val="TableTitle"/>
        <w:rPr>
          <w:lang w:eastAsia="ja-JP"/>
        </w:rPr>
      </w:pPr>
      <w:bookmarkStart w:id="77" w:name="_Ref103599863"/>
      <w:r w:rsidRPr="00A643F1">
        <w:t xml:space="preserve">Table </w:t>
      </w:r>
      <w:fldSimple w:instr=" SEQ Table \* ARABIC ">
        <w:r w:rsidR="00036995">
          <w:rPr>
            <w:noProof/>
          </w:rPr>
          <w:t>19</w:t>
        </w:r>
      </w:fldSimple>
      <w:bookmarkEnd w:id="77"/>
      <w:r>
        <w:t xml:space="preserve">: </w:t>
      </w:r>
      <w:r w:rsidR="0060135E">
        <w:t xml:space="preserve">Study BCR-RET-01 </w:t>
      </w:r>
      <w:r w:rsidRPr="003D2714">
        <w:rPr>
          <w:lang w:eastAsia="ja-JP"/>
        </w:rPr>
        <w:t>Patient</w:t>
      </w:r>
      <w:r w:rsidR="00663600">
        <w:rPr>
          <w:lang w:eastAsia="ja-JP"/>
        </w:rPr>
        <w:t xml:space="preserve"> </w:t>
      </w:r>
      <w:r w:rsidRPr="003D2714">
        <w:rPr>
          <w:lang w:eastAsia="ja-JP"/>
        </w:rPr>
        <w:t xml:space="preserve">level </w:t>
      </w:r>
      <w:r w:rsidR="00663600">
        <w:rPr>
          <w:lang w:eastAsia="ja-JP"/>
        </w:rPr>
        <w:t>f</w:t>
      </w:r>
      <w:r w:rsidRPr="003D2714">
        <w:rPr>
          <w:lang w:eastAsia="ja-JP"/>
        </w:rPr>
        <w:t xml:space="preserve">alse </w:t>
      </w:r>
      <w:r w:rsidR="00663600">
        <w:rPr>
          <w:lang w:eastAsia="ja-JP"/>
        </w:rPr>
        <w:t>p</w:t>
      </w:r>
      <w:r w:rsidRPr="003D2714">
        <w:rPr>
          <w:lang w:eastAsia="ja-JP"/>
        </w:rPr>
        <w:t xml:space="preserve">ositive </w:t>
      </w:r>
      <w:r w:rsidR="00663600">
        <w:rPr>
          <w:lang w:eastAsia="ja-JP"/>
        </w:rPr>
        <w:t>r</w:t>
      </w:r>
      <w:r w:rsidRPr="003D2714">
        <w:rPr>
          <w:lang w:eastAsia="ja-JP"/>
        </w:rPr>
        <w:t xml:space="preserve">ate by </w:t>
      </w:r>
      <w:r w:rsidR="00663600">
        <w:rPr>
          <w:lang w:eastAsia="ja-JP"/>
        </w:rPr>
        <w:t>r</w:t>
      </w:r>
      <w:r w:rsidRPr="003D2714">
        <w:rPr>
          <w:lang w:eastAsia="ja-JP"/>
        </w:rPr>
        <w:t>eader</w:t>
      </w:r>
      <w:r w:rsidR="00663600">
        <w:rPr>
          <w:lang w:eastAsia="ja-JP"/>
        </w:rPr>
        <w:t xml:space="preserve"> (p</w:t>
      </w:r>
      <w:r w:rsidRPr="003D2714">
        <w:rPr>
          <w:lang w:eastAsia="ja-JP"/>
        </w:rPr>
        <w:t xml:space="preserve">atient </w:t>
      </w:r>
      <w:r w:rsidR="00663600">
        <w:rPr>
          <w:lang w:eastAsia="ja-JP"/>
        </w:rPr>
        <w:t>e</w:t>
      </w:r>
      <w:r w:rsidRPr="003D2714">
        <w:rPr>
          <w:lang w:eastAsia="ja-JP"/>
        </w:rPr>
        <w:t xml:space="preserve">fficacy </w:t>
      </w:r>
      <w:r w:rsidR="00663600">
        <w:rPr>
          <w:lang w:eastAsia="ja-JP"/>
        </w:rPr>
        <w:t>e</w:t>
      </w:r>
      <w:r w:rsidRPr="003D2714">
        <w:rPr>
          <w:lang w:eastAsia="ja-JP"/>
        </w:rPr>
        <w:t xml:space="preserve">valuable </w:t>
      </w:r>
      <w:r w:rsidR="00663600">
        <w:rPr>
          <w:lang w:eastAsia="ja-JP"/>
        </w:rPr>
        <w:t>s</w:t>
      </w:r>
      <w:r>
        <w:rPr>
          <w:lang w:eastAsia="ja-JP"/>
        </w:rPr>
        <w:t>et</w:t>
      </w:r>
      <w:r w:rsidR="00663600">
        <w:rPr>
          <w:lang w:eastAsia="ja-JP"/>
        </w:rPr>
        <w:t>)</w:t>
      </w:r>
    </w:p>
    <w:p w14:paraId="08B3C5D1" w14:textId="68E6C4E5" w:rsidR="007151A2" w:rsidRDefault="007151A2" w:rsidP="007151A2">
      <w:pPr>
        <w:rPr>
          <w:lang w:eastAsia="ja-JP"/>
        </w:rPr>
      </w:pPr>
      <w:r>
        <w:rPr>
          <w:noProof/>
          <w:lang w:val="en-GB" w:eastAsia="en-GB"/>
        </w:rPr>
        <w:drawing>
          <wp:inline distT="0" distB="0" distL="0" distR="0" wp14:anchorId="76DC3DB4" wp14:editId="09520885">
            <wp:extent cx="5400027" cy="892454"/>
            <wp:effectExtent l="0" t="0" r="0" b="3175"/>
            <wp:docPr id="33" name="Picture 33" descr="Patient level false positive rate by reader (patient efficacy evaluab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atient level false positive rate by reader (patient efficacy evaluable set)"/>
                    <pic:cNvPicPr/>
                  </pic:nvPicPr>
                  <pic:blipFill rotWithShape="1">
                    <a:blip r:embed="rId38"/>
                    <a:srcRect b="26262"/>
                    <a:stretch/>
                  </pic:blipFill>
                  <pic:spPr bwMode="auto">
                    <a:xfrm>
                      <a:off x="0" y="0"/>
                      <a:ext cx="5400040" cy="892456"/>
                    </a:xfrm>
                    <a:prstGeom prst="rect">
                      <a:avLst/>
                    </a:prstGeom>
                    <a:ln>
                      <a:noFill/>
                    </a:ln>
                    <a:extLst>
                      <a:ext uri="{53640926-AAD7-44D8-BBD7-CCE9431645EC}">
                        <a14:shadowObscured xmlns:a14="http://schemas.microsoft.com/office/drawing/2010/main"/>
                      </a:ext>
                    </a:extLst>
                  </pic:spPr>
                </pic:pic>
              </a:graphicData>
            </a:graphic>
          </wp:inline>
        </w:drawing>
      </w:r>
    </w:p>
    <w:p w14:paraId="49BC6E9B" w14:textId="225A7094" w:rsidR="0060135E" w:rsidRDefault="0060135E" w:rsidP="0037310D">
      <w:pPr>
        <w:pStyle w:val="TableDescription"/>
      </w:pPr>
      <w:r>
        <w:t>Abbreviations: C.I. = confidence intervals;</w:t>
      </w:r>
      <w:r w:rsidRPr="0060135E">
        <w:t xml:space="preserve"> </w:t>
      </w:r>
      <w:r>
        <w:t>N = total number of subjects; n = number of subjects in a specific group.</w:t>
      </w:r>
    </w:p>
    <w:p w14:paraId="781C61F3" w14:textId="64F5EE1B" w:rsidR="0037310D" w:rsidRPr="007151A2" w:rsidRDefault="0037310D" w:rsidP="0037310D">
      <w:pPr>
        <w:pStyle w:val="TableDescription"/>
      </w:pPr>
      <w:r>
        <w:t xml:space="preserve">a: 95% </w:t>
      </w:r>
      <w:proofErr w:type="gramStart"/>
      <w:r>
        <w:t>two sided</w:t>
      </w:r>
      <w:proofErr w:type="gramEnd"/>
      <w:r>
        <w:t xml:space="preserve"> exact binomial confidence interval</w:t>
      </w:r>
    </w:p>
    <w:p w14:paraId="03C2233D" w14:textId="47753B2F" w:rsidR="007151A2" w:rsidRDefault="007151A2" w:rsidP="00A643F1">
      <w:pPr>
        <w:pStyle w:val="TableTitle"/>
        <w:rPr>
          <w:lang w:eastAsia="ja-JP"/>
        </w:rPr>
      </w:pPr>
      <w:bookmarkStart w:id="78" w:name="_Ref103599871"/>
      <w:r w:rsidRPr="00A643F1">
        <w:t xml:space="preserve">Table </w:t>
      </w:r>
      <w:fldSimple w:instr=" SEQ Table \* ARABIC ">
        <w:r w:rsidR="00036995">
          <w:rPr>
            <w:noProof/>
          </w:rPr>
          <w:t>20</w:t>
        </w:r>
      </w:fldSimple>
      <w:bookmarkEnd w:id="78"/>
      <w:r>
        <w:t>:</w:t>
      </w:r>
      <w:r w:rsidRPr="007151A2">
        <w:rPr>
          <w:lang w:eastAsia="ja-JP"/>
        </w:rPr>
        <w:t xml:space="preserve"> </w:t>
      </w:r>
      <w:r w:rsidR="0060135E">
        <w:t xml:space="preserve">Study BCR-RET-01 </w:t>
      </w:r>
      <w:r w:rsidRPr="003D2714">
        <w:rPr>
          <w:lang w:eastAsia="ja-JP"/>
        </w:rPr>
        <w:t>Patient</w:t>
      </w:r>
      <w:r w:rsidR="00663600">
        <w:rPr>
          <w:lang w:eastAsia="ja-JP"/>
        </w:rPr>
        <w:t xml:space="preserve"> </w:t>
      </w:r>
      <w:r w:rsidRPr="003D2714">
        <w:rPr>
          <w:lang w:eastAsia="ja-JP"/>
        </w:rPr>
        <w:t xml:space="preserve">level </w:t>
      </w:r>
      <w:r w:rsidR="00663600">
        <w:rPr>
          <w:lang w:eastAsia="ja-JP"/>
        </w:rPr>
        <w:t>f</w:t>
      </w:r>
      <w:r w:rsidRPr="003D2714">
        <w:rPr>
          <w:lang w:eastAsia="ja-JP"/>
        </w:rPr>
        <w:t xml:space="preserve">alse </w:t>
      </w:r>
      <w:r w:rsidR="00663600">
        <w:rPr>
          <w:lang w:eastAsia="ja-JP"/>
        </w:rPr>
        <w:t>p</w:t>
      </w:r>
      <w:r w:rsidRPr="003D2714">
        <w:rPr>
          <w:lang w:eastAsia="ja-JP"/>
        </w:rPr>
        <w:t xml:space="preserve">ositive </w:t>
      </w:r>
      <w:r w:rsidR="00663600">
        <w:rPr>
          <w:lang w:eastAsia="ja-JP"/>
        </w:rPr>
        <w:t>r</w:t>
      </w:r>
      <w:r w:rsidRPr="003D2714">
        <w:rPr>
          <w:lang w:eastAsia="ja-JP"/>
        </w:rPr>
        <w:t xml:space="preserve">ate by </w:t>
      </w:r>
      <w:r w:rsidR="00663600">
        <w:rPr>
          <w:lang w:eastAsia="ja-JP"/>
        </w:rPr>
        <w:t>r</w:t>
      </w:r>
      <w:r w:rsidRPr="003D2714">
        <w:rPr>
          <w:lang w:eastAsia="ja-JP"/>
        </w:rPr>
        <w:t>eader</w:t>
      </w:r>
      <w:r w:rsidR="00663600">
        <w:rPr>
          <w:lang w:eastAsia="ja-JP"/>
        </w:rPr>
        <w:t xml:space="preserve"> (p</w:t>
      </w:r>
      <w:r>
        <w:rPr>
          <w:lang w:eastAsia="ja-JP"/>
        </w:rPr>
        <w:t xml:space="preserve">atient </w:t>
      </w:r>
      <w:r w:rsidR="00663600">
        <w:rPr>
          <w:lang w:eastAsia="ja-JP"/>
        </w:rPr>
        <w:t>h</w:t>
      </w:r>
      <w:r>
        <w:rPr>
          <w:lang w:eastAsia="ja-JP"/>
        </w:rPr>
        <w:t xml:space="preserve">istopathology </w:t>
      </w:r>
      <w:r w:rsidR="00663600">
        <w:rPr>
          <w:lang w:eastAsia="ja-JP"/>
        </w:rPr>
        <w:t>o</w:t>
      </w:r>
      <w:r>
        <w:rPr>
          <w:lang w:eastAsia="ja-JP"/>
        </w:rPr>
        <w:t>nly</w:t>
      </w:r>
      <w:r w:rsidRPr="003D2714">
        <w:rPr>
          <w:lang w:eastAsia="ja-JP"/>
        </w:rPr>
        <w:t xml:space="preserve"> </w:t>
      </w:r>
      <w:r w:rsidR="00663600">
        <w:rPr>
          <w:lang w:eastAsia="ja-JP"/>
        </w:rPr>
        <w:t>s</w:t>
      </w:r>
      <w:r>
        <w:rPr>
          <w:lang w:eastAsia="ja-JP"/>
        </w:rPr>
        <w:t>et</w:t>
      </w:r>
      <w:r w:rsidR="00663600">
        <w:rPr>
          <w:lang w:eastAsia="ja-JP"/>
        </w:rPr>
        <w:t>)</w:t>
      </w:r>
    </w:p>
    <w:p w14:paraId="0BF01946" w14:textId="2B1D81B4" w:rsidR="007151A2" w:rsidRDefault="007151A2" w:rsidP="007151A2">
      <w:pPr>
        <w:rPr>
          <w:lang w:eastAsia="ja-JP"/>
        </w:rPr>
      </w:pPr>
      <w:r>
        <w:rPr>
          <w:noProof/>
          <w:lang w:val="en-GB" w:eastAsia="en-GB"/>
        </w:rPr>
        <w:drawing>
          <wp:inline distT="0" distB="0" distL="0" distR="0" wp14:anchorId="7A9BF698" wp14:editId="03C0700C">
            <wp:extent cx="5399495" cy="899770"/>
            <wp:effectExtent l="0" t="0" r="0" b="0"/>
            <wp:docPr id="34" name="Picture 34" descr="Patient level false positive rate by reader (patient histopathology onl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atient level false positive rate by reader (patient histopathology only set)"/>
                    <pic:cNvPicPr/>
                  </pic:nvPicPr>
                  <pic:blipFill rotWithShape="1">
                    <a:blip r:embed="rId39"/>
                    <a:srcRect b="26161"/>
                    <a:stretch/>
                  </pic:blipFill>
                  <pic:spPr bwMode="auto">
                    <a:xfrm>
                      <a:off x="0" y="0"/>
                      <a:ext cx="5400040" cy="899861"/>
                    </a:xfrm>
                    <a:prstGeom prst="rect">
                      <a:avLst/>
                    </a:prstGeom>
                    <a:ln>
                      <a:noFill/>
                    </a:ln>
                    <a:extLst>
                      <a:ext uri="{53640926-AAD7-44D8-BBD7-CCE9431645EC}">
                        <a14:shadowObscured xmlns:a14="http://schemas.microsoft.com/office/drawing/2010/main"/>
                      </a:ext>
                    </a:extLst>
                  </pic:spPr>
                </pic:pic>
              </a:graphicData>
            </a:graphic>
          </wp:inline>
        </w:drawing>
      </w:r>
    </w:p>
    <w:p w14:paraId="360488B4" w14:textId="66541097" w:rsidR="0060135E" w:rsidRDefault="0060135E" w:rsidP="0037310D">
      <w:pPr>
        <w:pStyle w:val="TableDescription"/>
      </w:pPr>
      <w:r>
        <w:t>Abbreviations: C.I. = confidence intervals;</w:t>
      </w:r>
      <w:r w:rsidRPr="0060135E">
        <w:t xml:space="preserve"> </w:t>
      </w:r>
      <w:r>
        <w:t>N = total number of subjects; n = number of subjects in a specific group.</w:t>
      </w:r>
    </w:p>
    <w:p w14:paraId="2605A761" w14:textId="022DE706" w:rsidR="0037310D" w:rsidRDefault="0037310D" w:rsidP="0037310D">
      <w:pPr>
        <w:pStyle w:val="TableDescription"/>
      </w:pPr>
      <w:r>
        <w:t xml:space="preserve">a: 95% </w:t>
      </w:r>
      <w:proofErr w:type="gramStart"/>
      <w:r>
        <w:t>two sided</w:t>
      </w:r>
      <w:proofErr w:type="gramEnd"/>
      <w:r>
        <w:t xml:space="preserve"> exact binomial confidence interval</w:t>
      </w:r>
    </w:p>
    <w:p w14:paraId="4998A0EA" w14:textId="00A417A4" w:rsidR="007151A2" w:rsidRDefault="007151A2" w:rsidP="007151A2">
      <w:pPr>
        <w:rPr>
          <w:lang w:eastAsia="ja-JP"/>
        </w:rPr>
      </w:pPr>
      <w:r>
        <w:rPr>
          <w:lang w:eastAsia="ja-JP"/>
        </w:rPr>
        <w:t xml:space="preserve">Analyses based on traditional measures of diagnostic efficacy are shown in </w:t>
      </w:r>
      <w:r>
        <w:rPr>
          <w:lang w:eastAsia="ja-JP"/>
        </w:rPr>
        <w:fldChar w:fldCharType="begin"/>
      </w:r>
      <w:r>
        <w:rPr>
          <w:lang w:eastAsia="ja-JP"/>
        </w:rPr>
        <w:instrText xml:space="preserve"> REF _Ref103600007 \h </w:instrText>
      </w:r>
      <w:r>
        <w:rPr>
          <w:lang w:eastAsia="ja-JP"/>
        </w:rPr>
      </w:r>
      <w:r>
        <w:rPr>
          <w:lang w:eastAsia="ja-JP"/>
        </w:rPr>
        <w:fldChar w:fldCharType="separate"/>
      </w:r>
      <w:r w:rsidR="00036995" w:rsidRPr="00A643F1">
        <w:t xml:space="preserve">Table </w:t>
      </w:r>
      <w:r w:rsidR="00036995">
        <w:rPr>
          <w:noProof/>
        </w:rPr>
        <w:t>21</w:t>
      </w:r>
      <w:r>
        <w:rPr>
          <w:lang w:eastAsia="ja-JP"/>
        </w:rPr>
        <w:fldChar w:fldCharType="end"/>
      </w:r>
      <w:r>
        <w:rPr>
          <w:lang w:eastAsia="ja-JP"/>
        </w:rPr>
        <w:t xml:space="preserve"> (</w:t>
      </w:r>
      <w:r w:rsidR="00663600">
        <w:rPr>
          <w:lang w:eastAsia="ja-JP"/>
        </w:rPr>
        <w:t>f</w:t>
      </w:r>
      <w:r>
        <w:rPr>
          <w:lang w:eastAsia="ja-JP"/>
        </w:rPr>
        <w:t xml:space="preserve">ull </w:t>
      </w:r>
      <w:r w:rsidR="00663600">
        <w:rPr>
          <w:lang w:eastAsia="ja-JP"/>
        </w:rPr>
        <w:t>p</w:t>
      </w:r>
      <w:r>
        <w:rPr>
          <w:lang w:eastAsia="ja-JP"/>
        </w:rPr>
        <w:t xml:space="preserve">atient </w:t>
      </w:r>
      <w:r w:rsidR="00663600">
        <w:rPr>
          <w:lang w:eastAsia="ja-JP"/>
        </w:rPr>
        <w:t>a</w:t>
      </w:r>
      <w:r>
        <w:rPr>
          <w:lang w:eastAsia="ja-JP"/>
        </w:rPr>
        <w:t xml:space="preserve">nalysis </w:t>
      </w:r>
      <w:r w:rsidR="00663600">
        <w:rPr>
          <w:lang w:eastAsia="ja-JP"/>
        </w:rPr>
        <w:t>s</w:t>
      </w:r>
      <w:r>
        <w:rPr>
          <w:lang w:eastAsia="ja-JP"/>
        </w:rPr>
        <w:t xml:space="preserve">et) and </w:t>
      </w:r>
      <w:r>
        <w:rPr>
          <w:lang w:eastAsia="ja-JP"/>
        </w:rPr>
        <w:fldChar w:fldCharType="begin"/>
      </w:r>
      <w:r>
        <w:rPr>
          <w:lang w:eastAsia="ja-JP"/>
        </w:rPr>
        <w:instrText xml:space="preserve"> REF _Ref103600016 \h </w:instrText>
      </w:r>
      <w:r>
        <w:rPr>
          <w:lang w:eastAsia="ja-JP"/>
        </w:rPr>
      </w:r>
      <w:r>
        <w:rPr>
          <w:lang w:eastAsia="ja-JP"/>
        </w:rPr>
        <w:fldChar w:fldCharType="separate"/>
      </w:r>
      <w:r w:rsidR="00036995" w:rsidRPr="00A643F1">
        <w:t xml:space="preserve">Table </w:t>
      </w:r>
      <w:r w:rsidR="00036995">
        <w:rPr>
          <w:noProof/>
        </w:rPr>
        <w:t>22</w:t>
      </w:r>
      <w:r>
        <w:rPr>
          <w:lang w:eastAsia="ja-JP"/>
        </w:rPr>
        <w:fldChar w:fldCharType="end"/>
      </w:r>
      <w:r>
        <w:rPr>
          <w:lang w:eastAsia="ja-JP"/>
        </w:rPr>
        <w:t xml:space="preserve"> (</w:t>
      </w:r>
      <w:r w:rsidR="00663600">
        <w:rPr>
          <w:lang w:eastAsia="ja-JP"/>
        </w:rPr>
        <w:t>p</w:t>
      </w:r>
      <w:r>
        <w:rPr>
          <w:lang w:eastAsia="ja-JP"/>
        </w:rPr>
        <w:t xml:space="preserve">atient </w:t>
      </w:r>
      <w:r w:rsidR="00663600">
        <w:rPr>
          <w:lang w:eastAsia="ja-JP"/>
        </w:rPr>
        <w:t>h</w:t>
      </w:r>
      <w:r>
        <w:rPr>
          <w:lang w:eastAsia="ja-JP"/>
        </w:rPr>
        <w:t xml:space="preserve">istopathology </w:t>
      </w:r>
      <w:r w:rsidR="00663600">
        <w:rPr>
          <w:lang w:eastAsia="ja-JP"/>
        </w:rPr>
        <w:t>o</w:t>
      </w:r>
      <w:r>
        <w:rPr>
          <w:lang w:eastAsia="ja-JP"/>
        </w:rPr>
        <w:t xml:space="preserve">nly </w:t>
      </w:r>
      <w:r w:rsidR="00663600">
        <w:rPr>
          <w:lang w:eastAsia="ja-JP"/>
        </w:rPr>
        <w:t>s</w:t>
      </w:r>
      <w:r>
        <w:rPr>
          <w:lang w:eastAsia="ja-JP"/>
        </w:rPr>
        <w:t>et). Sensitivity ranged from 81%</w:t>
      </w:r>
      <w:r w:rsidR="00663600">
        <w:rPr>
          <w:lang w:eastAsia="ja-JP"/>
        </w:rPr>
        <w:t xml:space="preserve"> to </w:t>
      </w:r>
      <w:r>
        <w:rPr>
          <w:lang w:eastAsia="ja-JP"/>
        </w:rPr>
        <w:t xml:space="preserve">90.9% across the </w:t>
      </w:r>
      <w:r w:rsidR="00663600">
        <w:rPr>
          <w:lang w:eastAsia="ja-JP"/>
        </w:rPr>
        <w:t>three</w:t>
      </w:r>
      <w:r>
        <w:rPr>
          <w:lang w:eastAsia="ja-JP"/>
        </w:rPr>
        <w:t xml:space="preserve"> readers, and </w:t>
      </w:r>
      <w:r w:rsidR="00663600" w:rsidRPr="00CB7CD5">
        <w:rPr>
          <w:lang w:eastAsia="ja-JP"/>
        </w:rPr>
        <w:t>positive predictive value</w:t>
      </w:r>
      <w:r w:rsidR="00663600">
        <w:rPr>
          <w:lang w:eastAsia="ja-JP"/>
        </w:rPr>
        <w:t xml:space="preserve"> (</w:t>
      </w:r>
      <w:r>
        <w:rPr>
          <w:lang w:eastAsia="ja-JP"/>
        </w:rPr>
        <w:t>PPV</w:t>
      </w:r>
      <w:r w:rsidR="00663600">
        <w:rPr>
          <w:lang w:eastAsia="ja-JP"/>
        </w:rPr>
        <w:t>)</w:t>
      </w:r>
      <w:r>
        <w:rPr>
          <w:lang w:eastAsia="ja-JP"/>
        </w:rPr>
        <w:t xml:space="preserve"> ranged from 71.2%</w:t>
      </w:r>
      <w:r w:rsidR="00663600">
        <w:rPr>
          <w:lang w:eastAsia="ja-JP"/>
        </w:rPr>
        <w:t xml:space="preserve"> to </w:t>
      </w:r>
      <w:r>
        <w:rPr>
          <w:lang w:eastAsia="ja-JP"/>
        </w:rPr>
        <w:t>78.3% (</w:t>
      </w:r>
      <w:r w:rsidR="00663600">
        <w:rPr>
          <w:lang w:eastAsia="ja-JP"/>
        </w:rPr>
        <w:t>f</w:t>
      </w:r>
      <w:r>
        <w:rPr>
          <w:lang w:eastAsia="ja-JP"/>
        </w:rPr>
        <w:t xml:space="preserve">ull </w:t>
      </w:r>
      <w:r w:rsidR="00663600">
        <w:rPr>
          <w:lang w:eastAsia="ja-JP"/>
        </w:rPr>
        <w:t>p</w:t>
      </w:r>
      <w:r>
        <w:rPr>
          <w:lang w:eastAsia="ja-JP"/>
        </w:rPr>
        <w:t xml:space="preserve">atient </w:t>
      </w:r>
      <w:r w:rsidR="00663600">
        <w:rPr>
          <w:lang w:eastAsia="ja-JP"/>
        </w:rPr>
        <w:t>a</w:t>
      </w:r>
      <w:r>
        <w:rPr>
          <w:lang w:eastAsia="ja-JP"/>
        </w:rPr>
        <w:t xml:space="preserve">nalysis </w:t>
      </w:r>
      <w:r w:rsidR="00663600">
        <w:rPr>
          <w:lang w:eastAsia="ja-JP"/>
        </w:rPr>
        <w:t>s</w:t>
      </w:r>
      <w:r>
        <w:rPr>
          <w:lang w:eastAsia="ja-JP"/>
        </w:rPr>
        <w:t>et).</w:t>
      </w:r>
    </w:p>
    <w:p w14:paraId="1FFEE06B" w14:textId="2A0213BD" w:rsidR="007151A2" w:rsidRPr="0008250D" w:rsidRDefault="007151A2" w:rsidP="00A643F1">
      <w:pPr>
        <w:pStyle w:val="TableTitle"/>
        <w:rPr>
          <w:lang w:eastAsia="ja-JP"/>
        </w:rPr>
      </w:pPr>
      <w:bookmarkStart w:id="79" w:name="_Ref103600007"/>
      <w:r w:rsidRPr="00A643F1">
        <w:lastRenderedPageBreak/>
        <w:t xml:space="preserve">Table </w:t>
      </w:r>
      <w:fldSimple w:instr=" SEQ Table \* ARABIC ">
        <w:r w:rsidR="00036995">
          <w:rPr>
            <w:noProof/>
          </w:rPr>
          <w:t>21</w:t>
        </w:r>
      </w:fldSimple>
      <w:bookmarkEnd w:id="79"/>
      <w:r w:rsidRPr="00A643F1">
        <w:t>:</w:t>
      </w:r>
      <w:r w:rsidRPr="007151A2">
        <w:t xml:space="preserve"> </w:t>
      </w:r>
      <w:r w:rsidR="0060135E">
        <w:t xml:space="preserve">Study BCR-RET-01 </w:t>
      </w:r>
      <w:r w:rsidRPr="0008250D">
        <w:t xml:space="preserve">Summary of </w:t>
      </w:r>
      <w:r w:rsidR="00EC74CB">
        <w:t>p</w:t>
      </w:r>
      <w:r w:rsidRPr="0008250D">
        <w:t>atient</w:t>
      </w:r>
      <w:r w:rsidR="00EC74CB">
        <w:t xml:space="preserve"> l</w:t>
      </w:r>
      <w:r w:rsidRPr="0008250D">
        <w:t xml:space="preserve">evel </w:t>
      </w:r>
      <w:r w:rsidR="00EC74CB">
        <w:t>s</w:t>
      </w:r>
      <w:r w:rsidRPr="0008250D">
        <w:t xml:space="preserve">ensitivity, </w:t>
      </w:r>
      <w:r w:rsidR="00EC74CB">
        <w:t>s</w:t>
      </w:r>
      <w:r w:rsidRPr="0008250D">
        <w:t xml:space="preserve">pecificity, </w:t>
      </w:r>
      <w:r w:rsidR="00EC74CB">
        <w:t>p</w:t>
      </w:r>
      <w:r w:rsidRPr="0008250D">
        <w:t xml:space="preserve">ositive </w:t>
      </w:r>
      <w:r w:rsidR="00EC74CB">
        <w:t>p</w:t>
      </w:r>
      <w:r w:rsidRPr="0008250D">
        <w:t xml:space="preserve">redictive </w:t>
      </w:r>
      <w:r w:rsidR="00EC74CB">
        <w:t>v</w:t>
      </w:r>
      <w:r w:rsidRPr="0008250D">
        <w:t>alue,</w:t>
      </w:r>
      <w:r>
        <w:t xml:space="preserve"> </w:t>
      </w:r>
      <w:r w:rsidR="00EC74CB">
        <w:t>n</w:t>
      </w:r>
      <w:r w:rsidRPr="0008250D">
        <w:t xml:space="preserve">egative </w:t>
      </w:r>
      <w:r w:rsidR="00EC74CB">
        <w:t>p</w:t>
      </w:r>
      <w:r w:rsidRPr="0008250D">
        <w:t xml:space="preserve">redictive </w:t>
      </w:r>
      <w:r w:rsidR="00EC74CB">
        <w:t>v</w:t>
      </w:r>
      <w:r w:rsidRPr="0008250D">
        <w:t xml:space="preserve">alue, and </w:t>
      </w:r>
      <w:r w:rsidR="00EC74CB">
        <w:t>a</w:t>
      </w:r>
      <w:r w:rsidRPr="0008250D">
        <w:t xml:space="preserve">ccuracy </w:t>
      </w:r>
      <w:r>
        <w:t>(f</w:t>
      </w:r>
      <w:r w:rsidRPr="0008250D">
        <w:t xml:space="preserve">ull </w:t>
      </w:r>
      <w:r>
        <w:t>p</w:t>
      </w:r>
      <w:r w:rsidRPr="0008250D">
        <w:t xml:space="preserve">atient </w:t>
      </w:r>
      <w:r>
        <w:t>a</w:t>
      </w:r>
      <w:r w:rsidRPr="0008250D">
        <w:t xml:space="preserve">nalysis </w:t>
      </w:r>
      <w:r>
        <w:t>s</w:t>
      </w:r>
      <w:r w:rsidRPr="0008250D">
        <w:t>et</w:t>
      </w:r>
      <w:r>
        <w:t>)</w:t>
      </w:r>
    </w:p>
    <w:p w14:paraId="0317EE3E" w14:textId="08972533" w:rsidR="007151A2" w:rsidRDefault="007151A2" w:rsidP="007151A2">
      <w:pPr>
        <w:pStyle w:val="Caption"/>
      </w:pPr>
      <w:r>
        <w:rPr>
          <w:noProof/>
          <w:lang w:val="en-GB" w:eastAsia="en-GB"/>
        </w:rPr>
        <w:drawing>
          <wp:inline distT="0" distB="0" distL="0" distR="0" wp14:anchorId="18384EC9" wp14:editId="14A83F37">
            <wp:extent cx="5585793" cy="2043089"/>
            <wp:effectExtent l="0" t="0" r="0" b="0"/>
            <wp:docPr id="36" name="Picture 36" descr="Summary of patient level sensitivity, specificity, positive predictive value, negative predictive value, and accuracy (full patien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ummary of patient level sensitivity, specificity, positive predictive value, negative predictive value, and accuracy (full patient analysis set)"/>
                    <pic:cNvPicPr/>
                  </pic:nvPicPr>
                  <pic:blipFill rotWithShape="1">
                    <a:blip r:embed="rId40">
                      <a:extLst>
                        <a:ext uri="{BEBA8EAE-BF5A-486C-A8C5-ECC9F3942E4B}">
                          <a14:imgProps xmlns:a14="http://schemas.microsoft.com/office/drawing/2010/main">
                            <a14:imgLayer r:embed="rId41">
                              <a14:imgEffect>
                                <a14:saturation sat="0"/>
                              </a14:imgEffect>
                            </a14:imgLayer>
                          </a14:imgProps>
                        </a:ext>
                      </a:extLst>
                    </a:blip>
                    <a:srcRect b="13576"/>
                    <a:stretch/>
                  </pic:blipFill>
                  <pic:spPr bwMode="auto">
                    <a:xfrm>
                      <a:off x="0" y="0"/>
                      <a:ext cx="5605256" cy="2050208"/>
                    </a:xfrm>
                    <a:prstGeom prst="rect">
                      <a:avLst/>
                    </a:prstGeom>
                    <a:ln>
                      <a:noFill/>
                    </a:ln>
                    <a:extLst>
                      <a:ext uri="{53640926-AAD7-44D8-BBD7-CCE9431645EC}">
                        <a14:shadowObscured xmlns:a14="http://schemas.microsoft.com/office/drawing/2010/main"/>
                      </a:ext>
                    </a:extLst>
                  </pic:spPr>
                </pic:pic>
              </a:graphicData>
            </a:graphic>
          </wp:inline>
        </w:drawing>
      </w:r>
    </w:p>
    <w:p w14:paraId="27568AF6" w14:textId="3F99C7DC" w:rsidR="0060135E" w:rsidRDefault="0060135E" w:rsidP="0037310D">
      <w:pPr>
        <w:pStyle w:val="TableDescription"/>
      </w:pPr>
      <w:r>
        <w:t>Abbreviations: n = number of subjects in a specific group; PSMA = pro</w:t>
      </w:r>
      <w:r w:rsidR="00710D1B">
        <w:t>state-specific membrane antigen</w:t>
      </w:r>
      <w:r w:rsidR="00710D1B">
        <w:br/>
      </w:r>
      <w:r>
        <w:t>True condition given as number of subjects/group and percentage in brackets.</w:t>
      </w:r>
    </w:p>
    <w:p w14:paraId="297AC8C8" w14:textId="1CDB31EB" w:rsidR="0037310D" w:rsidRPr="0037310D" w:rsidRDefault="0037310D" w:rsidP="0037310D">
      <w:pPr>
        <w:pStyle w:val="TableDescription"/>
      </w:pPr>
      <w:r>
        <w:t>a: According to reference standard.</w:t>
      </w:r>
    </w:p>
    <w:p w14:paraId="1B672132" w14:textId="6C36BB8C" w:rsidR="007151A2" w:rsidRDefault="007151A2" w:rsidP="00A643F1">
      <w:pPr>
        <w:pStyle w:val="TableTitle"/>
      </w:pPr>
      <w:bookmarkStart w:id="80" w:name="_Ref103600016"/>
      <w:r w:rsidRPr="00A643F1">
        <w:t xml:space="preserve">Table </w:t>
      </w:r>
      <w:fldSimple w:instr=" SEQ Table \* ARABIC ">
        <w:r w:rsidR="00036995">
          <w:rPr>
            <w:noProof/>
          </w:rPr>
          <w:t>22</w:t>
        </w:r>
      </w:fldSimple>
      <w:bookmarkEnd w:id="80"/>
      <w:r>
        <w:t>:</w:t>
      </w:r>
      <w:r w:rsidRPr="007151A2">
        <w:t xml:space="preserve"> </w:t>
      </w:r>
      <w:r w:rsidR="0060135E">
        <w:t xml:space="preserve">Study BCR-RET-01 </w:t>
      </w:r>
      <w:r w:rsidRPr="0008250D">
        <w:t xml:space="preserve">Summary of </w:t>
      </w:r>
      <w:r w:rsidR="00EC74CB">
        <w:t>p</w:t>
      </w:r>
      <w:r w:rsidRPr="0008250D">
        <w:t>atient</w:t>
      </w:r>
      <w:r w:rsidR="00EC74CB">
        <w:t xml:space="preserve"> l</w:t>
      </w:r>
      <w:r w:rsidRPr="0008250D">
        <w:t xml:space="preserve">evel </w:t>
      </w:r>
      <w:r w:rsidR="00EC74CB">
        <w:t>s</w:t>
      </w:r>
      <w:r w:rsidRPr="0008250D">
        <w:t xml:space="preserve">ensitivity, </w:t>
      </w:r>
      <w:r w:rsidR="00EC74CB">
        <w:t>s</w:t>
      </w:r>
      <w:r w:rsidRPr="0008250D">
        <w:t xml:space="preserve">pecificity, </w:t>
      </w:r>
      <w:r w:rsidR="00EC74CB">
        <w:t>p</w:t>
      </w:r>
      <w:r w:rsidRPr="0008250D">
        <w:t xml:space="preserve">ositive </w:t>
      </w:r>
      <w:r w:rsidR="00EC74CB">
        <w:t>p</w:t>
      </w:r>
      <w:r w:rsidRPr="0008250D">
        <w:t xml:space="preserve">redictive </w:t>
      </w:r>
      <w:r w:rsidR="00EC74CB">
        <w:t>v</w:t>
      </w:r>
      <w:r w:rsidRPr="0008250D">
        <w:t>alue,</w:t>
      </w:r>
      <w:r>
        <w:t xml:space="preserve"> </w:t>
      </w:r>
      <w:r w:rsidR="00EC74CB">
        <w:t>n</w:t>
      </w:r>
      <w:r w:rsidRPr="0008250D">
        <w:t xml:space="preserve">egative </w:t>
      </w:r>
      <w:r w:rsidR="00EC74CB">
        <w:t>p</w:t>
      </w:r>
      <w:r w:rsidRPr="0008250D">
        <w:t xml:space="preserve">redictive </w:t>
      </w:r>
      <w:r w:rsidR="00EC74CB">
        <w:t>v</w:t>
      </w:r>
      <w:r w:rsidRPr="0008250D">
        <w:t xml:space="preserve">alue, and </w:t>
      </w:r>
      <w:r w:rsidR="00EC74CB">
        <w:t>a</w:t>
      </w:r>
      <w:r w:rsidRPr="0008250D">
        <w:t xml:space="preserve">ccuracy </w:t>
      </w:r>
      <w:r>
        <w:t>(p</w:t>
      </w:r>
      <w:r w:rsidRPr="0008250D">
        <w:t xml:space="preserve">atient </w:t>
      </w:r>
      <w:r>
        <w:t>histopathology only</w:t>
      </w:r>
      <w:r w:rsidRPr="0008250D">
        <w:t xml:space="preserve"> </w:t>
      </w:r>
      <w:r>
        <w:t>s</w:t>
      </w:r>
      <w:r w:rsidRPr="0008250D">
        <w:t>et</w:t>
      </w:r>
      <w:r>
        <w:t>)</w:t>
      </w:r>
    </w:p>
    <w:p w14:paraId="44475123" w14:textId="5A84590A" w:rsidR="007151A2" w:rsidRDefault="007151A2" w:rsidP="007151A2">
      <w:r>
        <w:rPr>
          <w:noProof/>
          <w:lang w:val="en-GB" w:eastAsia="en-GB"/>
        </w:rPr>
        <w:drawing>
          <wp:inline distT="0" distB="0" distL="0" distR="0" wp14:anchorId="7687B2CF" wp14:editId="2C13FA16">
            <wp:extent cx="5616205" cy="1849271"/>
            <wp:effectExtent l="0" t="0" r="3810" b="0"/>
            <wp:docPr id="35" name="Picture 35" descr="Summary of patient level sensitivity, specificity, positive predictive value, negative predictive value, and accuracy (patient histopathology onl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ummary of patient level sensitivity, specificity, positive predictive value, negative predictive value, and accuracy (patient histopathology only set)"/>
                    <pic:cNvPicPr/>
                  </pic:nvPicPr>
                  <pic:blipFill rotWithShape="1">
                    <a:blip r:embed="rId42">
                      <a:extLst>
                        <a:ext uri="{BEBA8EAE-BF5A-486C-A8C5-ECC9F3942E4B}">
                          <a14:imgProps xmlns:a14="http://schemas.microsoft.com/office/drawing/2010/main">
                            <a14:imgLayer r:embed="rId43">
                              <a14:imgEffect>
                                <a14:saturation sat="0"/>
                              </a14:imgEffect>
                            </a14:imgLayer>
                          </a14:imgProps>
                        </a:ext>
                      </a:extLst>
                    </a:blip>
                    <a:srcRect l="-2" r="2" b="13896"/>
                    <a:stretch/>
                  </pic:blipFill>
                  <pic:spPr bwMode="auto">
                    <a:xfrm>
                      <a:off x="0" y="0"/>
                      <a:ext cx="5673949" cy="1868285"/>
                    </a:xfrm>
                    <a:prstGeom prst="rect">
                      <a:avLst/>
                    </a:prstGeom>
                    <a:ln>
                      <a:noFill/>
                    </a:ln>
                    <a:extLst>
                      <a:ext uri="{53640926-AAD7-44D8-BBD7-CCE9431645EC}">
                        <a14:shadowObscured xmlns:a14="http://schemas.microsoft.com/office/drawing/2010/main"/>
                      </a:ext>
                    </a:extLst>
                  </pic:spPr>
                </pic:pic>
              </a:graphicData>
            </a:graphic>
          </wp:inline>
        </w:drawing>
      </w:r>
    </w:p>
    <w:p w14:paraId="2258BE82" w14:textId="47C8D49E" w:rsidR="0037310D" w:rsidRPr="007151A2" w:rsidRDefault="0060135E" w:rsidP="0037310D">
      <w:pPr>
        <w:pStyle w:val="TableDescription"/>
      </w:pPr>
      <w:r>
        <w:t>Abbreviations: n = number of subjects in a specific group; PSMA = pros</w:t>
      </w:r>
      <w:r w:rsidR="00F06A31">
        <w:t>tate-specific membrane antigen.</w:t>
      </w:r>
      <w:r w:rsidR="00F06A31">
        <w:br/>
      </w:r>
      <w:r>
        <w:t>True condition given as number of subjects/group and percentage in brackets.</w:t>
      </w:r>
      <w:r w:rsidR="00F06A31">
        <w:br/>
      </w:r>
      <w:r w:rsidR="0037310D">
        <w:t>a: According to reference standard.</w:t>
      </w:r>
    </w:p>
    <w:p w14:paraId="213A2378" w14:textId="77777777" w:rsidR="007151A2" w:rsidRDefault="007151A2" w:rsidP="004F7DDA">
      <w:pPr>
        <w:pStyle w:val="Heading5"/>
      </w:pPr>
      <w:r>
        <w:t>Literature review</w:t>
      </w:r>
    </w:p>
    <w:p w14:paraId="4E6F8769" w14:textId="66A79DD2" w:rsidR="007151A2" w:rsidRDefault="007151A2" w:rsidP="007151A2">
      <w:pPr>
        <w:rPr>
          <w:lang w:eastAsia="ja-JP"/>
        </w:rPr>
      </w:pPr>
      <w:r>
        <w:rPr>
          <w:lang w:eastAsia="ja-JP"/>
        </w:rPr>
        <w:t xml:space="preserve">The evidence of clinical efficacy is also based on published literature describing the </w:t>
      </w:r>
      <w:r w:rsidRPr="006B6A81">
        <w:rPr>
          <w:lang w:eastAsia="ja-JP"/>
        </w:rPr>
        <w:t xml:space="preserve">diagnostic efficacy of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Pr>
          <w:lang w:eastAsia="ja-JP"/>
        </w:rPr>
        <w:t>PET/CT</w:t>
      </w:r>
      <w:r w:rsidRPr="006B6A81">
        <w:rPr>
          <w:lang w:eastAsia="ja-JP"/>
        </w:rPr>
        <w:t xml:space="preserve"> in patients with </w:t>
      </w:r>
      <w:r w:rsidR="00EC74CB">
        <w:rPr>
          <w:lang w:eastAsia="ja-JP"/>
        </w:rPr>
        <w:t>prostate cancer</w:t>
      </w:r>
      <w:r>
        <w:rPr>
          <w:i/>
          <w:lang w:eastAsia="ja-JP"/>
        </w:rPr>
        <w:t>.</w:t>
      </w:r>
      <w:r>
        <w:rPr>
          <w:lang w:eastAsia="ja-JP"/>
        </w:rPr>
        <w:t xml:space="preserve"> The </w:t>
      </w:r>
      <w:r w:rsidR="00365000">
        <w:rPr>
          <w:lang w:eastAsia="ja-JP"/>
        </w:rPr>
        <w:t>s</w:t>
      </w:r>
      <w:r>
        <w:rPr>
          <w:lang w:eastAsia="ja-JP"/>
        </w:rPr>
        <w:t xml:space="preserve">ponsor conducted a systematic literature review and presented 56 articles relating to the diagnostic performance of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Pr>
          <w:lang w:eastAsia="ja-JP"/>
        </w:rPr>
        <w:t>PET/CT</w:t>
      </w:r>
      <w:r w:rsidRPr="006B6A81">
        <w:rPr>
          <w:lang w:eastAsia="ja-JP"/>
        </w:rPr>
        <w:t xml:space="preserve"> </w:t>
      </w:r>
      <w:r>
        <w:rPr>
          <w:lang w:eastAsia="ja-JP"/>
        </w:rPr>
        <w:t xml:space="preserve">in primary staging of </w:t>
      </w:r>
      <w:r w:rsidR="00EC74CB">
        <w:rPr>
          <w:lang w:eastAsia="ja-JP"/>
        </w:rPr>
        <w:t>prostate cancer</w:t>
      </w:r>
      <w:r>
        <w:rPr>
          <w:lang w:eastAsia="ja-JP"/>
        </w:rPr>
        <w:t xml:space="preserve"> and 39 in </w:t>
      </w:r>
      <w:r w:rsidR="0060135E">
        <w:t>b</w:t>
      </w:r>
      <w:r w:rsidR="0060135E" w:rsidRPr="007A4178">
        <w:t>iochemically recurrent prostate cancer</w:t>
      </w:r>
      <w:r w:rsidR="0060135E">
        <w:rPr>
          <w:lang w:eastAsia="ja-JP"/>
        </w:rPr>
        <w:t xml:space="preserve"> (</w:t>
      </w:r>
      <w:r>
        <w:rPr>
          <w:lang w:eastAsia="ja-JP"/>
        </w:rPr>
        <w:t>BCR PC</w:t>
      </w:r>
      <w:r w:rsidR="0060135E">
        <w:rPr>
          <w:lang w:eastAsia="ja-JP"/>
        </w:rPr>
        <w:t>)</w:t>
      </w:r>
      <w:r>
        <w:rPr>
          <w:lang w:eastAsia="ja-JP"/>
        </w:rPr>
        <w:t xml:space="preserve">. Most of the published literature relates to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Pr>
          <w:lang w:eastAsia="ja-JP"/>
        </w:rPr>
        <w:t xml:space="preserve">generally, not the </w:t>
      </w:r>
      <w:proofErr w:type="spellStart"/>
      <w:r>
        <w:rPr>
          <w:lang w:eastAsia="ja-JP"/>
        </w:rPr>
        <w:t>Telix</w:t>
      </w:r>
      <w:proofErr w:type="spellEnd"/>
      <w:r>
        <w:rPr>
          <w:lang w:eastAsia="ja-JP"/>
        </w:rPr>
        <w:t xml:space="preserve"> kit specifically. Diagnostic performance was generally reported in terms of traditional metrics: sensitivity, specificity, </w:t>
      </w:r>
      <w:r w:rsidR="0060135E">
        <w:rPr>
          <w:lang w:eastAsia="ja-JP"/>
        </w:rPr>
        <w:t>positive predictive value (</w:t>
      </w:r>
      <w:r>
        <w:rPr>
          <w:lang w:eastAsia="ja-JP"/>
        </w:rPr>
        <w:t>PPV</w:t>
      </w:r>
      <w:r w:rsidR="0060135E">
        <w:rPr>
          <w:lang w:eastAsia="ja-JP"/>
        </w:rPr>
        <w:t>)</w:t>
      </w:r>
      <w:r>
        <w:rPr>
          <w:lang w:eastAsia="ja-JP"/>
        </w:rPr>
        <w:t xml:space="preserve">, and </w:t>
      </w:r>
      <w:r w:rsidRPr="00CB7CD5">
        <w:rPr>
          <w:lang w:eastAsia="ja-JP"/>
        </w:rPr>
        <w:t>negative predictive value</w:t>
      </w:r>
      <w:r>
        <w:rPr>
          <w:lang w:eastAsia="ja-JP"/>
        </w:rPr>
        <w:t xml:space="preserve"> (NPV). None of the published studies reported on the novel end</w:t>
      </w:r>
      <w:r w:rsidR="00EC74CB">
        <w:rPr>
          <w:lang w:eastAsia="ja-JP"/>
        </w:rPr>
        <w:t xml:space="preserve"> </w:t>
      </w:r>
      <w:r>
        <w:rPr>
          <w:lang w:eastAsia="ja-JP"/>
        </w:rPr>
        <w:t xml:space="preserve">points of </w:t>
      </w:r>
      <w:r w:rsidR="0060135E">
        <w:rPr>
          <w:iCs/>
          <w:lang w:eastAsia="ja-JP"/>
        </w:rPr>
        <w:t xml:space="preserve">correct detection rate </w:t>
      </w:r>
      <w:r>
        <w:rPr>
          <w:lang w:eastAsia="ja-JP"/>
        </w:rPr>
        <w:t xml:space="preserve">or </w:t>
      </w:r>
      <w:r w:rsidR="0060135E">
        <w:rPr>
          <w:iCs/>
          <w:lang w:eastAsia="ja-JP"/>
        </w:rPr>
        <w:t>verified localisation rate</w:t>
      </w:r>
      <w:r>
        <w:rPr>
          <w:lang w:eastAsia="ja-JP"/>
        </w:rPr>
        <w:t>.</w:t>
      </w:r>
    </w:p>
    <w:p w14:paraId="27AAB8AA" w14:textId="4971BD23" w:rsidR="007151A2" w:rsidRDefault="0060135E" w:rsidP="004F7DDA">
      <w:pPr>
        <w:pStyle w:val="Heading6"/>
        <w:rPr>
          <w:lang w:eastAsia="ja-JP"/>
        </w:rPr>
      </w:pPr>
      <w:r>
        <w:rPr>
          <w:lang w:eastAsia="ja-JP"/>
        </w:rPr>
        <w:t>P</w:t>
      </w:r>
      <w:r w:rsidR="007151A2">
        <w:rPr>
          <w:lang w:eastAsia="ja-JP"/>
        </w:rPr>
        <w:t>rimary staging of prostate cancer</w:t>
      </w:r>
      <w:r>
        <w:rPr>
          <w:lang w:eastAsia="ja-JP"/>
        </w:rPr>
        <w:t xml:space="preserve"> using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Pr>
          <w:lang w:eastAsia="ja-JP"/>
        </w:rPr>
        <w:t>PET/CT</w:t>
      </w:r>
    </w:p>
    <w:p w14:paraId="5B7B0C5A" w14:textId="0606AF6A" w:rsidR="007151A2" w:rsidRDefault="007151A2" w:rsidP="007151A2">
      <w:pPr>
        <w:rPr>
          <w:lang w:eastAsia="ja-JP"/>
        </w:rPr>
      </w:pPr>
      <w:r>
        <w:rPr>
          <w:lang w:eastAsia="ja-JP"/>
        </w:rPr>
        <w:t>Most of the studies investigated pelvic lymph node spread and used histopathology as the reference standard. 38 of the 56 articles were retrospective studies.</w:t>
      </w:r>
    </w:p>
    <w:p w14:paraId="1A95B42F" w14:textId="475E6F82" w:rsidR="007151A2" w:rsidRPr="00A12AC5" w:rsidRDefault="007151A2" w:rsidP="007151A2">
      <w:r>
        <w:rPr>
          <w:lang w:eastAsia="ja-JP"/>
        </w:rPr>
        <w:lastRenderedPageBreak/>
        <w:t xml:space="preserve">The </w:t>
      </w:r>
      <w:r w:rsidR="00EC74CB">
        <w:rPr>
          <w:lang w:eastAsia="ja-JP"/>
        </w:rPr>
        <w:t>i</w:t>
      </w:r>
      <w:r>
        <w:rPr>
          <w:lang w:eastAsia="ja-JP"/>
        </w:rPr>
        <w:t xml:space="preserve">ntegrated </w:t>
      </w:r>
      <w:r w:rsidR="00EC74CB">
        <w:rPr>
          <w:lang w:eastAsia="ja-JP"/>
        </w:rPr>
        <w:t>s</w:t>
      </w:r>
      <w:r>
        <w:rPr>
          <w:lang w:eastAsia="ja-JP"/>
        </w:rPr>
        <w:t xml:space="preserve">ummary of </w:t>
      </w:r>
      <w:r w:rsidR="00EC74CB">
        <w:rPr>
          <w:lang w:eastAsia="ja-JP"/>
        </w:rPr>
        <w:t>e</w:t>
      </w:r>
      <w:r>
        <w:rPr>
          <w:lang w:eastAsia="ja-JP"/>
        </w:rPr>
        <w:t xml:space="preserve">fficacy presented a summary of the sensitivity and specificity of </w:t>
      </w:r>
      <w:r w:rsidR="00710D1B" w:rsidRPr="00710D1B">
        <w:rPr>
          <w:lang w:eastAsia="ja-JP"/>
        </w:rPr>
        <w:t xml:space="preserve">[68Ga] </w:t>
      </w:r>
      <w:r w:rsidR="00293AB9">
        <w:rPr>
          <w:lang w:eastAsia="ja-JP"/>
        </w:rPr>
        <w:t>gallium</w:t>
      </w:r>
      <w:r w:rsidR="00710D1B" w:rsidRPr="00710D1B">
        <w:rPr>
          <w:lang w:eastAsia="ja-JP"/>
        </w:rPr>
        <w:t xml:space="preserve"> PSMA-11 </w:t>
      </w:r>
      <w:r>
        <w:rPr>
          <w:lang w:eastAsia="ja-JP"/>
        </w:rPr>
        <w:t xml:space="preserve">PET imaging in </w:t>
      </w:r>
      <w:r w:rsidR="00EC74CB">
        <w:rPr>
          <w:lang w:eastAsia="ja-JP"/>
        </w:rPr>
        <w:t>p</w:t>
      </w:r>
      <w:r>
        <w:rPr>
          <w:lang w:eastAsia="ja-JP"/>
        </w:rPr>
        <w:t xml:space="preserve">rimary </w:t>
      </w:r>
      <w:r w:rsidR="00EC74CB">
        <w:rPr>
          <w:lang w:eastAsia="ja-JP"/>
        </w:rPr>
        <w:t>p</w:t>
      </w:r>
      <w:r>
        <w:rPr>
          <w:lang w:eastAsia="ja-JP"/>
        </w:rPr>
        <w:t xml:space="preserve">rostate </w:t>
      </w:r>
      <w:r w:rsidR="00EC74CB">
        <w:rPr>
          <w:lang w:eastAsia="ja-JP"/>
        </w:rPr>
        <w:t>c</w:t>
      </w:r>
      <w:r>
        <w:rPr>
          <w:lang w:eastAsia="ja-JP"/>
        </w:rPr>
        <w:t xml:space="preserve">ancer </w:t>
      </w:r>
      <w:r w:rsidR="00EC74CB">
        <w:rPr>
          <w:lang w:eastAsia="ja-JP"/>
        </w:rPr>
        <w:t>s</w:t>
      </w:r>
      <w:r>
        <w:rPr>
          <w:lang w:eastAsia="ja-JP"/>
        </w:rPr>
        <w:t xml:space="preserve">tudies with biopsy/histology as the </w:t>
      </w:r>
      <w:r w:rsidR="00EC74CB">
        <w:rPr>
          <w:lang w:eastAsia="ja-JP"/>
        </w:rPr>
        <w:t>s</w:t>
      </w:r>
      <w:r>
        <w:rPr>
          <w:lang w:eastAsia="ja-JP"/>
        </w:rPr>
        <w:t xml:space="preserve">tandard of </w:t>
      </w:r>
      <w:r w:rsidR="00EC74CB">
        <w:rPr>
          <w:lang w:eastAsia="ja-JP"/>
        </w:rPr>
        <w:t>t</w:t>
      </w:r>
      <w:r>
        <w:rPr>
          <w:lang w:eastAsia="ja-JP"/>
        </w:rPr>
        <w:t xml:space="preserve">ruth. </w:t>
      </w:r>
      <w:r w:rsidRPr="00CB7CD5">
        <w:rPr>
          <w:lang w:eastAsia="ja-JP"/>
        </w:rPr>
        <w:t>Sensitivity across the studies ranged from 2</w:t>
      </w:r>
      <w:r>
        <w:rPr>
          <w:lang w:eastAsia="ja-JP"/>
        </w:rPr>
        <w:t>4</w:t>
      </w:r>
      <w:r w:rsidR="0060135E">
        <w:rPr>
          <w:lang w:eastAsia="ja-JP"/>
        </w:rPr>
        <w:t>%</w:t>
      </w:r>
      <w:r>
        <w:rPr>
          <w:lang w:eastAsia="ja-JP"/>
        </w:rPr>
        <w:t xml:space="preserve"> to </w:t>
      </w:r>
      <w:r w:rsidRPr="00CB7CD5">
        <w:rPr>
          <w:lang w:eastAsia="ja-JP"/>
        </w:rPr>
        <w:t xml:space="preserve">100% </w:t>
      </w:r>
      <w:r>
        <w:rPr>
          <w:lang w:eastAsia="ja-JP"/>
        </w:rPr>
        <w:t xml:space="preserve">and specificity ranged from 45% to </w:t>
      </w:r>
      <w:r w:rsidRPr="00CB7CD5">
        <w:rPr>
          <w:lang w:eastAsia="ja-JP"/>
        </w:rPr>
        <w:t>100%. PPV and NPV ranged from 60</w:t>
      </w:r>
      <w:r w:rsidR="0060135E">
        <w:rPr>
          <w:lang w:eastAsia="ja-JP"/>
        </w:rPr>
        <w:t>%</w:t>
      </w:r>
      <w:r w:rsidR="00EC74CB">
        <w:rPr>
          <w:lang w:eastAsia="ja-JP"/>
        </w:rPr>
        <w:t xml:space="preserve"> to </w:t>
      </w:r>
      <w:r w:rsidRPr="00CB7CD5">
        <w:rPr>
          <w:lang w:eastAsia="ja-JP"/>
        </w:rPr>
        <w:t>100% and 25</w:t>
      </w:r>
      <w:r w:rsidR="0060135E">
        <w:rPr>
          <w:lang w:eastAsia="ja-JP"/>
        </w:rPr>
        <w:t>%</w:t>
      </w:r>
      <w:r w:rsidR="00EC74CB">
        <w:rPr>
          <w:lang w:eastAsia="ja-JP"/>
        </w:rPr>
        <w:t xml:space="preserve"> to </w:t>
      </w:r>
      <w:r w:rsidRPr="00CB7CD5">
        <w:rPr>
          <w:lang w:eastAsia="ja-JP"/>
        </w:rPr>
        <w:t>100%, respectively.</w:t>
      </w:r>
      <w:r>
        <w:rPr>
          <w:lang w:eastAsia="ja-JP"/>
        </w:rPr>
        <w:t xml:space="preserve"> </w:t>
      </w:r>
      <w:r w:rsidRPr="00A937FF">
        <w:t>Accuracy ranged from 60</w:t>
      </w:r>
      <w:r w:rsidR="0060135E">
        <w:t>%</w:t>
      </w:r>
      <w:r w:rsidR="00EC74CB">
        <w:t xml:space="preserve"> to </w:t>
      </w:r>
      <w:r w:rsidRPr="00A937FF">
        <w:t>100% and AUC ranged from 0.7 to 0.95.</w:t>
      </w:r>
      <w:r>
        <w:t xml:space="preserve"> </w:t>
      </w:r>
      <w:r>
        <w:rPr>
          <w:rFonts w:asciiTheme="minorHAnsi" w:hAnsiTheme="minorHAnsi" w:cs="Calibri"/>
          <w:lang w:eastAsia="ja-JP"/>
        </w:rPr>
        <w:t xml:space="preserve">Changes in patient management due to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Pr>
          <w:rFonts w:asciiTheme="minorHAnsi" w:hAnsiTheme="minorHAnsi" w:cs="Calibri"/>
          <w:lang w:eastAsia="ja-JP"/>
        </w:rPr>
        <w:t xml:space="preserve">PET/CT findings were reported in </w:t>
      </w:r>
      <w:r w:rsidRPr="00A12AC5">
        <w:rPr>
          <w:rFonts w:asciiTheme="minorHAnsi" w:hAnsiTheme="minorHAnsi" w:cs="Calibri"/>
          <w:lang w:eastAsia="ja-JP"/>
        </w:rPr>
        <w:t>19</w:t>
      </w:r>
      <w:r w:rsidR="00EC74CB" w:rsidRPr="00A12AC5">
        <w:rPr>
          <w:rFonts w:asciiTheme="minorHAnsi" w:hAnsiTheme="minorHAnsi" w:cs="Calibri"/>
          <w:lang w:eastAsia="ja-JP"/>
        </w:rPr>
        <w:t xml:space="preserve"> to </w:t>
      </w:r>
      <w:r w:rsidRPr="00A12AC5">
        <w:rPr>
          <w:rFonts w:asciiTheme="minorHAnsi" w:hAnsiTheme="minorHAnsi" w:cs="Calibri"/>
          <w:lang w:eastAsia="ja-JP"/>
        </w:rPr>
        <w:t xml:space="preserve">52% of patients across </w:t>
      </w:r>
      <w:r w:rsidR="00EC74CB" w:rsidRPr="00A12AC5">
        <w:rPr>
          <w:rFonts w:asciiTheme="minorHAnsi" w:hAnsiTheme="minorHAnsi" w:cs="Calibri"/>
          <w:lang w:eastAsia="ja-JP"/>
        </w:rPr>
        <w:t>seven</w:t>
      </w:r>
      <w:r w:rsidRPr="00A12AC5">
        <w:rPr>
          <w:rFonts w:asciiTheme="minorHAnsi" w:hAnsiTheme="minorHAnsi" w:cs="Calibri"/>
          <w:lang w:eastAsia="ja-JP"/>
        </w:rPr>
        <w:t xml:space="preserve"> studies.</w:t>
      </w:r>
    </w:p>
    <w:p w14:paraId="7C2E4098" w14:textId="4E95E907" w:rsidR="007151A2" w:rsidRDefault="007151A2" w:rsidP="007151A2">
      <w:pPr>
        <w:rPr>
          <w:shd w:val="clear" w:color="auto" w:fill="FFFFFF"/>
        </w:rPr>
      </w:pPr>
      <w:proofErr w:type="spellStart"/>
      <w:r w:rsidRPr="00A12AC5">
        <w:rPr>
          <w:rFonts w:asciiTheme="minorHAnsi" w:hAnsiTheme="minorHAnsi" w:cs="Calibri"/>
          <w:bCs/>
          <w:lang w:eastAsia="ja-JP"/>
        </w:rPr>
        <w:t>Hofman</w:t>
      </w:r>
      <w:proofErr w:type="spellEnd"/>
      <w:r w:rsidRPr="00A12AC5">
        <w:rPr>
          <w:rFonts w:asciiTheme="minorHAnsi" w:hAnsiTheme="minorHAnsi" w:cs="Calibri"/>
          <w:bCs/>
          <w:lang w:eastAsia="ja-JP"/>
        </w:rPr>
        <w:t xml:space="preserve"> et al</w:t>
      </w:r>
      <w:r w:rsidR="00710D1B">
        <w:rPr>
          <w:rFonts w:asciiTheme="minorHAnsi" w:hAnsiTheme="minorHAnsi" w:cs="Calibri"/>
          <w:bCs/>
          <w:lang w:eastAsia="ja-JP"/>
        </w:rPr>
        <w:t>.</w:t>
      </w:r>
      <w:r w:rsidRPr="00A12AC5">
        <w:rPr>
          <w:rFonts w:asciiTheme="minorHAnsi" w:hAnsiTheme="minorHAnsi" w:cs="Calibri"/>
          <w:bCs/>
          <w:lang w:eastAsia="ja-JP"/>
        </w:rPr>
        <w:t xml:space="preserve"> </w:t>
      </w:r>
      <w:r w:rsidR="00DE10A8">
        <w:rPr>
          <w:rFonts w:asciiTheme="minorHAnsi" w:hAnsiTheme="minorHAnsi" w:cs="Calibri"/>
          <w:bCs/>
          <w:lang w:eastAsia="ja-JP"/>
        </w:rPr>
        <w:t>(</w:t>
      </w:r>
      <w:r w:rsidRPr="00A12AC5">
        <w:rPr>
          <w:rFonts w:asciiTheme="minorHAnsi" w:hAnsiTheme="minorHAnsi" w:cs="Calibri"/>
          <w:bCs/>
          <w:lang w:eastAsia="ja-JP"/>
        </w:rPr>
        <w:t>2020</w:t>
      </w:r>
      <w:r w:rsidR="00DE10A8">
        <w:rPr>
          <w:rFonts w:asciiTheme="minorHAnsi" w:hAnsiTheme="minorHAnsi" w:cs="Calibri"/>
          <w:bCs/>
          <w:lang w:eastAsia="ja-JP"/>
        </w:rPr>
        <w:t>)</w:t>
      </w:r>
      <w:r w:rsidR="00A12AC5">
        <w:rPr>
          <w:rFonts w:asciiTheme="minorHAnsi" w:hAnsiTheme="minorHAnsi" w:cs="Calibri"/>
          <w:bCs/>
          <w:lang w:eastAsia="ja-JP"/>
        </w:rPr>
        <w:t>;</w:t>
      </w:r>
      <w:r w:rsidR="002A195F">
        <w:rPr>
          <w:rFonts w:asciiTheme="minorHAnsi" w:hAnsiTheme="minorHAnsi" w:cs="Calibri"/>
          <w:lang w:eastAsia="ja-JP"/>
        </w:rPr>
        <w:fldChar w:fldCharType="begin"/>
      </w:r>
      <w:r w:rsidR="002A195F">
        <w:rPr>
          <w:rFonts w:asciiTheme="minorHAnsi" w:hAnsiTheme="minorHAnsi" w:cs="Calibri"/>
          <w:bCs/>
          <w:lang w:eastAsia="ja-JP"/>
        </w:rPr>
        <w:instrText xml:space="preserve"> NOTEREF _Ref104543225 \f \h </w:instrText>
      </w:r>
      <w:r w:rsidR="002A195F">
        <w:rPr>
          <w:rFonts w:asciiTheme="minorHAnsi" w:hAnsiTheme="minorHAnsi" w:cs="Calibri"/>
          <w:lang w:eastAsia="ja-JP"/>
        </w:rPr>
      </w:r>
      <w:r w:rsidR="002A195F">
        <w:rPr>
          <w:rFonts w:asciiTheme="minorHAnsi" w:hAnsiTheme="minorHAnsi" w:cs="Calibri"/>
          <w:lang w:eastAsia="ja-JP"/>
        </w:rPr>
        <w:fldChar w:fldCharType="separate"/>
      </w:r>
      <w:r w:rsidR="00036995" w:rsidRPr="00036995">
        <w:rPr>
          <w:rStyle w:val="FootnoteReference"/>
        </w:rPr>
        <w:t>14</w:t>
      </w:r>
      <w:r w:rsidR="002A195F">
        <w:rPr>
          <w:rFonts w:asciiTheme="minorHAnsi" w:hAnsiTheme="minorHAnsi" w:cs="Calibri"/>
          <w:lang w:eastAsia="ja-JP"/>
        </w:rPr>
        <w:fldChar w:fldCharType="end"/>
      </w:r>
      <w:r w:rsidRPr="00A12AC5">
        <w:rPr>
          <w:rFonts w:asciiTheme="minorHAnsi" w:hAnsiTheme="minorHAnsi" w:cs="Calibri"/>
          <w:lang w:eastAsia="ja-JP"/>
        </w:rPr>
        <w:t xml:space="preserve"> was an Australian, </w:t>
      </w:r>
      <w:r w:rsidRPr="00A12AC5">
        <w:t>multicentre, two</w:t>
      </w:r>
      <w:r w:rsidR="005819B8" w:rsidRPr="00A12AC5">
        <w:t xml:space="preserve"> </w:t>
      </w:r>
      <w:r w:rsidRPr="00A12AC5">
        <w:t>arm</w:t>
      </w:r>
      <w:r w:rsidR="005819B8" w:rsidRPr="00A12AC5">
        <w:t>s</w:t>
      </w:r>
      <w:r w:rsidRPr="00A12AC5">
        <w:t xml:space="preserve">, randomised controlled trial of patients with newly diagnosed biopsy proven </w:t>
      </w:r>
      <w:r w:rsidRPr="00A12AC5">
        <w:rPr>
          <w:shd w:val="clear" w:color="auto" w:fill="FFFFFF"/>
        </w:rPr>
        <w:t>prostate cancer with high-risk features (PSA ≥ 20 ng/mL,</w:t>
      </w:r>
      <w:r w:rsidR="005819B8" w:rsidRPr="00A12AC5">
        <w:rPr>
          <w:shd w:val="clear" w:color="auto" w:fill="FFFFFF"/>
        </w:rPr>
        <w:t xml:space="preserve"> </w:t>
      </w:r>
      <w:r w:rsidR="0060135E" w:rsidRPr="00A12AC5">
        <w:rPr>
          <w:shd w:val="clear" w:color="auto" w:fill="FFFFFF"/>
        </w:rPr>
        <w:t>International</w:t>
      </w:r>
      <w:r w:rsidR="005819B8" w:rsidRPr="00A12AC5">
        <w:rPr>
          <w:shd w:val="clear" w:color="auto" w:fill="FFFFFF"/>
        </w:rPr>
        <w:t xml:space="preserve"> Society of Urological Pathology</w:t>
      </w:r>
      <w:r w:rsidRPr="00A12AC5">
        <w:rPr>
          <w:shd w:val="clear" w:color="auto" w:fill="FFFFFF"/>
        </w:rPr>
        <w:t xml:space="preserve"> </w:t>
      </w:r>
      <w:r w:rsidR="005819B8" w:rsidRPr="00A12AC5">
        <w:rPr>
          <w:shd w:val="clear" w:color="auto" w:fill="FFFFFF"/>
        </w:rPr>
        <w:t>G</w:t>
      </w:r>
      <w:r w:rsidRPr="00A12AC5">
        <w:rPr>
          <w:shd w:val="clear" w:color="auto" w:fill="FFFFFF"/>
        </w:rPr>
        <w:t xml:space="preserve">rade </w:t>
      </w:r>
      <w:r w:rsidR="0060135E">
        <w:rPr>
          <w:shd w:val="clear" w:color="auto" w:fill="FFFFFF"/>
        </w:rPr>
        <w:t>G</w:t>
      </w:r>
      <w:r w:rsidRPr="00A12AC5">
        <w:rPr>
          <w:shd w:val="clear" w:color="auto" w:fill="FFFFFF"/>
        </w:rPr>
        <w:t>roup</w:t>
      </w:r>
      <w:r w:rsidR="0060135E">
        <w:rPr>
          <w:shd w:val="clear" w:color="auto" w:fill="FFFFFF"/>
        </w:rPr>
        <w:t>s</w:t>
      </w:r>
      <w:r w:rsidRPr="00A12AC5">
        <w:rPr>
          <w:shd w:val="clear" w:color="auto" w:fill="FFFFFF"/>
        </w:rPr>
        <w:t xml:space="preserve"> 3</w:t>
      </w:r>
      <w:r w:rsidR="005819B8" w:rsidRPr="00A12AC5">
        <w:rPr>
          <w:shd w:val="clear" w:color="auto" w:fill="FFFFFF"/>
        </w:rPr>
        <w:t xml:space="preserve"> to </w:t>
      </w:r>
      <w:r w:rsidRPr="00A12AC5">
        <w:rPr>
          <w:shd w:val="clear" w:color="auto" w:fill="FFFFFF"/>
        </w:rPr>
        <w:t>5</w:t>
      </w:r>
      <w:r w:rsidR="0062392E">
        <w:rPr>
          <w:shd w:val="clear" w:color="auto" w:fill="FFFFFF"/>
        </w:rPr>
        <w:t>;</w:t>
      </w:r>
      <w:r w:rsidR="0062392E">
        <w:rPr>
          <w:rStyle w:val="FootnoteReference"/>
          <w:shd w:val="clear" w:color="auto" w:fill="FFFFFF"/>
        </w:rPr>
        <w:footnoteReference w:id="45"/>
      </w:r>
      <w:r w:rsidRPr="00A12AC5">
        <w:rPr>
          <w:shd w:val="clear" w:color="auto" w:fill="FFFFFF"/>
        </w:rPr>
        <w:t xml:space="preserve"> or clinical stage T3 or worse)</w:t>
      </w:r>
      <w:r w:rsidR="0060135E">
        <w:rPr>
          <w:shd w:val="clear" w:color="auto" w:fill="FFFFFF"/>
        </w:rPr>
        <w:t>;</w:t>
      </w:r>
      <w:r w:rsidR="0060135E">
        <w:rPr>
          <w:rStyle w:val="FootnoteReference"/>
          <w:shd w:val="clear" w:color="auto" w:fill="FFFFFF"/>
        </w:rPr>
        <w:footnoteReference w:id="46"/>
      </w:r>
      <w:r w:rsidRPr="00A12AC5">
        <w:rPr>
          <w:shd w:val="clear" w:color="auto" w:fill="FFFFFF"/>
        </w:rPr>
        <w:t xml:space="preserve"> and who were being considered for radical prostatectomy or radiotherapy with curative intent.</w:t>
      </w:r>
    </w:p>
    <w:p w14:paraId="1570F90A" w14:textId="360F3B4B" w:rsidR="007151A2" w:rsidRDefault="007151A2" w:rsidP="007151A2">
      <w:r>
        <w:rPr>
          <w:shd w:val="clear" w:color="auto" w:fill="FFFFFF"/>
        </w:rPr>
        <w:t xml:space="preserve">Patients were randomised to conventional imaging (defined as CT and bone scan) or to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Pr>
          <w:shd w:val="clear" w:color="auto" w:fill="FFFFFF"/>
        </w:rPr>
        <w:t>PET/CT as first</w:t>
      </w:r>
      <w:r w:rsidR="00A12AC5">
        <w:rPr>
          <w:shd w:val="clear" w:color="auto" w:fill="FFFFFF"/>
        </w:rPr>
        <w:t xml:space="preserve"> </w:t>
      </w:r>
      <w:r>
        <w:rPr>
          <w:shd w:val="clear" w:color="auto" w:fill="FFFFFF"/>
        </w:rPr>
        <w:t>line imaging. Patients underwent crossover imaging within 14 days of the first imaging unless there were ≥</w:t>
      </w:r>
      <w:r w:rsidR="00A12AC5">
        <w:rPr>
          <w:shd w:val="clear" w:color="auto" w:fill="FFFFFF"/>
        </w:rPr>
        <w:t> </w:t>
      </w:r>
      <w:r>
        <w:rPr>
          <w:shd w:val="clear" w:color="auto" w:fill="FFFFFF"/>
        </w:rPr>
        <w:t xml:space="preserve">3 unequivocal distant metastases detected on first-line imaging. Ongoing care was according to usual clinical practice, but any change in patient management due to imaging results was recorded prospectively. </w:t>
      </w:r>
      <w:r>
        <w:t xml:space="preserve">For patients with distant metastases, when feasible, biopsy confirmation of disease was strongly encouraged in the clinical protocol. Patients who had surgery underwent pelvic lymph node dissection at the discretion of the treating urologist. At </w:t>
      </w:r>
      <w:r w:rsidR="00A12AC5">
        <w:t>six</w:t>
      </w:r>
      <w:r>
        <w:t xml:space="preserve"> months, participants underwent repeat imaging as per randomised group with cross</w:t>
      </w:r>
      <w:r w:rsidR="00A12AC5">
        <w:t xml:space="preserve"> </w:t>
      </w:r>
      <w:r>
        <w:t>over if imaging evidence of N1 or M1 disease</w:t>
      </w:r>
      <w:r w:rsidR="00692977">
        <w:t>;</w:t>
      </w:r>
      <w:r w:rsidR="00692977" w:rsidRPr="004F7DDA">
        <w:rPr>
          <w:vertAlign w:val="superscript"/>
        </w:rPr>
        <w:fldChar w:fldCharType="begin"/>
      </w:r>
      <w:r w:rsidR="00692977" w:rsidRPr="004F7DDA">
        <w:rPr>
          <w:vertAlign w:val="superscript"/>
        </w:rPr>
        <w:instrText xml:space="preserve"> NOTEREF _Ref106201660 \h </w:instrText>
      </w:r>
      <w:r w:rsidR="00692977">
        <w:rPr>
          <w:vertAlign w:val="superscript"/>
        </w:rPr>
        <w:instrText xml:space="preserve"> \* MERGEFORMAT </w:instrText>
      </w:r>
      <w:r w:rsidR="00692977" w:rsidRPr="004F7DDA">
        <w:rPr>
          <w:vertAlign w:val="superscript"/>
        </w:rPr>
      </w:r>
      <w:r w:rsidR="00692977" w:rsidRPr="004F7DDA">
        <w:rPr>
          <w:vertAlign w:val="superscript"/>
        </w:rPr>
        <w:fldChar w:fldCharType="separate"/>
      </w:r>
      <w:r w:rsidR="00036995">
        <w:rPr>
          <w:vertAlign w:val="superscript"/>
        </w:rPr>
        <w:t>13</w:t>
      </w:r>
      <w:r w:rsidR="00692977" w:rsidRPr="004F7DDA">
        <w:rPr>
          <w:vertAlign w:val="superscript"/>
        </w:rPr>
        <w:fldChar w:fldCharType="end"/>
      </w:r>
      <w:r>
        <w:t xml:space="preserve"> at </w:t>
      </w:r>
      <w:r w:rsidR="00A12AC5">
        <w:t>B</w:t>
      </w:r>
      <w:r>
        <w:t>aseline was found, or if there was biochemical or clinical suspicion of residual or recurrent disease.</w:t>
      </w:r>
    </w:p>
    <w:p w14:paraId="2A0EA4D0" w14:textId="55A0F90B" w:rsidR="007151A2" w:rsidRPr="004F7DDA" w:rsidRDefault="007151A2">
      <w:r>
        <w:rPr>
          <w:shd w:val="clear" w:color="auto" w:fill="FFFFFF"/>
        </w:rPr>
        <w:t xml:space="preserve">The primary outcome was the accuracy (as assessed by the </w:t>
      </w:r>
      <w:r w:rsidR="00710D1B">
        <w:rPr>
          <w:shd w:val="clear" w:color="auto" w:fill="FFFFFF"/>
        </w:rPr>
        <w:t>area under the curve (</w:t>
      </w:r>
      <w:r>
        <w:rPr>
          <w:shd w:val="clear" w:color="auto" w:fill="FFFFFF"/>
        </w:rPr>
        <w:t>AUC</w:t>
      </w:r>
      <w:r w:rsidR="00710D1B">
        <w:rPr>
          <w:shd w:val="clear" w:color="auto" w:fill="FFFFFF"/>
        </w:rPr>
        <w:t>)</w:t>
      </w:r>
      <w:r>
        <w:rPr>
          <w:shd w:val="clear" w:color="auto" w:fill="FFFFFF"/>
        </w:rPr>
        <w:t xml:space="preserve"> of the receiver operating </w:t>
      </w:r>
      <w:r w:rsidRPr="004F7DDA">
        <w:t>characteristic curve) of first</w:t>
      </w:r>
      <w:r w:rsidR="00A12AC5" w:rsidRPr="004F7DDA">
        <w:t xml:space="preserve"> </w:t>
      </w:r>
      <w:r w:rsidRPr="004F7DDA">
        <w:t xml:space="preserve">line imaging for identifying either pelvic nodal or distant metastatic disease. The reference standard was applied at </w:t>
      </w:r>
      <w:r w:rsidR="00DA02C1">
        <w:t xml:space="preserve">a </w:t>
      </w:r>
      <w:r w:rsidR="00A12AC5" w:rsidRPr="004F7DDA">
        <w:t xml:space="preserve">six </w:t>
      </w:r>
      <w:r w:rsidRPr="004F7DDA">
        <w:t>month follow</w:t>
      </w:r>
      <w:r w:rsidR="00A12AC5" w:rsidRPr="004F7DDA">
        <w:t xml:space="preserve"> </w:t>
      </w:r>
      <w:r w:rsidRPr="004F7DDA">
        <w:t>up using a predefined composite measure involving histopathology, imaging, clinical and biochemical findings.</w:t>
      </w:r>
    </w:p>
    <w:p w14:paraId="0ED5918A" w14:textId="48C06FF4" w:rsidR="007151A2" w:rsidRPr="004F7DDA" w:rsidRDefault="00710D1B" w:rsidP="004F7DDA">
      <w:r>
        <w:t xml:space="preserve">A total of </w:t>
      </w:r>
      <w:r w:rsidR="007151A2" w:rsidRPr="004F7DDA">
        <w:t xml:space="preserve">302 </w:t>
      </w:r>
      <w:r>
        <w:t>subjects</w:t>
      </w:r>
      <w:r w:rsidRPr="004F7DDA">
        <w:t xml:space="preserve"> </w:t>
      </w:r>
      <w:r w:rsidR="007151A2" w:rsidRPr="004F7DDA">
        <w:t>were randomised: 152 to first</w:t>
      </w:r>
      <w:r w:rsidR="00692977">
        <w:t>-</w:t>
      </w:r>
      <w:r w:rsidR="007151A2" w:rsidRPr="004F7DDA">
        <w:t xml:space="preserve">line CT and bone scan, and 150 to </w:t>
      </w:r>
      <w:proofErr w:type="gramStart"/>
      <w:r w:rsidR="007151A2" w:rsidRPr="004F7DDA">
        <w:t>first</w:t>
      </w:r>
      <w:r w:rsidR="00692977">
        <w:t>-</w:t>
      </w:r>
      <w:r w:rsidR="007151A2" w:rsidRPr="004F7DDA">
        <w:t>line</w:t>
      </w:r>
      <w:proofErr w:type="gramEnd"/>
      <w:r w:rsidR="007151A2" w:rsidRPr="004F7DDA">
        <w:t xml:space="preserve"> </w:t>
      </w: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7151A2" w:rsidRPr="004F7DDA">
        <w:t>PET/CT. Of these, 150</w:t>
      </w:r>
      <w:r w:rsidR="00A12AC5" w:rsidRPr="004F7DDA">
        <w:t xml:space="preserve"> out of </w:t>
      </w:r>
      <w:r w:rsidR="007151A2" w:rsidRPr="004F7DDA">
        <w:t xml:space="preserve">152 </w:t>
      </w:r>
      <w:r>
        <w:t xml:space="preserve">subjects </w:t>
      </w:r>
      <w:r w:rsidR="007151A2" w:rsidRPr="004F7DDA">
        <w:t>and 145</w:t>
      </w:r>
      <w:r w:rsidR="00A12AC5" w:rsidRPr="004F7DDA">
        <w:t xml:space="preserve"> out of </w:t>
      </w:r>
      <w:r w:rsidR="007151A2" w:rsidRPr="004F7DDA">
        <w:t xml:space="preserve">150 </w:t>
      </w:r>
      <w:r>
        <w:t xml:space="preserve">subjects </w:t>
      </w:r>
      <w:r w:rsidR="007151A2" w:rsidRPr="004F7DDA">
        <w:t xml:space="preserve">attended the </w:t>
      </w:r>
      <w:r w:rsidR="00A12AC5" w:rsidRPr="004F7DDA">
        <w:t>six</w:t>
      </w:r>
      <w:r w:rsidR="007151A2" w:rsidRPr="004F7DDA">
        <w:t xml:space="preserve"> </w:t>
      </w:r>
      <w:proofErr w:type="gramStart"/>
      <w:r w:rsidR="007151A2" w:rsidRPr="004F7DDA">
        <w:t>month</w:t>
      </w:r>
      <w:proofErr w:type="gramEnd"/>
      <w:r w:rsidR="007151A2" w:rsidRPr="004F7DDA">
        <w:t xml:space="preserve"> follow</w:t>
      </w:r>
      <w:r w:rsidR="00A12AC5" w:rsidRPr="004F7DDA">
        <w:t xml:space="preserve"> </w:t>
      </w:r>
      <w:r w:rsidR="007151A2" w:rsidRPr="004F7DDA">
        <w:t xml:space="preserve">up and were included in the primary analysis. The reference standard was assessable in 295 (98%) with 87 (30%) </w:t>
      </w:r>
      <w:r>
        <w:t xml:space="preserve">subjects </w:t>
      </w:r>
      <w:r w:rsidR="007151A2" w:rsidRPr="004F7DDA">
        <w:t>positive for nodal or distant metastases.</w:t>
      </w:r>
    </w:p>
    <w:p w14:paraId="323D03AC" w14:textId="1673680E" w:rsidR="007151A2" w:rsidRDefault="00710D1B" w:rsidP="004F7DDA">
      <w:pPr>
        <w:rPr>
          <w:rStyle w:val="style1"/>
          <w:rFonts w:cstheme="minorHAnsi"/>
          <w:iCs/>
        </w:rPr>
      </w:pP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7151A2" w:rsidRPr="004F7DDA">
        <w:t>had</w:t>
      </w:r>
      <w:r w:rsidR="007151A2">
        <w:rPr>
          <w:rStyle w:val="style1"/>
          <w:rFonts w:cstheme="minorHAnsi"/>
          <w:iCs/>
        </w:rPr>
        <w:t xml:space="preserve"> greater accuracy than conventional imaging (92% </w:t>
      </w:r>
      <w:r w:rsidR="00A12AC5">
        <w:rPr>
          <w:rStyle w:val="style1"/>
          <w:rFonts w:cstheme="minorHAnsi"/>
          <w:iCs/>
        </w:rPr>
        <w:t>(</w:t>
      </w:r>
      <w:r w:rsidR="007151A2">
        <w:rPr>
          <w:rStyle w:val="style1"/>
          <w:rFonts w:cstheme="minorHAnsi"/>
          <w:iCs/>
        </w:rPr>
        <w:t>95%</w:t>
      </w:r>
      <w:r>
        <w:rPr>
          <w:rStyle w:val="style1"/>
          <w:rFonts w:cstheme="minorHAnsi"/>
          <w:iCs/>
        </w:rPr>
        <w:t> </w:t>
      </w:r>
      <w:r w:rsidR="007151A2">
        <w:rPr>
          <w:rStyle w:val="style1"/>
          <w:rFonts w:cstheme="minorHAnsi"/>
          <w:iCs/>
        </w:rPr>
        <w:t>CI</w:t>
      </w:r>
      <w:r w:rsidR="00A12AC5">
        <w:rPr>
          <w:rStyle w:val="style1"/>
          <w:rFonts w:cstheme="minorHAnsi"/>
          <w:iCs/>
        </w:rPr>
        <w:t>:</w:t>
      </w:r>
      <w:r>
        <w:rPr>
          <w:rStyle w:val="style1"/>
          <w:rFonts w:cstheme="minorHAnsi"/>
          <w:iCs/>
        </w:rPr>
        <w:t> </w:t>
      </w:r>
      <w:r w:rsidR="007151A2">
        <w:rPr>
          <w:rStyle w:val="style1"/>
          <w:rFonts w:cstheme="minorHAnsi"/>
          <w:iCs/>
        </w:rPr>
        <w:t>88, 95</w:t>
      </w:r>
      <w:r w:rsidR="00A12AC5">
        <w:rPr>
          <w:rStyle w:val="style1"/>
          <w:rFonts w:cstheme="minorHAnsi"/>
          <w:iCs/>
        </w:rPr>
        <w:t>)</w:t>
      </w:r>
      <w:r w:rsidR="007151A2">
        <w:rPr>
          <w:rStyle w:val="style1"/>
          <w:rFonts w:cstheme="minorHAnsi"/>
          <w:iCs/>
        </w:rPr>
        <w:t xml:space="preserve"> v</w:t>
      </w:r>
      <w:r w:rsidR="00A12AC5">
        <w:rPr>
          <w:rStyle w:val="style1"/>
          <w:rFonts w:cstheme="minorHAnsi"/>
          <w:iCs/>
        </w:rPr>
        <w:t>ersus</w:t>
      </w:r>
      <w:r w:rsidR="007151A2">
        <w:rPr>
          <w:rStyle w:val="style1"/>
          <w:rFonts w:cstheme="minorHAnsi"/>
          <w:iCs/>
        </w:rPr>
        <w:t xml:space="preserve"> 65% </w:t>
      </w:r>
      <w:r w:rsidR="00A12AC5">
        <w:rPr>
          <w:rStyle w:val="style1"/>
          <w:rFonts w:cstheme="minorHAnsi"/>
          <w:iCs/>
        </w:rPr>
        <w:t>(</w:t>
      </w:r>
      <w:r w:rsidR="007151A2">
        <w:rPr>
          <w:rStyle w:val="style1"/>
          <w:rFonts w:cstheme="minorHAnsi"/>
          <w:iCs/>
        </w:rPr>
        <w:t>95% CI</w:t>
      </w:r>
      <w:r w:rsidR="00A12AC5">
        <w:rPr>
          <w:rStyle w:val="style1"/>
          <w:rFonts w:cstheme="minorHAnsi"/>
          <w:iCs/>
        </w:rPr>
        <w:t xml:space="preserve">: </w:t>
      </w:r>
      <w:r w:rsidR="007151A2">
        <w:rPr>
          <w:rStyle w:val="style1"/>
          <w:rFonts w:cstheme="minorHAnsi"/>
          <w:iCs/>
        </w:rPr>
        <w:t>60, 69</w:t>
      </w:r>
      <w:r w:rsidR="00A12AC5">
        <w:rPr>
          <w:rStyle w:val="style1"/>
          <w:rFonts w:cstheme="minorHAnsi"/>
          <w:iCs/>
        </w:rPr>
        <w:t>)</w:t>
      </w:r>
      <w:r w:rsidR="007151A2">
        <w:rPr>
          <w:rStyle w:val="style1"/>
          <w:rFonts w:cstheme="minorHAnsi"/>
          <w:iCs/>
        </w:rPr>
        <w:t>; p</w:t>
      </w:r>
      <w:r>
        <w:rPr>
          <w:rStyle w:val="style1"/>
          <w:rFonts w:cstheme="minorHAnsi"/>
          <w:iCs/>
        </w:rPr>
        <w:t xml:space="preserve"> </w:t>
      </w:r>
      <w:r w:rsidR="007151A2">
        <w:rPr>
          <w:rStyle w:val="style1"/>
          <w:rFonts w:cstheme="minorHAnsi"/>
          <w:iCs/>
        </w:rPr>
        <w:t>&lt;</w:t>
      </w:r>
      <w:r w:rsidR="00A12AC5">
        <w:rPr>
          <w:rStyle w:val="style1"/>
          <w:rFonts w:cstheme="minorHAnsi"/>
          <w:iCs/>
        </w:rPr>
        <w:t> </w:t>
      </w:r>
      <w:r w:rsidR="007151A2">
        <w:rPr>
          <w:rStyle w:val="style1"/>
          <w:rFonts w:cstheme="minorHAnsi"/>
          <w:iCs/>
        </w:rPr>
        <w:t>0.0001)</w:t>
      </w:r>
      <w:r w:rsidR="007151A2" w:rsidRPr="00070860">
        <w:rPr>
          <w:rStyle w:val="style1"/>
          <w:rFonts w:cstheme="minorHAnsi"/>
          <w:iCs/>
        </w:rPr>
        <w:t xml:space="preserve"> </w:t>
      </w:r>
      <w:r w:rsidR="007151A2">
        <w:rPr>
          <w:rStyle w:val="style1"/>
          <w:rFonts w:cstheme="minorHAnsi"/>
          <w:iCs/>
        </w:rPr>
        <w:t>in detecting pelvic nodal or distant metastatic disease in first</w:t>
      </w:r>
      <w:r w:rsidR="00A12AC5">
        <w:rPr>
          <w:rStyle w:val="style1"/>
          <w:rFonts w:cstheme="minorHAnsi"/>
          <w:iCs/>
        </w:rPr>
        <w:t xml:space="preserve"> </w:t>
      </w:r>
      <w:r w:rsidR="007151A2">
        <w:rPr>
          <w:rStyle w:val="style1"/>
          <w:rFonts w:cstheme="minorHAnsi"/>
          <w:iCs/>
        </w:rPr>
        <w:t xml:space="preserve">line staging of </w:t>
      </w:r>
      <w:proofErr w:type="gramStart"/>
      <w:r w:rsidR="007151A2">
        <w:rPr>
          <w:rStyle w:val="style1"/>
          <w:rFonts w:cstheme="minorHAnsi"/>
          <w:iCs/>
        </w:rPr>
        <w:t>high</w:t>
      </w:r>
      <w:r w:rsidR="00A12AC5">
        <w:rPr>
          <w:rStyle w:val="style1"/>
          <w:rFonts w:cstheme="minorHAnsi"/>
          <w:iCs/>
        </w:rPr>
        <w:t xml:space="preserve"> </w:t>
      </w:r>
      <w:r w:rsidR="007151A2">
        <w:rPr>
          <w:rStyle w:val="style1"/>
          <w:rFonts w:cstheme="minorHAnsi"/>
          <w:iCs/>
        </w:rPr>
        <w:t>risk</w:t>
      </w:r>
      <w:proofErr w:type="gramEnd"/>
      <w:r w:rsidR="007151A2">
        <w:rPr>
          <w:rStyle w:val="style1"/>
          <w:rFonts w:cstheme="minorHAnsi"/>
          <w:iCs/>
        </w:rPr>
        <w:t xml:space="preserve"> </w:t>
      </w:r>
      <w:r w:rsidR="00A12AC5">
        <w:rPr>
          <w:rStyle w:val="style1"/>
          <w:rFonts w:cstheme="minorHAnsi"/>
          <w:iCs/>
        </w:rPr>
        <w:t>prostate cancer</w:t>
      </w:r>
      <w:r w:rsidR="007151A2">
        <w:rPr>
          <w:rStyle w:val="style1"/>
          <w:rFonts w:cstheme="minorHAnsi"/>
          <w:iCs/>
        </w:rPr>
        <w:t xml:space="preserve">. Sensitivity and specificity for </w:t>
      </w: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7151A2">
        <w:rPr>
          <w:rStyle w:val="style1"/>
          <w:rFonts w:cstheme="minorHAnsi"/>
          <w:iCs/>
        </w:rPr>
        <w:t>PET/CT were 85% (95% CI</w:t>
      </w:r>
      <w:r w:rsidR="00A12AC5">
        <w:rPr>
          <w:rStyle w:val="style1"/>
          <w:rFonts w:cstheme="minorHAnsi"/>
          <w:iCs/>
        </w:rPr>
        <w:t xml:space="preserve">: </w:t>
      </w:r>
      <w:r w:rsidR="007151A2">
        <w:rPr>
          <w:rStyle w:val="style1"/>
          <w:rFonts w:cstheme="minorHAnsi"/>
          <w:iCs/>
        </w:rPr>
        <w:t>74, 96) and 98% (95%</w:t>
      </w:r>
      <w:r>
        <w:rPr>
          <w:rStyle w:val="style1"/>
          <w:rFonts w:cstheme="minorHAnsi"/>
          <w:iCs/>
        </w:rPr>
        <w:t> </w:t>
      </w:r>
      <w:r w:rsidR="007151A2">
        <w:rPr>
          <w:rStyle w:val="style1"/>
          <w:rFonts w:cstheme="minorHAnsi"/>
          <w:iCs/>
        </w:rPr>
        <w:t>CI</w:t>
      </w:r>
      <w:r w:rsidR="00A12AC5">
        <w:rPr>
          <w:rStyle w:val="style1"/>
          <w:rFonts w:cstheme="minorHAnsi"/>
          <w:iCs/>
        </w:rPr>
        <w:t xml:space="preserve">: </w:t>
      </w:r>
      <w:r w:rsidR="007151A2">
        <w:rPr>
          <w:rStyle w:val="style1"/>
          <w:rFonts w:cstheme="minorHAnsi"/>
          <w:iCs/>
        </w:rPr>
        <w:t>95, 100), respectively, compared to 38% (95% CI</w:t>
      </w:r>
      <w:r w:rsidR="00A12AC5">
        <w:rPr>
          <w:rStyle w:val="style1"/>
          <w:rFonts w:cstheme="minorHAnsi"/>
          <w:iCs/>
        </w:rPr>
        <w:t>:</w:t>
      </w:r>
      <w:r w:rsidR="007151A2">
        <w:rPr>
          <w:rStyle w:val="style1"/>
          <w:rFonts w:cstheme="minorHAnsi"/>
          <w:iCs/>
        </w:rPr>
        <w:t xml:space="preserve"> 24, 52) and 91% (95%</w:t>
      </w:r>
      <w:r>
        <w:rPr>
          <w:rStyle w:val="style1"/>
          <w:rFonts w:cstheme="minorHAnsi"/>
          <w:iCs/>
        </w:rPr>
        <w:t> </w:t>
      </w:r>
      <w:r w:rsidR="007151A2">
        <w:rPr>
          <w:rStyle w:val="style1"/>
          <w:rFonts w:cstheme="minorHAnsi"/>
          <w:iCs/>
        </w:rPr>
        <w:t>CI</w:t>
      </w:r>
      <w:r w:rsidR="00A12AC5">
        <w:rPr>
          <w:rStyle w:val="style1"/>
          <w:rFonts w:cstheme="minorHAnsi"/>
          <w:iCs/>
        </w:rPr>
        <w:t>:</w:t>
      </w:r>
      <w:r>
        <w:rPr>
          <w:rStyle w:val="style1"/>
          <w:rFonts w:cstheme="minorHAnsi"/>
          <w:iCs/>
        </w:rPr>
        <w:t> </w:t>
      </w:r>
      <w:r w:rsidR="007151A2">
        <w:rPr>
          <w:rStyle w:val="style1"/>
          <w:rFonts w:cstheme="minorHAnsi"/>
          <w:iCs/>
        </w:rPr>
        <w:t>85,</w:t>
      </w:r>
      <w:r>
        <w:rPr>
          <w:rStyle w:val="style1"/>
          <w:rFonts w:cstheme="minorHAnsi"/>
          <w:iCs/>
        </w:rPr>
        <w:t> </w:t>
      </w:r>
      <w:r w:rsidR="007151A2">
        <w:rPr>
          <w:rStyle w:val="style1"/>
          <w:rFonts w:cstheme="minorHAnsi"/>
          <w:iCs/>
        </w:rPr>
        <w:t>97) for conventional imaging. Analyses of accuracy, sensitivity, and specificity were also performed for nodal and distant metastatic groups separately</w:t>
      </w:r>
      <w:r w:rsidR="00D4335E">
        <w:rPr>
          <w:rStyle w:val="style1"/>
          <w:rFonts w:cstheme="minorHAnsi"/>
          <w:iCs/>
        </w:rPr>
        <w:t xml:space="preserve"> (</w:t>
      </w:r>
      <w:r w:rsidR="00692977">
        <w:rPr>
          <w:rStyle w:val="style1"/>
          <w:rFonts w:cstheme="minorHAnsi"/>
          <w:iCs/>
        </w:rPr>
        <w:t xml:space="preserve">see </w:t>
      </w:r>
      <w:r w:rsidR="00D4335E">
        <w:rPr>
          <w:rStyle w:val="style1"/>
          <w:rFonts w:cstheme="minorHAnsi"/>
          <w:iCs/>
        </w:rPr>
        <w:fldChar w:fldCharType="begin"/>
      </w:r>
      <w:r w:rsidR="00D4335E">
        <w:rPr>
          <w:rStyle w:val="style1"/>
          <w:rFonts w:cstheme="minorHAnsi"/>
          <w:iCs/>
        </w:rPr>
        <w:instrText xml:space="preserve"> REF _Ref103607947 \h </w:instrText>
      </w:r>
      <w:r w:rsidR="00D4335E">
        <w:rPr>
          <w:rStyle w:val="style1"/>
          <w:rFonts w:cstheme="minorHAnsi"/>
          <w:iCs/>
        </w:rPr>
      </w:r>
      <w:r w:rsidR="00D4335E">
        <w:rPr>
          <w:rStyle w:val="style1"/>
          <w:rFonts w:cstheme="minorHAnsi"/>
          <w:iCs/>
        </w:rPr>
        <w:fldChar w:fldCharType="separate"/>
      </w:r>
      <w:r w:rsidR="00036995" w:rsidRPr="003A7852">
        <w:t xml:space="preserve">Figure </w:t>
      </w:r>
      <w:r w:rsidR="00036995">
        <w:rPr>
          <w:noProof/>
        </w:rPr>
        <w:t>5</w:t>
      </w:r>
      <w:r w:rsidR="00D4335E">
        <w:rPr>
          <w:rStyle w:val="style1"/>
          <w:rFonts w:cstheme="minorHAnsi"/>
          <w:iCs/>
        </w:rPr>
        <w:fldChar w:fldCharType="end"/>
      </w:r>
      <w:r w:rsidR="007151A2">
        <w:rPr>
          <w:rStyle w:val="style1"/>
          <w:rFonts w:cstheme="minorHAnsi"/>
          <w:iCs/>
        </w:rPr>
        <w:t>).</w:t>
      </w:r>
    </w:p>
    <w:p w14:paraId="69C29B39" w14:textId="39F5E3E3" w:rsidR="007151A2" w:rsidRPr="00692977" w:rsidRDefault="007151A2">
      <w:r w:rsidRPr="00692977">
        <w:t>First-</w:t>
      </w:r>
      <w:r w:rsidR="00692977" w:rsidRPr="00692977">
        <w:t>l</w:t>
      </w:r>
      <w:r w:rsidRPr="00692977">
        <w:t xml:space="preserve">ine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sidRPr="00692977">
        <w:t>PET/CT conferred management change more frequently than first</w:t>
      </w:r>
      <w:r w:rsidR="00A12AC5" w:rsidRPr="00692977">
        <w:t xml:space="preserve"> </w:t>
      </w:r>
      <w:r w:rsidRPr="00692977">
        <w:t xml:space="preserve">line conventional imaging (28% </w:t>
      </w:r>
      <w:r w:rsidR="00A12AC5" w:rsidRPr="00692977">
        <w:t>(</w:t>
      </w:r>
      <w:r w:rsidRPr="00692977">
        <w:t>95% CI</w:t>
      </w:r>
      <w:r w:rsidR="00A12AC5" w:rsidRPr="00692977">
        <w:t>:</w:t>
      </w:r>
      <w:r w:rsidRPr="00692977">
        <w:t xml:space="preserve"> 21, 36</w:t>
      </w:r>
      <w:r w:rsidR="00A12AC5" w:rsidRPr="00692977">
        <w:t>)</w:t>
      </w:r>
      <w:r w:rsidRPr="00692977">
        <w:t xml:space="preserve"> v</w:t>
      </w:r>
      <w:r w:rsidR="00A12AC5" w:rsidRPr="00692977">
        <w:t xml:space="preserve">ersus </w:t>
      </w:r>
      <w:r w:rsidRPr="00692977">
        <w:t xml:space="preserve">15% </w:t>
      </w:r>
      <w:r w:rsidR="00A12AC5" w:rsidRPr="00692977">
        <w:t>(</w:t>
      </w:r>
      <w:r w:rsidRPr="00692977">
        <w:t>95% CI</w:t>
      </w:r>
      <w:r w:rsidR="00A12AC5" w:rsidRPr="00692977">
        <w:t>:</w:t>
      </w:r>
      <w:r w:rsidRPr="00692977">
        <w:t xml:space="preserve"> 10, 22</w:t>
      </w:r>
      <w:r w:rsidR="00A12AC5" w:rsidRPr="00692977">
        <w:t>)</w:t>
      </w:r>
      <w:r w:rsidRPr="00692977">
        <w:t xml:space="preserve">). Following </w:t>
      </w:r>
      <w:proofErr w:type="gramStart"/>
      <w:r w:rsidRPr="00692977">
        <w:t>first</w:t>
      </w:r>
      <w:r w:rsidR="00710D1B">
        <w:t>-</w:t>
      </w:r>
      <w:r w:rsidRPr="00692977">
        <w:t>line</w:t>
      </w:r>
      <w:proofErr w:type="gramEnd"/>
      <w:r w:rsidRPr="00692977">
        <w:t xml:space="preserve">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w:t>
      </w:r>
      <w:r w:rsidRPr="00692977">
        <w:t xml:space="preserve"> PET/CT, 14% of patients were directed from </w:t>
      </w:r>
      <w:r w:rsidRPr="00692977">
        <w:lastRenderedPageBreak/>
        <w:t>curative to palliative treatment, 7% had a change in radiotherapy technique, and 7% had a change in surgical technique.</w:t>
      </w:r>
    </w:p>
    <w:p w14:paraId="69C9CD52" w14:textId="09FDE9EE" w:rsidR="007151A2" w:rsidRPr="004F7DDA" w:rsidRDefault="007151A2" w:rsidP="004F7DDA">
      <w:r w:rsidRPr="00F74A2E">
        <w:t>Radiation exposure from first</w:t>
      </w:r>
      <w:r w:rsidR="00A12AC5" w:rsidRPr="00F74A2E">
        <w:t xml:space="preserve"> </w:t>
      </w:r>
      <w:r w:rsidRPr="00F74A2E">
        <w:t xml:space="preserve">line imaging was higher with conventional imaging than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w:t>
      </w:r>
      <w:r w:rsidRPr="00F74A2E">
        <w:t xml:space="preserve">PSMA PET/CT (19.2 </w:t>
      </w:r>
      <w:r w:rsidR="00710D1B">
        <w:t>millisievert (</w:t>
      </w:r>
      <w:r w:rsidRPr="00F74A2E">
        <w:t>mSv</w:t>
      </w:r>
      <w:r w:rsidR="00710D1B">
        <w:t>)</w:t>
      </w:r>
      <w:r w:rsidRPr="00F74A2E">
        <w:t xml:space="preserve"> </w:t>
      </w:r>
      <w:r w:rsidR="00A12AC5" w:rsidRPr="00F74A2E">
        <w:t>(</w:t>
      </w:r>
      <w:r w:rsidRPr="00BB6E5F">
        <w:t>95% CI</w:t>
      </w:r>
      <w:r w:rsidR="00A12AC5" w:rsidRPr="00BB6E5F">
        <w:t xml:space="preserve">: </w:t>
      </w:r>
      <w:r w:rsidRPr="00EC50CE">
        <w:t>18.2, 20.3</w:t>
      </w:r>
      <w:r w:rsidR="00A12AC5" w:rsidRPr="00EC50CE">
        <w:t>)</w:t>
      </w:r>
      <w:r w:rsidRPr="00EC50CE">
        <w:t xml:space="preserve"> </w:t>
      </w:r>
      <w:r w:rsidR="00A12AC5" w:rsidRPr="00EC50CE">
        <w:t>versus</w:t>
      </w:r>
      <w:r w:rsidRPr="005456FC">
        <w:t xml:space="preserve"> 8.4 mSv </w:t>
      </w:r>
      <w:r w:rsidR="00A12AC5" w:rsidRPr="005456FC">
        <w:t>(</w:t>
      </w:r>
      <w:r w:rsidRPr="005456FC">
        <w:t>95% CI</w:t>
      </w:r>
      <w:r w:rsidR="00A12AC5" w:rsidRPr="007B511E">
        <w:t>:</w:t>
      </w:r>
      <w:r w:rsidRPr="00753780">
        <w:t xml:space="preserve"> 8.1, 8.7</w:t>
      </w:r>
      <w:r w:rsidR="00A12AC5" w:rsidRPr="00753780">
        <w:t>)</w:t>
      </w:r>
      <w:r w:rsidRPr="00753780">
        <w:t>).</w:t>
      </w:r>
    </w:p>
    <w:p w14:paraId="73BD7DD5" w14:textId="6C823E02" w:rsidR="003A7852" w:rsidRDefault="003A7852" w:rsidP="003A7852">
      <w:pPr>
        <w:pStyle w:val="FigureTitle"/>
      </w:pPr>
      <w:bookmarkStart w:id="81" w:name="_Ref103607947"/>
      <w:r w:rsidRPr="003A7852">
        <w:t xml:space="preserve">Figure </w:t>
      </w:r>
      <w:fldSimple w:instr=" SEQ Figure \* ARABIC ">
        <w:r w:rsidR="00036995">
          <w:rPr>
            <w:noProof/>
          </w:rPr>
          <w:t>5</w:t>
        </w:r>
      </w:fldSimple>
      <w:bookmarkEnd w:id="81"/>
      <w:r w:rsidRPr="003A7852">
        <w:t>:</w:t>
      </w:r>
      <w:r>
        <w:t xml:space="preserve"> </w:t>
      </w:r>
      <w:proofErr w:type="spellStart"/>
      <w:r w:rsidR="00692977">
        <w:t>Hofman</w:t>
      </w:r>
      <w:proofErr w:type="spellEnd"/>
      <w:r w:rsidR="00692977">
        <w:t xml:space="preserve"> et al</w:t>
      </w:r>
      <w:r w:rsidR="00710D1B">
        <w:t>.</w:t>
      </w:r>
      <w:r w:rsidR="00692977" w:rsidRPr="00692977">
        <w:t xml:space="preserve"> </w:t>
      </w:r>
      <w:r w:rsidR="00692977">
        <w:t xml:space="preserve">(2020) </w:t>
      </w:r>
      <w:r w:rsidRPr="005F3878">
        <w:t>Accuracy, sensitivity, and specificity of conventional imaging compared with PSMA PET-CT</w:t>
      </w:r>
    </w:p>
    <w:p w14:paraId="1A71BF42" w14:textId="28F4E46A" w:rsidR="007151A2" w:rsidRDefault="003A7852" w:rsidP="003A7852">
      <w:pPr>
        <w:pStyle w:val="Caption"/>
        <w:rPr>
          <w:lang w:eastAsia="ja-JP"/>
        </w:rPr>
      </w:pPr>
      <w:r>
        <w:rPr>
          <w:noProof/>
          <w:lang w:val="en-GB" w:eastAsia="en-GB"/>
        </w:rPr>
        <w:drawing>
          <wp:inline distT="0" distB="0" distL="0" distR="0" wp14:anchorId="34ACCCA6" wp14:editId="5F78C144">
            <wp:extent cx="5349923" cy="2344054"/>
            <wp:effectExtent l="0" t="0" r="3175" b="0"/>
            <wp:docPr id="39" name="Picture 39" descr="Accuracy, sensitivity, and specificity of conventional imaging compared with PSMA PET-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uracy, sensitivity, and specificity of conventional imaging compared with PSMA PET-CT"/>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l="900" r="1243"/>
                    <a:stretch/>
                  </pic:blipFill>
                  <pic:spPr bwMode="auto">
                    <a:xfrm>
                      <a:off x="0" y="0"/>
                      <a:ext cx="5398312" cy="2365255"/>
                    </a:xfrm>
                    <a:prstGeom prst="rect">
                      <a:avLst/>
                    </a:prstGeom>
                    <a:ln>
                      <a:noFill/>
                    </a:ln>
                    <a:extLst>
                      <a:ext uri="{53640926-AAD7-44D8-BBD7-CCE9431645EC}">
                        <a14:shadowObscured xmlns:a14="http://schemas.microsoft.com/office/drawing/2010/main"/>
                      </a:ext>
                    </a:extLst>
                  </pic:spPr>
                </pic:pic>
              </a:graphicData>
            </a:graphic>
          </wp:inline>
        </w:drawing>
      </w:r>
    </w:p>
    <w:p w14:paraId="55EB7EBD" w14:textId="7559CB23" w:rsidR="00692977" w:rsidRPr="00F74A2E" w:rsidRDefault="00692977" w:rsidP="004F7DDA">
      <w:pPr>
        <w:pStyle w:val="FigureDescription"/>
        <w:rPr>
          <w:lang w:eastAsia="ja-JP"/>
        </w:rPr>
      </w:pPr>
      <w:r>
        <w:rPr>
          <w:lang w:eastAsia="ja-JP"/>
        </w:rPr>
        <w:t>Abbreviations: AUC = area under the concentration-time curve; CI = confidence intervals; N = number of subjects</w:t>
      </w:r>
    </w:p>
    <w:p w14:paraId="4B61C991" w14:textId="3F05FE37" w:rsidR="004E5B2F" w:rsidRPr="004E5B2F" w:rsidRDefault="004E5B2F" w:rsidP="004E5B2F">
      <w:pPr>
        <w:pStyle w:val="FigureDescription"/>
        <w:rPr>
          <w:lang w:eastAsia="ja-JP"/>
        </w:rPr>
      </w:pPr>
      <w:r>
        <w:rPr>
          <w:lang w:eastAsia="ja-JP"/>
        </w:rPr>
        <w:t xml:space="preserve">Source: </w:t>
      </w:r>
      <w:proofErr w:type="spellStart"/>
      <w:r w:rsidR="00692977" w:rsidRPr="00692977">
        <w:rPr>
          <w:lang w:eastAsia="ja-JP"/>
        </w:rPr>
        <w:t>Hofman</w:t>
      </w:r>
      <w:proofErr w:type="spellEnd"/>
      <w:r w:rsidR="00692977" w:rsidRPr="00692977">
        <w:rPr>
          <w:lang w:eastAsia="ja-JP"/>
        </w:rPr>
        <w:t xml:space="preserve"> et al. Prostate-specific membrane antigen PET-CT in patients with high-risk prostate cancer before curative-intent surgery or radiotherapy (</w:t>
      </w:r>
      <w:proofErr w:type="spellStart"/>
      <w:r w:rsidR="00692977" w:rsidRPr="00692977">
        <w:rPr>
          <w:lang w:eastAsia="ja-JP"/>
        </w:rPr>
        <w:t>proPSMA</w:t>
      </w:r>
      <w:proofErr w:type="spellEnd"/>
      <w:r w:rsidR="00692977" w:rsidRPr="00692977">
        <w:rPr>
          <w:lang w:eastAsia="ja-JP"/>
        </w:rPr>
        <w:t>): a prospective, randomised, multicentre study. The Lancet Vol 395, Is</w:t>
      </w:r>
      <w:r w:rsidR="00692977">
        <w:rPr>
          <w:lang w:eastAsia="ja-JP"/>
        </w:rPr>
        <w:t>sue 10231, P1208-16, April 2020</w:t>
      </w:r>
    </w:p>
    <w:p w14:paraId="4A50AA6B" w14:textId="7A49B7B0" w:rsidR="003A7852" w:rsidRDefault="00710D1B" w:rsidP="004F7DDA">
      <w:pPr>
        <w:pStyle w:val="Heading6"/>
      </w:pP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3A7852">
        <w:rPr>
          <w:lang w:eastAsia="ja-JP"/>
        </w:rPr>
        <w:t xml:space="preserve">PET/CT in </w:t>
      </w:r>
      <w:r w:rsidR="00692977">
        <w:rPr>
          <w:lang w:eastAsia="ja-JP"/>
        </w:rPr>
        <w:t xml:space="preserve">biochemically recurrent </w:t>
      </w:r>
      <w:r w:rsidR="003A7852">
        <w:rPr>
          <w:lang w:eastAsia="ja-JP"/>
        </w:rPr>
        <w:t>prostate cancer</w:t>
      </w:r>
    </w:p>
    <w:p w14:paraId="13A6A7C9" w14:textId="08EA18C1" w:rsidR="003A7852" w:rsidRDefault="003A7852" w:rsidP="003A7852">
      <w:pPr>
        <w:rPr>
          <w:i/>
        </w:rPr>
      </w:pPr>
      <w:r>
        <w:t xml:space="preserve">Of the 39 articles presented for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t xml:space="preserve">PET/CT in </w:t>
      </w:r>
      <w:r w:rsidR="00692977">
        <w:t xml:space="preserve">biochemically recurrent </w:t>
      </w:r>
      <w:r>
        <w:t>prostate cancer, 27 used histopathology or a composite</w:t>
      </w:r>
      <w:r w:rsidRPr="00BF3C8D">
        <w:t xml:space="preserve"> </w:t>
      </w:r>
      <w:r>
        <w:t>reference standard which included histopathology. Across these studies</w:t>
      </w:r>
      <w:r w:rsidRPr="001777F5">
        <w:t xml:space="preserve">, </w:t>
      </w:r>
      <w:proofErr w:type="gramStart"/>
      <w:r w:rsidRPr="001777F5">
        <w:rPr>
          <w:rFonts w:asciiTheme="minorHAnsi" w:hAnsiTheme="minorHAnsi" w:cs="Calibri"/>
          <w:lang w:eastAsia="ja-JP"/>
        </w:rPr>
        <w:t>sensitivity</w:t>
      </w:r>
      <w:proofErr w:type="gramEnd"/>
      <w:r w:rsidRPr="001777F5">
        <w:rPr>
          <w:rFonts w:asciiTheme="minorHAnsi" w:hAnsiTheme="minorHAnsi" w:cs="Calibri"/>
          <w:lang w:eastAsia="ja-JP"/>
        </w:rPr>
        <w:t xml:space="preserve"> and specificity </w:t>
      </w:r>
      <w:r>
        <w:rPr>
          <w:rFonts w:asciiTheme="minorHAnsi" w:hAnsiTheme="minorHAnsi" w:cs="Calibri"/>
          <w:lang w:eastAsia="ja-JP"/>
        </w:rPr>
        <w:t xml:space="preserve">each </w:t>
      </w:r>
      <w:r w:rsidRPr="001777F5">
        <w:rPr>
          <w:rFonts w:asciiTheme="minorHAnsi" w:hAnsiTheme="minorHAnsi" w:cs="Calibri"/>
          <w:lang w:eastAsia="ja-JP"/>
        </w:rPr>
        <w:t>ranged from 63%</w:t>
      </w:r>
      <w:r w:rsidR="004E5B2F">
        <w:rPr>
          <w:rFonts w:asciiTheme="minorHAnsi" w:hAnsiTheme="minorHAnsi" w:cs="Calibri"/>
          <w:lang w:eastAsia="ja-JP"/>
        </w:rPr>
        <w:t xml:space="preserve"> to </w:t>
      </w:r>
      <w:r w:rsidRPr="001777F5">
        <w:rPr>
          <w:rFonts w:asciiTheme="minorHAnsi" w:hAnsiTheme="minorHAnsi" w:cs="Calibri"/>
          <w:lang w:eastAsia="ja-JP"/>
        </w:rPr>
        <w:t xml:space="preserve">100%. </w:t>
      </w:r>
      <w:r>
        <w:rPr>
          <w:rFonts w:asciiTheme="minorHAnsi" w:hAnsiTheme="minorHAnsi" w:cs="Calibri"/>
          <w:lang w:eastAsia="ja-JP"/>
        </w:rPr>
        <w:t xml:space="preserve">Sensitivity </w:t>
      </w:r>
      <w:r w:rsidRPr="001777F5">
        <w:rPr>
          <w:rFonts w:asciiTheme="minorHAnsi" w:hAnsiTheme="minorHAnsi" w:cs="Calibri"/>
          <w:lang w:eastAsia="ja-JP"/>
        </w:rPr>
        <w:t xml:space="preserve">was </w:t>
      </w:r>
      <w:r>
        <w:rPr>
          <w:rFonts w:asciiTheme="minorHAnsi" w:hAnsiTheme="minorHAnsi" w:cs="Calibri"/>
          <w:lang w:eastAsia="ja-JP"/>
        </w:rPr>
        <w:t>similar</w:t>
      </w:r>
      <w:r w:rsidRPr="001777F5">
        <w:rPr>
          <w:rFonts w:asciiTheme="minorHAnsi" w:hAnsiTheme="minorHAnsi" w:cs="Calibri"/>
          <w:lang w:eastAsia="ja-JP"/>
        </w:rPr>
        <w:t xml:space="preserve"> in the prostate and lymph nodes (63.6%</w:t>
      </w:r>
      <w:r w:rsidR="004E5B2F">
        <w:rPr>
          <w:rFonts w:asciiTheme="minorHAnsi" w:hAnsiTheme="minorHAnsi" w:cs="Calibri"/>
          <w:lang w:eastAsia="ja-JP"/>
        </w:rPr>
        <w:t xml:space="preserve"> to </w:t>
      </w:r>
      <w:r w:rsidRPr="001777F5">
        <w:rPr>
          <w:rFonts w:asciiTheme="minorHAnsi" w:hAnsiTheme="minorHAnsi" w:cs="Calibri"/>
          <w:lang w:eastAsia="ja-JP"/>
        </w:rPr>
        <w:t>98.8% and 77.9%</w:t>
      </w:r>
      <w:r w:rsidR="004E5B2F">
        <w:rPr>
          <w:rFonts w:asciiTheme="minorHAnsi" w:hAnsiTheme="minorHAnsi" w:cs="Calibri"/>
          <w:lang w:eastAsia="ja-JP"/>
        </w:rPr>
        <w:t xml:space="preserve"> to </w:t>
      </w:r>
      <w:r w:rsidRPr="001777F5">
        <w:rPr>
          <w:rFonts w:asciiTheme="minorHAnsi" w:hAnsiTheme="minorHAnsi" w:cs="Calibri"/>
          <w:lang w:eastAsia="ja-JP"/>
        </w:rPr>
        <w:t xml:space="preserve">100%, respectively). Specificity was </w:t>
      </w:r>
      <w:r>
        <w:rPr>
          <w:rFonts w:asciiTheme="minorHAnsi" w:hAnsiTheme="minorHAnsi" w:cs="Calibri"/>
          <w:lang w:eastAsia="ja-JP"/>
        </w:rPr>
        <w:t>also similar</w:t>
      </w:r>
      <w:r w:rsidRPr="001777F5">
        <w:rPr>
          <w:rFonts w:asciiTheme="minorHAnsi" w:hAnsiTheme="minorHAnsi" w:cs="Calibri"/>
          <w:lang w:eastAsia="ja-JP"/>
        </w:rPr>
        <w:t xml:space="preserve"> in prostate and lymph nodes</w:t>
      </w:r>
      <w:r>
        <w:rPr>
          <w:rFonts w:asciiTheme="minorHAnsi" w:hAnsiTheme="minorHAnsi" w:cs="Calibri"/>
          <w:lang w:eastAsia="ja-JP"/>
        </w:rPr>
        <w:t xml:space="preserve"> </w:t>
      </w:r>
      <w:r w:rsidRPr="001777F5">
        <w:rPr>
          <w:rFonts w:asciiTheme="minorHAnsi" w:hAnsiTheme="minorHAnsi" w:cs="Calibri"/>
          <w:lang w:eastAsia="ja-JP"/>
        </w:rPr>
        <w:t>(31.2%</w:t>
      </w:r>
      <w:r w:rsidR="004E5B2F">
        <w:rPr>
          <w:rFonts w:asciiTheme="minorHAnsi" w:hAnsiTheme="minorHAnsi" w:cs="Calibri"/>
          <w:lang w:eastAsia="ja-JP"/>
        </w:rPr>
        <w:t xml:space="preserve"> to </w:t>
      </w:r>
      <w:r w:rsidRPr="001777F5">
        <w:rPr>
          <w:rFonts w:asciiTheme="minorHAnsi" w:hAnsiTheme="minorHAnsi" w:cs="Calibri"/>
          <w:lang w:eastAsia="ja-JP"/>
        </w:rPr>
        <w:t>100% and 50%</w:t>
      </w:r>
      <w:r w:rsidR="004E5B2F">
        <w:rPr>
          <w:rFonts w:asciiTheme="minorHAnsi" w:hAnsiTheme="minorHAnsi" w:cs="Calibri"/>
          <w:lang w:eastAsia="ja-JP"/>
        </w:rPr>
        <w:t xml:space="preserve"> to </w:t>
      </w:r>
      <w:r w:rsidRPr="001777F5">
        <w:rPr>
          <w:rFonts w:asciiTheme="minorHAnsi" w:hAnsiTheme="minorHAnsi" w:cs="Calibri"/>
          <w:lang w:eastAsia="ja-JP"/>
        </w:rPr>
        <w:t>100%</w:t>
      </w:r>
      <w:r>
        <w:rPr>
          <w:rFonts w:asciiTheme="minorHAnsi" w:hAnsiTheme="minorHAnsi" w:cs="Calibri"/>
          <w:lang w:eastAsia="ja-JP"/>
        </w:rPr>
        <w:t>, respectively</w:t>
      </w:r>
      <w:r w:rsidRPr="001777F5">
        <w:rPr>
          <w:rFonts w:asciiTheme="minorHAnsi" w:hAnsiTheme="minorHAnsi" w:cs="Calibri"/>
          <w:lang w:eastAsia="ja-JP"/>
        </w:rPr>
        <w:t>).</w:t>
      </w:r>
      <w:r>
        <w:rPr>
          <w:rFonts w:asciiTheme="minorHAnsi" w:hAnsiTheme="minorHAnsi" w:cs="Calibri"/>
          <w:lang w:eastAsia="ja-JP"/>
        </w:rPr>
        <w:t xml:space="preserve"> </w:t>
      </w:r>
      <w:r w:rsidR="00692977">
        <w:rPr>
          <w:rFonts w:asciiTheme="minorHAnsi" w:hAnsiTheme="minorHAnsi" w:cs="Calibri"/>
          <w:lang w:eastAsia="ja-JP"/>
        </w:rPr>
        <w:t>Positive predictive values (PPV)</w:t>
      </w:r>
      <w:r w:rsidR="00692977" w:rsidRPr="001777F5">
        <w:rPr>
          <w:rFonts w:asciiTheme="minorHAnsi" w:hAnsiTheme="minorHAnsi" w:cs="Calibri"/>
          <w:lang w:eastAsia="ja-JP"/>
        </w:rPr>
        <w:t xml:space="preserve"> </w:t>
      </w:r>
      <w:r w:rsidRPr="001777F5">
        <w:rPr>
          <w:rFonts w:asciiTheme="minorHAnsi" w:hAnsiTheme="minorHAnsi" w:cs="Calibri"/>
          <w:lang w:eastAsia="ja-JP"/>
        </w:rPr>
        <w:t xml:space="preserve">and </w:t>
      </w:r>
      <w:r w:rsidR="00692977">
        <w:rPr>
          <w:rFonts w:asciiTheme="minorHAnsi" w:hAnsiTheme="minorHAnsi" w:cs="Calibri"/>
          <w:lang w:eastAsia="ja-JP"/>
        </w:rPr>
        <w:t>negative predictive values (NPV)</w:t>
      </w:r>
      <w:r w:rsidR="00692977" w:rsidRPr="001777F5">
        <w:rPr>
          <w:rFonts w:asciiTheme="minorHAnsi" w:hAnsiTheme="minorHAnsi" w:cs="Calibri"/>
          <w:lang w:eastAsia="ja-JP"/>
        </w:rPr>
        <w:t xml:space="preserve"> </w:t>
      </w:r>
      <w:r w:rsidRPr="001777F5">
        <w:rPr>
          <w:rFonts w:asciiTheme="minorHAnsi" w:hAnsiTheme="minorHAnsi" w:cs="Calibri"/>
          <w:lang w:eastAsia="ja-JP"/>
        </w:rPr>
        <w:t>ranged from 50%</w:t>
      </w:r>
      <w:r w:rsidR="004E5B2F">
        <w:rPr>
          <w:rFonts w:asciiTheme="minorHAnsi" w:hAnsiTheme="minorHAnsi" w:cs="Calibri"/>
          <w:lang w:eastAsia="ja-JP"/>
        </w:rPr>
        <w:t xml:space="preserve"> to </w:t>
      </w:r>
      <w:r w:rsidRPr="001777F5">
        <w:rPr>
          <w:rFonts w:asciiTheme="minorHAnsi" w:hAnsiTheme="minorHAnsi" w:cs="Calibri"/>
          <w:lang w:eastAsia="ja-JP"/>
        </w:rPr>
        <w:t>100% and 20.6%</w:t>
      </w:r>
      <w:r w:rsidR="004E5B2F">
        <w:rPr>
          <w:rFonts w:asciiTheme="minorHAnsi" w:hAnsiTheme="minorHAnsi" w:cs="Calibri"/>
          <w:lang w:eastAsia="ja-JP"/>
        </w:rPr>
        <w:t xml:space="preserve"> to </w:t>
      </w:r>
      <w:r w:rsidRPr="001777F5">
        <w:rPr>
          <w:rFonts w:asciiTheme="minorHAnsi" w:hAnsiTheme="minorHAnsi" w:cs="Calibri"/>
          <w:lang w:eastAsia="ja-JP"/>
        </w:rPr>
        <w:t>100%, respectively. Accuracy ranged from 71%</w:t>
      </w:r>
      <w:r w:rsidR="004E5B2F">
        <w:rPr>
          <w:rFonts w:asciiTheme="minorHAnsi" w:hAnsiTheme="minorHAnsi" w:cs="Calibri"/>
          <w:lang w:eastAsia="ja-JP"/>
        </w:rPr>
        <w:t xml:space="preserve"> to </w:t>
      </w:r>
      <w:r w:rsidRPr="001777F5">
        <w:rPr>
          <w:rFonts w:asciiTheme="minorHAnsi" w:hAnsiTheme="minorHAnsi" w:cs="Calibri"/>
          <w:lang w:eastAsia="ja-JP"/>
        </w:rPr>
        <w:t>100% and AUC ranged from 0.88 to 0.99.</w:t>
      </w:r>
    </w:p>
    <w:p w14:paraId="7B7F867C" w14:textId="17C45FFC" w:rsidR="003A7852" w:rsidRPr="00942FAA" w:rsidRDefault="003A7852" w:rsidP="003A7852">
      <w:pPr>
        <w:rPr>
          <w:rFonts w:asciiTheme="minorHAnsi" w:hAnsiTheme="minorHAnsi" w:cs="Calibri"/>
          <w:lang w:eastAsia="ja-JP"/>
        </w:rPr>
      </w:pPr>
      <w:r>
        <w:t>In the 12 articles which used</w:t>
      </w:r>
      <w:r w:rsidRPr="00DD1BBF">
        <w:t xml:space="preserve"> </w:t>
      </w:r>
      <w:r>
        <w:t xml:space="preserve">only conventional imaging as the reference standard, </w:t>
      </w:r>
      <w:r w:rsidRPr="00942FAA">
        <w:t>s</w:t>
      </w:r>
      <w:r w:rsidRPr="00942FAA">
        <w:rPr>
          <w:rFonts w:asciiTheme="minorHAnsi" w:hAnsiTheme="minorHAnsi" w:cs="Calibri"/>
          <w:lang w:eastAsia="ja-JP"/>
        </w:rPr>
        <w:t xml:space="preserve">ensitivity of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sidRPr="00942FAA">
        <w:rPr>
          <w:rFonts w:asciiTheme="minorHAnsi" w:hAnsiTheme="minorHAnsi" w:cs="Calibri"/>
          <w:lang w:eastAsia="ja-JP"/>
        </w:rPr>
        <w:t>PET/CT ranged from 80%</w:t>
      </w:r>
      <w:r w:rsidR="004E5B2F">
        <w:rPr>
          <w:rFonts w:asciiTheme="minorHAnsi" w:hAnsiTheme="minorHAnsi" w:cs="Calibri"/>
          <w:lang w:eastAsia="ja-JP"/>
        </w:rPr>
        <w:t xml:space="preserve"> to </w:t>
      </w:r>
      <w:r w:rsidRPr="00942FAA">
        <w:rPr>
          <w:rFonts w:asciiTheme="minorHAnsi" w:hAnsiTheme="minorHAnsi" w:cs="Calibri"/>
          <w:lang w:eastAsia="ja-JP"/>
        </w:rPr>
        <w:t>100% and specificity, PPV, and NPV ranged from 80% or higher</w:t>
      </w:r>
      <w:r w:rsidR="004E5B2F">
        <w:rPr>
          <w:rFonts w:asciiTheme="minorHAnsi" w:hAnsiTheme="minorHAnsi" w:cs="Calibri"/>
          <w:lang w:eastAsia="ja-JP"/>
        </w:rPr>
        <w:t xml:space="preserve"> to </w:t>
      </w:r>
      <w:r w:rsidRPr="00942FAA">
        <w:rPr>
          <w:rFonts w:asciiTheme="minorHAnsi" w:hAnsiTheme="minorHAnsi" w:cs="Calibri"/>
          <w:lang w:eastAsia="ja-JP"/>
        </w:rPr>
        <w:t xml:space="preserve">100%. </w:t>
      </w:r>
    </w:p>
    <w:p w14:paraId="6657334A" w14:textId="242C24E6" w:rsidR="003A7852" w:rsidRPr="006B6A81" w:rsidRDefault="003A7852" w:rsidP="003A7852">
      <w:pPr>
        <w:rPr>
          <w:lang w:eastAsia="ja-JP"/>
        </w:rPr>
      </w:pPr>
      <w:r>
        <w:rPr>
          <w:rFonts w:asciiTheme="minorHAnsi" w:hAnsiTheme="minorHAnsi" w:cs="Calibri"/>
          <w:lang w:eastAsia="ja-JP"/>
        </w:rPr>
        <w:t xml:space="preserve">Changes in patient management due to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Pr>
          <w:rFonts w:asciiTheme="minorHAnsi" w:hAnsiTheme="minorHAnsi" w:cs="Calibri"/>
          <w:lang w:eastAsia="ja-JP"/>
        </w:rPr>
        <w:t xml:space="preserve">PET/CT findings were reported in </w:t>
      </w:r>
      <w:r w:rsidR="004E5B2F">
        <w:rPr>
          <w:rFonts w:asciiTheme="minorHAnsi" w:hAnsiTheme="minorHAnsi" w:cs="Calibri"/>
          <w:lang w:eastAsia="ja-JP"/>
        </w:rPr>
        <w:t>seven</w:t>
      </w:r>
      <w:r>
        <w:rPr>
          <w:rFonts w:asciiTheme="minorHAnsi" w:hAnsiTheme="minorHAnsi" w:cs="Calibri"/>
          <w:lang w:eastAsia="ja-JP"/>
        </w:rPr>
        <w:t xml:space="preserve"> studies investigating </w:t>
      </w:r>
      <w:r w:rsidR="00692977">
        <w:t>biochemically recurrent prostate cancer</w:t>
      </w:r>
      <w:r>
        <w:rPr>
          <w:rFonts w:asciiTheme="minorHAnsi" w:hAnsiTheme="minorHAnsi" w:cs="Calibri"/>
          <w:lang w:eastAsia="ja-JP"/>
        </w:rPr>
        <w:t>. In these studies, 30%</w:t>
      </w:r>
      <w:r w:rsidR="004E5B2F">
        <w:rPr>
          <w:rFonts w:asciiTheme="minorHAnsi" w:hAnsiTheme="minorHAnsi" w:cs="Calibri"/>
          <w:lang w:eastAsia="ja-JP"/>
        </w:rPr>
        <w:t xml:space="preserve"> to </w:t>
      </w:r>
      <w:r>
        <w:rPr>
          <w:rFonts w:asciiTheme="minorHAnsi" w:hAnsiTheme="minorHAnsi" w:cs="Calibri"/>
          <w:lang w:eastAsia="ja-JP"/>
        </w:rPr>
        <w:t xml:space="preserve">75% of patients had their treatment plan modified because of the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Ga] </w:t>
      </w:r>
      <w:r w:rsidR="00293AB9">
        <w:rPr>
          <w:rStyle w:val="style1"/>
          <w:rFonts w:cstheme="minorHAnsi"/>
          <w:iCs/>
        </w:rPr>
        <w:t>gallium</w:t>
      </w:r>
      <w:r w:rsidR="00710D1B">
        <w:rPr>
          <w:rStyle w:val="style1"/>
          <w:rFonts w:cstheme="minorHAnsi"/>
          <w:iCs/>
        </w:rPr>
        <w:t xml:space="preserve"> PSMA-11</w:t>
      </w:r>
      <w:r>
        <w:rPr>
          <w:rFonts w:asciiTheme="minorHAnsi" w:hAnsiTheme="minorHAnsi" w:cs="Calibri"/>
          <w:lang w:eastAsia="ja-JP"/>
        </w:rPr>
        <w:t xml:space="preserve"> scan result.</w:t>
      </w:r>
    </w:p>
    <w:p w14:paraId="3A577B9E" w14:textId="3528AC46" w:rsidR="003A7852" w:rsidRDefault="003A7852" w:rsidP="003A7852">
      <w:pPr>
        <w:rPr>
          <w:rFonts w:asciiTheme="minorHAnsi" w:hAnsiTheme="minorHAnsi" w:cs="Calibri"/>
          <w:lang w:eastAsia="ja-JP"/>
        </w:rPr>
      </w:pPr>
      <w:proofErr w:type="spellStart"/>
      <w:r w:rsidRPr="004E5B2F">
        <w:rPr>
          <w:bCs/>
        </w:rPr>
        <w:t>Fendler</w:t>
      </w:r>
      <w:proofErr w:type="spellEnd"/>
      <w:r w:rsidRPr="004E5B2F">
        <w:rPr>
          <w:bCs/>
        </w:rPr>
        <w:t xml:space="preserve"> et al</w:t>
      </w:r>
      <w:r w:rsidR="00692977">
        <w:rPr>
          <w:bCs/>
        </w:rPr>
        <w:t>.</w:t>
      </w:r>
      <w:r w:rsidRPr="004E5B2F">
        <w:rPr>
          <w:bCs/>
        </w:rPr>
        <w:t xml:space="preserve"> </w:t>
      </w:r>
      <w:r w:rsidR="00DE10A8">
        <w:rPr>
          <w:bCs/>
        </w:rPr>
        <w:t>(</w:t>
      </w:r>
      <w:r w:rsidRPr="004E5B2F">
        <w:rPr>
          <w:bCs/>
        </w:rPr>
        <w:t>2019</w:t>
      </w:r>
      <w:r w:rsidR="00DE10A8">
        <w:rPr>
          <w:bCs/>
        </w:rPr>
        <w:t>)</w:t>
      </w:r>
      <w:r w:rsidRPr="004E5B2F">
        <w:rPr>
          <w:bCs/>
        </w:rPr>
        <w:t xml:space="preserve"> (PSMA-BCR)</w:t>
      </w:r>
      <w:r w:rsidR="004E5B2F">
        <w:rPr>
          <w:bCs/>
        </w:rPr>
        <w:t>;</w:t>
      </w:r>
      <w:bookmarkStart w:id="82" w:name="_Ref104544486"/>
      <w:r w:rsidRPr="004E5B2F">
        <w:rPr>
          <w:rStyle w:val="FootnoteReference"/>
          <w:bCs/>
        </w:rPr>
        <w:footnoteReference w:id="47"/>
      </w:r>
      <w:bookmarkEnd w:id="82"/>
      <w:r>
        <w:t xml:space="preserve"> </w:t>
      </w:r>
      <w:r>
        <w:rPr>
          <w:rFonts w:asciiTheme="minorHAnsi" w:cs="Calibri"/>
          <w:lang w:eastAsia="ja-JP"/>
        </w:rPr>
        <w:t>was a prospective, single</w:t>
      </w:r>
      <w:r w:rsidR="00FF73C1">
        <w:rPr>
          <w:rFonts w:asciiTheme="minorHAnsi" w:cs="Calibri"/>
          <w:lang w:eastAsia="ja-JP"/>
        </w:rPr>
        <w:t xml:space="preserve"> </w:t>
      </w:r>
      <w:r>
        <w:rPr>
          <w:rFonts w:asciiTheme="minorHAnsi" w:cs="Calibri"/>
          <w:lang w:eastAsia="ja-JP"/>
        </w:rPr>
        <w:t>arm, open</w:t>
      </w:r>
      <w:r w:rsidR="00FF73C1">
        <w:rPr>
          <w:rFonts w:asciiTheme="minorHAnsi" w:cs="Calibri"/>
          <w:lang w:eastAsia="ja-JP"/>
        </w:rPr>
        <w:t xml:space="preserve"> </w:t>
      </w:r>
      <w:r>
        <w:rPr>
          <w:rFonts w:asciiTheme="minorHAnsi" w:cs="Calibri"/>
          <w:lang w:eastAsia="ja-JP"/>
        </w:rPr>
        <w:t xml:space="preserve">label study of </w:t>
      </w:r>
      <w:r w:rsidR="00710D1B">
        <w:rPr>
          <w:rStyle w:val="style1"/>
          <w:rFonts w:cstheme="minorHAnsi"/>
          <w:iCs/>
        </w:rPr>
        <w:t>[</w:t>
      </w:r>
      <w:r w:rsidR="00710D1B">
        <w:rPr>
          <w:rStyle w:val="style1"/>
          <w:rFonts w:cstheme="minorHAnsi"/>
          <w:iCs/>
          <w:vertAlign w:val="superscript"/>
        </w:rPr>
        <w:t>68</w:t>
      </w:r>
      <w:r w:rsidR="00710D1B">
        <w:rPr>
          <w:rStyle w:val="style1"/>
          <w:rFonts w:cstheme="minorHAnsi"/>
          <w:iCs/>
        </w:rPr>
        <w:t xml:space="preserve">Ga] </w:t>
      </w:r>
      <w:r w:rsidR="00293AB9">
        <w:rPr>
          <w:rStyle w:val="style1"/>
          <w:rFonts w:cstheme="minorHAnsi"/>
          <w:iCs/>
        </w:rPr>
        <w:t>gallium</w:t>
      </w:r>
      <w:r w:rsidR="00710D1B">
        <w:rPr>
          <w:rStyle w:val="style1"/>
          <w:rFonts w:cstheme="minorHAnsi"/>
          <w:iCs/>
        </w:rPr>
        <w:t xml:space="preserve"> PSMA-11 </w:t>
      </w:r>
      <w:r>
        <w:rPr>
          <w:rFonts w:asciiTheme="minorHAnsi" w:cs="Calibri"/>
          <w:lang w:eastAsia="ja-JP"/>
        </w:rPr>
        <w:t xml:space="preserve">PET imaging in patients with </w:t>
      </w:r>
      <w:r w:rsidR="00692977">
        <w:t>biochemically recurrent prostate cancer</w:t>
      </w:r>
      <w:r>
        <w:rPr>
          <w:rFonts w:asciiTheme="minorHAnsi" w:cs="Calibri"/>
          <w:lang w:eastAsia="ja-JP"/>
        </w:rPr>
        <w:t xml:space="preserve">. This study was conducted at </w:t>
      </w:r>
      <w:r w:rsidR="00095E45">
        <w:rPr>
          <w:rFonts w:asciiTheme="minorHAnsi" w:cs="Calibri"/>
          <w:lang w:eastAsia="ja-JP"/>
        </w:rPr>
        <w:t>University of California Los Angeles (</w:t>
      </w:r>
      <w:r>
        <w:rPr>
          <w:rFonts w:asciiTheme="minorHAnsi" w:cs="Calibri"/>
          <w:lang w:eastAsia="ja-JP"/>
        </w:rPr>
        <w:t>UCLA</w:t>
      </w:r>
      <w:r w:rsidR="00095E45">
        <w:rPr>
          <w:rFonts w:asciiTheme="minorHAnsi" w:cs="Calibri"/>
          <w:lang w:eastAsia="ja-JP"/>
        </w:rPr>
        <w:t>)</w:t>
      </w:r>
      <w:r>
        <w:rPr>
          <w:rFonts w:asciiTheme="minorHAnsi" w:cs="Calibri"/>
          <w:lang w:eastAsia="ja-JP"/>
        </w:rPr>
        <w:t xml:space="preserve"> and </w:t>
      </w:r>
      <w:r w:rsidR="00095E45">
        <w:rPr>
          <w:rFonts w:asciiTheme="minorHAnsi" w:cs="Calibri"/>
          <w:lang w:eastAsia="ja-JP"/>
        </w:rPr>
        <w:t xml:space="preserve">San </w:t>
      </w:r>
      <w:r w:rsidR="00095E45">
        <w:rPr>
          <w:rFonts w:asciiTheme="minorHAnsi" w:cs="Calibri"/>
          <w:lang w:eastAsia="ja-JP"/>
        </w:rPr>
        <w:lastRenderedPageBreak/>
        <w:t>Francisco (</w:t>
      </w:r>
      <w:r>
        <w:rPr>
          <w:rFonts w:asciiTheme="minorHAnsi" w:cs="Calibri"/>
          <w:lang w:eastAsia="ja-JP"/>
        </w:rPr>
        <w:t>UCSF</w:t>
      </w:r>
      <w:r w:rsidR="00095E45">
        <w:rPr>
          <w:rFonts w:asciiTheme="minorHAnsi" w:cs="Calibri"/>
          <w:lang w:eastAsia="ja-JP"/>
        </w:rPr>
        <w:t>)</w:t>
      </w:r>
      <w:r>
        <w:rPr>
          <w:rFonts w:asciiTheme="minorHAnsi" w:cs="Calibri"/>
          <w:lang w:eastAsia="ja-JP"/>
        </w:rPr>
        <w:t xml:space="preserve"> and was evaluated by the FDA as part of the recently approved</w:t>
      </w:r>
      <w:r w:rsidR="00FF73C1">
        <w:rPr>
          <w:rFonts w:asciiTheme="minorHAnsi" w:cs="Calibri"/>
          <w:lang w:eastAsia="ja-JP"/>
        </w:rPr>
        <w:t xml:space="preserve"> </w:t>
      </w:r>
      <w:r w:rsidR="002D4DC6">
        <w:rPr>
          <w:rFonts w:asciiTheme="minorHAnsi" w:cs="Calibri"/>
          <w:lang w:eastAsia="ja-JP"/>
        </w:rPr>
        <w:t>New Drug Application</w:t>
      </w:r>
      <w:r>
        <w:rPr>
          <w:rFonts w:asciiTheme="minorHAnsi" w:cs="Calibri"/>
          <w:lang w:eastAsia="ja-JP"/>
        </w:rPr>
        <w:t xml:space="preserve"> for </w:t>
      </w:r>
      <w:r w:rsidR="002D4DC6">
        <w:rPr>
          <w:rStyle w:val="style1"/>
          <w:rFonts w:cstheme="minorHAnsi"/>
          <w:iCs/>
        </w:rPr>
        <w:t>[</w:t>
      </w:r>
      <w:r w:rsidR="002D4DC6">
        <w:rPr>
          <w:rStyle w:val="style1"/>
          <w:rFonts w:cstheme="minorHAnsi"/>
          <w:iCs/>
          <w:vertAlign w:val="superscript"/>
        </w:rPr>
        <w:t>68</w:t>
      </w:r>
      <w:r w:rsidR="002D4DC6">
        <w:rPr>
          <w:rStyle w:val="style1"/>
          <w:rFonts w:cstheme="minorHAnsi"/>
          <w:iCs/>
        </w:rPr>
        <w:t xml:space="preserve">Ga] </w:t>
      </w:r>
      <w:r w:rsidR="00293AB9">
        <w:rPr>
          <w:rStyle w:val="style1"/>
          <w:rFonts w:cstheme="minorHAnsi"/>
          <w:iCs/>
        </w:rPr>
        <w:t>gallium</w:t>
      </w:r>
      <w:r w:rsidR="002D4DC6">
        <w:rPr>
          <w:rStyle w:val="style1"/>
          <w:rFonts w:cstheme="minorHAnsi"/>
          <w:iCs/>
        </w:rPr>
        <w:t xml:space="preserve"> PSMA-11</w:t>
      </w:r>
      <w:r>
        <w:rPr>
          <w:rFonts w:asciiTheme="minorHAnsi" w:cs="Calibri"/>
          <w:lang w:eastAsia="ja-JP"/>
        </w:rPr>
        <w:t xml:space="preserve">. </w:t>
      </w:r>
      <w:r>
        <w:t xml:space="preserve">635 patients with </w:t>
      </w:r>
      <w:r w:rsidR="002D4DC6">
        <w:t xml:space="preserve">biochemically recurrent prostate cancer (BCR </w:t>
      </w:r>
      <w:r>
        <w:t>PC</w:t>
      </w:r>
      <w:r w:rsidR="002D4DC6">
        <w:t>)</w:t>
      </w:r>
      <w:r>
        <w:t xml:space="preserve"> after prostatectomy (n = 262, 41%), radiation therapy (n = 169, 27%), or both (n = 204, 32%) underwent </w:t>
      </w:r>
      <w:r w:rsidR="002D4DC6">
        <w:rPr>
          <w:rStyle w:val="style1"/>
          <w:rFonts w:cstheme="minorHAnsi"/>
          <w:iCs/>
        </w:rPr>
        <w:t>[</w:t>
      </w:r>
      <w:r w:rsidR="002D4DC6">
        <w:rPr>
          <w:rStyle w:val="style1"/>
          <w:rFonts w:cstheme="minorHAnsi"/>
          <w:iCs/>
          <w:vertAlign w:val="superscript"/>
        </w:rPr>
        <w:t>68</w:t>
      </w:r>
      <w:r w:rsidR="002D4DC6">
        <w:rPr>
          <w:rStyle w:val="style1"/>
          <w:rFonts w:cstheme="minorHAnsi"/>
          <w:iCs/>
        </w:rPr>
        <w:t xml:space="preserve">Ga] </w:t>
      </w:r>
      <w:r w:rsidR="00293AB9">
        <w:rPr>
          <w:rStyle w:val="style1"/>
          <w:rFonts w:cstheme="minorHAnsi"/>
          <w:iCs/>
        </w:rPr>
        <w:t>gallium</w:t>
      </w:r>
      <w:r w:rsidR="002D4DC6">
        <w:rPr>
          <w:rStyle w:val="style1"/>
          <w:rFonts w:cstheme="minorHAnsi"/>
          <w:iCs/>
        </w:rPr>
        <w:t xml:space="preserve"> PSMA-11</w:t>
      </w:r>
      <w:r>
        <w:t xml:space="preserve">. Presence of prostate cancer was recorded by </w:t>
      </w:r>
      <w:r w:rsidR="00FF73C1">
        <w:t>three</w:t>
      </w:r>
      <w:r>
        <w:t xml:space="preserve"> blinded readers on a per</w:t>
      </w:r>
      <w:r w:rsidR="00FF73C1">
        <w:t xml:space="preserve"> </w:t>
      </w:r>
      <w:r>
        <w:t>patient and per</w:t>
      </w:r>
      <w:r w:rsidR="00FF73C1">
        <w:t xml:space="preserve"> </w:t>
      </w:r>
      <w:r>
        <w:t xml:space="preserve">region base. Lesions were validated by histopathologic analysis and a composite reference standard. </w:t>
      </w:r>
      <w:r>
        <w:rPr>
          <w:rFonts w:asciiTheme="minorHAnsi" w:hAnsiTheme="minorHAnsi" w:cs="Calibri"/>
          <w:lang w:eastAsia="ja-JP"/>
        </w:rPr>
        <w:t>Patient management was in accordance with a local read and follow</w:t>
      </w:r>
      <w:r w:rsidR="00FF73C1">
        <w:rPr>
          <w:rFonts w:asciiTheme="minorHAnsi" w:hAnsiTheme="minorHAnsi" w:cs="Calibri"/>
          <w:lang w:eastAsia="ja-JP"/>
        </w:rPr>
        <w:t xml:space="preserve"> </w:t>
      </w:r>
      <w:r>
        <w:rPr>
          <w:rFonts w:asciiTheme="minorHAnsi" w:hAnsiTheme="minorHAnsi" w:cs="Calibri"/>
          <w:lang w:eastAsia="ja-JP"/>
        </w:rPr>
        <w:t>up was as for usual clinical practice.</w:t>
      </w:r>
    </w:p>
    <w:p w14:paraId="492E3F27" w14:textId="6DDBA0A3" w:rsidR="003A7852" w:rsidRDefault="003A7852" w:rsidP="003A7852">
      <w:pPr>
        <w:rPr>
          <w:rFonts w:asciiTheme="minorHAnsi" w:hAnsiTheme="minorHAnsi" w:cs="Calibri"/>
          <w:lang w:eastAsia="ja-JP"/>
        </w:rPr>
      </w:pPr>
      <w:r>
        <w:rPr>
          <w:rFonts w:asciiTheme="minorHAnsi" w:hAnsiTheme="minorHAnsi" w:cs="Calibri"/>
          <w:lang w:eastAsia="ja-JP"/>
        </w:rPr>
        <w:t>Of the 635 patients, 166 had negative scans. Of the 469 patients with positive scans, 87</w:t>
      </w:r>
      <w:r w:rsidR="00095E45">
        <w:rPr>
          <w:rFonts w:asciiTheme="minorHAnsi" w:hAnsiTheme="minorHAnsi" w:cs="Calibri"/>
          <w:lang w:eastAsia="ja-JP"/>
        </w:rPr>
        <w:t> </w:t>
      </w:r>
      <w:r>
        <w:rPr>
          <w:rFonts w:asciiTheme="minorHAnsi" w:hAnsiTheme="minorHAnsi" w:cs="Calibri"/>
          <w:lang w:eastAsia="ja-JP"/>
        </w:rPr>
        <w:t xml:space="preserve">had data for the primary endpoint of PPV by histopathology, and 215 had data for the secondary endpoint of PPV by composite reference. Outcomes for PPV and sensitivity are shown in </w:t>
      </w:r>
      <w:r>
        <w:rPr>
          <w:rFonts w:asciiTheme="minorHAnsi" w:hAnsiTheme="minorHAnsi" w:cs="Calibri"/>
          <w:lang w:eastAsia="ja-JP"/>
        </w:rPr>
        <w:fldChar w:fldCharType="begin"/>
      </w:r>
      <w:r>
        <w:rPr>
          <w:rFonts w:asciiTheme="minorHAnsi" w:hAnsiTheme="minorHAnsi" w:cs="Calibri"/>
          <w:lang w:eastAsia="ja-JP"/>
        </w:rPr>
        <w:instrText xml:space="preserve"> REF _Ref103603818 \h </w:instrText>
      </w:r>
      <w:r>
        <w:rPr>
          <w:rFonts w:asciiTheme="minorHAnsi" w:hAnsiTheme="minorHAnsi" w:cs="Calibri"/>
          <w:lang w:eastAsia="ja-JP"/>
        </w:rPr>
      </w:r>
      <w:r>
        <w:rPr>
          <w:rFonts w:asciiTheme="minorHAnsi" w:hAnsiTheme="minorHAnsi" w:cs="Calibri"/>
          <w:lang w:eastAsia="ja-JP"/>
        </w:rPr>
        <w:fldChar w:fldCharType="separate"/>
      </w:r>
      <w:r w:rsidR="00036995" w:rsidRPr="003A7852">
        <w:t xml:space="preserve">Table </w:t>
      </w:r>
      <w:r w:rsidR="00036995">
        <w:rPr>
          <w:noProof/>
        </w:rPr>
        <w:t>23</w:t>
      </w:r>
      <w:r>
        <w:rPr>
          <w:rFonts w:asciiTheme="minorHAnsi" w:hAnsiTheme="minorHAnsi" w:cs="Calibri"/>
          <w:lang w:eastAsia="ja-JP"/>
        </w:rPr>
        <w:fldChar w:fldCharType="end"/>
      </w:r>
      <w:r>
        <w:rPr>
          <w:rFonts w:asciiTheme="minorHAnsi" w:hAnsiTheme="minorHAnsi" w:cs="Calibri"/>
          <w:lang w:eastAsia="ja-JP"/>
        </w:rPr>
        <w:t>.</w:t>
      </w:r>
      <w:r w:rsidRPr="00A91975">
        <w:t xml:space="preserve"> </w:t>
      </w:r>
      <w:r>
        <w:t xml:space="preserve">Analysis of </w:t>
      </w:r>
      <w:r w:rsidR="00095E45">
        <w:rPr>
          <w:iCs/>
          <w:lang w:eastAsia="ja-JP"/>
        </w:rPr>
        <w:t xml:space="preserve">correct detection rate </w:t>
      </w:r>
      <w:r>
        <w:t>in PSMA</w:t>
      </w:r>
      <w:r w:rsidR="00FF73C1">
        <w:t xml:space="preserve"> </w:t>
      </w:r>
      <w:r w:rsidR="00095E45">
        <w:t xml:space="preserve">biochemically recurrent prostate cancer </w:t>
      </w:r>
      <w:r>
        <w:t>was also conducted by FDA reviewers (</w:t>
      </w:r>
      <w:r w:rsidR="00095E45">
        <w:t xml:space="preserve">see </w:t>
      </w:r>
      <w:r>
        <w:fldChar w:fldCharType="begin"/>
      </w:r>
      <w:r>
        <w:instrText xml:space="preserve"> REF _Ref103603828 \h </w:instrText>
      </w:r>
      <w:r>
        <w:fldChar w:fldCharType="separate"/>
      </w:r>
      <w:r w:rsidR="00036995" w:rsidRPr="003A7852">
        <w:t xml:space="preserve">Table </w:t>
      </w:r>
      <w:r w:rsidR="00036995">
        <w:rPr>
          <w:noProof/>
        </w:rPr>
        <w:t>24</w:t>
      </w:r>
      <w:r>
        <w:fldChar w:fldCharType="end"/>
      </w:r>
      <w:r>
        <w:t>).</w:t>
      </w:r>
      <w:bookmarkStart w:id="83" w:name="_Ref106351381"/>
      <w:r w:rsidR="002D4DC6">
        <w:rPr>
          <w:rStyle w:val="FootnoteReference"/>
        </w:rPr>
        <w:footnoteReference w:id="48"/>
      </w:r>
      <w:bookmarkEnd w:id="83"/>
    </w:p>
    <w:p w14:paraId="15DDB3F3" w14:textId="681D33F9" w:rsidR="003A7852" w:rsidRDefault="003A7852" w:rsidP="003A7852">
      <w:pPr>
        <w:pStyle w:val="TableTitle"/>
      </w:pPr>
      <w:bookmarkStart w:id="84" w:name="_Ref103603818"/>
      <w:r w:rsidRPr="003A7852">
        <w:t xml:space="preserve">Table </w:t>
      </w:r>
      <w:fldSimple w:instr=" SEQ Table \* ARABIC ">
        <w:r w:rsidR="00036995">
          <w:rPr>
            <w:noProof/>
          </w:rPr>
          <w:t>23</w:t>
        </w:r>
      </w:fldSimple>
      <w:bookmarkEnd w:id="84"/>
      <w:r>
        <w:t>:</w:t>
      </w:r>
      <w:r w:rsidRPr="003A7852">
        <w:t xml:space="preserve"> </w:t>
      </w:r>
      <w:proofErr w:type="spellStart"/>
      <w:r w:rsidR="00095E45" w:rsidRPr="004E5B2F">
        <w:rPr>
          <w:bCs/>
        </w:rPr>
        <w:t>Fendler</w:t>
      </w:r>
      <w:proofErr w:type="spellEnd"/>
      <w:r w:rsidR="00095E45" w:rsidRPr="004E5B2F">
        <w:rPr>
          <w:bCs/>
        </w:rPr>
        <w:t xml:space="preserve"> et al</w:t>
      </w:r>
      <w:r w:rsidR="00095E45">
        <w:rPr>
          <w:bCs/>
        </w:rPr>
        <w:t>.</w:t>
      </w:r>
      <w:r w:rsidR="00095E45" w:rsidRPr="004E5B2F">
        <w:rPr>
          <w:bCs/>
        </w:rPr>
        <w:t xml:space="preserve"> </w:t>
      </w:r>
      <w:r w:rsidR="00095E45">
        <w:rPr>
          <w:bCs/>
        </w:rPr>
        <w:t>(</w:t>
      </w:r>
      <w:r w:rsidR="00095E45" w:rsidRPr="004E5B2F">
        <w:rPr>
          <w:bCs/>
        </w:rPr>
        <w:t>2019</w:t>
      </w:r>
      <w:r w:rsidR="00095E45">
        <w:rPr>
          <w:bCs/>
        </w:rPr>
        <w:t>)</w:t>
      </w:r>
      <w:r w:rsidR="00095E45" w:rsidRPr="004E5B2F">
        <w:rPr>
          <w:bCs/>
        </w:rPr>
        <w:t xml:space="preserve"> </w:t>
      </w:r>
      <w:r w:rsidR="00FF73C1">
        <w:t>B</w:t>
      </w:r>
      <w:r w:rsidR="00FF73C1" w:rsidRPr="007A4178">
        <w:t>iochemically recurrent</w:t>
      </w:r>
      <w:r w:rsidR="00FF73C1">
        <w:t xml:space="preserve"> prostate cancer</w:t>
      </w:r>
      <w:r w:rsidR="00FF73C1">
        <w:rPr>
          <w:lang w:eastAsia="ja-JP"/>
        </w:rPr>
        <w:t xml:space="preserve"> prostate specific membrane antigen study,</w:t>
      </w:r>
      <w:r w:rsidR="00FF73C1">
        <w:t xml:space="preserve"> </w:t>
      </w:r>
      <w:r w:rsidR="00FF73C1">
        <w:rPr>
          <w:lang w:eastAsia="ja-JP"/>
        </w:rPr>
        <w:t>positive</w:t>
      </w:r>
      <w:r w:rsidR="00FF73C1" w:rsidRPr="00CB7CD5">
        <w:rPr>
          <w:lang w:eastAsia="ja-JP"/>
        </w:rPr>
        <w:t xml:space="preserve"> predictive </w:t>
      </w:r>
      <w:proofErr w:type="gramStart"/>
      <w:r w:rsidR="00FF73C1" w:rsidRPr="00CB7CD5">
        <w:rPr>
          <w:lang w:eastAsia="ja-JP"/>
        </w:rPr>
        <w:t>value</w:t>
      </w:r>
      <w:proofErr w:type="gramEnd"/>
      <w:r>
        <w:t xml:space="preserve"> and </w:t>
      </w:r>
      <w:r w:rsidR="00FF73C1">
        <w:t>s</w:t>
      </w:r>
      <w:r>
        <w:t>ensitivity results (</w:t>
      </w:r>
      <w:r w:rsidR="00FF73C1">
        <w:t>h</w:t>
      </w:r>
      <w:r>
        <w:t xml:space="preserve">istopathology and </w:t>
      </w:r>
      <w:r w:rsidR="00FF73C1">
        <w:t>c</w:t>
      </w:r>
      <w:r>
        <w:t>omposite reference standards)</w:t>
      </w:r>
    </w:p>
    <w:p w14:paraId="5D48D52C" w14:textId="2D2E6707" w:rsidR="003A7852" w:rsidRDefault="003A7852" w:rsidP="003A7852">
      <w:r>
        <w:rPr>
          <w:noProof/>
          <w:lang w:val="en-GB" w:eastAsia="en-GB"/>
        </w:rPr>
        <w:drawing>
          <wp:inline distT="0" distB="0" distL="0" distR="0" wp14:anchorId="45BA1490" wp14:editId="7F7F1DCD">
            <wp:extent cx="5165678" cy="2377852"/>
            <wp:effectExtent l="0" t="0" r="0" b="3810"/>
            <wp:docPr id="38" name="Picture 38" descr="Biochemically recurrent prostate cancer prostate specific membrane antigen positive predictive value and sensitivity results (histopathology and composite referenc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iochemically recurrent prostate cancer prostate specific membrane antigen positive predictive value and sensitivity results (histopathology and composite reference standards)"/>
                    <pic:cNvPicPr/>
                  </pic:nvPicPr>
                  <pic:blipFill>
                    <a:blip r:embed="rId46"/>
                    <a:stretch>
                      <a:fillRect/>
                    </a:stretch>
                  </pic:blipFill>
                  <pic:spPr>
                    <a:xfrm>
                      <a:off x="0" y="0"/>
                      <a:ext cx="5210214" cy="2398353"/>
                    </a:xfrm>
                    <a:prstGeom prst="rect">
                      <a:avLst/>
                    </a:prstGeom>
                  </pic:spPr>
                </pic:pic>
              </a:graphicData>
            </a:graphic>
          </wp:inline>
        </w:drawing>
      </w:r>
    </w:p>
    <w:p w14:paraId="56677BC3" w14:textId="2F9953E3" w:rsidR="005B5BB3" w:rsidRDefault="003A7852" w:rsidP="003A7852">
      <w:pPr>
        <w:pStyle w:val="TableDescription"/>
      </w:pPr>
      <w:r w:rsidRPr="00A91975">
        <w:t xml:space="preserve">Abbreviations: </w:t>
      </w:r>
      <w:r w:rsidR="00095E45">
        <w:t xml:space="preserve">PET = positron emission tomography; </w:t>
      </w:r>
      <w:r w:rsidRPr="00A91975">
        <w:t>PPV</w:t>
      </w:r>
      <w:r w:rsidR="00095E45">
        <w:t xml:space="preserve"> =</w:t>
      </w:r>
      <w:r w:rsidRPr="00A91975">
        <w:t xml:space="preserve"> positive predictive value; SE</w:t>
      </w:r>
      <w:r w:rsidR="00095E45">
        <w:t xml:space="preserve"> =</w:t>
      </w:r>
      <w:r w:rsidRPr="00A91975">
        <w:t>sensitivity.</w:t>
      </w:r>
      <w:r w:rsidR="00D23754">
        <w:t xml:space="preserve"> </w:t>
      </w:r>
      <w:r w:rsidRPr="00A91975">
        <w:rPr>
          <w:vertAlign w:val="superscript"/>
        </w:rPr>
        <w:t>a</w:t>
      </w:r>
      <w:r w:rsidRPr="00A91975">
        <w:t xml:space="preserve"> PET positive.</w:t>
      </w:r>
      <w:r w:rsidR="00D23754">
        <w:t xml:space="preserve"> </w:t>
      </w:r>
      <w:r w:rsidRPr="00A91975">
        <w:rPr>
          <w:vertAlign w:val="superscript"/>
        </w:rPr>
        <w:t>b</w:t>
      </w:r>
      <w:r w:rsidRPr="00A91975">
        <w:t xml:space="preserve"> PET negative</w:t>
      </w:r>
    </w:p>
    <w:p w14:paraId="71D0E146" w14:textId="3CC7C1ED" w:rsidR="00095E45" w:rsidRPr="003A7852" w:rsidRDefault="00095E45" w:rsidP="003A7852">
      <w:pPr>
        <w:pStyle w:val="TableDescription"/>
      </w:pPr>
      <w:r>
        <w:t xml:space="preserve">Source: </w:t>
      </w:r>
      <w:proofErr w:type="spellStart"/>
      <w:r w:rsidRPr="00095E45">
        <w:t>Fendler</w:t>
      </w:r>
      <w:proofErr w:type="spellEnd"/>
      <w:r w:rsidRPr="00095E45">
        <w:t xml:space="preserve"> WP, Calais J, </w:t>
      </w:r>
      <w:proofErr w:type="spellStart"/>
      <w:r w:rsidRPr="00095E45">
        <w:t>Eiber</w:t>
      </w:r>
      <w:proofErr w:type="spellEnd"/>
      <w:r w:rsidRPr="00095E45">
        <w:t xml:space="preserve"> M, et al. Assessment of 68Ga-PSMA-11 PET Accuracy in Localizing Recurrent Prostate Cancer: A Prospective Single-Arm Clinical Trial. JAMA Oncol. 2019;5(6):856–863</w:t>
      </w:r>
    </w:p>
    <w:p w14:paraId="10DD10BE" w14:textId="08C39050" w:rsidR="003A7852" w:rsidRDefault="003A7852" w:rsidP="003A7852">
      <w:pPr>
        <w:pStyle w:val="TableTitle"/>
      </w:pPr>
      <w:bookmarkStart w:id="85" w:name="_Ref103603828"/>
      <w:r w:rsidRPr="003A7852">
        <w:t xml:space="preserve">Table </w:t>
      </w:r>
      <w:fldSimple w:instr=" SEQ Table \* ARABIC ">
        <w:r w:rsidR="00036995">
          <w:rPr>
            <w:noProof/>
          </w:rPr>
          <w:t>24</w:t>
        </w:r>
      </w:fldSimple>
      <w:bookmarkEnd w:id="85"/>
      <w:r>
        <w:t>:</w:t>
      </w:r>
      <w:r w:rsidRPr="003A7852">
        <w:t xml:space="preserve"> </w:t>
      </w:r>
      <w:r w:rsidR="002D4DC6">
        <w:t xml:space="preserve">Extract from FDA </w:t>
      </w:r>
      <w:r w:rsidR="005B5BB3">
        <w:t xml:space="preserve">New Drug Application </w:t>
      </w:r>
      <w:r w:rsidR="002D4DC6">
        <w:t xml:space="preserve">of </w:t>
      </w:r>
      <w:proofErr w:type="spellStart"/>
      <w:r w:rsidR="00095E45">
        <w:t>Fendler</w:t>
      </w:r>
      <w:proofErr w:type="spellEnd"/>
      <w:r w:rsidR="00095E45">
        <w:t xml:space="preserve"> W et al. (2019)</w:t>
      </w:r>
      <w:r w:rsidR="005B5BB3">
        <w:t xml:space="preserve"> study in</w:t>
      </w:r>
      <w:r w:rsidR="00095E45">
        <w:t xml:space="preserve"> </w:t>
      </w:r>
      <w:r w:rsidR="005B5BB3">
        <w:t>b</w:t>
      </w:r>
      <w:r w:rsidR="00FF73C1" w:rsidRPr="007A4178">
        <w:t>iochemically recurrent</w:t>
      </w:r>
      <w:r w:rsidR="00FF73C1">
        <w:t xml:space="preserve"> prostate cancer</w:t>
      </w:r>
      <w:r w:rsidR="00FF73C1">
        <w:rPr>
          <w:lang w:eastAsia="ja-JP"/>
        </w:rPr>
        <w:t xml:space="preserve"> prostate specific membrane antigen</w:t>
      </w:r>
      <w:r w:rsidR="00FF73C1">
        <w:t xml:space="preserve"> study</w:t>
      </w:r>
      <w:r w:rsidR="005B5BB3">
        <w:t xml:space="preserve">; </w:t>
      </w:r>
      <w:r w:rsidR="00FF73C1">
        <w:t>c</w:t>
      </w:r>
      <w:r>
        <w:t xml:space="preserve">orrect </w:t>
      </w:r>
      <w:r w:rsidR="00FF73C1">
        <w:t>d</w:t>
      </w:r>
      <w:r>
        <w:t xml:space="preserve">etection </w:t>
      </w:r>
      <w:r w:rsidR="00FF73C1">
        <w:t>r</w:t>
      </w:r>
      <w:r>
        <w:t>ate</w:t>
      </w:r>
    </w:p>
    <w:p w14:paraId="0A180678" w14:textId="5629C919" w:rsidR="003A7852" w:rsidRDefault="003A7852" w:rsidP="003A7852">
      <w:pPr>
        <w:rPr>
          <w:lang w:eastAsia="ja-JP"/>
        </w:rPr>
      </w:pPr>
      <w:r>
        <w:rPr>
          <w:noProof/>
          <w:lang w:val="en-GB" w:eastAsia="en-GB"/>
        </w:rPr>
        <w:drawing>
          <wp:inline distT="0" distB="0" distL="0" distR="0" wp14:anchorId="55CF38ED" wp14:editId="238CCDDC">
            <wp:extent cx="5397497" cy="555955"/>
            <wp:effectExtent l="0" t="0" r="0" b="0"/>
            <wp:docPr id="21" name="Picture 21" descr="Biochemically recurrent prostate cancer prostate specific membrane antigen study, correct detec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iochemically recurrent prostate cancer prostate specific membrane antigen study, correct detection rate"/>
                    <pic:cNvPicPr/>
                  </pic:nvPicPr>
                  <pic:blipFill rotWithShape="1">
                    <a:blip r:embed="rId47"/>
                    <a:srcRect b="37641"/>
                    <a:stretch/>
                  </pic:blipFill>
                  <pic:spPr bwMode="auto">
                    <a:xfrm>
                      <a:off x="0" y="0"/>
                      <a:ext cx="5400040" cy="556217"/>
                    </a:xfrm>
                    <a:prstGeom prst="rect">
                      <a:avLst/>
                    </a:prstGeom>
                    <a:ln>
                      <a:noFill/>
                    </a:ln>
                    <a:extLst>
                      <a:ext uri="{53640926-AAD7-44D8-BBD7-CCE9431645EC}">
                        <a14:shadowObscured xmlns:a14="http://schemas.microsoft.com/office/drawing/2010/main"/>
                      </a:ext>
                    </a:extLst>
                  </pic:spPr>
                </pic:pic>
              </a:graphicData>
            </a:graphic>
          </wp:inline>
        </w:drawing>
      </w:r>
    </w:p>
    <w:p w14:paraId="7DF14521" w14:textId="04544F3A" w:rsidR="0037310D" w:rsidRDefault="0037310D" w:rsidP="0037310D">
      <w:pPr>
        <w:pStyle w:val="TableDescription"/>
        <w:rPr>
          <w:lang w:eastAsia="ja-JP"/>
        </w:rPr>
      </w:pPr>
      <w:r>
        <w:rPr>
          <w:lang w:eastAsia="ja-JP"/>
        </w:rPr>
        <w:t xml:space="preserve">Abbreviations: </w:t>
      </w:r>
      <w:r w:rsidRPr="0037310D">
        <w:rPr>
          <w:vertAlign w:val="superscript"/>
          <w:lang w:eastAsia="ja-JP"/>
        </w:rPr>
        <w:t>68</w:t>
      </w:r>
      <w:r>
        <w:rPr>
          <w:lang w:eastAsia="ja-JP"/>
        </w:rPr>
        <w:t>Ga = gallium-68, CI = confidence interval, N = number of patients; PET = positron emission tomography; PSMA = prostate specific membrane antigen.</w:t>
      </w:r>
    </w:p>
    <w:p w14:paraId="3170190C" w14:textId="270A9BC6" w:rsidR="00095E45" w:rsidRDefault="005B5BB3" w:rsidP="0037310D">
      <w:pPr>
        <w:pStyle w:val="TableDescription"/>
      </w:pPr>
      <w:r>
        <w:t xml:space="preserve">Extracted from: </w:t>
      </w:r>
      <w:proofErr w:type="spellStart"/>
      <w:r w:rsidRPr="005B5BB3">
        <w:t>Center</w:t>
      </w:r>
      <w:proofErr w:type="spellEnd"/>
      <w:r w:rsidRPr="005B5BB3">
        <w:t xml:space="preserve"> for Drug Evaluation and Research 212642Orig1s000 Multi-Discipline Review NDA/BLA Multi-Disciplinary Review and Evaluation NDA 212642 </w:t>
      </w:r>
      <w:r w:rsidR="00293AB9">
        <w:t>gallium</w:t>
      </w:r>
      <w:r w:rsidRPr="005B5BB3">
        <w:t xml:space="preserve"> Ga 68 PSMA-11 Injection. United States Food and Drug Administration. 12 October 2018.</w:t>
      </w:r>
    </w:p>
    <w:p w14:paraId="3D516CBF" w14:textId="6A0E435A" w:rsidR="005B5BB3" w:rsidRDefault="005B5BB3" w:rsidP="0037310D">
      <w:pPr>
        <w:pStyle w:val="TableDescription"/>
      </w:pPr>
      <w:r>
        <w:lastRenderedPageBreak/>
        <w:t xml:space="preserve">Review of data from: Source: </w:t>
      </w:r>
      <w:proofErr w:type="spellStart"/>
      <w:r w:rsidRPr="00095E45">
        <w:t>Fendler</w:t>
      </w:r>
      <w:proofErr w:type="spellEnd"/>
      <w:r w:rsidRPr="00095E45">
        <w:t xml:space="preserve"> WP, Calais J, </w:t>
      </w:r>
      <w:proofErr w:type="spellStart"/>
      <w:r w:rsidRPr="00095E45">
        <w:t>Eiber</w:t>
      </w:r>
      <w:proofErr w:type="spellEnd"/>
      <w:r w:rsidRPr="00095E45">
        <w:t xml:space="preserve"> M, et al. Assessment of 68Ga-PSMA-11 PET Accuracy in Localizing Recurrent Prostate Cancer: A Prospective Single-Arm Clinical Trial. JAMA Oncol. 2019;5(6):856–863</w:t>
      </w:r>
    </w:p>
    <w:p w14:paraId="61D49783" w14:textId="32778326" w:rsidR="003A7852" w:rsidRPr="003A7852" w:rsidRDefault="003A7852">
      <w:pPr>
        <w:pStyle w:val="Heading5"/>
      </w:pPr>
      <w:r w:rsidRPr="003A7852">
        <w:t>S</w:t>
      </w:r>
      <w:r w:rsidR="00095E45">
        <w:t xml:space="preserve">tudy </w:t>
      </w:r>
      <w:r w:rsidRPr="003A7852">
        <w:t>ANMI-PG01-C301</w:t>
      </w:r>
      <w:r w:rsidR="00095E45">
        <w:t xml:space="preserve"> (supportive study)</w:t>
      </w:r>
    </w:p>
    <w:p w14:paraId="33C56FD5" w14:textId="2D45EDF2" w:rsidR="003A7852" w:rsidRDefault="003A7852" w:rsidP="003A7852">
      <w:r>
        <w:t>This study was presented as a supportive study. It was a retrospective, observational, single</w:t>
      </w:r>
      <w:r w:rsidR="00FF73C1">
        <w:t xml:space="preserve"> </w:t>
      </w:r>
      <w:r>
        <w:t xml:space="preserve">centre study conducted in Italy to evaluate the diagnostic performance and safety of </w:t>
      </w:r>
      <w:r w:rsidR="005B5BB3">
        <w:rPr>
          <w:rStyle w:val="style1"/>
          <w:rFonts w:cstheme="minorHAnsi"/>
          <w:iCs/>
        </w:rPr>
        <w:t>[</w:t>
      </w:r>
      <w:r w:rsidR="005B5BB3">
        <w:rPr>
          <w:rStyle w:val="style1"/>
          <w:rFonts w:cstheme="minorHAnsi"/>
          <w:iCs/>
          <w:vertAlign w:val="superscript"/>
        </w:rPr>
        <w:t>68</w:t>
      </w:r>
      <w:r w:rsidR="005B5BB3">
        <w:rPr>
          <w:rStyle w:val="style1"/>
          <w:rFonts w:cstheme="minorHAnsi"/>
          <w:iCs/>
        </w:rPr>
        <w:t xml:space="preserve">Ga] </w:t>
      </w:r>
      <w:r w:rsidR="00293AB9">
        <w:rPr>
          <w:rStyle w:val="style1"/>
          <w:rFonts w:cstheme="minorHAnsi"/>
          <w:iCs/>
        </w:rPr>
        <w:t>gallium</w:t>
      </w:r>
      <w:r w:rsidR="005B5BB3">
        <w:rPr>
          <w:rStyle w:val="style1"/>
          <w:rFonts w:cstheme="minorHAnsi"/>
          <w:iCs/>
        </w:rPr>
        <w:t xml:space="preserve"> PSMA-11 </w:t>
      </w:r>
      <w:r>
        <w:t xml:space="preserve">PET/CT in the detection of prostate cancer recurrence in patients who had received definitive treatment (prostatectomy or radiotherapy). </w:t>
      </w:r>
      <w:r w:rsidR="005B5BB3">
        <w:rPr>
          <w:rStyle w:val="style1"/>
          <w:rFonts w:cstheme="minorHAnsi"/>
          <w:iCs/>
        </w:rPr>
        <w:t>[</w:t>
      </w:r>
      <w:r w:rsidR="005B5BB3">
        <w:rPr>
          <w:rStyle w:val="style1"/>
          <w:rFonts w:cstheme="minorHAnsi"/>
          <w:iCs/>
          <w:vertAlign w:val="superscript"/>
        </w:rPr>
        <w:t>68</w:t>
      </w:r>
      <w:r w:rsidR="005B5BB3">
        <w:rPr>
          <w:rStyle w:val="style1"/>
          <w:rFonts w:cstheme="minorHAnsi"/>
          <w:iCs/>
        </w:rPr>
        <w:t xml:space="preserve">Ga] </w:t>
      </w:r>
      <w:r w:rsidR="00293AB9">
        <w:rPr>
          <w:rStyle w:val="style1"/>
          <w:rFonts w:cstheme="minorHAnsi"/>
          <w:iCs/>
        </w:rPr>
        <w:t>gallium</w:t>
      </w:r>
      <w:r w:rsidR="005B5BB3">
        <w:rPr>
          <w:rStyle w:val="style1"/>
          <w:rFonts w:cstheme="minorHAnsi"/>
          <w:iCs/>
        </w:rPr>
        <w:t xml:space="preserve"> PSMA-</w:t>
      </w:r>
      <w:proofErr w:type="gramStart"/>
      <w:r w:rsidR="005B5BB3">
        <w:rPr>
          <w:rStyle w:val="style1"/>
          <w:rFonts w:cstheme="minorHAnsi"/>
          <w:iCs/>
        </w:rPr>
        <w:t xml:space="preserve">11 </w:t>
      </w:r>
      <w:r>
        <w:t xml:space="preserve"> was</w:t>
      </w:r>
      <w:proofErr w:type="gramEnd"/>
      <w:r>
        <w:t xml:space="preserve"> prepared using the </w:t>
      </w:r>
      <w:r w:rsidR="00FF73C1">
        <w:t>s</w:t>
      </w:r>
      <w:r>
        <w:t xml:space="preserve">ponsor’s </w:t>
      </w:r>
      <w:r w:rsidR="00FF73C1">
        <w:t>k</w:t>
      </w:r>
      <w:r>
        <w:t>it.</w:t>
      </w:r>
      <w:r w:rsidRPr="00DF622C">
        <w:rPr>
          <w:lang w:eastAsia="ja-JP"/>
        </w:rPr>
        <w:t xml:space="preserve"> </w:t>
      </w:r>
      <w:r>
        <w:rPr>
          <w:lang w:eastAsia="ja-JP"/>
        </w:rPr>
        <w:t>A dose with activity of 185</w:t>
      </w:r>
      <w:r w:rsidR="00095E45">
        <w:rPr>
          <w:lang w:eastAsia="ja-JP"/>
        </w:rPr>
        <w:t xml:space="preserve"> </w:t>
      </w:r>
      <w:r>
        <w:rPr>
          <w:lang w:eastAsia="ja-JP"/>
        </w:rPr>
        <w:t xml:space="preserve">MBq (±10%) of </w:t>
      </w:r>
      <w:r w:rsidRPr="007D5A86">
        <w:rPr>
          <w:vertAlign w:val="superscript"/>
          <w:lang w:eastAsia="ja-JP"/>
        </w:rPr>
        <w:t>68</w:t>
      </w:r>
      <w:r>
        <w:rPr>
          <w:lang w:eastAsia="ja-JP"/>
        </w:rPr>
        <w:t>Ga</w:t>
      </w:r>
      <w:r w:rsidR="00095E45">
        <w:rPr>
          <w:lang w:eastAsia="ja-JP"/>
        </w:rPr>
        <w:t> </w:t>
      </w:r>
      <w:r>
        <w:rPr>
          <w:lang w:eastAsia="ja-JP"/>
        </w:rPr>
        <w:t>PSMA</w:t>
      </w:r>
      <w:r w:rsidR="00095E45">
        <w:rPr>
          <w:lang w:eastAsia="ja-JP"/>
        </w:rPr>
        <w:noBreakHyphen/>
      </w:r>
      <w:r>
        <w:rPr>
          <w:lang w:eastAsia="ja-JP"/>
        </w:rPr>
        <w:t>11 was to be administered intravenously as a single bolus.</w:t>
      </w:r>
    </w:p>
    <w:p w14:paraId="385FFFCB" w14:textId="437A6F71" w:rsidR="003A7852" w:rsidRDefault="003A7852" w:rsidP="003A7852">
      <w:pPr>
        <w:rPr>
          <w:lang w:eastAsia="ja-JP"/>
        </w:rPr>
      </w:pPr>
      <w:r>
        <w:t xml:space="preserve">The study included men aged between 18 and 80 years who had been diagnosed with </w:t>
      </w:r>
      <w:r w:rsidR="00FF73C1">
        <w:t>prostate cancer</w:t>
      </w:r>
      <w:r>
        <w:t xml:space="preserve">, undergone radical treatment by prostatectomy or radiotherapy, and had </w:t>
      </w:r>
      <w:r w:rsidR="005B5BB3">
        <w:rPr>
          <w:rStyle w:val="style1"/>
          <w:rFonts w:cstheme="minorHAnsi"/>
          <w:iCs/>
        </w:rPr>
        <w:t>[</w:t>
      </w:r>
      <w:r w:rsidR="005B5BB3">
        <w:rPr>
          <w:rStyle w:val="style1"/>
          <w:rFonts w:cstheme="minorHAnsi"/>
          <w:iCs/>
          <w:vertAlign w:val="superscript"/>
        </w:rPr>
        <w:t>68</w:t>
      </w:r>
      <w:r w:rsidR="005B5BB3">
        <w:rPr>
          <w:rStyle w:val="style1"/>
          <w:rFonts w:cstheme="minorHAnsi"/>
          <w:iCs/>
        </w:rPr>
        <w:t xml:space="preserve">Ga] </w:t>
      </w:r>
      <w:r w:rsidR="00293AB9">
        <w:rPr>
          <w:rStyle w:val="style1"/>
          <w:rFonts w:cstheme="minorHAnsi"/>
          <w:iCs/>
        </w:rPr>
        <w:t>gallium</w:t>
      </w:r>
      <w:r w:rsidR="005B5BB3">
        <w:rPr>
          <w:rStyle w:val="style1"/>
          <w:rFonts w:cstheme="minorHAnsi"/>
          <w:iCs/>
        </w:rPr>
        <w:t xml:space="preserve"> PSMA-11 </w:t>
      </w:r>
      <w:r>
        <w:t xml:space="preserve">PET/CT imaging </w:t>
      </w:r>
      <w:r>
        <w:rPr>
          <w:lang w:eastAsia="ja-JP"/>
        </w:rPr>
        <w:t xml:space="preserve">at the participating centre in the </w:t>
      </w:r>
      <w:r w:rsidR="00FF73C1">
        <w:rPr>
          <w:lang w:eastAsia="ja-JP"/>
        </w:rPr>
        <w:t>six</w:t>
      </w:r>
      <w:r>
        <w:rPr>
          <w:lang w:eastAsia="ja-JP"/>
        </w:rPr>
        <w:t xml:space="preserve"> months prior to the date of approbation for the study. There was no formal sample size calculation.</w:t>
      </w:r>
    </w:p>
    <w:p w14:paraId="55E4D82D" w14:textId="10140E42" w:rsidR="003A7852" w:rsidRDefault="003A7852" w:rsidP="003A7852">
      <w:pPr>
        <w:rPr>
          <w:lang w:eastAsia="ja-JP"/>
        </w:rPr>
      </w:pPr>
      <w:r>
        <w:rPr>
          <w:lang w:eastAsia="ja-JP"/>
        </w:rPr>
        <w:t xml:space="preserve">The images were reviewed by </w:t>
      </w:r>
      <w:r w:rsidR="00FF73C1">
        <w:rPr>
          <w:lang w:eastAsia="ja-JP"/>
        </w:rPr>
        <w:t>three</w:t>
      </w:r>
      <w:r>
        <w:rPr>
          <w:lang w:eastAsia="ja-JP"/>
        </w:rPr>
        <w:t xml:space="preserve"> independent readers in </w:t>
      </w:r>
      <w:r w:rsidR="00FF73C1">
        <w:rPr>
          <w:lang w:eastAsia="ja-JP"/>
        </w:rPr>
        <w:t>two</w:t>
      </w:r>
      <w:r>
        <w:rPr>
          <w:lang w:eastAsia="ja-JP"/>
        </w:rPr>
        <w:t xml:space="preserve"> sequential steps:</w:t>
      </w:r>
    </w:p>
    <w:p w14:paraId="4746107C" w14:textId="1B7F0266" w:rsidR="003A7852" w:rsidRDefault="003A7852" w:rsidP="00DA02C1">
      <w:pPr>
        <w:pStyle w:val="Numberbullet0"/>
      </w:pPr>
      <w:r>
        <w:t>Blinded review: PET/CT images were read without any other information about the patient, and the interpretations were recorded.</w:t>
      </w:r>
    </w:p>
    <w:p w14:paraId="65F35297" w14:textId="0617481A" w:rsidR="003A7852" w:rsidRDefault="003A7852" w:rsidP="003A7852">
      <w:pPr>
        <w:pStyle w:val="Numberbullet0"/>
      </w:pPr>
      <w:r>
        <w:t>Unblinded review: PET/CT images were then evaluated with access to clinical data (patient clinical information, biological information, and correlative imaging results) that was available at the time the scan was performed. The three independent readers assigned a malignancy status to each lesion: ‘confirmed’, ‘invalidated’, ‘pending’ or ‘inconclusive’.</w:t>
      </w:r>
    </w:p>
    <w:p w14:paraId="42B45A20" w14:textId="3D21484F" w:rsidR="003A7852" w:rsidRDefault="003A7852" w:rsidP="003A7852">
      <w:pPr>
        <w:rPr>
          <w:lang w:eastAsia="ja-JP"/>
        </w:rPr>
      </w:pPr>
      <w:r>
        <w:rPr>
          <w:lang w:eastAsia="ja-JP"/>
        </w:rPr>
        <w:t>An algorithm was developed by the study sponso</w:t>
      </w:r>
      <w:r w:rsidR="00FA4DFF">
        <w:rPr>
          <w:lang w:eastAsia="ja-JP"/>
        </w:rPr>
        <w:t>r</w:t>
      </w:r>
      <w:r>
        <w:rPr>
          <w:lang w:eastAsia="ja-JP"/>
        </w:rPr>
        <w:t xml:space="preserve"> and applied retrospectively to establish the reference standard (</w:t>
      </w:r>
      <w:r w:rsidR="00FA4DFF">
        <w:rPr>
          <w:lang w:eastAsia="ja-JP"/>
        </w:rPr>
        <w:t>‘</w:t>
      </w:r>
      <w:r>
        <w:rPr>
          <w:lang w:eastAsia="ja-JP"/>
        </w:rPr>
        <w:t xml:space="preserve">surrogate </w:t>
      </w:r>
      <w:r w:rsidR="00FA4DFF">
        <w:rPr>
          <w:lang w:eastAsia="ja-JP"/>
        </w:rPr>
        <w:t>s</w:t>
      </w:r>
      <w:r>
        <w:rPr>
          <w:lang w:eastAsia="ja-JP"/>
        </w:rPr>
        <w:t xml:space="preserve">tandard of </w:t>
      </w:r>
      <w:r w:rsidR="00FA4DFF">
        <w:rPr>
          <w:lang w:eastAsia="ja-JP"/>
        </w:rPr>
        <w:t>t</w:t>
      </w:r>
      <w:r>
        <w:rPr>
          <w:lang w:eastAsia="ja-JP"/>
        </w:rPr>
        <w:t>ruth</w:t>
      </w:r>
      <w:r w:rsidR="00FA4DFF">
        <w:rPr>
          <w:lang w:eastAsia="ja-JP"/>
        </w:rPr>
        <w:t>’</w:t>
      </w:r>
      <w:r>
        <w:rPr>
          <w:lang w:eastAsia="ja-JP"/>
        </w:rPr>
        <w:t xml:space="preserve">). The </w:t>
      </w:r>
      <w:r w:rsidR="00FA4DFF">
        <w:rPr>
          <w:lang w:eastAsia="ja-JP"/>
        </w:rPr>
        <w:t>standard of truth</w:t>
      </w:r>
      <w:r>
        <w:rPr>
          <w:lang w:eastAsia="ja-JP"/>
        </w:rPr>
        <w:t xml:space="preserve"> algorithm included clinical outcome, including response to treatment, and/or histopathology data and/or additional imaging as performed in the first </w:t>
      </w:r>
      <w:r w:rsidR="00FA4DFF">
        <w:rPr>
          <w:lang w:eastAsia="ja-JP"/>
        </w:rPr>
        <w:t>six</w:t>
      </w:r>
      <w:r>
        <w:rPr>
          <w:lang w:eastAsia="ja-JP"/>
        </w:rPr>
        <w:t xml:space="preserve"> months following the scan. Lesions identified on the initial </w:t>
      </w:r>
      <w:r w:rsidR="005B5BB3">
        <w:rPr>
          <w:rStyle w:val="style1"/>
          <w:rFonts w:cstheme="minorHAnsi"/>
          <w:iCs/>
        </w:rPr>
        <w:t>[</w:t>
      </w:r>
      <w:r w:rsidR="005B5BB3">
        <w:rPr>
          <w:rStyle w:val="style1"/>
          <w:rFonts w:cstheme="minorHAnsi"/>
          <w:iCs/>
          <w:vertAlign w:val="superscript"/>
        </w:rPr>
        <w:t>68</w:t>
      </w:r>
      <w:r w:rsidR="005B5BB3">
        <w:rPr>
          <w:rStyle w:val="style1"/>
          <w:rFonts w:cstheme="minorHAnsi"/>
          <w:iCs/>
        </w:rPr>
        <w:t xml:space="preserve">Ga] </w:t>
      </w:r>
      <w:r w:rsidR="00293AB9">
        <w:rPr>
          <w:rStyle w:val="style1"/>
          <w:rFonts w:cstheme="minorHAnsi"/>
          <w:iCs/>
        </w:rPr>
        <w:t>gallium</w:t>
      </w:r>
      <w:r w:rsidR="005B5BB3">
        <w:rPr>
          <w:rStyle w:val="style1"/>
          <w:rFonts w:cstheme="minorHAnsi"/>
          <w:iCs/>
        </w:rPr>
        <w:t xml:space="preserve"> PSMA-11 </w:t>
      </w:r>
      <w:r>
        <w:rPr>
          <w:lang w:eastAsia="ja-JP"/>
        </w:rPr>
        <w:t xml:space="preserve">PET/CT were re-evaluated retrospectively by the </w:t>
      </w:r>
      <w:proofErr w:type="gramStart"/>
      <w:r w:rsidR="00FA4DFF">
        <w:rPr>
          <w:lang w:eastAsia="ja-JP"/>
        </w:rPr>
        <w:t>p</w:t>
      </w:r>
      <w:r>
        <w:rPr>
          <w:lang w:eastAsia="ja-JP"/>
        </w:rPr>
        <w:t>rinciple</w:t>
      </w:r>
      <w:proofErr w:type="gramEnd"/>
      <w:r>
        <w:rPr>
          <w:lang w:eastAsia="ja-JP"/>
        </w:rPr>
        <w:t xml:space="preserve"> </w:t>
      </w:r>
      <w:r w:rsidR="00FA4DFF">
        <w:rPr>
          <w:lang w:eastAsia="ja-JP"/>
        </w:rPr>
        <w:t>i</w:t>
      </w:r>
      <w:r>
        <w:rPr>
          <w:lang w:eastAsia="ja-JP"/>
        </w:rPr>
        <w:t xml:space="preserve">nvestigator using the </w:t>
      </w:r>
      <w:r w:rsidR="00FA4DFF">
        <w:rPr>
          <w:lang w:eastAsia="ja-JP"/>
        </w:rPr>
        <w:t>standard of truth</w:t>
      </w:r>
      <w:r>
        <w:rPr>
          <w:lang w:eastAsia="ja-JP"/>
        </w:rPr>
        <w:t xml:space="preserve"> algorithm.</w:t>
      </w:r>
    </w:p>
    <w:p w14:paraId="1BF24D5A" w14:textId="641613BD" w:rsidR="003A7852" w:rsidRDefault="003A7852" w:rsidP="003A7852">
      <w:r>
        <w:t>200 patients were enrolled in the study (</w:t>
      </w:r>
      <w:r w:rsidR="00FA4DFF">
        <w:t>e</w:t>
      </w:r>
      <w:r>
        <w:t xml:space="preserve">nrolled </w:t>
      </w:r>
      <w:r w:rsidR="00FA4DFF">
        <w:t>s</w:t>
      </w:r>
      <w:r>
        <w:t xml:space="preserve">et), but six were subsequently determined to be ineligible, so 194 were included in the </w:t>
      </w:r>
      <w:r w:rsidR="00FA4DFF">
        <w:t>a</w:t>
      </w:r>
      <w:r>
        <w:t xml:space="preserve">nalysis </w:t>
      </w:r>
      <w:r w:rsidR="00FA4DFF">
        <w:t>s</w:t>
      </w:r>
      <w:r>
        <w:t>et. Median age was 69</w:t>
      </w:r>
      <w:r w:rsidR="00095E45">
        <w:t> </w:t>
      </w:r>
      <w:r>
        <w:t>years (range 48 to 79 years). History of radical prostatectomy was reported for 186</w:t>
      </w:r>
      <w:r w:rsidR="00095E45">
        <w:t> </w:t>
      </w:r>
      <w:r>
        <w:t>(95.9%) patients, in 115 cases with pelvic lymph</w:t>
      </w:r>
      <w:r w:rsidR="00FA4DFF">
        <w:t xml:space="preserve"> </w:t>
      </w:r>
      <w:r>
        <w:t>node dissection. Eight patients received external</w:t>
      </w:r>
      <w:r w:rsidR="00FA4DFF">
        <w:t xml:space="preserve"> </w:t>
      </w:r>
      <w:r>
        <w:t xml:space="preserve">beam radiation therapy as primary treatment. </w:t>
      </w:r>
      <w:r w:rsidRPr="00A951ED">
        <w:t>Some form of androgen</w:t>
      </w:r>
      <w:r>
        <w:t xml:space="preserve"> deprivation therapy was reported for 85 patients.</w:t>
      </w:r>
    </w:p>
    <w:p w14:paraId="398E335D" w14:textId="3E001AD8" w:rsidR="003A7852" w:rsidRDefault="003A7852" w:rsidP="003A7852">
      <w:r>
        <w:t xml:space="preserve">In the blinded review, a total of 226 lesions were identified, 140 of which (61.9%) were considered distant metastases. 108 </w:t>
      </w:r>
      <w:r w:rsidR="00FA4DFF">
        <w:t xml:space="preserve">out </w:t>
      </w:r>
      <w:r>
        <w:t xml:space="preserve">of 194 (55.7%) patients had no lesions detected. A single lesion was identified in 44 (22.7%) patients, and 18 (9.3%) patients had two lesions. The remaining 24 patients had three or more lesions (maximum of 17 lesions in one patient). In the unblinded review, the malignancy status of 212 of 226 (93.8%) lesions </w:t>
      </w:r>
      <w:r w:rsidR="00095E45">
        <w:t xml:space="preserve">were </w:t>
      </w:r>
      <w:r>
        <w:t xml:space="preserve">assessed as ‘confirmed’, 10 (4.4%) were ‘pending’, and </w:t>
      </w:r>
      <w:r w:rsidR="00FA4DFF">
        <w:t>four</w:t>
      </w:r>
      <w:r>
        <w:t xml:space="preserve"> (1.8%) were ‘inconclusive’. Only </w:t>
      </w:r>
      <w:r w:rsidR="00FA4DFF">
        <w:t xml:space="preserve">four </w:t>
      </w:r>
      <w:r>
        <w:t>(1.8%) lesions were confirmed with a correlative assessment (</w:t>
      </w:r>
      <w:r w:rsidR="00FA4DFF">
        <w:t>one</w:t>
      </w:r>
      <w:r>
        <w:t xml:space="preserve"> histopathology positive result and </w:t>
      </w:r>
      <w:r w:rsidR="00FA4DFF">
        <w:t>three</w:t>
      </w:r>
      <w:r>
        <w:t xml:space="preserve"> positive lesions on MRI).</w:t>
      </w:r>
    </w:p>
    <w:p w14:paraId="1F553D12" w14:textId="528C82CB" w:rsidR="003A7852" w:rsidRPr="0089591C" w:rsidRDefault="003A7852" w:rsidP="003A7852">
      <w:pPr>
        <w:rPr>
          <w:rFonts w:asciiTheme="minorHAnsi" w:eastAsia="TimesNewRoman" w:hAnsiTheme="minorHAnsi" w:cs="TimesNewRoman"/>
        </w:rPr>
      </w:pPr>
      <w:r>
        <w:rPr>
          <w:lang w:eastAsia="ja-JP"/>
        </w:rPr>
        <w:t xml:space="preserve">The analysis of the diagnostic performance at the lesion level based on the </w:t>
      </w:r>
      <w:r w:rsidR="00FA4DFF">
        <w:rPr>
          <w:lang w:eastAsia="ja-JP"/>
        </w:rPr>
        <w:t>standard of truth</w:t>
      </w:r>
      <w:r>
        <w:rPr>
          <w:lang w:eastAsia="ja-JP"/>
        </w:rPr>
        <w:t xml:space="preserve"> algorithm was conducted on 44 evaluable lesions </w:t>
      </w:r>
      <w:r w:rsidR="00095E45">
        <w:rPr>
          <w:lang w:eastAsia="ja-JP"/>
        </w:rPr>
        <w:t xml:space="preserve">(see </w:t>
      </w:r>
      <w:r>
        <w:rPr>
          <w:lang w:eastAsia="ja-JP"/>
        </w:rPr>
        <w:fldChar w:fldCharType="begin"/>
      </w:r>
      <w:r>
        <w:rPr>
          <w:lang w:eastAsia="ja-JP"/>
        </w:rPr>
        <w:instrText xml:space="preserve"> REF _Ref103603907 \h </w:instrText>
      </w:r>
      <w:r>
        <w:rPr>
          <w:lang w:eastAsia="ja-JP"/>
        </w:rPr>
      </w:r>
      <w:r>
        <w:rPr>
          <w:lang w:eastAsia="ja-JP"/>
        </w:rPr>
        <w:fldChar w:fldCharType="separate"/>
      </w:r>
      <w:r w:rsidR="00036995" w:rsidRPr="003A7852">
        <w:t xml:space="preserve">Table </w:t>
      </w:r>
      <w:r w:rsidR="00036995">
        <w:rPr>
          <w:noProof/>
        </w:rPr>
        <w:t>25</w:t>
      </w:r>
      <w:r>
        <w:rPr>
          <w:lang w:eastAsia="ja-JP"/>
        </w:rPr>
        <w:fldChar w:fldCharType="end"/>
      </w:r>
      <w:r w:rsidR="00095E45">
        <w:rPr>
          <w:lang w:eastAsia="ja-JP"/>
        </w:rPr>
        <w:t>)</w:t>
      </w:r>
      <w:r>
        <w:rPr>
          <w:lang w:eastAsia="ja-JP"/>
        </w:rPr>
        <w:t xml:space="preserve">. 19 of the 44 lesions were positive on </w:t>
      </w:r>
      <w:r w:rsidR="005B5BB3">
        <w:rPr>
          <w:rStyle w:val="style1"/>
          <w:rFonts w:cstheme="minorHAnsi"/>
          <w:iCs/>
        </w:rPr>
        <w:t>[</w:t>
      </w:r>
      <w:r w:rsidR="005B5BB3">
        <w:rPr>
          <w:rStyle w:val="style1"/>
          <w:rFonts w:cstheme="minorHAnsi"/>
          <w:iCs/>
          <w:vertAlign w:val="superscript"/>
        </w:rPr>
        <w:t>68</w:t>
      </w:r>
      <w:r w:rsidR="005B5BB3">
        <w:rPr>
          <w:rStyle w:val="style1"/>
          <w:rFonts w:cstheme="minorHAnsi"/>
          <w:iCs/>
        </w:rPr>
        <w:t xml:space="preserve">Ga] </w:t>
      </w:r>
      <w:r w:rsidR="00293AB9">
        <w:rPr>
          <w:rStyle w:val="style1"/>
          <w:rFonts w:cstheme="minorHAnsi"/>
          <w:iCs/>
        </w:rPr>
        <w:t>gallium</w:t>
      </w:r>
      <w:r w:rsidR="005B5BB3">
        <w:rPr>
          <w:rStyle w:val="style1"/>
          <w:rFonts w:cstheme="minorHAnsi"/>
          <w:iCs/>
        </w:rPr>
        <w:t xml:space="preserve"> PSMA-11 </w:t>
      </w:r>
      <w:r>
        <w:rPr>
          <w:lang w:eastAsia="ja-JP"/>
        </w:rPr>
        <w:t xml:space="preserve">PET/CT imaging, and 25 were negative on </w:t>
      </w:r>
      <w:r w:rsidR="005B5BB3">
        <w:rPr>
          <w:rStyle w:val="style1"/>
          <w:rFonts w:cstheme="minorHAnsi"/>
          <w:iCs/>
        </w:rPr>
        <w:t>[</w:t>
      </w:r>
      <w:r w:rsidR="005B5BB3">
        <w:rPr>
          <w:rStyle w:val="style1"/>
          <w:rFonts w:cstheme="minorHAnsi"/>
          <w:iCs/>
          <w:vertAlign w:val="superscript"/>
        </w:rPr>
        <w:t>68</w:t>
      </w:r>
      <w:r w:rsidR="005B5BB3">
        <w:rPr>
          <w:rStyle w:val="style1"/>
          <w:rFonts w:cstheme="minorHAnsi"/>
          <w:iCs/>
        </w:rPr>
        <w:t>Ga] </w:t>
      </w:r>
      <w:r w:rsidR="00293AB9">
        <w:rPr>
          <w:rStyle w:val="style1"/>
          <w:rFonts w:cstheme="minorHAnsi"/>
          <w:iCs/>
        </w:rPr>
        <w:t>gallium</w:t>
      </w:r>
      <w:r w:rsidR="005B5BB3">
        <w:rPr>
          <w:rStyle w:val="style1"/>
          <w:rFonts w:cstheme="minorHAnsi"/>
          <w:iCs/>
        </w:rPr>
        <w:t xml:space="preserve"> PSMA-11 </w:t>
      </w:r>
      <w:r>
        <w:rPr>
          <w:lang w:eastAsia="ja-JP"/>
        </w:rPr>
        <w:t xml:space="preserve">PET/CT but confirmed by other imaging. </w:t>
      </w:r>
      <w:r w:rsidRPr="0089591C">
        <w:rPr>
          <w:rFonts w:asciiTheme="minorHAnsi" w:eastAsia="TimesNewRoman" w:hAnsiTheme="minorHAnsi" w:cs="TimesNewRoman"/>
        </w:rPr>
        <w:t>The sensitivity was 43% (19</w:t>
      </w:r>
      <w:r w:rsidR="00FA4DFF">
        <w:rPr>
          <w:rFonts w:asciiTheme="minorHAnsi" w:eastAsia="TimesNewRoman" w:hAnsiTheme="minorHAnsi" w:cs="TimesNewRoman"/>
        </w:rPr>
        <w:t xml:space="preserve"> out of </w:t>
      </w:r>
      <w:r w:rsidRPr="0089591C">
        <w:rPr>
          <w:rFonts w:asciiTheme="minorHAnsi" w:eastAsia="TimesNewRoman" w:hAnsiTheme="minorHAnsi" w:cs="TimesNewRoman"/>
        </w:rPr>
        <w:t>44; 95% CI</w:t>
      </w:r>
      <w:r w:rsidR="00FA4DFF">
        <w:rPr>
          <w:rFonts w:asciiTheme="minorHAnsi" w:eastAsia="TimesNewRoman" w:hAnsiTheme="minorHAnsi" w:cs="TimesNewRoman"/>
        </w:rPr>
        <w:t xml:space="preserve">: </w:t>
      </w:r>
      <w:r w:rsidRPr="0089591C">
        <w:rPr>
          <w:rFonts w:asciiTheme="minorHAnsi" w:eastAsia="TimesNewRoman" w:hAnsiTheme="minorHAnsi" w:cs="TimesNewRoman"/>
        </w:rPr>
        <w:t>30% to 58%), and the modified PPV was 100% (19</w:t>
      </w:r>
      <w:r w:rsidR="00FA4DFF">
        <w:rPr>
          <w:rFonts w:asciiTheme="minorHAnsi" w:eastAsia="TimesNewRoman" w:hAnsiTheme="minorHAnsi" w:cs="TimesNewRoman"/>
        </w:rPr>
        <w:t xml:space="preserve"> out of </w:t>
      </w:r>
      <w:r w:rsidRPr="0089591C">
        <w:rPr>
          <w:rFonts w:asciiTheme="minorHAnsi" w:eastAsia="TimesNewRoman" w:hAnsiTheme="minorHAnsi" w:cs="TimesNewRoman"/>
        </w:rPr>
        <w:t>19; 95% CI</w:t>
      </w:r>
      <w:r w:rsidR="00FA4DFF">
        <w:rPr>
          <w:rFonts w:asciiTheme="minorHAnsi" w:eastAsia="TimesNewRoman" w:hAnsiTheme="minorHAnsi" w:cs="TimesNewRoman"/>
        </w:rPr>
        <w:t>:</w:t>
      </w:r>
      <w:r w:rsidRPr="0089591C">
        <w:rPr>
          <w:rFonts w:asciiTheme="minorHAnsi" w:eastAsia="TimesNewRoman" w:hAnsiTheme="minorHAnsi" w:cs="TimesNewRoman"/>
        </w:rPr>
        <w:t xml:space="preserve"> 83% to 100%).</w:t>
      </w:r>
    </w:p>
    <w:p w14:paraId="6FE7E3D0" w14:textId="2571B310" w:rsidR="003A7852" w:rsidRDefault="003A7852">
      <w:pPr>
        <w:pStyle w:val="TableTitle"/>
        <w:rPr>
          <w:lang w:eastAsia="ja-JP"/>
        </w:rPr>
      </w:pPr>
      <w:bookmarkStart w:id="86" w:name="_Ref103603907"/>
      <w:r w:rsidRPr="003A7852">
        <w:lastRenderedPageBreak/>
        <w:t xml:space="preserve">Table </w:t>
      </w:r>
      <w:fldSimple w:instr=" SEQ Table \* ARABIC ">
        <w:r w:rsidR="00036995">
          <w:rPr>
            <w:noProof/>
          </w:rPr>
          <w:t>25</w:t>
        </w:r>
      </w:fldSimple>
      <w:bookmarkEnd w:id="86"/>
      <w:r>
        <w:t xml:space="preserve">: </w:t>
      </w:r>
      <w:r w:rsidR="00FA4DFF" w:rsidRPr="00CC6848">
        <w:rPr>
          <w:lang w:eastAsia="ja-JP"/>
        </w:rPr>
        <w:t>Study ANMI-PG01-C301</w:t>
      </w:r>
      <w:r w:rsidR="00FA4DFF">
        <w:rPr>
          <w:lang w:eastAsia="ja-JP"/>
        </w:rPr>
        <w:t xml:space="preserve"> </w:t>
      </w:r>
      <w:r w:rsidRPr="00CC6848">
        <w:rPr>
          <w:lang w:eastAsia="ja-JP"/>
        </w:rPr>
        <w:t xml:space="preserve">Lesion level diagnostic performance based on </w:t>
      </w:r>
      <w:r w:rsidR="00FA4DFF">
        <w:rPr>
          <w:lang w:eastAsia="ja-JP"/>
        </w:rPr>
        <w:t>standard of truth</w:t>
      </w:r>
      <w:r w:rsidRPr="00CC6848">
        <w:rPr>
          <w:lang w:eastAsia="ja-JP"/>
        </w:rPr>
        <w:t xml:space="preserve"> algorithm, </w:t>
      </w:r>
      <w:r w:rsidRPr="004F7DDA">
        <w:t>evaluable</w:t>
      </w:r>
      <w:r w:rsidRPr="00CC6848">
        <w:rPr>
          <w:lang w:eastAsia="ja-JP"/>
        </w:rPr>
        <w:t xml:space="preserve"> lesions</w:t>
      </w:r>
    </w:p>
    <w:p w14:paraId="4DD5BAA0" w14:textId="5BBEC3DD" w:rsidR="003A7852" w:rsidRDefault="003A7852" w:rsidP="003A7852">
      <w:pPr>
        <w:pStyle w:val="Caption"/>
        <w:rPr>
          <w:lang w:eastAsia="ja-JP"/>
        </w:rPr>
      </w:pPr>
      <w:r>
        <w:rPr>
          <w:noProof/>
          <w:lang w:val="en-GB" w:eastAsia="en-GB"/>
        </w:rPr>
        <w:drawing>
          <wp:inline distT="0" distB="0" distL="0" distR="0" wp14:anchorId="0CD0BE2D" wp14:editId="2B368BB4">
            <wp:extent cx="5390866" cy="1658863"/>
            <wp:effectExtent l="0" t="0" r="635" b="0"/>
            <wp:docPr id="22" name="Picture 22" descr="Study ANMI-PG01-C301 Lesion level diagnostic performance based on standard of truth algorithm, evaluable lesions (n =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ANMI-PG01-C301 Lesion level diagnostic performance based on standard of truth algorithm, evaluable lesions (n = 44)"/>
                    <pic:cNvPicPr/>
                  </pic:nvPicPr>
                  <pic:blipFill>
                    <a:blip r:embed="rId48"/>
                    <a:stretch>
                      <a:fillRect/>
                    </a:stretch>
                  </pic:blipFill>
                  <pic:spPr>
                    <a:xfrm>
                      <a:off x="0" y="0"/>
                      <a:ext cx="5478732" cy="1685901"/>
                    </a:xfrm>
                    <a:prstGeom prst="rect">
                      <a:avLst/>
                    </a:prstGeom>
                  </pic:spPr>
                </pic:pic>
              </a:graphicData>
            </a:graphic>
          </wp:inline>
        </w:drawing>
      </w:r>
    </w:p>
    <w:p w14:paraId="406CE77A" w14:textId="33828EB2" w:rsidR="00095E45" w:rsidRPr="00F74A2E" w:rsidRDefault="00095E45" w:rsidP="004F7DDA">
      <w:pPr>
        <w:pStyle w:val="TableDescription"/>
        <w:rPr>
          <w:lang w:eastAsia="ja-JP"/>
        </w:rPr>
      </w:pPr>
      <w:r>
        <w:rPr>
          <w:lang w:eastAsia="ja-JP"/>
        </w:rPr>
        <w:t xml:space="preserve">Abbreviation: </w:t>
      </w:r>
      <w:proofErr w:type="spellStart"/>
      <w:r>
        <w:rPr>
          <w:lang w:eastAsia="ja-JP"/>
        </w:rPr>
        <w:t>SoT</w:t>
      </w:r>
      <w:proofErr w:type="spellEnd"/>
      <w:r>
        <w:rPr>
          <w:lang w:eastAsia="ja-JP"/>
        </w:rPr>
        <w:t xml:space="preserve"> = standard of truth.</w:t>
      </w:r>
    </w:p>
    <w:p w14:paraId="366CF1CC" w14:textId="5C108E50" w:rsidR="003A7852" w:rsidRDefault="003A7852" w:rsidP="003A7852">
      <w:r>
        <w:t xml:space="preserve">Given the limited number of lesions evaluable under the </w:t>
      </w:r>
      <w:r w:rsidR="00FA4DFF">
        <w:t>standard of truth</w:t>
      </w:r>
      <w:r>
        <w:t xml:space="preserve"> algorithm, other measures of diagnostic performance were presented. </w:t>
      </w:r>
      <w:r>
        <w:rPr>
          <w:lang w:eastAsia="ja-JP"/>
        </w:rPr>
        <w:t xml:space="preserve">Analyses were conducted using information gained during the </w:t>
      </w:r>
      <w:r w:rsidR="00FA4DFF">
        <w:rPr>
          <w:lang w:eastAsia="ja-JP"/>
        </w:rPr>
        <w:t>six</w:t>
      </w:r>
      <w:r>
        <w:rPr>
          <w:lang w:eastAsia="ja-JP"/>
        </w:rPr>
        <w:t xml:space="preserve"> </w:t>
      </w:r>
      <w:proofErr w:type="gramStart"/>
      <w:r>
        <w:rPr>
          <w:lang w:eastAsia="ja-JP"/>
        </w:rPr>
        <w:t>month</w:t>
      </w:r>
      <w:proofErr w:type="gramEnd"/>
      <w:r>
        <w:rPr>
          <w:lang w:eastAsia="ja-JP"/>
        </w:rPr>
        <w:t xml:space="preserve"> follow</w:t>
      </w:r>
      <w:r w:rsidR="00FA4DFF">
        <w:rPr>
          <w:lang w:eastAsia="ja-JP"/>
        </w:rPr>
        <w:t xml:space="preserve"> </w:t>
      </w:r>
      <w:r>
        <w:rPr>
          <w:lang w:eastAsia="ja-JP"/>
        </w:rPr>
        <w:t xml:space="preserve">up and not restricted to lesions assessed by the </w:t>
      </w:r>
      <w:r w:rsidR="00FA4DFF">
        <w:rPr>
          <w:lang w:eastAsia="ja-JP"/>
        </w:rPr>
        <w:t>standard of truth</w:t>
      </w:r>
      <w:r>
        <w:rPr>
          <w:lang w:eastAsia="ja-JP"/>
        </w:rPr>
        <w:t xml:space="preserve"> algorithm.</w:t>
      </w:r>
      <w:r>
        <w:t xml:space="preserve"> In these analyses, correlative data were not </w:t>
      </w:r>
      <w:proofErr w:type="gramStart"/>
      <w:r>
        <w:t>required</w:t>
      </w:r>
      <w:proofErr w:type="gramEnd"/>
      <w:r>
        <w:t xml:space="preserve"> and lesions were considered ‘confirmed’ malignant unless </w:t>
      </w:r>
      <w:r w:rsidRPr="009161D3">
        <w:rPr>
          <w:lang w:eastAsia="ja-JP"/>
        </w:rPr>
        <w:t>a clinical fi</w:t>
      </w:r>
      <w:r>
        <w:rPr>
          <w:lang w:eastAsia="ja-JP"/>
        </w:rPr>
        <w:t>nding came against the diagnosis. These analyses reported high sensitivity and specificity at the patient and lesion</w:t>
      </w:r>
      <w:r w:rsidR="00FA4DFF">
        <w:rPr>
          <w:lang w:eastAsia="ja-JP"/>
        </w:rPr>
        <w:t xml:space="preserve"> </w:t>
      </w:r>
      <w:r>
        <w:rPr>
          <w:lang w:eastAsia="ja-JP"/>
        </w:rPr>
        <w:t>level, but these findings are of limited value in terms of assessing the diagnostic performance due to the high risk of bias.</w:t>
      </w:r>
    </w:p>
    <w:p w14:paraId="446FB618" w14:textId="77777777" w:rsidR="003A7852" w:rsidRDefault="003A7852" w:rsidP="003A7852">
      <w:pPr>
        <w:pStyle w:val="Heading4"/>
      </w:pPr>
      <w:r w:rsidRPr="00AA53F4">
        <w:t>Safety</w:t>
      </w:r>
    </w:p>
    <w:p w14:paraId="0CA99475" w14:textId="77777777" w:rsidR="003A7852" w:rsidRDefault="003A7852" w:rsidP="003A7852">
      <w:r>
        <w:t>The safety of the proposed product is based on:</w:t>
      </w:r>
    </w:p>
    <w:p w14:paraId="60B108E5" w14:textId="77777777" w:rsidR="003A7852" w:rsidRDefault="003A7852" w:rsidP="003A7852">
      <w:pPr>
        <w:pStyle w:val="ListBullet"/>
      </w:pPr>
      <w:r>
        <w:t xml:space="preserve">Safety data from clinical trials in which the </w:t>
      </w:r>
      <w:proofErr w:type="spellStart"/>
      <w:r>
        <w:t>Telix</w:t>
      </w:r>
      <w:proofErr w:type="spellEnd"/>
      <w:r>
        <w:t xml:space="preserve"> Kit was used</w:t>
      </w:r>
    </w:p>
    <w:p w14:paraId="02AF2278" w14:textId="2F025F24" w:rsidR="003A7852" w:rsidRDefault="003A7852" w:rsidP="003A7852">
      <w:pPr>
        <w:pStyle w:val="ListBullet2"/>
      </w:pPr>
      <w:r>
        <w:t xml:space="preserve">The retrospective efficacy and safety study in patients with known or suspected </w:t>
      </w:r>
      <w:r w:rsidR="00ED2BDD">
        <w:t>b</w:t>
      </w:r>
      <w:r w:rsidR="00095E45">
        <w:t>iochemically recurrent prostate cancer</w:t>
      </w:r>
      <w:r w:rsidR="005B5BB3">
        <w:t xml:space="preserve"> </w:t>
      </w:r>
      <w:r>
        <w:t>(</w:t>
      </w:r>
      <w:r w:rsidR="00FA4DFF">
        <w:t xml:space="preserve">Study </w:t>
      </w:r>
      <w:r>
        <w:t>BCR-RET-01)</w:t>
      </w:r>
      <w:r w:rsidR="00FA4DFF">
        <w:t>.</w:t>
      </w:r>
    </w:p>
    <w:p w14:paraId="13CA10F1" w14:textId="23B252F0" w:rsidR="003A7852" w:rsidRDefault="003A7852" w:rsidP="003A7852">
      <w:pPr>
        <w:pStyle w:val="ListBullet2"/>
      </w:pPr>
      <w:r>
        <w:t xml:space="preserve">Safety data from the ongoing Phase </w:t>
      </w:r>
      <w:r w:rsidR="00FA4DFF">
        <w:t>III</w:t>
      </w:r>
      <w:r>
        <w:t xml:space="preserve"> </w:t>
      </w:r>
      <w:r w:rsidR="005B5BB3">
        <w:t>S</w:t>
      </w:r>
      <w:r>
        <w:t>tudy PSMA-617-01</w:t>
      </w:r>
      <w:r w:rsidR="00B757B9">
        <w:t>;</w:t>
      </w:r>
      <w:bookmarkStart w:id="87" w:name="_Ref106350330"/>
      <w:r w:rsidR="00B757B9">
        <w:rPr>
          <w:rStyle w:val="FootnoteReference"/>
        </w:rPr>
        <w:footnoteReference w:id="49"/>
      </w:r>
      <w:bookmarkEnd w:id="87"/>
      <w:r>
        <w:t xml:space="preserve"> (</w:t>
      </w:r>
      <w:r w:rsidR="00ED2BDD">
        <w:t xml:space="preserve">also known as the </w:t>
      </w:r>
      <w:r>
        <w:t>VISION</w:t>
      </w:r>
      <w:r w:rsidR="00FA4DFF">
        <w:t xml:space="preserve"> trial</w:t>
      </w:r>
      <w:r>
        <w:t xml:space="preserve">) investigating the use of </w:t>
      </w:r>
      <w:r w:rsidR="005B5BB3">
        <w:t>[</w:t>
      </w:r>
      <w:r w:rsidRPr="004F7DDA">
        <w:rPr>
          <w:vertAlign w:val="superscript"/>
        </w:rPr>
        <w:t>177</w:t>
      </w:r>
      <w:r>
        <w:t>Lu</w:t>
      </w:r>
      <w:r w:rsidR="005B5BB3">
        <w:t xml:space="preserve">] Lutetium </w:t>
      </w:r>
      <w:r>
        <w:t>PSMA-617 for the treatment of patients with progressive PSMA</w:t>
      </w:r>
      <w:r w:rsidR="00B757B9">
        <w:t>-</w:t>
      </w:r>
      <w:r>
        <w:t>positive metastatic castration</w:t>
      </w:r>
      <w:r w:rsidR="00FA4DFF">
        <w:t xml:space="preserve"> </w:t>
      </w:r>
      <w:r>
        <w:t>resistant prostate cancer (</w:t>
      </w:r>
      <w:proofErr w:type="spellStart"/>
      <w:r>
        <w:t>mCRPC</w:t>
      </w:r>
      <w:proofErr w:type="spellEnd"/>
      <w:r>
        <w:t xml:space="preserve">). </w:t>
      </w:r>
      <w:r w:rsidR="005B5BB3">
        <w:rPr>
          <w:rStyle w:val="style1"/>
          <w:rFonts w:cstheme="minorHAnsi"/>
          <w:iCs/>
        </w:rPr>
        <w:t>[</w:t>
      </w:r>
      <w:r w:rsidR="005B5BB3">
        <w:rPr>
          <w:rStyle w:val="style1"/>
          <w:rFonts w:cstheme="minorHAnsi"/>
          <w:iCs/>
          <w:vertAlign w:val="superscript"/>
        </w:rPr>
        <w:t>68</w:t>
      </w:r>
      <w:r w:rsidR="005B5BB3">
        <w:rPr>
          <w:rStyle w:val="style1"/>
          <w:rFonts w:cstheme="minorHAnsi"/>
          <w:iCs/>
        </w:rPr>
        <w:t xml:space="preserve">Ga] </w:t>
      </w:r>
      <w:r w:rsidR="00293AB9">
        <w:rPr>
          <w:rStyle w:val="style1"/>
          <w:rFonts w:cstheme="minorHAnsi"/>
          <w:iCs/>
        </w:rPr>
        <w:t>gallium</w:t>
      </w:r>
      <w:r w:rsidR="005B5BB3">
        <w:rPr>
          <w:rStyle w:val="style1"/>
          <w:rFonts w:cstheme="minorHAnsi"/>
          <w:iCs/>
        </w:rPr>
        <w:t xml:space="preserve"> PSMA-11 </w:t>
      </w:r>
      <w:r>
        <w:t>PET was performed at screening to confirm PSMA</w:t>
      </w:r>
      <w:r w:rsidR="00ED2BDD">
        <w:noBreakHyphen/>
      </w:r>
      <w:r>
        <w:t>positive prostate cancer.</w:t>
      </w:r>
    </w:p>
    <w:p w14:paraId="49F89BA2" w14:textId="14486525" w:rsidR="003A7852" w:rsidRDefault="003A7852" w:rsidP="003A7852">
      <w:pPr>
        <w:pStyle w:val="ListBullet2"/>
      </w:pPr>
      <w:r>
        <w:t xml:space="preserve">The retrospective, observational study conducted by </w:t>
      </w:r>
      <w:proofErr w:type="spellStart"/>
      <w:r>
        <w:t>Telix</w:t>
      </w:r>
      <w:proofErr w:type="spellEnd"/>
      <w:r>
        <w:t xml:space="preserve"> in Europe (</w:t>
      </w:r>
      <w:r w:rsidR="00FA4DFF">
        <w:t>Study</w:t>
      </w:r>
      <w:r w:rsidR="00ED2BDD">
        <w:t> </w:t>
      </w:r>
      <w:r>
        <w:t>ANMI</w:t>
      </w:r>
      <w:r w:rsidR="00ED2BDD">
        <w:noBreakHyphen/>
      </w:r>
      <w:r>
        <w:t>PG01-C301)</w:t>
      </w:r>
      <w:r w:rsidR="00FA4DFF">
        <w:t>.</w:t>
      </w:r>
    </w:p>
    <w:p w14:paraId="61777B87" w14:textId="70C54E23" w:rsidR="003A7852" w:rsidRDefault="003A7852" w:rsidP="003A7852">
      <w:pPr>
        <w:pStyle w:val="ListBullet2"/>
      </w:pPr>
      <w:r>
        <w:t xml:space="preserve">Safety data from </w:t>
      </w:r>
      <w:r w:rsidR="00FA4DFF">
        <w:t>three</w:t>
      </w:r>
      <w:r>
        <w:t xml:space="preserve"> healthy volunteers in </w:t>
      </w:r>
      <w:r w:rsidR="00FA4DFF">
        <w:t xml:space="preserve">Study </w:t>
      </w:r>
      <w:r>
        <w:t>Ga68PSMA-2016-1</w:t>
      </w:r>
      <w:r w:rsidR="00FA4DFF">
        <w:t>.</w:t>
      </w:r>
    </w:p>
    <w:p w14:paraId="3FCAD68A" w14:textId="7B5492DD" w:rsidR="003A7852" w:rsidRDefault="003A7852" w:rsidP="003A7852">
      <w:pPr>
        <w:pStyle w:val="ListBullet"/>
      </w:pPr>
      <w:r>
        <w:t xml:space="preserve">Safety data for </w:t>
      </w:r>
      <w:r w:rsidR="00FA4DFF">
        <w:t xml:space="preserve">Study </w:t>
      </w:r>
      <w:r>
        <w:t>Ga-68 PSMA-11 reported in published literature.</w:t>
      </w:r>
    </w:p>
    <w:p w14:paraId="450338CE" w14:textId="77777777" w:rsidR="003A7852" w:rsidRPr="003A7852" w:rsidRDefault="003A7852" w:rsidP="003A7852">
      <w:pPr>
        <w:pStyle w:val="Heading5"/>
      </w:pPr>
      <w:r w:rsidRPr="003A7852">
        <w:t>Clinical studies</w:t>
      </w:r>
    </w:p>
    <w:p w14:paraId="27A719AB" w14:textId="7A87743F" w:rsidR="003A7852" w:rsidRDefault="003A7852" w:rsidP="003A7852">
      <w:pPr>
        <w:rPr>
          <w:lang w:eastAsia="ja-JP"/>
        </w:rPr>
      </w:pPr>
      <w:r>
        <w:rPr>
          <w:lang w:eastAsia="ja-JP"/>
        </w:rPr>
        <w:t xml:space="preserve">All subjects in </w:t>
      </w:r>
      <w:r w:rsidR="00FA4DFF">
        <w:rPr>
          <w:lang w:eastAsia="ja-JP"/>
        </w:rPr>
        <w:t xml:space="preserve">Studies </w:t>
      </w:r>
      <w:r>
        <w:rPr>
          <w:lang w:eastAsia="ja-JP"/>
        </w:rPr>
        <w:t xml:space="preserve">BCR-RET-01, PSMA-617-01, and ANMI-PG01-C301 received a single dose of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w:t>
      </w:r>
      <w:r>
        <w:rPr>
          <w:lang w:eastAsia="ja-JP"/>
        </w:rPr>
        <w:t xml:space="preserve">. Patient exposure in the studies is summarised in </w:t>
      </w:r>
      <w:r>
        <w:rPr>
          <w:lang w:eastAsia="ja-JP"/>
        </w:rPr>
        <w:fldChar w:fldCharType="begin"/>
      </w:r>
      <w:r>
        <w:rPr>
          <w:lang w:eastAsia="ja-JP"/>
        </w:rPr>
        <w:instrText xml:space="preserve"> REF _Ref103604195 \h </w:instrText>
      </w:r>
      <w:r>
        <w:rPr>
          <w:lang w:eastAsia="ja-JP"/>
        </w:rPr>
      </w:r>
      <w:r>
        <w:rPr>
          <w:lang w:eastAsia="ja-JP"/>
        </w:rPr>
        <w:fldChar w:fldCharType="separate"/>
      </w:r>
      <w:r w:rsidR="00036995" w:rsidRPr="003A7852">
        <w:t xml:space="preserve">Table </w:t>
      </w:r>
      <w:r w:rsidR="00036995">
        <w:rPr>
          <w:noProof/>
        </w:rPr>
        <w:t>26</w:t>
      </w:r>
      <w:r>
        <w:rPr>
          <w:lang w:eastAsia="ja-JP"/>
        </w:rPr>
        <w:fldChar w:fldCharType="end"/>
      </w:r>
      <w:r>
        <w:rPr>
          <w:lang w:eastAsia="ja-JP"/>
        </w:rPr>
        <w:t>.</w:t>
      </w:r>
    </w:p>
    <w:p w14:paraId="22B62C58" w14:textId="1DBF9F9E" w:rsidR="003A7852" w:rsidRDefault="003A7852">
      <w:pPr>
        <w:pStyle w:val="TableTitle"/>
        <w:rPr>
          <w:lang w:eastAsia="ja-JP"/>
        </w:rPr>
      </w:pPr>
      <w:bookmarkStart w:id="88" w:name="_Ref103604195"/>
      <w:r w:rsidRPr="003A7852">
        <w:lastRenderedPageBreak/>
        <w:t xml:space="preserve">Table </w:t>
      </w:r>
      <w:fldSimple w:instr=" SEQ Table \* ARABIC ">
        <w:r w:rsidR="00036995">
          <w:rPr>
            <w:noProof/>
          </w:rPr>
          <w:t>26</w:t>
        </w:r>
      </w:fldSimple>
      <w:bookmarkEnd w:id="88"/>
      <w:r>
        <w:t xml:space="preserve">: </w:t>
      </w:r>
      <w:r>
        <w:rPr>
          <w:lang w:eastAsia="ja-JP"/>
        </w:rPr>
        <w:t>Overall dose by study</w:t>
      </w:r>
    </w:p>
    <w:p w14:paraId="7E58DEE9" w14:textId="0BE1CC4F" w:rsidR="003A7852" w:rsidRDefault="003A7852" w:rsidP="004F7DDA">
      <w:pPr>
        <w:keepNext/>
        <w:rPr>
          <w:lang w:eastAsia="ja-JP"/>
        </w:rPr>
      </w:pPr>
      <w:r>
        <w:rPr>
          <w:noProof/>
          <w:lang w:val="en-GB" w:eastAsia="en-GB"/>
        </w:rPr>
        <w:drawing>
          <wp:inline distT="0" distB="0" distL="0" distR="0" wp14:anchorId="02CEC161" wp14:editId="419C92BC">
            <wp:extent cx="5074705" cy="987552"/>
            <wp:effectExtent l="0" t="0" r="0" b="3175"/>
            <wp:docPr id="2" name="Picture 2" descr="Overall dose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verall dose by study"/>
                    <pic:cNvPicPr/>
                  </pic:nvPicPr>
                  <pic:blipFill rotWithShape="1">
                    <a:blip r:embed="rId49"/>
                    <a:srcRect b="11986"/>
                    <a:stretch/>
                  </pic:blipFill>
                  <pic:spPr bwMode="auto">
                    <a:xfrm>
                      <a:off x="0" y="0"/>
                      <a:ext cx="5091561" cy="990832"/>
                    </a:xfrm>
                    <a:prstGeom prst="rect">
                      <a:avLst/>
                    </a:prstGeom>
                    <a:ln>
                      <a:noFill/>
                    </a:ln>
                    <a:extLst>
                      <a:ext uri="{53640926-AAD7-44D8-BBD7-CCE9431645EC}">
                        <a14:shadowObscured xmlns:a14="http://schemas.microsoft.com/office/drawing/2010/main"/>
                      </a:ext>
                    </a:extLst>
                  </pic:spPr>
                </pic:pic>
              </a:graphicData>
            </a:graphic>
          </wp:inline>
        </w:drawing>
      </w:r>
    </w:p>
    <w:p w14:paraId="7067AA25" w14:textId="4986DFE6" w:rsidR="0037310D" w:rsidRDefault="0037310D" w:rsidP="004F7DDA">
      <w:pPr>
        <w:pStyle w:val="TableDescription"/>
        <w:keepNext/>
        <w:rPr>
          <w:lang w:eastAsia="ja-JP"/>
        </w:rPr>
      </w:pPr>
      <w:r>
        <w:rPr>
          <w:lang w:eastAsia="ja-JP"/>
        </w:rPr>
        <w:t xml:space="preserve">Abbreviations: </w:t>
      </w:r>
      <w:r w:rsidR="00ED2BDD">
        <w:rPr>
          <w:lang w:eastAsia="ja-JP"/>
        </w:rPr>
        <w:t xml:space="preserve">MBq = megabecquerel; </w:t>
      </w:r>
      <w:proofErr w:type="spellStart"/>
      <w:r w:rsidR="00ED2BDD">
        <w:rPr>
          <w:lang w:eastAsia="ja-JP"/>
        </w:rPr>
        <w:t>mCi</w:t>
      </w:r>
      <w:proofErr w:type="spellEnd"/>
      <w:r w:rsidR="00ED2BDD">
        <w:rPr>
          <w:lang w:eastAsia="ja-JP"/>
        </w:rPr>
        <w:t xml:space="preserve"> = millicurie; </w:t>
      </w:r>
      <w:r>
        <w:rPr>
          <w:lang w:eastAsia="ja-JP"/>
        </w:rPr>
        <w:t>N = total number of subjects; SD = standard deviation.</w:t>
      </w:r>
    </w:p>
    <w:p w14:paraId="28A625D2" w14:textId="5EE60065" w:rsidR="003A7852" w:rsidRDefault="003A7852" w:rsidP="003A7852">
      <w:r>
        <w:t xml:space="preserve">In the retrospective </w:t>
      </w:r>
      <w:r w:rsidR="00ED2BDD">
        <w:t>S</w:t>
      </w:r>
      <w:r>
        <w:t xml:space="preserve">tudy BCR-RET-01, 422 patients received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w:t>
      </w:r>
      <w:r>
        <w:t xml:space="preserve">, 295 (70%) of whom received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 </w:t>
      </w:r>
      <w:r>
        <w:t xml:space="preserve">prepared using the </w:t>
      </w:r>
      <w:proofErr w:type="spellStart"/>
      <w:r>
        <w:t>Telix</w:t>
      </w:r>
      <w:proofErr w:type="spellEnd"/>
      <w:r>
        <w:t xml:space="preserve"> kit. P</w:t>
      </w:r>
      <w:r>
        <w:rPr>
          <w:lang w:eastAsia="ja-JP"/>
        </w:rPr>
        <w:t xml:space="preserve">atients were monitored during infusion of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 </w:t>
      </w:r>
      <w:r>
        <w:rPr>
          <w:lang w:eastAsia="ja-JP"/>
        </w:rPr>
        <w:t xml:space="preserve">and for 120 minutes after, and the incidence, </w:t>
      </w:r>
      <w:proofErr w:type="gramStart"/>
      <w:r>
        <w:rPr>
          <w:lang w:eastAsia="ja-JP"/>
        </w:rPr>
        <w:t>nature</w:t>
      </w:r>
      <w:proofErr w:type="gramEnd"/>
      <w:r>
        <w:rPr>
          <w:lang w:eastAsia="ja-JP"/>
        </w:rPr>
        <w:t xml:space="preserve"> and severity of adverse events for up to </w:t>
      </w:r>
      <w:r w:rsidR="00FE0A35">
        <w:rPr>
          <w:lang w:eastAsia="ja-JP"/>
        </w:rPr>
        <w:t>one</w:t>
      </w:r>
      <w:r>
        <w:rPr>
          <w:lang w:eastAsia="ja-JP"/>
        </w:rPr>
        <w:t xml:space="preserve"> day following infusion were collected.</w:t>
      </w:r>
      <w:r>
        <w:t xml:space="preserve"> This </w:t>
      </w:r>
      <w:proofErr w:type="gramStart"/>
      <w:r w:rsidR="00FE0A35">
        <w:t xml:space="preserve">one </w:t>
      </w:r>
      <w:r>
        <w:t>day</w:t>
      </w:r>
      <w:proofErr w:type="gramEnd"/>
      <w:r>
        <w:t xml:space="preserve"> timeframe was consistent with</w:t>
      </w:r>
      <w:r w:rsidRPr="00147F5B">
        <w:t xml:space="preserve"> </w:t>
      </w:r>
      <w:r w:rsidR="00FE0A35">
        <w:rPr>
          <w:lang w:eastAsia="ja-JP"/>
        </w:rPr>
        <w:t>c</w:t>
      </w:r>
      <w:r w:rsidRPr="00147F5B">
        <w:rPr>
          <w:lang w:eastAsia="ja-JP"/>
        </w:rPr>
        <w:t xml:space="preserve">ancer </w:t>
      </w:r>
      <w:r w:rsidR="00FE0A35">
        <w:rPr>
          <w:lang w:eastAsia="ja-JP"/>
        </w:rPr>
        <w:t>t</w:t>
      </w:r>
      <w:r w:rsidRPr="00147F5B">
        <w:rPr>
          <w:lang w:eastAsia="ja-JP"/>
        </w:rPr>
        <w:t xml:space="preserve">herapy </w:t>
      </w:r>
      <w:r w:rsidR="00FE0A35">
        <w:rPr>
          <w:lang w:eastAsia="ja-JP"/>
        </w:rPr>
        <w:t>e</w:t>
      </w:r>
      <w:r w:rsidRPr="00147F5B">
        <w:rPr>
          <w:lang w:eastAsia="ja-JP"/>
        </w:rPr>
        <w:t xml:space="preserve">valuation </w:t>
      </w:r>
      <w:r w:rsidR="00FE0A35">
        <w:rPr>
          <w:lang w:eastAsia="ja-JP"/>
        </w:rPr>
        <w:t>p</w:t>
      </w:r>
      <w:r w:rsidRPr="00147F5B">
        <w:rPr>
          <w:lang w:eastAsia="ja-JP"/>
        </w:rPr>
        <w:t>rogram guidelines</w:t>
      </w:r>
      <w:r>
        <w:rPr>
          <w:lang w:eastAsia="ja-JP"/>
        </w:rPr>
        <w:t xml:space="preserve"> (</w:t>
      </w:r>
      <w:r w:rsidRPr="00147F5B">
        <w:rPr>
          <w:lang w:eastAsia="ja-JP"/>
        </w:rPr>
        <w:t xml:space="preserve">for studies using PET </w:t>
      </w:r>
      <w:r w:rsidR="00FE0A35" w:rsidRPr="00FE0A35">
        <w:rPr>
          <w:lang w:eastAsia="ja-JP"/>
        </w:rPr>
        <w:t>investigational new drug application</w:t>
      </w:r>
      <w:r w:rsidRPr="00147F5B">
        <w:rPr>
          <w:lang w:eastAsia="ja-JP"/>
        </w:rPr>
        <w:t xml:space="preserve"> agents, the </w:t>
      </w:r>
      <w:r w:rsidR="00FE0A35">
        <w:rPr>
          <w:lang w:eastAsia="ja-JP"/>
        </w:rPr>
        <w:t>adverse event</w:t>
      </w:r>
      <w:r w:rsidR="00ED2BDD">
        <w:rPr>
          <w:lang w:eastAsia="ja-JP"/>
        </w:rPr>
        <w:t xml:space="preserve"> </w:t>
      </w:r>
      <w:r w:rsidRPr="00147F5B">
        <w:rPr>
          <w:lang w:eastAsia="ja-JP"/>
        </w:rPr>
        <w:t xml:space="preserve">reporting period is limited to </w:t>
      </w:r>
      <w:r w:rsidR="00FE0A35">
        <w:rPr>
          <w:lang w:eastAsia="ja-JP"/>
        </w:rPr>
        <w:t>ten</w:t>
      </w:r>
      <w:r w:rsidRPr="00147F5B">
        <w:rPr>
          <w:lang w:eastAsia="ja-JP"/>
        </w:rPr>
        <w:t xml:space="preserve"> radioactive half</w:t>
      </w:r>
      <w:r w:rsidR="00B757B9">
        <w:rPr>
          <w:lang w:eastAsia="ja-JP"/>
        </w:rPr>
        <w:t>-</w:t>
      </w:r>
      <w:r w:rsidRPr="00147F5B">
        <w:rPr>
          <w:lang w:eastAsia="ja-JP"/>
        </w:rPr>
        <w:t>lives, rounded up to the nearest whole day, after the agent/intervention was last administered</w:t>
      </w:r>
      <w:r>
        <w:rPr>
          <w:lang w:eastAsia="ja-JP"/>
        </w:rPr>
        <w:t>)</w:t>
      </w:r>
      <w:r w:rsidRPr="00147F5B">
        <w:rPr>
          <w:lang w:eastAsia="ja-JP"/>
        </w:rPr>
        <w:t>.</w:t>
      </w:r>
      <w:r>
        <w:rPr>
          <w:lang w:eastAsia="ja-JP"/>
        </w:rPr>
        <w:t xml:space="preserve"> There was no per protocol collection of laboratory values, vital signs, or </w:t>
      </w:r>
      <w:r w:rsidR="00ED2BDD">
        <w:rPr>
          <w:lang w:eastAsia="ja-JP"/>
        </w:rPr>
        <w:t>electrocardiogram</w:t>
      </w:r>
      <w:r>
        <w:rPr>
          <w:lang w:eastAsia="ja-JP"/>
        </w:rPr>
        <w:t>, but these were analysed if performed as part of usual clinical care.</w:t>
      </w:r>
    </w:p>
    <w:p w14:paraId="0905A084" w14:textId="77E2CBEF" w:rsidR="003A7852" w:rsidRDefault="003A7852" w:rsidP="003A7852">
      <w:pPr>
        <w:rPr>
          <w:lang w:eastAsia="ja-JP"/>
        </w:rPr>
      </w:pPr>
      <w:r>
        <w:t xml:space="preserve">In the retrospective </w:t>
      </w:r>
      <w:r w:rsidR="00ED2BDD">
        <w:t>S</w:t>
      </w:r>
      <w:r>
        <w:t>tudy ANMI-PG01-C301, clinical records of 200 patients who received</w:t>
      </w:r>
      <w:r w:rsidR="00B757B9" w:rsidRPr="00B757B9">
        <w:rPr>
          <w:rStyle w:val="Heading1Char"/>
          <w:rFonts w:eastAsia="Cambria" w:cstheme="minorHAnsi"/>
          <w:iCs/>
        </w:rPr>
        <w:t xml:space="preserve">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w:t>
      </w:r>
      <w:r>
        <w:t xml:space="preserve"> prepared with the </w:t>
      </w:r>
      <w:proofErr w:type="spellStart"/>
      <w:r>
        <w:t>Telix</w:t>
      </w:r>
      <w:proofErr w:type="spellEnd"/>
      <w:r>
        <w:t xml:space="preserve"> kit were reviewed. </w:t>
      </w:r>
      <w:r>
        <w:rPr>
          <w:rFonts w:asciiTheme="minorHAnsi" w:hAnsiTheme="minorHAnsi"/>
          <w:lang w:eastAsia="ja-JP"/>
        </w:rPr>
        <w:t xml:space="preserve">Any </w:t>
      </w:r>
      <w:r w:rsidR="00ED2BDD">
        <w:rPr>
          <w:rFonts w:asciiTheme="minorHAnsi" w:hAnsiTheme="minorHAnsi"/>
          <w:lang w:eastAsia="ja-JP"/>
        </w:rPr>
        <w:t xml:space="preserve">adverse events </w:t>
      </w:r>
      <w:r>
        <w:rPr>
          <w:rFonts w:asciiTheme="minorHAnsi" w:hAnsiTheme="minorHAnsi"/>
          <w:lang w:eastAsia="ja-JP"/>
        </w:rPr>
        <w:t xml:space="preserve">reported as occurring between the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 </w:t>
      </w:r>
      <w:r>
        <w:rPr>
          <w:rFonts w:asciiTheme="minorHAnsi" w:hAnsiTheme="minorHAnsi"/>
          <w:lang w:eastAsia="ja-JP"/>
        </w:rPr>
        <w:t xml:space="preserve">PET/CT and </w:t>
      </w:r>
      <w:r w:rsidR="00B757B9">
        <w:rPr>
          <w:rFonts w:asciiTheme="minorHAnsi" w:hAnsiTheme="minorHAnsi"/>
          <w:lang w:eastAsia="ja-JP"/>
        </w:rPr>
        <w:t>t</w:t>
      </w:r>
      <w:r>
        <w:rPr>
          <w:rFonts w:asciiTheme="minorHAnsi" w:hAnsiTheme="minorHAnsi"/>
          <w:lang w:eastAsia="ja-JP"/>
        </w:rPr>
        <w:t>he last follow</w:t>
      </w:r>
      <w:r w:rsidR="00FE0A35">
        <w:rPr>
          <w:rFonts w:asciiTheme="minorHAnsi" w:hAnsiTheme="minorHAnsi"/>
          <w:lang w:eastAsia="ja-JP"/>
        </w:rPr>
        <w:t xml:space="preserve"> </w:t>
      </w:r>
      <w:r>
        <w:rPr>
          <w:rFonts w:asciiTheme="minorHAnsi" w:hAnsiTheme="minorHAnsi"/>
          <w:lang w:eastAsia="ja-JP"/>
        </w:rPr>
        <w:t xml:space="preserve">up and considered by the </w:t>
      </w:r>
      <w:r w:rsidR="00FE0A35">
        <w:rPr>
          <w:rFonts w:asciiTheme="minorHAnsi" w:hAnsiTheme="minorHAnsi"/>
          <w:lang w:eastAsia="ja-JP"/>
        </w:rPr>
        <w:t>i</w:t>
      </w:r>
      <w:r>
        <w:rPr>
          <w:rFonts w:asciiTheme="minorHAnsi" w:hAnsiTheme="minorHAnsi"/>
          <w:lang w:eastAsia="ja-JP"/>
        </w:rPr>
        <w:t>nvestigator as related to</w:t>
      </w:r>
      <w:r w:rsidR="00B757B9">
        <w:rPr>
          <w:rFonts w:asciiTheme="minorHAnsi" w:hAnsiTheme="minorHAnsi"/>
          <w:lang w:eastAsia="ja-JP"/>
        </w:rPr>
        <w:t xml:space="preserve"> the</w:t>
      </w:r>
      <w:r>
        <w:rPr>
          <w:rFonts w:asciiTheme="minorHAnsi" w:hAnsiTheme="minorHAnsi"/>
          <w:lang w:eastAsia="ja-JP"/>
        </w:rPr>
        <w:t xml:space="preserve">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 </w:t>
      </w:r>
      <w:r>
        <w:rPr>
          <w:rFonts w:asciiTheme="minorHAnsi" w:hAnsiTheme="minorHAnsi"/>
          <w:lang w:eastAsia="ja-JP"/>
        </w:rPr>
        <w:t xml:space="preserve">product or procedure were to be collected. </w:t>
      </w:r>
      <w:r>
        <w:rPr>
          <w:lang w:eastAsia="ja-JP"/>
        </w:rPr>
        <w:t xml:space="preserve">There was no per protocol collection of laboratory values, vital signs, or </w:t>
      </w:r>
      <w:r w:rsidR="00ED2BDD">
        <w:rPr>
          <w:lang w:eastAsia="ja-JP"/>
        </w:rPr>
        <w:t>electrocardiogram</w:t>
      </w:r>
      <w:r>
        <w:rPr>
          <w:lang w:eastAsia="ja-JP"/>
        </w:rPr>
        <w:t>, but these were analysed if performed as part of usual clinical care.</w:t>
      </w:r>
    </w:p>
    <w:p w14:paraId="37EB9669" w14:textId="0638197C" w:rsidR="003A7852" w:rsidRDefault="003A7852" w:rsidP="003A7852">
      <w:pPr>
        <w:rPr>
          <w:lang w:eastAsia="ja-JP"/>
        </w:rPr>
      </w:pPr>
      <w:r>
        <w:t>Study PSMA-617-01</w:t>
      </w:r>
      <w:r w:rsidR="00B757B9">
        <w:t>;</w:t>
      </w:r>
      <w:r w:rsidR="00B757B9" w:rsidRPr="004F7DDA">
        <w:rPr>
          <w:vertAlign w:val="superscript"/>
        </w:rPr>
        <w:fldChar w:fldCharType="begin"/>
      </w:r>
      <w:r w:rsidR="00B757B9" w:rsidRPr="004F7DDA">
        <w:rPr>
          <w:vertAlign w:val="superscript"/>
        </w:rPr>
        <w:instrText xml:space="preserve"> NOTEREF _Ref106350330 \h </w:instrText>
      </w:r>
      <w:r w:rsidR="00B757B9">
        <w:rPr>
          <w:vertAlign w:val="superscript"/>
        </w:rPr>
        <w:instrText xml:space="preserve"> \* MERGEFORMAT </w:instrText>
      </w:r>
      <w:r w:rsidR="00B757B9" w:rsidRPr="004F7DDA">
        <w:rPr>
          <w:vertAlign w:val="superscript"/>
        </w:rPr>
      </w:r>
      <w:r w:rsidR="00B757B9" w:rsidRPr="004F7DDA">
        <w:rPr>
          <w:vertAlign w:val="superscript"/>
        </w:rPr>
        <w:fldChar w:fldCharType="separate"/>
      </w:r>
      <w:r w:rsidR="00036995">
        <w:rPr>
          <w:vertAlign w:val="superscript"/>
        </w:rPr>
        <w:t>49</w:t>
      </w:r>
      <w:r w:rsidR="00B757B9" w:rsidRPr="004F7DDA">
        <w:rPr>
          <w:vertAlign w:val="superscript"/>
        </w:rPr>
        <w:fldChar w:fldCharType="end"/>
      </w:r>
      <w:r>
        <w:t xml:space="preserve"> is an ongoing, prospective, open</w:t>
      </w:r>
      <w:r w:rsidR="00FE0A35">
        <w:t xml:space="preserve"> </w:t>
      </w:r>
      <w:r>
        <w:t xml:space="preserve">label, international, multicentre, randomised Phase </w:t>
      </w:r>
      <w:r w:rsidR="00FE0A35">
        <w:t>III</w:t>
      </w:r>
      <w:r>
        <w:t xml:space="preserve"> Study of </w:t>
      </w:r>
      <w:r w:rsidR="00B757B9">
        <w:t>[</w:t>
      </w:r>
      <w:r w:rsidRPr="004F7DDA">
        <w:rPr>
          <w:vertAlign w:val="superscript"/>
        </w:rPr>
        <w:t>177</w:t>
      </w:r>
      <w:r>
        <w:t>Lu</w:t>
      </w:r>
      <w:r w:rsidR="00B757B9">
        <w:t xml:space="preserve">] Lutetium </w:t>
      </w:r>
      <w:r>
        <w:t>PSMA-617 for the treatment of patients with progressive PSMA</w:t>
      </w:r>
      <w:r w:rsidR="00B757B9">
        <w:t>-</w:t>
      </w:r>
      <w:r>
        <w:t xml:space="preserve">positive </w:t>
      </w:r>
      <w:r w:rsidR="00ED2BDD">
        <w:t>metastatic castration resistant prostate cancer (</w:t>
      </w:r>
      <w:proofErr w:type="spellStart"/>
      <w:r>
        <w:t>mCRPC</w:t>
      </w:r>
      <w:proofErr w:type="spellEnd"/>
      <w:r w:rsidR="00ED2BDD">
        <w:t>)</w:t>
      </w:r>
      <w:r>
        <w:t xml:space="preserve">. 206 patients </w:t>
      </w:r>
      <w:r w:rsidRPr="003E088A">
        <w:rPr>
          <w:rFonts w:asciiTheme="minorHAnsi" w:hAnsiTheme="minorHAnsi" w:cs="Calibri"/>
          <w:lang w:eastAsia="ja-JP"/>
        </w:rPr>
        <w:t xml:space="preserve">with progressive </w:t>
      </w:r>
      <w:proofErr w:type="spellStart"/>
      <w:r>
        <w:rPr>
          <w:rFonts w:asciiTheme="minorHAnsi" w:hAnsiTheme="minorHAnsi" w:cs="Calibri"/>
          <w:lang w:eastAsia="ja-JP"/>
        </w:rPr>
        <w:t>mCRPC</w:t>
      </w:r>
      <w:proofErr w:type="spellEnd"/>
      <w:r w:rsidRPr="003E088A">
        <w:rPr>
          <w:rFonts w:asciiTheme="minorHAnsi" w:hAnsiTheme="minorHAnsi"/>
        </w:rPr>
        <w:t xml:space="preserve"> received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 </w:t>
      </w:r>
      <w:r w:rsidRPr="003E088A">
        <w:rPr>
          <w:rFonts w:asciiTheme="minorHAnsi" w:hAnsiTheme="minorHAnsi"/>
        </w:rPr>
        <w:t>pr</w:t>
      </w:r>
      <w:r>
        <w:t xml:space="preserve">epared using the </w:t>
      </w:r>
      <w:proofErr w:type="spellStart"/>
      <w:r>
        <w:t>Telix</w:t>
      </w:r>
      <w:proofErr w:type="spellEnd"/>
      <w:r>
        <w:t xml:space="preserve"> kit to confirm PSMA</w:t>
      </w:r>
      <w:r w:rsidR="00B757B9">
        <w:t>-</w:t>
      </w:r>
      <w:r>
        <w:t xml:space="preserve">positive cancer. </w:t>
      </w:r>
      <w:r w:rsidR="00ED2BDD">
        <w:t xml:space="preserve">Adverse event </w:t>
      </w:r>
      <w:r>
        <w:t xml:space="preserve">data were collected </w:t>
      </w:r>
      <w:r>
        <w:rPr>
          <w:lang w:eastAsia="ja-JP"/>
        </w:rPr>
        <w:t xml:space="preserve">from </w:t>
      </w:r>
      <w:r w:rsidRPr="00147F5B">
        <w:rPr>
          <w:lang w:eastAsia="ja-JP"/>
        </w:rPr>
        <w:t xml:space="preserve">the time of consent to up to </w:t>
      </w:r>
      <w:r w:rsidR="00FE0A35">
        <w:rPr>
          <w:lang w:eastAsia="ja-JP"/>
        </w:rPr>
        <w:t>six</w:t>
      </w:r>
      <w:r w:rsidRPr="00147F5B">
        <w:rPr>
          <w:lang w:eastAsia="ja-JP"/>
        </w:rPr>
        <w:t xml:space="preserve"> days post-injection of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 </w:t>
      </w:r>
      <w:r w:rsidRPr="00147F5B">
        <w:rPr>
          <w:lang w:eastAsia="ja-JP"/>
        </w:rPr>
        <w:t>(</w:t>
      </w:r>
      <w:proofErr w:type="gramStart"/>
      <w:r w:rsidRPr="00147F5B">
        <w:rPr>
          <w:lang w:eastAsia="ja-JP"/>
        </w:rPr>
        <w:t>as long as</w:t>
      </w:r>
      <w:proofErr w:type="gramEnd"/>
      <w:r w:rsidRPr="00147F5B">
        <w:rPr>
          <w:lang w:eastAsia="ja-JP"/>
        </w:rPr>
        <w:t xml:space="preserve"> this was prior to the first dose of </w:t>
      </w:r>
      <w:r w:rsidR="00B757B9">
        <w:rPr>
          <w:lang w:eastAsia="ja-JP"/>
        </w:rPr>
        <w:t>[</w:t>
      </w:r>
      <w:r w:rsidRPr="004F7DDA">
        <w:rPr>
          <w:vertAlign w:val="superscript"/>
          <w:lang w:eastAsia="ja-JP"/>
        </w:rPr>
        <w:t>177</w:t>
      </w:r>
      <w:r w:rsidRPr="00147F5B">
        <w:rPr>
          <w:lang w:eastAsia="ja-JP"/>
        </w:rPr>
        <w:t>Lu</w:t>
      </w:r>
      <w:r w:rsidR="00B757B9">
        <w:rPr>
          <w:lang w:eastAsia="ja-JP"/>
        </w:rPr>
        <w:t xml:space="preserve">] Lutetium </w:t>
      </w:r>
      <w:r w:rsidRPr="00147F5B">
        <w:rPr>
          <w:lang w:eastAsia="ja-JP"/>
        </w:rPr>
        <w:t>PSMA-617) regardless of whether the patient continued in the treatment part of the study.</w:t>
      </w:r>
      <w:r>
        <w:rPr>
          <w:lang w:eastAsia="ja-JP"/>
        </w:rPr>
        <w:t xml:space="preserve"> </w:t>
      </w:r>
      <w:r>
        <w:rPr>
          <w:rFonts w:eastAsia="TimesNewRoman" w:cs="TimesNewRoman"/>
        </w:rPr>
        <w:t xml:space="preserve">It is noteworthy that this study evaluated patients with progressive </w:t>
      </w:r>
      <w:proofErr w:type="spellStart"/>
      <w:r>
        <w:rPr>
          <w:rFonts w:eastAsia="TimesNewRoman" w:cs="TimesNewRoman"/>
        </w:rPr>
        <w:t>mCRPC</w:t>
      </w:r>
      <w:proofErr w:type="spellEnd"/>
      <w:r>
        <w:rPr>
          <w:rFonts w:eastAsia="TimesNewRoman" w:cs="TimesNewRoman"/>
        </w:rPr>
        <w:t xml:space="preserve">, in contrast to </w:t>
      </w:r>
      <w:proofErr w:type="gramStart"/>
      <w:r>
        <w:rPr>
          <w:rFonts w:eastAsia="TimesNewRoman" w:cs="TimesNewRoman"/>
        </w:rPr>
        <w:t>the majority of</w:t>
      </w:r>
      <w:proofErr w:type="gramEnd"/>
      <w:r>
        <w:rPr>
          <w:rFonts w:eastAsia="TimesNewRoman" w:cs="TimesNewRoman"/>
        </w:rPr>
        <w:t xml:space="preserve"> safety data presented in this submission which relate to patients with primary </w:t>
      </w:r>
      <w:r w:rsidR="00ED2BDD">
        <w:rPr>
          <w:rFonts w:eastAsia="TimesNewRoman" w:cs="TimesNewRoman"/>
        </w:rPr>
        <w:t xml:space="preserve">prostate cancer or </w:t>
      </w:r>
      <w:r w:rsidR="00ED2BDD">
        <w:t>biochemically recurrent prostate cancer</w:t>
      </w:r>
      <w:r>
        <w:rPr>
          <w:rFonts w:eastAsia="TimesNewRoman" w:cs="TimesNewRoman"/>
        </w:rPr>
        <w:t>.</w:t>
      </w:r>
    </w:p>
    <w:p w14:paraId="63F6054C" w14:textId="34A3394D" w:rsidR="003A7852" w:rsidRPr="00683BB5" w:rsidRDefault="003A7852" w:rsidP="003A7852">
      <w:pPr>
        <w:rPr>
          <w:rFonts w:cs="Calibri"/>
          <w:lang w:eastAsia="ja-JP"/>
        </w:rPr>
      </w:pPr>
      <w:r w:rsidRPr="00683BB5">
        <w:rPr>
          <w:rFonts w:cs="Calibri"/>
          <w:lang w:eastAsia="ja-JP"/>
        </w:rPr>
        <w:t xml:space="preserve">The number of </w:t>
      </w:r>
      <w:r w:rsidR="00ED2BDD">
        <w:rPr>
          <w:rFonts w:cs="Calibri"/>
          <w:lang w:eastAsia="ja-JP"/>
        </w:rPr>
        <w:t>adverse events</w:t>
      </w:r>
      <w:r w:rsidR="00ED2BDD" w:rsidRPr="00683BB5">
        <w:rPr>
          <w:rFonts w:cs="Calibri"/>
          <w:lang w:eastAsia="ja-JP"/>
        </w:rPr>
        <w:t xml:space="preserve"> </w:t>
      </w:r>
      <w:r w:rsidRPr="00683BB5">
        <w:rPr>
          <w:rFonts w:cs="Calibri"/>
          <w:lang w:eastAsia="ja-JP"/>
        </w:rPr>
        <w:t>reported in each study was:</w:t>
      </w:r>
    </w:p>
    <w:p w14:paraId="70361590" w14:textId="74DA1C41" w:rsidR="003A7852" w:rsidRPr="00683BB5" w:rsidRDefault="00FE0A35" w:rsidP="003A7852">
      <w:pPr>
        <w:pStyle w:val="ListBullet"/>
      </w:pPr>
      <w:r>
        <w:t xml:space="preserve">Study </w:t>
      </w:r>
      <w:r w:rsidR="003A7852" w:rsidRPr="00683BB5">
        <w:t xml:space="preserve">BCR-RET-01: </w:t>
      </w:r>
      <w:r>
        <w:t>two</w:t>
      </w:r>
      <w:r w:rsidR="003A7852" w:rsidRPr="00683BB5">
        <w:t xml:space="preserve"> </w:t>
      </w:r>
      <w:r w:rsidR="00ED2BDD">
        <w:rPr>
          <w:rFonts w:cs="Calibri"/>
          <w:lang w:eastAsia="ja-JP"/>
        </w:rPr>
        <w:t>adverse events</w:t>
      </w:r>
      <w:r w:rsidR="00ED2BDD" w:rsidRPr="00683BB5">
        <w:rPr>
          <w:rFonts w:cs="Calibri"/>
          <w:lang w:eastAsia="ja-JP"/>
        </w:rPr>
        <w:t xml:space="preserve"> </w:t>
      </w:r>
      <w:r w:rsidR="003A7852" w:rsidRPr="00683BB5">
        <w:t>in one participant</w:t>
      </w:r>
      <w:r w:rsidR="003A7852">
        <w:t>.</w:t>
      </w:r>
    </w:p>
    <w:p w14:paraId="65E63729" w14:textId="6E7AEF48" w:rsidR="003A7852" w:rsidRPr="00683BB5" w:rsidRDefault="00FE0A35" w:rsidP="003A7852">
      <w:pPr>
        <w:pStyle w:val="ListBullet"/>
      </w:pPr>
      <w:r>
        <w:t xml:space="preserve">Study </w:t>
      </w:r>
      <w:r w:rsidR="003A7852" w:rsidRPr="00683BB5">
        <w:t xml:space="preserve">ANMI-PG01-C301: no </w:t>
      </w:r>
      <w:r w:rsidR="00ED2BDD">
        <w:rPr>
          <w:rFonts w:cs="Calibri"/>
          <w:lang w:eastAsia="ja-JP"/>
        </w:rPr>
        <w:t>adverse events</w:t>
      </w:r>
      <w:r w:rsidR="00ED2BDD" w:rsidRPr="00683BB5">
        <w:rPr>
          <w:rFonts w:cs="Calibri"/>
          <w:lang w:eastAsia="ja-JP"/>
        </w:rPr>
        <w:t xml:space="preserve"> </w:t>
      </w:r>
      <w:r w:rsidR="003A7852">
        <w:t>report</w:t>
      </w:r>
      <w:r w:rsidR="003A7852" w:rsidRPr="00683BB5">
        <w:t>ed</w:t>
      </w:r>
      <w:r w:rsidR="003A7852">
        <w:t>.</w:t>
      </w:r>
    </w:p>
    <w:p w14:paraId="4BDF17DB" w14:textId="7D3A9F27" w:rsidR="003A7852" w:rsidRPr="00683BB5" w:rsidRDefault="00FE0A35" w:rsidP="003A7852">
      <w:pPr>
        <w:pStyle w:val="ListBullet"/>
      </w:pPr>
      <w:r>
        <w:t xml:space="preserve">Study </w:t>
      </w:r>
      <w:r w:rsidR="003A7852">
        <w:t xml:space="preserve">PSMA-617-01: 109 </w:t>
      </w:r>
      <w:r w:rsidR="00ED2BDD">
        <w:rPr>
          <w:rFonts w:cs="Calibri"/>
          <w:lang w:eastAsia="ja-JP"/>
        </w:rPr>
        <w:t>adverse events</w:t>
      </w:r>
      <w:r w:rsidR="00ED2BDD" w:rsidRPr="00683BB5">
        <w:rPr>
          <w:rFonts w:cs="Calibri"/>
          <w:lang w:eastAsia="ja-JP"/>
        </w:rPr>
        <w:t xml:space="preserve"> </w:t>
      </w:r>
      <w:r w:rsidR="003A7852">
        <w:t xml:space="preserve">in 48 </w:t>
      </w:r>
      <w:r w:rsidR="003A7852" w:rsidRPr="00683BB5">
        <w:t>participants</w:t>
      </w:r>
      <w:r w:rsidR="003A7852">
        <w:t>.</w:t>
      </w:r>
    </w:p>
    <w:p w14:paraId="48A2FEFB" w14:textId="52B67EB8" w:rsidR="003A7852" w:rsidRDefault="003A7852" w:rsidP="003A7852">
      <w:r>
        <w:t xml:space="preserve">In </w:t>
      </w:r>
      <w:r w:rsidR="00FE0A35">
        <w:t xml:space="preserve">Study </w:t>
      </w:r>
      <w:r>
        <w:t xml:space="preserve">BCR-RET-01, one patient reported </w:t>
      </w:r>
      <w:r w:rsidR="00FE0A35">
        <w:t>two</w:t>
      </w:r>
      <w:r>
        <w:t xml:space="preserve"> </w:t>
      </w:r>
      <w:r w:rsidR="00ED2BDD">
        <w:rPr>
          <w:rFonts w:cs="Calibri"/>
          <w:lang w:eastAsia="ja-JP"/>
        </w:rPr>
        <w:t>adverse events</w:t>
      </w:r>
      <w:r>
        <w:t xml:space="preserve">: an increase in blood bilirubin; and a vascular access complication. Both occurred 26 days after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 </w:t>
      </w:r>
      <w:r>
        <w:t xml:space="preserve">administration. Both were reported as asymptomatic (mild) and were deemed unrelated to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t>by the investigator.</w:t>
      </w:r>
    </w:p>
    <w:p w14:paraId="301CB588" w14:textId="263040A1" w:rsidR="003A7852" w:rsidRPr="00C732E8" w:rsidRDefault="003A7852" w:rsidP="003A7852">
      <w:pPr>
        <w:rPr>
          <w:rFonts w:eastAsia="TimesNewRoman" w:cs="TimesNewRoman"/>
        </w:rPr>
      </w:pPr>
      <w:r>
        <w:rPr>
          <w:lang w:eastAsia="ja-JP"/>
        </w:rPr>
        <w:t xml:space="preserve">In </w:t>
      </w:r>
      <w:r w:rsidR="00B757B9">
        <w:rPr>
          <w:lang w:eastAsia="ja-JP"/>
        </w:rPr>
        <w:t xml:space="preserve">Study </w:t>
      </w:r>
      <w:r>
        <w:rPr>
          <w:lang w:eastAsia="ja-JP"/>
        </w:rPr>
        <w:t xml:space="preserve">PSMA-617-01, 109 </w:t>
      </w:r>
      <w:r w:rsidR="00ED2BDD">
        <w:rPr>
          <w:rFonts w:cs="Calibri"/>
          <w:lang w:eastAsia="ja-JP"/>
        </w:rPr>
        <w:t>adverse events</w:t>
      </w:r>
      <w:r w:rsidR="00ED2BDD" w:rsidRPr="00683BB5">
        <w:rPr>
          <w:rFonts w:cs="Calibri"/>
          <w:lang w:eastAsia="ja-JP"/>
        </w:rPr>
        <w:t xml:space="preserve"> </w:t>
      </w:r>
      <w:r>
        <w:rPr>
          <w:lang w:eastAsia="ja-JP"/>
        </w:rPr>
        <w:t>following administration o</w:t>
      </w:r>
      <w:r w:rsidR="00B757B9">
        <w:rPr>
          <w:lang w:eastAsia="ja-JP"/>
        </w:rPr>
        <w:t xml:space="preserve">f </w:t>
      </w:r>
      <w:r w:rsidR="00B757B9">
        <w:rPr>
          <w:rStyle w:val="style1"/>
          <w:rFonts w:cstheme="minorHAnsi"/>
          <w:iCs/>
        </w:rPr>
        <w:t>[</w:t>
      </w:r>
      <w:r w:rsidR="00B757B9">
        <w:rPr>
          <w:rStyle w:val="style1"/>
          <w:rFonts w:cstheme="minorHAnsi"/>
          <w:iCs/>
          <w:vertAlign w:val="superscript"/>
        </w:rPr>
        <w:t>68</w:t>
      </w:r>
      <w:r w:rsidR="00B757B9">
        <w:rPr>
          <w:rStyle w:val="style1"/>
          <w:rFonts w:cstheme="minorHAnsi"/>
          <w:iCs/>
        </w:rPr>
        <w:t xml:space="preserve">Ga] </w:t>
      </w:r>
      <w:r w:rsidR="00293AB9">
        <w:rPr>
          <w:rStyle w:val="style1"/>
          <w:rFonts w:cstheme="minorHAnsi"/>
          <w:iCs/>
        </w:rPr>
        <w:t>gallium</w:t>
      </w:r>
      <w:r w:rsidR="00B757B9">
        <w:rPr>
          <w:rStyle w:val="style1"/>
          <w:rFonts w:cstheme="minorHAnsi"/>
          <w:iCs/>
        </w:rPr>
        <w:t xml:space="preserve"> PSMA-11 </w:t>
      </w:r>
      <w:r>
        <w:rPr>
          <w:lang w:eastAsia="ja-JP"/>
        </w:rPr>
        <w:t>were reported in 48 (23.3%) of 206 subjects (</w:t>
      </w:r>
      <w:r>
        <w:rPr>
          <w:lang w:eastAsia="ja-JP"/>
        </w:rPr>
        <w:fldChar w:fldCharType="begin"/>
      </w:r>
      <w:r>
        <w:rPr>
          <w:lang w:eastAsia="ja-JP"/>
        </w:rPr>
        <w:instrText xml:space="preserve"> REF _Ref103604288 \h </w:instrText>
      </w:r>
      <w:r>
        <w:rPr>
          <w:lang w:eastAsia="ja-JP"/>
        </w:rPr>
      </w:r>
      <w:r>
        <w:rPr>
          <w:lang w:eastAsia="ja-JP"/>
        </w:rPr>
        <w:fldChar w:fldCharType="separate"/>
      </w:r>
      <w:r w:rsidR="00036995" w:rsidRPr="00FE0A35">
        <w:t xml:space="preserve">Table </w:t>
      </w:r>
      <w:r w:rsidR="00036995">
        <w:rPr>
          <w:noProof/>
        </w:rPr>
        <w:t>27</w:t>
      </w:r>
      <w:r>
        <w:rPr>
          <w:lang w:eastAsia="ja-JP"/>
        </w:rPr>
        <w:fldChar w:fldCharType="end"/>
      </w:r>
      <w:r>
        <w:rPr>
          <w:lang w:eastAsia="ja-JP"/>
        </w:rPr>
        <w:t xml:space="preserve">). </w:t>
      </w:r>
      <w:r>
        <w:t>11 subjects reported 21</w:t>
      </w:r>
      <w:r w:rsidR="00674EF0">
        <w:t> </w:t>
      </w:r>
      <w:r>
        <w:t>serious adverse events</w:t>
      </w:r>
      <w:r w:rsidR="00ED2BDD">
        <w:t xml:space="preserve">, </w:t>
      </w:r>
      <w:r>
        <w:t xml:space="preserve">including </w:t>
      </w:r>
      <w:proofErr w:type="spellStart"/>
      <w:r>
        <w:t>bicytopaenia</w:t>
      </w:r>
      <w:proofErr w:type="spellEnd"/>
      <w:r>
        <w:t xml:space="preserve"> (</w:t>
      </w:r>
      <w:r w:rsidR="00FE0A35">
        <w:t>two</w:t>
      </w:r>
      <w:r>
        <w:t xml:space="preserve"> subjects reported </w:t>
      </w:r>
      <w:r w:rsidR="00FE0A35">
        <w:t>two</w:t>
      </w:r>
      <w:r>
        <w:t xml:space="preserve"> events) and constipation (</w:t>
      </w:r>
      <w:r w:rsidR="00FE0A35">
        <w:t>two</w:t>
      </w:r>
      <w:r>
        <w:t xml:space="preserve"> subjects reported </w:t>
      </w:r>
      <w:r w:rsidR="00FE0A35">
        <w:t>two</w:t>
      </w:r>
      <w:r>
        <w:t xml:space="preserve"> events). </w:t>
      </w:r>
      <w:r w:rsidR="00ED2BDD">
        <w:rPr>
          <w:rFonts w:cs="Calibri"/>
          <w:lang w:eastAsia="ja-JP"/>
        </w:rPr>
        <w:t>adverse events</w:t>
      </w:r>
      <w:r w:rsidR="00ED2BDD" w:rsidRPr="00683BB5">
        <w:rPr>
          <w:rFonts w:cs="Calibri"/>
          <w:lang w:eastAsia="ja-JP"/>
        </w:rPr>
        <w:t xml:space="preserve"> </w:t>
      </w:r>
      <w:r>
        <w:rPr>
          <w:rFonts w:asciiTheme="minorHAnsi" w:hAnsiTheme="minorHAnsi" w:cs="Calibri"/>
          <w:lang w:eastAsia="ja-JP"/>
        </w:rPr>
        <w:t xml:space="preserve">reported in more than </w:t>
      </w:r>
      <w:r w:rsidR="00FE0A35">
        <w:rPr>
          <w:rFonts w:asciiTheme="minorHAnsi" w:hAnsiTheme="minorHAnsi" w:cs="Calibri"/>
          <w:lang w:eastAsia="ja-JP"/>
        </w:rPr>
        <w:lastRenderedPageBreak/>
        <w:t>two</w:t>
      </w:r>
      <w:r>
        <w:rPr>
          <w:rFonts w:asciiTheme="minorHAnsi" w:hAnsiTheme="minorHAnsi" w:cs="Calibri"/>
          <w:lang w:eastAsia="ja-JP"/>
        </w:rPr>
        <w:t xml:space="preserve"> patients were: anaemia </w:t>
      </w:r>
      <w:r w:rsidRPr="000A437F">
        <w:rPr>
          <w:rFonts w:asciiTheme="minorHAnsi" w:hAnsiTheme="minorHAnsi" w:cs="Calibri"/>
          <w:lang w:eastAsia="ja-JP"/>
        </w:rPr>
        <w:t>(</w:t>
      </w:r>
      <w:r w:rsidR="00FE0A35">
        <w:rPr>
          <w:rFonts w:asciiTheme="minorHAnsi" w:hAnsiTheme="minorHAnsi" w:cs="Calibri"/>
          <w:lang w:eastAsia="ja-JP"/>
        </w:rPr>
        <w:t>five</w:t>
      </w:r>
      <w:r w:rsidRPr="000A437F">
        <w:rPr>
          <w:rFonts w:asciiTheme="minorHAnsi" w:hAnsiTheme="minorHAnsi" w:cs="Calibri"/>
          <w:lang w:eastAsia="ja-JP"/>
        </w:rPr>
        <w:t xml:space="preserve"> subjects reported </w:t>
      </w:r>
      <w:r w:rsidR="00FE0A35">
        <w:rPr>
          <w:rFonts w:asciiTheme="minorHAnsi" w:hAnsiTheme="minorHAnsi" w:cs="Calibri"/>
          <w:lang w:eastAsia="ja-JP"/>
        </w:rPr>
        <w:t>eight</w:t>
      </w:r>
      <w:r w:rsidRPr="000A437F">
        <w:rPr>
          <w:rFonts w:asciiTheme="minorHAnsi" w:hAnsiTheme="minorHAnsi" w:cs="Calibri"/>
          <w:lang w:eastAsia="ja-JP"/>
        </w:rPr>
        <w:t xml:space="preserve"> events), asthenia</w:t>
      </w:r>
      <w:r>
        <w:rPr>
          <w:rFonts w:asciiTheme="minorHAnsi" w:hAnsiTheme="minorHAnsi" w:cs="Calibri"/>
          <w:lang w:eastAsia="ja-JP"/>
        </w:rPr>
        <w:t xml:space="preserve"> </w:t>
      </w:r>
      <w:r w:rsidRPr="000A437F">
        <w:rPr>
          <w:rFonts w:asciiTheme="minorHAnsi" w:hAnsiTheme="minorHAnsi" w:cs="Calibri"/>
          <w:lang w:eastAsia="ja-JP"/>
        </w:rPr>
        <w:t>(</w:t>
      </w:r>
      <w:r w:rsidR="00FE0A35">
        <w:rPr>
          <w:rFonts w:asciiTheme="minorHAnsi" w:hAnsiTheme="minorHAnsi" w:cs="Calibri"/>
          <w:lang w:eastAsia="ja-JP"/>
        </w:rPr>
        <w:t>six</w:t>
      </w:r>
      <w:r w:rsidRPr="000A437F">
        <w:rPr>
          <w:rFonts w:asciiTheme="minorHAnsi" w:hAnsiTheme="minorHAnsi" w:cs="Calibri"/>
          <w:lang w:eastAsia="ja-JP"/>
        </w:rPr>
        <w:t xml:space="preserve"> subjects reported </w:t>
      </w:r>
      <w:r w:rsidR="00FE0A35">
        <w:rPr>
          <w:rFonts w:asciiTheme="minorHAnsi" w:hAnsiTheme="minorHAnsi" w:cs="Calibri"/>
          <w:lang w:eastAsia="ja-JP"/>
        </w:rPr>
        <w:t>six</w:t>
      </w:r>
      <w:r w:rsidRPr="000A437F">
        <w:rPr>
          <w:rFonts w:asciiTheme="minorHAnsi" w:hAnsiTheme="minorHAnsi" w:cs="Calibri"/>
          <w:lang w:eastAsia="ja-JP"/>
        </w:rPr>
        <w:t xml:space="preserve"> events), arthralgia (</w:t>
      </w:r>
      <w:r w:rsidR="00FE0A35">
        <w:rPr>
          <w:rFonts w:asciiTheme="minorHAnsi" w:hAnsiTheme="minorHAnsi" w:cs="Calibri"/>
          <w:lang w:eastAsia="ja-JP"/>
        </w:rPr>
        <w:t>five</w:t>
      </w:r>
      <w:r w:rsidRPr="000A437F">
        <w:rPr>
          <w:rFonts w:asciiTheme="minorHAnsi" w:hAnsiTheme="minorHAnsi" w:cs="Calibri"/>
          <w:lang w:eastAsia="ja-JP"/>
        </w:rPr>
        <w:t xml:space="preserve"> subjects reported </w:t>
      </w:r>
      <w:r w:rsidR="00FE0A35">
        <w:rPr>
          <w:rFonts w:asciiTheme="minorHAnsi" w:hAnsiTheme="minorHAnsi" w:cs="Calibri"/>
          <w:lang w:eastAsia="ja-JP"/>
        </w:rPr>
        <w:t>five</w:t>
      </w:r>
      <w:r w:rsidRPr="000A437F">
        <w:rPr>
          <w:rFonts w:asciiTheme="minorHAnsi" w:hAnsiTheme="minorHAnsi" w:cs="Calibri"/>
          <w:lang w:eastAsia="ja-JP"/>
        </w:rPr>
        <w:t xml:space="preserve"> events), constipation (</w:t>
      </w:r>
      <w:r w:rsidR="00FE0A35">
        <w:rPr>
          <w:rFonts w:asciiTheme="minorHAnsi" w:hAnsiTheme="minorHAnsi" w:cs="Calibri"/>
          <w:lang w:eastAsia="ja-JP"/>
        </w:rPr>
        <w:t>five</w:t>
      </w:r>
      <w:r w:rsidRPr="000A437F">
        <w:rPr>
          <w:rFonts w:asciiTheme="minorHAnsi" w:hAnsiTheme="minorHAnsi" w:cs="Calibri"/>
          <w:lang w:eastAsia="ja-JP"/>
        </w:rPr>
        <w:t xml:space="preserve"> subjects</w:t>
      </w:r>
      <w:r>
        <w:rPr>
          <w:rFonts w:asciiTheme="minorHAnsi" w:hAnsiTheme="minorHAnsi" w:cs="Calibri"/>
          <w:lang w:eastAsia="ja-JP"/>
        </w:rPr>
        <w:t xml:space="preserve"> </w:t>
      </w:r>
      <w:r w:rsidRPr="000A437F">
        <w:rPr>
          <w:rFonts w:asciiTheme="minorHAnsi" w:hAnsiTheme="minorHAnsi" w:cs="Calibri"/>
          <w:lang w:eastAsia="ja-JP"/>
        </w:rPr>
        <w:t xml:space="preserve">reported </w:t>
      </w:r>
      <w:r w:rsidR="00FE0A35">
        <w:rPr>
          <w:rFonts w:asciiTheme="minorHAnsi" w:hAnsiTheme="minorHAnsi" w:cs="Calibri"/>
          <w:lang w:eastAsia="ja-JP"/>
        </w:rPr>
        <w:t>five</w:t>
      </w:r>
      <w:r w:rsidRPr="000A437F">
        <w:rPr>
          <w:rFonts w:asciiTheme="minorHAnsi" w:hAnsiTheme="minorHAnsi" w:cs="Calibri"/>
          <w:lang w:eastAsia="ja-JP"/>
        </w:rPr>
        <w:t xml:space="preserve"> events), haematuria (</w:t>
      </w:r>
      <w:r w:rsidR="00FE0A35">
        <w:rPr>
          <w:rFonts w:asciiTheme="minorHAnsi" w:hAnsiTheme="minorHAnsi" w:cs="Calibri"/>
          <w:lang w:eastAsia="ja-JP"/>
        </w:rPr>
        <w:t>three</w:t>
      </w:r>
      <w:r w:rsidRPr="000A437F">
        <w:rPr>
          <w:rFonts w:asciiTheme="minorHAnsi" w:hAnsiTheme="minorHAnsi" w:cs="Calibri"/>
          <w:lang w:eastAsia="ja-JP"/>
        </w:rPr>
        <w:t xml:space="preserve"> subjects reported </w:t>
      </w:r>
      <w:r w:rsidR="00FE0A35">
        <w:rPr>
          <w:rFonts w:asciiTheme="minorHAnsi" w:hAnsiTheme="minorHAnsi" w:cs="Calibri"/>
          <w:lang w:eastAsia="ja-JP"/>
        </w:rPr>
        <w:t>four</w:t>
      </w:r>
      <w:r w:rsidRPr="000A437F">
        <w:rPr>
          <w:rFonts w:asciiTheme="minorHAnsi" w:hAnsiTheme="minorHAnsi" w:cs="Calibri"/>
          <w:lang w:eastAsia="ja-JP"/>
        </w:rPr>
        <w:t xml:space="preserve"> events) bone pain (</w:t>
      </w:r>
      <w:r w:rsidR="00FE0A35">
        <w:rPr>
          <w:rFonts w:asciiTheme="minorHAnsi" w:hAnsiTheme="minorHAnsi" w:cs="Calibri"/>
          <w:lang w:eastAsia="ja-JP"/>
        </w:rPr>
        <w:t>three</w:t>
      </w:r>
      <w:r w:rsidRPr="000A437F">
        <w:rPr>
          <w:rFonts w:asciiTheme="minorHAnsi" w:hAnsiTheme="minorHAnsi" w:cs="Calibri"/>
          <w:lang w:eastAsia="ja-JP"/>
        </w:rPr>
        <w:t xml:space="preserve"> subjects reported</w:t>
      </w:r>
      <w:r>
        <w:rPr>
          <w:rFonts w:asciiTheme="minorHAnsi" w:hAnsiTheme="minorHAnsi" w:cs="Calibri"/>
          <w:lang w:eastAsia="ja-JP"/>
        </w:rPr>
        <w:t xml:space="preserve"> </w:t>
      </w:r>
      <w:r w:rsidR="00FE0A35">
        <w:rPr>
          <w:rFonts w:asciiTheme="minorHAnsi" w:hAnsiTheme="minorHAnsi" w:cs="Calibri"/>
          <w:lang w:eastAsia="ja-JP"/>
        </w:rPr>
        <w:t>three</w:t>
      </w:r>
      <w:r w:rsidRPr="000A437F">
        <w:rPr>
          <w:rFonts w:asciiTheme="minorHAnsi" w:hAnsiTheme="minorHAnsi" w:cs="Calibri"/>
          <w:lang w:eastAsia="ja-JP"/>
        </w:rPr>
        <w:t xml:space="preserve"> events), </w:t>
      </w:r>
      <w:r>
        <w:rPr>
          <w:rFonts w:asciiTheme="minorHAnsi" w:hAnsiTheme="minorHAnsi" w:cs="Calibri"/>
          <w:lang w:eastAsia="ja-JP"/>
        </w:rPr>
        <w:t>nausea (</w:t>
      </w:r>
      <w:r w:rsidR="00FE0A35">
        <w:rPr>
          <w:rFonts w:asciiTheme="minorHAnsi" w:hAnsiTheme="minorHAnsi" w:cs="Calibri"/>
          <w:lang w:eastAsia="ja-JP"/>
        </w:rPr>
        <w:t>three</w:t>
      </w:r>
      <w:r>
        <w:rPr>
          <w:rFonts w:asciiTheme="minorHAnsi" w:hAnsiTheme="minorHAnsi" w:cs="Calibri"/>
          <w:lang w:eastAsia="ja-JP"/>
        </w:rPr>
        <w:t xml:space="preserve"> subjects reported </w:t>
      </w:r>
      <w:r w:rsidR="00FE0A35">
        <w:rPr>
          <w:rFonts w:asciiTheme="minorHAnsi" w:hAnsiTheme="minorHAnsi" w:cs="Calibri"/>
          <w:lang w:eastAsia="ja-JP"/>
        </w:rPr>
        <w:t>three</w:t>
      </w:r>
      <w:r>
        <w:rPr>
          <w:rFonts w:asciiTheme="minorHAnsi" w:hAnsiTheme="minorHAnsi" w:cs="Calibri"/>
          <w:lang w:eastAsia="ja-JP"/>
        </w:rPr>
        <w:t xml:space="preserve"> events), </w:t>
      </w:r>
      <w:r w:rsidRPr="000A437F">
        <w:rPr>
          <w:rFonts w:asciiTheme="minorHAnsi" w:hAnsiTheme="minorHAnsi" w:cs="Calibri"/>
          <w:lang w:eastAsia="ja-JP"/>
        </w:rPr>
        <w:t>and acute kidney injur</w:t>
      </w:r>
      <w:r>
        <w:rPr>
          <w:rFonts w:asciiTheme="minorHAnsi" w:hAnsiTheme="minorHAnsi" w:cs="Calibri"/>
          <w:lang w:eastAsia="ja-JP"/>
        </w:rPr>
        <w:t>y (</w:t>
      </w:r>
      <w:r w:rsidR="00FE0A35">
        <w:rPr>
          <w:rFonts w:asciiTheme="minorHAnsi" w:hAnsiTheme="minorHAnsi" w:cs="Calibri"/>
          <w:lang w:eastAsia="ja-JP"/>
        </w:rPr>
        <w:t>one</w:t>
      </w:r>
      <w:r>
        <w:rPr>
          <w:rFonts w:asciiTheme="minorHAnsi" w:hAnsiTheme="minorHAnsi" w:cs="Calibri"/>
          <w:lang w:eastAsia="ja-JP"/>
        </w:rPr>
        <w:t xml:space="preserve"> subject reported </w:t>
      </w:r>
      <w:r w:rsidR="00FE0A35">
        <w:rPr>
          <w:rFonts w:asciiTheme="minorHAnsi" w:hAnsiTheme="minorHAnsi" w:cs="Calibri"/>
          <w:lang w:eastAsia="ja-JP"/>
        </w:rPr>
        <w:t>three</w:t>
      </w:r>
      <w:r>
        <w:rPr>
          <w:rFonts w:asciiTheme="minorHAnsi" w:hAnsiTheme="minorHAnsi" w:cs="Calibri"/>
          <w:lang w:eastAsia="ja-JP"/>
        </w:rPr>
        <w:t xml:space="preserve"> events). Most of the events were mild in severity and </w:t>
      </w:r>
      <w:r w:rsidR="00FE0A35">
        <w:rPr>
          <w:rFonts w:asciiTheme="minorHAnsi" w:hAnsiTheme="minorHAnsi" w:cs="Calibri"/>
          <w:lang w:eastAsia="ja-JP"/>
        </w:rPr>
        <w:t>G</w:t>
      </w:r>
      <w:r>
        <w:rPr>
          <w:rFonts w:asciiTheme="minorHAnsi" w:hAnsiTheme="minorHAnsi" w:cs="Calibri"/>
          <w:lang w:eastAsia="ja-JP"/>
        </w:rPr>
        <w:t xml:space="preserve">rade 1 or 2. There were 18 </w:t>
      </w:r>
      <w:r w:rsidRPr="0060758E">
        <w:rPr>
          <w:rFonts w:asciiTheme="minorHAnsi" w:hAnsiTheme="minorHAnsi" w:cs="Calibri"/>
          <w:lang w:eastAsia="ja-JP"/>
        </w:rPr>
        <w:t>Grade 3 events</w:t>
      </w:r>
      <w:r>
        <w:rPr>
          <w:rFonts w:asciiTheme="minorHAnsi" w:hAnsiTheme="minorHAnsi" w:cs="Calibri"/>
          <w:lang w:eastAsia="ja-JP"/>
        </w:rPr>
        <w:t xml:space="preserve"> in</w:t>
      </w:r>
      <w:r w:rsidRPr="0060758E">
        <w:rPr>
          <w:rFonts w:asciiTheme="minorHAnsi" w:hAnsiTheme="minorHAnsi" w:cs="Calibri"/>
          <w:lang w:eastAsia="ja-JP"/>
        </w:rPr>
        <w:t xml:space="preserve"> 10 </w:t>
      </w:r>
      <w:r>
        <w:rPr>
          <w:rFonts w:asciiTheme="minorHAnsi" w:hAnsiTheme="minorHAnsi" w:cs="Calibri"/>
          <w:lang w:eastAsia="ja-JP"/>
        </w:rPr>
        <w:t xml:space="preserve">patients, no Grade 4 events, and two Grade 5 events. </w:t>
      </w:r>
      <w:r w:rsidRPr="005142C0">
        <w:rPr>
          <w:rFonts w:eastAsia="TimesNewRoman" w:cs="TimesNewRoman"/>
        </w:rPr>
        <w:t>One subject died from cerebral h</w:t>
      </w:r>
      <w:r>
        <w:rPr>
          <w:rFonts w:eastAsia="TimesNewRoman" w:cs="TimesNewRoman"/>
        </w:rPr>
        <w:t>a</w:t>
      </w:r>
      <w:r w:rsidRPr="005142C0">
        <w:rPr>
          <w:rFonts w:eastAsia="TimesNewRoman" w:cs="TimesNewRoman"/>
        </w:rPr>
        <w:t xml:space="preserve">ematoma 48 days following dosing with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rsidRPr="005142C0">
        <w:rPr>
          <w:rFonts w:eastAsia="TimesNewRoman" w:cs="TimesNewRoman"/>
        </w:rPr>
        <w:t>and the other died from dermatomyositis 53 days foll</w:t>
      </w:r>
      <w:r>
        <w:rPr>
          <w:rFonts w:eastAsia="TimesNewRoman" w:cs="TimesNewRoman"/>
        </w:rPr>
        <w:t>owing dosing with</w:t>
      </w:r>
      <w:r w:rsidR="00674EF0">
        <w:rPr>
          <w:rFonts w:eastAsia="TimesNewRoman" w:cs="TimesNewRoman"/>
        </w:rPr>
        <w:t xml:space="preserve">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w:t>
      </w:r>
      <w:r>
        <w:rPr>
          <w:rFonts w:eastAsia="TimesNewRoman" w:cs="TimesNewRoman"/>
        </w:rPr>
        <w:t>, with n</w:t>
      </w:r>
      <w:r w:rsidRPr="005142C0">
        <w:rPr>
          <w:rFonts w:eastAsia="TimesNewRoman" w:cs="TimesNewRoman"/>
        </w:rPr>
        <w:t xml:space="preserve">either event deemed related to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Ga] </w:t>
      </w:r>
      <w:r w:rsidR="00293AB9">
        <w:rPr>
          <w:rStyle w:val="style1"/>
          <w:rFonts w:cstheme="minorHAnsi"/>
          <w:iCs/>
        </w:rPr>
        <w:t>gallium</w:t>
      </w:r>
      <w:r w:rsidR="00674EF0">
        <w:rPr>
          <w:rStyle w:val="style1"/>
          <w:rFonts w:cstheme="minorHAnsi"/>
          <w:iCs/>
        </w:rPr>
        <w:t xml:space="preserve"> PSMA-11 </w:t>
      </w:r>
      <w:r w:rsidRPr="005142C0">
        <w:rPr>
          <w:rFonts w:eastAsia="TimesNewRoman" w:cs="TimesNewRoman"/>
        </w:rPr>
        <w:t>administration.</w:t>
      </w:r>
      <w:r>
        <w:rPr>
          <w:rFonts w:eastAsia="TimesNewRoman" w:cs="TimesNewRoman"/>
        </w:rPr>
        <w:t xml:space="preserve"> O</w:t>
      </w:r>
      <w:r>
        <w:rPr>
          <w:rFonts w:asciiTheme="minorHAnsi" w:hAnsiTheme="minorHAnsi" w:cs="Segoe UI"/>
          <w:shd w:val="clear" w:color="auto" w:fill="FCFCFC"/>
        </w:rPr>
        <w:t xml:space="preserve">f the </w:t>
      </w:r>
      <w:r w:rsidR="00ED2BDD">
        <w:rPr>
          <w:rFonts w:cs="Calibri"/>
          <w:lang w:eastAsia="ja-JP"/>
        </w:rPr>
        <w:t>adverse events</w:t>
      </w:r>
      <w:r w:rsidR="00ED2BDD" w:rsidRPr="00683BB5">
        <w:rPr>
          <w:rFonts w:cs="Calibri"/>
          <w:lang w:eastAsia="ja-JP"/>
        </w:rPr>
        <w:t xml:space="preserve"> </w:t>
      </w:r>
      <w:r>
        <w:rPr>
          <w:rFonts w:asciiTheme="minorHAnsi" w:hAnsiTheme="minorHAnsi" w:cs="Segoe UI"/>
          <w:shd w:val="clear" w:color="auto" w:fill="FCFCFC"/>
        </w:rPr>
        <w:t>assessed as treatment</w:t>
      </w:r>
      <w:r w:rsidR="00FE0A35">
        <w:rPr>
          <w:rFonts w:asciiTheme="minorHAnsi" w:hAnsiTheme="minorHAnsi" w:cs="Segoe UI"/>
          <w:shd w:val="clear" w:color="auto" w:fill="FCFCFC"/>
        </w:rPr>
        <w:t xml:space="preserve"> </w:t>
      </w:r>
      <w:r>
        <w:rPr>
          <w:rFonts w:asciiTheme="minorHAnsi" w:hAnsiTheme="minorHAnsi" w:cs="Segoe UI"/>
          <w:shd w:val="clear" w:color="auto" w:fill="FCFCFC"/>
        </w:rPr>
        <w:t>related</w:t>
      </w:r>
      <w:r>
        <w:rPr>
          <w:rFonts w:eastAsia="TimesNewRoman" w:cs="TimesNewRoman"/>
        </w:rPr>
        <w:t xml:space="preserve">, all were mild and only </w:t>
      </w:r>
      <w:r w:rsidR="00FE0A35">
        <w:rPr>
          <w:rFonts w:eastAsia="TimesNewRoman" w:cs="TimesNewRoman"/>
        </w:rPr>
        <w:t>one</w:t>
      </w:r>
      <w:r>
        <w:rPr>
          <w:rFonts w:eastAsia="TimesNewRoman" w:cs="TimesNewRoman"/>
        </w:rPr>
        <w:t xml:space="preserve"> (injection site warmth) occurred within </w:t>
      </w:r>
      <w:r w:rsidR="00FE0A35">
        <w:rPr>
          <w:rFonts w:eastAsia="TimesNewRoman" w:cs="TimesNewRoman"/>
        </w:rPr>
        <w:t>six</w:t>
      </w:r>
      <w:r>
        <w:rPr>
          <w:rFonts w:eastAsia="TimesNewRoman" w:cs="TimesNewRoman"/>
        </w:rPr>
        <w:t xml:space="preserve"> days of administration.</w:t>
      </w:r>
    </w:p>
    <w:p w14:paraId="05CDBB39" w14:textId="10D685BA" w:rsidR="003A7852" w:rsidRPr="00DA02C1" w:rsidRDefault="003A7852" w:rsidP="00DA02C1">
      <w:pPr>
        <w:pStyle w:val="TableTitle"/>
      </w:pPr>
      <w:bookmarkStart w:id="89" w:name="_Ref103604288"/>
      <w:r w:rsidRPr="00DA02C1">
        <w:t xml:space="preserve">Table </w:t>
      </w:r>
      <w:fldSimple w:instr=" SEQ Table \* ARABIC ">
        <w:r w:rsidR="00036995" w:rsidRPr="00DA02C1">
          <w:t>27</w:t>
        </w:r>
      </w:fldSimple>
      <w:bookmarkEnd w:id="89"/>
      <w:r w:rsidRPr="00DA02C1">
        <w:t>: Study PSMA-617-01</w:t>
      </w:r>
      <w:r w:rsidR="00FE0A35" w:rsidRPr="00DA02C1">
        <w:t xml:space="preserve"> S</w:t>
      </w:r>
      <w:r w:rsidRPr="00DA02C1">
        <w:t>ummary of adverse events post</w:t>
      </w:r>
      <w:r w:rsidR="00674EF0" w:rsidRPr="00DA02C1">
        <w:t>-</w:t>
      </w:r>
      <w:r w:rsidRPr="00DA02C1">
        <w:t>injection</w:t>
      </w:r>
      <w:r w:rsidR="00674EF0" w:rsidRPr="00DA02C1">
        <w:t xml:space="preserve"> of </w:t>
      </w:r>
      <w:r w:rsidR="00674EF0" w:rsidRPr="00DA02C1">
        <w:rPr>
          <w:rStyle w:val="style1"/>
          <w:rFonts w:ascii="Cambria" w:hAnsi="Cambria"/>
        </w:rPr>
        <w:t>[68Ga] </w:t>
      </w:r>
      <w:r w:rsidR="00293AB9" w:rsidRPr="00DA02C1">
        <w:rPr>
          <w:rStyle w:val="style1"/>
          <w:rFonts w:ascii="Cambria" w:hAnsi="Cambria"/>
        </w:rPr>
        <w:t>gallium</w:t>
      </w:r>
      <w:r w:rsidR="00674EF0" w:rsidRPr="00DA02C1">
        <w:rPr>
          <w:rStyle w:val="style1"/>
          <w:rFonts w:ascii="Cambria" w:hAnsi="Cambria"/>
        </w:rPr>
        <w:t xml:space="preserve"> PSMA-11</w:t>
      </w:r>
    </w:p>
    <w:p w14:paraId="26ADF39D" w14:textId="2EB6136F" w:rsidR="003A7852" w:rsidRDefault="003A7852" w:rsidP="003A7852">
      <w:pPr>
        <w:rPr>
          <w:lang w:eastAsia="ja-JP"/>
        </w:rPr>
      </w:pPr>
      <w:r>
        <w:rPr>
          <w:noProof/>
          <w:lang w:val="en-GB" w:eastAsia="en-GB"/>
        </w:rPr>
        <w:drawing>
          <wp:inline distT="0" distB="0" distL="0" distR="0" wp14:anchorId="518B5245" wp14:editId="588FA738">
            <wp:extent cx="4925362" cy="1719072"/>
            <wp:effectExtent l="0" t="0" r="8890" b="0"/>
            <wp:docPr id="101" name="Picture 101" descr="Study PSMA-617-01 Summary of adverse events post Ga-68 PSMA-11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tudy PSMA-617-01 Summary of adverse events post Ga-68 PSMA-11 injection"/>
                    <pic:cNvPicPr/>
                  </pic:nvPicPr>
                  <pic:blipFill rotWithShape="1">
                    <a:blip r:embed="rId50"/>
                    <a:srcRect b="25945"/>
                    <a:stretch/>
                  </pic:blipFill>
                  <pic:spPr bwMode="auto">
                    <a:xfrm>
                      <a:off x="0" y="0"/>
                      <a:ext cx="4940163" cy="1724238"/>
                    </a:xfrm>
                    <a:prstGeom prst="rect">
                      <a:avLst/>
                    </a:prstGeom>
                    <a:ln>
                      <a:noFill/>
                    </a:ln>
                    <a:extLst>
                      <a:ext uri="{53640926-AAD7-44D8-BBD7-CCE9431645EC}">
                        <a14:shadowObscured xmlns:a14="http://schemas.microsoft.com/office/drawing/2010/main"/>
                      </a:ext>
                    </a:extLst>
                  </pic:spPr>
                </pic:pic>
              </a:graphicData>
            </a:graphic>
          </wp:inline>
        </w:drawing>
      </w:r>
    </w:p>
    <w:p w14:paraId="1A145AB3" w14:textId="31AC659F" w:rsidR="0037310D" w:rsidRDefault="0037310D" w:rsidP="0037310D">
      <w:pPr>
        <w:pStyle w:val="TableDescription"/>
        <w:rPr>
          <w:lang w:eastAsia="ja-JP"/>
        </w:rPr>
      </w:pPr>
      <w:r>
        <w:rPr>
          <w:lang w:eastAsia="ja-JP"/>
        </w:rPr>
        <w:t>Abbreviations: AE = adverse event; n = number of subjects in a specific group; N = total number of subjects; SAE = serious adverse event.</w:t>
      </w:r>
    </w:p>
    <w:p w14:paraId="3DC34354" w14:textId="4C905F2D" w:rsidR="0037310D" w:rsidRDefault="0037310D" w:rsidP="0037310D">
      <w:pPr>
        <w:pStyle w:val="TableDescription"/>
        <w:rPr>
          <w:lang w:eastAsia="ja-JP"/>
        </w:rPr>
      </w:pPr>
      <w:r>
        <w:rPr>
          <w:lang w:eastAsia="ja-JP"/>
        </w:rPr>
        <w:t>a</w:t>
      </w:r>
      <w:r w:rsidR="00DA02C1">
        <w:rPr>
          <w:lang w:eastAsia="ja-JP"/>
        </w:rPr>
        <w:t>:</w:t>
      </w:r>
      <w:r>
        <w:rPr>
          <w:lang w:eastAsia="ja-JP"/>
        </w:rPr>
        <w:t xml:space="preserve"> Includes </w:t>
      </w:r>
      <w:proofErr w:type="gramStart"/>
      <w:r>
        <w:rPr>
          <w:lang w:eastAsia="ja-JP"/>
        </w:rPr>
        <w:t>definitely related</w:t>
      </w:r>
      <w:proofErr w:type="gramEnd"/>
      <w:r>
        <w:rPr>
          <w:lang w:eastAsia="ja-JP"/>
        </w:rPr>
        <w:t xml:space="preserve"> and possibly related adverse events</w:t>
      </w:r>
    </w:p>
    <w:p w14:paraId="0303D416" w14:textId="50F5BA26" w:rsidR="003A7852" w:rsidRDefault="003A7852" w:rsidP="003A7852">
      <w:pPr>
        <w:rPr>
          <w:rFonts w:asciiTheme="minorHAnsi" w:hAnsiTheme="minorHAnsi"/>
        </w:rPr>
      </w:pPr>
      <w:r w:rsidRPr="00C7170D">
        <w:t>Safety was also assessed in the prospective, open</w:t>
      </w:r>
      <w:r w:rsidR="00FE0A35" w:rsidRPr="00C7170D">
        <w:t xml:space="preserve"> </w:t>
      </w:r>
      <w:r w:rsidRPr="00C7170D">
        <w:t>label PK/biodistribution study (</w:t>
      </w:r>
      <w:r w:rsidR="00674EF0">
        <w:t xml:space="preserve">Study </w:t>
      </w:r>
      <w:r w:rsidRPr="00C7170D">
        <w:t xml:space="preserve">Ga68PSMA-2016-1) comparing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rsidRPr="00C7170D">
        <w:t>prepared by a classical synthesiser</w:t>
      </w:r>
      <w:r>
        <w:t xml:space="preserve"> method compared to the </w:t>
      </w:r>
      <w:proofErr w:type="spellStart"/>
      <w:r>
        <w:t>Telix</w:t>
      </w:r>
      <w:proofErr w:type="spellEnd"/>
      <w:r>
        <w:t xml:space="preserve"> kit in </w:t>
      </w:r>
      <w:r w:rsidR="00C7170D">
        <w:t>three</w:t>
      </w:r>
      <w:r>
        <w:t xml:space="preserve"> healthy volunteers.</w:t>
      </w:r>
      <w:r w:rsidRPr="00683BB5">
        <w:rPr>
          <w:lang w:eastAsia="ja-JP"/>
        </w:rPr>
        <w:t xml:space="preserve"> </w:t>
      </w:r>
      <w:r>
        <w:rPr>
          <w:lang w:eastAsia="ja-JP"/>
        </w:rPr>
        <w:t xml:space="preserve">In </w:t>
      </w:r>
      <w:proofErr w:type="gramStart"/>
      <w:r>
        <w:rPr>
          <w:lang w:eastAsia="ja-JP"/>
        </w:rPr>
        <w:t>Study</w:t>
      </w:r>
      <w:r w:rsidR="00674EF0">
        <w:rPr>
          <w:lang w:eastAsia="ja-JP"/>
        </w:rPr>
        <w:t> </w:t>
      </w:r>
      <w:r>
        <w:rPr>
          <w:lang w:eastAsia="ja-JP"/>
        </w:rPr>
        <w:t xml:space="preserve"> </w:t>
      </w:r>
      <w:r w:rsidRPr="007D5A86">
        <w:rPr>
          <w:vertAlign w:val="superscript"/>
          <w:lang w:eastAsia="ja-JP"/>
        </w:rPr>
        <w:t>68</w:t>
      </w:r>
      <w:proofErr w:type="gramEnd"/>
      <w:r>
        <w:rPr>
          <w:lang w:eastAsia="ja-JP"/>
        </w:rPr>
        <w:t xml:space="preserve">GaPSMA-2016-1, the </w:t>
      </w:r>
      <w:r w:rsidR="00C7170D">
        <w:rPr>
          <w:lang w:eastAsia="ja-JP"/>
        </w:rPr>
        <w:t>three</w:t>
      </w:r>
      <w:r>
        <w:rPr>
          <w:lang w:eastAsia="ja-JP"/>
        </w:rPr>
        <w:t xml:space="preserve"> healthy participants had two separate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rPr>
          <w:lang w:eastAsia="ja-JP"/>
        </w:rPr>
        <w:t>injections (each prepared by a different method) 7 to 15 days apart. T</w:t>
      </w:r>
      <w:r>
        <w:t xml:space="preserve">he doses of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t xml:space="preserve">received by the </w:t>
      </w:r>
      <w:r w:rsidR="00C7170D">
        <w:t>three</w:t>
      </w:r>
      <w:r>
        <w:t xml:space="preserve"> participants ranged from 173 to 188</w:t>
      </w:r>
      <w:r w:rsidR="00ED2BDD">
        <w:t xml:space="preserve"> </w:t>
      </w:r>
      <w:r>
        <w:t xml:space="preserve">MBq for doses prepared using the </w:t>
      </w:r>
      <w:r w:rsidR="00C7170D">
        <w:t>k</w:t>
      </w:r>
      <w:r>
        <w:t>it and from 162 to 192</w:t>
      </w:r>
      <w:r w:rsidR="00ED2BDD">
        <w:t xml:space="preserve"> </w:t>
      </w:r>
      <w:r>
        <w:t xml:space="preserve">MBq for doses prepared using the synthesiser method. Safety data included vital signs, laboratory measurements, and adverse events. </w:t>
      </w:r>
      <w:r w:rsidR="00ED2BDD">
        <w:rPr>
          <w:rFonts w:cs="Calibri"/>
          <w:lang w:eastAsia="ja-JP"/>
        </w:rPr>
        <w:t>Adverse events</w:t>
      </w:r>
      <w:r w:rsidR="00ED2BDD" w:rsidRPr="00683BB5">
        <w:rPr>
          <w:rFonts w:cs="Calibri"/>
          <w:lang w:eastAsia="ja-JP"/>
        </w:rPr>
        <w:t xml:space="preserve"> </w:t>
      </w:r>
      <w:r>
        <w:t xml:space="preserve">were to be collected through close monitoring during the time in hospital and by phone calls made at 24 hours and </w:t>
      </w:r>
      <w:proofErr w:type="gramStart"/>
      <w:r>
        <w:t>one week</w:t>
      </w:r>
      <w:proofErr w:type="gramEnd"/>
      <w:r>
        <w:t xml:space="preserve"> post-injection. There were </w:t>
      </w:r>
      <w:r w:rsidR="00C7170D">
        <w:t>three</w:t>
      </w:r>
      <w:r>
        <w:t xml:space="preserve"> </w:t>
      </w:r>
      <w:r w:rsidR="00ED2BDD">
        <w:rPr>
          <w:rFonts w:cs="Calibri"/>
          <w:lang w:eastAsia="ja-JP"/>
        </w:rPr>
        <w:t>adverse events</w:t>
      </w:r>
      <w:r w:rsidR="00ED2BDD" w:rsidRPr="00683BB5">
        <w:rPr>
          <w:rFonts w:cs="Calibri"/>
          <w:lang w:eastAsia="ja-JP"/>
        </w:rPr>
        <w:t xml:space="preserve"> </w:t>
      </w:r>
      <w:r>
        <w:t xml:space="preserve">reported in </w:t>
      </w:r>
      <w:r w:rsidR="00C7170D">
        <w:t>two</w:t>
      </w:r>
      <w:r>
        <w:t xml:space="preserve"> subjects, all were assessed as mild. </w:t>
      </w:r>
      <w:r w:rsidRPr="00CB0B3F">
        <w:rPr>
          <w:rFonts w:asciiTheme="minorHAnsi" w:hAnsiTheme="minorHAnsi"/>
        </w:rPr>
        <w:t xml:space="preserve">One participant had a minor increase in serum amylase </w:t>
      </w:r>
      <w:r w:rsidR="00674EF0">
        <w:rPr>
          <w:rFonts w:asciiTheme="minorHAnsi" w:hAnsiTheme="minorHAnsi"/>
        </w:rPr>
        <w:t xml:space="preserve">at </w:t>
      </w:r>
      <w:r w:rsidR="00C7170D">
        <w:rPr>
          <w:rFonts w:asciiTheme="minorHAnsi" w:hAnsiTheme="minorHAnsi"/>
        </w:rPr>
        <w:t>three</w:t>
      </w:r>
      <w:r>
        <w:rPr>
          <w:rFonts w:asciiTheme="minorHAnsi" w:hAnsiTheme="minorHAnsi"/>
        </w:rPr>
        <w:t xml:space="preserve"> </w:t>
      </w:r>
      <w:r w:rsidR="00674EF0" w:rsidRPr="00CB0B3F">
        <w:rPr>
          <w:rFonts w:asciiTheme="minorHAnsi" w:hAnsiTheme="minorHAnsi"/>
        </w:rPr>
        <w:t>h</w:t>
      </w:r>
      <w:r w:rsidR="00674EF0">
        <w:rPr>
          <w:rFonts w:asciiTheme="minorHAnsi" w:hAnsiTheme="minorHAnsi"/>
        </w:rPr>
        <w:t>ours</w:t>
      </w:r>
      <w:r w:rsidRPr="00CB0B3F">
        <w:rPr>
          <w:rFonts w:asciiTheme="minorHAnsi" w:hAnsiTheme="minorHAnsi"/>
        </w:rPr>
        <w:t xml:space="preserve"> post-injection with the PSMA-11 </w:t>
      </w:r>
      <w:proofErr w:type="spellStart"/>
      <w:r w:rsidR="00C7170D">
        <w:rPr>
          <w:rFonts w:asciiTheme="minorHAnsi" w:hAnsiTheme="minorHAnsi"/>
        </w:rPr>
        <w:t>s</w:t>
      </w:r>
      <w:r w:rsidRPr="00CB0B3F">
        <w:rPr>
          <w:rFonts w:asciiTheme="minorHAnsi" w:hAnsiTheme="minorHAnsi"/>
        </w:rPr>
        <w:t>cintomics</w:t>
      </w:r>
      <w:proofErr w:type="spellEnd"/>
      <w:r w:rsidRPr="00CB0B3F">
        <w:rPr>
          <w:rFonts w:asciiTheme="minorHAnsi" w:hAnsiTheme="minorHAnsi"/>
        </w:rPr>
        <w:t xml:space="preserve"> treatment and 14 days after the </w:t>
      </w:r>
      <w:proofErr w:type="spellStart"/>
      <w:r>
        <w:rPr>
          <w:rFonts w:asciiTheme="minorHAnsi" w:hAnsiTheme="minorHAnsi"/>
        </w:rPr>
        <w:t>Telix</w:t>
      </w:r>
      <w:proofErr w:type="spellEnd"/>
      <w:r>
        <w:rPr>
          <w:rFonts w:asciiTheme="minorHAnsi" w:hAnsiTheme="minorHAnsi"/>
        </w:rPr>
        <w:t xml:space="preserve"> </w:t>
      </w:r>
      <w:r w:rsidRPr="00CB0B3F">
        <w:rPr>
          <w:rFonts w:asciiTheme="minorHAnsi" w:hAnsiTheme="minorHAnsi"/>
        </w:rPr>
        <w:t xml:space="preserve">preparation. The </w:t>
      </w:r>
      <w:r w:rsidR="00ED2BDD">
        <w:rPr>
          <w:rFonts w:cs="Calibri"/>
          <w:lang w:eastAsia="ja-JP"/>
        </w:rPr>
        <w:t>adverse events</w:t>
      </w:r>
      <w:r w:rsidR="00ED2BDD" w:rsidRPr="00683BB5">
        <w:rPr>
          <w:rFonts w:cs="Calibri"/>
          <w:lang w:eastAsia="ja-JP"/>
        </w:rPr>
        <w:t xml:space="preserve"> </w:t>
      </w:r>
      <w:r w:rsidRPr="00CB0B3F">
        <w:rPr>
          <w:rFonts w:asciiTheme="minorHAnsi" w:hAnsiTheme="minorHAnsi"/>
        </w:rPr>
        <w:t xml:space="preserve">was assessed by the investigator as </w:t>
      </w:r>
      <w:r>
        <w:rPr>
          <w:rFonts w:asciiTheme="minorHAnsi" w:hAnsiTheme="minorHAnsi"/>
        </w:rPr>
        <w:t>likely to be related</w:t>
      </w:r>
      <w:r w:rsidR="00674EF0" w:rsidRPr="00BB6E5F">
        <w:t xml:space="preserve"> to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w:t>
      </w:r>
      <w:proofErr w:type="gramStart"/>
      <w:r w:rsidR="00674EF0">
        <w:rPr>
          <w:rStyle w:val="style1"/>
          <w:rFonts w:cstheme="minorHAnsi"/>
          <w:iCs/>
        </w:rPr>
        <w:t xml:space="preserve">11 </w:t>
      </w:r>
      <w:r w:rsidRPr="00CB0B3F">
        <w:rPr>
          <w:rFonts w:asciiTheme="minorHAnsi" w:eastAsiaTheme="minorHAnsi" w:hAnsiTheme="minorHAnsi" w:cs="Calibri"/>
          <w:lang w:val="en-US"/>
        </w:rPr>
        <w:t>.</w:t>
      </w:r>
      <w:proofErr w:type="gramEnd"/>
      <w:r>
        <w:rPr>
          <w:rFonts w:asciiTheme="minorHAnsi" w:eastAsiaTheme="minorHAnsi" w:hAnsiTheme="minorHAnsi" w:cs="Calibri"/>
          <w:lang w:val="en-US"/>
        </w:rPr>
        <w:t xml:space="preserve"> </w:t>
      </w:r>
      <w:r w:rsidRPr="00CB0B3F">
        <w:rPr>
          <w:rFonts w:asciiTheme="minorHAnsi" w:hAnsiTheme="minorHAnsi"/>
        </w:rPr>
        <w:t xml:space="preserve">One participant had an episode of abdominal pain, </w:t>
      </w:r>
      <w:proofErr w:type="gramStart"/>
      <w:r w:rsidRPr="00CB0B3F">
        <w:rPr>
          <w:rFonts w:asciiTheme="minorHAnsi" w:hAnsiTheme="minorHAnsi"/>
        </w:rPr>
        <w:t>similar to</w:t>
      </w:r>
      <w:proofErr w:type="gramEnd"/>
      <w:r w:rsidRPr="00CB0B3F">
        <w:rPr>
          <w:rFonts w:asciiTheme="minorHAnsi" w:hAnsiTheme="minorHAnsi"/>
        </w:rPr>
        <w:t xml:space="preserve"> that previously experienced by the participant, together with a minor rise in white cell count. This was thought by the investigator to likely represent chronic bowel inflammation and</w:t>
      </w:r>
      <w:r>
        <w:rPr>
          <w:rFonts w:asciiTheme="minorHAnsi" w:hAnsiTheme="minorHAnsi"/>
        </w:rPr>
        <w:t xml:space="preserve"> not to be related to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Ga] </w:t>
      </w:r>
      <w:r w:rsidR="00293AB9">
        <w:rPr>
          <w:rStyle w:val="style1"/>
          <w:rFonts w:cstheme="minorHAnsi"/>
          <w:iCs/>
        </w:rPr>
        <w:t>gallium</w:t>
      </w:r>
      <w:r w:rsidR="00674EF0">
        <w:rPr>
          <w:rStyle w:val="style1"/>
          <w:rFonts w:cstheme="minorHAnsi"/>
          <w:iCs/>
        </w:rPr>
        <w:t xml:space="preserve"> PSMA-11.</w:t>
      </w:r>
    </w:p>
    <w:p w14:paraId="44EBFF92" w14:textId="77777777" w:rsidR="003A7852" w:rsidRDefault="003A7852" w:rsidP="00DA02C1">
      <w:pPr>
        <w:pStyle w:val="Heading5"/>
      </w:pPr>
      <w:r w:rsidRPr="00A24C1C">
        <w:t>Published literature</w:t>
      </w:r>
    </w:p>
    <w:p w14:paraId="2CB86AFF" w14:textId="7DF32B34" w:rsidR="003A7852" w:rsidRDefault="003A7852" w:rsidP="003A7852">
      <w:pPr>
        <w:rPr>
          <w:rFonts w:asciiTheme="minorHAnsi" w:hAnsiTheme="minorHAnsi"/>
        </w:rPr>
      </w:pPr>
      <w:r>
        <w:rPr>
          <w:rFonts w:asciiTheme="minorHAnsi" w:hAnsiTheme="minorHAnsi"/>
        </w:rPr>
        <w:t xml:space="preserve">The </w:t>
      </w:r>
      <w:r w:rsidR="00A24C1C">
        <w:rPr>
          <w:rFonts w:asciiTheme="minorHAnsi" w:hAnsiTheme="minorHAnsi"/>
        </w:rPr>
        <w:t>s</w:t>
      </w:r>
      <w:r>
        <w:rPr>
          <w:rFonts w:asciiTheme="minorHAnsi" w:hAnsiTheme="minorHAnsi"/>
        </w:rPr>
        <w:t xml:space="preserve">ponsor presented 11 published studies involving a total of 1,852 patients with primary or </w:t>
      </w:r>
      <w:r w:rsidR="00ED2BDD">
        <w:t>biochemically recurrent prostate cancer</w:t>
      </w:r>
      <w:r w:rsidR="00ED2BDD" w:rsidDel="00ED2BDD">
        <w:rPr>
          <w:rFonts w:asciiTheme="minorHAnsi" w:hAnsiTheme="minorHAnsi"/>
        </w:rPr>
        <w:t xml:space="preserve"> </w:t>
      </w:r>
      <w:r>
        <w:rPr>
          <w:rFonts w:asciiTheme="minorHAnsi" w:hAnsiTheme="minorHAnsi"/>
        </w:rPr>
        <w:t>prostate cancer.</w:t>
      </w:r>
      <w:r w:rsidR="00D23754">
        <w:rPr>
          <w:rFonts w:asciiTheme="minorHAnsi" w:hAnsiTheme="minorHAnsi"/>
        </w:rPr>
        <w:t xml:space="preserve"> </w:t>
      </w:r>
      <w:r>
        <w:rPr>
          <w:rFonts w:asciiTheme="minorHAnsi" w:hAnsiTheme="minorHAnsi"/>
        </w:rPr>
        <w:t xml:space="preserve">The clinical evaluator highlighted limitations in the safety reporting in these studies, as 8 of the 11 studies did not describe the methodology for collection of safety data, and </w:t>
      </w:r>
      <w:r w:rsidR="002B1016">
        <w:rPr>
          <w:rFonts w:asciiTheme="minorHAnsi" w:hAnsiTheme="minorHAnsi"/>
        </w:rPr>
        <w:t>three</w:t>
      </w:r>
      <w:r>
        <w:rPr>
          <w:rFonts w:asciiTheme="minorHAnsi" w:hAnsiTheme="minorHAnsi"/>
        </w:rPr>
        <w:t xml:space="preserve"> did not report any safety data.</w:t>
      </w:r>
    </w:p>
    <w:p w14:paraId="39ED72C8" w14:textId="72F900E2" w:rsidR="003A7852" w:rsidRDefault="003A7852" w:rsidP="003A7852">
      <w:pPr>
        <w:rPr>
          <w:rFonts w:asciiTheme="minorHAnsi" w:hAnsiTheme="minorHAnsi"/>
        </w:rPr>
      </w:pPr>
      <w:r>
        <w:rPr>
          <w:rFonts w:asciiTheme="minorHAnsi" w:hAnsiTheme="minorHAnsi"/>
        </w:rPr>
        <w:lastRenderedPageBreak/>
        <w:t>In the singl</w:t>
      </w:r>
      <w:r w:rsidR="002B1016">
        <w:rPr>
          <w:rFonts w:asciiTheme="minorHAnsi" w:hAnsiTheme="minorHAnsi"/>
        </w:rPr>
        <w:t xml:space="preserve">e </w:t>
      </w:r>
      <w:r>
        <w:rPr>
          <w:rFonts w:asciiTheme="minorHAnsi" w:hAnsiTheme="minorHAnsi"/>
        </w:rPr>
        <w:t xml:space="preserve">centre prospective study by </w:t>
      </w:r>
      <w:proofErr w:type="spellStart"/>
      <w:r w:rsidRPr="00A24C1C">
        <w:rPr>
          <w:rFonts w:asciiTheme="minorHAnsi" w:hAnsiTheme="minorHAnsi"/>
          <w:bCs/>
        </w:rPr>
        <w:t>Lawnh</w:t>
      </w:r>
      <w:proofErr w:type="spellEnd"/>
      <w:r w:rsidRPr="00A24C1C">
        <w:rPr>
          <w:rFonts w:asciiTheme="minorHAnsi" w:hAnsiTheme="minorHAnsi"/>
          <w:bCs/>
        </w:rPr>
        <w:t xml:space="preserve">-Heath et al </w:t>
      </w:r>
      <w:r w:rsidR="00DE10A8">
        <w:rPr>
          <w:rFonts w:asciiTheme="minorHAnsi" w:hAnsiTheme="minorHAnsi"/>
          <w:bCs/>
        </w:rPr>
        <w:t>(</w:t>
      </w:r>
      <w:r w:rsidRPr="00A24C1C">
        <w:rPr>
          <w:rFonts w:asciiTheme="minorHAnsi" w:hAnsiTheme="minorHAnsi"/>
          <w:bCs/>
        </w:rPr>
        <w:t>2019</w:t>
      </w:r>
      <w:r w:rsidR="00DE10A8">
        <w:rPr>
          <w:rFonts w:asciiTheme="minorHAnsi" w:hAnsiTheme="minorHAnsi"/>
          <w:bCs/>
        </w:rPr>
        <w:t>)</w:t>
      </w:r>
      <w:r w:rsidR="00A24C1C">
        <w:rPr>
          <w:rFonts w:asciiTheme="minorHAnsi" w:hAnsiTheme="minorHAnsi"/>
          <w:bCs/>
        </w:rPr>
        <w:t>;</w:t>
      </w:r>
      <w:r w:rsidRPr="00A24C1C">
        <w:rPr>
          <w:rStyle w:val="FootnoteReference"/>
          <w:rFonts w:asciiTheme="minorHAnsi" w:hAnsiTheme="minorHAnsi"/>
          <w:bCs/>
        </w:rPr>
        <w:footnoteReference w:id="50"/>
      </w:r>
      <w:r w:rsidR="00A24C1C">
        <w:rPr>
          <w:rFonts w:asciiTheme="minorHAnsi" w:hAnsiTheme="minorHAnsi"/>
          <w:bCs/>
        </w:rPr>
        <w:t>,</w:t>
      </w:r>
      <w:r w:rsidRPr="00A24C1C">
        <w:rPr>
          <w:rFonts w:asciiTheme="minorHAnsi" w:hAnsiTheme="minorHAnsi"/>
          <w:bCs/>
        </w:rPr>
        <w:t xml:space="preserve"> </w:t>
      </w:r>
      <w:r w:rsidRPr="00A24C1C">
        <w:rPr>
          <w:bCs/>
        </w:rPr>
        <w:t>150</w:t>
      </w:r>
      <w:r>
        <w:t xml:space="preserve"> patients with </w:t>
      </w:r>
      <w:r w:rsidR="00ED2BDD">
        <w:t>biochemically recurrent prostate cancer</w:t>
      </w:r>
      <w:r w:rsidR="00ED2BDD" w:rsidDel="00ED2BDD">
        <w:t xml:space="preserve"> </w:t>
      </w:r>
      <w:r w:rsidR="002B1016">
        <w:t>prostate cancer</w:t>
      </w:r>
      <w:r>
        <w:rPr>
          <w:rFonts w:asciiTheme="minorHAnsi" w:hAnsiTheme="minorHAnsi"/>
        </w:rPr>
        <w:t xml:space="preserve"> received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rPr>
          <w:rFonts w:asciiTheme="minorHAnsi" w:hAnsiTheme="minorHAnsi"/>
        </w:rPr>
        <w:t xml:space="preserve">PET/CT or PET/MRI </w:t>
      </w:r>
      <w:r>
        <w:t>with a dose activity of 199.8 ±48.1 MBq (range 107.3</w:t>
      </w:r>
      <w:r w:rsidR="00A24C1C">
        <w:t xml:space="preserve"> to</w:t>
      </w:r>
      <w:r>
        <w:t xml:space="preserve"> 273.8 MBq). 110 of 150 patients received f</w:t>
      </w:r>
      <w:r w:rsidR="00674EF0">
        <w:t>uro</w:t>
      </w:r>
      <w:r>
        <w:t>semide 20</w:t>
      </w:r>
      <w:r w:rsidR="002B1016">
        <w:t> </w:t>
      </w:r>
      <w:r>
        <w:t xml:space="preserve">mg </w:t>
      </w:r>
      <w:r w:rsidR="002B1016">
        <w:t>intravenously</w:t>
      </w:r>
      <w:r>
        <w:t xml:space="preserve"> concurrent with the radiotracer.</w:t>
      </w:r>
      <w:r>
        <w:rPr>
          <w:rFonts w:asciiTheme="minorHAnsi" w:hAnsiTheme="minorHAnsi"/>
        </w:rPr>
        <w:t xml:space="preserve"> Four </w:t>
      </w:r>
      <w:r w:rsidR="00ED2BDD">
        <w:rPr>
          <w:rFonts w:asciiTheme="minorHAnsi" w:hAnsiTheme="minorHAnsi"/>
        </w:rPr>
        <w:t xml:space="preserve">adverse events </w:t>
      </w:r>
      <w:r>
        <w:rPr>
          <w:rFonts w:asciiTheme="minorHAnsi" w:hAnsiTheme="minorHAnsi"/>
        </w:rPr>
        <w:t xml:space="preserve">(dizzy, fall, nausea, constipation) were reported in </w:t>
      </w:r>
      <w:r w:rsidR="002B1016">
        <w:rPr>
          <w:rFonts w:asciiTheme="minorHAnsi" w:hAnsiTheme="minorHAnsi"/>
        </w:rPr>
        <w:t>four</w:t>
      </w:r>
      <w:r w:rsidR="00674EF0">
        <w:rPr>
          <w:rFonts w:asciiTheme="minorHAnsi" w:hAnsiTheme="minorHAnsi"/>
        </w:rPr>
        <w:t> </w:t>
      </w:r>
      <w:r>
        <w:rPr>
          <w:rFonts w:asciiTheme="minorHAnsi" w:hAnsiTheme="minorHAnsi"/>
        </w:rPr>
        <w:t>(2.7%) patients.</w:t>
      </w:r>
    </w:p>
    <w:p w14:paraId="65593AB2" w14:textId="43953422" w:rsidR="003A7852" w:rsidRPr="002A195F" w:rsidRDefault="003A7852" w:rsidP="003A7852">
      <w:r w:rsidRPr="00A24C1C">
        <w:rPr>
          <w:rFonts w:asciiTheme="minorHAnsi" w:hAnsiTheme="minorHAnsi"/>
          <w:bCs/>
        </w:rPr>
        <w:t>Nielsen et al</w:t>
      </w:r>
      <w:r w:rsidR="00ED2BDD">
        <w:rPr>
          <w:rFonts w:asciiTheme="minorHAnsi" w:hAnsiTheme="minorHAnsi"/>
          <w:bCs/>
        </w:rPr>
        <w:t>.</w:t>
      </w:r>
      <w:r w:rsidRPr="00A24C1C">
        <w:rPr>
          <w:rFonts w:asciiTheme="minorHAnsi" w:hAnsiTheme="minorHAnsi"/>
          <w:bCs/>
        </w:rPr>
        <w:t xml:space="preserve"> </w:t>
      </w:r>
      <w:r w:rsidR="00DE10A8">
        <w:rPr>
          <w:rFonts w:asciiTheme="minorHAnsi" w:hAnsiTheme="minorHAnsi"/>
          <w:bCs/>
        </w:rPr>
        <w:t>(</w:t>
      </w:r>
      <w:r w:rsidRPr="00A24C1C">
        <w:rPr>
          <w:rFonts w:asciiTheme="minorHAnsi" w:hAnsiTheme="minorHAnsi"/>
          <w:bCs/>
        </w:rPr>
        <w:t>2017</w:t>
      </w:r>
      <w:r w:rsidR="00DE10A8">
        <w:rPr>
          <w:rFonts w:asciiTheme="minorHAnsi" w:hAnsiTheme="minorHAnsi"/>
          <w:bCs/>
        </w:rPr>
        <w:t>)</w:t>
      </w:r>
      <w:r w:rsidR="00A24C1C">
        <w:rPr>
          <w:rFonts w:asciiTheme="minorHAnsi" w:hAnsiTheme="minorHAnsi"/>
          <w:bCs/>
        </w:rPr>
        <w:t>;</w:t>
      </w:r>
      <w:bookmarkStart w:id="90" w:name="_Ref104543414"/>
      <w:r w:rsidR="00A24C1C">
        <w:rPr>
          <w:rStyle w:val="FootnoteReference"/>
          <w:rFonts w:asciiTheme="minorHAnsi" w:hAnsiTheme="minorHAnsi"/>
          <w:bCs/>
        </w:rPr>
        <w:footnoteReference w:id="51"/>
      </w:r>
      <w:bookmarkEnd w:id="90"/>
      <w:r w:rsidRPr="001271F8">
        <w:rPr>
          <w:rFonts w:asciiTheme="minorHAnsi" w:hAnsiTheme="minorHAnsi"/>
          <w:b/>
        </w:rPr>
        <w:t xml:space="preserve"> </w:t>
      </w:r>
      <w:r>
        <w:rPr>
          <w:rFonts w:asciiTheme="minorHAnsi" w:hAnsiTheme="minorHAnsi"/>
        </w:rPr>
        <w:t xml:space="preserve">reported </w:t>
      </w:r>
      <w:r>
        <w:t xml:space="preserve">the clinical safety profile of the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t xml:space="preserve">ligand for PET/CT imaging using safety data from two prospective clinical trials conducted by the authors and in which the Danish Medicines Agency had mandated detailed safety monitoring and reporting using standardised criteria. One study was a fully recruited investigation of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t xml:space="preserve">PET/CT compared to MRI and </w:t>
      </w:r>
      <w:r w:rsidR="00ED2BDD">
        <w:t>[</w:t>
      </w:r>
      <w:r w:rsidRPr="004F7DDA">
        <w:rPr>
          <w:vertAlign w:val="superscript"/>
        </w:rPr>
        <w:t>18</w:t>
      </w:r>
      <w:r>
        <w:t>F</w:t>
      </w:r>
      <w:r w:rsidR="00674EF0">
        <w:t xml:space="preserve">] </w:t>
      </w:r>
      <w:r>
        <w:t>sodium fluoride PET/CT in patients with recurrent prostate cancer; the other study was an ongoing diagnostic test accuracy study for staging of prostate cancer. 88 patients were included in the analysis, 18 with prostate cancer for staging and 78 with recurrent prostate cancer.</w:t>
      </w:r>
      <w:r w:rsidR="00D23754">
        <w:t xml:space="preserve"> </w:t>
      </w:r>
      <w:r>
        <w:t>Mean age was 68 years, mean PSA level was 5.1</w:t>
      </w:r>
      <w:r w:rsidR="002B1016">
        <w:t xml:space="preserve"> </w:t>
      </w:r>
      <w:r>
        <w:t>ng/ml. The product was administered as an intravenous bolus injection of 2 MBq/kg body weight (mean administered activity, 166</w:t>
      </w:r>
      <w:r w:rsidR="002B1016">
        <w:t> </w:t>
      </w:r>
      <w:r>
        <w:t xml:space="preserve">±27 MBq; range, 91 </w:t>
      </w:r>
      <w:r w:rsidR="002B1016">
        <w:t>to</w:t>
      </w:r>
      <w:r>
        <w:t xml:space="preserve"> 223 MBq). There were no clinical </w:t>
      </w:r>
      <w:r w:rsidR="00ED2BDD">
        <w:rPr>
          <w:rFonts w:cs="Calibri"/>
          <w:lang w:eastAsia="ja-JP"/>
        </w:rPr>
        <w:t xml:space="preserve">adverse events </w:t>
      </w:r>
      <w:r>
        <w:t xml:space="preserve">reported (by interview or spontaneous reporting) in any patients at any time point from the time of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rsidRPr="002A195F">
        <w:t xml:space="preserve">injection until the end of the day of the PET/CT. No patients spontaneously reported any late </w:t>
      </w:r>
      <w:r w:rsidR="00ED2BDD">
        <w:rPr>
          <w:rFonts w:cs="Calibri"/>
          <w:lang w:eastAsia="ja-JP"/>
        </w:rPr>
        <w:t>adverse events</w:t>
      </w:r>
      <w:r w:rsidRPr="002A195F">
        <w:t>.</w:t>
      </w:r>
    </w:p>
    <w:p w14:paraId="2B2DA8EA" w14:textId="1C10AE65" w:rsidR="003A7852" w:rsidRDefault="003A7852" w:rsidP="003A7852">
      <w:pPr>
        <w:spacing w:before="0"/>
      </w:pPr>
      <w:proofErr w:type="spellStart"/>
      <w:r w:rsidRPr="002A195F">
        <w:rPr>
          <w:bCs/>
        </w:rPr>
        <w:t>Fendler</w:t>
      </w:r>
      <w:proofErr w:type="spellEnd"/>
      <w:r w:rsidRPr="002A195F">
        <w:rPr>
          <w:bCs/>
        </w:rPr>
        <w:t xml:space="preserve"> et al</w:t>
      </w:r>
      <w:r w:rsidR="00ED2BDD">
        <w:rPr>
          <w:bCs/>
        </w:rPr>
        <w:t>.</w:t>
      </w:r>
      <w:r w:rsidRPr="002A195F">
        <w:rPr>
          <w:bCs/>
        </w:rPr>
        <w:t xml:space="preserve"> </w:t>
      </w:r>
      <w:r w:rsidR="00DE10A8">
        <w:rPr>
          <w:bCs/>
        </w:rPr>
        <w:t>(</w:t>
      </w:r>
      <w:r w:rsidRPr="002A195F">
        <w:rPr>
          <w:bCs/>
        </w:rPr>
        <w:t>2019</w:t>
      </w:r>
      <w:r w:rsidR="00DE10A8">
        <w:rPr>
          <w:bCs/>
        </w:rPr>
        <w:t>)</w:t>
      </w:r>
      <w:r w:rsidR="002A195F" w:rsidRPr="002A195F">
        <w:t>;</w:t>
      </w:r>
      <w:r w:rsidR="007A06A3">
        <w:fldChar w:fldCharType="begin"/>
      </w:r>
      <w:r w:rsidR="007A06A3">
        <w:instrText xml:space="preserve"> NOTEREF _Ref104544486 \f \h </w:instrText>
      </w:r>
      <w:r w:rsidR="007A06A3">
        <w:fldChar w:fldCharType="separate"/>
      </w:r>
      <w:r w:rsidR="00036995" w:rsidRPr="00036995">
        <w:rPr>
          <w:rStyle w:val="FootnoteReference"/>
        </w:rPr>
        <w:t>47</w:t>
      </w:r>
      <w:r w:rsidR="007A06A3">
        <w:fldChar w:fldCharType="end"/>
      </w:r>
      <w:r w:rsidRPr="002A195F">
        <w:t xml:space="preserve"> reported findings from the PSMA-BCR study, which was evaluated by the FDA in the recently approved </w:t>
      </w:r>
      <w:r w:rsidR="002A195F" w:rsidRPr="002A195F">
        <w:t>n</w:t>
      </w:r>
      <w:r w:rsidRPr="002A195F">
        <w:t xml:space="preserve">ew </w:t>
      </w:r>
      <w:r w:rsidR="002A195F" w:rsidRPr="002A195F">
        <w:t>d</w:t>
      </w:r>
      <w:r w:rsidRPr="002A195F">
        <w:t xml:space="preserve">rug </w:t>
      </w:r>
      <w:r w:rsidR="002A195F" w:rsidRPr="002A195F">
        <w:t>a</w:t>
      </w:r>
      <w:r w:rsidRPr="002A195F">
        <w:t xml:space="preserve">pplications for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rsidRPr="002A195F">
        <w:t xml:space="preserve">in the USA. </w:t>
      </w:r>
      <w:r w:rsidRPr="002A195F">
        <w:rPr>
          <w:lang w:eastAsia="ja-JP"/>
        </w:rPr>
        <w:t>PSMA-BCR was a prospective study evaluating the diagnostic efficacy and safety of Ga</w:t>
      </w:r>
      <w:r w:rsidR="00ED2BDD">
        <w:rPr>
          <w:lang w:eastAsia="ja-JP"/>
        </w:rPr>
        <w:noBreakHyphen/>
      </w:r>
      <w:r w:rsidRPr="002A195F">
        <w:rPr>
          <w:lang w:eastAsia="ja-JP"/>
        </w:rPr>
        <w:t>68</w:t>
      </w:r>
      <w:r w:rsidR="00ED2BDD">
        <w:rPr>
          <w:lang w:eastAsia="ja-JP"/>
        </w:rPr>
        <w:t> </w:t>
      </w:r>
      <w:r w:rsidRPr="002A195F">
        <w:rPr>
          <w:lang w:eastAsia="ja-JP"/>
        </w:rPr>
        <w:t xml:space="preserve">PSMA-11 in </w:t>
      </w:r>
      <w:r w:rsidR="00ED2BDD">
        <w:t>biochemically recurrent prostate cancer</w:t>
      </w:r>
      <w:r w:rsidRPr="002A195F">
        <w:rPr>
          <w:lang w:eastAsia="ja-JP"/>
        </w:rPr>
        <w:t xml:space="preserve">. Patients were observed for </w:t>
      </w:r>
      <w:r w:rsidR="002A195F">
        <w:rPr>
          <w:lang w:eastAsia="ja-JP"/>
        </w:rPr>
        <w:t>two</w:t>
      </w:r>
      <w:r w:rsidRPr="002A195F">
        <w:rPr>
          <w:lang w:eastAsia="ja-JP"/>
        </w:rPr>
        <w:t xml:space="preserve"> hours post-Ga-68 PSMA</w:t>
      </w:r>
      <w:r w:rsidR="00ED2BDD">
        <w:rPr>
          <w:lang w:eastAsia="ja-JP"/>
        </w:rPr>
        <w:noBreakHyphen/>
      </w:r>
      <w:r w:rsidRPr="002A195F">
        <w:rPr>
          <w:lang w:eastAsia="ja-JP"/>
        </w:rPr>
        <w:t xml:space="preserve">11 administration for </w:t>
      </w:r>
      <w:r w:rsidR="00ED2BDD">
        <w:rPr>
          <w:rFonts w:cs="Calibri"/>
          <w:lang w:eastAsia="ja-JP"/>
        </w:rPr>
        <w:t xml:space="preserve">adverse events </w:t>
      </w:r>
      <w:r w:rsidRPr="002A195F">
        <w:rPr>
          <w:lang w:eastAsia="ja-JP"/>
        </w:rPr>
        <w:t xml:space="preserve">and for blood pressure and heart rate measurements. Patients were contacted after leaving the imaging facility to record any delayed </w:t>
      </w:r>
      <w:r w:rsidR="00ED2BDD">
        <w:rPr>
          <w:rFonts w:cs="Calibri"/>
          <w:lang w:eastAsia="ja-JP"/>
        </w:rPr>
        <w:t>adverse events</w:t>
      </w:r>
      <w:r w:rsidR="002A195F" w:rsidRPr="002A195F">
        <w:rPr>
          <w:lang w:eastAsia="ja-JP"/>
        </w:rPr>
        <w:t>.</w:t>
      </w:r>
      <w:r w:rsidRPr="002A195F">
        <w:rPr>
          <w:lang w:eastAsia="ja-JP"/>
        </w:rPr>
        <w:t xml:space="preserve"> </w:t>
      </w:r>
      <w:r w:rsidRPr="002A195F">
        <w:rPr>
          <w:lang w:val="en-US"/>
        </w:rPr>
        <w:t xml:space="preserve">A total of 635 patients with </w:t>
      </w:r>
      <w:r w:rsidR="00ED2BDD">
        <w:t>biochemically recurrent prostate cancer</w:t>
      </w:r>
      <w:r w:rsidR="00ED2BDD" w:rsidRPr="002A195F" w:rsidDel="00ED2BDD">
        <w:rPr>
          <w:lang w:val="en-US"/>
        </w:rPr>
        <w:t xml:space="preserve"> </w:t>
      </w:r>
      <w:r w:rsidRPr="002A195F">
        <w:rPr>
          <w:lang w:val="en-US"/>
        </w:rPr>
        <w:t>post-prostatectomy were evaluated. Patients received a single dose of Ga</w:t>
      </w:r>
      <w:r w:rsidR="00ED2BDD">
        <w:rPr>
          <w:lang w:val="en-US"/>
        </w:rPr>
        <w:noBreakHyphen/>
      </w:r>
      <w:r w:rsidRPr="002A195F">
        <w:rPr>
          <w:lang w:val="en-US"/>
        </w:rPr>
        <w:t xml:space="preserve">68 PSMA-11 of 189 ± 40 MBq (mean ± </w:t>
      </w:r>
      <w:r w:rsidR="00674EF0">
        <w:rPr>
          <w:lang w:val="en-US"/>
        </w:rPr>
        <w:t>standard deviation</w:t>
      </w:r>
      <w:r w:rsidRPr="002A195F">
        <w:rPr>
          <w:lang w:val="en-US"/>
        </w:rPr>
        <w:t xml:space="preserve">) together with 20 mg of </w:t>
      </w:r>
      <w:r w:rsidR="00674EF0" w:rsidRPr="002A195F">
        <w:rPr>
          <w:lang w:val="en-US"/>
        </w:rPr>
        <w:t>furosemide</w:t>
      </w:r>
      <w:r w:rsidRPr="002A195F">
        <w:rPr>
          <w:lang w:val="en-US"/>
        </w:rPr>
        <w:t xml:space="preserve">. </w:t>
      </w:r>
      <w:r w:rsidRPr="002A195F">
        <w:t>15</w:t>
      </w:r>
      <w:r w:rsidR="00ED2BDD">
        <w:t> </w:t>
      </w:r>
      <w:r w:rsidRPr="002A195F">
        <w:t xml:space="preserve">(2.3%) of 635 patients reported Grade 1 </w:t>
      </w:r>
      <w:r w:rsidR="00ED2BDD">
        <w:rPr>
          <w:rFonts w:cs="Calibri"/>
          <w:lang w:eastAsia="ja-JP"/>
        </w:rPr>
        <w:t xml:space="preserve">adverse events </w:t>
      </w:r>
      <w:r w:rsidRPr="002A195F">
        <w:t>(</w:t>
      </w:r>
      <w:r w:rsidR="00ED2BDD">
        <w:t xml:space="preserve">see </w:t>
      </w:r>
      <w:r w:rsidRPr="002A195F">
        <w:fldChar w:fldCharType="begin"/>
      </w:r>
      <w:r w:rsidRPr="002A195F">
        <w:instrText xml:space="preserve"> REF _Ref103604327 \h </w:instrText>
      </w:r>
      <w:r w:rsidR="002A195F" w:rsidRPr="002A195F">
        <w:instrText xml:space="preserve"> \* MERGEFORMAT </w:instrText>
      </w:r>
      <w:r w:rsidRPr="002A195F">
        <w:fldChar w:fldCharType="separate"/>
      </w:r>
      <w:r w:rsidR="00036995" w:rsidRPr="003A7852">
        <w:t xml:space="preserve">Table </w:t>
      </w:r>
      <w:r w:rsidR="00036995">
        <w:rPr>
          <w:noProof/>
        </w:rPr>
        <w:t>28</w:t>
      </w:r>
      <w:r w:rsidRPr="002A195F">
        <w:fldChar w:fldCharType="end"/>
      </w:r>
      <w:r w:rsidRPr="002A195F">
        <w:t>). No</w:t>
      </w:r>
      <w:r w:rsidR="00674EF0">
        <w:t> </w:t>
      </w:r>
      <w:r w:rsidRPr="002A195F">
        <w:t xml:space="preserve">Grade 2 or higher </w:t>
      </w:r>
      <w:r w:rsidR="00ED2BDD">
        <w:rPr>
          <w:rFonts w:cs="Calibri"/>
          <w:lang w:eastAsia="ja-JP"/>
        </w:rPr>
        <w:t xml:space="preserve">adverse events </w:t>
      </w:r>
      <w:r w:rsidRPr="002A195F">
        <w:t>were reported.</w:t>
      </w:r>
    </w:p>
    <w:p w14:paraId="1D99CDCE" w14:textId="1731A41F" w:rsidR="003A7852" w:rsidRDefault="003A7852" w:rsidP="00DA02C1">
      <w:pPr>
        <w:pStyle w:val="TableTitle"/>
      </w:pPr>
      <w:bookmarkStart w:id="91" w:name="_Ref103604327"/>
      <w:r w:rsidRPr="003A7852">
        <w:lastRenderedPageBreak/>
        <w:t xml:space="preserve">Table </w:t>
      </w:r>
      <w:fldSimple w:instr=" SEQ Table \* ARABIC ">
        <w:r w:rsidR="00036995">
          <w:rPr>
            <w:noProof/>
          </w:rPr>
          <w:t>28</w:t>
        </w:r>
      </w:fldSimple>
      <w:bookmarkEnd w:id="91"/>
      <w:r>
        <w:t>:</w:t>
      </w:r>
      <w:r w:rsidRPr="003A7852">
        <w:t xml:space="preserve"> </w:t>
      </w:r>
      <w:proofErr w:type="spellStart"/>
      <w:r w:rsidR="00674EF0">
        <w:t>Fendler</w:t>
      </w:r>
      <w:proofErr w:type="spellEnd"/>
      <w:r w:rsidR="00674EF0">
        <w:t xml:space="preserve"> et al. (2019) </w:t>
      </w:r>
      <w:r>
        <w:t xml:space="preserve">Number of subjects reporting </w:t>
      </w:r>
      <w:r w:rsidR="00DE10A8">
        <w:t>adverse events</w:t>
      </w:r>
      <w:r w:rsidR="00ED2BDD">
        <w:t xml:space="preserve"> by </w:t>
      </w:r>
      <w:r w:rsidR="00674EF0">
        <w:t xml:space="preserve">severity and </w:t>
      </w:r>
      <w:r w:rsidR="00ED2BDD">
        <w:t>System Organ Class</w:t>
      </w:r>
    </w:p>
    <w:p w14:paraId="13FF5B39" w14:textId="1A0EFFBD" w:rsidR="003A7852" w:rsidRDefault="003A7852" w:rsidP="003A7852">
      <w:pPr>
        <w:pStyle w:val="Caption"/>
      </w:pPr>
      <w:r>
        <w:rPr>
          <w:noProof/>
          <w:lang w:val="en-GB" w:eastAsia="en-GB"/>
        </w:rPr>
        <w:drawing>
          <wp:inline distT="0" distB="0" distL="0" distR="0" wp14:anchorId="72B94489" wp14:editId="1BB34301">
            <wp:extent cx="5042848" cy="3586025"/>
            <wp:effectExtent l="0" t="0" r="5715" b="0"/>
            <wp:docPr id="3" name="Picture 3" descr="Number of subjects reporting adverse events by severity and System Orga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umber of subjects reporting adverse events by severity and System Organ Class"/>
                    <pic:cNvPicPr/>
                  </pic:nvPicPr>
                  <pic:blipFill rotWithShape="1">
                    <a:blip r:embed="rId51">
                      <a:extLst>
                        <a:ext uri="{BEBA8EAE-BF5A-486C-A8C5-ECC9F3942E4B}">
                          <a14:imgProps xmlns:a14="http://schemas.microsoft.com/office/drawing/2010/main">
                            <a14:imgLayer r:embed="rId52">
                              <a14:imgEffect>
                                <a14:sharpenSoften amount="50000"/>
                              </a14:imgEffect>
                            </a14:imgLayer>
                          </a14:imgProps>
                        </a:ext>
                      </a:extLst>
                    </a:blip>
                    <a:srcRect b="3432"/>
                    <a:stretch/>
                  </pic:blipFill>
                  <pic:spPr bwMode="auto">
                    <a:xfrm>
                      <a:off x="0" y="0"/>
                      <a:ext cx="5051094" cy="3591888"/>
                    </a:xfrm>
                    <a:prstGeom prst="rect">
                      <a:avLst/>
                    </a:prstGeom>
                    <a:ln>
                      <a:noFill/>
                    </a:ln>
                    <a:extLst>
                      <a:ext uri="{53640926-AAD7-44D8-BBD7-CCE9431645EC}">
                        <a14:shadowObscured xmlns:a14="http://schemas.microsoft.com/office/drawing/2010/main"/>
                      </a:ext>
                    </a:extLst>
                  </pic:spPr>
                </pic:pic>
              </a:graphicData>
            </a:graphic>
          </wp:inline>
        </w:drawing>
      </w:r>
    </w:p>
    <w:p w14:paraId="31648B6F" w14:textId="76B372F8" w:rsidR="00674EF0" w:rsidRDefault="0037310D" w:rsidP="004F7DDA">
      <w:pPr>
        <w:pStyle w:val="TableDescription"/>
      </w:pPr>
      <w:r>
        <w:t>Abbreviations: AE = adverse events; n = number of subjects in a specific group.</w:t>
      </w:r>
    </w:p>
    <w:p w14:paraId="2375964D" w14:textId="77777777" w:rsidR="00674EF0" w:rsidRDefault="00674EF0" w:rsidP="00674EF0">
      <w:pPr>
        <w:pStyle w:val="TableDescription"/>
      </w:pPr>
      <w:r>
        <w:t xml:space="preserve">Source: </w:t>
      </w:r>
      <w:proofErr w:type="spellStart"/>
      <w:r>
        <w:t>Fendler</w:t>
      </w:r>
      <w:proofErr w:type="spellEnd"/>
      <w:r>
        <w:t xml:space="preserve"> WP, Calais J, </w:t>
      </w:r>
      <w:proofErr w:type="spellStart"/>
      <w:r>
        <w:t>Eiber</w:t>
      </w:r>
      <w:proofErr w:type="spellEnd"/>
      <w:r>
        <w:t xml:space="preserve"> M, et al. Assessment of 68Ga-PSMA-11 PET Accuracy in Localizing Recurrent Prostate Cancer: A Prospective Single-Arm Clinical Trial. JAMA Oncol. 2019;5(6):856–863</w:t>
      </w:r>
    </w:p>
    <w:p w14:paraId="094E0080" w14:textId="74D3104E" w:rsidR="003A7852" w:rsidRPr="00EC50CE" w:rsidRDefault="00674EF0" w:rsidP="00674EF0">
      <w:r w:rsidRPr="00BB6E5F">
        <w:t>I</w:t>
      </w:r>
      <w:r w:rsidR="003A7852" w:rsidRPr="00BB6E5F">
        <w:t xml:space="preserve">n the randomised, controlled study by </w:t>
      </w:r>
      <w:proofErr w:type="spellStart"/>
      <w:r w:rsidR="003A7852" w:rsidRPr="00EC50CE">
        <w:t>Hofman</w:t>
      </w:r>
      <w:proofErr w:type="spellEnd"/>
      <w:r w:rsidR="003A7852" w:rsidRPr="00EC50CE">
        <w:t xml:space="preserve"> et al</w:t>
      </w:r>
      <w:r>
        <w:t>.</w:t>
      </w:r>
      <w:r w:rsidR="003A7852" w:rsidRPr="00BB6E5F">
        <w:t xml:space="preserve"> </w:t>
      </w:r>
      <w:r w:rsidR="00DE10A8" w:rsidRPr="00BB6E5F">
        <w:t>(</w:t>
      </w:r>
      <w:r w:rsidR="003A7852" w:rsidRPr="00BB6E5F">
        <w:t>2020</w:t>
      </w:r>
      <w:r w:rsidR="00DE10A8" w:rsidRPr="00EC50CE">
        <w:t>)</w:t>
      </w:r>
      <w:r w:rsidR="002A195F" w:rsidRPr="00EC50CE">
        <w:t>;</w:t>
      </w:r>
      <w:r w:rsidR="002A195F" w:rsidRPr="00BB6E5F">
        <w:rPr>
          <w:vertAlign w:val="superscript"/>
        </w:rPr>
        <w:fldChar w:fldCharType="begin"/>
      </w:r>
      <w:r w:rsidR="002A195F" w:rsidRPr="004F7DDA">
        <w:rPr>
          <w:vertAlign w:val="superscript"/>
        </w:rPr>
        <w:instrText xml:space="preserve"> NOTEREF _Ref104543225 \h  \* MERGEFORMAT </w:instrText>
      </w:r>
      <w:r w:rsidR="002A195F" w:rsidRPr="00BB6E5F">
        <w:rPr>
          <w:vertAlign w:val="superscript"/>
        </w:rPr>
      </w:r>
      <w:r w:rsidR="002A195F" w:rsidRPr="00BB6E5F">
        <w:rPr>
          <w:vertAlign w:val="superscript"/>
        </w:rPr>
        <w:fldChar w:fldCharType="separate"/>
      </w:r>
      <w:r w:rsidR="00036995">
        <w:rPr>
          <w:vertAlign w:val="superscript"/>
        </w:rPr>
        <w:t>14</w:t>
      </w:r>
      <w:r w:rsidR="002A195F" w:rsidRPr="00BB6E5F">
        <w:rPr>
          <w:vertAlign w:val="superscript"/>
        </w:rPr>
        <w:fldChar w:fldCharType="end"/>
      </w:r>
      <w:r w:rsidR="003A7852" w:rsidRPr="00BB6E5F">
        <w:t xml:space="preserve"> (</w:t>
      </w:r>
      <w:proofErr w:type="spellStart"/>
      <w:r w:rsidR="003A7852" w:rsidRPr="00BB6E5F">
        <w:t>ProPSMA</w:t>
      </w:r>
      <w:proofErr w:type="spellEnd"/>
      <w:r>
        <w:t xml:space="preserve"> trial</w:t>
      </w:r>
      <w:r w:rsidR="003A7852" w:rsidRPr="00BB6E5F">
        <w:t xml:space="preserve">), no </w:t>
      </w:r>
      <w:r w:rsidR="00007900" w:rsidRPr="004F7DDA">
        <w:t xml:space="preserve">adverse events </w:t>
      </w:r>
      <w:r w:rsidR="003A7852" w:rsidRPr="00674EF0">
        <w:t xml:space="preserve">to </w:t>
      </w: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3A7852" w:rsidRPr="00EC50CE">
        <w:t>were reported, though the methodology for collecting safety data was not clearly defined.</w:t>
      </w:r>
    </w:p>
    <w:p w14:paraId="1075ED85" w14:textId="77777777" w:rsidR="003A7852" w:rsidRDefault="003A7852" w:rsidP="003A7852">
      <w:pPr>
        <w:pStyle w:val="Heading6"/>
      </w:pPr>
      <w:r>
        <w:t>Radiation safety</w:t>
      </w:r>
    </w:p>
    <w:p w14:paraId="4727AB0C" w14:textId="472FFA2A" w:rsidR="00007900" w:rsidRDefault="003A7852" w:rsidP="003A7852">
      <w:pPr>
        <w:rPr>
          <w:lang w:eastAsia="ja-JP"/>
        </w:rPr>
      </w:pPr>
      <w:r>
        <w:rPr>
          <w:lang w:eastAsia="ja-JP"/>
        </w:rPr>
        <w:t xml:space="preserve">Radiation safety was addressed in the study protocol for the prospective MSKCC study, which was the source of data for the retrospective </w:t>
      </w:r>
      <w:r w:rsidR="00007900">
        <w:rPr>
          <w:lang w:eastAsia="ja-JP"/>
        </w:rPr>
        <w:t>S</w:t>
      </w:r>
      <w:r>
        <w:rPr>
          <w:lang w:eastAsia="ja-JP"/>
        </w:rPr>
        <w:t>tudy BCR-RET-01:</w:t>
      </w:r>
    </w:p>
    <w:p w14:paraId="1725B194" w14:textId="169CFAD9" w:rsidR="003A7852" w:rsidRDefault="002A195F" w:rsidP="003A7852">
      <w:pPr>
        <w:rPr>
          <w:i/>
          <w:lang w:eastAsia="ja-JP"/>
        </w:rPr>
      </w:pPr>
      <w:r>
        <w:rPr>
          <w:i/>
          <w:lang w:eastAsia="ja-JP"/>
        </w:rPr>
        <w:t>‘</w:t>
      </w:r>
      <w:r w:rsidR="003A7852">
        <w:rPr>
          <w:i/>
          <w:lang w:eastAsia="ja-JP"/>
        </w:rPr>
        <w:t xml:space="preserve">there is radiation delivered from the </w:t>
      </w:r>
      <w:r w:rsidR="003A7852" w:rsidRPr="007D5A86">
        <w:rPr>
          <w:i/>
          <w:vertAlign w:val="superscript"/>
          <w:lang w:eastAsia="ja-JP"/>
        </w:rPr>
        <w:t>68</w:t>
      </w:r>
      <w:r w:rsidR="003A7852">
        <w:rPr>
          <w:i/>
          <w:lang w:eastAsia="ja-JP"/>
        </w:rPr>
        <w:t xml:space="preserve">Ga and from the low dose CT scan that are performed as part of the PET/CT for attenuation correction and co-registration. Although any exposure to ionizing radiation has the potential to cause some harm to tissue, the radiation exposures in this study are comparable to the low-level exposures associated with common diagnostic procedures such as CT scanning. There remains a low theoretical risk of developing a cancer at some point later in life </w:t>
      </w:r>
      <w:proofErr w:type="gramStart"/>
      <w:r w:rsidR="003A7852">
        <w:rPr>
          <w:i/>
          <w:lang w:eastAsia="ja-JP"/>
        </w:rPr>
        <w:t>as a result of</w:t>
      </w:r>
      <w:proofErr w:type="gramEnd"/>
      <w:r w:rsidR="003A7852">
        <w:rPr>
          <w:i/>
          <w:lang w:eastAsia="ja-JP"/>
        </w:rPr>
        <w:t xml:space="preserve"> the radiation exposure received in this study.</w:t>
      </w:r>
      <w:r>
        <w:rPr>
          <w:i/>
          <w:lang w:eastAsia="ja-JP"/>
        </w:rPr>
        <w:t>’</w:t>
      </w:r>
    </w:p>
    <w:p w14:paraId="1C1A3F54" w14:textId="733864D0" w:rsidR="003A7852" w:rsidRDefault="003A7852" w:rsidP="003A7852">
      <w:proofErr w:type="spellStart"/>
      <w:r>
        <w:t>Hofman</w:t>
      </w:r>
      <w:proofErr w:type="spellEnd"/>
      <w:r>
        <w:t xml:space="preserve"> et al</w:t>
      </w:r>
      <w:r w:rsidR="00674EF0">
        <w:t>.</w:t>
      </w:r>
      <w:r>
        <w:t xml:space="preserve"> </w:t>
      </w:r>
      <w:r w:rsidR="00DE10A8">
        <w:t>(</w:t>
      </w:r>
      <w:r>
        <w:t>2020</w:t>
      </w:r>
      <w:r w:rsidR="00DE10A8">
        <w:t>)</w:t>
      </w:r>
      <w:r w:rsidR="002A195F">
        <w:t>;</w:t>
      </w:r>
      <w:r w:rsidR="002A195F">
        <w:fldChar w:fldCharType="begin"/>
      </w:r>
      <w:r w:rsidR="002A195F">
        <w:instrText xml:space="preserve"> NOTEREF _Ref104543225 \f \h </w:instrText>
      </w:r>
      <w:r w:rsidR="002A195F">
        <w:fldChar w:fldCharType="separate"/>
      </w:r>
      <w:r w:rsidR="00036995" w:rsidRPr="00036995">
        <w:rPr>
          <w:rStyle w:val="FootnoteReference"/>
        </w:rPr>
        <w:t>14</w:t>
      </w:r>
      <w:r w:rsidR="002A195F">
        <w:fldChar w:fldCharType="end"/>
      </w:r>
      <w:r>
        <w:t xml:space="preserve"> reported that radiation exposure from first-line imaging was higher with conventional imaging (19.2 mSv) than </w:t>
      </w:r>
      <w:r w:rsidR="00674EF0">
        <w:rPr>
          <w:rStyle w:val="style1"/>
          <w:rFonts w:cstheme="minorHAnsi"/>
          <w:iCs/>
        </w:rPr>
        <w:t>[</w:t>
      </w:r>
      <w:r w:rsidR="00674EF0">
        <w:rPr>
          <w:rStyle w:val="style1"/>
          <w:rFonts w:cstheme="minorHAnsi"/>
          <w:iCs/>
          <w:vertAlign w:val="superscript"/>
        </w:rPr>
        <w:t>68</w:t>
      </w:r>
      <w:r w:rsidR="00674EF0">
        <w:rPr>
          <w:rStyle w:val="style1"/>
          <w:rFonts w:cstheme="minorHAnsi"/>
          <w:iCs/>
        </w:rPr>
        <w:t xml:space="preserve">Ga] </w:t>
      </w:r>
      <w:r w:rsidR="00293AB9">
        <w:rPr>
          <w:rStyle w:val="style1"/>
          <w:rFonts w:cstheme="minorHAnsi"/>
          <w:iCs/>
        </w:rPr>
        <w:t>gallium</w:t>
      </w:r>
      <w:r w:rsidR="00674EF0">
        <w:rPr>
          <w:rStyle w:val="style1"/>
          <w:rFonts w:cstheme="minorHAnsi"/>
          <w:iCs/>
        </w:rPr>
        <w:t xml:space="preserve"> PSMA-11 </w:t>
      </w:r>
      <w:r>
        <w:t>PET/CT (8.4</w:t>
      </w:r>
      <w:r w:rsidR="00BB6E5F">
        <w:t> </w:t>
      </w:r>
      <w:r>
        <w:t xml:space="preserve">mSv). </w:t>
      </w:r>
      <w:r>
        <w:rPr>
          <w:lang w:eastAsia="ja-JP"/>
        </w:rPr>
        <w:t>This is consistent with the estimate made by Nielsen et al</w:t>
      </w:r>
      <w:r w:rsidR="00BB6E5F">
        <w:rPr>
          <w:lang w:eastAsia="ja-JP"/>
        </w:rPr>
        <w:t>.</w:t>
      </w:r>
      <w:r>
        <w:rPr>
          <w:lang w:eastAsia="ja-JP"/>
        </w:rPr>
        <w:t xml:space="preserve"> </w:t>
      </w:r>
      <w:r w:rsidR="00DE10A8">
        <w:rPr>
          <w:lang w:eastAsia="ja-JP"/>
        </w:rPr>
        <w:t>(</w:t>
      </w:r>
      <w:r>
        <w:rPr>
          <w:lang w:eastAsia="ja-JP"/>
        </w:rPr>
        <w:t>2017</w:t>
      </w:r>
      <w:r w:rsidR="00DE10A8">
        <w:rPr>
          <w:lang w:eastAsia="ja-JP"/>
        </w:rPr>
        <w:t>)</w:t>
      </w:r>
      <w:r w:rsidR="002A195F">
        <w:rPr>
          <w:lang w:eastAsia="ja-JP"/>
        </w:rPr>
        <w:t>;</w:t>
      </w:r>
      <w:r w:rsidR="002A195F">
        <w:rPr>
          <w:lang w:eastAsia="ja-JP"/>
        </w:rPr>
        <w:fldChar w:fldCharType="begin"/>
      </w:r>
      <w:r w:rsidR="002A195F">
        <w:rPr>
          <w:lang w:eastAsia="ja-JP"/>
        </w:rPr>
        <w:instrText xml:space="preserve"> NOTEREF _Ref104543414 \f \h </w:instrText>
      </w:r>
      <w:r w:rsidR="002A195F">
        <w:rPr>
          <w:lang w:eastAsia="ja-JP"/>
        </w:rPr>
      </w:r>
      <w:r w:rsidR="002A195F">
        <w:rPr>
          <w:lang w:eastAsia="ja-JP"/>
        </w:rPr>
        <w:fldChar w:fldCharType="separate"/>
      </w:r>
      <w:r w:rsidR="00036995" w:rsidRPr="00036995">
        <w:rPr>
          <w:rStyle w:val="FootnoteReference"/>
        </w:rPr>
        <w:t>51</w:t>
      </w:r>
      <w:r w:rsidR="002A195F">
        <w:rPr>
          <w:lang w:eastAsia="ja-JP"/>
        </w:rPr>
        <w:fldChar w:fldCharType="end"/>
      </w:r>
      <w:r>
        <w:rPr>
          <w:lang w:eastAsia="ja-JP"/>
        </w:rPr>
        <w:t xml:space="preserve"> that </w:t>
      </w:r>
      <w:r>
        <w:t>radiation dose of 200</w:t>
      </w:r>
      <w:r w:rsidR="00007900">
        <w:t> </w:t>
      </w:r>
      <w:r>
        <w:t>MBq of Ga-68 PSMA 11 PET/CT to patients would be 6</w:t>
      </w:r>
      <w:r w:rsidR="002A195F">
        <w:t xml:space="preserve"> </w:t>
      </w:r>
      <w:r>
        <w:t>mSv (3</w:t>
      </w:r>
      <w:r w:rsidR="00BB6E5F">
        <w:t> </w:t>
      </w:r>
      <w:r>
        <w:t>mSv</w:t>
      </w:r>
      <w:r w:rsidR="00BB6E5F">
        <w:t> </w:t>
      </w:r>
      <w:r>
        <w:t xml:space="preserve">from </w:t>
      </w:r>
      <w:r w:rsidR="00BB6E5F">
        <w:rPr>
          <w:rStyle w:val="style1"/>
          <w:rFonts w:cstheme="minorHAnsi"/>
          <w:iCs/>
        </w:rPr>
        <w:t>[</w:t>
      </w:r>
      <w:r w:rsidR="00BB6E5F">
        <w:rPr>
          <w:rStyle w:val="style1"/>
          <w:rFonts w:cstheme="minorHAnsi"/>
          <w:iCs/>
          <w:vertAlign w:val="superscript"/>
        </w:rPr>
        <w:t>68</w:t>
      </w:r>
      <w:r w:rsidR="00BB6E5F">
        <w:rPr>
          <w:rStyle w:val="style1"/>
          <w:rFonts w:cstheme="minorHAnsi"/>
          <w:iCs/>
        </w:rPr>
        <w:t xml:space="preserve">Ga] </w:t>
      </w:r>
      <w:r w:rsidR="00293AB9">
        <w:rPr>
          <w:rStyle w:val="style1"/>
          <w:rFonts w:cstheme="minorHAnsi"/>
          <w:iCs/>
        </w:rPr>
        <w:t>gallium</w:t>
      </w:r>
      <w:r w:rsidR="00BB6E5F">
        <w:rPr>
          <w:rStyle w:val="style1"/>
          <w:rFonts w:cstheme="minorHAnsi"/>
          <w:iCs/>
        </w:rPr>
        <w:t xml:space="preserve"> PSMA-11 </w:t>
      </w:r>
      <w:r>
        <w:t>PET plus approximately 3 mSv from the low dose CT).</w:t>
      </w:r>
    </w:p>
    <w:p w14:paraId="6E6A676A" w14:textId="77777777" w:rsidR="008E7846" w:rsidRDefault="00386150" w:rsidP="007B6132">
      <w:pPr>
        <w:pStyle w:val="Heading3"/>
        <w:rPr>
          <w:lang w:eastAsia="en-AU"/>
        </w:rPr>
      </w:pPr>
      <w:bookmarkStart w:id="92" w:name="_Toc106373315"/>
      <w:r>
        <w:rPr>
          <w:lang w:eastAsia="en-AU"/>
        </w:rPr>
        <w:lastRenderedPageBreak/>
        <w:t>Risk m</w:t>
      </w:r>
      <w:r w:rsidR="008E7846">
        <w:rPr>
          <w:lang w:eastAsia="en-AU"/>
        </w:rPr>
        <w:t xml:space="preserve">anagement </w:t>
      </w:r>
      <w:r>
        <w:rPr>
          <w:lang w:eastAsia="en-AU"/>
        </w:rPr>
        <w:t>p</w:t>
      </w:r>
      <w:r w:rsidR="008E7846">
        <w:rPr>
          <w:lang w:eastAsia="en-AU"/>
        </w:rPr>
        <w:t>lan</w:t>
      </w:r>
      <w:bookmarkEnd w:id="52"/>
      <w:bookmarkEnd w:id="92"/>
    </w:p>
    <w:p w14:paraId="30190399" w14:textId="77777777" w:rsidR="008E7846" w:rsidRDefault="007D53B6" w:rsidP="007D53B6">
      <w:r>
        <w:t>There was no requirement for a risk management plan evaluation for a submission of this type.</w:t>
      </w:r>
      <w:r>
        <w:rPr>
          <w:rStyle w:val="FootnoteReference"/>
        </w:rPr>
        <w:footnoteReference w:id="52"/>
      </w:r>
    </w:p>
    <w:p w14:paraId="4AABCB2A" w14:textId="77777777" w:rsidR="008E7846" w:rsidRDefault="00AA0ED0" w:rsidP="008E7846">
      <w:pPr>
        <w:pStyle w:val="Heading3"/>
      </w:pPr>
      <w:bookmarkStart w:id="93" w:name="_Toc247691531"/>
      <w:bookmarkStart w:id="94" w:name="_Toc314842515"/>
      <w:bookmarkStart w:id="95" w:name="_Toc106373316"/>
      <w:bookmarkStart w:id="96" w:name="_Toc196046505"/>
      <w:bookmarkStart w:id="97" w:name="_Toc196046949"/>
      <w:r>
        <w:t>Risk-benefit a</w:t>
      </w:r>
      <w:r w:rsidR="008E7846">
        <w:t>nalysis</w:t>
      </w:r>
      <w:bookmarkEnd w:id="93"/>
      <w:bookmarkEnd w:id="94"/>
      <w:bookmarkEnd w:id="95"/>
    </w:p>
    <w:p w14:paraId="3B9DE825" w14:textId="77777777" w:rsidR="00D23139" w:rsidRDefault="007D53B6" w:rsidP="00D23139">
      <w:pPr>
        <w:pStyle w:val="Heading4"/>
      </w:pPr>
      <w:r>
        <w:t>Delegate’s considerations</w:t>
      </w:r>
    </w:p>
    <w:p w14:paraId="358950AF" w14:textId="7D6CCC1C" w:rsidR="003A7852" w:rsidRDefault="003A7852" w:rsidP="003A7852">
      <w:pPr>
        <w:pStyle w:val="Heading4"/>
      </w:pPr>
      <w:r>
        <w:t xml:space="preserve">Diagnostic </w:t>
      </w:r>
      <w:r w:rsidR="00BB6E5F">
        <w:t>e</w:t>
      </w:r>
      <w:r>
        <w:t>fficacy</w:t>
      </w:r>
    </w:p>
    <w:p w14:paraId="6FE91AE8" w14:textId="51DF4A1A" w:rsidR="003A7852" w:rsidRPr="006E120F" w:rsidRDefault="003A7852" w:rsidP="003A7852">
      <w:r>
        <w:rPr>
          <w:lang w:eastAsia="ja-JP"/>
        </w:rPr>
        <w:t xml:space="preserve">The evidence of the diagnostic </w:t>
      </w:r>
      <w:r w:rsidRPr="004925CB">
        <w:rPr>
          <w:lang w:eastAsia="ja-JP"/>
        </w:rPr>
        <w:t xml:space="preserve">efficacy </w:t>
      </w:r>
      <w:r>
        <w:rPr>
          <w:lang w:eastAsia="ja-JP"/>
        </w:rPr>
        <w:t>of</w:t>
      </w:r>
      <w:r w:rsidRPr="004925CB">
        <w:rPr>
          <w:lang w:eastAsia="ja-JP"/>
        </w:rPr>
        <w:t xml:space="preserve"> the </w:t>
      </w:r>
      <w:proofErr w:type="spellStart"/>
      <w:r w:rsidRPr="004925CB">
        <w:rPr>
          <w:lang w:eastAsia="ja-JP"/>
        </w:rPr>
        <w:t>Telix</w:t>
      </w:r>
      <w:proofErr w:type="spellEnd"/>
      <w:r w:rsidRPr="004925CB">
        <w:rPr>
          <w:lang w:eastAsia="ja-JP"/>
        </w:rPr>
        <w:t xml:space="preserve"> Kit </w:t>
      </w:r>
      <w:r w:rsidR="00BB6E5F">
        <w:rPr>
          <w:lang w:eastAsia="ja-JP"/>
        </w:rPr>
        <w:t xml:space="preserve">(that is, the </w:t>
      </w:r>
      <w:proofErr w:type="spellStart"/>
      <w:r w:rsidR="00BB6E5F">
        <w:rPr>
          <w:lang w:eastAsia="ja-JP"/>
        </w:rPr>
        <w:t>Illuccix</w:t>
      </w:r>
      <w:proofErr w:type="spellEnd"/>
      <w:r w:rsidR="00BB6E5F">
        <w:rPr>
          <w:lang w:eastAsia="ja-JP"/>
        </w:rPr>
        <w:t xml:space="preserve"> Kit submitted for approval in this submission) </w:t>
      </w:r>
      <w:r w:rsidRPr="004925CB">
        <w:rPr>
          <w:lang w:eastAsia="ja-JP"/>
        </w:rPr>
        <w:t>is based</w:t>
      </w:r>
      <w:r>
        <w:rPr>
          <w:lang w:eastAsia="ja-JP"/>
        </w:rPr>
        <w:t xml:space="preserve"> on the </w:t>
      </w:r>
      <w:r w:rsidR="002A195F">
        <w:rPr>
          <w:lang w:eastAsia="ja-JP"/>
        </w:rPr>
        <w:t>s</w:t>
      </w:r>
      <w:r>
        <w:rPr>
          <w:lang w:eastAsia="ja-JP"/>
        </w:rPr>
        <w:t xml:space="preserve">ponsor’s own studies as well as published studies reporting the diagnostic efficacy of </w:t>
      </w:r>
      <w:r w:rsidR="00BB6E5F">
        <w:rPr>
          <w:rStyle w:val="style1"/>
          <w:rFonts w:cstheme="minorHAnsi"/>
          <w:iCs/>
        </w:rPr>
        <w:t>[</w:t>
      </w:r>
      <w:r w:rsidR="00BB6E5F">
        <w:rPr>
          <w:rStyle w:val="style1"/>
          <w:rFonts w:cstheme="minorHAnsi"/>
          <w:iCs/>
          <w:vertAlign w:val="superscript"/>
        </w:rPr>
        <w:t>68</w:t>
      </w:r>
      <w:r w:rsidR="00BB6E5F">
        <w:rPr>
          <w:rStyle w:val="style1"/>
          <w:rFonts w:cstheme="minorHAnsi"/>
          <w:iCs/>
        </w:rPr>
        <w:t xml:space="preserve">Ga] </w:t>
      </w:r>
      <w:r w:rsidR="00293AB9">
        <w:rPr>
          <w:rStyle w:val="style1"/>
          <w:rFonts w:cstheme="minorHAnsi"/>
          <w:iCs/>
        </w:rPr>
        <w:t>gallium</w:t>
      </w:r>
      <w:r w:rsidR="00BB6E5F">
        <w:rPr>
          <w:rStyle w:val="style1"/>
          <w:rFonts w:cstheme="minorHAnsi"/>
          <w:iCs/>
        </w:rPr>
        <w:t xml:space="preserve"> PSMA-11 </w:t>
      </w:r>
      <w:r>
        <w:rPr>
          <w:lang w:eastAsia="ja-JP"/>
        </w:rPr>
        <w:t>PET/CT.</w:t>
      </w:r>
    </w:p>
    <w:p w14:paraId="5CBA29D2" w14:textId="77777777" w:rsidR="003A7852" w:rsidRDefault="003A7852" w:rsidP="003A7852">
      <w:pPr>
        <w:pStyle w:val="Heading6"/>
      </w:pPr>
      <w:r>
        <w:t>Clinical studies</w:t>
      </w:r>
    </w:p>
    <w:p w14:paraId="6CE33AB9" w14:textId="6FC3755B" w:rsidR="003A7852" w:rsidRPr="00CD03E4" w:rsidRDefault="00007900" w:rsidP="003A7852">
      <w:r>
        <w:t xml:space="preserve">Study </w:t>
      </w:r>
      <w:r w:rsidR="003A7852">
        <w:t>BCR-RET-01 was a retrospective, open</w:t>
      </w:r>
      <w:r w:rsidR="002A195F">
        <w:t xml:space="preserve"> </w:t>
      </w:r>
      <w:r w:rsidR="003A7852">
        <w:t xml:space="preserve">label study which aimed to demonstrate the diagnostic efficacy of the </w:t>
      </w:r>
      <w:proofErr w:type="spellStart"/>
      <w:r w:rsidR="003A7852">
        <w:t>Telix</w:t>
      </w:r>
      <w:proofErr w:type="spellEnd"/>
      <w:r w:rsidR="003A7852">
        <w:t xml:space="preserve"> kit in patients with </w:t>
      </w:r>
      <w:r>
        <w:t>biochemically recurrent prostate cancer</w:t>
      </w:r>
      <w:r w:rsidDel="00007900">
        <w:t xml:space="preserve"> </w:t>
      </w:r>
      <w:r w:rsidR="003A7852">
        <w:t xml:space="preserve">by correlating </w:t>
      </w:r>
      <w:r w:rsidR="00BB6E5F">
        <w:rPr>
          <w:rStyle w:val="style1"/>
          <w:rFonts w:cstheme="minorHAnsi"/>
          <w:iCs/>
        </w:rPr>
        <w:t>[</w:t>
      </w:r>
      <w:r w:rsidR="00BB6E5F">
        <w:rPr>
          <w:rStyle w:val="style1"/>
          <w:rFonts w:cstheme="minorHAnsi"/>
          <w:iCs/>
          <w:vertAlign w:val="superscript"/>
        </w:rPr>
        <w:t>68</w:t>
      </w:r>
      <w:r w:rsidR="00BB6E5F">
        <w:rPr>
          <w:rStyle w:val="style1"/>
          <w:rFonts w:cstheme="minorHAnsi"/>
          <w:iCs/>
        </w:rPr>
        <w:t xml:space="preserve">Ga] </w:t>
      </w:r>
      <w:r w:rsidR="00293AB9">
        <w:rPr>
          <w:rStyle w:val="style1"/>
          <w:rFonts w:cstheme="minorHAnsi"/>
          <w:iCs/>
        </w:rPr>
        <w:t>gallium</w:t>
      </w:r>
      <w:r w:rsidR="00BB6E5F">
        <w:rPr>
          <w:rStyle w:val="style1"/>
          <w:rFonts w:cstheme="minorHAnsi"/>
          <w:iCs/>
        </w:rPr>
        <w:t xml:space="preserve"> PSMA-11 </w:t>
      </w:r>
      <w:r w:rsidR="003A7852">
        <w:t xml:space="preserve">findings against standards of reference, including histopathology and conventional imaging. The original prospective study conducted by MSKCC was a compassionate use study so clinical investigation of positive </w:t>
      </w:r>
      <w:r w:rsidR="00BB6E5F">
        <w:rPr>
          <w:rStyle w:val="style1"/>
          <w:rFonts w:cstheme="minorHAnsi"/>
          <w:iCs/>
        </w:rPr>
        <w:t>[</w:t>
      </w:r>
      <w:r w:rsidR="00BB6E5F">
        <w:rPr>
          <w:rStyle w:val="style1"/>
          <w:rFonts w:cstheme="minorHAnsi"/>
          <w:iCs/>
          <w:vertAlign w:val="superscript"/>
        </w:rPr>
        <w:t>68</w:t>
      </w:r>
      <w:r w:rsidR="00BB6E5F">
        <w:rPr>
          <w:rStyle w:val="style1"/>
          <w:rFonts w:cstheme="minorHAnsi"/>
          <w:iCs/>
        </w:rPr>
        <w:t xml:space="preserve">Ga] </w:t>
      </w:r>
      <w:r w:rsidR="00293AB9">
        <w:rPr>
          <w:rStyle w:val="style1"/>
          <w:rFonts w:cstheme="minorHAnsi"/>
          <w:iCs/>
        </w:rPr>
        <w:t>gallium</w:t>
      </w:r>
      <w:r w:rsidR="00BB6E5F">
        <w:rPr>
          <w:rStyle w:val="style1"/>
          <w:rFonts w:cstheme="minorHAnsi"/>
          <w:iCs/>
        </w:rPr>
        <w:t xml:space="preserve"> PSMA-11 </w:t>
      </w:r>
      <w:r w:rsidR="003A7852">
        <w:t>PET findings was at the discretion of the treating clinician. Consequently, 74 of 422</w:t>
      </w:r>
      <w:r>
        <w:t> </w:t>
      </w:r>
      <w:r w:rsidR="003A7852">
        <w:t xml:space="preserve">(17.5%) patients in the </w:t>
      </w:r>
      <w:r w:rsidR="00BB6E5F">
        <w:t xml:space="preserve">full analysis set </w:t>
      </w:r>
      <w:r w:rsidR="003A7852">
        <w:t>had no reference standard data, and only 57</w:t>
      </w:r>
      <w:r>
        <w:t> </w:t>
      </w:r>
      <w:r w:rsidR="003A7852">
        <w:t>(13.5%) had histopathology data. The rest relied on conventional imaging as the reference standard. Conventional imaging has limitations in detecting prostate cancer in pelvic lymph nodes and distant sites, so the reliance on conventional imaging as the reference standard for many of the patients in this study impacted on the evaluation of diagnostic efficacy.</w:t>
      </w:r>
    </w:p>
    <w:p w14:paraId="6450B873" w14:textId="4D8F1EB8" w:rsidR="003A7852" w:rsidRDefault="003A7852" w:rsidP="003A7852">
      <w:pPr>
        <w:rPr>
          <w:lang w:eastAsia="ja-JP"/>
        </w:rPr>
      </w:pPr>
      <w:r>
        <w:t>The assessment of diagnostic efficacy was based on novel co-primary endpoints (</w:t>
      </w:r>
      <w:r w:rsidR="00007900">
        <w:rPr>
          <w:iCs/>
          <w:lang w:eastAsia="ja-JP"/>
        </w:rPr>
        <w:t>c</w:t>
      </w:r>
      <w:r w:rsidR="00007900" w:rsidRPr="00472493">
        <w:rPr>
          <w:iCs/>
          <w:lang w:eastAsia="ja-JP"/>
        </w:rPr>
        <w:t xml:space="preserve">orrect </w:t>
      </w:r>
      <w:r w:rsidR="00007900">
        <w:rPr>
          <w:iCs/>
          <w:lang w:eastAsia="ja-JP"/>
        </w:rPr>
        <w:t>d</w:t>
      </w:r>
      <w:r w:rsidR="00007900" w:rsidRPr="00472493">
        <w:rPr>
          <w:iCs/>
          <w:lang w:eastAsia="ja-JP"/>
        </w:rPr>
        <w:t xml:space="preserve">etection </w:t>
      </w:r>
      <w:r w:rsidR="00007900">
        <w:rPr>
          <w:iCs/>
          <w:lang w:eastAsia="ja-JP"/>
        </w:rPr>
        <w:t>r</w:t>
      </w:r>
      <w:r w:rsidR="00007900" w:rsidRPr="00472493">
        <w:rPr>
          <w:iCs/>
          <w:lang w:eastAsia="ja-JP"/>
        </w:rPr>
        <w:t>ate</w:t>
      </w:r>
      <w:r w:rsidR="00007900" w:rsidDel="00007900">
        <w:t xml:space="preserve"> </w:t>
      </w:r>
      <w:r>
        <w:t xml:space="preserve">and </w:t>
      </w:r>
      <w:r w:rsidR="00007900">
        <w:rPr>
          <w:iCs/>
          <w:lang w:eastAsia="ja-JP"/>
        </w:rPr>
        <w:t>v</w:t>
      </w:r>
      <w:r w:rsidR="00007900" w:rsidRPr="00472493">
        <w:rPr>
          <w:iCs/>
          <w:lang w:eastAsia="ja-JP"/>
        </w:rPr>
        <w:t xml:space="preserve">erified </w:t>
      </w:r>
      <w:r w:rsidR="00007900">
        <w:rPr>
          <w:iCs/>
          <w:lang w:eastAsia="ja-JP"/>
        </w:rPr>
        <w:t>l</w:t>
      </w:r>
      <w:r w:rsidR="00007900" w:rsidRPr="00472493">
        <w:rPr>
          <w:iCs/>
          <w:lang w:eastAsia="ja-JP"/>
        </w:rPr>
        <w:t xml:space="preserve">ocalisation </w:t>
      </w:r>
      <w:proofErr w:type="gramStart"/>
      <w:r w:rsidR="00007900">
        <w:rPr>
          <w:iCs/>
          <w:lang w:eastAsia="ja-JP"/>
        </w:rPr>
        <w:t>r</w:t>
      </w:r>
      <w:r w:rsidR="00007900" w:rsidRPr="00472493">
        <w:rPr>
          <w:iCs/>
          <w:lang w:eastAsia="ja-JP"/>
        </w:rPr>
        <w:t>ate</w:t>
      </w:r>
      <w:r w:rsidR="00007900" w:rsidDel="00007900">
        <w:t xml:space="preserve"> </w:t>
      </w:r>
      <w:r>
        <w:t>)</w:t>
      </w:r>
      <w:proofErr w:type="gramEnd"/>
      <w:r>
        <w:t xml:space="preserve"> for which the thresholds of success have not been formally validated. </w:t>
      </w:r>
      <w:r>
        <w:rPr>
          <w:lang w:eastAsia="ja-JP"/>
        </w:rPr>
        <w:t xml:space="preserve">The </w:t>
      </w:r>
      <w:r w:rsidR="00DF0DB0">
        <w:rPr>
          <w:lang w:eastAsia="ja-JP"/>
        </w:rPr>
        <w:t>s</w:t>
      </w:r>
      <w:r>
        <w:rPr>
          <w:lang w:eastAsia="ja-JP"/>
        </w:rPr>
        <w:t xml:space="preserve">ponsor received </w:t>
      </w:r>
      <w:r w:rsidRPr="00A2432C">
        <w:rPr>
          <w:lang w:eastAsia="ja-JP"/>
        </w:rPr>
        <w:t>pre-</w:t>
      </w:r>
      <w:r w:rsidR="00DF0DB0">
        <w:rPr>
          <w:lang w:eastAsia="ja-JP"/>
        </w:rPr>
        <w:t xml:space="preserve">new drug application </w:t>
      </w:r>
      <w:r w:rsidRPr="00A2432C">
        <w:rPr>
          <w:lang w:eastAsia="ja-JP"/>
        </w:rPr>
        <w:t>advice from the FDA</w:t>
      </w:r>
      <w:r>
        <w:rPr>
          <w:lang w:eastAsia="ja-JP"/>
        </w:rPr>
        <w:t xml:space="preserve"> </w:t>
      </w:r>
      <w:r w:rsidRPr="00A2432C">
        <w:rPr>
          <w:lang w:eastAsia="ja-JP"/>
        </w:rPr>
        <w:t>recommend</w:t>
      </w:r>
      <w:r>
        <w:rPr>
          <w:lang w:eastAsia="ja-JP"/>
        </w:rPr>
        <w:t>ing</w:t>
      </w:r>
      <w:r w:rsidRPr="00A2432C">
        <w:rPr>
          <w:lang w:eastAsia="ja-JP"/>
        </w:rPr>
        <w:t xml:space="preserve"> that the primary analysis of the diagnostic performance of </w:t>
      </w:r>
      <w:r w:rsidR="00BB6E5F">
        <w:rPr>
          <w:rStyle w:val="style1"/>
          <w:rFonts w:cstheme="minorHAnsi"/>
          <w:iCs/>
        </w:rPr>
        <w:t>[</w:t>
      </w:r>
      <w:r w:rsidR="00BB6E5F">
        <w:rPr>
          <w:rStyle w:val="style1"/>
          <w:rFonts w:cstheme="minorHAnsi"/>
          <w:iCs/>
          <w:vertAlign w:val="superscript"/>
        </w:rPr>
        <w:t>68</w:t>
      </w:r>
      <w:r w:rsidR="00BB6E5F">
        <w:rPr>
          <w:rStyle w:val="style1"/>
          <w:rFonts w:cstheme="minorHAnsi"/>
          <w:iCs/>
        </w:rPr>
        <w:t>Ga] </w:t>
      </w:r>
      <w:r w:rsidR="00293AB9">
        <w:rPr>
          <w:rStyle w:val="style1"/>
          <w:rFonts w:cstheme="minorHAnsi"/>
          <w:iCs/>
        </w:rPr>
        <w:t>gallium</w:t>
      </w:r>
      <w:r w:rsidR="00BB6E5F">
        <w:rPr>
          <w:rStyle w:val="style1"/>
          <w:rFonts w:cstheme="minorHAnsi"/>
          <w:iCs/>
        </w:rPr>
        <w:t xml:space="preserve"> PSMA-11 </w:t>
      </w:r>
      <w:r w:rsidRPr="00A2432C">
        <w:rPr>
          <w:lang w:eastAsia="ja-JP"/>
        </w:rPr>
        <w:t>PET should be measured against a reference standard constructed from histologic confirmation whenever possible</w:t>
      </w:r>
      <w:r>
        <w:rPr>
          <w:lang w:eastAsia="ja-JP"/>
        </w:rPr>
        <w:t xml:space="preserve">, that </w:t>
      </w:r>
      <w:r w:rsidR="00007900">
        <w:rPr>
          <w:iCs/>
          <w:lang w:eastAsia="ja-JP"/>
        </w:rPr>
        <w:t>correct detection rate</w:t>
      </w:r>
      <w:r w:rsidR="00007900" w:rsidRPr="00A2432C" w:rsidDel="00007900">
        <w:rPr>
          <w:lang w:eastAsia="ja-JP"/>
        </w:rPr>
        <w:t xml:space="preserve"> </w:t>
      </w:r>
      <w:r w:rsidRPr="00A2432C">
        <w:rPr>
          <w:lang w:eastAsia="ja-JP"/>
        </w:rPr>
        <w:t xml:space="preserve">and </w:t>
      </w:r>
      <w:r w:rsidR="00007900">
        <w:rPr>
          <w:iCs/>
          <w:lang w:eastAsia="ja-JP"/>
        </w:rPr>
        <w:t>v</w:t>
      </w:r>
      <w:r w:rsidR="00007900" w:rsidRPr="00472493">
        <w:rPr>
          <w:iCs/>
          <w:lang w:eastAsia="ja-JP"/>
        </w:rPr>
        <w:t xml:space="preserve">erified </w:t>
      </w:r>
      <w:r w:rsidR="00007900">
        <w:rPr>
          <w:iCs/>
          <w:lang w:eastAsia="ja-JP"/>
        </w:rPr>
        <w:t>l</w:t>
      </w:r>
      <w:r w:rsidR="00007900" w:rsidRPr="00472493">
        <w:rPr>
          <w:iCs/>
          <w:lang w:eastAsia="ja-JP"/>
        </w:rPr>
        <w:t xml:space="preserve">ocalisation </w:t>
      </w:r>
      <w:r w:rsidR="00007900">
        <w:rPr>
          <w:iCs/>
          <w:lang w:eastAsia="ja-JP"/>
        </w:rPr>
        <w:t>r</w:t>
      </w:r>
      <w:r w:rsidR="00007900" w:rsidRPr="00472493">
        <w:rPr>
          <w:iCs/>
          <w:lang w:eastAsia="ja-JP"/>
        </w:rPr>
        <w:t>ate</w:t>
      </w:r>
      <w:r w:rsidR="00007900" w:rsidRPr="00A2432C" w:rsidDel="00007900">
        <w:rPr>
          <w:lang w:eastAsia="ja-JP"/>
        </w:rPr>
        <w:t xml:space="preserve"> </w:t>
      </w:r>
      <w:r w:rsidRPr="00A2432C">
        <w:rPr>
          <w:lang w:eastAsia="ja-JP"/>
        </w:rPr>
        <w:t>should be co-primary endpoints</w:t>
      </w:r>
      <w:r>
        <w:rPr>
          <w:lang w:eastAsia="ja-JP"/>
        </w:rPr>
        <w:t>, and that the thresholds of success for these endpoints should be pre-specified.</w:t>
      </w:r>
    </w:p>
    <w:p w14:paraId="211780BD" w14:textId="0D170D42" w:rsidR="00007900" w:rsidRDefault="00DF0DB0" w:rsidP="003A7852">
      <w:pPr>
        <w:rPr>
          <w:lang w:eastAsia="ja-JP"/>
        </w:rPr>
      </w:pPr>
      <w:r w:rsidRPr="00DF0DB0">
        <w:t>Correct detection rate</w:t>
      </w:r>
      <w:r w:rsidR="003A7852">
        <w:t xml:space="preserve"> has been evaluated by the FDA as part of the assessment of several PSMA-directed radiopharmaceuticals, including </w:t>
      </w:r>
      <w:r w:rsidR="00BB6E5F">
        <w:rPr>
          <w:rStyle w:val="style1"/>
          <w:rFonts w:cstheme="minorHAnsi"/>
          <w:iCs/>
        </w:rPr>
        <w:t>[</w:t>
      </w:r>
      <w:r w:rsidR="00BB6E5F">
        <w:rPr>
          <w:rStyle w:val="style1"/>
          <w:rFonts w:cstheme="minorHAnsi"/>
          <w:iCs/>
          <w:vertAlign w:val="superscript"/>
        </w:rPr>
        <w:t>68</w:t>
      </w:r>
      <w:r w:rsidR="00BB6E5F">
        <w:rPr>
          <w:rStyle w:val="style1"/>
          <w:rFonts w:cstheme="minorHAnsi"/>
          <w:iCs/>
        </w:rPr>
        <w:t xml:space="preserve">Ga] </w:t>
      </w:r>
      <w:r w:rsidR="00293AB9">
        <w:rPr>
          <w:rStyle w:val="style1"/>
          <w:rFonts w:cstheme="minorHAnsi"/>
          <w:iCs/>
        </w:rPr>
        <w:t>gallium</w:t>
      </w:r>
      <w:r w:rsidR="00BB6E5F">
        <w:rPr>
          <w:rStyle w:val="style1"/>
          <w:rFonts w:cstheme="minorHAnsi"/>
          <w:iCs/>
        </w:rPr>
        <w:t xml:space="preserve"> PSMA-11 </w:t>
      </w:r>
      <w:r w:rsidR="003A7852">
        <w:t xml:space="preserve">products developed by </w:t>
      </w:r>
      <w:r w:rsidR="00007900" w:rsidRPr="00DF0DB0">
        <w:t>University of California, Los Angeles</w:t>
      </w:r>
      <w:r w:rsidR="00007900">
        <w:t xml:space="preserve"> (UCLA) and </w:t>
      </w:r>
      <w:r w:rsidR="00007900" w:rsidRPr="00DF0DB0">
        <w:t>University of California</w:t>
      </w:r>
      <w:r w:rsidR="00007900">
        <w:t>,</w:t>
      </w:r>
      <w:r w:rsidR="00007900" w:rsidRPr="00DF0DB0">
        <w:t xml:space="preserve"> San Francisco</w:t>
      </w:r>
      <w:r w:rsidR="00007900" w:rsidDel="00007900">
        <w:t xml:space="preserve"> </w:t>
      </w:r>
      <w:r w:rsidR="00007900">
        <w:t>(UCSF)</w:t>
      </w:r>
      <w:r w:rsidR="00BB6E5F">
        <w:t>;</w:t>
      </w:r>
      <w:r w:rsidR="00BB6E5F" w:rsidRPr="00BB6E5F">
        <w:rPr>
          <w:vertAlign w:val="superscript"/>
        </w:rPr>
        <w:fldChar w:fldCharType="begin"/>
      </w:r>
      <w:r w:rsidR="00BB6E5F" w:rsidRPr="004F7DDA">
        <w:rPr>
          <w:vertAlign w:val="superscript"/>
        </w:rPr>
        <w:instrText xml:space="preserve"> NOTEREF _Ref106351440 \h  \* MERGEFORMAT </w:instrText>
      </w:r>
      <w:r w:rsidR="00BB6E5F" w:rsidRPr="00BB6E5F">
        <w:rPr>
          <w:vertAlign w:val="superscript"/>
        </w:rPr>
      </w:r>
      <w:r w:rsidR="00BB6E5F" w:rsidRPr="00BB6E5F">
        <w:rPr>
          <w:vertAlign w:val="superscript"/>
        </w:rPr>
        <w:fldChar w:fldCharType="separate"/>
      </w:r>
      <w:r w:rsidR="00036995">
        <w:rPr>
          <w:vertAlign w:val="superscript"/>
        </w:rPr>
        <w:t>32</w:t>
      </w:r>
      <w:r w:rsidR="00BB6E5F" w:rsidRPr="00BB6E5F">
        <w:rPr>
          <w:vertAlign w:val="superscript"/>
        </w:rPr>
        <w:fldChar w:fldCharType="end"/>
      </w:r>
      <w:r w:rsidR="00BB6E5F" w:rsidRPr="00BB6E5F">
        <w:rPr>
          <w:vertAlign w:val="superscript"/>
        </w:rPr>
        <w:t>,</w:t>
      </w:r>
      <w:r w:rsidR="00BB6E5F" w:rsidRPr="00BB6E5F">
        <w:rPr>
          <w:vertAlign w:val="superscript"/>
        </w:rPr>
        <w:fldChar w:fldCharType="begin"/>
      </w:r>
      <w:r w:rsidR="00BB6E5F" w:rsidRPr="00BB6E5F">
        <w:rPr>
          <w:vertAlign w:val="superscript"/>
        </w:rPr>
        <w:instrText xml:space="preserve"> NOTEREF _Ref106351442 \h </w:instrText>
      </w:r>
      <w:r w:rsidR="00BB6E5F" w:rsidRPr="004F7DDA">
        <w:rPr>
          <w:vertAlign w:val="superscript"/>
        </w:rPr>
        <w:instrText xml:space="preserve"> \* MERGEFORMAT </w:instrText>
      </w:r>
      <w:r w:rsidR="00BB6E5F" w:rsidRPr="00BB6E5F">
        <w:rPr>
          <w:vertAlign w:val="superscript"/>
        </w:rPr>
      </w:r>
      <w:r w:rsidR="00BB6E5F" w:rsidRPr="00BB6E5F">
        <w:rPr>
          <w:vertAlign w:val="superscript"/>
        </w:rPr>
        <w:fldChar w:fldCharType="separate"/>
      </w:r>
      <w:r w:rsidR="00036995">
        <w:rPr>
          <w:vertAlign w:val="superscript"/>
        </w:rPr>
        <w:t>33</w:t>
      </w:r>
      <w:r w:rsidR="00BB6E5F" w:rsidRPr="00BB6E5F">
        <w:rPr>
          <w:vertAlign w:val="superscript"/>
        </w:rPr>
        <w:fldChar w:fldCharType="end"/>
      </w:r>
      <w:r w:rsidR="003A7852">
        <w:t xml:space="preserve"> and </w:t>
      </w:r>
      <w:r w:rsidR="00007900">
        <w:t>[</w:t>
      </w:r>
      <w:r w:rsidR="00EC50CE" w:rsidRPr="00244571">
        <w:rPr>
          <w:vertAlign w:val="superscript"/>
        </w:rPr>
        <w:t>18</w:t>
      </w:r>
      <w:r w:rsidR="00EC50CE">
        <w:t xml:space="preserve">F] </w:t>
      </w:r>
      <w:proofErr w:type="spellStart"/>
      <w:r w:rsidR="00EC50CE">
        <w:t>piflufolastat</w:t>
      </w:r>
      <w:proofErr w:type="spellEnd"/>
      <w:r w:rsidR="003A7852">
        <w:t>.</w:t>
      </w:r>
      <w:r w:rsidR="00BB6E5F">
        <w:rPr>
          <w:rStyle w:val="FootnoteReference"/>
        </w:rPr>
        <w:footnoteReference w:id="53"/>
      </w:r>
      <w:r w:rsidR="00BB6E5F">
        <w:rPr>
          <w:vertAlign w:val="superscript"/>
        </w:rPr>
        <w:t>,</w:t>
      </w:r>
      <w:r w:rsidR="00BB6E5F">
        <w:rPr>
          <w:rStyle w:val="FootnoteReference"/>
        </w:rPr>
        <w:footnoteReference w:id="54"/>
      </w:r>
      <w:r w:rsidR="003A7852">
        <w:t xml:space="preserve"> </w:t>
      </w:r>
      <w:r w:rsidR="003A7852">
        <w:rPr>
          <w:lang w:eastAsia="ja-JP"/>
        </w:rPr>
        <w:t>In the prospective, single</w:t>
      </w:r>
      <w:r>
        <w:rPr>
          <w:lang w:eastAsia="ja-JP"/>
        </w:rPr>
        <w:t xml:space="preserve"> </w:t>
      </w:r>
      <w:r w:rsidR="003A7852">
        <w:rPr>
          <w:lang w:eastAsia="ja-JP"/>
        </w:rPr>
        <w:t>arm, open</w:t>
      </w:r>
      <w:r>
        <w:rPr>
          <w:lang w:eastAsia="ja-JP"/>
        </w:rPr>
        <w:t xml:space="preserve"> </w:t>
      </w:r>
      <w:r w:rsidR="003A7852">
        <w:rPr>
          <w:lang w:eastAsia="ja-JP"/>
        </w:rPr>
        <w:t xml:space="preserve">label </w:t>
      </w:r>
      <w:r w:rsidR="00EC50CE">
        <w:rPr>
          <w:lang w:eastAsia="ja-JP"/>
        </w:rPr>
        <w:t xml:space="preserve">Study </w:t>
      </w:r>
      <w:r w:rsidR="003A7852">
        <w:rPr>
          <w:lang w:eastAsia="ja-JP"/>
        </w:rPr>
        <w:t>PSMA</w:t>
      </w:r>
      <w:r>
        <w:rPr>
          <w:lang w:eastAsia="ja-JP"/>
        </w:rPr>
        <w:noBreakHyphen/>
      </w:r>
      <w:r w:rsidR="003A7852">
        <w:rPr>
          <w:lang w:eastAsia="ja-JP"/>
        </w:rPr>
        <w:t>BCR</w:t>
      </w:r>
      <w:r w:rsidR="00EC50CE">
        <w:rPr>
          <w:lang w:eastAsia="ja-JP"/>
        </w:rPr>
        <w:t>;</w:t>
      </w:r>
      <w:r w:rsidR="00EC50CE" w:rsidRPr="004F7DDA">
        <w:rPr>
          <w:vertAlign w:val="superscript"/>
          <w:lang w:eastAsia="ja-JP"/>
        </w:rPr>
        <w:fldChar w:fldCharType="begin"/>
      </w:r>
      <w:r w:rsidR="00EC50CE" w:rsidRPr="004F7DDA">
        <w:rPr>
          <w:vertAlign w:val="superscript"/>
          <w:lang w:eastAsia="ja-JP"/>
        </w:rPr>
        <w:instrText xml:space="preserve"> NOTEREF _Ref104544486 \h </w:instrText>
      </w:r>
      <w:r w:rsidR="00EC50CE">
        <w:rPr>
          <w:vertAlign w:val="superscript"/>
          <w:lang w:eastAsia="ja-JP"/>
        </w:rPr>
        <w:instrText xml:space="preserve"> \* MERGEFORMAT </w:instrText>
      </w:r>
      <w:r w:rsidR="00EC50CE" w:rsidRPr="004F7DDA">
        <w:rPr>
          <w:vertAlign w:val="superscript"/>
          <w:lang w:eastAsia="ja-JP"/>
        </w:rPr>
      </w:r>
      <w:r w:rsidR="00EC50CE" w:rsidRPr="004F7DDA">
        <w:rPr>
          <w:vertAlign w:val="superscript"/>
          <w:lang w:eastAsia="ja-JP"/>
        </w:rPr>
        <w:fldChar w:fldCharType="separate"/>
      </w:r>
      <w:r w:rsidR="00036995">
        <w:rPr>
          <w:vertAlign w:val="superscript"/>
          <w:lang w:eastAsia="ja-JP"/>
        </w:rPr>
        <w:t>47</w:t>
      </w:r>
      <w:r w:rsidR="00EC50CE" w:rsidRPr="004F7DDA">
        <w:rPr>
          <w:vertAlign w:val="superscript"/>
          <w:lang w:eastAsia="ja-JP"/>
        </w:rPr>
        <w:fldChar w:fldCharType="end"/>
      </w:r>
      <w:r w:rsidR="003A7852">
        <w:rPr>
          <w:lang w:eastAsia="ja-JP"/>
        </w:rPr>
        <w:t xml:space="preserve"> supporting the </w:t>
      </w:r>
      <w:r w:rsidR="00EC50CE">
        <w:rPr>
          <w:rStyle w:val="style1"/>
          <w:rFonts w:cstheme="minorHAnsi"/>
          <w:iCs/>
        </w:rPr>
        <w:t>[</w:t>
      </w:r>
      <w:r w:rsidR="00EC50CE">
        <w:rPr>
          <w:rStyle w:val="style1"/>
          <w:rFonts w:cstheme="minorHAnsi"/>
          <w:iCs/>
          <w:vertAlign w:val="superscript"/>
        </w:rPr>
        <w:t>68</w:t>
      </w:r>
      <w:r w:rsidR="00EC50CE">
        <w:rPr>
          <w:rStyle w:val="style1"/>
          <w:rFonts w:cstheme="minorHAnsi"/>
          <w:iCs/>
        </w:rPr>
        <w:t xml:space="preserve">Ga] </w:t>
      </w:r>
      <w:r w:rsidR="00293AB9">
        <w:rPr>
          <w:rStyle w:val="style1"/>
          <w:rFonts w:cstheme="minorHAnsi"/>
          <w:iCs/>
        </w:rPr>
        <w:t>gallium</w:t>
      </w:r>
      <w:r w:rsidR="00EC50CE">
        <w:rPr>
          <w:rStyle w:val="style1"/>
          <w:rFonts w:cstheme="minorHAnsi"/>
          <w:iCs/>
        </w:rPr>
        <w:t xml:space="preserve"> PSMA-11 </w:t>
      </w:r>
      <w:r w:rsidR="003A7852">
        <w:t xml:space="preserve">products developed by </w:t>
      </w:r>
      <w:r w:rsidRPr="00DF0DB0">
        <w:t>University of California, Los Angeles</w:t>
      </w:r>
      <w:r w:rsidR="003A7852">
        <w:t xml:space="preserve"> and </w:t>
      </w:r>
      <w:r w:rsidRPr="00DF0DB0">
        <w:t>University of California, San Francisco</w:t>
      </w:r>
      <w:r w:rsidR="003A7852">
        <w:t xml:space="preserve">, </w:t>
      </w:r>
      <w:r w:rsidR="00007900">
        <w:rPr>
          <w:iCs/>
          <w:lang w:eastAsia="ja-JP"/>
        </w:rPr>
        <w:t>correct detection rate</w:t>
      </w:r>
      <w:r w:rsidR="00007900" w:rsidDel="00007900">
        <w:t xml:space="preserve"> </w:t>
      </w:r>
      <w:r w:rsidR="003A7852">
        <w:t xml:space="preserve">was </w:t>
      </w:r>
      <w:r w:rsidR="003A7852">
        <w:rPr>
          <w:color w:val="000000"/>
        </w:rPr>
        <w:t xml:space="preserve">28% (95% CI 23%, 34%) for histopathological reference standard and 51% </w:t>
      </w:r>
      <w:r w:rsidR="003A7852" w:rsidRPr="00DF0DB0">
        <w:rPr>
          <w:color w:val="000000"/>
        </w:rPr>
        <w:t>(95%</w:t>
      </w:r>
      <w:r w:rsidRPr="00DF0DB0">
        <w:rPr>
          <w:color w:val="000000"/>
        </w:rPr>
        <w:t xml:space="preserve"> CI</w:t>
      </w:r>
      <w:r w:rsidR="003A7852" w:rsidRPr="00DF0DB0">
        <w:rPr>
          <w:color w:val="000000"/>
        </w:rPr>
        <w:t xml:space="preserve"> 46%, 56%) for composite reference standard. The </w:t>
      </w:r>
      <w:r w:rsidR="003A7852" w:rsidRPr="00DF0DB0">
        <w:rPr>
          <w:lang w:eastAsia="ja-JP"/>
        </w:rPr>
        <w:t xml:space="preserve">Phase </w:t>
      </w:r>
      <w:r>
        <w:rPr>
          <w:lang w:eastAsia="ja-JP"/>
        </w:rPr>
        <w:t>III</w:t>
      </w:r>
      <w:r w:rsidR="003A7852" w:rsidRPr="00DF0DB0">
        <w:rPr>
          <w:lang w:eastAsia="ja-JP"/>
        </w:rPr>
        <w:t xml:space="preserve"> CONDOR </w:t>
      </w:r>
      <w:r>
        <w:rPr>
          <w:lang w:eastAsia="ja-JP"/>
        </w:rPr>
        <w:t>trial</w:t>
      </w:r>
      <w:r w:rsidR="00007900">
        <w:rPr>
          <w:lang w:eastAsia="ja-JP"/>
        </w:rPr>
        <w:t>;</w:t>
      </w:r>
      <w:r w:rsidR="00007900">
        <w:rPr>
          <w:lang w:eastAsia="ja-JP"/>
        </w:rPr>
        <w:fldChar w:fldCharType="begin"/>
      </w:r>
      <w:r w:rsidR="00007900">
        <w:rPr>
          <w:lang w:eastAsia="ja-JP"/>
        </w:rPr>
        <w:instrText xml:space="preserve"> NOTEREF _Ref106203856 \h  \* MERGEFORMAT </w:instrText>
      </w:r>
      <w:r w:rsidR="00007900">
        <w:rPr>
          <w:lang w:eastAsia="ja-JP"/>
        </w:rPr>
      </w:r>
      <w:r w:rsidR="00007900">
        <w:rPr>
          <w:lang w:eastAsia="ja-JP"/>
        </w:rPr>
        <w:fldChar w:fldCharType="separate"/>
      </w:r>
      <w:r w:rsidR="00036995" w:rsidRPr="00036995">
        <w:rPr>
          <w:vertAlign w:val="superscript"/>
          <w:lang w:eastAsia="ja-JP"/>
        </w:rPr>
        <w:t>44</w:t>
      </w:r>
      <w:r w:rsidR="00007900">
        <w:rPr>
          <w:lang w:eastAsia="ja-JP"/>
        </w:rPr>
        <w:fldChar w:fldCharType="end"/>
      </w:r>
      <w:r w:rsidR="003A7852" w:rsidRPr="00DF0DB0">
        <w:rPr>
          <w:lang w:eastAsia="ja-JP"/>
        </w:rPr>
        <w:t xml:space="preserve"> which evaluated </w:t>
      </w:r>
      <w:r w:rsidR="00EC50CE" w:rsidRPr="00244571">
        <w:rPr>
          <w:vertAlign w:val="superscript"/>
        </w:rPr>
        <w:t>18</w:t>
      </w:r>
      <w:r w:rsidR="00EC50CE">
        <w:t xml:space="preserve">F] </w:t>
      </w:r>
      <w:proofErr w:type="spellStart"/>
      <w:r w:rsidR="00EC50CE">
        <w:t>piflufolastat</w:t>
      </w:r>
      <w:proofErr w:type="spellEnd"/>
      <w:r w:rsidR="003A7852" w:rsidRPr="00DF0DB0">
        <w:rPr>
          <w:lang w:eastAsia="ja-JP"/>
        </w:rPr>
        <w:t xml:space="preserve"> had a primary endpoint of correct localisation rate, but</w:t>
      </w:r>
      <w:r w:rsidR="003A7852">
        <w:rPr>
          <w:lang w:eastAsia="ja-JP"/>
        </w:rPr>
        <w:t xml:space="preserve"> </w:t>
      </w:r>
      <w:r w:rsidR="003A7852">
        <w:rPr>
          <w:lang w:eastAsia="ja-JP"/>
        </w:rPr>
        <w:lastRenderedPageBreak/>
        <w:t xml:space="preserve">the FDA determined, after clarifying the population in which </w:t>
      </w:r>
      <w:r w:rsidR="00007900">
        <w:rPr>
          <w:lang w:eastAsia="ja-JP"/>
        </w:rPr>
        <w:t xml:space="preserve">the </w:t>
      </w:r>
      <w:r w:rsidR="00007900">
        <w:rPr>
          <w:iCs/>
          <w:lang w:eastAsia="ja-JP"/>
        </w:rPr>
        <w:t>correct detection rate</w:t>
      </w:r>
      <w:r w:rsidR="00007900" w:rsidDel="00007900">
        <w:rPr>
          <w:lang w:eastAsia="ja-JP"/>
        </w:rPr>
        <w:t xml:space="preserve"> </w:t>
      </w:r>
      <w:r w:rsidR="003A7852">
        <w:rPr>
          <w:lang w:eastAsia="ja-JP"/>
        </w:rPr>
        <w:t xml:space="preserve">would be assessed, that </w:t>
      </w:r>
      <w:r w:rsidR="00007900">
        <w:rPr>
          <w:iCs/>
          <w:lang w:eastAsia="ja-JP"/>
        </w:rPr>
        <w:t>correct localisation rate</w:t>
      </w:r>
      <w:r w:rsidR="00007900" w:rsidDel="00007900">
        <w:rPr>
          <w:lang w:eastAsia="ja-JP"/>
        </w:rPr>
        <w:t xml:space="preserve"> </w:t>
      </w:r>
      <w:r w:rsidR="003A7852">
        <w:rPr>
          <w:lang w:eastAsia="ja-JP"/>
        </w:rPr>
        <w:t xml:space="preserve">is a patient-level PPV metric. The CONDOR </w:t>
      </w:r>
      <w:r>
        <w:rPr>
          <w:lang w:eastAsia="ja-JP"/>
        </w:rPr>
        <w:t>trial</w:t>
      </w:r>
      <w:r w:rsidR="003A7852">
        <w:rPr>
          <w:lang w:eastAsia="ja-JP"/>
        </w:rPr>
        <w:t xml:space="preserve"> also included CDR as an exploratory endpoint.</w:t>
      </w:r>
      <w:r w:rsidR="003A7852">
        <w:rPr>
          <w:b/>
          <w:color w:val="000000"/>
        </w:rPr>
        <w:t xml:space="preserve"> </w:t>
      </w:r>
      <w:r w:rsidR="003A7852">
        <w:rPr>
          <w:lang w:eastAsia="ja-JP"/>
        </w:rPr>
        <w:t xml:space="preserve">A 20% threshold was pre-defined for both </w:t>
      </w:r>
      <w:r w:rsidR="00007900">
        <w:rPr>
          <w:iCs/>
          <w:lang w:eastAsia="ja-JP"/>
        </w:rPr>
        <w:t>correct localisation rate</w:t>
      </w:r>
      <w:r w:rsidR="00007900" w:rsidDel="00007900">
        <w:rPr>
          <w:lang w:eastAsia="ja-JP"/>
        </w:rPr>
        <w:t xml:space="preserve"> </w:t>
      </w:r>
      <w:r w:rsidR="003A7852">
        <w:rPr>
          <w:lang w:eastAsia="ja-JP"/>
        </w:rPr>
        <w:t xml:space="preserve">(PPV) and </w:t>
      </w:r>
      <w:r w:rsidR="00007900">
        <w:rPr>
          <w:iCs/>
          <w:lang w:eastAsia="ja-JP"/>
        </w:rPr>
        <w:t xml:space="preserve">correct detection </w:t>
      </w:r>
      <w:proofErr w:type="gramStart"/>
      <w:r w:rsidR="00007900">
        <w:rPr>
          <w:iCs/>
          <w:lang w:eastAsia="ja-JP"/>
        </w:rPr>
        <w:t>rate</w:t>
      </w:r>
      <w:r w:rsidR="00007900" w:rsidDel="00007900">
        <w:rPr>
          <w:lang w:eastAsia="ja-JP"/>
        </w:rPr>
        <w:t xml:space="preserve"> </w:t>
      </w:r>
      <w:r w:rsidR="003A7852">
        <w:rPr>
          <w:lang w:eastAsia="ja-JP"/>
        </w:rPr>
        <w:t>.</w:t>
      </w:r>
      <w:proofErr w:type="gramEnd"/>
      <w:r w:rsidR="003A7852">
        <w:rPr>
          <w:lang w:eastAsia="ja-JP"/>
        </w:rPr>
        <w:t xml:space="preserve"> The FDA outlined in their published review of </w:t>
      </w:r>
      <w:proofErr w:type="spellStart"/>
      <w:r w:rsidR="003A7852">
        <w:rPr>
          <w:lang w:eastAsia="ja-JP"/>
        </w:rPr>
        <w:t>Pylarify</w:t>
      </w:r>
      <w:proofErr w:type="spellEnd"/>
      <w:r w:rsidR="00EC50CE">
        <w:rPr>
          <w:lang w:eastAsia="ja-JP"/>
        </w:rPr>
        <w:t>,</w:t>
      </w:r>
      <w:r w:rsidR="003A7852">
        <w:rPr>
          <w:lang w:eastAsia="ja-JP"/>
        </w:rPr>
        <w:t xml:space="preserve"> </w:t>
      </w:r>
      <w:r w:rsidR="00EC50CE">
        <w:t>[</w:t>
      </w:r>
      <w:r w:rsidR="00EC50CE">
        <w:rPr>
          <w:vertAlign w:val="superscript"/>
        </w:rPr>
        <w:t>18</w:t>
      </w:r>
      <w:r w:rsidR="00EC50CE">
        <w:t>F] </w:t>
      </w:r>
      <w:proofErr w:type="spellStart"/>
      <w:r w:rsidR="00EC50CE">
        <w:t>piflufolastat</w:t>
      </w:r>
      <w:proofErr w:type="spellEnd"/>
      <w:r w:rsidR="00007900">
        <w:rPr>
          <w:lang w:eastAsia="ja-JP"/>
        </w:rPr>
        <w:t xml:space="preserve"> </w:t>
      </w:r>
      <w:r w:rsidR="003A7852">
        <w:rPr>
          <w:lang w:eastAsia="ja-JP"/>
        </w:rPr>
        <w:t>that</w:t>
      </w:r>
      <w:r w:rsidR="00007900">
        <w:rPr>
          <w:lang w:eastAsia="ja-JP"/>
        </w:rPr>
        <w:t>:</w:t>
      </w:r>
    </w:p>
    <w:p w14:paraId="07C10DB0" w14:textId="308CBD61" w:rsidR="003A7852" w:rsidRDefault="00DF0DB0" w:rsidP="003A7852">
      <w:pPr>
        <w:rPr>
          <w:lang w:eastAsia="ja-JP"/>
        </w:rPr>
      </w:pPr>
      <w:r>
        <w:rPr>
          <w:lang w:eastAsia="ja-JP"/>
        </w:rPr>
        <w:t>‘</w:t>
      </w:r>
      <w:r w:rsidR="003A7852" w:rsidRPr="00DF0DB0">
        <w:rPr>
          <w:i/>
          <w:iCs/>
          <w:lang w:eastAsia="ja-JP"/>
        </w:rPr>
        <w:t xml:space="preserve">Note that </w:t>
      </w:r>
      <w:r w:rsidR="003A7852" w:rsidRPr="00DF0DB0">
        <w:rPr>
          <w:i/>
          <w:iCs/>
        </w:rPr>
        <w:t>there are concerns regarding the clinical relevance of a 20% threshold for patient</w:t>
      </w:r>
      <w:r w:rsidR="00EC50CE">
        <w:rPr>
          <w:i/>
          <w:iCs/>
        </w:rPr>
        <w:noBreakHyphen/>
      </w:r>
      <w:r w:rsidR="003A7852" w:rsidRPr="00DF0DB0">
        <w:rPr>
          <w:i/>
          <w:iCs/>
        </w:rPr>
        <w:t>level PPV, however, as will be detailed later, the results far exceeded this threshold.</w:t>
      </w:r>
      <w:r w:rsidR="00D23754">
        <w:rPr>
          <w:i/>
          <w:iCs/>
        </w:rPr>
        <w:t xml:space="preserve"> </w:t>
      </w:r>
      <w:r w:rsidR="003A7852" w:rsidRPr="00DF0DB0">
        <w:rPr>
          <w:i/>
          <w:iCs/>
        </w:rPr>
        <w:t xml:space="preserve">From an FDA perspective, a 20% threshold is considered more appropriate for a CDR endpoint, defined as the fraction of true positive patients among all patients scanned with </w:t>
      </w:r>
      <w:proofErr w:type="spellStart"/>
      <w:r w:rsidR="003A7852" w:rsidRPr="00DF0DB0">
        <w:rPr>
          <w:i/>
          <w:iCs/>
        </w:rPr>
        <w:t>piflufolastat</w:t>
      </w:r>
      <w:proofErr w:type="spellEnd"/>
      <w:r w:rsidR="003A7852" w:rsidRPr="00DF0DB0">
        <w:rPr>
          <w:i/>
          <w:iCs/>
        </w:rPr>
        <w:t xml:space="preserve"> F </w:t>
      </w:r>
      <w:r w:rsidR="003A7852" w:rsidRPr="00DF0DB0">
        <w:rPr>
          <w:rFonts w:eastAsiaTheme="minorHAnsi" w:cs="Calibri"/>
          <w:i/>
          <w:iCs/>
          <w:color w:val="010202"/>
        </w:rPr>
        <w:t xml:space="preserve">18 PET and evaluated by the central </w:t>
      </w:r>
      <w:proofErr w:type="gramStart"/>
      <w:r w:rsidR="003A7852" w:rsidRPr="00DF0DB0">
        <w:rPr>
          <w:rFonts w:eastAsiaTheme="minorHAnsi" w:cs="Calibri"/>
          <w:i/>
          <w:iCs/>
          <w:color w:val="010202"/>
        </w:rPr>
        <w:t>readers</w:t>
      </w:r>
      <w:r>
        <w:rPr>
          <w:rFonts w:eastAsiaTheme="minorHAnsi" w:cs="Calibri"/>
          <w:color w:val="010202"/>
        </w:rPr>
        <w:t>’</w:t>
      </w:r>
      <w:proofErr w:type="gramEnd"/>
      <w:r>
        <w:rPr>
          <w:rFonts w:eastAsiaTheme="minorHAnsi" w:cs="Calibri"/>
          <w:color w:val="010202"/>
        </w:rPr>
        <w:t>.</w:t>
      </w:r>
      <w:r w:rsidR="003A7852" w:rsidRPr="001829E3">
        <w:rPr>
          <w:rStyle w:val="FootnoteReference"/>
          <w:lang w:eastAsia="ja-JP"/>
        </w:rPr>
        <w:t xml:space="preserve"> </w:t>
      </w:r>
      <w:r w:rsidR="003A7852">
        <w:rPr>
          <w:rStyle w:val="FootnoteReference"/>
          <w:lang w:eastAsia="ja-JP"/>
        </w:rPr>
        <w:footnoteReference w:id="55"/>
      </w:r>
    </w:p>
    <w:p w14:paraId="1436E0B9" w14:textId="77EC8763" w:rsidR="003A7852" w:rsidRPr="00DF0DB0" w:rsidRDefault="003A7852" w:rsidP="00DF0DB0">
      <w:r>
        <w:rPr>
          <w:lang w:eastAsia="ja-JP"/>
        </w:rPr>
        <w:t xml:space="preserve">The </w:t>
      </w:r>
      <w:r w:rsidR="00DF0DB0">
        <w:rPr>
          <w:lang w:eastAsia="ja-JP"/>
        </w:rPr>
        <w:t>s</w:t>
      </w:r>
      <w:r>
        <w:rPr>
          <w:lang w:eastAsia="ja-JP"/>
        </w:rPr>
        <w:t xml:space="preserve">ponsor has advised that </w:t>
      </w:r>
      <w:r w:rsidR="00007900">
        <w:rPr>
          <w:iCs/>
          <w:lang w:eastAsia="ja-JP"/>
        </w:rPr>
        <w:t xml:space="preserve">correct detection rate </w:t>
      </w:r>
      <w:r>
        <w:rPr>
          <w:lang w:eastAsia="ja-JP"/>
        </w:rPr>
        <w:t xml:space="preserve">and </w:t>
      </w:r>
      <w:r w:rsidR="00007900">
        <w:rPr>
          <w:iCs/>
          <w:lang w:eastAsia="ja-JP"/>
        </w:rPr>
        <w:t xml:space="preserve">verified localisation rate </w:t>
      </w:r>
      <w:r>
        <w:rPr>
          <w:lang w:eastAsia="ja-JP"/>
        </w:rPr>
        <w:t>were selected as co-primary endpoints in Study BCR-RET-01 based on pre-</w:t>
      </w:r>
      <w:r w:rsidR="00DF0DB0">
        <w:rPr>
          <w:lang w:eastAsia="ja-JP"/>
        </w:rPr>
        <w:t>new drug application</w:t>
      </w:r>
      <w:r>
        <w:rPr>
          <w:lang w:eastAsia="ja-JP"/>
        </w:rPr>
        <w:t xml:space="preserve"> guidance from the FDA, and that the 20% threshold for </w:t>
      </w:r>
      <w:r w:rsidR="00007900">
        <w:rPr>
          <w:iCs/>
          <w:lang w:eastAsia="ja-JP"/>
        </w:rPr>
        <w:t xml:space="preserve">correct detection rate </w:t>
      </w:r>
      <w:r>
        <w:rPr>
          <w:lang w:eastAsia="ja-JP"/>
        </w:rPr>
        <w:t xml:space="preserve">in </w:t>
      </w:r>
      <w:r w:rsidR="00007900">
        <w:rPr>
          <w:lang w:eastAsia="ja-JP"/>
        </w:rPr>
        <w:t>Study </w:t>
      </w:r>
      <w:r>
        <w:rPr>
          <w:lang w:eastAsia="ja-JP"/>
        </w:rPr>
        <w:t>BCR-RET-01 was selected based on the</w:t>
      </w:r>
      <w:r w:rsidRPr="00E770B6">
        <w:rPr>
          <w:lang w:eastAsia="ja-JP"/>
        </w:rPr>
        <w:t xml:space="preserve"> </w:t>
      </w:r>
      <w:r w:rsidR="00007900">
        <w:rPr>
          <w:iCs/>
          <w:lang w:eastAsia="ja-JP"/>
        </w:rPr>
        <w:t xml:space="preserve">correct detection rate </w:t>
      </w:r>
      <w:r>
        <w:rPr>
          <w:lang w:eastAsia="ja-JP"/>
        </w:rPr>
        <w:t xml:space="preserve">threshold in the CONDOR </w:t>
      </w:r>
      <w:r w:rsidR="00DF0DB0">
        <w:rPr>
          <w:lang w:eastAsia="ja-JP"/>
        </w:rPr>
        <w:t>trial.</w:t>
      </w:r>
    </w:p>
    <w:p w14:paraId="1857CD23" w14:textId="18F45DA5" w:rsidR="003A7852" w:rsidRPr="00F819BE" w:rsidRDefault="003A7852" w:rsidP="003A7852">
      <w:r>
        <w:t xml:space="preserve">Study BCR-RET-01 was successful in achieving the pre-defined threshold of success for both co-primary endpoints. </w:t>
      </w:r>
      <w:r w:rsidR="00007900">
        <w:rPr>
          <w:iCs/>
          <w:lang w:eastAsia="ja-JP"/>
        </w:rPr>
        <w:t xml:space="preserve">Correct detection rates </w:t>
      </w:r>
      <w:r>
        <w:t xml:space="preserve">for the </w:t>
      </w:r>
      <w:r w:rsidR="00DF0DB0">
        <w:t>three</w:t>
      </w:r>
      <w:r>
        <w:t xml:space="preserve"> independent readers ranged from 41.1% to 45.7%, with the lower bound of the 95% CI for each of the </w:t>
      </w:r>
      <w:r w:rsidR="00DF0DB0">
        <w:t>three</w:t>
      </w:r>
      <w:r>
        <w:t xml:space="preserve"> readers (35.9%, 39.2%, 40.4%) clearly exceeding the pre-defined threshold of 20%. </w:t>
      </w:r>
      <w:r w:rsidR="00007900">
        <w:rPr>
          <w:iCs/>
          <w:lang w:eastAsia="ja-JP"/>
        </w:rPr>
        <w:t xml:space="preserve">Verified localisation rates </w:t>
      </w:r>
      <w:r>
        <w:t xml:space="preserve">for the </w:t>
      </w:r>
      <w:r w:rsidR="00DF0DB0">
        <w:t>three</w:t>
      </w:r>
      <w:r>
        <w:t xml:space="preserve"> readers ranged from 36.2% to 50%, with the lower bound of the 95% CI for each of the </w:t>
      </w:r>
      <w:r w:rsidR="00DF0DB0">
        <w:t>three</w:t>
      </w:r>
      <w:r>
        <w:t xml:space="preserve"> readers (31.6%, 41.8%, 44.6%) clearly exceeding the pre-defined threshold of 10%.</w:t>
      </w:r>
    </w:p>
    <w:p w14:paraId="7B656678" w14:textId="47A86A6C" w:rsidR="003A7852" w:rsidRDefault="003A7852" w:rsidP="003A7852">
      <w:pPr>
        <w:rPr>
          <w:lang w:eastAsia="ja-JP"/>
        </w:rPr>
      </w:pPr>
      <w:r>
        <w:rPr>
          <w:lang w:eastAsia="ja-JP"/>
        </w:rPr>
        <w:t>In terms of traditional measures of diagnostic performance, sensitivity ranged from 81%</w:t>
      </w:r>
      <w:r w:rsidR="00DF0DB0">
        <w:rPr>
          <w:lang w:eastAsia="ja-JP"/>
        </w:rPr>
        <w:t xml:space="preserve"> to </w:t>
      </w:r>
      <w:r>
        <w:rPr>
          <w:lang w:eastAsia="ja-JP"/>
        </w:rPr>
        <w:t>90.9%</w:t>
      </w:r>
      <w:r w:rsidRPr="005524EF">
        <w:rPr>
          <w:lang w:eastAsia="ja-JP"/>
        </w:rPr>
        <w:t xml:space="preserve"> </w:t>
      </w:r>
      <w:r>
        <w:rPr>
          <w:lang w:eastAsia="ja-JP"/>
        </w:rPr>
        <w:t xml:space="preserve">in the </w:t>
      </w:r>
      <w:r w:rsidR="00DF0DB0">
        <w:rPr>
          <w:lang w:eastAsia="ja-JP"/>
        </w:rPr>
        <w:t>f</w:t>
      </w:r>
      <w:r>
        <w:rPr>
          <w:lang w:eastAsia="ja-JP"/>
        </w:rPr>
        <w:t xml:space="preserve">ull </w:t>
      </w:r>
      <w:r w:rsidR="00DF0DB0">
        <w:rPr>
          <w:lang w:eastAsia="ja-JP"/>
        </w:rPr>
        <w:t>p</w:t>
      </w:r>
      <w:r>
        <w:rPr>
          <w:lang w:eastAsia="ja-JP"/>
        </w:rPr>
        <w:t xml:space="preserve">atient </w:t>
      </w:r>
      <w:r w:rsidR="00DF0DB0">
        <w:rPr>
          <w:lang w:eastAsia="ja-JP"/>
        </w:rPr>
        <w:t>a</w:t>
      </w:r>
      <w:r>
        <w:rPr>
          <w:lang w:eastAsia="ja-JP"/>
        </w:rPr>
        <w:t xml:space="preserve">nalysis </w:t>
      </w:r>
      <w:r w:rsidR="00DF0DB0">
        <w:rPr>
          <w:lang w:eastAsia="ja-JP"/>
        </w:rPr>
        <w:t>s</w:t>
      </w:r>
      <w:r>
        <w:rPr>
          <w:lang w:eastAsia="ja-JP"/>
        </w:rPr>
        <w:t xml:space="preserve">et for the </w:t>
      </w:r>
      <w:r w:rsidR="00DF0DB0">
        <w:rPr>
          <w:lang w:eastAsia="ja-JP"/>
        </w:rPr>
        <w:t>three</w:t>
      </w:r>
      <w:r>
        <w:rPr>
          <w:lang w:eastAsia="ja-JP"/>
        </w:rPr>
        <w:t xml:space="preserve"> readers</w:t>
      </w:r>
      <w:r w:rsidR="00DF0DB0">
        <w:rPr>
          <w:lang w:eastAsia="ja-JP"/>
        </w:rPr>
        <w:t xml:space="preserve"> </w:t>
      </w:r>
      <w:r>
        <w:rPr>
          <w:lang w:eastAsia="ja-JP"/>
        </w:rPr>
        <w:t>and was 100%</w:t>
      </w:r>
      <w:r w:rsidRPr="000D266C">
        <w:rPr>
          <w:lang w:eastAsia="ja-JP"/>
        </w:rPr>
        <w:t xml:space="preserve"> </w:t>
      </w:r>
      <w:r>
        <w:rPr>
          <w:lang w:eastAsia="ja-JP"/>
        </w:rPr>
        <w:t xml:space="preserve">in the </w:t>
      </w:r>
      <w:r w:rsidR="00DF0DB0">
        <w:rPr>
          <w:lang w:eastAsia="ja-JP"/>
        </w:rPr>
        <w:t>p</w:t>
      </w:r>
      <w:r>
        <w:rPr>
          <w:lang w:eastAsia="ja-JP"/>
        </w:rPr>
        <w:t xml:space="preserve">atient </w:t>
      </w:r>
      <w:r w:rsidR="00DF0DB0">
        <w:rPr>
          <w:lang w:eastAsia="ja-JP"/>
        </w:rPr>
        <w:t>h</w:t>
      </w:r>
      <w:r>
        <w:rPr>
          <w:lang w:eastAsia="ja-JP"/>
        </w:rPr>
        <w:t xml:space="preserve">istopathology </w:t>
      </w:r>
      <w:r w:rsidR="00DF0DB0">
        <w:rPr>
          <w:lang w:eastAsia="ja-JP"/>
        </w:rPr>
        <w:t>o</w:t>
      </w:r>
      <w:r>
        <w:rPr>
          <w:lang w:eastAsia="ja-JP"/>
        </w:rPr>
        <w:t xml:space="preserve">nly </w:t>
      </w:r>
      <w:r w:rsidR="00DF0DB0">
        <w:rPr>
          <w:lang w:eastAsia="ja-JP"/>
        </w:rPr>
        <w:t>s</w:t>
      </w:r>
      <w:r>
        <w:rPr>
          <w:lang w:eastAsia="ja-JP"/>
        </w:rPr>
        <w:t xml:space="preserve">et for all </w:t>
      </w:r>
      <w:r w:rsidR="00DF0DB0">
        <w:rPr>
          <w:lang w:eastAsia="ja-JP"/>
        </w:rPr>
        <w:t>three</w:t>
      </w:r>
      <w:r>
        <w:rPr>
          <w:lang w:eastAsia="ja-JP"/>
        </w:rPr>
        <w:t xml:space="preserve"> readers. PPV ranged from 71.2%</w:t>
      </w:r>
      <w:r w:rsidR="00DF0DB0">
        <w:rPr>
          <w:lang w:eastAsia="ja-JP"/>
        </w:rPr>
        <w:t xml:space="preserve"> to </w:t>
      </w:r>
      <w:r>
        <w:rPr>
          <w:lang w:eastAsia="ja-JP"/>
        </w:rPr>
        <w:t>78.3% in the</w:t>
      </w:r>
      <w:r w:rsidRPr="000D266C">
        <w:rPr>
          <w:lang w:eastAsia="ja-JP"/>
        </w:rPr>
        <w:t xml:space="preserve"> </w:t>
      </w:r>
      <w:r w:rsidR="00DF0DB0">
        <w:rPr>
          <w:lang w:eastAsia="ja-JP"/>
        </w:rPr>
        <w:t>f</w:t>
      </w:r>
      <w:r>
        <w:rPr>
          <w:lang w:eastAsia="ja-JP"/>
        </w:rPr>
        <w:t xml:space="preserve">ull </w:t>
      </w:r>
      <w:r w:rsidR="00DF0DB0">
        <w:rPr>
          <w:lang w:eastAsia="ja-JP"/>
        </w:rPr>
        <w:t>p</w:t>
      </w:r>
      <w:r>
        <w:rPr>
          <w:lang w:eastAsia="ja-JP"/>
        </w:rPr>
        <w:t xml:space="preserve">atient </w:t>
      </w:r>
      <w:r w:rsidR="00DF0DB0">
        <w:rPr>
          <w:lang w:eastAsia="ja-JP"/>
        </w:rPr>
        <w:t>a</w:t>
      </w:r>
      <w:r>
        <w:rPr>
          <w:lang w:eastAsia="ja-JP"/>
        </w:rPr>
        <w:t xml:space="preserve">nalysis </w:t>
      </w:r>
      <w:r w:rsidR="00DF0DB0">
        <w:rPr>
          <w:lang w:eastAsia="ja-JP"/>
        </w:rPr>
        <w:t>s</w:t>
      </w:r>
      <w:r>
        <w:rPr>
          <w:lang w:eastAsia="ja-JP"/>
        </w:rPr>
        <w:t xml:space="preserve">et for the </w:t>
      </w:r>
      <w:r w:rsidR="00DF0DB0">
        <w:rPr>
          <w:lang w:eastAsia="ja-JP"/>
        </w:rPr>
        <w:t>three</w:t>
      </w:r>
      <w:r>
        <w:rPr>
          <w:lang w:eastAsia="ja-JP"/>
        </w:rPr>
        <w:t xml:space="preserve"> readers, and from 81.3%</w:t>
      </w:r>
      <w:r w:rsidR="00DF0DB0">
        <w:rPr>
          <w:lang w:eastAsia="ja-JP"/>
        </w:rPr>
        <w:t xml:space="preserve"> to </w:t>
      </w:r>
      <w:r>
        <w:rPr>
          <w:lang w:eastAsia="ja-JP"/>
        </w:rPr>
        <w:t xml:space="preserve">87.9% in the </w:t>
      </w:r>
      <w:r w:rsidR="00DF0DB0">
        <w:rPr>
          <w:lang w:eastAsia="ja-JP"/>
        </w:rPr>
        <w:t>p</w:t>
      </w:r>
      <w:r>
        <w:rPr>
          <w:lang w:eastAsia="ja-JP"/>
        </w:rPr>
        <w:t xml:space="preserve">atient </w:t>
      </w:r>
      <w:r w:rsidR="00DF0DB0">
        <w:rPr>
          <w:lang w:eastAsia="ja-JP"/>
        </w:rPr>
        <w:t>h</w:t>
      </w:r>
      <w:r>
        <w:rPr>
          <w:lang w:eastAsia="ja-JP"/>
        </w:rPr>
        <w:t xml:space="preserve">istopathology </w:t>
      </w:r>
      <w:r w:rsidR="00DF0DB0">
        <w:rPr>
          <w:lang w:eastAsia="ja-JP"/>
        </w:rPr>
        <w:t>o</w:t>
      </w:r>
      <w:r>
        <w:rPr>
          <w:lang w:eastAsia="ja-JP"/>
        </w:rPr>
        <w:t xml:space="preserve">nly </w:t>
      </w:r>
      <w:r w:rsidR="00DF0DB0">
        <w:rPr>
          <w:lang w:eastAsia="ja-JP"/>
        </w:rPr>
        <w:t>s</w:t>
      </w:r>
      <w:r>
        <w:rPr>
          <w:lang w:eastAsia="ja-JP"/>
        </w:rPr>
        <w:t>et.</w:t>
      </w:r>
    </w:p>
    <w:p w14:paraId="7C18F09E" w14:textId="52A628CC" w:rsidR="003A7852" w:rsidRDefault="00DF0DB0" w:rsidP="003A7852">
      <w:r>
        <w:rPr>
          <w:iCs/>
          <w:lang w:eastAsia="ja-JP"/>
        </w:rPr>
        <w:t>C</w:t>
      </w:r>
      <w:r w:rsidRPr="00472493">
        <w:rPr>
          <w:iCs/>
          <w:lang w:eastAsia="ja-JP"/>
        </w:rPr>
        <w:t xml:space="preserve">orrect </w:t>
      </w:r>
      <w:r>
        <w:rPr>
          <w:iCs/>
          <w:lang w:eastAsia="ja-JP"/>
        </w:rPr>
        <w:t>d</w:t>
      </w:r>
      <w:r w:rsidRPr="00472493">
        <w:rPr>
          <w:iCs/>
          <w:lang w:eastAsia="ja-JP"/>
        </w:rPr>
        <w:t xml:space="preserve">etection </w:t>
      </w:r>
      <w:r>
        <w:rPr>
          <w:iCs/>
          <w:lang w:eastAsia="ja-JP"/>
        </w:rPr>
        <w:t>r</w:t>
      </w:r>
      <w:r w:rsidRPr="00472493">
        <w:rPr>
          <w:iCs/>
          <w:lang w:eastAsia="ja-JP"/>
        </w:rPr>
        <w:t>ate</w:t>
      </w:r>
      <w:r w:rsidR="003A7852">
        <w:t xml:space="preserve"> and </w:t>
      </w:r>
      <w:r w:rsidR="00007900">
        <w:rPr>
          <w:iCs/>
          <w:lang w:eastAsia="ja-JP"/>
        </w:rPr>
        <w:t xml:space="preserve">verified localisation rates </w:t>
      </w:r>
      <w:r w:rsidR="003A7852">
        <w:t xml:space="preserve">are novel endpoints which have not been formally validated, so there is some uncertainty regarding clinically relevant thresholds of success for these endpoints. The extent to which the outcomes for </w:t>
      </w:r>
      <w:r w:rsidR="00007900">
        <w:rPr>
          <w:iCs/>
          <w:lang w:eastAsia="ja-JP"/>
        </w:rPr>
        <w:t xml:space="preserve">correct detection rates </w:t>
      </w:r>
      <w:r w:rsidR="003A7852">
        <w:t xml:space="preserve">and </w:t>
      </w:r>
      <w:r w:rsidR="00007900">
        <w:rPr>
          <w:iCs/>
          <w:lang w:eastAsia="ja-JP"/>
        </w:rPr>
        <w:t xml:space="preserve">verified localisation rates </w:t>
      </w:r>
      <w:r w:rsidR="003A7852">
        <w:t xml:space="preserve">exceeded the pre-defined thresholds for all </w:t>
      </w:r>
      <w:r>
        <w:t>three</w:t>
      </w:r>
      <w:r w:rsidR="003A7852">
        <w:t xml:space="preserve"> of the independent readers provides some assurance regarding the clinical relevance of the findings.</w:t>
      </w:r>
    </w:p>
    <w:p w14:paraId="63D3D44F" w14:textId="57A7D6FA" w:rsidR="003A7852" w:rsidRDefault="00DF0DB0" w:rsidP="003A7852">
      <w:r w:rsidRPr="00DF0DB0">
        <w:t>Correct detection rate</w:t>
      </w:r>
      <w:r w:rsidR="003A7852">
        <w:t xml:space="preserve"> and </w:t>
      </w:r>
      <w:r w:rsidR="00007900">
        <w:rPr>
          <w:iCs/>
          <w:lang w:eastAsia="ja-JP"/>
        </w:rPr>
        <w:t xml:space="preserve">verified localisation rates </w:t>
      </w:r>
      <w:r w:rsidR="003A7852">
        <w:t xml:space="preserve">were highest in the </w:t>
      </w:r>
      <w:r w:rsidR="007A06A3">
        <w:t>p</w:t>
      </w:r>
      <w:r w:rsidR="003A7852">
        <w:t xml:space="preserve">atient </w:t>
      </w:r>
      <w:r w:rsidR="007A06A3">
        <w:t>h</w:t>
      </w:r>
      <w:r w:rsidR="003A7852">
        <w:t xml:space="preserve">istopathology </w:t>
      </w:r>
      <w:r w:rsidR="007A06A3">
        <w:t>o</w:t>
      </w:r>
      <w:r w:rsidR="003A7852">
        <w:t xml:space="preserve">nly </w:t>
      </w:r>
      <w:r w:rsidR="007A06A3">
        <w:t>p</w:t>
      </w:r>
      <w:r w:rsidR="003A7852">
        <w:t xml:space="preserve">opulation, lower in the </w:t>
      </w:r>
      <w:r w:rsidR="007A06A3">
        <w:t>p</w:t>
      </w:r>
      <w:r w:rsidR="003A7852">
        <w:t xml:space="preserve">atient </w:t>
      </w:r>
      <w:r w:rsidR="007A06A3">
        <w:t>c</w:t>
      </w:r>
      <w:r w:rsidR="003A7852">
        <w:t xml:space="preserve">omposite </w:t>
      </w:r>
      <w:r w:rsidR="007A06A3">
        <w:t>p</w:t>
      </w:r>
      <w:r w:rsidR="003A7852">
        <w:t>opulation (where many patients had only conventional imaging as the</w:t>
      </w:r>
      <w:r w:rsidR="003A7852" w:rsidRPr="006B091E">
        <w:t xml:space="preserve"> </w:t>
      </w:r>
      <w:r w:rsidR="003A7852">
        <w:t xml:space="preserve">reference standard), and lowest in the </w:t>
      </w:r>
      <w:r w:rsidR="007A06A3">
        <w:t>f</w:t>
      </w:r>
      <w:r w:rsidR="003A7852">
        <w:t xml:space="preserve">ull </w:t>
      </w:r>
      <w:r w:rsidR="007A06A3">
        <w:t>p</w:t>
      </w:r>
      <w:r w:rsidR="003A7852">
        <w:t xml:space="preserve">atient </w:t>
      </w:r>
      <w:r w:rsidR="007A06A3">
        <w:t>a</w:t>
      </w:r>
      <w:r w:rsidR="003A7852">
        <w:t xml:space="preserve">nalysis </w:t>
      </w:r>
      <w:r w:rsidR="007A06A3">
        <w:t>p</w:t>
      </w:r>
      <w:r w:rsidR="003A7852">
        <w:t xml:space="preserve">opulation (where 74 of 422 patients had no reference standard data). These findings illustrate the challenge in evaluating </w:t>
      </w:r>
      <w:r w:rsidR="00EC50CE">
        <w:rPr>
          <w:rStyle w:val="style1"/>
          <w:rFonts w:cstheme="minorHAnsi"/>
          <w:iCs/>
        </w:rPr>
        <w:t>[</w:t>
      </w:r>
      <w:r w:rsidR="00EC50CE">
        <w:rPr>
          <w:rStyle w:val="style1"/>
          <w:rFonts w:cstheme="minorHAnsi"/>
          <w:iCs/>
          <w:vertAlign w:val="superscript"/>
        </w:rPr>
        <w:t>68</w:t>
      </w:r>
      <w:r w:rsidR="00EC50CE">
        <w:rPr>
          <w:rStyle w:val="style1"/>
          <w:rFonts w:cstheme="minorHAnsi"/>
          <w:iCs/>
        </w:rPr>
        <w:t xml:space="preserve">Ga] </w:t>
      </w:r>
      <w:r w:rsidR="00293AB9">
        <w:rPr>
          <w:rStyle w:val="style1"/>
          <w:rFonts w:cstheme="minorHAnsi"/>
          <w:iCs/>
        </w:rPr>
        <w:t>gallium</w:t>
      </w:r>
      <w:r w:rsidR="00EC50CE">
        <w:rPr>
          <w:rStyle w:val="style1"/>
          <w:rFonts w:cstheme="minorHAnsi"/>
          <w:iCs/>
        </w:rPr>
        <w:t xml:space="preserve"> PSMA-11 </w:t>
      </w:r>
      <w:r w:rsidR="003A7852">
        <w:t>PET/CT findings against a reference standard with known limitations in its diagnostic performance. Histopathology is preferred as a reference standard over conventional imaging, but biopsy specimens will not always be available, particularly in retrospective studies. Even in prospective studies, it may not be feasible or ethical to obtain histopathological confirmation of all imaging findings. Whilst histopathology provides a standard of truth for confirmation of prostate cancer, the presence of micro-metastatic disease</w:t>
      </w:r>
      <w:r w:rsidR="003A7852" w:rsidRPr="000F3CA1">
        <w:t xml:space="preserve"> </w:t>
      </w:r>
      <w:r w:rsidR="003A7852">
        <w:t>on histopathology may not be detectable by imaging modalities, contributing to false negative imaging findings.</w:t>
      </w:r>
    </w:p>
    <w:p w14:paraId="5084BEBA" w14:textId="2315BB86" w:rsidR="003A7852" w:rsidRDefault="003A7852" w:rsidP="003A7852">
      <w:r>
        <w:rPr>
          <w:lang w:eastAsia="ja-JP"/>
        </w:rPr>
        <w:lastRenderedPageBreak/>
        <w:t xml:space="preserve">Study </w:t>
      </w:r>
      <w:r>
        <w:t>ANMI-PG01-C301</w:t>
      </w:r>
      <w:r>
        <w:rPr>
          <w:lang w:eastAsia="ja-JP"/>
        </w:rPr>
        <w:t xml:space="preserve"> was presented as a supportive study, but the findings from this study are constrained by a lack of reference standard data to substantiate </w:t>
      </w:r>
      <w:r w:rsidR="00EC50CE">
        <w:rPr>
          <w:rStyle w:val="style1"/>
          <w:rFonts w:cstheme="minorHAnsi"/>
          <w:iCs/>
        </w:rPr>
        <w:t>[</w:t>
      </w:r>
      <w:r w:rsidR="00EC50CE">
        <w:rPr>
          <w:rStyle w:val="style1"/>
          <w:rFonts w:cstheme="minorHAnsi"/>
          <w:iCs/>
          <w:vertAlign w:val="superscript"/>
        </w:rPr>
        <w:t>68</w:t>
      </w:r>
      <w:r w:rsidR="00EC50CE">
        <w:rPr>
          <w:rStyle w:val="style1"/>
          <w:rFonts w:cstheme="minorHAnsi"/>
          <w:iCs/>
        </w:rPr>
        <w:t xml:space="preserve">Ga] </w:t>
      </w:r>
      <w:r w:rsidR="00293AB9">
        <w:rPr>
          <w:rStyle w:val="style1"/>
          <w:rFonts w:cstheme="minorHAnsi"/>
          <w:iCs/>
        </w:rPr>
        <w:t>gallium</w:t>
      </w:r>
      <w:r w:rsidR="00EC50CE">
        <w:rPr>
          <w:rStyle w:val="style1"/>
          <w:rFonts w:cstheme="minorHAnsi"/>
          <w:iCs/>
        </w:rPr>
        <w:t xml:space="preserve"> PSMA-11</w:t>
      </w:r>
      <w:r w:rsidRPr="00CC6848">
        <w:rPr>
          <w:rFonts w:asciiTheme="minorHAnsi" w:hAnsiTheme="minorHAnsi"/>
        </w:rPr>
        <w:t xml:space="preserve"> PET-CT</w:t>
      </w:r>
      <w:r>
        <w:rPr>
          <w:rFonts w:asciiTheme="minorHAnsi" w:hAnsiTheme="minorHAnsi"/>
        </w:rPr>
        <w:t xml:space="preserve"> findings.</w:t>
      </w:r>
      <w:r>
        <w:rPr>
          <w:lang w:eastAsia="ja-JP"/>
        </w:rPr>
        <w:t xml:space="preserve"> </w:t>
      </w:r>
      <w:proofErr w:type="gramStart"/>
      <w:r>
        <w:rPr>
          <w:lang w:eastAsia="ja-JP"/>
        </w:rPr>
        <w:t>T</w:t>
      </w:r>
      <w:r w:rsidRPr="00CC6848">
        <w:rPr>
          <w:rFonts w:asciiTheme="minorHAnsi" w:hAnsiTheme="minorHAnsi"/>
        </w:rPr>
        <w:t>he majority of</w:t>
      </w:r>
      <w:proofErr w:type="gramEnd"/>
      <w:r w:rsidRPr="00CC6848">
        <w:rPr>
          <w:rFonts w:asciiTheme="minorHAnsi" w:hAnsiTheme="minorHAnsi"/>
        </w:rPr>
        <w:t xml:space="preserve"> the lesions identified initially on the </w:t>
      </w:r>
      <w:r w:rsidR="00EC50CE">
        <w:rPr>
          <w:rStyle w:val="style1"/>
          <w:rFonts w:cstheme="minorHAnsi"/>
          <w:iCs/>
        </w:rPr>
        <w:t>[</w:t>
      </w:r>
      <w:r w:rsidR="00EC50CE">
        <w:rPr>
          <w:rStyle w:val="style1"/>
          <w:rFonts w:cstheme="minorHAnsi"/>
          <w:iCs/>
          <w:vertAlign w:val="superscript"/>
        </w:rPr>
        <w:t>68</w:t>
      </w:r>
      <w:r w:rsidR="00EC50CE">
        <w:rPr>
          <w:rStyle w:val="style1"/>
          <w:rFonts w:cstheme="minorHAnsi"/>
          <w:iCs/>
        </w:rPr>
        <w:t xml:space="preserve">Ga] </w:t>
      </w:r>
      <w:r w:rsidR="00293AB9">
        <w:rPr>
          <w:rStyle w:val="style1"/>
          <w:rFonts w:cstheme="minorHAnsi"/>
          <w:iCs/>
        </w:rPr>
        <w:t>gallium</w:t>
      </w:r>
      <w:r w:rsidR="00EC50CE">
        <w:rPr>
          <w:rStyle w:val="style1"/>
          <w:rFonts w:cstheme="minorHAnsi"/>
          <w:iCs/>
        </w:rPr>
        <w:t xml:space="preserve"> PSMA-11</w:t>
      </w:r>
      <w:r w:rsidRPr="00CC6848">
        <w:rPr>
          <w:rFonts w:asciiTheme="minorHAnsi" w:hAnsiTheme="minorHAnsi"/>
        </w:rPr>
        <w:t xml:space="preserve"> PET</w:t>
      </w:r>
      <w:r w:rsidR="00007900">
        <w:rPr>
          <w:rFonts w:asciiTheme="minorHAnsi" w:hAnsiTheme="minorHAnsi"/>
        </w:rPr>
        <w:noBreakHyphen/>
      </w:r>
      <w:r w:rsidRPr="00CC6848">
        <w:rPr>
          <w:rFonts w:asciiTheme="minorHAnsi" w:hAnsiTheme="minorHAnsi"/>
        </w:rPr>
        <w:t xml:space="preserve">CT were confirmed by the investigators’ clinical judgment after retrospective evaluation of the medical records, rather than by objective correlative </w:t>
      </w:r>
      <w:r>
        <w:rPr>
          <w:rFonts w:asciiTheme="minorHAnsi" w:hAnsiTheme="minorHAnsi"/>
        </w:rPr>
        <w:t>data</w:t>
      </w:r>
      <w:r w:rsidRPr="00CC6848">
        <w:rPr>
          <w:rFonts w:asciiTheme="minorHAnsi" w:hAnsiTheme="minorHAnsi"/>
        </w:rPr>
        <w:t>.</w:t>
      </w:r>
      <w:r w:rsidRPr="002F79F8">
        <w:rPr>
          <w:lang w:eastAsia="ja-JP"/>
        </w:rPr>
        <w:t xml:space="preserve"> </w:t>
      </w:r>
      <w:r w:rsidR="007A06A3">
        <w:rPr>
          <w:lang w:eastAsia="ja-JP"/>
        </w:rPr>
        <w:t>O</w:t>
      </w:r>
      <w:r>
        <w:rPr>
          <w:lang w:eastAsia="ja-JP"/>
        </w:rPr>
        <w:t>nly 44</w:t>
      </w:r>
      <w:r w:rsidR="00007900">
        <w:rPr>
          <w:lang w:eastAsia="ja-JP"/>
        </w:rPr>
        <w:t> </w:t>
      </w:r>
      <w:r>
        <w:rPr>
          <w:lang w:eastAsia="ja-JP"/>
        </w:rPr>
        <w:t xml:space="preserve">lesions, 19 of which were positive on </w:t>
      </w:r>
      <w:r w:rsidR="005456FC">
        <w:rPr>
          <w:rStyle w:val="style1"/>
          <w:rFonts w:cstheme="minorHAnsi"/>
          <w:iCs/>
        </w:rPr>
        <w:t>[</w:t>
      </w:r>
      <w:r w:rsidR="005456FC">
        <w:rPr>
          <w:rStyle w:val="style1"/>
          <w:rFonts w:cstheme="minorHAnsi"/>
          <w:iCs/>
          <w:vertAlign w:val="superscript"/>
        </w:rPr>
        <w:t>68</w:t>
      </w:r>
      <w:r w:rsidR="005456FC">
        <w:rPr>
          <w:rStyle w:val="style1"/>
          <w:rFonts w:cstheme="minorHAnsi"/>
          <w:iCs/>
        </w:rPr>
        <w:t xml:space="preserve">Ga] </w:t>
      </w:r>
      <w:r w:rsidR="00293AB9">
        <w:rPr>
          <w:rStyle w:val="style1"/>
          <w:rFonts w:cstheme="minorHAnsi"/>
          <w:iCs/>
        </w:rPr>
        <w:t>gallium</w:t>
      </w:r>
      <w:r w:rsidR="005456FC">
        <w:rPr>
          <w:rStyle w:val="style1"/>
          <w:rFonts w:cstheme="minorHAnsi"/>
          <w:iCs/>
        </w:rPr>
        <w:t xml:space="preserve"> PSMA-11</w:t>
      </w:r>
      <w:r w:rsidRPr="00CC6848">
        <w:rPr>
          <w:rFonts w:asciiTheme="minorHAnsi" w:hAnsiTheme="minorHAnsi"/>
        </w:rPr>
        <w:t xml:space="preserve"> PET-CT</w:t>
      </w:r>
      <w:r>
        <w:rPr>
          <w:lang w:eastAsia="ja-JP"/>
        </w:rPr>
        <w:t xml:space="preserve">, were evaluable under the </w:t>
      </w:r>
      <w:r w:rsidR="007A06A3">
        <w:rPr>
          <w:lang w:eastAsia="ja-JP"/>
        </w:rPr>
        <w:t>s</w:t>
      </w:r>
      <w:r>
        <w:rPr>
          <w:lang w:eastAsia="ja-JP"/>
        </w:rPr>
        <w:t xml:space="preserve">tandard of </w:t>
      </w:r>
      <w:r w:rsidR="007A06A3">
        <w:rPr>
          <w:lang w:eastAsia="ja-JP"/>
        </w:rPr>
        <w:t>t</w:t>
      </w:r>
      <w:r>
        <w:rPr>
          <w:lang w:eastAsia="ja-JP"/>
        </w:rPr>
        <w:t xml:space="preserve">ruth algorithm. Additional analyses relied heavily on the clinical interpretation of the investigators, and a default interpretation of </w:t>
      </w:r>
      <w:r>
        <w:t xml:space="preserve">‘confirmed’ malignant unless </w:t>
      </w:r>
      <w:r w:rsidRPr="009161D3">
        <w:rPr>
          <w:lang w:eastAsia="ja-JP"/>
        </w:rPr>
        <w:t>a clinical finding came against the diagnosis</w:t>
      </w:r>
      <w:r>
        <w:rPr>
          <w:lang w:eastAsia="ja-JP"/>
        </w:rPr>
        <w:t>, so the findings are subject to a high risk of bias.</w:t>
      </w:r>
    </w:p>
    <w:p w14:paraId="0F95D238" w14:textId="77777777" w:rsidR="003A7852" w:rsidRDefault="003A7852" w:rsidP="003A7852">
      <w:pPr>
        <w:pStyle w:val="Heading6"/>
      </w:pPr>
      <w:r>
        <w:t>Literature review</w:t>
      </w:r>
    </w:p>
    <w:p w14:paraId="01AE705C" w14:textId="0FB061BD" w:rsidR="003A7852" w:rsidRDefault="003A7852" w:rsidP="003A7852">
      <w:pPr>
        <w:rPr>
          <w:lang w:eastAsia="ja-JP"/>
        </w:rPr>
      </w:pPr>
      <w:r>
        <w:rPr>
          <w:lang w:eastAsia="ja-JP"/>
        </w:rPr>
        <w:t xml:space="preserve">The </w:t>
      </w:r>
      <w:r w:rsidR="007A06A3">
        <w:rPr>
          <w:lang w:eastAsia="ja-JP"/>
        </w:rPr>
        <w:t>s</w:t>
      </w:r>
      <w:r>
        <w:rPr>
          <w:lang w:eastAsia="ja-JP"/>
        </w:rPr>
        <w:t xml:space="preserve">ponsor presented 56 articles relating to the diagnostic efficacy of </w:t>
      </w:r>
      <w:r w:rsidR="005456FC">
        <w:rPr>
          <w:rStyle w:val="style1"/>
          <w:rFonts w:cstheme="minorHAnsi"/>
          <w:iCs/>
        </w:rPr>
        <w:t>[</w:t>
      </w:r>
      <w:r w:rsidR="005456FC">
        <w:rPr>
          <w:rStyle w:val="style1"/>
          <w:rFonts w:cstheme="minorHAnsi"/>
          <w:iCs/>
          <w:vertAlign w:val="superscript"/>
        </w:rPr>
        <w:t>68</w:t>
      </w:r>
      <w:r w:rsidR="005456FC">
        <w:rPr>
          <w:rStyle w:val="style1"/>
          <w:rFonts w:cstheme="minorHAnsi"/>
          <w:iCs/>
        </w:rPr>
        <w:t xml:space="preserve">Ga] </w:t>
      </w:r>
      <w:r w:rsidR="00293AB9">
        <w:rPr>
          <w:rStyle w:val="style1"/>
          <w:rFonts w:cstheme="minorHAnsi"/>
          <w:iCs/>
        </w:rPr>
        <w:t>gallium</w:t>
      </w:r>
      <w:r w:rsidR="005456FC">
        <w:rPr>
          <w:rStyle w:val="style1"/>
          <w:rFonts w:cstheme="minorHAnsi"/>
          <w:iCs/>
        </w:rPr>
        <w:t xml:space="preserve"> PSMA-11</w:t>
      </w:r>
      <w:r>
        <w:rPr>
          <w:lang w:eastAsia="ja-JP"/>
        </w:rPr>
        <w:t xml:space="preserve"> PET/CT in primary staging of prostate cancer and 39 relating to </w:t>
      </w:r>
      <w:r w:rsidR="00254B21">
        <w:t>biochemically recurrent prostate cancer</w:t>
      </w:r>
      <w:r>
        <w:rPr>
          <w:lang w:eastAsia="ja-JP"/>
        </w:rPr>
        <w:t xml:space="preserve">. In studies of primary staging, the sensitivity and specificity of </w:t>
      </w:r>
      <w:r w:rsidR="005456FC">
        <w:rPr>
          <w:rStyle w:val="style1"/>
          <w:rFonts w:cstheme="minorHAnsi"/>
          <w:iCs/>
        </w:rPr>
        <w:t>[</w:t>
      </w:r>
      <w:r w:rsidR="005456FC">
        <w:rPr>
          <w:rStyle w:val="style1"/>
          <w:rFonts w:cstheme="minorHAnsi"/>
          <w:iCs/>
          <w:vertAlign w:val="superscript"/>
        </w:rPr>
        <w:t>68</w:t>
      </w:r>
      <w:r w:rsidR="005456FC">
        <w:rPr>
          <w:rStyle w:val="style1"/>
          <w:rFonts w:cstheme="minorHAnsi"/>
          <w:iCs/>
        </w:rPr>
        <w:t xml:space="preserve">Ga] </w:t>
      </w:r>
      <w:r w:rsidR="00293AB9">
        <w:rPr>
          <w:rStyle w:val="style1"/>
          <w:rFonts w:cstheme="minorHAnsi"/>
          <w:iCs/>
        </w:rPr>
        <w:t>gallium</w:t>
      </w:r>
      <w:r w:rsidR="005456FC">
        <w:rPr>
          <w:rStyle w:val="style1"/>
          <w:rFonts w:cstheme="minorHAnsi"/>
          <w:iCs/>
        </w:rPr>
        <w:t xml:space="preserve"> PSMA-11 </w:t>
      </w:r>
      <w:r>
        <w:rPr>
          <w:lang w:eastAsia="ja-JP"/>
        </w:rPr>
        <w:t xml:space="preserve">PET/CT ranged from 24% </w:t>
      </w:r>
      <w:r w:rsidR="007A06A3">
        <w:rPr>
          <w:lang w:eastAsia="ja-JP"/>
        </w:rPr>
        <w:t>to</w:t>
      </w:r>
      <w:r>
        <w:rPr>
          <w:lang w:eastAsia="ja-JP"/>
        </w:rPr>
        <w:t xml:space="preserve"> 100% and 45% </w:t>
      </w:r>
      <w:r w:rsidR="007A06A3">
        <w:rPr>
          <w:lang w:eastAsia="ja-JP"/>
        </w:rPr>
        <w:t>to</w:t>
      </w:r>
      <w:r>
        <w:rPr>
          <w:lang w:eastAsia="ja-JP"/>
        </w:rPr>
        <w:t xml:space="preserve"> 100%, respectively.</w:t>
      </w:r>
      <w:r w:rsidRPr="00AB285A">
        <w:rPr>
          <w:lang w:eastAsia="ja-JP"/>
        </w:rPr>
        <w:t xml:space="preserve"> </w:t>
      </w:r>
      <w:r w:rsidRPr="00CB7CD5">
        <w:rPr>
          <w:lang w:eastAsia="ja-JP"/>
        </w:rPr>
        <w:t>PPV and NPV ranged from 60%</w:t>
      </w:r>
      <w:r w:rsidR="007A06A3">
        <w:rPr>
          <w:lang w:eastAsia="ja-JP"/>
        </w:rPr>
        <w:t xml:space="preserve"> to </w:t>
      </w:r>
      <w:r w:rsidRPr="00CB7CD5">
        <w:rPr>
          <w:lang w:eastAsia="ja-JP"/>
        </w:rPr>
        <w:t>100% and 25%</w:t>
      </w:r>
      <w:r w:rsidR="007A06A3">
        <w:rPr>
          <w:lang w:eastAsia="ja-JP"/>
        </w:rPr>
        <w:t xml:space="preserve"> to </w:t>
      </w:r>
      <w:r w:rsidRPr="00CB7CD5">
        <w:rPr>
          <w:lang w:eastAsia="ja-JP"/>
        </w:rPr>
        <w:t>100%, respectively.</w:t>
      </w:r>
      <w:r>
        <w:rPr>
          <w:lang w:eastAsia="ja-JP"/>
        </w:rPr>
        <w:t xml:space="preserve"> </w:t>
      </w:r>
      <w:r>
        <w:rPr>
          <w:rFonts w:asciiTheme="minorHAnsi" w:hAnsiTheme="minorHAnsi" w:cs="Calibri"/>
          <w:lang w:eastAsia="ja-JP"/>
        </w:rPr>
        <w:t xml:space="preserve">Changes in patient management due to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w:t>
      </w:r>
      <w:r>
        <w:rPr>
          <w:rFonts w:asciiTheme="minorHAnsi" w:hAnsiTheme="minorHAnsi" w:cs="Calibri"/>
          <w:lang w:eastAsia="ja-JP"/>
        </w:rPr>
        <w:t xml:space="preserve"> PET/CT findings were reported in 19</w:t>
      </w:r>
      <w:r w:rsidR="007A06A3">
        <w:rPr>
          <w:lang w:eastAsia="ja-JP"/>
        </w:rPr>
        <w:t xml:space="preserve"> to </w:t>
      </w:r>
      <w:r>
        <w:rPr>
          <w:rFonts w:asciiTheme="minorHAnsi" w:hAnsiTheme="minorHAnsi" w:cs="Calibri"/>
          <w:lang w:eastAsia="ja-JP"/>
        </w:rPr>
        <w:t xml:space="preserve">52% of patients across </w:t>
      </w:r>
      <w:r w:rsidR="007A06A3">
        <w:rPr>
          <w:rFonts w:asciiTheme="minorHAnsi" w:hAnsiTheme="minorHAnsi" w:cs="Calibri"/>
          <w:lang w:eastAsia="ja-JP"/>
        </w:rPr>
        <w:t>seven</w:t>
      </w:r>
      <w:r>
        <w:rPr>
          <w:rFonts w:asciiTheme="minorHAnsi" w:hAnsiTheme="minorHAnsi" w:cs="Calibri"/>
          <w:lang w:eastAsia="ja-JP"/>
        </w:rPr>
        <w:t xml:space="preserve"> studies. </w:t>
      </w:r>
      <w:r>
        <w:rPr>
          <w:lang w:eastAsia="ja-JP"/>
        </w:rPr>
        <w:t xml:space="preserve">None of the studies presented in the literature search reported on the novel endpoints CDR and VLR. </w:t>
      </w:r>
      <w:r>
        <w:rPr>
          <w:rFonts w:asciiTheme="minorHAnsi" w:hAnsiTheme="minorHAnsi" w:cs="Calibri"/>
          <w:lang w:eastAsia="ja-JP"/>
        </w:rPr>
        <w:t>I</w:t>
      </w:r>
      <w:r>
        <w:rPr>
          <w:lang w:eastAsia="ja-JP"/>
        </w:rPr>
        <w:t xml:space="preserve">n studies of patients with </w:t>
      </w:r>
      <w:r w:rsidR="00254B21">
        <w:t>biochemically recurrent prostate cancer</w:t>
      </w:r>
      <w:r>
        <w:rPr>
          <w:lang w:eastAsia="ja-JP"/>
        </w:rPr>
        <w:t xml:space="preserve">, the sensitivity and specificity of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w:t>
      </w:r>
      <w:r>
        <w:rPr>
          <w:lang w:eastAsia="ja-JP"/>
        </w:rPr>
        <w:t xml:space="preserve"> PET/CT ranged from 63%</w:t>
      </w:r>
      <w:r w:rsidR="007A06A3">
        <w:rPr>
          <w:lang w:eastAsia="ja-JP"/>
        </w:rPr>
        <w:t xml:space="preserve"> to </w:t>
      </w:r>
      <w:r>
        <w:rPr>
          <w:lang w:eastAsia="ja-JP"/>
        </w:rPr>
        <w:t xml:space="preserve">100%. </w:t>
      </w:r>
      <w:r w:rsidRPr="00CB7CD5">
        <w:rPr>
          <w:lang w:eastAsia="ja-JP"/>
        </w:rPr>
        <w:t xml:space="preserve">PPV and NPV ranged from </w:t>
      </w:r>
      <w:r>
        <w:rPr>
          <w:lang w:eastAsia="ja-JP"/>
        </w:rPr>
        <w:t>5</w:t>
      </w:r>
      <w:r w:rsidRPr="00CB7CD5">
        <w:rPr>
          <w:lang w:eastAsia="ja-JP"/>
        </w:rPr>
        <w:t>0%</w:t>
      </w:r>
      <w:r w:rsidR="007A06A3">
        <w:rPr>
          <w:lang w:eastAsia="ja-JP"/>
        </w:rPr>
        <w:t xml:space="preserve"> to </w:t>
      </w:r>
      <w:r w:rsidRPr="00CB7CD5">
        <w:rPr>
          <w:lang w:eastAsia="ja-JP"/>
        </w:rPr>
        <w:t>100% and 2</w:t>
      </w:r>
      <w:r>
        <w:rPr>
          <w:lang w:eastAsia="ja-JP"/>
        </w:rPr>
        <w:t>1</w:t>
      </w:r>
      <w:r w:rsidRPr="00CB7CD5">
        <w:rPr>
          <w:lang w:eastAsia="ja-JP"/>
        </w:rPr>
        <w:t>%</w:t>
      </w:r>
      <w:r w:rsidR="007A06A3">
        <w:rPr>
          <w:lang w:eastAsia="ja-JP"/>
        </w:rPr>
        <w:t xml:space="preserve"> to </w:t>
      </w:r>
      <w:r w:rsidRPr="00CB7CD5">
        <w:rPr>
          <w:lang w:eastAsia="ja-JP"/>
        </w:rPr>
        <w:t>100%, respectively.</w:t>
      </w:r>
      <w:r>
        <w:rPr>
          <w:lang w:eastAsia="ja-JP"/>
        </w:rPr>
        <w:t xml:space="preserve"> </w:t>
      </w:r>
      <w:r>
        <w:rPr>
          <w:rFonts w:asciiTheme="minorHAnsi" w:hAnsiTheme="minorHAnsi" w:cs="Calibri"/>
          <w:lang w:eastAsia="ja-JP"/>
        </w:rPr>
        <w:t xml:space="preserve">Changes in patient management due to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 </w:t>
      </w:r>
      <w:r>
        <w:rPr>
          <w:rFonts w:asciiTheme="minorHAnsi" w:hAnsiTheme="minorHAnsi" w:cs="Calibri"/>
          <w:lang w:eastAsia="ja-JP"/>
        </w:rPr>
        <w:t>PET/CT findings were reported in 30</w:t>
      </w:r>
      <w:r w:rsidR="007A06A3">
        <w:rPr>
          <w:lang w:eastAsia="ja-JP"/>
        </w:rPr>
        <w:t xml:space="preserve"> to </w:t>
      </w:r>
      <w:r>
        <w:rPr>
          <w:rFonts w:asciiTheme="minorHAnsi" w:hAnsiTheme="minorHAnsi" w:cs="Calibri"/>
          <w:lang w:eastAsia="ja-JP"/>
        </w:rPr>
        <w:t xml:space="preserve">75% of patients with </w:t>
      </w:r>
      <w:r w:rsidR="00254B21">
        <w:t xml:space="preserve">biochemically recurrent prostate cancer </w:t>
      </w:r>
      <w:r>
        <w:rPr>
          <w:rFonts w:asciiTheme="minorHAnsi" w:hAnsiTheme="minorHAnsi" w:cs="Calibri"/>
          <w:lang w:eastAsia="ja-JP"/>
        </w:rPr>
        <w:t xml:space="preserve">across </w:t>
      </w:r>
      <w:r w:rsidR="007A06A3">
        <w:rPr>
          <w:rFonts w:asciiTheme="minorHAnsi" w:hAnsiTheme="minorHAnsi" w:cs="Calibri"/>
          <w:lang w:eastAsia="ja-JP"/>
        </w:rPr>
        <w:t>seven</w:t>
      </w:r>
      <w:r>
        <w:rPr>
          <w:rFonts w:asciiTheme="minorHAnsi" w:hAnsiTheme="minorHAnsi" w:cs="Calibri"/>
          <w:lang w:eastAsia="ja-JP"/>
        </w:rPr>
        <w:t xml:space="preserve"> studies.</w:t>
      </w:r>
    </w:p>
    <w:p w14:paraId="1C192DE0" w14:textId="4FE5CDB5" w:rsidR="003A7852" w:rsidRDefault="003A7852" w:rsidP="003A7852">
      <w:r>
        <w:rPr>
          <w:lang w:eastAsia="ja-JP"/>
        </w:rPr>
        <w:t xml:space="preserve">Most of the published studies involved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 </w:t>
      </w:r>
      <w:r>
        <w:rPr>
          <w:lang w:eastAsia="ja-JP"/>
        </w:rPr>
        <w:t xml:space="preserve">produced by methods other than the </w:t>
      </w:r>
      <w:proofErr w:type="spellStart"/>
      <w:r>
        <w:rPr>
          <w:lang w:eastAsia="ja-JP"/>
        </w:rPr>
        <w:t>Telix</w:t>
      </w:r>
      <w:proofErr w:type="spellEnd"/>
      <w:r>
        <w:rPr>
          <w:lang w:eastAsia="ja-JP"/>
        </w:rPr>
        <w:t xml:space="preserve"> kit, but the submission has provided sufficient evidence to conclude that the diagnostic performance of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 </w:t>
      </w:r>
      <w:r>
        <w:rPr>
          <w:lang w:eastAsia="ja-JP"/>
        </w:rPr>
        <w:t xml:space="preserve">prepared with the </w:t>
      </w:r>
      <w:proofErr w:type="spellStart"/>
      <w:r>
        <w:rPr>
          <w:lang w:eastAsia="ja-JP"/>
        </w:rPr>
        <w:t>Telix</w:t>
      </w:r>
      <w:proofErr w:type="spellEnd"/>
      <w:r>
        <w:rPr>
          <w:lang w:eastAsia="ja-JP"/>
        </w:rPr>
        <w:t xml:space="preserve"> kit is expected to be comparable to that prepared by other methods.</w:t>
      </w:r>
    </w:p>
    <w:p w14:paraId="0D01A38D" w14:textId="4BF93D9B" w:rsidR="003A7852" w:rsidRDefault="003A7852" w:rsidP="003A7852">
      <w:pPr>
        <w:rPr>
          <w:lang w:eastAsia="ja-JP"/>
        </w:rPr>
      </w:pPr>
      <w:proofErr w:type="spellStart"/>
      <w:r>
        <w:rPr>
          <w:rFonts w:asciiTheme="minorHAnsi" w:hAnsiTheme="minorHAnsi" w:cs="Calibri"/>
          <w:lang w:eastAsia="ja-JP"/>
        </w:rPr>
        <w:t>Hofman</w:t>
      </w:r>
      <w:proofErr w:type="spellEnd"/>
      <w:r>
        <w:rPr>
          <w:rFonts w:asciiTheme="minorHAnsi" w:hAnsiTheme="minorHAnsi" w:cs="Calibri"/>
          <w:lang w:eastAsia="ja-JP"/>
        </w:rPr>
        <w:t xml:space="preserve"> et al</w:t>
      </w:r>
      <w:r w:rsidR="00753780">
        <w:rPr>
          <w:rFonts w:asciiTheme="minorHAnsi" w:hAnsiTheme="minorHAnsi" w:cs="Calibri"/>
          <w:lang w:eastAsia="ja-JP"/>
        </w:rPr>
        <w:t>.</w:t>
      </w:r>
      <w:r>
        <w:rPr>
          <w:rFonts w:asciiTheme="minorHAnsi" w:hAnsiTheme="minorHAnsi" w:cs="Calibri"/>
          <w:lang w:eastAsia="ja-JP"/>
        </w:rPr>
        <w:t xml:space="preserve"> </w:t>
      </w:r>
      <w:r w:rsidR="00DE10A8">
        <w:rPr>
          <w:rFonts w:asciiTheme="minorHAnsi" w:hAnsiTheme="minorHAnsi" w:cs="Calibri"/>
          <w:lang w:eastAsia="ja-JP"/>
        </w:rPr>
        <w:t>(</w:t>
      </w:r>
      <w:r>
        <w:rPr>
          <w:rFonts w:asciiTheme="minorHAnsi" w:hAnsiTheme="minorHAnsi" w:cs="Calibri"/>
          <w:lang w:eastAsia="ja-JP"/>
        </w:rPr>
        <w:t>2020</w:t>
      </w:r>
      <w:r w:rsidR="00DE10A8">
        <w:rPr>
          <w:rFonts w:asciiTheme="minorHAnsi" w:hAnsiTheme="minorHAnsi" w:cs="Calibri"/>
          <w:lang w:eastAsia="ja-JP"/>
        </w:rPr>
        <w:t>)</w:t>
      </w:r>
      <w:r w:rsidR="007A06A3">
        <w:rPr>
          <w:rFonts w:asciiTheme="minorHAnsi" w:hAnsiTheme="minorHAnsi" w:cs="Calibri"/>
          <w:lang w:eastAsia="ja-JP"/>
        </w:rPr>
        <w:t>;</w:t>
      </w:r>
      <w:r w:rsidR="007A06A3">
        <w:rPr>
          <w:rFonts w:asciiTheme="minorHAnsi" w:hAnsiTheme="minorHAnsi" w:cs="Calibri"/>
          <w:lang w:eastAsia="ja-JP"/>
        </w:rPr>
        <w:fldChar w:fldCharType="begin"/>
      </w:r>
      <w:r w:rsidR="007A06A3">
        <w:rPr>
          <w:rFonts w:asciiTheme="minorHAnsi" w:hAnsiTheme="minorHAnsi" w:cs="Calibri"/>
          <w:lang w:eastAsia="ja-JP"/>
        </w:rPr>
        <w:instrText xml:space="preserve"> NOTEREF _Ref104543225 \f \h </w:instrText>
      </w:r>
      <w:r w:rsidR="007A06A3">
        <w:rPr>
          <w:rFonts w:asciiTheme="minorHAnsi" w:hAnsiTheme="minorHAnsi" w:cs="Calibri"/>
          <w:lang w:eastAsia="ja-JP"/>
        </w:rPr>
      </w:r>
      <w:r w:rsidR="007A06A3">
        <w:rPr>
          <w:rFonts w:asciiTheme="minorHAnsi" w:hAnsiTheme="minorHAnsi" w:cs="Calibri"/>
          <w:lang w:eastAsia="ja-JP"/>
        </w:rPr>
        <w:fldChar w:fldCharType="separate"/>
      </w:r>
      <w:r w:rsidR="00036995" w:rsidRPr="00036995">
        <w:rPr>
          <w:rStyle w:val="FootnoteReference"/>
        </w:rPr>
        <w:t>14</w:t>
      </w:r>
      <w:r w:rsidR="007A06A3">
        <w:rPr>
          <w:rFonts w:asciiTheme="minorHAnsi" w:hAnsiTheme="minorHAnsi" w:cs="Calibri"/>
          <w:lang w:eastAsia="ja-JP"/>
        </w:rPr>
        <w:fldChar w:fldCharType="end"/>
      </w:r>
      <w:r>
        <w:rPr>
          <w:rFonts w:asciiTheme="minorHAnsi" w:hAnsiTheme="minorHAnsi" w:cs="Calibri"/>
          <w:lang w:eastAsia="ja-JP"/>
        </w:rPr>
        <w:t xml:space="preserve"> reported findings from the </w:t>
      </w:r>
      <w:proofErr w:type="spellStart"/>
      <w:r>
        <w:rPr>
          <w:rFonts w:asciiTheme="minorHAnsi" w:hAnsiTheme="minorHAnsi" w:cs="Calibri"/>
          <w:lang w:eastAsia="ja-JP"/>
        </w:rPr>
        <w:t>ProPSMA</w:t>
      </w:r>
      <w:proofErr w:type="spellEnd"/>
      <w:r>
        <w:rPr>
          <w:rFonts w:asciiTheme="minorHAnsi" w:hAnsiTheme="minorHAnsi" w:cs="Calibri"/>
          <w:lang w:eastAsia="ja-JP"/>
        </w:rPr>
        <w:t xml:space="preserve"> study, an Australian, </w:t>
      </w:r>
      <w:r>
        <w:t xml:space="preserve">multi-centre, randomised controlled trial assessing the diagnostic accuracy of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 </w:t>
      </w:r>
      <w:r>
        <w:t>PET/CT compared to conventional imaging (CT and bone scan) in first</w:t>
      </w:r>
      <w:r w:rsidR="007A06A3">
        <w:t xml:space="preserve"> </w:t>
      </w:r>
      <w:r>
        <w:t xml:space="preserve">line imaging of patients with high-risk prostate cancer who were </w:t>
      </w:r>
      <w:r>
        <w:rPr>
          <w:shd w:val="clear" w:color="auto" w:fill="FFFFFF"/>
        </w:rPr>
        <w:t xml:space="preserve">being considered for radical prostatectomy or radiotherapy with curative intent. This study demonstrated that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 </w:t>
      </w:r>
      <w:r>
        <w:rPr>
          <w:rStyle w:val="style1"/>
          <w:rFonts w:cstheme="minorHAnsi"/>
          <w:iCs/>
        </w:rPr>
        <w:t>PET/CT had greater accuracy than conventional imaging (92% v</w:t>
      </w:r>
      <w:r w:rsidR="007A06A3">
        <w:rPr>
          <w:rStyle w:val="style1"/>
          <w:rFonts w:cstheme="minorHAnsi"/>
          <w:iCs/>
        </w:rPr>
        <w:t>ersus</w:t>
      </w:r>
      <w:r>
        <w:rPr>
          <w:rStyle w:val="style1"/>
          <w:rFonts w:cstheme="minorHAnsi"/>
          <w:iCs/>
        </w:rPr>
        <w:t xml:space="preserve"> 65%; p</w:t>
      </w:r>
      <w:r w:rsidR="007A06A3">
        <w:rPr>
          <w:rStyle w:val="style1"/>
          <w:rFonts w:cstheme="minorHAnsi"/>
          <w:iCs/>
        </w:rPr>
        <w:t> </w:t>
      </w:r>
      <w:r>
        <w:rPr>
          <w:rStyle w:val="style1"/>
          <w:rFonts w:cstheme="minorHAnsi"/>
          <w:iCs/>
        </w:rPr>
        <w:t>&lt;</w:t>
      </w:r>
      <w:r w:rsidR="007A06A3">
        <w:rPr>
          <w:rStyle w:val="style1"/>
          <w:rFonts w:cstheme="minorHAnsi"/>
          <w:iCs/>
        </w:rPr>
        <w:t> </w:t>
      </w:r>
      <w:r>
        <w:rPr>
          <w:rStyle w:val="style1"/>
          <w:rFonts w:cstheme="minorHAnsi"/>
          <w:iCs/>
        </w:rPr>
        <w:t>0.0001)</w:t>
      </w:r>
      <w:r w:rsidRPr="00070860">
        <w:rPr>
          <w:rStyle w:val="style1"/>
          <w:rFonts w:cstheme="minorHAnsi"/>
          <w:iCs/>
        </w:rPr>
        <w:t xml:space="preserve"> </w:t>
      </w:r>
      <w:r>
        <w:rPr>
          <w:rStyle w:val="style1"/>
          <w:rFonts w:cstheme="minorHAnsi"/>
          <w:iCs/>
        </w:rPr>
        <w:t>in detecting pelvic nodal or distant metastatic disease in first</w:t>
      </w:r>
      <w:r w:rsidR="007A06A3">
        <w:rPr>
          <w:rStyle w:val="style1"/>
          <w:rFonts w:cstheme="minorHAnsi"/>
          <w:iCs/>
        </w:rPr>
        <w:t xml:space="preserve"> </w:t>
      </w:r>
      <w:r>
        <w:rPr>
          <w:rStyle w:val="style1"/>
          <w:rFonts w:cstheme="minorHAnsi"/>
          <w:iCs/>
        </w:rPr>
        <w:t xml:space="preserve">line staging of </w:t>
      </w:r>
      <w:proofErr w:type="gramStart"/>
      <w:r>
        <w:rPr>
          <w:rStyle w:val="style1"/>
          <w:rFonts w:cstheme="minorHAnsi"/>
          <w:iCs/>
        </w:rPr>
        <w:t>high</w:t>
      </w:r>
      <w:r w:rsidR="007A06A3">
        <w:rPr>
          <w:rStyle w:val="style1"/>
          <w:rFonts w:cstheme="minorHAnsi"/>
          <w:iCs/>
        </w:rPr>
        <w:t xml:space="preserve"> </w:t>
      </w:r>
      <w:r>
        <w:rPr>
          <w:rStyle w:val="style1"/>
          <w:rFonts w:cstheme="minorHAnsi"/>
          <w:iCs/>
        </w:rPr>
        <w:t>risk</w:t>
      </w:r>
      <w:proofErr w:type="gramEnd"/>
      <w:r>
        <w:rPr>
          <w:rStyle w:val="style1"/>
          <w:rFonts w:cstheme="minorHAnsi"/>
          <w:iCs/>
        </w:rPr>
        <w:t xml:space="preserve"> prostate cancer. Sensitivity and specificity for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 </w:t>
      </w:r>
      <w:r>
        <w:rPr>
          <w:rStyle w:val="style1"/>
          <w:rFonts w:cstheme="minorHAnsi"/>
          <w:iCs/>
        </w:rPr>
        <w:t xml:space="preserve">PET/CT were 85% and 98%, respectively, compared to 38% and 91% for conventional imaging. </w:t>
      </w:r>
      <w:r>
        <w:rPr>
          <w:lang w:eastAsia="ja-JP"/>
        </w:rPr>
        <w:t>First</w:t>
      </w:r>
      <w:r w:rsidR="00753780">
        <w:rPr>
          <w:lang w:eastAsia="ja-JP"/>
        </w:rPr>
        <w:noBreakHyphen/>
      </w:r>
      <w:r>
        <w:rPr>
          <w:lang w:eastAsia="ja-JP"/>
        </w:rPr>
        <w:t xml:space="preserve">line imaging with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 </w:t>
      </w:r>
      <w:r>
        <w:rPr>
          <w:lang w:eastAsia="ja-JP"/>
        </w:rPr>
        <w:t>PET/CT conferred change in clinical management more frequently than conventional imaging (28% v</w:t>
      </w:r>
      <w:r w:rsidR="00254B21">
        <w:rPr>
          <w:lang w:eastAsia="ja-JP"/>
        </w:rPr>
        <w:t>ersu</w:t>
      </w:r>
      <w:r>
        <w:rPr>
          <w:lang w:eastAsia="ja-JP"/>
        </w:rPr>
        <w:t xml:space="preserve">s 15%), supporting the clinical utility of </w:t>
      </w:r>
      <w:r w:rsidR="00753780">
        <w:rPr>
          <w:rStyle w:val="style1"/>
          <w:rFonts w:cstheme="minorHAnsi"/>
          <w:iCs/>
        </w:rPr>
        <w:t>[</w:t>
      </w:r>
      <w:r w:rsidR="00753780">
        <w:rPr>
          <w:rStyle w:val="style1"/>
          <w:rFonts w:cstheme="minorHAnsi"/>
          <w:iCs/>
          <w:vertAlign w:val="superscript"/>
        </w:rPr>
        <w:t>68</w:t>
      </w:r>
      <w:r w:rsidR="00753780">
        <w:rPr>
          <w:rStyle w:val="style1"/>
          <w:rFonts w:cstheme="minorHAnsi"/>
          <w:iCs/>
        </w:rPr>
        <w:t xml:space="preserve">Ga] </w:t>
      </w:r>
      <w:r w:rsidR="00293AB9">
        <w:rPr>
          <w:rStyle w:val="style1"/>
          <w:rFonts w:cstheme="minorHAnsi"/>
          <w:iCs/>
        </w:rPr>
        <w:t>gallium</w:t>
      </w:r>
      <w:r w:rsidR="00753780">
        <w:rPr>
          <w:rStyle w:val="style1"/>
          <w:rFonts w:cstheme="minorHAnsi"/>
          <w:iCs/>
        </w:rPr>
        <w:t xml:space="preserve"> PSMA-11 </w:t>
      </w:r>
      <w:r>
        <w:t>PET/CT imaging</w:t>
      </w:r>
      <w:r>
        <w:rPr>
          <w:lang w:eastAsia="ja-JP"/>
        </w:rPr>
        <w:t>.</w:t>
      </w:r>
    </w:p>
    <w:p w14:paraId="12EC130B" w14:textId="7CE87798" w:rsidR="003A7852" w:rsidRDefault="003A7852" w:rsidP="003A7852">
      <w:pPr>
        <w:rPr>
          <w:vertAlign w:val="superscript"/>
          <w:lang w:eastAsia="ja-JP"/>
        </w:rPr>
      </w:pPr>
      <w:r>
        <w:rPr>
          <w:lang w:eastAsia="ja-JP"/>
        </w:rPr>
        <w:t xml:space="preserve">The findings reported by </w:t>
      </w:r>
      <w:proofErr w:type="spellStart"/>
      <w:r>
        <w:rPr>
          <w:lang w:eastAsia="ja-JP"/>
        </w:rPr>
        <w:t>Hofman</w:t>
      </w:r>
      <w:proofErr w:type="spellEnd"/>
      <w:r>
        <w:rPr>
          <w:lang w:eastAsia="ja-JP"/>
        </w:rPr>
        <w:t xml:space="preserve"> et al</w:t>
      </w:r>
      <w:r w:rsidR="00DE10A8">
        <w:rPr>
          <w:lang w:eastAsia="ja-JP"/>
        </w:rPr>
        <w:t xml:space="preserve"> (2020)</w:t>
      </w:r>
      <w:r w:rsidR="007A06A3">
        <w:rPr>
          <w:lang w:eastAsia="ja-JP"/>
        </w:rPr>
        <w:t>;</w:t>
      </w:r>
      <w:r w:rsidR="007A06A3">
        <w:rPr>
          <w:lang w:eastAsia="ja-JP"/>
        </w:rPr>
        <w:fldChar w:fldCharType="begin"/>
      </w:r>
      <w:r w:rsidR="007A06A3">
        <w:rPr>
          <w:lang w:eastAsia="ja-JP"/>
        </w:rPr>
        <w:instrText xml:space="preserve"> NOTEREF _Ref104543225 \f \h </w:instrText>
      </w:r>
      <w:r w:rsidR="007A06A3">
        <w:rPr>
          <w:lang w:eastAsia="ja-JP"/>
        </w:rPr>
      </w:r>
      <w:r w:rsidR="007A06A3">
        <w:rPr>
          <w:lang w:eastAsia="ja-JP"/>
        </w:rPr>
        <w:fldChar w:fldCharType="separate"/>
      </w:r>
      <w:r w:rsidR="00036995" w:rsidRPr="00036995">
        <w:rPr>
          <w:rStyle w:val="FootnoteReference"/>
        </w:rPr>
        <w:t>14</w:t>
      </w:r>
      <w:r w:rsidR="007A06A3">
        <w:rPr>
          <w:lang w:eastAsia="ja-JP"/>
        </w:rPr>
        <w:fldChar w:fldCharType="end"/>
      </w:r>
      <w:r>
        <w:rPr>
          <w:lang w:eastAsia="ja-JP"/>
        </w:rPr>
        <w:t xml:space="preserve"> are supported by retrospective studies describing the diagnostic performance of Ga-68 PSMA PET/CT compared to conventional imaging in the staging of pelvic lymph nodes before prostatectomy with histopathology as the standard of reference.</w:t>
      </w:r>
      <w:r>
        <w:rPr>
          <w:rStyle w:val="FootnoteReference"/>
          <w:lang w:eastAsia="ja-JP"/>
        </w:rPr>
        <w:footnoteReference w:id="56"/>
      </w:r>
      <w:r>
        <w:rPr>
          <w:vertAlign w:val="superscript"/>
          <w:lang w:eastAsia="ja-JP"/>
        </w:rPr>
        <w:t>,</w:t>
      </w:r>
      <w:r>
        <w:rPr>
          <w:rStyle w:val="FootnoteReference"/>
          <w:lang w:eastAsia="ja-JP"/>
        </w:rPr>
        <w:footnoteReference w:id="57"/>
      </w:r>
    </w:p>
    <w:p w14:paraId="05A35707" w14:textId="43542BFB" w:rsidR="003A7852" w:rsidRDefault="003A7852" w:rsidP="003A7852">
      <w:r w:rsidRPr="007A06A3">
        <w:rPr>
          <w:lang w:eastAsia="ja-JP"/>
        </w:rPr>
        <w:lastRenderedPageBreak/>
        <w:t xml:space="preserve">The prospective PSMA-BCR study by </w:t>
      </w:r>
      <w:proofErr w:type="spellStart"/>
      <w:r w:rsidRPr="007A06A3">
        <w:rPr>
          <w:lang w:eastAsia="ja-JP"/>
        </w:rPr>
        <w:t>Fendler</w:t>
      </w:r>
      <w:proofErr w:type="spellEnd"/>
      <w:r w:rsidRPr="007A06A3">
        <w:rPr>
          <w:lang w:eastAsia="ja-JP"/>
        </w:rPr>
        <w:t xml:space="preserve"> et al</w:t>
      </w:r>
      <w:r w:rsidR="00254B21">
        <w:rPr>
          <w:lang w:eastAsia="ja-JP"/>
        </w:rPr>
        <w:t>.</w:t>
      </w:r>
      <w:r w:rsidR="00DE10A8">
        <w:rPr>
          <w:lang w:eastAsia="ja-JP"/>
        </w:rPr>
        <w:t xml:space="preserve"> (2019)</w:t>
      </w:r>
      <w:r w:rsidR="007A06A3" w:rsidRPr="007A06A3">
        <w:rPr>
          <w:lang w:eastAsia="ja-JP"/>
        </w:rPr>
        <w:t>;</w:t>
      </w:r>
      <w:r w:rsidR="007A06A3" w:rsidRPr="007A06A3">
        <w:rPr>
          <w:lang w:eastAsia="ja-JP"/>
        </w:rPr>
        <w:fldChar w:fldCharType="begin"/>
      </w:r>
      <w:r w:rsidR="007A06A3" w:rsidRPr="007A06A3">
        <w:rPr>
          <w:lang w:eastAsia="ja-JP"/>
        </w:rPr>
        <w:instrText xml:space="preserve"> NOTEREF _Ref104544486 \f \h  \* MERGEFORMAT </w:instrText>
      </w:r>
      <w:r w:rsidR="007A06A3" w:rsidRPr="007A06A3">
        <w:rPr>
          <w:lang w:eastAsia="ja-JP"/>
        </w:rPr>
      </w:r>
      <w:r w:rsidR="007A06A3" w:rsidRPr="007A06A3">
        <w:rPr>
          <w:lang w:eastAsia="ja-JP"/>
        </w:rPr>
        <w:fldChar w:fldCharType="separate"/>
      </w:r>
      <w:r w:rsidR="00036995" w:rsidRPr="00036995">
        <w:rPr>
          <w:rStyle w:val="FootnoteReference"/>
        </w:rPr>
        <w:t>47</w:t>
      </w:r>
      <w:r w:rsidR="007A06A3" w:rsidRPr="007A06A3">
        <w:rPr>
          <w:lang w:eastAsia="ja-JP"/>
        </w:rPr>
        <w:fldChar w:fldCharType="end"/>
      </w:r>
      <w:r w:rsidRPr="007A06A3">
        <w:rPr>
          <w:lang w:eastAsia="ja-JP"/>
        </w:rPr>
        <w:t xml:space="preserve"> supports the diagnostic efficacy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rsidRPr="007A06A3">
        <w:rPr>
          <w:lang w:eastAsia="ja-JP"/>
        </w:rPr>
        <w:t xml:space="preserve">in patients with </w:t>
      </w:r>
      <w:r w:rsidR="00254B21">
        <w:t>biochemically recurrent prostate cancer</w:t>
      </w:r>
      <w:r w:rsidRPr="007A06A3">
        <w:rPr>
          <w:lang w:eastAsia="ja-JP"/>
        </w:rPr>
        <w:t xml:space="preserve">. </w:t>
      </w:r>
      <w:r w:rsidRPr="007A06A3">
        <w:t>On a per-patient basis, PPV was 0.84 by histopathologic validation (primary endpoint, n = 87) and 0.92 by the composite reference standard (n = 217).</w:t>
      </w:r>
    </w:p>
    <w:p w14:paraId="664E6CB3" w14:textId="77777777" w:rsidR="003A7852" w:rsidRDefault="003A7852" w:rsidP="003A7852">
      <w:pPr>
        <w:pStyle w:val="Heading4"/>
      </w:pPr>
      <w:r>
        <w:t>Safety</w:t>
      </w:r>
    </w:p>
    <w:p w14:paraId="69AD01F7" w14:textId="68EE144A" w:rsidR="003A7852" w:rsidRDefault="003A7852" w:rsidP="003A7852">
      <w:r>
        <w:rPr>
          <w:rFonts w:asciiTheme="minorHAnsi" w:hAnsiTheme="minorHAnsi" w:cs="Segoe UI"/>
          <w:shd w:val="clear" w:color="auto" w:fill="FCFCFC"/>
        </w:rPr>
        <w:t>The</w:t>
      </w:r>
      <w:r w:rsidRPr="006E735B">
        <w:rPr>
          <w:rFonts w:asciiTheme="minorHAnsi" w:hAnsiTheme="minorHAnsi" w:cs="Segoe UI"/>
          <w:shd w:val="clear" w:color="auto" w:fill="FCFCFC"/>
        </w:rPr>
        <w:t xml:space="preserve"> </w:t>
      </w:r>
      <w:r>
        <w:rPr>
          <w:rFonts w:asciiTheme="minorHAnsi" w:hAnsiTheme="minorHAnsi" w:cs="Segoe UI"/>
          <w:shd w:val="clear" w:color="auto" w:fill="FCFCFC"/>
        </w:rPr>
        <w:t xml:space="preserve">safety evaluation included safety data from clinical studies of the </w:t>
      </w:r>
      <w:r w:rsidR="007A06A3">
        <w:rPr>
          <w:rFonts w:asciiTheme="minorHAnsi" w:hAnsiTheme="minorHAnsi" w:cs="Segoe UI"/>
          <w:shd w:val="clear" w:color="auto" w:fill="FCFCFC"/>
        </w:rPr>
        <w:t>s</w:t>
      </w:r>
      <w:r>
        <w:rPr>
          <w:rFonts w:asciiTheme="minorHAnsi" w:hAnsiTheme="minorHAnsi" w:cs="Segoe UI"/>
          <w:shd w:val="clear" w:color="auto" w:fill="FCFCFC"/>
        </w:rPr>
        <w:t xml:space="preserve">ponsor’s product as well as safety data for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rPr>
          <w:rFonts w:asciiTheme="minorHAnsi" w:hAnsiTheme="minorHAnsi" w:cs="Segoe UI"/>
          <w:shd w:val="clear" w:color="auto" w:fill="FCFCFC"/>
        </w:rPr>
        <w:t xml:space="preserve">reported in published literature. The reporting of safety varied substantially across the studies, with much of the safety data derived from retrospective studies which relied on safety data recorded in patients’ clinical records. Many of the published studies did not describe the methodology for </w:t>
      </w:r>
      <w:r w:rsidR="00254B21">
        <w:rPr>
          <w:rFonts w:asciiTheme="minorHAnsi" w:hAnsiTheme="minorHAnsi" w:cs="Segoe UI"/>
          <w:shd w:val="clear" w:color="auto" w:fill="FCFCFC"/>
        </w:rPr>
        <w:t xml:space="preserve">adverse event </w:t>
      </w:r>
      <w:r>
        <w:rPr>
          <w:rFonts w:asciiTheme="minorHAnsi" w:hAnsiTheme="minorHAnsi" w:cs="Segoe UI"/>
          <w:shd w:val="clear" w:color="auto" w:fill="FCFCFC"/>
        </w:rPr>
        <w:t>reporting.</w:t>
      </w:r>
    </w:p>
    <w:p w14:paraId="2D3152FF" w14:textId="47A7B621" w:rsidR="003A7852" w:rsidRDefault="003A7852" w:rsidP="003A7852">
      <w:pPr>
        <w:rPr>
          <w:rFonts w:asciiTheme="minorHAnsi" w:hAnsiTheme="minorHAnsi" w:cs="Calibri"/>
          <w:lang w:eastAsia="ja-JP"/>
        </w:rPr>
      </w:pPr>
      <w:r w:rsidRPr="0004007A">
        <w:rPr>
          <w:rFonts w:asciiTheme="minorHAnsi" w:hAnsiTheme="minorHAnsi" w:cs="Calibri"/>
          <w:lang w:eastAsia="ja-JP"/>
        </w:rPr>
        <w:t xml:space="preserve">Studies BCR-RET-01 and ANMI-PG01-C301 </w:t>
      </w:r>
      <w:r>
        <w:rPr>
          <w:rFonts w:asciiTheme="minorHAnsi" w:hAnsiTheme="minorHAnsi" w:cs="Calibri"/>
          <w:lang w:eastAsia="ja-JP"/>
        </w:rPr>
        <w:t>provide limited safety data</w:t>
      </w:r>
      <w:r w:rsidRPr="0004007A">
        <w:rPr>
          <w:rFonts w:asciiTheme="minorHAnsi" w:hAnsiTheme="minorHAnsi" w:cs="Calibri"/>
          <w:lang w:eastAsia="ja-JP"/>
        </w:rPr>
        <w:t xml:space="preserve"> due to their retrospective design and reliance upon adverse events </w:t>
      </w:r>
      <w:r>
        <w:rPr>
          <w:rFonts w:asciiTheme="minorHAnsi" w:hAnsiTheme="minorHAnsi" w:cs="Calibri"/>
          <w:lang w:eastAsia="ja-JP"/>
        </w:rPr>
        <w:t xml:space="preserve">recorded </w:t>
      </w:r>
      <w:r w:rsidRPr="0004007A">
        <w:rPr>
          <w:rFonts w:asciiTheme="minorHAnsi" w:hAnsiTheme="minorHAnsi" w:cs="Calibri"/>
          <w:lang w:eastAsia="ja-JP"/>
        </w:rPr>
        <w:t xml:space="preserve">in the clinical </w:t>
      </w:r>
      <w:r>
        <w:rPr>
          <w:rFonts w:asciiTheme="minorHAnsi" w:hAnsiTheme="minorHAnsi" w:cs="Calibri"/>
          <w:lang w:eastAsia="ja-JP"/>
        </w:rPr>
        <w:t>notes</w:t>
      </w:r>
      <w:r w:rsidRPr="0004007A">
        <w:rPr>
          <w:rFonts w:asciiTheme="minorHAnsi" w:hAnsiTheme="minorHAnsi" w:cs="Calibri"/>
          <w:lang w:eastAsia="ja-JP"/>
        </w:rPr>
        <w:t>.</w:t>
      </w:r>
      <w:r>
        <w:rPr>
          <w:rFonts w:asciiTheme="minorHAnsi" w:hAnsiTheme="minorHAnsi" w:cs="Calibri"/>
          <w:lang w:eastAsia="ja-JP"/>
        </w:rPr>
        <w:t xml:space="preserve"> No </w:t>
      </w:r>
      <w:r w:rsidR="00254B21">
        <w:rPr>
          <w:rFonts w:asciiTheme="minorHAnsi" w:hAnsiTheme="minorHAnsi" w:cs="Calibri"/>
          <w:lang w:eastAsia="ja-JP"/>
        </w:rPr>
        <w:t xml:space="preserve">adverse events </w:t>
      </w:r>
      <w:r>
        <w:rPr>
          <w:rFonts w:asciiTheme="minorHAnsi" w:hAnsiTheme="minorHAnsi" w:cs="Calibri"/>
          <w:lang w:eastAsia="ja-JP"/>
        </w:rPr>
        <w:t xml:space="preserve">were reported in </w:t>
      </w:r>
      <w:r w:rsidR="007A06A3">
        <w:rPr>
          <w:rFonts w:asciiTheme="minorHAnsi" w:hAnsiTheme="minorHAnsi" w:cs="Calibri"/>
          <w:lang w:eastAsia="ja-JP"/>
        </w:rPr>
        <w:t xml:space="preserve">Study </w:t>
      </w:r>
      <w:r>
        <w:rPr>
          <w:rFonts w:asciiTheme="minorHAnsi" w:hAnsiTheme="minorHAnsi" w:cs="Calibri"/>
          <w:lang w:eastAsia="ja-JP"/>
        </w:rPr>
        <w:t xml:space="preserve">ANMI-PG01-C301. </w:t>
      </w:r>
      <w:r w:rsidR="007A06A3">
        <w:rPr>
          <w:rFonts w:asciiTheme="minorHAnsi" w:hAnsiTheme="minorHAnsi" w:cs="Calibri"/>
          <w:lang w:eastAsia="ja-JP"/>
        </w:rPr>
        <w:t>Two</w:t>
      </w:r>
      <w:r>
        <w:rPr>
          <w:rFonts w:asciiTheme="minorHAnsi" w:hAnsiTheme="minorHAnsi" w:cs="Calibri"/>
          <w:lang w:eastAsia="ja-JP"/>
        </w:rPr>
        <w:t xml:space="preserve"> </w:t>
      </w:r>
      <w:r w:rsidR="00254B21">
        <w:rPr>
          <w:rFonts w:cs="Calibri"/>
          <w:lang w:eastAsia="ja-JP"/>
        </w:rPr>
        <w:t xml:space="preserve">adverse events </w:t>
      </w:r>
      <w:r>
        <w:rPr>
          <w:rFonts w:asciiTheme="minorHAnsi" w:hAnsiTheme="minorHAnsi" w:cs="Calibri"/>
          <w:lang w:eastAsia="ja-JP"/>
        </w:rPr>
        <w:t xml:space="preserve">were reported in </w:t>
      </w:r>
      <w:r w:rsidR="007A06A3">
        <w:rPr>
          <w:rFonts w:asciiTheme="minorHAnsi" w:hAnsiTheme="minorHAnsi" w:cs="Calibri"/>
          <w:lang w:eastAsia="ja-JP"/>
        </w:rPr>
        <w:t>one</w:t>
      </w:r>
      <w:r>
        <w:rPr>
          <w:rFonts w:asciiTheme="minorHAnsi" w:hAnsiTheme="minorHAnsi" w:cs="Calibri"/>
          <w:lang w:eastAsia="ja-JP"/>
        </w:rPr>
        <w:t xml:space="preserve"> patient in </w:t>
      </w:r>
      <w:r w:rsidR="007A06A3">
        <w:rPr>
          <w:rFonts w:asciiTheme="minorHAnsi" w:hAnsiTheme="minorHAnsi" w:cs="Calibri"/>
          <w:lang w:eastAsia="ja-JP"/>
        </w:rPr>
        <w:t xml:space="preserve">Study </w:t>
      </w:r>
      <w:r>
        <w:rPr>
          <w:rFonts w:asciiTheme="minorHAnsi" w:hAnsiTheme="minorHAnsi" w:cs="Calibri"/>
          <w:lang w:eastAsia="ja-JP"/>
        </w:rPr>
        <w:t xml:space="preserve">BCR-RET-01, but both events </w:t>
      </w:r>
      <w:r>
        <w:t xml:space="preserve">occurred 26 days after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 xml:space="preserve">administration and were assessed as unrelated to Ga-68 PSMA-11. </w:t>
      </w:r>
      <w:r>
        <w:rPr>
          <w:rFonts w:asciiTheme="minorHAnsi" w:hAnsiTheme="minorHAnsi" w:cs="Calibri"/>
          <w:lang w:eastAsia="ja-JP"/>
        </w:rPr>
        <w:t xml:space="preserve">The </w:t>
      </w:r>
      <w:r w:rsidR="00254B21">
        <w:rPr>
          <w:rFonts w:cs="Calibri"/>
          <w:lang w:eastAsia="ja-JP"/>
        </w:rPr>
        <w:t xml:space="preserve">adverse event </w:t>
      </w:r>
      <w:r>
        <w:rPr>
          <w:rFonts w:asciiTheme="minorHAnsi" w:hAnsiTheme="minorHAnsi" w:cs="Calibri"/>
          <w:lang w:eastAsia="ja-JP"/>
        </w:rPr>
        <w:t xml:space="preserve">of a minor raise in serum amylase in one of the </w:t>
      </w:r>
      <w:r w:rsidR="007A06A3">
        <w:rPr>
          <w:rFonts w:asciiTheme="minorHAnsi" w:hAnsiTheme="minorHAnsi" w:cs="Calibri"/>
          <w:lang w:eastAsia="ja-JP"/>
        </w:rPr>
        <w:t>three</w:t>
      </w:r>
      <w:r>
        <w:rPr>
          <w:rFonts w:asciiTheme="minorHAnsi" w:hAnsiTheme="minorHAnsi" w:cs="Calibri"/>
          <w:lang w:eastAsia="ja-JP"/>
        </w:rPr>
        <w:t xml:space="preserve"> healthy volunteers in Study Ga68PSMA-2016 was considered plausibly related to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rPr>
          <w:rFonts w:asciiTheme="minorHAnsi" w:hAnsiTheme="minorHAnsi" w:cs="Calibri"/>
          <w:lang w:eastAsia="ja-JP"/>
        </w:rPr>
        <w:t>administration.</w:t>
      </w:r>
    </w:p>
    <w:p w14:paraId="5849DA8D" w14:textId="779824D7" w:rsidR="003A7852" w:rsidRDefault="003A7852" w:rsidP="003A7852">
      <w:pPr>
        <w:rPr>
          <w:rFonts w:asciiTheme="minorHAnsi" w:hAnsiTheme="minorHAnsi" w:cs="Calibri"/>
          <w:lang w:eastAsia="ja-JP"/>
        </w:rPr>
      </w:pPr>
      <w:r>
        <w:rPr>
          <w:rFonts w:asciiTheme="minorHAnsi" w:hAnsiTheme="minorHAnsi" w:cs="Calibri"/>
          <w:lang w:eastAsia="ja-JP"/>
        </w:rPr>
        <w:t xml:space="preserve">Study PSMA-617-01 reported safety data for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rPr>
          <w:rFonts w:asciiTheme="minorHAnsi" w:hAnsiTheme="minorHAnsi" w:cs="Calibri"/>
          <w:lang w:eastAsia="ja-JP"/>
        </w:rPr>
        <w:t xml:space="preserve">prepared using the </w:t>
      </w:r>
      <w:proofErr w:type="spellStart"/>
      <w:r>
        <w:rPr>
          <w:rFonts w:asciiTheme="minorHAnsi" w:hAnsiTheme="minorHAnsi" w:cs="Calibri"/>
          <w:lang w:eastAsia="ja-JP"/>
        </w:rPr>
        <w:t>Telix</w:t>
      </w:r>
      <w:proofErr w:type="spellEnd"/>
      <w:r>
        <w:rPr>
          <w:rFonts w:asciiTheme="minorHAnsi" w:hAnsiTheme="minorHAnsi" w:cs="Calibri"/>
          <w:lang w:eastAsia="ja-JP"/>
        </w:rPr>
        <w:t xml:space="preserve"> kit and administered to patients with progressive, metastatic </w:t>
      </w:r>
      <w:r w:rsidR="007A06A3">
        <w:rPr>
          <w:rFonts w:asciiTheme="minorHAnsi" w:hAnsiTheme="minorHAnsi" w:cs="Calibri"/>
          <w:lang w:eastAsia="ja-JP"/>
        </w:rPr>
        <w:t>c</w:t>
      </w:r>
      <w:r w:rsidR="007A06A3" w:rsidRPr="007A06A3">
        <w:rPr>
          <w:rFonts w:asciiTheme="minorHAnsi" w:hAnsiTheme="minorHAnsi" w:cs="Calibri"/>
          <w:lang w:eastAsia="ja-JP"/>
        </w:rPr>
        <w:t>astration</w:t>
      </w:r>
      <w:r w:rsidR="007A06A3">
        <w:rPr>
          <w:rFonts w:asciiTheme="minorHAnsi" w:hAnsiTheme="minorHAnsi" w:cs="Calibri"/>
          <w:lang w:eastAsia="ja-JP"/>
        </w:rPr>
        <w:t xml:space="preserve"> </w:t>
      </w:r>
      <w:r w:rsidR="007A06A3" w:rsidRPr="007A06A3">
        <w:rPr>
          <w:rFonts w:asciiTheme="minorHAnsi" w:hAnsiTheme="minorHAnsi" w:cs="Calibri"/>
          <w:lang w:eastAsia="ja-JP"/>
        </w:rPr>
        <w:t>resistant prostate cancer</w:t>
      </w:r>
      <w:r>
        <w:rPr>
          <w:rFonts w:asciiTheme="minorHAnsi" w:hAnsiTheme="minorHAnsi" w:cs="Calibri"/>
          <w:lang w:eastAsia="ja-JP"/>
        </w:rPr>
        <w:t xml:space="preserve">. </w:t>
      </w:r>
      <w:r>
        <w:rPr>
          <w:rFonts w:cs="Calibri"/>
        </w:rPr>
        <w:t xml:space="preserve">109 </w:t>
      </w:r>
      <w:r w:rsidR="00254B21">
        <w:rPr>
          <w:rFonts w:cs="Calibri"/>
          <w:lang w:eastAsia="ja-JP"/>
        </w:rPr>
        <w:t xml:space="preserve">adverse events </w:t>
      </w:r>
      <w:r>
        <w:rPr>
          <w:rFonts w:cs="Calibri"/>
        </w:rPr>
        <w:t xml:space="preserve">were reported in 48 </w:t>
      </w:r>
      <w:r w:rsidRPr="00683BB5">
        <w:rPr>
          <w:rFonts w:cs="Calibri"/>
        </w:rPr>
        <w:t>participants</w:t>
      </w:r>
      <w:r>
        <w:rPr>
          <w:rFonts w:cs="Calibri"/>
        </w:rPr>
        <w:t xml:space="preserve">, but there was only </w:t>
      </w:r>
      <w:r w:rsidR="007A06A3">
        <w:rPr>
          <w:rFonts w:cs="Calibri"/>
        </w:rPr>
        <w:t>one</w:t>
      </w:r>
      <w:r w:rsidRPr="007C5680">
        <w:rPr>
          <w:rFonts w:cs="Calibri"/>
        </w:rPr>
        <w:t xml:space="preserve"> </w:t>
      </w:r>
      <w:r>
        <w:rPr>
          <w:rFonts w:cs="Calibri"/>
        </w:rPr>
        <w:t>treatment</w:t>
      </w:r>
      <w:r w:rsidR="007A06A3">
        <w:rPr>
          <w:rFonts w:cs="Calibri"/>
        </w:rPr>
        <w:t xml:space="preserve"> </w:t>
      </w:r>
      <w:r>
        <w:rPr>
          <w:rFonts w:cs="Calibri"/>
        </w:rPr>
        <w:t xml:space="preserve">related </w:t>
      </w:r>
      <w:r w:rsidR="00254B21">
        <w:rPr>
          <w:rFonts w:cs="Calibri"/>
          <w:lang w:eastAsia="ja-JP"/>
        </w:rPr>
        <w:t xml:space="preserve">adverse event </w:t>
      </w:r>
      <w:r>
        <w:rPr>
          <w:rFonts w:cs="Calibri"/>
        </w:rPr>
        <w:t xml:space="preserve">reported within the </w:t>
      </w:r>
      <w:proofErr w:type="gramStart"/>
      <w:r w:rsidR="007A06A3">
        <w:rPr>
          <w:rFonts w:cs="Calibri"/>
        </w:rPr>
        <w:t xml:space="preserve">six </w:t>
      </w:r>
      <w:r>
        <w:rPr>
          <w:rFonts w:cs="Calibri"/>
        </w:rPr>
        <w:t>day</w:t>
      </w:r>
      <w:proofErr w:type="gramEnd"/>
      <w:r>
        <w:rPr>
          <w:rFonts w:cs="Calibri"/>
        </w:rPr>
        <w:t xml:space="preserve"> window post-administration (injection site warmth, mild).</w:t>
      </w:r>
    </w:p>
    <w:p w14:paraId="24522BDD" w14:textId="0E3848FF" w:rsidR="003A7852" w:rsidRDefault="003A7852" w:rsidP="003A7852">
      <w:r w:rsidRPr="007C5680">
        <w:rPr>
          <w:rFonts w:asciiTheme="minorHAnsi" w:hAnsiTheme="minorHAnsi"/>
        </w:rPr>
        <w:t>Nielsen et al</w:t>
      </w:r>
      <w:r w:rsidR="00674389">
        <w:rPr>
          <w:rFonts w:asciiTheme="minorHAnsi" w:hAnsiTheme="minorHAnsi"/>
        </w:rPr>
        <w:t>.</w:t>
      </w:r>
      <w:r w:rsidRPr="007C5680">
        <w:rPr>
          <w:rFonts w:asciiTheme="minorHAnsi" w:hAnsiTheme="minorHAnsi"/>
        </w:rPr>
        <w:t xml:space="preserve"> </w:t>
      </w:r>
      <w:r w:rsidR="00DE10A8">
        <w:rPr>
          <w:rFonts w:asciiTheme="minorHAnsi" w:hAnsiTheme="minorHAnsi"/>
        </w:rPr>
        <w:t>(</w:t>
      </w:r>
      <w:r w:rsidRPr="007C5680">
        <w:rPr>
          <w:rFonts w:asciiTheme="minorHAnsi" w:hAnsiTheme="minorHAnsi"/>
        </w:rPr>
        <w:t>2017</w:t>
      </w:r>
      <w:r w:rsidR="00DE10A8">
        <w:rPr>
          <w:rFonts w:asciiTheme="minorHAnsi" w:hAnsiTheme="minorHAnsi"/>
        </w:rPr>
        <w:t>)</w:t>
      </w:r>
      <w:r w:rsidR="007A06A3">
        <w:rPr>
          <w:rFonts w:asciiTheme="minorHAnsi" w:hAnsiTheme="minorHAnsi"/>
        </w:rPr>
        <w:t>;</w:t>
      </w:r>
      <w:r w:rsidR="007A06A3">
        <w:rPr>
          <w:rFonts w:asciiTheme="minorHAnsi" w:hAnsiTheme="minorHAnsi"/>
        </w:rPr>
        <w:fldChar w:fldCharType="begin"/>
      </w:r>
      <w:r w:rsidR="007A06A3">
        <w:rPr>
          <w:rFonts w:asciiTheme="minorHAnsi" w:hAnsiTheme="minorHAnsi"/>
        </w:rPr>
        <w:instrText xml:space="preserve"> NOTEREF _Ref104543414 \f \h </w:instrText>
      </w:r>
      <w:r w:rsidR="007A06A3">
        <w:rPr>
          <w:rFonts w:asciiTheme="minorHAnsi" w:hAnsiTheme="minorHAnsi"/>
        </w:rPr>
      </w:r>
      <w:r w:rsidR="007A06A3">
        <w:rPr>
          <w:rFonts w:asciiTheme="minorHAnsi" w:hAnsiTheme="minorHAnsi"/>
        </w:rPr>
        <w:fldChar w:fldCharType="separate"/>
      </w:r>
      <w:r w:rsidR="00036995" w:rsidRPr="00036995">
        <w:rPr>
          <w:rStyle w:val="FootnoteReference"/>
        </w:rPr>
        <w:t>51</w:t>
      </w:r>
      <w:r w:rsidR="007A06A3">
        <w:rPr>
          <w:rFonts w:asciiTheme="minorHAnsi" w:hAnsiTheme="minorHAnsi"/>
        </w:rPr>
        <w:fldChar w:fldCharType="end"/>
      </w:r>
      <w:r w:rsidRPr="001271F8">
        <w:rPr>
          <w:rFonts w:asciiTheme="minorHAnsi" w:hAnsiTheme="minorHAnsi"/>
          <w:b/>
        </w:rPr>
        <w:t xml:space="preserve"> </w:t>
      </w:r>
      <w:r>
        <w:rPr>
          <w:rFonts w:asciiTheme="minorHAnsi" w:hAnsiTheme="minorHAnsi"/>
        </w:rPr>
        <w:t xml:space="preserve">reported </w:t>
      </w:r>
      <w:r>
        <w:t xml:space="preserve">the clinical safety profile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based on safety data from two prospective clinical trials in which the Danish Medicines Agency had mandated detailed safety monitoring and reporting using standardised criteria. 88</w:t>
      </w:r>
      <w:r w:rsidR="00254B21">
        <w:t> </w:t>
      </w:r>
      <w:r>
        <w:t xml:space="preserve">patients were included in the analysis, 18 </w:t>
      </w:r>
      <w:r w:rsidR="00674389">
        <w:t xml:space="preserve">patients </w:t>
      </w:r>
      <w:r>
        <w:t xml:space="preserve">with prostate cancer for staging and 78 </w:t>
      </w:r>
      <w:r w:rsidR="00674389">
        <w:t xml:space="preserve">patients </w:t>
      </w:r>
      <w:r>
        <w:t xml:space="preserve">with recurrent prostate cancer. No </w:t>
      </w:r>
      <w:r w:rsidR="00254B21">
        <w:rPr>
          <w:rFonts w:cs="Calibri"/>
          <w:lang w:eastAsia="ja-JP"/>
        </w:rPr>
        <w:t xml:space="preserve">adverse events </w:t>
      </w:r>
      <w:r>
        <w:t xml:space="preserve">were reported in any patients from the time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 xml:space="preserve">injection until the end of the day of the PET/CT, and no patients spontaneously reported any late </w:t>
      </w:r>
      <w:r w:rsidR="00254B21">
        <w:rPr>
          <w:rFonts w:cs="Calibri"/>
          <w:lang w:eastAsia="ja-JP"/>
        </w:rPr>
        <w:t>adverse events</w:t>
      </w:r>
      <w:r>
        <w:t>.</w:t>
      </w:r>
    </w:p>
    <w:p w14:paraId="7F69928D" w14:textId="79FDFBB4" w:rsidR="003A7852" w:rsidRDefault="003A7852" w:rsidP="003A7852">
      <w:pPr>
        <w:rPr>
          <w:i/>
          <w:color w:val="0070B5" w:themeColor="accent1" w:themeTint="BF"/>
        </w:rPr>
      </w:pPr>
      <w:r>
        <w:rPr>
          <w:lang w:val="en-US"/>
        </w:rPr>
        <w:t xml:space="preserve">In the prospective PSMA-BCR study reported by </w:t>
      </w:r>
      <w:proofErr w:type="spellStart"/>
      <w:r>
        <w:rPr>
          <w:lang w:val="en-US"/>
        </w:rPr>
        <w:t>Fendler</w:t>
      </w:r>
      <w:proofErr w:type="spellEnd"/>
      <w:r>
        <w:rPr>
          <w:lang w:val="en-US"/>
        </w:rPr>
        <w:t xml:space="preserve"> et al</w:t>
      </w:r>
      <w:r w:rsidR="00674389">
        <w:rPr>
          <w:lang w:val="en-US"/>
        </w:rPr>
        <w:t>.</w:t>
      </w:r>
      <w:r w:rsidR="00DE10A8">
        <w:rPr>
          <w:lang w:val="en-US"/>
        </w:rPr>
        <w:t xml:space="preserve"> (2017)</w:t>
      </w:r>
      <w:r w:rsidR="007A06A3">
        <w:rPr>
          <w:lang w:val="en-US"/>
        </w:rPr>
        <w:t>;</w:t>
      </w:r>
      <w:r w:rsidR="007A06A3">
        <w:rPr>
          <w:lang w:val="en-US"/>
        </w:rPr>
        <w:fldChar w:fldCharType="begin"/>
      </w:r>
      <w:r w:rsidR="007A06A3">
        <w:rPr>
          <w:lang w:val="en-US"/>
        </w:rPr>
        <w:instrText xml:space="preserve"> NOTEREF _Ref104544752 \f \h </w:instrText>
      </w:r>
      <w:r w:rsidR="007A06A3">
        <w:rPr>
          <w:lang w:val="en-US"/>
        </w:rPr>
      </w:r>
      <w:r w:rsidR="007A06A3">
        <w:rPr>
          <w:lang w:val="en-US"/>
        </w:rPr>
        <w:fldChar w:fldCharType="separate"/>
      </w:r>
      <w:r w:rsidR="00036995" w:rsidRPr="00036995">
        <w:rPr>
          <w:rStyle w:val="FootnoteReference"/>
        </w:rPr>
        <w:t>41</w:t>
      </w:r>
      <w:r w:rsidR="007A06A3">
        <w:rPr>
          <w:lang w:val="en-US"/>
        </w:rPr>
        <w:fldChar w:fldCharType="end"/>
      </w:r>
      <w:r w:rsidR="007A06A3">
        <w:rPr>
          <w:lang w:val="en-US"/>
        </w:rPr>
        <w:t>,</w:t>
      </w:r>
      <w:r>
        <w:rPr>
          <w:lang w:val="en-US"/>
        </w:rPr>
        <w:t xml:space="preserve"> </w:t>
      </w:r>
      <w:r w:rsidRPr="007C24C5">
        <w:rPr>
          <w:lang w:val="en-US"/>
        </w:rPr>
        <w:t xml:space="preserve">635 patients with </w:t>
      </w:r>
      <w:r w:rsidR="00254B21">
        <w:t>biochemically recurrent prostate cancer</w:t>
      </w:r>
      <w:r w:rsidRPr="007C24C5">
        <w:rPr>
          <w:lang w:val="en-US"/>
        </w:rPr>
        <w:t xml:space="preserve">post-prostatectomy received a </w:t>
      </w:r>
      <w:r>
        <w:rPr>
          <w:lang w:val="en-US"/>
        </w:rPr>
        <w:t xml:space="preserve">single </w:t>
      </w:r>
      <w:r w:rsidRPr="007C24C5">
        <w:rPr>
          <w:lang w:val="en-US"/>
        </w:rPr>
        <w:t xml:space="preserve">dose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rPr>
          <w:lang w:val="en-US"/>
        </w:rPr>
        <w:t xml:space="preserve">of 189 ±40 MBq (mean </w:t>
      </w:r>
      <w:r w:rsidRPr="007C24C5">
        <w:rPr>
          <w:lang w:val="en-US"/>
        </w:rPr>
        <w:t xml:space="preserve">± </w:t>
      </w:r>
      <w:r w:rsidR="00674389">
        <w:rPr>
          <w:lang w:val="en-US"/>
        </w:rPr>
        <w:t>standard deviation</w:t>
      </w:r>
      <w:r>
        <w:rPr>
          <w:lang w:val="en-US"/>
        </w:rPr>
        <w:t xml:space="preserve">) together with 20 mg of </w:t>
      </w:r>
      <w:r w:rsidR="00674389">
        <w:rPr>
          <w:lang w:val="en-US"/>
        </w:rPr>
        <w:t>fur</w:t>
      </w:r>
      <w:r w:rsidR="00674389" w:rsidRPr="007C24C5">
        <w:rPr>
          <w:lang w:val="en-US"/>
        </w:rPr>
        <w:t>osemide</w:t>
      </w:r>
      <w:r>
        <w:rPr>
          <w:lang w:val="en-US"/>
        </w:rPr>
        <w:t xml:space="preserve">. </w:t>
      </w:r>
      <w:r>
        <w:t>15</w:t>
      </w:r>
      <w:r w:rsidR="00254B21">
        <w:t> </w:t>
      </w:r>
      <w:r>
        <w:t xml:space="preserve">(2.3%) patients reported Grade 1 </w:t>
      </w:r>
      <w:r w:rsidR="00254B21">
        <w:rPr>
          <w:rFonts w:cs="Calibri"/>
          <w:lang w:eastAsia="ja-JP"/>
        </w:rPr>
        <w:t>adverse events</w:t>
      </w:r>
      <w:r>
        <w:t xml:space="preserve">. Diarrhoea was reported in </w:t>
      </w:r>
      <w:r w:rsidR="007A06A3">
        <w:t>three</w:t>
      </w:r>
      <w:r>
        <w:t xml:space="preserve"> patients, and nausea and headache were reported in </w:t>
      </w:r>
      <w:r w:rsidR="007A06A3">
        <w:t>two</w:t>
      </w:r>
      <w:r>
        <w:t xml:space="preserve"> patients. No Grade 2 or higher </w:t>
      </w:r>
      <w:r w:rsidR="00254B21">
        <w:rPr>
          <w:rFonts w:cs="Calibri"/>
          <w:lang w:eastAsia="ja-JP"/>
        </w:rPr>
        <w:t xml:space="preserve">adverse events </w:t>
      </w:r>
      <w:r>
        <w:t>were reported.</w:t>
      </w:r>
    </w:p>
    <w:p w14:paraId="10282030" w14:textId="789A127A" w:rsidR="003A7852" w:rsidRDefault="00674389" w:rsidP="003A7852">
      <w:pPr>
        <w:rPr>
          <w:lang w:eastAsia="ja-JP"/>
        </w:rPr>
      </w:pP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3A7852">
        <w:rPr>
          <w:lang w:eastAsia="ja-JP"/>
        </w:rPr>
        <w:t>PET/CT involves radiation exposure which would contribute to a patient’s overall long</w:t>
      </w:r>
      <w:r w:rsidR="007A06A3">
        <w:rPr>
          <w:lang w:eastAsia="ja-JP"/>
        </w:rPr>
        <w:t xml:space="preserve"> </w:t>
      </w:r>
      <w:r w:rsidR="003A7852">
        <w:rPr>
          <w:lang w:eastAsia="ja-JP"/>
        </w:rPr>
        <w:t xml:space="preserve">term cumulative radiation exposure. </w:t>
      </w:r>
      <w:proofErr w:type="spellStart"/>
      <w:r w:rsidR="003A7852">
        <w:rPr>
          <w:lang w:eastAsia="ja-JP"/>
        </w:rPr>
        <w:t>Hofman</w:t>
      </w:r>
      <w:proofErr w:type="spellEnd"/>
      <w:r w:rsidR="003A7852">
        <w:rPr>
          <w:lang w:eastAsia="ja-JP"/>
        </w:rPr>
        <w:t xml:space="preserve"> et al</w:t>
      </w:r>
      <w:r w:rsidR="00254B21">
        <w:rPr>
          <w:lang w:eastAsia="ja-JP"/>
        </w:rPr>
        <w:t>.</w:t>
      </w:r>
      <w:r w:rsidR="00DE10A8">
        <w:rPr>
          <w:lang w:eastAsia="ja-JP"/>
        </w:rPr>
        <w:t xml:space="preserve"> (2020)</w:t>
      </w:r>
      <w:r w:rsidR="00EA20C3">
        <w:rPr>
          <w:lang w:eastAsia="ja-JP"/>
        </w:rPr>
        <w:t>;</w:t>
      </w:r>
      <w:r w:rsidR="00EA20C3">
        <w:rPr>
          <w:lang w:eastAsia="ja-JP"/>
        </w:rPr>
        <w:fldChar w:fldCharType="begin"/>
      </w:r>
      <w:r w:rsidR="00EA20C3">
        <w:rPr>
          <w:lang w:eastAsia="ja-JP"/>
        </w:rPr>
        <w:instrText xml:space="preserve"> NOTEREF _Ref104543225 \f \h </w:instrText>
      </w:r>
      <w:r w:rsidR="00EA20C3">
        <w:rPr>
          <w:lang w:eastAsia="ja-JP"/>
        </w:rPr>
      </w:r>
      <w:r w:rsidR="00EA20C3">
        <w:rPr>
          <w:lang w:eastAsia="ja-JP"/>
        </w:rPr>
        <w:fldChar w:fldCharType="separate"/>
      </w:r>
      <w:r w:rsidR="00036995" w:rsidRPr="00036995">
        <w:rPr>
          <w:rStyle w:val="FootnoteReference"/>
        </w:rPr>
        <w:t>14</w:t>
      </w:r>
      <w:r w:rsidR="00EA20C3">
        <w:rPr>
          <w:lang w:eastAsia="ja-JP"/>
        </w:rPr>
        <w:fldChar w:fldCharType="end"/>
      </w:r>
      <w:r w:rsidR="003A7852">
        <w:rPr>
          <w:lang w:eastAsia="ja-JP"/>
        </w:rPr>
        <w:t xml:space="preserve"> reported that radiation exposure from </w:t>
      </w: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3A7852">
        <w:rPr>
          <w:lang w:eastAsia="ja-JP"/>
        </w:rPr>
        <w:t xml:space="preserve">PET/CT was less than half that of conventional imaging. </w:t>
      </w:r>
      <w:r>
        <w:rPr>
          <w:rStyle w:val="style1"/>
          <w:rFonts w:cstheme="minorHAnsi"/>
          <w:iCs/>
        </w:rPr>
        <w:t>[</w:t>
      </w:r>
      <w:r>
        <w:rPr>
          <w:rStyle w:val="style1"/>
          <w:rFonts w:cstheme="minorHAnsi"/>
          <w:iCs/>
          <w:vertAlign w:val="superscript"/>
        </w:rPr>
        <w:t>68</w:t>
      </w:r>
      <w:r>
        <w:rPr>
          <w:rStyle w:val="style1"/>
          <w:rFonts w:cstheme="minorHAnsi"/>
          <w:iCs/>
        </w:rPr>
        <w:t xml:space="preserve">Ga] </w:t>
      </w:r>
      <w:r w:rsidR="00293AB9">
        <w:rPr>
          <w:rStyle w:val="style1"/>
          <w:rFonts w:cstheme="minorHAnsi"/>
          <w:iCs/>
        </w:rPr>
        <w:t>gallium</w:t>
      </w:r>
      <w:r>
        <w:rPr>
          <w:rStyle w:val="style1"/>
          <w:rFonts w:cstheme="minorHAnsi"/>
          <w:iCs/>
        </w:rPr>
        <w:t xml:space="preserve"> PSMA-11 </w:t>
      </w:r>
      <w:r w:rsidR="003A7852">
        <w:rPr>
          <w:lang w:eastAsia="ja-JP"/>
        </w:rPr>
        <w:t>PET/CT is performed under the professional supervision of clinical experts in nuclear medicine imaging. Radiation dosimetry and radiation risk are adequately addressed in the proposed Product Information.</w:t>
      </w:r>
    </w:p>
    <w:p w14:paraId="6E6799BE" w14:textId="7EED55E6" w:rsidR="003A7852" w:rsidRDefault="003A7852" w:rsidP="003A7852">
      <w:pPr>
        <w:rPr>
          <w:lang w:eastAsia="ja-JP"/>
        </w:rPr>
      </w:pPr>
      <w:r>
        <w:rPr>
          <w:lang w:eastAsia="ja-JP"/>
        </w:rPr>
        <w:t xml:space="preserve">There are limitations in the safety dataset, but given the nature of the proposed product, which is administered as a </w:t>
      </w:r>
      <w:proofErr w:type="spellStart"/>
      <w:r>
        <w:rPr>
          <w:lang w:eastAsia="ja-JP"/>
        </w:rPr>
        <w:t>microdose</w:t>
      </w:r>
      <w:proofErr w:type="spellEnd"/>
      <w:r>
        <w:rPr>
          <w:lang w:eastAsia="ja-JP"/>
        </w:rPr>
        <w:t xml:space="preserve"> for single-episode PET/CT imaging, </w:t>
      </w:r>
      <w:r w:rsidR="00EA20C3">
        <w:rPr>
          <w:lang w:eastAsia="ja-JP"/>
        </w:rPr>
        <w:t>the Delegate is</w:t>
      </w:r>
      <w:r>
        <w:rPr>
          <w:lang w:eastAsia="ja-JP"/>
        </w:rPr>
        <w:t xml:space="preserve"> satisfied that the clinical safety of the </w:t>
      </w:r>
      <w:proofErr w:type="spellStart"/>
      <w:r>
        <w:rPr>
          <w:lang w:eastAsia="ja-JP"/>
        </w:rPr>
        <w:t>I</w:t>
      </w:r>
      <w:r w:rsidR="00EA20C3">
        <w:rPr>
          <w:lang w:eastAsia="ja-JP"/>
        </w:rPr>
        <w:t>lluccix</w:t>
      </w:r>
      <w:proofErr w:type="spellEnd"/>
      <w:r w:rsidR="00EA20C3">
        <w:rPr>
          <w:lang w:eastAsia="ja-JP"/>
        </w:rPr>
        <w:t xml:space="preserve"> </w:t>
      </w:r>
      <w:r>
        <w:rPr>
          <w:lang w:eastAsia="ja-JP"/>
        </w:rPr>
        <w:t>kit for radiopharmaceutical preparation is acceptable.</w:t>
      </w:r>
    </w:p>
    <w:p w14:paraId="1781F2BB" w14:textId="77777777" w:rsidR="003A7852" w:rsidRDefault="003A7852" w:rsidP="003A7852">
      <w:pPr>
        <w:pStyle w:val="Heading4"/>
        <w:rPr>
          <w:lang w:eastAsia="ja-JP"/>
        </w:rPr>
      </w:pPr>
      <w:r>
        <w:rPr>
          <w:lang w:eastAsia="ja-JP"/>
        </w:rPr>
        <w:lastRenderedPageBreak/>
        <w:t>Deficiencies and limitations of the data</w:t>
      </w:r>
    </w:p>
    <w:p w14:paraId="6F49A834" w14:textId="038E3F55" w:rsidR="003A7852" w:rsidRDefault="003A7852" w:rsidP="003A7852">
      <w:r>
        <w:t xml:space="preserve">The main efficacy study, </w:t>
      </w:r>
      <w:r w:rsidR="00EA20C3">
        <w:t xml:space="preserve">Study </w:t>
      </w:r>
      <w:r>
        <w:t xml:space="preserve">BCR-RET-01, was a retrospective analysis which relied on conventional imaging as the reference standard for </w:t>
      </w:r>
      <w:proofErr w:type="gramStart"/>
      <w:r>
        <w:t>the majority of</w:t>
      </w:r>
      <w:proofErr w:type="gramEnd"/>
      <w:r>
        <w:t xml:space="preserve"> patients. Only 57</w:t>
      </w:r>
      <w:r w:rsidR="0016401D">
        <w:t> </w:t>
      </w:r>
      <w:r>
        <w:t xml:space="preserve">(13.5%) patients in the </w:t>
      </w:r>
      <w:r w:rsidR="00EA20C3">
        <w:t>f</w:t>
      </w:r>
      <w:r>
        <w:t xml:space="preserve">ull </w:t>
      </w:r>
      <w:r w:rsidR="00EA20C3">
        <w:t>a</w:t>
      </w:r>
      <w:r>
        <w:t xml:space="preserve">nalysis </w:t>
      </w:r>
      <w:r w:rsidR="00EA20C3">
        <w:t>s</w:t>
      </w:r>
      <w:r>
        <w:t>et had histopathology reference data, and 74</w:t>
      </w:r>
      <w:r w:rsidR="0016401D">
        <w:t> </w:t>
      </w:r>
      <w:r>
        <w:t xml:space="preserve">(17.5%) had no reference standard data. The reliance on conventional imaging as a reference standard is likely to have impacted on the assessment of the diagnostic efficacy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PET/CT due to the limitations in conventional imaging in detecting prostate cancer in lymph nodes and distant sites.</w:t>
      </w:r>
    </w:p>
    <w:p w14:paraId="77C6BC89" w14:textId="0981035D" w:rsidR="003A7852" w:rsidRDefault="00EA20C3" w:rsidP="003A7852">
      <w:pPr>
        <w:rPr>
          <w:lang w:eastAsia="ja-JP"/>
        </w:rPr>
      </w:pPr>
      <w:r w:rsidRPr="00EA20C3">
        <w:t>Correct detection rate</w:t>
      </w:r>
      <w:r w:rsidR="003A7852">
        <w:t xml:space="preserve"> and </w:t>
      </w:r>
      <w:r w:rsidR="0016401D">
        <w:rPr>
          <w:iCs/>
          <w:lang w:eastAsia="ja-JP"/>
        </w:rPr>
        <w:t>verified localisation rate</w:t>
      </w:r>
      <w:r w:rsidR="00674389">
        <w:t xml:space="preserve"> </w:t>
      </w:r>
      <w:r w:rsidR="003A7852">
        <w:t>are novel endpoints, and t</w:t>
      </w:r>
      <w:r w:rsidR="003A7852">
        <w:rPr>
          <w:lang w:eastAsia="ja-JP"/>
        </w:rPr>
        <w:t>he clinical relevance of the pre-defined thresholds of success has not been validated.</w:t>
      </w:r>
    </w:p>
    <w:p w14:paraId="1E3BD878" w14:textId="356AC6C7" w:rsidR="003A7852" w:rsidRDefault="003A7852" w:rsidP="003A7852">
      <w:pPr>
        <w:rPr>
          <w:lang w:eastAsia="ja-JP"/>
        </w:rPr>
      </w:pPr>
      <w:r>
        <w:rPr>
          <w:lang w:eastAsia="ja-JP"/>
        </w:rPr>
        <w:t xml:space="preserve">There are no data demonstrating the impact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rPr>
          <w:lang w:eastAsia="ja-JP"/>
        </w:rPr>
        <w:t>PET/CT imaging on clinical</w:t>
      </w:r>
      <w:r w:rsidRPr="005D4E62">
        <w:rPr>
          <w:lang w:eastAsia="ja-JP"/>
        </w:rPr>
        <w:t xml:space="preserve"> </w:t>
      </w:r>
      <w:r>
        <w:rPr>
          <w:lang w:eastAsia="ja-JP"/>
        </w:rPr>
        <w:t>outcomes, such as overall survival.</w:t>
      </w:r>
    </w:p>
    <w:p w14:paraId="78EC4171" w14:textId="77777777" w:rsidR="003A7852" w:rsidRPr="008F0331" w:rsidRDefault="003A7852" w:rsidP="003A7852">
      <w:pPr>
        <w:pStyle w:val="Heading4"/>
      </w:pPr>
      <w:bookmarkStart w:id="98" w:name="_Ref79132901"/>
      <w:r w:rsidRPr="008F0331">
        <w:t>Proposed Indication</w:t>
      </w:r>
      <w:bookmarkEnd w:id="98"/>
    </w:p>
    <w:p w14:paraId="1A9781B1" w14:textId="77777777" w:rsidR="003A7852" w:rsidRPr="00167CAC" w:rsidRDefault="003A7852" w:rsidP="003A7852">
      <w:r w:rsidRPr="00167CAC">
        <w:t>The initially</w:t>
      </w:r>
      <w:r>
        <w:t xml:space="preserve"> </w:t>
      </w:r>
      <w:r w:rsidRPr="00167CAC">
        <w:t xml:space="preserve">proposed indication </w:t>
      </w:r>
      <w:r>
        <w:t>wa</w:t>
      </w:r>
      <w:r w:rsidRPr="00167CAC">
        <w:t>s:</w:t>
      </w:r>
    </w:p>
    <w:p w14:paraId="41571DAC" w14:textId="0870902D" w:rsidR="003A7852" w:rsidRPr="00EA20C3" w:rsidRDefault="003A7852" w:rsidP="004F7DDA">
      <w:pPr>
        <w:ind w:left="720"/>
        <w:rPr>
          <w:i/>
          <w:iCs/>
        </w:rPr>
      </w:pPr>
      <w:proofErr w:type="spellStart"/>
      <w:r w:rsidRPr="00EA20C3">
        <w:rPr>
          <w:i/>
          <w:iCs/>
        </w:rPr>
        <w:t>I</w:t>
      </w:r>
      <w:r w:rsidR="00EA20C3" w:rsidRPr="00EA20C3">
        <w:rPr>
          <w:i/>
          <w:iCs/>
        </w:rPr>
        <w:t>lluccix</w:t>
      </w:r>
      <w:proofErr w:type="spellEnd"/>
      <w:r w:rsidRPr="00EA20C3">
        <w:rPr>
          <w:i/>
          <w:iCs/>
        </w:rPr>
        <w:t>, after radiolabelling with Ga-68, is a radioactive diagnostic agent indicated for use with positron emission tomography (PET) for the evaluation of prostate cancer.</w:t>
      </w:r>
    </w:p>
    <w:p w14:paraId="461A1611" w14:textId="62BBF0FC" w:rsidR="003A7852" w:rsidRPr="006216B7" w:rsidRDefault="003A7852" w:rsidP="003A7852">
      <w:r>
        <w:t xml:space="preserve">The clinical evaluator commented that most of the evidence presented in this submission has </w:t>
      </w:r>
      <w:r w:rsidRPr="00D3101C">
        <w:t>been limited to two patient groups: patients with newly diagnosed intermediate-high risk prostate cancer</w:t>
      </w:r>
      <w:r>
        <w:t>,</w:t>
      </w:r>
      <w:r w:rsidRPr="00D3101C">
        <w:t xml:space="preserve"> and patients with biochemical recurrence.</w:t>
      </w:r>
      <w:r>
        <w:t xml:space="preserve"> The clinical evaluator noted that the indications for the recently approved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 xml:space="preserve">and </w:t>
      </w:r>
      <w:r w:rsidR="0016401D">
        <w:t>[</w:t>
      </w:r>
      <w:r w:rsidRPr="004F7DDA">
        <w:rPr>
          <w:rFonts w:cstheme="minorHAnsi"/>
          <w:vertAlign w:val="superscript"/>
        </w:rPr>
        <w:t>18</w:t>
      </w:r>
      <w:r w:rsidR="0016401D">
        <w:rPr>
          <w:rFonts w:cstheme="minorHAnsi"/>
        </w:rPr>
        <w:t>F]</w:t>
      </w:r>
      <w:r w:rsidR="00674389">
        <w:rPr>
          <w:rFonts w:cstheme="minorHAnsi"/>
        </w:rPr>
        <w:t xml:space="preserve"> </w:t>
      </w:r>
      <w:r w:rsidR="00674389">
        <w:t>[</w:t>
      </w:r>
      <w:r w:rsidR="00674389">
        <w:rPr>
          <w:vertAlign w:val="superscript"/>
        </w:rPr>
        <w:t>18</w:t>
      </w:r>
      <w:r w:rsidR="00674389">
        <w:t xml:space="preserve">F] </w:t>
      </w:r>
      <w:proofErr w:type="spellStart"/>
      <w:r w:rsidR="00674389">
        <w:t>piflufolastat</w:t>
      </w:r>
      <w:proofErr w:type="spellEnd"/>
      <w:r w:rsidR="00674389">
        <w:t xml:space="preserve"> </w:t>
      </w:r>
      <w:r>
        <w:t>products in the USA</w:t>
      </w:r>
      <w:r>
        <w:rPr>
          <w:rFonts w:cstheme="minorHAnsi"/>
        </w:rPr>
        <w:t xml:space="preserve"> </w:t>
      </w:r>
      <w:r>
        <w:t xml:space="preserve">have been limited to these two populations </w:t>
      </w:r>
      <w:r w:rsidRPr="003F2B9A">
        <w:t>(</w:t>
      </w:r>
      <w:r w:rsidR="003F2B9A">
        <w:t xml:space="preserve">see </w:t>
      </w:r>
      <w:r w:rsidR="003F2B9A">
        <w:fldChar w:fldCharType="begin"/>
      </w:r>
      <w:r w:rsidR="003F2B9A">
        <w:instrText xml:space="preserve"> REF _Ref104549600 \h </w:instrText>
      </w:r>
      <w:r w:rsidR="003F2B9A">
        <w:fldChar w:fldCharType="separate"/>
      </w:r>
      <w:r w:rsidR="00036995">
        <w:t>Regulatory status</w:t>
      </w:r>
      <w:r w:rsidR="003F2B9A">
        <w:fldChar w:fldCharType="end"/>
      </w:r>
      <w:r w:rsidRPr="003F2B9A">
        <w:t>).</w:t>
      </w:r>
      <w:r w:rsidR="00D23754">
        <w:t xml:space="preserve"> </w:t>
      </w:r>
      <w:r w:rsidRPr="003F2B9A">
        <w:t xml:space="preserve">The evaluator also noted differences in the proposed indications for </w:t>
      </w:r>
      <w:proofErr w:type="spellStart"/>
      <w:r w:rsidRPr="003F2B9A">
        <w:t>I</w:t>
      </w:r>
      <w:r w:rsidR="003F2B9A">
        <w:t>lluccix</w:t>
      </w:r>
      <w:proofErr w:type="spellEnd"/>
      <w:r w:rsidRPr="003F2B9A">
        <w:t xml:space="preserve"> in the EU and Canada (</w:t>
      </w:r>
      <w:r w:rsidR="003F2B9A">
        <w:t xml:space="preserve">see </w:t>
      </w:r>
      <w:r w:rsidR="003F2B9A">
        <w:fldChar w:fldCharType="begin"/>
      </w:r>
      <w:r w:rsidR="003F2B9A">
        <w:instrText xml:space="preserve"> REF _Ref104549614 \h </w:instrText>
      </w:r>
      <w:r w:rsidR="003F2B9A">
        <w:fldChar w:fldCharType="separate"/>
      </w:r>
      <w:r w:rsidR="00036995">
        <w:t>Regulatory status</w:t>
      </w:r>
      <w:r w:rsidR="003F2B9A">
        <w:fldChar w:fldCharType="end"/>
      </w:r>
      <w:r w:rsidRPr="003F2B9A">
        <w:t>).</w:t>
      </w:r>
    </w:p>
    <w:p w14:paraId="71CD680F" w14:textId="701343D5" w:rsidR="003A7852" w:rsidRPr="00167CAC" w:rsidRDefault="003A7852" w:rsidP="003A7852">
      <w:r w:rsidRPr="00167CAC">
        <w:t xml:space="preserve">In response </w:t>
      </w:r>
      <w:r>
        <w:t>to the evaluator’s comments on the proposed indication</w:t>
      </w:r>
      <w:r w:rsidRPr="00167CAC">
        <w:t xml:space="preserve">, the </w:t>
      </w:r>
      <w:r w:rsidR="003F2B9A">
        <w:t>s</w:t>
      </w:r>
      <w:r w:rsidRPr="00167CAC">
        <w:t xml:space="preserve">ponsor </w:t>
      </w:r>
      <w:r>
        <w:t>submitt</w:t>
      </w:r>
      <w:r w:rsidRPr="00167CAC">
        <w:t>ed a revised indication:</w:t>
      </w:r>
    </w:p>
    <w:p w14:paraId="701DF824" w14:textId="20A4E5E0" w:rsidR="003A7852" w:rsidRPr="003F2B9A" w:rsidRDefault="003A7852" w:rsidP="004F7DDA">
      <w:pPr>
        <w:ind w:left="720"/>
        <w:rPr>
          <w:rFonts w:eastAsia="TimesNewRomanPSMT" w:cs="TimesNewRomanPSMT"/>
          <w:i/>
          <w:iCs/>
        </w:rPr>
      </w:pPr>
      <w:proofErr w:type="spellStart"/>
      <w:r w:rsidRPr="003F2B9A">
        <w:rPr>
          <w:rFonts w:eastAsia="TimesNewRomanPSMT" w:cs="TimesNewRomanPSMT"/>
          <w:i/>
          <w:iCs/>
        </w:rPr>
        <w:t>I</w:t>
      </w:r>
      <w:r w:rsidR="003F2B9A" w:rsidRPr="003F2B9A">
        <w:rPr>
          <w:rFonts w:eastAsia="TimesNewRomanPSMT" w:cs="TimesNewRomanPSMT"/>
          <w:i/>
          <w:iCs/>
        </w:rPr>
        <w:t>lluccix</w:t>
      </w:r>
      <w:proofErr w:type="spellEnd"/>
      <w:r w:rsidRPr="003F2B9A">
        <w:rPr>
          <w:rFonts w:eastAsia="TimesNewRomanPSMT" w:cs="TimesNewRomanPSMT"/>
          <w:i/>
          <w:iCs/>
        </w:rPr>
        <w:t>, after radiolabelling with Ga-68, is a radioactive PSMA diagnostic agent indicated for use with positron emission tomography (PET) imaging combined with Computerised Tomography (CT) scan in men with prostate cancer:</w:t>
      </w:r>
    </w:p>
    <w:p w14:paraId="6AE4F707" w14:textId="7A49053B" w:rsidR="003F2B9A" w:rsidRPr="004F7DDA" w:rsidRDefault="003A7852" w:rsidP="004F7DDA">
      <w:pPr>
        <w:pStyle w:val="ListBullet3"/>
        <w:rPr>
          <w:i/>
        </w:rPr>
      </w:pPr>
      <w:r w:rsidRPr="004F7DDA">
        <w:rPr>
          <w:i/>
        </w:rPr>
        <w:t xml:space="preserve">who are at risk of metastasis and who are suitable for initial definitive </w:t>
      </w:r>
      <w:proofErr w:type="gramStart"/>
      <w:r w:rsidRPr="004F7DDA">
        <w:rPr>
          <w:i/>
        </w:rPr>
        <w:t>therapy.</w:t>
      </w:r>
      <w:proofErr w:type="gramEnd"/>
    </w:p>
    <w:p w14:paraId="4D3D348D" w14:textId="77777777" w:rsidR="003F2B9A" w:rsidRPr="004F7DDA" w:rsidRDefault="003A7852" w:rsidP="004F7DDA">
      <w:pPr>
        <w:pStyle w:val="ListBullet3"/>
        <w:rPr>
          <w:i/>
        </w:rPr>
      </w:pPr>
      <w:r w:rsidRPr="004F7DDA">
        <w:rPr>
          <w:i/>
        </w:rPr>
        <w:t xml:space="preserve">who have suspected recurrence based on elevated serum prostate specific antigen (PSA) </w:t>
      </w:r>
      <w:proofErr w:type="gramStart"/>
      <w:r w:rsidRPr="004F7DDA">
        <w:rPr>
          <w:i/>
        </w:rPr>
        <w:t>level.</w:t>
      </w:r>
      <w:proofErr w:type="gramEnd"/>
    </w:p>
    <w:p w14:paraId="48C55E1C" w14:textId="14CE6674" w:rsidR="003A7852" w:rsidRPr="004F7DDA" w:rsidRDefault="003A7852" w:rsidP="003F670D">
      <w:pPr>
        <w:pStyle w:val="ListBullet3"/>
      </w:pPr>
      <w:r w:rsidRPr="004F7DDA">
        <w:t xml:space="preserve">who are candidates for PSMA targeted </w:t>
      </w:r>
      <w:proofErr w:type="gramStart"/>
      <w:r w:rsidRPr="004F7DDA">
        <w:t>therapy.</w:t>
      </w:r>
      <w:proofErr w:type="gramEnd"/>
    </w:p>
    <w:p w14:paraId="56B83AB4" w14:textId="7279FA84" w:rsidR="003A7852" w:rsidRDefault="003A7852" w:rsidP="003A7852">
      <w:pPr>
        <w:rPr>
          <w:rFonts w:eastAsia="TimesNewRomanPSMT" w:cs="TimesNewRomanPSMT"/>
        </w:rPr>
      </w:pPr>
      <w:r>
        <w:t xml:space="preserve">The </w:t>
      </w:r>
      <w:r w:rsidR="003F2B9A">
        <w:t>s</w:t>
      </w:r>
      <w:r>
        <w:t>ponsor provided a rationale for specifying these three patient populations, which is summarised in the clinical evaluation report</w:t>
      </w:r>
      <w:r w:rsidR="003F2B9A">
        <w:t xml:space="preserve"> </w:t>
      </w:r>
      <w:r w:rsidR="0016401D">
        <w:t xml:space="preserve">[beyond the </w:t>
      </w:r>
      <w:r w:rsidR="003F2B9A">
        <w:t xml:space="preserve">scope of this </w:t>
      </w:r>
      <w:proofErr w:type="spellStart"/>
      <w:r w:rsidR="003F2B9A">
        <w:t>AusPAR</w:t>
      </w:r>
      <w:proofErr w:type="spellEnd"/>
      <w:r w:rsidR="0016401D">
        <w:t>]</w:t>
      </w:r>
      <w:r>
        <w:t>. With regard to the proposed use in patients who are candidates for PSMA targeted therapy, t</w:t>
      </w:r>
      <w:r>
        <w:rPr>
          <w:rFonts w:eastAsia="TimesNewRomanPSMT" w:cs="TimesNewRomanPSMT"/>
        </w:rPr>
        <w:t>he evaluator commented that the VISION</w:t>
      </w:r>
      <w:r w:rsidRPr="00955355">
        <w:rPr>
          <w:rFonts w:eastAsia="TimesNewRomanPSMT" w:cs="TimesNewRomanPSMT"/>
        </w:rPr>
        <w:t xml:space="preserve"> </w:t>
      </w:r>
      <w:r w:rsidR="003F2B9A">
        <w:rPr>
          <w:rFonts w:eastAsia="TimesNewRomanPSMT" w:cs="TimesNewRomanPSMT"/>
        </w:rPr>
        <w:t>trial</w:t>
      </w:r>
      <w:r>
        <w:rPr>
          <w:rFonts w:eastAsia="TimesNewRomanPSMT" w:cs="TimesNewRomanPSMT"/>
        </w:rPr>
        <w:t xml:space="preserve"> (</w:t>
      </w:r>
      <w:r w:rsidR="0016401D">
        <w:rPr>
          <w:rFonts w:eastAsia="TimesNewRomanPSMT" w:cs="TimesNewRomanPSMT"/>
        </w:rPr>
        <w:t xml:space="preserve">Study </w:t>
      </w:r>
      <w:r>
        <w:rPr>
          <w:rFonts w:eastAsia="TimesNewRomanPSMT" w:cs="TimesNewRomanPSMT"/>
        </w:rPr>
        <w:t xml:space="preserve">PSMA-617-01) is </w:t>
      </w:r>
      <w:proofErr w:type="gramStart"/>
      <w:r>
        <w:rPr>
          <w:rFonts w:eastAsia="TimesNewRomanPSMT" w:cs="TimesNewRomanPSMT"/>
        </w:rPr>
        <w:t>ongoing</w:t>
      </w:r>
      <w:proofErr w:type="gramEnd"/>
      <w:r>
        <w:rPr>
          <w:rFonts w:eastAsia="TimesNewRomanPSMT" w:cs="TimesNewRomanPSMT"/>
        </w:rPr>
        <w:t xml:space="preserve"> and no outcome data are available. The evaluator concluded that the benefit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rPr>
          <w:rFonts w:eastAsia="TimesNewRomanPSMT" w:cs="TimesNewRomanPSMT"/>
        </w:rPr>
        <w:t xml:space="preserve">PET/CT in this setting has not been </w:t>
      </w:r>
      <w:r w:rsidR="003F2B9A">
        <w:rPr>
          <w:rFonts w:eastAsia="TimesNewRomanPSMT" w:cs="TimesNewRomanPSMT"/>
        </w:rPr>
        <w:t>established and</w:t>
      </w:r>
      <w:r>
        <w:rPr>
          <w:rFonts w:eastAsia="TimesNewRomanPSMT" w:cs="TimesNewRomanPSMT"/>
        </w:rPr>
        <w:t xml:space="preserve"> recommended that this population should not be included in the indication.</w:t>
      </w:r>
    </w:p>
    <w:p w14:paraId="74B0DFC2" w14:textId="2853E5C5" w:rsidR="003A7852" w:rsidRDefault="003A7852" w:rsidP="003A7852">
      <w:pPr>
        <w:rPr>
          <w:rFonts w:eastAsia="TimesNewRomanPSMT" w:cs="TimesNewRomanPSMT"/>
        </w:rPr>
      </w:pPr>
      <w:r>
        <w:rPr>
          <w:rFonts w:eastAsia="TimesNewRomanPSMT" w:cs="TimesNewRomanPSMT"/>
        </w:rPr>
        <w:t xml:space="preserve">The evaluator </w:t>
      </w:r>
      <w:proofErr w:type="gramStart"/>
      <w:r>
        <w:rPr>
          <w:rFonts w:eastAsia="TimesNewRomanPSMT" w:cs="TimesNewRomanPSMT"/>
        </w:rPr>
        <w:t>was of the opinion that</w:t>
      </w:r>
      <w:proofErr w:type="gramEnd"/>
      <w:r>
        <w:rPr>
          <w:rFonts w:eastAsia="TimesNewRomanPSMT" w:cs="TimesNewRomanPSMT"/>
        </w:rPr>
        <w:t xml:space="preserve"> a broad indication should be considered, but also recommended expert advice regarding a broad indication (</w:t>
      </w:r>
      <w:r w:rsidR="003F2B9A">
        <w:rPr>
          <w:rFonts w:eastAsia="TimesNewRomanPSMT" w:cs="TimesNewRomanPSMT"/>
        </w:rPr>
        <w:t>‘</w:t>
      </w:r>
      <w:r w:rsidRPr="004F7DDA">
        <w:rPr>
          <w:rFonts w:eastAsia="TimesNewRomanPSMT" w:cs="TimesNewRomanPSMT"/>
          <w:i/>
        </w:rPr>
        <w:t>for the evaluation of prostate cancer</w:t>
      </w:r>
      <w:r w:rsidR="003F2B9A" w:rsidRPr="004F7DDA">
        <w:rPr>
          <w:rFonts w:eastAsia="TimesNewRomanPSMT" w:cs="TimesNewRomanPSMT"/>
          <w:i/>
        </w:rPr>
        <w:t>’</w:t>
      </w:r>
      <w:r>
        <w:rPr>
          <w:rFonts w:eastAsia="TimesNewRomanPSMT" w:cs="TimesNewRomanPSMT"/>
        </w:rPr>
        <w:t>) versus an indication limited to the populations for which efficacy and safety data have been evaluated.</w:t>
      </w:r>
    </w:p>
    <w:p w14:paraId="4085038C" w14:textId="2FA8605B" w:rsidR="003A7852" w:rsidRPr="00F75BBA" w:rsidRDefault="003A7852" w:rsidP="003A7852">
      <w:pPr>
        <w:rPr>
          <w:rFonts w:eastAsia="TimesNewRomanPSMT" w:cs="TimesNewRomanPSMT"/>
        </w:rPr>
      </w:pPr>
      <w:r>
        <w:rPr>
          <w:rFonts w:eastAsia="TimesNewRomanPSMT" w:cs="TimesNewRomanPSMT"/>
        </w:rPr>
        <w:t xml:space="preserve">Subject to advice from </w:t>
      </w:r>
      <w:r w:rsidR="0016401D">
        <w:rPr>
          <w:rFonts w:eastAsia="TimesNewRomanPSMT" w:cs="TimesNewRomanPSMT"/>
        </w:rPr>
        <w:t>Advisory Committee on Medicines</w:t>
      </w:r>
      <w:r>
        <w:rPr>
          <w:rFonts w:eastAsia="TimesNewRomanPSMT" w:cs="TimesNewRomanPSMT"/>
        </w:rPr>
        <w:t xml:space="preserve">, </w:t>
      </w:r>
      <w:r w:rsidR="003F2B9A">
        <w:rPr>
          <w:rFonts w:eastAsia="TimesNewRomanPSMT" w:cs="TimesNewRomanPSMT"/>
        </w:rPr>
        <w:t>the Delegate’s</w:t>
      </w:r>
      <w:r>
        <w:rPr>
          <w:rFonts w:eastAsia="TimesNewRomanPSMT" w:cs="TimesNewRomanPSMT"/>
        </w:rPr>
        <w:t xml:space="preserve"> preference</w:t>
      </w:r>
      <w:r w:rsidRPr="00F75BBA">
        <w:rPr>
          <w:rFonts w:eastAsia="TimesNewRomanPSMT" w:cs="TimesNewRomanPSMT"/>
        </w:rPr>
        <w:t xml:space="preserve"> </w:t>
      </w:r>
      <w:r>
        <w:rPr>
          <w:rFonts w:eastAsia="TimesNewRomanPSMT" w:cs="TimesNewRomanPSMT"/>
        </w:rPr>
        <w:t xml:space="preserve">is for an indication aligned to the populations for which efficacy and safety data have been </w:t>
      </w:r>
      <w:r>
        <w:rPr>
          <w:rFonts w:eastAsia="TimesNewRomanPSMT" w:cs="TimesNewRomanPSMT"/>
        </w:rPr>
        <w:lastRenderedPageBreak/>
        <w:t>evaluated. T</w:t>
      </w:r>
      <w:r w:rsidRPr="00F75BBA">
        <w:rPr>
          <w:rFonts w:eastAsia="TimesNewRomanPSMT" w:cs="TimesNewRomanPSMT"/>
        </w:rPr>
        <w:t xml:space="preserve">he efficacy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rPr>
          <w:rFonts w:eastAsia="TimesNewRomanPSMT" w:cs="TimesNewRomanPSMT"/>
        </w:rPr>
        <w:t>PET/CT</w:t>
      </w:r>
      <w:r w:rsidRPr="00F75BBA">
        <w:rPr>
          <w:rFonts w:eastAsia="TimesNewRomanPSMT" w:cs="TimesNewRomanPSMT"/>
        </w:rPr>
        <w:t xml:space="preserve"> in patients who are candidates for PSMA</w:t>
      </w:r>
      <w:r w:rsidR="0016401D">
        <w:rPr>
          <w:rFonts w:eastAsia="TimesNewRomanPSMT" w:cs="TimesNewRomanPSMT"/>
        </w:rPr>
        <w:noBreakHyphen/>
      </w:r>
      <w:r w:rsidRPr="00F75BBA">
        <w:rPr>
          <w:rFonts w:eastAsia="TimesNewRomanPSMT" w:cs="TimesNewRomanPSMT"/>
        </w:rPr>
        <w:t>targeted therapy has not been evaluated in this submission</w:t>
      </w:r>
      <w:r>
        <w:rPr>
          <w:rFonts w:eastAsia="TimesNewRomanPSMT" w:cs="TimesNewRomanPSMT"/>
        </w:rPr>
        <w:t>, so the benefit in this population has not been established.</w:t>
      </w:r>
      <w:r w:rsidRPr="00F75BBA">
        <w:rPr>
          <w:rFonts w:eastAsia="TimesNewRomanPSMT" w:cs="TimesNewRomanPSMT"/>
        </w:rPr>
        <w:t xml:space="preserve"> </w:t>
      </w:r>
      <w:r>
        <w:rPr>
          <w:rFonts w:eastAsia="TimesNewRomanPSMT" w:cs="TimesNewRomanPSMT"/>
        </w:rPr>
        <w:t xml:space="preserve">Therefore, </w:t>
      </w:r>
      <w:r w:rsidR="003F2B9A">
        <w:rPr>
          <w:rFonts w:eastAsia="TimesNewRomanPSMT" w:cs="TimesNewRomanPSMT"/>
        </w:rPr>
        <w:t>the Delegate’s</w:t>
      </w:r>
      <w:r>
        <w:rPr>
          <w:rFonts w:eastAsia="TimesNewRomanPSMT" w:cs="TimesNewRomanPSMT"/>
        </w:rPr>
        <w:t xml:space="preserve"> view is that the indication should not include patients who are candidates for PSMA</w:t>
      </w:r>
      <w:r w:rsidR="00674389">
        <w:rPr>
          <w:rFonts w:eastAsia="TimesNewRomanPSMT" w:cs="TimesNewRomanPSMT"/>
        </w:rPr>
        <w:t>-</w:t>
      </w:r>
      <w:r>
        <w:rPr>
          <w:rFonts w:eastAsia="TimesNewRomanPSMT" w:cs="TimesNewRomanPSMT"/>
        </w:rPr>
        <w:t>targeted therapy</w:t>
      </w:r>
      <w:r w:rsidRPr="00F75BBA">
        <w:rPr>
          <w:rFonts w:eastAsia="TimesNewRomanPSMT" w:cs="TimesNewRomanPSMT"/>
        </w:rPr>
        <w:t>.</w:t>
      </w:r>
    </w:p>
    <w:p w14:paraId="49E5E541" w14:textId="1E0A6B15" w:rsidR="003A7852" w:rsidRPr="00F75BBA" w:rsidRDefault="003A7852" w:rsidP="003A7852">
      <w:pPr>
        <w:rPr>
          <w:bCs/>
          <w:lang w:eastAsia="ja-JP"/>
        </w:rPr>
      </w:pPr>
      <w:r w:rsidRPr="00F75BBA">
        <w:rPr>
          <w:rFonts w:eastAsia="TimesNewRomanPSMT" w:cs="TimesNewRomanPSMT"/>
        </w:rPr>
        <w:t xml:space="preserve">Subject to advice from ACM, </w:t>
      </w:r>
      <w:r w:rsidR="00B65A4A">
        <w:rPr>
          <w:rFonts w:eastAsia="TimesNewRomanPSMT" w:cs="TimesNewRomanPSMT"/>
        </w:rPr>
        <w:t>the Delegate</w:t>
      </w:r>
      <w:r w:rsidRPr="00F75BBA">
        <w:rPr>
          <w:rFonts w:eastAsia="TimesNewRomanPSMT" w:cs="TimesNewRomanPSMT"/>
        </w:rPr>
        <w:t xml:space="preserve"> </w:t>
      </w:r>
      <w:r w:rsidR="003F2B9A">
        <w:rPr>
          <w:rFonts w:eastAsia="TimesNewRomanPSMT" w:cs="TimesNewRomanPSMT"/>
        </w:rPr>
        <w:t>is</w:t>
      </w:r>
      <w:r w:rsidRPr="00F75BBA">
        <w:rPr>
          <w:rFonts w:eastAsia="TimesNewRomanPSMT" w:cs="TimesNewRomanPSMT"/>
        </w:rPr>
        <w:t xml:space="preserve"> considering the following indication:</w:t>
      </w:r>
    </w:p>
    <w:p w14:paraId="1398CED3" w14:textId="1C2CEDD1" w:rsidR="003A7852" w:rsidRPr="00B65A4A" w:rsidRDefault="003A7852" w:rsidP="004F7DDA">
      <w:pPr>
        <w:ind w:left="720"/>
        <w:rPr>
          <w:rFonts w:eastAsia="TimesNewRomanPSMT" w:cs="TimesNewRomanPSMT"/>
          <w:i/>
          <w:iCs/>
        </w:rPr>
      </w:pPr>
      <w:proofErr w:type="spellStart"/>
      <w:r w:rsidRPr="00B65A4A">
        <w:rPr>
          <w:rFonts w:eastAsia="TimesNewRomanPSMT" w:cs="TimesNewRomanPSMT"/>
          <w:i/>
          <w:iCs/>
        </w:rPr>
        <w:t>I</w:t>
      </w:r>
      <w:r w:rsidR="003F2B9A">
        <w:rPr>
          <w:rFonts w:eastAsia="TimesNewRomanPSMT" w:cs="TimesNewRomanPSMT"/>
          <w:i/>
          <w:iCs/>
        </w:rPr>
        <w:t>lluccix</w:t>
      </w:r>
      <w:proofErr w:type="spellEnd"/>
      <w:r w:rsidRPr="00B65A4A">
        <w:rPr>
          <w:rFonts w:eastAsia="TimesNewRomanPSMT" w:cs="TimesNewRomanPSMT"/>
          <w:i/>
          <w:iCs/>
        </w:rPr>
        <w:t>, after radiolabelling with Ga-68, is a radioactive diagnostic agent indicated for use with positron emission tomography (PET) imaging combined with Computerised Tomography (CT) in patients with prostate cancer:</w:t>
      </w:r>
    </w:p>
    <w:p w14:paraId="684330D1" w14:textId="3341BF3D" w:rsidR="003A7852" w:rsidRPr="004F7DDA" w:rsidRDefault="003A7852" w:rsidP="004F7DDA">
      <w:pPr>
        <w:pStyle w:val="ListBullet3"/>
        <w:rPr>
          <w:i/>
        </w:rPr>
      </w:pPr>
      <w:r w:rsidRPr="004F7DDA">
        <w:rPr>
          <w:i/>
        </w:rPr>
        <w:t xml:space="preserve">who are at risk of metastasis and who are suitable for initial definitive </w:t>
      </w:r>
      <w:proofErr w:type="gramStart"/>
      <w:r w:rsidRPr="004F7DDA">
        <w:rPr>
          <w:i/>
        </w:rPr>
        <w:t>therapy.</w:t>
      </w:r>
      <w:proofErr w:type="gramEnd"/>
    </w:p>
    <w:p w14:paraId="13AB813A" w14:textId="11C34BEC" w:rsidR="003A7852" w:rsidRPr="004F7DDA" w:rsidRDefault="003A7852" w:rsidP="004F7DDA">
      <w:pPr>
        <w:pStyle w:val="ListBullet3"/>
        <w:rPr>
          <w:i/>
        </w:rPr>
      </w:pPr>
      <w:r w:rsidRPr="004F7DDA">
        <w:rPr>
          <w:i/>
        </w:rPr>
        <w:t xml:space="preserve">who have suspected recurrence based on elevated serum prostate specific antigen (PSA) </w:t>
      </w:r>
      <w:proofErr w:type="gramStart"/>
      <w:r w:rsidRPr="004F7DDA">
        <w:rPr>
          <w:i/>
        </w:rPr>
        <w:t>level</w:t>
      </w:r>
      <w:proofErr w:type="gramEnd"/>
    </w:p>
    <w:p w14:paraId="24B46F9A" w14:textId="77777777" w:rsidR="00D23139" w:rsidRDefault="00D23139" w:rsidP="00D23139">
      <w:pPr>
        <w:pStyle w:val="Heading4"/>
      </w:pPr>
      <w:r w:rsidRPr="00D23139">
        <w:t>Proposed action</w:t>
      </w:r>
    </w:p>
    <w:p w14:paraId="69EB7430" w14:textId="36303317" w:rsidR="003A7852" w:rsidRDefault="003A7852" w:rsidP="003A7852">
      <w:r>
        <w:t xml:space="preserve">There are limitations in the clinical data presented in this submission, much of which was derived from retrospective studies, but the evidence overall supports the diagnostic efficacy, clinical utility, and safety of the </w:t>
      </w:r>
      <w:proofErr w:type="spellStart"/>
      <w:r>
        <w:t>I</w:t>
      </w:r>
      <w:r w:rsidR="003F2B9A">
        <w:t>lluccix</w:t>
      </w:r>
      <w:proofErr w:type="spellEnd"/>
      <w:r>
        <w:t xml:space="preserve"> kit for radiopharmaceutical preparation. The diagnostic performance and safety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 xml:space="preserve">prepared using the </w:t>
      </w:r>
      <w:proofErr w:type="spellStart"/>
      <w:r>
        <w:t>I</w:t>
      </w:r>
      <w:r w:rsidR="003F2B9A">
        <w:t>lluccix</w:t>
      </w:r>
      <w:proofErr w:type="spellEnd"/>
      <w:r>
        <w:t xml:space="preserve"> kit is expected to be comparable to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 xml:space="preserve">prepared by traditional synthesiser methods incorporating a heating step.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 xml:space="preserve">can be prepared in a shorter time using the </w:t>
      </w:r>
      <w:proofErr w:type="spellStart"/>
      <w:r>
        <w:t>I</w:t>
      </w:r>
      <w:r w:rsidR="003F2B9A">
        <w:t>lluccix</w:t>
      </w:r>
      <w:proofErr w:type="spellEnd"/>
      <w:r>
        <w:t xml:space="preserve"> kit compared to traditional methods.</w:t>
      </w:r>
    </w:p>
    <w:p w14:paraId="08D5515F" w14:textId="2CEAFDDD" w:rsidR="003A7852" w:rsidRDefault="003A7852" w:rsidP="003A7852">
      <w:r>
        <w:t xml:space="preserve">The data presented in this submission support the diagnostic efficacy, clinical utility, and safety of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PET/CT for the evaluation of patients with intermediate</w:t>
      </w:r>
      <w:r w:rsidR="003F2B9A">
        <w:t xml:space="preserve"> to </w:t>
      </w:r>
      <w:proofErr w:type="gramStart"/>
      <w:r>
        <w:t>high risk</w:t>
      </w:r>
      <w:proofErr w:type="gramEnd"/>
      <w:r>
        <w:t xml:space="preserve"> prostate cancer who are candidates for initial definitive therapy, and for the evaluation of patients with</w:t>
      </w:r>
      <w:r w:rsidR="0016401D">
        <w:t xml:space="preserve"> biochemically recurrent prostate cancer</w:t>
      </w:r>
      <w:r>
        <w:t xml:space="preserve">. Conventional imaging has limitations in identifying prostate cancer in pelvic lymph nodes and at distant sites. The submission has provided satisfactory evidence that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 xml:space="preserve">PET/CT provides useful diagnostic information which can inform treatment decisions for patients with prostate cancer who are being considered for initial definitive therapy, and for patients with suspected recurrence based on elevated PSA. </w:t>
      </w:r>
      <w:r w:rsidR="00674389">
        <w:rPr>
          <w:rStyle w:val="style1"/>
          <w:rFonts w:cstheme="minorHAnsi"/>
          <w:iCs/>
        </w:rPr>
        <w:t>[</w:t>
      </w:r>
      <w:r w:rsidR="00674389">
        <w:rPr>
          <w:rStyle w:val="style1"/>
          <w:rFonts w:cstheme="minorHAnsi"/>
          <w:iCs/>
          <w:vertAlign w:val="superscript"/>
        </w:rPr>
        <w:t>68</w:t>
      </w:r>
      <w:r w:rsidR="00674389">
        <w:rPr>
          <w:rStyle w:val="style1"/>
          <w:rFonts w:cstheme="minorHAnsi"/>
          <w:iCs/>
        </w:rPr>
        <w:t xml:space="preserve">Ga] </w:t>
      </w:r>
      <w:r w:rsidR="00293AB9">
        <w:rPr>
          <w:rStyle w:val="style1"/>
          <w:rFonts w:cstheme="minorHAnsi"/>
          <w:iCs/>
        </w:rPr>
        <w:t>gallium</w:t>
      </w:r>
      <w:r w:rsidR="00674389">
        <w:rPr>
          <w:rStyle w:val="style1"/>
          <w:rFonts w:cstheme="minorHAnsi"/>
          <w:iCs/>
        </w:rPr>
        <w:t xml:space="preserve"> PSMA-11 </w:t>
      </w:r>
      <w:r>
        <w:t xml:space="preserve">PET/CT imaging can produce false positive and false negative results, as can conventional imaging, and this risk is addressed in precautionary guidance in </w:t>
      </w:r>
      <w:r w:rsidR="0016401D">
        <w:t>S</w:t>
      </w:r>
      <w:r>
        <w:t>ections 4.2 and 4.4 of the proposed Product Information.</w:t>
      </w:r>
    </w:p>
    <w:p w14:paraId="7A9F6D9E" w14:textId="4EB97E82" w:rsidR="003A7852" w:rsidRPr="005F6BEC" w:rsidRDefault="003A7852" w:rsidP="003A7852">
      <w:pPr>
        <w:rPr>
          <w:bCs/>
          <w:lang w:eastAsia="ja-JP"/>
        </w:rPr>
      </w:pPr>
      <w:r>
        <w:t xml:space="preserve">The </w:t>
      </w:r>
      <w:r w:rsidR="003F2B9A">
        <w:t>s</w:t>
      </w:r>
      <w:r>
        <w:t xml:space="preserve">ponsor initially sought a broad indication for the evaluation of prostate cancer, and subsequently submitted a revised indication </w:t>
      </w:r>
      <w:proofErr w:type="gramStart"/>
      <w:r>
        <w:t>during the course of</w:t>
      </w:r>
      <w:proofErr w:type="gramEnd"/>
      <w:r>
        <w:t xml:space="preserve"> the evaluation. The </w:t>
      </w:r>
      <w:r w:rsidR="003F2B9A">
        <w:t>s</w:t>
      </w:r>
      <w:r>
        <w:t>ponsor’s revised indication includes</w:t>
      </w:r>
      <w:r w:rsidRPr="00740419">
        <w:t xml:space="preserve"> </w:t>
      </w:r>
      <w:r>
        <w:t>patients who are candidates for PSMA</w:t>
      </w:r>
      <w:r w:rsidR="0016401D">
        <w:t>-</w:t>
      </w:r>
      <w:r>
        <w:t>targeted therapy. The efficacy and safety of PSMA</w:t>
      </w:r>
      <w:r w:rsidR="0016401D">
        <w:t>-</w:t>
      </w:r>
      <w:r>
        <w:t xml:space="preserve">targeted therapy have not been evaluated by the TGA, so </w:t>
      </w:r>
      <w:r w:rsidR="003F2B9A">
        <w:t>the Delegate</w:t>
      </w:r>
      <w:r>
        <w:t xml:space="preserve"> do not support </w:t>
      </w:r>
      <w:r w:rsidR="003F2B9A">
        <w:t>s</w:t>
      </w:r>
      <w:r>
        <w:t xml:space="preserve">ponsor’s proposal to include this in the indication. </w:t>
      </w:r>
      <w:r w:rsidRPr="005F6BEC">
        <w:rPr>
          <w:rFonts w:eastAsia="TimesNewRomanPSMT" w:cs="TimesNewRomanPSMT"/>
        </w:rPr>
        <w:t xml:space="preserve">Subject to advice from ACM, </w:t>
      </w:r>
      <w:r w:rsidR="003F2B9A">
        <w:rPr>
          <w:rFonts w:eastAsia="TimesNewRomanPSMT" w:cs="TimesNewRomanPSMT"/>
        </w:rPr>
        <w:t>the Delegate</w:t>
      </w:r>
      <w:r w:rsidRPr="005F6BEC">
        <w:rPr>
          <w:rFonts w:eastAsia="TimesNewRomanPSMT" w:cs="TimesNewRomanPSMT"/>
        </w:rPr>
        <w:t xml:space="preserve"> </w:t>
      </w:r>
      <w:r w:rsidR="003F2B9A">
        <w:rPr>
          <w:rFonts w:eastAsia="TimesNewRomanPSMT" w:cs="TimesNewRomanPSMT"/>
        </w:rPr>
        <w:t>is</w:t>
      </w:r>
      <w:r w:rsidRPr="005F6BEC">
        <w:rPr>
          <w:rFonts w:eastAsia="TimesNewRomanPSMT" w:cs="TimesNewRomanPSMT"/>
        </w:rPr>
        <w:t xml:space="preserve"> considering the following indication:</w:t>
      </w:r>
    </w:p>
    <w:p w14:paraId="513D4ADF" w14:textId="061CDAE9" w:rsidR="003A7852" w:rsidRPr="003F2B9A" w:rsidRDefault="003A7852" w:rsidP="004F7DDA">
      <w:pPr>
        <w:ind w:left="720"/>
        <w:rPr>
          <w:rFonts w:eastAsia="TimesNewRomanPSMT" w:cs="TimesNewRomanPSMT"/>
          <w:i/>
          <w:iCs/>
        </w:rPr>
      </w:pPr>
      <w:proofErr w:type="spellStart"/>
      <w:r w:rsidRPr="003F2B9A">
        <w:rPr>
          <w:rFonts w:eastAsia="TimesNewRomanPSMT" w:cs="TimesNewRomanPSMT"/>
          <w:i/>
          <w:iCs/>
        </w:rPr>
        <w:t>I</w:t>
      </w:r>
      <w:r w:rsidR="003F2B9A" w:rsidRPr="003F2B9A">
        <w:rPr>
          <w:rFonts w:eastAsia="TimesNewRomanPSMT" w:cs="TimesNewRomanPSMT"/>
          <w:i/>
          <w:iCs/>
        </w:rPr>
        <w:t>lluccix</w:t>
      </w:r>
      <w:proofErr w:type="spellEnd"/>
      <w:r w:rsidRPr="003F2B9A">
        <w:rPr>
          <w:rFonts w:eastAsia="TimesNewRomanPSMT" w:cs="TimesNewRomanPSMT"/>
          <w:i/>
          <w:iCs/>
        </w:rPr>
        <w:t>, after radiolabelling with Ga-68, is a radioactive diagnostic agent indicated for use with positron emission tomography (PET) imaging combined with Computerised Tomography (CT) in patients with prostate cancer:</w:t>
      </w:r>
    </w:p>
    <w:p w14:paraId="376E2C3F" w14:textId="3D371D9D" w:rsidR="003A7852" w:rsidRPr="004F7DDA" w:rsidRDefault="003A7852" w:rsidP="004F7DDA">
      <w:pPr>
        <w:pStyle w:val="ListBullet3"/>
        <w:rPr>
          <w:i/>
        </w:rPr>
      </w:pPr>
      <w:r w:rsidRPr="004F7DDA">
        <w:rPr>
          <w:i/>
        </w:rPr>
        <w:t xml:space="preserve">who are at risk of metastasis and who are suitable for initial definitive </w:t>
      </w:r>
      <w:proofErr w:type="gramStart"/>
      <w:r w:rsidRPr="004F7DDA">
        <w:rPr>
          <w:i/>
        </w:rPr>
        <w:t>therapy.</w:t>
      </w:r>
      <w:proofErr w:type="gramEnd"/>
    </w:p>
    <w:p w14:paraId="18A4418F" w14:textId="0677E874" w:rsidR="003A7852" w:rsidRPr="004F7DDA" w:rsidRDefault="003A7852" w:rsidP="004F7DDA">
      <w:pPr>
        <w:pStyle w:val="ListBullet3"/>
        <w:rPr>
          <w:i/>
        </w:rPr>
      </w:pPr>
      <w:r w:rsidRPr="004F7DDA">
        <w:rPr>
          <w:i/>
        </w:rPr>
        <w:t xml:space="preserve">who have suspected recurrence based on elevated serum prostate specific antigen (PSA) </w:t>
      </w:r>
      <w:proofErr w:type="gramStart"/>
      <w:r w:rsidRPr="004F7DDA">
        <w:rPr>
          <w:i/>
        </w:rPr>
        <w:t>level.</w:t>
      </w:r>
      <w:proofErr w:type="gramEnd"/>
    </w:p>
    <w:p w14:paraId="1D17BD19" w14:textId="77777777" w:rsidR="008E7846" w:rsidRDefault="008E7846" w:rsidP="007D53B6">
      <w:pPr>
        <w:pStyle w:val="Heading4"/>
      </w:pPr>
      <w:r>
        <w:lastRenderedPageBreak/>
        <w:t xml:space="preserve">Advisory Committee </w:t>
      </w:r>
      <w:r w:rsidR="007D53B6">
        <w:t>c</w:t>
      </w:r>
      <w:r>
        <w:t>onsiderations</w:t>
      </w:r>
      <w:r w:rsidR="00456765">
        <w:rPr>
          <w:rStyle w:val="FootnoteReference"/>
        </w:rPr>
        <w:footnoteReference w:id="58"/>
      </w:r>
    </w:p>
    <w:p w14:paraId="32BE3615" w14:textId="77777777" w:rsidR="00744121" w:rsidRDefault="00744121" w:rsidP="00744121">
      <w:pPr>
        <w:rPr>
          <w:bCs/>
        </w:rPr>
      </w:pPr>
      <w:bookmarkStart w:id="99" w:name="_Toc247691532"/>
      <w:bookmarkStart w:id="100" w:name="_Toc314842516"/>
      <w:bookmarkEnd w:id="41"/>
      <w:bookmarkEnd w:id="96"/>
      <w:bookmarkEnd w:id="97"/>
      <w:r w:rsidRPr="00456765">
        <w:rPr>
          <w:bCs/>
        </w:rPr>
        <w:t>The Advisory Committee on Medicines (ACM), having considered the evaluations and the Delegate’s overview, as well as the sponsor’s response to these documents, advised the following</w:t>
      </w:r>
      <w:r>
        <w:rPr>
          <w:bCs/>
        </w:rPr>
        <w:t>.</w:t>
      </w:r>
    </w:p>
    <w:p w14:paraId="462DA0D7" w14:textId="77777777" w:rsidR="00744121" w:rsidRDefault="00744121" w:rsidP="00744121">
      <w:pPr>
        <w:pStyle w:val="Heading5"/>
      </w:pPr>
      <w:r>
        <w:t>Specific advice to the Delegate</w:t>
      </w:r>
    </w:p>
    <w:p w14:paraId="4C6D9003" w14:textId="411D6A81" w:rsidR="00C74D83" w:rsidRPr="00674389" w:rsidRDefault="00C74D83" w:rsidP="00674389">
      <w:pPr>
        <w:pStyle w:val="Numberbullet0"/>
        <w:numPr>
          <w:ilvl w:val="0"/>
          <w:numId w:val="26"/>
        </w:numPr>
        <w:rPr>
          <w:b/>
          <w:bCs/>
          <w:i/>
          <w:iCs/>
        </w:rPr>
      </w:pPr>
      <w:r w:rsidRPr="00674389">
        <w:rPr>
          <w:b/>
          <w:bCs/>
          <w:i/>
          <w:iCs/>
        </w:rPr>
        <w:t xml:space="preserve">What is ACM’s perspective on the diagnostic performance and clinical utility of </w:t>
      </w:r>
      <w:r w:rsidR="00674389" w:rsidRPr="00674389">
        <w:rPr>
          <w:b/>
          <w:bCs/>
          <w:i/>
          <w:iCs/>
        </w:rPr>
        <w:t>[</w:t>
      </w:r>
      <w:r w:rsidR="00674389" w:rsidRPr="004F7DDA">
        <w:rPr>
          <w:b/>
          <w:bCs/>
          <w:i/>
          <w:iCs/>
          <w:vertAlign w:val="superscript"/>
        </w:rPr>
        <w:t>68</w:t>
      </w:r>
      <w:r w:rsidR="00674389" w:rsidRPr="00674389">
        <w:rPr>
          <w:b/>
          <w:bCs/>
          <w:i/>
          <w:iCs/>
        </w:rPr>
        <w:t xml:space="preserve">Ga] </w:t>
      </w:r>
      <w:r w:rsidR="00293AB9">
        <w:rPr>
          <w:b/>
          <w:bCs/>
          <w:i/>
          <w:iCs/>
        </w:rPr>
        <w:t>gallium</w:t>
      </w:r>
      <w:r w:rsidR="00674389" w:rsidRPr="00674389">
        <w:rPr>
          <w:b/>
          <w:bCs/>
          <w:i/>
          <w:iCs/>
        </w:rPr>
        <w:t xml:space="preserve"> PSMA-11</w:t>
      </w:r>
      <w:r w:rsidRPr="00674389">
        <w:rPr>
          <w:b/>
          <w:bCs/>
          <w:i/>
          <w:iCs/>
        </w:rPr>
        <w:t xml:space="preserve"> PET/CT?</w:t>
      </w:r>
    </w:p>
    <w:p w14:paraId="223A9AE8" w14:textId="56D6B1C3" w:rsidR="00C74D83" w:rsidRDefault="00C74D83" w:rsidP="00C74D83">
      <w:r>
        <w:t xml:space="preserve">The ACM commented that in the primary staging, the Australian Phase III </w:t>
      </w:r>
      <w:proofErr w:type="spellStart"/>
      <w:r>
        <w:t>proPSMA</w:t>
      </w:r>
      <w:proofErr w:type="spellEnd"/>
      <w:r>
        <w:t xml:space="preserve"> trial</w:t>
      </w:r>
      <w:r w:rsidR="00674389">
        <w:t>;</w:t>
      </w:r>
      <w:r w:rsidR="00674389" w:rsidRPr="004F7DDA">
        <w:rPr>
          <w:vertAlign w:val="superscript"/>
        </w:rPr>
        <w:fldChar w:fldCharType="begin"/>
      </w:r>
      <w:r w:rsidR="00674389" w:rsidRPr="004F7DDA">
        <w:rPr>
          <w:vertAlign w:val="superscript"/>
        </w:rPr>
        <w:instrText xml:space="preserve"> NOTEREF _Ref106353637 \h </w:instrText>
      </w:r>
      <w:r w:rsidR="003A1F4A">
        <w:rPr>
          <w:vertAlign w:val="superscript"/>
        </w:rPr>
        <w:instrText xml:space="preserve"> \* MERGEFORMAT </w:instrText>
      </w:r>
      <w:r w:rsidR="00674389" w:rsidRPr="004F7DDA">
        <w:rPr>
          <w:vertAlign w:val="superscript"/>
        </w:rPr>
      </w:r>
      <w:r w:rsidR="00674389" w:rsidRPr="004F7DDA">
        <w:rPr>
          <w:vertAlign w:val="superscript"/>
        </w:rPr>
        <w:fldChar w:fldCharType="separate"/>
      </w:r>
      <w:r w:rsidR="00036995">
        <w:rPr>
          <w:vertAlign w:val="superscript"/>
        </w:rPr>
        <w:t>14</w:t>
      </w:r>
      <w:r w:rsidR="00674389" w:rsidRPr="004F7DDA">
        <w:rPr>
          <w:vertAlign w:val="superscript"/>
        </w:rPr>
        <w:fldChar w:fldCharType="end"/>
      </w:r>
      <w:r>
        <w:t xml:space="preserve"> established the superior diagnostic accuracy of PSMA PET CT over conventional CT and bone scan imaging (area under the curve (AUC) of 92% versus 65%, respectively, p</w:t>
      </w:r>
      <w:r w:rsidR="00A304D4">
        <w:t> </w:t>
      </w:r>
      <w:r>
        <w:t>&lt;</w:t>
      </w:r>
      <w:r w:rsidR="00A304D4">
        <w:t> </w:t>
      </w:r>
      <w:r>
        <w:t>0.0001) and provided some evidence of superior clinical utility through a greater change in treatment intent, modality or technique compared with conventional imaging (28% versus 15%; p = 0.008).</w:t>
      </w:r>
    </w:p>
    <w:p w14:paraId="3D558BA0" w14:textId="208BB1D4" w:rsidR="00C74D83" w:rsidRDefault="00C74D83" w:rsidP="00C74D83">
      <w:r>
        <w:t>The ACM additionally commented that in staging of biochemical recurrence, numerous studies have demonstrated the high diagnostic accuracy of PSMA PET CT in restaging with histopathology as the reference standard (AUC ranging between 88% to 99%). Some evidence of clinical utility was demonstrated in this population with multiple studies where 30</w:t>
      </w:r>
      <w:r w:rsidR="003A1F4A">
        <w:t>%</w:t>
      </w:r>
      <w:r>
        <w:t xml:space="preserve"> to 75% of patients had treatment plans modified by a PSMA PET CT result. However, the ACM noted that there is currently no seminal study demonstrating this.</w:t>
      </w:r>
    </w:p>
    <w:p w14:paraId="15DA4EB2" w14:textId="2A31D920" w:rsidR="00C74D83" w:rsidRDefault="00C74D83" w:rsidP="00C74D83">
      <w:r>
        <w:t xml:space="preserve">The ACM were of the view that </w:t>
      </w:r>
      <w:r w:rsidRPr="00216C9F">
        <w:t>PSMA PET CT is the imaging modality with the highest diagnostic performance currently available for both primary and post-treatment nodal and distant staging or restaging of prostate cancer.</w:t>
      </w:r>
      <w:r>
        <w:t xml:space="preserve"> Further noting that PSMA PET CT is now considered standard of care, with many major guidelines now recommending PSMA</w:t>
      </w:r>
      <w:r w:rsidR="003A1F4A">
        <w:t> </w:t>
      </w:r>
      <w:r>
        <w:t>PET CT over conventional scans.</w:t>
      </w:r>
    </w:p>
    <w:p w14:paraId="7309C6C5" w14:textId="79FF9DD9" w:rsidR="00C74D83" w:rsidRPr="004F092B" w:rsidRDefault="00C74D83" w:rsidP="00C74D83">
      <w:r w:rsidRPr="004F092B">
        <w:t>The</w:t>
      </w:r>
      <w:r>
        <w:t xml:space="preserve"> ACM agreed that</w:t>
      </w:r>
      <w:r w:rsidRPr="004F092B">
        <w:t xml:space="preserve"> the Australian</w:t>
      </w:r>
      <w:r>
        <w:t xml:space="preserve"> </w:t>
      </w:r>
      <w:proofErr w:type="spellStart"/>
      <w:r>
        <w:t>proPSMA</w:t>
      </w:r>
      <w:proofErr w:type="spellEnd"/>
      <w:r w:rsidRPr="004F092B">
        <w:t xml:space="preserve"> study</w:t>
      </w:r>
      <w:r w:rsidR="003A1F4A">
        <w:t>;</w:t>
      </w:r>
      <w:r w:rsidR="003A1F4A" w:rsidRPr="004F7DDA">
        <w:rPr>
          <w:vertAlign w:val="superscript"/>
        </w:rPr>
        <w:fldChar w:fldCharType="begin"/>
      </w:r>
      <w:r w:rsidR="003A1F4A" w:rsidRPr="004F7DDA">
        <w:rPr>
          <w:vertAlign w:val="superscript"/>
        </w:rPr>
        <w:instrText xml:space="preserve"> NOTEREF _Ref106353637 \h </w:instrText>
      </w:r>
      <w:r w:rsidR="003A1F4A">
        <w:rPr>
          <w:vertAlign w:val="superscript"/>
        </w:rPr>
        <w:instrText xml:space="preserve"> \* MERGEFORMAT </w:instrText>
      </w:r>
      <w:r w:rsidR="003A1F4A" w:rsidRPr="004F7DDA">
        <w:rPr>
          <w:vertAlign w:val="superscript"/>
        </w:rPr>
      </w:r>
      <w:r w:rsidR="003A1F4A" w:rsidRPr="004F7DDA">
        <w:rPr>
          <w:vertAlign w:val="superscript"/>
        </w:rPr>
        <w:fldChar w:fldCharType="separate"/>
      </w:r>
      <w:r w:rsidR="00036995">
        <w:rPr>
          <w:vertAlign w:val="superscript"/>
        </w:rPr>
        <w:t>14</w:t>
      </w:r>
      <w:r w:rsidR="003A1F4A" w:rsidRPr="004F7DDA">
        <w:rPr>
          <w:vertAlign w:val="superscript"/>
        </w:rPr>
        <w:fldChar w:fldCharType="end"/>
      </w:r>
      <w:r w:rsidRPr="004F092B">
        <w:t xml:space="preserve"> which include</w:t>
      </w:r>
      <w:r>
        <w:t>d</w:t>
      </w:r>
      <w:r w:rsidRPr="004F092B">
        <w:t xml:space="preserve"> randomised data of conventional v</w:t>
      </w:r>
      <w:r>
        <w:t>ersus</w:t>
      </w:r>
      <w:r w:rsidRPr="004F092B">
        <w:t xml:space="preserve"> PMSA PET</w:t>
      </w:r>
      <w:r>
        <w:t xml:space="preserve"> CT</w:t>
      </w:r>
      <w:r w:rsidRPr="004F092B">
        <w:t xml:space="preserve"> imaging</w:t>
      </w:r>
      <w:r>
        <w:t>,</w:t>
      </w:r>
      <w:r w:rsidRPr="004F092B">
        <w:t xml:space="preserve"> has driven clinical usage in Australia and is </w:t>
      </w:r>
      <w:r>
        <w:t>supportive of good clinical utility, noting it is a</w:t>
      </w:r>
      <w:r w:rsidRPr="008B7D6A">
        <w:t xml:space="preserve"> </w:t>
      </w:r>
      <w:proofErr w:type="gramStart"/>
      <w:r w:rsidRPr="008B7D6A">
        <w:t>whole body</w:t>
      </w:r>
      <w:proofErr w:type="gramEnd"/>
      <w:r w:rsidRPr="008B7D6A">
        <w:t xml:space="preserve"> scan</w:t>
      </w:r>
      <w:r>
        <w:t xml:space="preserve"> with h</w:t>
      </w:r>
      <w:r w:rsidRPr="008B7D6A">
        <w:t>igh concordance</w:t>
      </w:r>
      <w:r>
        <w:t xml:space="preserve"> and l</w:t>
      </w:r>
      <w:r w:rsidRPr="008B7D6A">
        <w:t>ow radiation dose</w:t>
      </w:r>
      <w:r>
        <w:t>.</w:t>
      </w:r>
    </w:p>
    <w:p w14:paraId="591B780A" w14:textId="20C8A73E" w:rsidR="00C74D83" w:rsidRPr="008B7D6A" w:rsidRDefault="00C74D83" w:rsidP="00C74D83">
      <w:r>
        <w:t xml:space="preserve">However, the ACM noted that much of evidence that supports diagnostic performance and clinically utility is based on generic PSMA tracers rather than the </w:t>
      </w:r>
      <w:proofErr w:type="spellStart"/>
      <w:r w:rsidR="0016401D">
        <w:t>Illuccix</w:t>
      </w:r>
      <w:proofErr w:type="spellEnd"/>
      <w:r w:rsidR="0016401D">
        <w:t xml:space="preserve"> </w:t>
      </w:r>
      <w:r>
        <w:t xml:space="preserve">kit. Noting this limitation, the ACM discussed that it is likely that all small molecule ligands targeting PSMA have similar performance and were of the view that the literature on PSMA PET CT appropriately </w:t>
      </w:r>
      <w:r w:rsidRPr="008B7D6A">
        <w:t>establish</w:t>
      </w:r>
      <w:r>
        <w:t>es</w:t>
      </w:r>
      <w:r w:rsidRPr="008B7D6A">
        <w:t xml:space="preserve"> the superiority of </w:t>
      </w:r>
      <w:r w:rsidR="003A1F4A">
        <w:rPr>
          <w:rStyle w:val="style1"/>
          <w:rFonts w:cstheme="minorHAnsi"/>
          <w:iCs/>
        </w:rPr>
        <w:t>[</w:t>
      </w:r>
      <w:r w:rsidR="003A1F4A">
        <w:rPr>
          <w:rStyle w:val="style1"/>
          <w:rFonts w:cstheme="minorHAnsi"/>
          <w:iCs/>
          <w:vertAlign w:val="superscript"/>
        </w:rPr>
        <w:t>68</w:t>
      </w:r>
      <w:r w:rsidR="003A1F4A">
        <w:rPr>
          <w:rStyle w:val="style1"/>
          <w:rFonts w:cstheme="minorHAnsi"/>
          <w:iCs/>
        </w:rPr>
        <w:t xml:space="preserve">Ga] </w:t>
      </w:r>
      <w:r w:rsidR="00293AB9">
        <w:rPr>
          <w:rStyle w:val="style1"/>
          <w:rFonts w:cstheme="minorHAnsi"/>
          <w:iCs/>
        </w:rPr>
        <w:t>gallium</w:t>
      </w:r>
      <w:r w:rsidR="003A1F4A">
        <w:rPr>
          <w:rStyle w:val="style1"/>
          <w:rFonts w:cstheme="minorHAnsi"/>
          <w:iCs/>
        </w:rPr>
        <w:t xml:space="preserve"> PSMA-11</w:t>
      </w:r>
      <w:r w:rsidRPr="008B7D6A">
        <w:t xml:space="preserve"> compared with conventional imaging</w:t>
      </w:r>
      <w:r>
        <w:t>.</w:t>
      </w:r>
    </w:p>
    <w:p w14:paraId="0DD8F6DF" w14:textId="77777777" w:rsidR="00C74D83" w:rsidRDefault="00C74D83" w:rsidP="00C74D83">
      <w:r>
        <w:t>The ACM advised that some caution is warranted when assessing the diagnostic performance data, as many studies have been retrospective and histopathological data may not have been available or complete as a reference standard. Some caution is also warranted when assessing clinical utility data, as prospective studies regarding survival benefit based on staging using PSMA PET CT remain pending.</w:t>
      </w:r>
    </w:p>
    <w:p w14:paraId="57837751" w14:textId="5354DC87" w:rsidR="00C74D83" w:rsidRPr="008B7D6A" w:rsidRDefault="00C74D83" w:rsidP="00C74D83">
      <w:pPr>
        <w:pStyle w:val="Numberbullet0"/>
        <w:numPr>
          <w:ilvl w:val="0"/>
          <w:numId w:val="44"/>
        </w:numPr>
        <w:ind w:left="425"/>
        <w:rPr>
          <w:b/>
          <w:bCs/>
          <w:i/>
          <w:iCs/>
        </w:rPr>
      </w:pPr>
      <w:r w:rsidRPr="008B7D6A">
        <w:rPr>
          <w:b/>
          <w:bCs/>
          <w:i/>
          <w:iCs/>
        </w:rPr>
        <w:t xml:space="preserve">What is ACM’s advice regarding the proposed indication for </w:t>
      </w:r>
      <w:proofErr w:type="spellStart"/>
      <w:r w:rsidR="0016401D" w:rsidRPr="008B7D6A">
        <w:rPr>
          <w:b/>
          <w:bCs/>
          <w:i/>
          <w:iCs/>
        </w:rPr>
        <w:t>Illuccix</w:t>
      </w:r>
      <w:proofErr w:type="spellEnd"/>
      <w:r w:rsidRPr="008B7D6A">
        <w:rPr>
          <w:b/>
          <w:bCs/>
          <w:i/>
          <w:iCs/>
        </w:rPr>
        <w:t>?</w:t>
      </w:r>
    </w:p>
    <w:p w14:paraId="69854201" w14:textId="77777777" w:rsidR="00C74D83" w:rsidRDefault="00C74D83" w:rsidP="00C74D83">
      <w:r w:rsidRPr="00216C9F">
        <w:t xml:space="preserve">The ACM </w:t>
      </w:r>
      <w:r>
        <w:t xml:space="preserve">were of the view the indication for </w:t>
      </w:r>
      <w:proofErr w:type="spellStart"/>
      <w:r>
        <w:t>Illuccix</w:t>
      </w:r>
      <w:proofErr w:type="spellEnd"/>
      <w:r>
        <w:t xml:space="preserve"> should be limited to </w:t>
      </w:r>
      <w:r w:rsidRPr="00D3101C">
        <w:t>patients with newly diagnosed prostate cancer</w:t>
      </w:r>
      <w:r>
        <w:t xml:space="preserve"> at risk of metastasis and who are suitable for initial definitive therapy,</w:t>
      </w:r>
      <w:r w:rsidRPr="00D3101C">
        <w:t xml:space="preserve"> and patients with biochemical recurrence</w:t>
      </w:r>
      <w:r>
        <w:t xml:space="preserve">. While the ACM agreed that there were no safety concerns with a broader indication, they were of the view that the </w:t>
      </w:r>
      <w:r>
        <w:lastRenderedPageBreak/>
        <w:t>current evidence does not yet adequately demonstrate an open prostate cancer indication, however encouraged the generation of further data. The ACM did not support an indication for patients who are candidates for PSMA-targeted therapy, as data supporting this indication has not been submitted for evaluation.</w:t>
      </w:r>
    </w:p>
    <w:p w14:paraId="38420990" w14:textId="77777777" w:rsidR="00C74D83" w:rsidRDefault="00C74D83" w:rsidP="00C74D83">
      <w:r>
        <w:t>Overall, the ACM were supportive of the indication:</w:t>
      </w:r>
    </w:p>
    <w:p w14:paraId="5875B40D" w14:textId="1BB13CE3" w:rsidR="00C74D83" w:rsidRPr="00C74D83" w:rsidRDefault="0016401D" w:rsidP="004F7DDA">
      <w:pPr>
        <w:ind w:left="720"/>
        <w:rPr>
          <w:i/>
          <w:iCs/>
        </w:rPr>
      </w:pPr>
      <w:proofErr w:type="spellStart"/>
      <w:r w:rsidRPr="00C74D83">
        <w:rPr>
          <w:i/>
          <w:iCs/>
        </w:rPr>
        <w:t>Illuccix</w:t>
      </w:r>
      <w:proofErr w:type="spellEnd"/>
      <w:r w:rsidR="00C74D83" w:rsidRPr="00C74D83">
        <w:rPr>
          <w:i/>
          <w:iCs/>
        </w:rPr>
        <w:t>, after radiolabelling with Ga-68, is a radioactive diagnostic agent indicated for use with positron emission tomography (PET) imaging combined with Computerised Tomography (CT) in patients with prostate cancer:</w:t>
      </w:r>
    </w:p>
    <w:p w14:paraId="36892F4A" w14:textId="77777777" w:rsidR="00C74D83" w:rsidRPr="004F7DDA" w:rsidRDefault="00C74D83" w:rsidP="004F7DDA">
      <w:pPr>
        <w:pStyle w:val="ListBullet3"/>
        <w:rPr>
          <w:i/>
        </w:rPr>
      </w:pPr>
      <w:r w:rsidRPr="004F7DDA">
        <w:rPr>
          <w:i/>
        </w:rPr>
        <w:t xml:space="preserve">who are at risk of metastasis and who are suitable for initial definitive </w:t>
      </w:r>
      <w:proofErr w:type="gramStart"/>
      <w:r w:rsidRPr="004F7DDA">
        <w:rPr>
          <w:i/>
        </w:rPr>
        <w:t>therapy.</w:t>
      </w:r>
      <w:proofErr w:type="gramEnd"/>
    </w:p>
    <w:p w14:paraId="47E7F82F" w14:textId="77777777" w:rsidR="00C74D83" w:rsidRPr="00E00C56" w:rsidRDefault="00C74D83" w:rsidP="004F7DDA">
      <w:pPr>
        <w:pStyle w:val="ListBullet3"/>
      </w:pPr>
      <w:r w:rsidRPr="004F7DDA">
        <w:rPr>
          <w:i/>
        </w:rPr>
        <w:t xml:space="preserve">who have suspected recurrence based on elevated serum prostate specific antigen (PSA) </w:t>
      </w:r>
      <w:proofErr w:type="gramStart"/>
      <w:r w:rsidRPr="004F7DDA">
        <w:rPr>
          <w:i/>
        </w:rPr>
        <w:t>level.</w:t>
      </w:r>
      <w:proofErr w:type="gramEnd"/>
    </w:p>
    <w:p w14:paraId="2928F5CC" w14:textId="77777777" w:rsidR="00C74D83" w:rsidRPr="00216C9F" w:rsidRDefault="00C74D83" w:rsidP="00C74D83">
      <w:pPr>
        <w:pStyle w:val="Numberbullet0"/>
        <w:keepNext/>
        <w:numPr>
          <w:ilvl w:val="0"/>
          <w:numId w:val="44"/>
        </w:numPr>
        <w:ind w:left="425"/>
        <w:rPr>
          <w:b/>
          <w:bCs/>
          <w:i/>
          <w:iCs/>
        </w:rPr>
      </w:pPr>
      <w:r w:rsidRPr="00216C9F">
        <w:rPr>
          <w:b/>
          <w:bCs/>
          <w:i/>
          <w:iCs/>
        </w:rPr>
        <w:t xml:space="preserve">Other </w:t>
      </w:r>
      <w:r>
        <w:rPr>
          <w:b/>
          <w:bCs/>
          <w:i/>
          <w:iCs/>
        </w:rPr>
        <w:t>advice.</w:t>
      </w:r>
    </w:p>
    <w:p w14:paraId="7A3F3C4D" w14:textId="60682D8C" w:rsidR="00C74D83" w:rsidRPr="00C74D83" w:rsidRDefault="00C74D83" w:rsidP="00C74D83">
      <w:r>
        <w:t xml:space="preserve">The ACM expressed concern that having an approved product may impact access and cost of PSMA PET CT. The ACM were strongly supportive that a potential approval of </w:t>
      </w:r>
      <w:proofErr w:type="spellStart"/>
      <w:r>
        <w:t>Illuccix</w:t>
      </w:r>
      <w:proofErr w:type="spellEnd"/>
      <w:r>
        <w:t xml:space="preserve"> should not lead to a decrease in the availability of other agents.</w:t>
      </w:r>
    </w:p>
    <w:p w14:paraId="53CF652C" w14:textId="0D901C7E" w:rsidR="00744121" w:rsidRDefault="00744121" w:rsidP="00744121">
      <w:pPr>
        <w:pStyle w:val="Heading5"/>
      </w:pPr>
      <w:r>
        <w:t>Conclusion</w:t>
      </w:r>
    </w:p>
    <w:p w14:paraId="15F814FC" w14:textId="77777777" w:rsidR="00C74D83" w:rsidRDefault="00C74D83" w:rsidP="00C74D83">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6949B7E0" w14:textId="6FE57274" w:rsidR="00C74D83" w:rsidRPr="00CC3D89" w:rsidRDefault="00C74D83" w:rsidP="004F7DDA">
      <w:pPr>
        <w:ind w:left="720"/>
        <w:rPr>
          <w:i/>
          <w:iCs/>
        </w:rPr>
      </w:pPr>
      <w:proofErr w:type="spellStart"/>
      <w:r w:rsidRPr="00CC3D89">
        <w:rPr>
          <w:i/>
          <w:iCs/>
        </w:rPr>
        <w:t>I</w:t>
      </w:r>
      <w:r w:rsidR="003F2B9A">
        <w:rPr>
          <w:i/>
          <w:iCs/>
        </w:rPr>
        <w:t>lluccix</w:t>
      </w:r>
      <w:proofErr w:type="spellEnd"/>
      <w:r w:rsidRPr="00CC3D89">
        <w:rPr>
          <w:i/>
          <w:iCs/>
        </w:rPr>
        <w:t>, after radiolabelling with Ga-68, is a radioactive diagnostic agent indicated for use with positron emission tomography (PET) imaging combined with Computerised Tomography (CT) in patients with prostate cancer:</w:t>
      </w:r>
    </w:p>
    <w:p w14:paraId="4C1FEC48" w14:textId="77777777" w:rsidR="00C74D83" w:rsidRPr="004F7DDA" w:rsidRDefault="00C74D83" w:rsidP="004F7DDA">
      <w:pPr>
        <w:pStyle w:val="ListBullet3"/>
        <w:rPr>
          <w:i/>
        </w:rPr>
      </w:pPr>
      <w:r w:rsidRPr="004F7DDA">
        <w:rPr>
          <w:i/>
        </w:rPr>
        <w:t xml:space="preserve">who are at risk of metastasis and who are suitable for initial definitive </w:t>
      </w:r>
      <w:proofErr w:type="gramStart"/>
      <w:r w:rsidRPr="004F7DDA">
        <w:rPr>
          <w:i/>
        </w:rPr>
        <w:t>therapy.</w:t>
      </w:r>
      <w:proofErr w:type="gramEnd"/>
    </w:p>
    <w:p w14:paraId="6CA1CB10" w14:textId="080778E3" w:rsidR="00C74D83" w:rsidRPr="00C74D83" w:rsidRDefault="00C74D83" w:rsidP="004F7DDA">
      <w:pPr>
        <w:pStyle w:val="ListBullet3"/>
      </w:pPr>
      <w:r w:rsidRPr="004F7DDA">
        <w:rPr>
          <w:i/>
        </w:rPr>
        <w:t xml:space="preserve">who have suspected recurrence based on elevated serum prostate specific antigen (PSA) </w:t>
      </w:r>
      <w:proofErr w:type="gramStart"/>
      <w:r w:rsidRPr="004F7DDA">
        <w:rPr>
          <w:i/>
        </w:rPr>
        <w:t>level.</w:t>
      </w:r>
      <w:proofErr w:type="gramEnd"/>
    </w:p>
    <w:p w14:paraId="550785CA" w14:textId="77777777" w:rsidR="008E7846" w:rsidRPr="002E238E" w:rsidRDefault="008E7846" w:rsidP="008E7846">
      <w:pPr>
        <w:pStyle w:val="Heading3"/>
      </w:pPr>
      <w:bookmarkStart w:id="101" w:name="_Toc106373317"/>
      <w:r>
        <w:t>Outcome</w:t>
      </w:r>
      <w:bookmarkEnd w:id="99"/>
      <w:bookmarkEnd w:id="100"/>
      <w:bookmarkEnd w:id="101"/>
    </w:p>
    <w:p w14:paraId="6978B029" w14:textId="77777777" w:rsidR="00676906" w:rsidRDefault="00744121" w:rsidP="00744121">
      <w:bookmarkStart w:id="102" w:name="_Toc247691533"/>
      <w:bookmarkStart w:id="103" w:name="_Toc314842517"/>
      <w:r>
        <w:t xml:space="preserve">Based on a review of quality, </w:t>
      </w:r>
      <w:proofErr w:type="gramStart"/>
      <w:r>
        <w:t>safety</w:t>
      </w:r>
      <w:proofErr w:type="gramEnd"/>
      <w:r>
        <w:t xml:space="preserve"> and efficacy, the TGA approved the registration of</w:t>
      </w:r>
      <w:r w:rsidR="00676906">
        <w:t>:</w:t>
      </w:r>
    </w:p>
    <w:p w14:paraId="769B0BD5" w14:textId="5AC38C58" w:rsidR="00676906" w:rsidRDefault="00676906" w:rsidP="004F7DDA">
      <w:pPr>
        <w:pStyle w:val="ListBullet"/>
      </w:pPr>
      <w:proofErr w:type="spellStart"/>
      <w:r>
        <w:t>Illuccix</w:t>
      </w:r>
      <w:proofErr w:type="spellEnd"/>
      <w:r>
        <w:t xml:space="preserve"> Configuration A Kit for the Preparation of Ga-68 Glu-urea-Lys(</w:t>
      </w:r>
      <w:proofErr w:type="spellStart"/>
      <w:r>
        <w:t>ahx</w:t>
      </w:r>
      <w:proofErr w:type="spellEnd"/>
      <w:r>
        <w:t>)-</w:t>
      </w:r>
      <w:proofErr w:type="spellStart"/>
      <w:r>
        <w:t>hbed</w:t>
      </w:r>
      <w:proofErr w:type="spellEnd"/>
      <w:r>
        <w:t>-CC 25 microgram solution for injection Glass Vial</w:t>
      </w:r>
    </w:p>
    <w:p w14:paraId="12AC2FF6" w14:textId="795CB71D" w:rsidR="00676906" w:rsidRDefault="00676906" w:rsidP="004F7DDA">
      <w:pPr>
        <w:pStyle w:val="ListBullet"/>
      </w:pPr>
      <w:proofErr w:type="spellStart"/>
      <w:r>
        <w:t>Illuccix</w:t>
      </w:r>
      <w:proofErr w:type="spellEnd"/>
      <w:r>
        <w:t xml:space="preserve"> Configuration B Kit for the Preparation of Ga-68 Glu-urea-Lys(</w:t>
      </w:r>
      <w:proofErr w:type="spellStart"/>
      <w:r>
        <w:t>ahx</w:t>
      </w:r>
      <w:proofErr w:type="spellEnd"/>
      <w:r>
        <w:t>)-</w:t>
      </w:r>
      <w:proofErr w:type="spellStart"/>
      <w:r>
        <w:t>hbed</w:t>
      </w:r>
      <w:proofErr w:type="spellEnd"/>
      <w:r>
        <w:t>-CC 25 microgram solution for injection Glass Vial</w:t>
      </w:r>
    </w:p>
    <w:p w14:paraId="731FCC48" w14:textId="484F0524" w:rsidR="00D23754" w:rsidRDefault="00676906" w:rsidP="00744121">
      <w:r>
        <w:t>The approval of the above products is</w:t>
      </w:r>
      <w:r w:rsidR="003A1F4A">
        <w:t xml:space="preserve"> for the following indication:</w:t>
      </w:r>
    </w:p>
    <w:p w14:paraId="6A2BC873" w14:textId="2DA6CD54" w:rsidR="00222555" w:rsidRPr="00222555" w:rsidRDefault="00222555" w:rsidP="004F7DDA">
      <w:pPr>
        <w:ind w:left="720"/>
        <w:rPr>
          <w:i/>
          <w:iCs/>
        </w:rPr>
      </w:pPr>
      <w:proofErr w:type="spellStart"/>
      <w:r w:rsidRPr="00222555">
        <w:rPr>
          <w:i/>
          <w:iCs/>
        </w:rPr>
        <w:t>Illuccix</w:t>
      </w:r>
      <w:proofErr w:type="spellEnd"/>
      <w:r w:rsidRPr="00222555">
        <w:rPr>
          <w:i/>
          <w:iCs/>
        </w:rPr>
        <w:t>, after radiolabelling with Ga-68, is a radioactive diagnostic agent indicated for use with positron emission tomography (PET) imaging combined with Computerised Tomography (CT) in patients with prostate cancer:</w:t>
      </w:r>
    </w:p>
    <w:p w14:paraId="2CB5CB7B" w14:textId="73A33CBE" w:rsidR="00222555" w:rsidRPr="004F7DDA" w:rsidRDefault="00222555" w:rsidP="004F7DDA">
      <w:pPr>
        <w:pStyle w:val="ListBullet3"/>
        <w:rPr>
          <w:i/>
        </w:rPr>
      </w:pPr>
      <w:r w:rsidRPr="004F7DDA">
        <w:rPr>
          <w:i/>
        </w:rPr>
        <w:t xml:space="preserve">who are at risk of metastasis and who are suitable for initial definitive </w:t>
      </w:r>
      <w:proofErr w:type="gramStart"/>
      <w:r w:rsidRPr="004F7DDA">
        <w:rPr>
          <w:i/>
        </w:rPr>
        <w:t>therapy.</w:t>
      </w:r>
      <w:proofErr w:type="gramEnd"/>
    </w:p>
    <w:p w14:paraId="30B00698" w14:textId="7F24575A" w:rsidR="00D23139" w:rsidRPr="004F7DDA" w:rsidRDefault="00222555" w:rsidP="004F7DDA">
      <w:pPr>
        <w:pStyle w:val="ListBullet3"/>
        <w:rPr>
          <w:i/>
        </w:rPr>
      </w:pPr>
      <w:r w:rsidRPr="004F7DDA">
        <w:rPr>
          <w:i/>
        </w:rPr>
        <w:t xml:space="preserve">who have suspected recurrence based on elevated serum prostate specific antigen (PSA) </w:t>
      </w:r>
      <w:proofErr w:type="gramStart"/>
      <w:r w:rsidRPr="004F7DDA">
        <w:rPr>
          <w:i/>
        </w:rPr>
        <w:t>level.</w:t>
      </w:r>
      <w:proofErr w:type="gramEnd"/>
    </w:p>
    <w:p w14:paraId="6BF9B175" w14:textId="77777777" w:rsidR="00D23139" w:rsidRPr="00D23139" w:rsidRDefault="00D23139" w:rsidP="00D23139">
      <w:pPr>
        <w:pStyle w:val="Heading4"/>
      </w:pPr>
      <w:r w:rsidRPr="00D23139">
        <w:t>Specific conditions of registration applying to these goods</w:t>
      </w:r>
    </w:p>
    <w:p w14:paraId="2B61CFEA" w14:textId="437F9416" w:rsidR="00456765" w:rsidRDefault="00222555" w:rsidP="007D53B6">
      <w:pPr>
        <w:pStyle w:val="ListBullet"/>
        <w:numPr>
          <w:ilvl w:val="0"/>
          <w:numId w:val="45"/>
        </w:numPr>
        <w:spacing w:after="180"/>
      </w:pPr>
      <w:r>
        <w:t xml:space="preserve">This approval does not </w:t>
      </w:r>
      <w:r w:rsidRPr="003A1F4A">
        <w:t xml:space="preserve">impose </w:t>
      </w:r>
      <w:r>
        <w:t xml:space="preserve">any requirement for the submission of periodic safety update reports (PSURs). The sponsor should note that it is a requirement that all existing requirements for the submission of PSURs </w:t>
      </w:r>
      <w:proofErr w:type="gramStart"/>
      <w:r>
        <w:t>as a consequence of</w:t>
      </w:r>
      <w:proofErr w:type="gramEnd"/>
      <w:r>
        <w:t xml:space="preserve"> the initial registration or subsequent changes must be completed.</w:t>
      </w:r>
    </w:p>
    <w:p w14:paraId="2BCDC573" w14:textId="77777777" w:rsidR="008E7846" w:rsidRDefault="00A80B5B" w:rsidP="00D23139">
      <w:pPr>
        <w:pStyle w:val="Heading2"/>
      </w:pPr>
      <w:bookmarkStart w:id="104" w:name="_Toc106373318"/>
      <w:r>
        <w:lastRenderedPageBreak/>
        <w:t xml:space="preserve">Attachment 1. </w:t>
      </w:r>
      <w:r w:rsidR="008E7846">
        <w:t xml:space="preserve">Product </w:t>
      </w:r>
      <w:r w:rsidR="00AA0ED0">
        <w:t>I</w:t>
      </w:r>
      <w:r w:rsidR="008E7846">
        <w:t>nformation</w:t>
      </w:r>
      <w:bookmarkEnd w:id="102"/>
      <w:bookmarkEnd w:id="103"/>
      <w:bookmarkEnd w:id="104"/>
    </w:p>
    <w:p w14:paraId="101C934A" w14:textId="5637BA23" w:rsidR="00C80137" w:rsidRDefault="006136D7" w:rsidP="00C80137">
      <w:pPr>
        <w:rPr>
          <w:color w:val="000000"/>
          <w:lang w:eastAsia="en-AU"/>
        </w:rPr>
      </w:pPr>
      <w:r w:rsidRPr="002B3624">
        <w:t xml:space="preserve">The </w:t>
      </w:r>
      <w:r>
        <w:t>PI</w:t>
      </w:r>
      <w:r w:rsidRPr="002B3624">
        <w:t xml:space="preserve"> for </w:t>
      </w:r>
      <w:proofErr w:type="spellStart"/>
      <w:r w:rsidR="00222555">
        <w:t>Illuccix</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53" w:history="1">
        <w:r w:rsidR="007C6B9B" w:rsidRPr="007C6B9B">
          <w:rPr>
            <w:rStyle w:val="Hyperlink"/>
          </w:rPr>
          <w:t>https://www.tga.gov.au/product-information-pi</w:t>
        </w:r>
      </w:hyperlink>
      <w:r w:rsidR="007C6B9B" w:rsidRPr="007C6B9B">
        <w:t>&gt;.</w:t>
      </w:r>
    </w:p>
    <w:p w14:paraId="5E82FD07" w14:textId="194C8A5A" w:rsidR="00744121" w:rsidRDefault="008E7846" w:rsidP="00D4094F">
      <w:pPr>
        <w:autoSpaceDE w:val="0"/>
        <w:autoSpaceDN w:val="0"/>
        <w:adjustRightInd w:val="0"/>
        <w:spacing w:after="0"/>
        <w:rPr>
          <w:lang w:eastAsia="ja-JP"/>
        </w:rPr>
      </w:pPr>
      <w:r w:rsidRPr="00C80137">
        <w:rPr>
          <w:b/>
        </w:rPr>
        <w:br w:type="page"/>
      </w:r>
    </w:p>
    <w:p w14:paraId="6231EB54" w14:textId="77777777" w:rsidR="00C80137" w:rsidRPr="001D043B" w:rsidRDefault="00C80137" w:rsidP="003A7F6C">
      <w:pPr>
        <w:pStyle w:val="TableTitle"/>
        <w:sectPr w:rsidR="00C80137" w:rsidRPr="001D043B" w:rsidSect="00B452CE">
          <w:headerReference w:type="even" r:id="rId54"/>
          <w:headerReference w:type="default" r:id="rId55"/>
          <w:headerReference w:type="first" r:id="rId56"/>
          <w:footerReference w:type="first" r:id="rId5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5C2040A" w14:textId="77777777" w:rsidTr="00A05FA4">
        <w:trPr>
          <w:trHeight w:hRule="exact" w:val="704"/>
        </w:trPr>
        <w:tc>
          <w:tcPr>
            <w:tcW w:w="9175" w:type="dxa"/>
          </w:tcPr>
          <w:p w14:paraId="301DE409" w14:textId="77777777" w:rsidR="001C32CD" w:rsidRPr="00487162" w:rsidRDefault="001C32CD" w:rsidP="00A05FA4">
            <w:pPr>
              <w:pStyle w:val="TGASignoff"/>
            </w:pPr>
            <w:r w:rsidRPr="00487162">
              <w:lastRenderedPageBreak/>
              <w:t>Therapeutic Goods Administration</w:t>
            </w:r>
          </w:p>
        </w:tc>
      </w:tr>
      <w:tr w:rsidR="001C32CD" w:rsidRPr="004C239D" w14:paraId="6655E26D" w14:textId="77777777" w:rsidTr="00A05FA4">
        <w:trPr>
          <w:trHeight w:val="1221"/>
        </w:trPr>
        <w:tc>
          <w:tcPr>
            <w:tcW w:w="9175" w:type="dxa"/>
            <w:tcMar>
              <w:top w:w="28" w:type="dxa"/>
            </w:tcMar>
          </w:tcPr>
          <w:p w14:paraId="7F21B424" w14:textId="77777777" w:rsidR="001C32CD" w:rsidRPr="00487162" w:rsidRDefault="001C32CD" w:rsidP="00A05FA4">
            <w:pPr>
              <w:pStyle w:val="Address"/>
            </w:pPr>
            <w:r w:rsidRPr="00487162">
              <w:t>PO Box 100 Woden ACT 2606 Australia</w:t>
            </w:r>
          </w:p>
          <w:p w14:paraId="4B08D857" w14:textId="32ECB3A0" w:rsidR="001C32CD" w:rsidRPr="00487162" w:rsidRDefault="001C32CD" w:rsidP="00A05FA4">
            <w:pPr>
              <w:pStyle w:val="Address"/>
            </w:pPr>
            <w:r w:rsidRPr="00487162">
              <w:t xml:space="preserve">Email: </w:t>
            </w:r>
            <w:hyperlink r:id="rId58"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2D6066D6" w14:textId="3DB3C29D" w:rsidR="001C32CD" w:rsidRPr="004C239D" w:rsidRDefault="009F19B0" w:rsidP="00A05FA4">
            <w:pPr>
              <w:pStyle w:val="Address"/>
              <w:spacing w:line="260" w:lineRule="atLeast"/>
              <w:rPr>
                <w:b/>
                <w:color w:val="0000FF"/>
                <w:u w:val="single"/>
              </w:rPr>
            </w:pPr>
            <w:hyperlink r:id="rId59" w:history="1">
              <w:r w:rsidR="007C6B9B" w:rsidRPr="007C6B9B">
                <w:rPr>
                  <w:rStyle w:val="Hyperlink"/>
                  <w:b/>
                </w:rPr>
                <w:t>https://www.tga.gov.au</w:t>
              </w:r>
            </w:hyperlink>
          </w:p>
        </w:tc>
      </w:tr>
    </w:tbl>
    <w:p w14:paraId="07DC62C4" w14:textId="77777777" w:rsidR="00774E1D" w:rsidRPr="008A5E0B" w:rsidRDefault="00774E1D" w:rsidP="004C239D"/>
    <w:sectPr w:rsidR="00774E1D" w:rsidRPr="008A5E0B" w:rsidSect="001C32CD">
      <w:headerReference w:type="even" r:id="rId60"/>
      <w:headerReference w:type="default" r:id="rId61"/>
      <w:footerReference w:type="default" r:id="rId62"/>
      <w:headerReference w:type="first" r:id="rId63"/>
      <w:footerReference w:type="first" r:id="rId6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E8811" w14:textId="77777777" w:rsidR="009F19B0" w:rsidRDefault="009F19B0" w:rsidP="00C40A36">
      <w:pPr>
        <w:spacing w:after="0"/>
      </w:pPr>
      <w:r>
        <w:separator/>
      </w:r>
    </w:p>
  </w:endnote>
  <w:endnote w:type="continuationSeparator" w:id="0">
    <w:p w14:paraId="3C5E139A" w14:textId="77777777" w:rsidR="009F19B0" w:rsidRDefault="009F19B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HelveticaNeue-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83" w:usb1="00000000" w:usb2="00000000" w:usb3="00000000" w:csb0="00000009" w:csb1="00000000"/>
  </w:font>
  <w:font w:name="TimesNewRomanPSMT">
    <w:altName w:val="MS Gothic"/>
    <w:panose1 w:val="00000000000000000000"/>
    <w:charset w:val="00"/>
    <w:family w:val="roman"/>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dvTT3713a231">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00"/>
    <w:family w:val="roman"/>
    <w:notTrueType/>
    <w:pitch w:val="default"/>
    <w:sig w:usb0="00000083" w:usb1="090F0000" w:usb2="00000010" w:usb3="00000000" w:csb0="001A0009"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F19B0" w:rsidRPr="00487162" w14:paraId="54B65301" w14:textId="77777777" w:rsidTr="00DB750B">
      <w:trPr>
        <w:trHeight w:val="269"/>
      </w:trPr>
      <w:tc>
        <w:tcPr>
          <w:tcW w:w="7371" w:type="dxa"/>
          <w:tcMar>
            <w:top w:w="142" w:type="dxa"/>
            <w:bottom w:w="0" w:type="dxa"/>
          </w:tcMar>
        </w:tcPr>
        <w:p w14:paraId="0E19FAD3" w14:textId="2EE21A42" w:rsidR="009F19B0" w:rsidRPr="00487162" w:rsidRDefault="009F19B0" w:rsidP="00460036">
          <w:pPr>
            <w:pStyle w:val="Footer"/>
          </w:pPr>
          <w:proofErr w:type="spellStart"/>
          <w:r w:rsidRPr="00487162">
            <w:t>AusPA</w:t>
          </w:r>
          <w:r>
            <w:t>R</w:t>
          </w:r>
          <w:proofErr w:type="spellEnd"/>
          <w:r>
            <w:t xml:space="preserve"> - - </w:t>
          </w:r>
          <w:proofErr w:type="spellStart"/>
          <w:r>
            <w:t>Illuccix</w:t>
          </w:r>
          <w:proofErr w:type="spellEnd"/>
          <w:r>
            <w:t xml:space="preserve"> – </w:t>
          </w:r>
          <w:r w:rsidRPr="0013721D">
            <w:t>Glu-urea-Lys(</w:t>
          </w:r>
          <w:proofErr w:type="spellStart"/>
          <w:r w:rsidRPr="0013721D">
            <w:t>ahx</w:t>
          </w:r>
          <w:proofErr w:type="spellEnd"/>
          <w:r w:rsidRPr="0013721D">
            <w:t>)-</w:t>
          </w:r>
          <w:proofErr w:type="spellStart"/>
          <w:r w:rsidRPr="0013721D">
            <w:t>hbed</w:t>
          </w:r>
          <w:proofErr w:type="spellEnd"/>
          <w:r w:rsidRPr="0013721D">
            <w:t xml:space="preserve">-CC </w:t>
          </w:r>
          <w:r>
            <w:t xml:space="preserve">– </w:t>
          </w:r>
          <w:proofErr w:type="spellStart"/>
          <w:r w:rsidRPr="00A90AF3">
            <w:t>Telix</w:t>
          </w:r>
          <w:proofErr w:type="spellEnd"/>
          <w:r w:rsidRPr="00A90AF3">
            <w:t xml:space="preserve"> Pharmaceuticals (ANZ) Pty Ltd.</w:t>
          </w:r>
          <w:r>
            <w:t xml:space="preserve"> – </w:t>
          </w:r>
          <w:r w:rsidRPr="00A90AF3">
            <w:t>PM-2021-00851-1-4</w:t>
          </w:r>
          <w:r>
            <w:br/>
            <w:t>FINAL</w:t>
          </w:r>
          <w:r w:rsidRPr="00487162">
            <w:t xml:space="preserve"> </w:t>
          </w:r>
          <w:r>
            <w:t>17 June 2022</w:t>
          </w:r>
        </w:p>
      </w:tc>
      <w:tc>
        <w:tcPr>
          <w:tcW w:w="1490" w:type="dxa"/>
          <w:tcMar>
            <w:top w:w="142" w:type="dxa"/>
            <w:bottom w:w="0" w:type="dxa"/>
          </w:tcMar>
        </w:tcPr>
        <w:p w14:paraId="15B826D4" w14:textId="04B26B73" w:rsidR="009F19B0" w:rsidRPr="00487162" w:rsidRDefault="009F19B0" w:rsidP="00DB750B">
          <w:pPr>
            <w:pStyle w:val="Footer"/>
            <w:jc w:val="right"/>
          </w:pPr>
          <w:r w:rsidRPr="00487162">
            <w:t xml:space="preserve">Page </w:t>
          </w:r>
          <w:r>
            <w:fldChar w:fldCharType="begin"/>
          </w:r>
          <w:r>
            <w:instrText xml:space="preserve"> PAGE  \* Arabic </w:instrText>
          </w:r>
          <w:r>
            <w:fldChar w:fldCharType="separate"/>
          </w:r>
          <w:r>
            <w:rPr>
              <w:noProof/>
            </w:rPr>
            <w:t>7</w:t>
          </w:r>
          <w:r>
            <w:fldChar w:fldCharType="end"/>
          </w:r>
          <w:r w:rsidRPr="00487162">
            <w:t xml:space="preserve"> of </w:t>
          </w:r>
          <w:fldSimple w:instr=" NUMPAGES  \* Arabic ">
            <w:r>
              <w:rPr>
                <w:noProof/>
              </w:rPr>
              <w:t>54</w:t>
            </w:r>
          </w:fldSimple>
        </w:p>
      </w:tc>
    </w:tr>
  </w:tbl>
  <w:p w14:paraId="719B2BD8" w14:textId="77777777" w:rsidR="009F19B0" w:rsidRDefault="009F19B0"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F19B0" w:rsidRPr="00487162" w14:paraId="3A95ADC8" w14:textId="77777777" w:rsidTr="00E45619">
      <w:trPr>
        <w:trHeight w:val="269"/>
      </w:trPr>
      <w:tc>
        <w:tcPr>
          <w:tcW w:w="4519" w:type="dxa"/>
          <w:tcBorders>
            <w:top w:val="single" w:sz="4" w:space="0" w:color="auto"/>
          </w:tcBorders>
          <w:tcMar>
            <w:top w:w="142" w:type="dxa"/>
            <w:bottom w:w="0" w:type="dxa"/>
          </w:tcMar>
        </w:tcPr>
        <w:p w14:paraId="18CF79E6" w14:textId="77777777" w:rsidR="009F19B0" w:rsidRPr="00487162" w:rsidRDefault="009F19B0" w:rsidP="00FE1DEE">
          <w:pPr>
            <w:pStyle w:val="Footer"/>
          </w:pPr>
          <w:r w:rsidRPr="00487162">
            <w:t>Document title, Part #, Section # - Section title</w:t>
          </w:r>
        </w:p>
        <w:p w14:paraId="6A841E3B" w14:textId="77777777" w:rsidR="009F19B0" w:rsidRPr="00487162" w:rsidRDefault="009F19B0" w:rsidP="00FE1DEE">
          <w:pPr>
            <w:pStyle w:val="Footer"/>
          </w:pPr>
          <w:r w:rsidRPr="00487162">
            <w:t>V1.0 October 2010</w:t>
          </w:r>
        </w:p>
      </w:tc>
      <w:tc>
        <w:tcPr>
          <w:tcW w:w="4342" w:type="dxa"/>
          <w:tcBorders>
            <w:top w:val="single" w:sz="4" w:space="0" w:color="auto"/>
          </w:tcBorders>
          <w:tcMar>
            <w:top w:w="142" w:type="dxa"/>
            <w:bottom w:w="0" w:type="dxa"/>
          </w:tcMar>
        </w:tcPr>
        <w:p w14:paraId="6988A7AE" w14:textId="77777777" w:rsidR="009F19B0" w:rsidRPr="00487162" w:rsidRDefault="009F19B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1B3896E4" w14:textId="77777777" w:rsidR="009F19B0" w:rsidRDefault="009F19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38D2B" w14:textId="77777777" w:rsidR="009F19B0" w:rsidRPr="001C32CD" w:rsidRDefault="009F19B0"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F19B0" w14:paraId="3DEDA1DA" w14:textId="77777777" w:rsidTr="0010601F">
      <w:trPr>
        <w:trHeight w:val="108"/>
      </w:trPr>
      <w:tc>
        <w:tcPr>
          <w:tcW w:w="8875" w:type="dxa"/>
          <w:gridSpan w:val="2"/>
          <w:tcBorders>
            <w:bottom w:val="single" w:sz="4" w:space="0" w:color="auto"/>
          </w:tcBorders>
          <w:tcMar>
            <w:right w:w="284" w:type="dxa"/>
          </w:tcMar>
        </w:tcPr>
        <w:p w14:paraId="32454FA9" w14:textId="77777777" w:rsidR="009F19B0" w:rsidRDefault="009F19B0" w:rsidP="006E08B3">
          <w:pPr>
            <w:pStyle w:val="Heading3"/>
          </w:pPr>
          <w:r>
            <w:t>Copyright</w:t>
          </w:r>
        </w:p>
        <w:p w14:paraId="280DDFC9" w14:textId="77777777" w:rsidR="009F19B0" w:rsidRDefault="009F19B0" w:rsidP="006E08B3">
          <w:r>
            <w:rPr>
              <w:rFonts w:cs="Arial"/>
            </w:rPr>
            <w:t>©</w:t>
          </w:r>
          <w:r>
            <w:t xml:space="preserve"> Commonwealth of Australia [add year]</w:t>
          </w:r>
        </w:p>
        <w:p w14:paraId="374EF03F" w14:textId="77777777" w:rsidR="009F19B0" w:rsidRDefault="009F19B0" w:rsidP="006E08B3"/>
        <w:p w14:paraId="6A636CA3" w14:textId="77777777" w:rsidR="009F19B0" w:rsidRDefault="009F19B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34B9B8F" w14:textId="77777777" w:rsidR="009F19B0" w:rsidRDefault="009F19B0" w:rsidP="006E08B3"/>
        <w:p w14:paraId="069B7779" w14:textId="77777777" w:rsidR="009F19B0" w:rsidRDefault="009F19B0" w:rsidP="006E08B3">
          <w:pPr>
            <w:pStyle w:val="Heading3"/>
          </w:pPr>
          <w:r>
            <w:t>Confidentiality</w:t>
          </w:r>
        </w:p>
        <w:p w14:paraId="15430B1E" w14:textId="77777777" w:rsidR="009F19B0" w:rsidRDefault="009F19B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80E442C" w14:textId="77777777" w:rsidR="009F19B0" w:rsidRDefault="009F19B0" w:rsidP="006E08B3"/>
        <w:p w14:paraId="665A251C" w14:textId="77777777" w:rsidR="009F19B0" w:rsidRDefault="009F19B0" w:rsidP="006E08B3">
          <w:r>
            <w:t>For submission made by individuals, all personal details, other than your name, will be removed from your submission before it is published on the TGA’s Internet site.</w:t>
          </w:r>
        </w:p>
        <w:p w14:paraId="2B4E9284" w14:textId="77777777" w:rsidR="009F19B0" w:rsidRDefault="009F19B0" w:rsidP="006E08B3"/>
        <w:p w14:paraId="0057A8A6" w14:textId="77777777" w:rsidR="009F19B0" w:rsidRDefault="009F19B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F19B0" w14:paraId="33B184E0" w14:textId="77777777" w:rsidTr="0010601F">
      <w:trPr>
        <w:trHeight w:val="417"/>
      </w:trPr>
      <w:tc>
        <w:tcPr>
          <w:tcW w:w="4519" w:type="dxa"/>
          <w:tcBorders>
            <w:top w:val="single" w:sz="4" w:space="0" w:color="auto"/>
          </w:tcBorders>
          <w:tcMar>
            <w:top w:w="142" w:type="dxa"/>
            <w:bottom w:w="0" w:type="dxa"/>
          </w:tcMar>
        </w:tcPr>
        <w:p w14:paraId="6066EEDA" w14:textId="77777777" w:rsidR="009F19B0" w:rsidRDefault="009F19B0" w:rsidP="006E08B3">
          <w:r>
            <w:t>Document title, Part #, Section # - Section title</w:t>
          </w:r>
        </w:p>
        <w:p w14:paraId="67E6146F" w14:textId="77777777" w:rsidR="009F19B0" w:rsidRDefault="009F19B0" w:rsidP="006E08B3">
          <w:r>
            <w:t>V1.0 October 2010</w:t>
          </w:r>
        </w:p>
      </w:tc>
      <w:tc>
        <w:tcPr>
          <w:tcW w:w="4356" w:type="dxa"/>
          <w:tcBorders>
            <w:top w:val="single" w:sz="4" w:space="0" w:color="auto"/>
          </w:tcBorders>
          <w:tcMar>
            <w:top w:w="142" w:type="dxa"/>
            <w:bottom w:w="0" w:type="dxa"/>
          </w:tcMar>
        </w:tcPr>
        <w:p w14:paraId="00AACE1B" w14:textId="77777777" w:rsidR="009F19B0" w:rsidRDefault="009F19B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3C435F84" w14:textId="77777777" w:rsidR="009F19B0" w:rsidRDefault="009F19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5B3A6" w14:textId="77777777" w:rsidR="009F19B0" w:rsidRDefault="009F19B0" w:rsidP="00C40A36">
      <w:pPr>
        <w:spacing w:after="0"/>
      </w:pPr>
      <w:r>
        <w:separator/>
      </w:r>
    </w:p>
  </w:footnote>
  <w:footnote w:type="continuationSeparator" w:id="0">
    <w:p w14:paraId="38EC0F53" w14:textId="77777777" w:rsidR="009F19B0" w:rsidRDefault="009F19B0" w:rsidP="00C40A36">
      <w:pPr>
        <w:spacing w:after="0"/>
      </w:pPr>
      <w:r>
        <w:continuationSeparator/>
      </w:r>
    </w:p>
  </w:footnote>
  <w:footnote w:id="1">
    <w:p w14:paraId="296D8597" w14:textId="77777777" w:rsidR="009F19B0" w:rsidRDefault="009F19B0">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C430270" w14:textId="26E2D634" w:rsidR="009F19B0" w:rsidRPr="004F7DDA" w:rsidRDefault="009F19B0">
      <w:pPr>
        <w:pStyle w:val="FootnoteText"/>
        <w:rPr>
          <w:lang w:val="en-GB"/>
        </w:rPr>
      </w:pPr>
      <w:r>
        <w:rPr>
          <w:rStyle w:val="FootnoteReference"/>
        </w:rPr>
        <w:footnoteRef/>
      </w:r>
      <w:r>
        <w:t xml:space="preserve"> </w:t>
      </w:r>
      <w:r w:rsidRPr="00B673F8">
        <w:t xml:space="preserve">Stage IV is divided into stages IVA and IVB. In stage IVA, cancer is found in </w:t>
      </w:r>
      <w:r>
        <w:t>either</w:t>
      </w:r>
      <w:r w:rsidRPr="00B673F8">
        <w:t xml:space="preserve"> or both sides of the prostate and may have spread to the seminal vesicles or to nearby tissue or organs, such as the rectum, bladder, or pelvic wall. Cancer has spread to nearby lymph nodes. The prostate-specific antigen (PSA) can be any level and the Grade Group is 1, 2, 3, 4, or 5 (Gleason score is 10 or less). In stage IVB, cancer has spread to other parts of the body, such as the bones or distant lymph nodes.</w:t>
      </w:r>
    </w:p>
  </w:footnote>
  <w:footnote w:id="3">
    <w:p w14:paraId="68F0D3DE" w14:textId="048D4ED0" w:rsidR="009F19B0" w:rsidRPr="00CB52DB" w:rsidRDefault="009F19B0" w:rsidP="00E26387">
      <w:pPr>
        <w:pStyle w:val="FootnoteText"/>
        <w:rPr>
          <w:szCs w:val="18"/>
        </w:rPr>
      </w:pPr>
      <w:r w:rsidRPr="00B017C2">
        <w:rPr>
          <w:rStyle w:val="FootnoteReference"/>
          <w:sz w:val="17"/>
          <w:szCs w:val="17"/>
        </w:rPr>
        <w:footnoteRef/>
      </w:r>
      <w:r w:rsidRPr="00B017C2">
        <w:rPr>
          <w:sz w:val="17"/>
          <w:szCs w:val="17"/>
        </w:rPr>
        <w:t xml:space="preserve"> </w:t>
      </w:r>
      <w:r>
        <w:rPr>
          <w:sz w:val="17"/>
          <w:szCs w:val="17"/>
        </w:rPr>
        <w:t xml:space="preserve">NCCI: </w:t>
      </w:r>
      <w:r>
        <w:rPr>
          <w:rFonts w:cs="Arial"/>
          <w:color w:val="333333"/>
          <w:lang w:val="en"/>
        </w:rPr>
        <w:t xml:space="preserve">Relative survival by stage at diagnosis (prostate cancer). National Cancer Control Indicators, Cancer Australia. Published 1 April 2019. Available at: </w:t>
      </w:r>
      <w:hyperlink r:id="rId1" w:history="1">
        <w:r w:rsidRPr="00CB52DB">
          <w:rPr>
            <w:szCs w:val="18"/>
          </w:rPr>
          <w:t>https://ncci.canceraustralia.gov.au/outcomes/relative-survival-rate/relative-survival-stage-diagnosis-prostate-cancer</w:t>
        </w:r>
      </w:hyperlink>
    </w:p>
  </w:footnote>
  <w:footnote w:id="4">
    <w:p w14:paraId="79FCD4EB" w14:textId="7B64D733" w:rsidR="009F19B0" w:rsidRPr="00CB52DB" w:rsidRDefault="009F19B0" w:rsidP="00E26387">
      <w:pPr>
        <w:pStyle w:val="FootnoteText"/>
        <w:rPr>
          <w:szCs w:val="18"/>
        </w:rPr>
      </w:pPr>
      <w:r w:rsidRPr="00CB52DB">
        <w:rPr>
          <w:rStyle w:val="FootnoteReference"/>
          <w:szCs w:val="18"/>
        </w:rPr>
        <w:footnoteRef/>
      </w:r>
      <w:r w:rsidRPr="00CB52DB">
        <w:rPr>
          <w:szCs w:val="18"/>
        </w:rPr>
        <w:t xml:space="preserve"> </w:t>
      </w:r>
      <w:bookmarkStart w:id="16" w:name="_Hlk103685942"/>
      <w:r w:rsidRPr="00CB52DB">
        <w:rPr>
          <w:szCs w:val="18"/>
        </w:rPr>
        <w:t xml:space="preserve">National Comprehensive Cancer Network </w:t>
      </w:r>
      <w:bookmarkEnd w:id="16"/>
      <w:r w:rsidRPr="00CB52DB">
        <w:rPr>
          <w:szCs w:val="18"/>
        </w:rPr>
        <w:t>(NCCN) Clinical Practice Guidelines in Oncology – Prostate Cancer, Version 2.2021</w:t>
      </w:r>
      <w:r>
        <w:rPr>
          <w:szCs w:val="18"/>
        </w:rPr>
        <w:t xml:space="preserve">; 17 </w:t>
      </w:r>
      <w:r w:rsidRPr="00CB52DB">
        <w:rPr>
          <w:szCs w:val="18"/>
        </w:rPr>
        <w:t>February 2021</w:t>
      </w:r>
    </w:p>
  </w:footnote>
  <w:footnote w:id="5">
    <w:p w14:paraId="73814370" w14:textId="31C69014" w:rsidR="009F19B0" w:rsidRPr="00B017C2" w:rsidRDefault="009F19B0" w:rsidP="00E26387">
      <w:pPr>
        <w:pStyle w:val="FootnoteText"/>
        <w:rPr>
          <w:sz w:val="17"/>
          <w:szCs w:val="17"/>
        </w:rPr>
      </w:pPr>
      <w:r w:rsidRPr="00CB52DB">
        <w:rPr>
          <w:rStyle w:val="FootnoteReference"/>
          <w:szCs w:val="18"/>
        </w:rPr>
        <w:footnoteRef/>
      </w:r>
      <w:r w:rsidRPr="00CB52DB">
        <w:rPr>
          <w:szCs w:val="18"/>
        </w:rPr>
        <w:t xml:space="preserve"> </w:t>
      </w:r>
      <w:r w:rsidRPr="00E91568">
        <w:rPr>
          <w:lang w:val="en-GB"/>
        </w:rPr>
        <w:t xml:space="preserve">2021 EAU-EANM-ESTRO-ESUR-ISUP-SIOG </w:t>
      </w:r>
      <w:proofErr w:type="spellStart"/>
      <w:r w:rsidRPr="00E91568">
        <w:rPr>
          <w:lang w:val="en-GB"/>
        </w:rPr>
        <w:t>PCa</w:t>
      </w:r>
      <w:proofErr w:type="spellEnd"/>
      <w:r w:rsidRPr="00E91568">
        <w:rPr>
          <w:lang w:val="en-GB"/>
        </w:rPr>
        <w:t xml:space="preserve"> Guidelines publication.</w:t>
      </w:r>
      <w:r>
        <w:rPr>
          <w:lang w:val="en-GB"/>
        </w:rPr>
        <w:t xml:space="preserve"> European Association of Urology. Updated guidelines are available at: </w:t>
      </w:r>
      <w:r w:rsidRPr="00E91568">
        <w:rPr>
          <w:lang w:val="en-GB"/>
        </w:rPr>
        <w:t>https://uroweb.org/guidelines/prostate-cancer</w:t>
      </w:r>
    </w:p>
  </w:footnote>
  <w:footnote w:id="6">
    <w:p w14:paraId="41051A7F" w14:textId="774E7C6F" w:rsidR="009F19B0" w:rsidRPr="00CB52DB" w:rsidRDefault="009F19B0" w:rsidP="000A71BC">
      <w:pPr>
        <w:pStyle w:val="FootnoteText"/>
        <w:rPr>
          <w:szCs w:val="18"/>
        </w:rPr>
      </w:pPr>
      <w:r w:rsidRPr="00B017C2">
        <w:rPr>
          <w:rStyle w:val="FootnoteReference"/>
          <w:sz w:val="17"/>
          <w:szCs w:val="17"/>
        </w:rPr>
        <w:footnoteRef/>
      </w:r>
      <w:r w:rsidRPr="00B017C2">
        <w:t xml:space="preserve"> </w:t>
      </w:r>
      <w:proofErr w:type="spellStart"/>
      <w:r w:rsidRPr="00CB52DB">
        <w:rPr>
          <w:szCs w:val="18"/>
        </w:rPr>
        <w:t>Harisinghani</w:t>
      </w:r>
      <w:proofErr w:type="spellEnd"/>
      <w:r w:rsidRPr="00CB52DB">
        <w:rPr>
          <w:szCs w:val="18"/>
        </w:rPr>
        <w:t xml:space="preserve">, M.G., et al. </w:t>
      </w:r>
      <w:proofErr w:type="spellStart"/>
      <w:r w:rsidRPr="00CB52DB">
        <w:rPr>
          <w:szCs w:val="18"/>
        </w:rPr>
        <w:t>Noninvasive</w:t>
      </w:r>
      <w:proofErr w:type="spellEnd"/>
      <w:r w:rsidRPr="00CB52DB">
        <w:rPr>
          <w:szCs w:val="18"/>
        </w:rPr>
        <w:t xml:space="preserve"> detection of clinically occult lymph-node metastases in prostate cancer. </w:t>
      </w:r>
      <w:r w:rsidRPr="00CB52DB">
        <w:rPr>
          <w:i/>
          <w:iCs/>
          <w:szCs w:val="18"/>
        </w:rPr>
        <w:t xml:space="preserve">N </w:t>
      </w:r>
      <w:proofErr w:type="spellStart"/>
      <w:r w:rsidRPr="00CB52DB">
        <w:rPr>
          <w:i/>
          <w:iCs/>
          <w:szCs w:val="18"/>
        </w:rPr>
        <w:t>Engl</w:t>
      </w:r>
      <w:proofErr w:type="spellEnd"/>
      <w:r w:rsidRPr="00CB52DB">
        <w:rPr>
          <w:i/>
          <w:iCs/>
          <w:szCs w:val="18"/>
        </w:rPr>
        <w:t xml:space="preserve"> J Med</w:t>
      </w:r>
      <w:r w:rsidRPr="00CB52DB">
        <w:rPr>
          <w:szCs w:val="18"/>
        </w:rPr>
        <w:t>, 2003. 348: 2491.</w:t>
      </w:r>
    </w:p>
  </w:footnote>
  <w:footnote w:id="7">
    <w:p w14:paraId="7BD648E2" w14:textId="7CB4C771" w:rsidR="009F19B0" w:rsidRPr="00CB52DB" w:rsidRDefault="009F19B0" w:rsidP="000A71BC">
      <w:pPr>
        <w:pStyle w:val="FootnoteText"/>
        <w:rPr>
          <w:szCs w:val="18"/>
        </w:rPr>
      </w:pPr>
      <w:r w:rsidRPr="00CB52DB">
        <w:rPr>
          <w:rStyle w:val="FootnoteReference"/>
          <w:szCs w:val="18"/>
        </w:rPr>
        <w:footnoteRef/>
      </w:r>
      <w:r w:rsidRPr="00CB52DB">
        <w:rPr>
          <w:szCs w:val="18"/>
        </w:rPr>
        <w:t xml:space="preserve"> Hovels, A.M., et al. The diagnostic accuracy of CT and MRI in the staging of pelvic lymph nodes in patients with prostate cancer: a meta-analysis. </w:t>
      </w:r>
      <w:r w:rsidRPr="00CB52DB">
        <w:rPr>
          <w:i/>
          <w:iCs/>
          <w:szCs w:val="18"/>
        </w:rPr>
        <w:t xml:space="preserve">Clin </w:t>
      </w:r>
      <w:proofErr w:type="spellStart"/>
      <w:r w:rsidRPr="00CB52DB">
        <w:rPr>
          <w:i/>
          <w:iCs/>
          <w:szCs w:val="18"/>
        </w:rPr>
        <w:t>Radiol</w:t>
      </w:r>
      <w:proofErr w:type="spellEnd"/>
      <w:r w:rsidRPr="00CB52DB">
        <w:rPr>
          <w:szCs w:val="18"/>
        </w:rPr>
        <w:t>, 2008. 63: 387.</w:t>
      </w:r>
    </w:p>
  </w:footnote>
  <w:footnote w:id="8">
    <w:p w14:paraId="66B702A1" w14:textId="40823EFA" w:rsidR="009F19B0" w:rsidRPr="00CB52DB" w:rsidRDefault="009F19B0" w:rsidP="000A71BC">
      <w:pPr>
        <w:pStyle w:val="FootnoteText"/>
        <w:rPr>
          <w:szCs w:val="18"/>
        </w:rPr>
      </w:pPr>
      <w:r w:rsidRPr="00CB52DB">
        <w:rPr>
          <w:rStyle w:val="FootnoteReference"/>
          <w:szCs w:val="18"/>
        </w:rPr>
        <w:footnoteRef/>
      </w:r>
      <w:r w:rsidRPr="00CB52DB">
        <w:rPr>
          <w:szCs w:val="18"/>
        </w:rPr>
        <w:t xml:space="preserve"> </w:t>
      </w:r>
      <w:proofErr w:type="spellStart"/>
      <w:r w:rsidRPr="00CB52DB">
        <w:rPr>
          <w:rFonts w:asciiTheme="minorHAnsi" w:hAnsiTheme="minorHAnsi"/>
          <w:szCs w:val="18"/>
        </w:rPr>
        <w:t>Abuzallouf</w:t>
      </w:r>
      <w:proofErr w:type="spellEnd"/>
      <w:r w:rsidRPr="00CB52DB">
        <w:rPr>
          <w:rFonts w:asciiTheme="minorHAnsi" w:hAnsiTheme="minorHAnsi"/>
          <w:szCs w:val="18"/>
        </w:rPr>
        <w:t xml:space="preserve">, S., </w:t>
      </w:r>
      <w:r w:rsidRPr="00CB52DB">
        <w:rPr>
          <w:rFonts w:asciiTheme="minorHAnsi" w:hAnsiTheme="minorHAnsi" w:cs="HelveticaNeue-Italic"/>
          <w:iCs/>
          <w:szCs w:val="18"/>
        </w:rPr>
        <w:t>et al</w:t>
      </w:r>
      <w:r w:rsidRPr="00CB52DB">
        <w:rPr>
          <w:rFonts w:asciiTheme="minorHAnsi" w:hAnsiTheme="minorHAnsi"/>
          <w:szCs w:val="18"/>
        </w:rPr>
        <w:t xml:space="preserve">. Baseline staging of newly diagnosed prostate cancer: a summary of the literature. </w:t>
      </w:r>
      <w:r w:rsidRPr="00CB52DB">
        <w:rPr>
          <w:rFonts w:asciiTheme="minorHAnsi" w:hAnsiTheme="minorHAnsi"/>
          <w:i/>
          <w:iCs/>
          <w:szCs w:val="18"/>
        </w:rPr>
        <w:t xml:space="preserve">J </w:t>
      </w:r>
      <w:proofErr w:type="spellStart"/>
      <w:r w:rsidRPr="00CB52DB">
        <w:rPr>
          <w:rFonts w:asciiTheme="minorHAnsi" w:hAnsiTheme="minorHAnsi"/>
          <w:i/>
          <w:iCs/>
          <w:szCs w:val="18"/>
        </w:rPr>
        <w:t>Urol</w:t>
      </w:r>
      <w:proofErr w:type="spellEnd"/>
      <w:r w:rsidRPr="00CB52DB">
        <w:rPr>
          <w:rFonts w:asciiTheme="minorHAnsi" w:hAnsiTheme="minorHAnsi"/>
          <w:szCs w:val="18"/>
        </w:rPr>
        <w:t>, 2004. 171: 2122.</w:t>
      </w:r>
    </w:p>
  </w:footnote>
  <w:footnote w:id="9">
    <w:p w14:paraId="15ECD67F" w14:textId="061EEE82" w:rsidR="009F19B0" w:rsidRPr="00CB52DB" w:rsidRDefault="009F19B0" w:rsidP="000A71BC">
      <w:pPr>
        <w:pStyle w:val="FootnoteText"/>
        <w:rPr>
          <w:szCs w:val="18"/>
        </w:rPr>
      </w:pPr>
      <w:r w:rsidRPr="00CB52DB">
        <w:rPr>
          <w:rStyle w:val="FootnoteReference"/>
          <w:szCs w:val="18"/>
        </w:rPr>
        <w:footnoteRef/>
      </w:r>
      <w:r w:rsidRPr="00CB52DB">
        <w:rPr>
          <w:szCs w:val="18"/>
        </w:rPr>
        <w:t xml:space="preserve"> Gabriele, D., </w:t>
      </w:r>
      <w:r w:rsidRPr="00CB52DB">
        <w:rPr>
          <w:rFonts w:cs="HelveticaNeue-Italic"/>
          <w:iCs/>
          <w:szCs w:val="18"/>
        </w:rPr>
        <w:t>et al</w:t>
      </w:r>
      <w:r w:rsidRPr="00CB52DB">
        <w:rPr>
          <w:szCs w:val="18"/>
        </w:rPr>
        <w:t xml:space="preserve">. Is there still a role for computed tomography and bone scintigraphy in prostate cancer staging? An analysis from the EUREKA-1 database. </w:t>
      </w:r>
      <w:r w:rsidRPr="00CB52DB">
        <w:rPr>
          <w:i/>
          <w:iCs/>
          <w:szCs w:val="18"/>
        </w:rPr>
        <w:t xml:space="preserve">World J </w:t>
      </w:r>
      <w:proofErr w:type="spellStart"/>
      <w:r w:rsidRPr="00CB52DB">
        <w:rPr>
          <w:i/>
          <w:iCs/>
          <w:szCs w:val="18"/>
        </w:rPr>
        <w:t>Urol</w:t>
      </w:r>
      <w:proofErr w:type="spellEnd"/>
      <w:r w:rsidRPr="00CB52DB">
        <w:rPr>
          <w:szCs w:val="18"/>
        </w:rPr>
        <w:t>, 2016. 34: 517.</w:t>
      </w:r>
    </w:p>
  </w:footnote>
  <w:footnote w:id="10">
    <w:p w14:paraId="39ED9137" w14:textId="053E1A9F" w:rsidR="009F19B0" w:rsidRPr="00CB52DB" w:rsidRDefault="009F19B0" w:rsidP="000A71BC">
      <w:pPr>
        <w:pStyle w:val="FootnoteText"/>
        <w:rPr>
          <w:szCs w:val="18"/>
        </w:rPr>
      </w:pPr>
      <w:r w:rsidRPr="00CB52DB">
        <w:rPr>
          <w:rStyle w:val="FootnoteReference"/>
          <w:szCs w:val="18"/>
        </w:rPr>
        <w:footnoteRef/>
      </w:r>
      <w:r w:rsidRPr="00CB52DB">
        <w:rPr>
          <w:szCs w:val="18"/>
        </w:rPr>
        <w:t xml:space="preserve"> Flanigan, R.C., et al. Limited efficacy of preoperative computed tomographic scanning for the evaluation of lymph node metastasis in patients before radical prostatectomy. </w:t>
      </w:r>
      <w:r w:rsidRPr="00CB52DB">
        <w:rPr>
          <w:i/>
          <w:iCs/>
          <w:szCs w:val="18"/>
        </w:rPr>
        <w:t>Urology</w:t>
      </w:r>
      <w:r w:rsidRPr="00CB52DB">
        <w:rPr>
          <w:szCs w:val="18"/>
        </w:rPr>
        <w:t>, 1996. 48: 428.</w:t>
      </w:r>
    </w:p>
  </w:footnote>
  <w:footnote w:id="11">
    <w:p w14:paraId="69E8C4F8" w14:textId="747D516A" w:rsidR="009F19B0" w:rsidRPr="00CB52DB" w:rsidRDefault="009F19B0" w:rsidP="000A71BC">
      <w:pPr>
        <w:pStyle w:val="FootnoteText"/>
        <w:rPr>
          <w:szCs w:val="18"/>
        </w:rPr>
      </w:pPr>
      <w:r w:rsidRPr="00CB52DB">
        <w:rPr>
          <w:rStyle w:val="FootnoteReference"/>
          <w:szCs w:val="18"/>
        </w:rPr>
        <w:footnoteRef/>
      </w:r>
      <w:r w:rsidRPr="00CB52DB">
        <w:rPr>
          <w:szCs w:val="18"/>
        </w:rPr>
        <w:t xml:space="preserve"> </w:t>
      </w:r>
      <w:proofErr w:type="spellStart"/>
      <w:r w:rsidRPr="00CB52DB">
        <w:rPr>
          <w:szCs w:val="18"/>
        </w:rPr>
        <w:t>Tiguert</w:t>
      </w:r>
      <w:proofErr w:type="spellEnd"/>
      <w:r w:rsidRPr="00CB52DB">
        <w:rPr>
          <w:szCs w:val="18"/>
        </w:rPr>
        <w:t xml:space="preserve">, R., et al. Lymph node size does not correlate with the presence of prostate cancer metastasis. </w:t>
      </w:r>
      <w:r w:rsidRPr="00CB52DB">
        <w:rPr>
          <w:i/>
          <w:iCs/>
          <w:szCs w:val="18"/>
        </w:rPr>
        <w:t>Urology</w:t>
      </w:r>
      <w:r w:rsidRPr="00CB52DB">
        <w:rPr>
          <w:szCs w:val="18"/>
        </w:rPr>
        <w:t>, 1999. 53: 367.</w:t>
      </w:r>
    </w:p>
  </w:footnote>
  <w:footnote w:id="12">
    <w:p w14:paraId="21D93DB4" w14:textId="3A900214" w:rsidR="009F19B0" w:rsidRPr="00CB52DB" w:rsidRDefault="009F19B0" w:rsidP="000A71BC">
      <w:pPr>
        <w:pStyle w:val="FootnoteText"/>
        <w:rPr>
          <w:szCs w:val="18"/>
        </w:rPr>
      </w:pPr>
      <w:r w:rsidRPr="00CB52DB">
        <w:rPr>
          <w:rStyle w:val="FootnoteReference"/>
          <w:szCs w:val="18"/>
        </w:rPr>
        <w:footnoteRef/>
      </w:r>
      <w:r w:rsidRPr="00CB52DB">
        <w:rPr>
          <w:szCs w:val="18"/>
        </w:rPr>
        <w:t xml:space="preserve"> </w:t>
      </w:r>
      <w:proofErr w:type="spellStart"/>
      <w:r w:rsidRPr="00CB52DB">
        <w:rPr>
          <w:szCs w:val="18"/>
        </w:rPr>
        <w:t>Spevack</w:t>
      </w:r>
      <w:proofErr w:type="spellEnd"/>
      <w:r w:rsidRPr="00CB52DB">
        <w:rPr>
          <w:szCs w:val="18"/>
        </w:rPr>
        <w:t xml:space="preserve">, L., </w:t>
      </w:r>
      <w:r w:rsidRPr="00CB52DB">
        <w:rPr>
          <w:rFonts w:cs="HelveticaNeue-Italic"/>
          <w:iCs/>
          <w:szCs w:val="18"/>
        </w:rPr>
        <w:t>et al</w:t>
      </w:r>
      <w:r w:rsidRPr="00CB52DB">
        <w:rPr>
          <w:szCs w:val="18"/>
        </w:rPr>
        <w:t xml:space="preserve">. Predicting the patient at low risk for lymph node metastasis with localized prostate cancer: an analysis of four statistical models. </w:t>
      </w:r>
      <w:r w:rsidRPr="00CB52DB">
        <w:rPr>
          <w:i/>
          <w:iCs/>
          <w:szCs w:val="18"/>
        </w:rPr>
        <w:t xml:space="preserve">Int J </w:t>
      </w:r>
      <w:proofErr w:type="spellStart"/>
      <w:r w:rsidRPr="00CB52DB">
        <w:rPr>
          <w:i/>
          <w:iCs/>
          <w:szCs w:val="18"/>
        </w:rPr>
        <w:t>Radiat</w:t>
      </w:r>
      <w:proofErr w:type="spellEnd"/>
      <w:r w:rsidRPr="00CB52DB">
        <w:rPr>
          <w:i/>
          <w:iCs/>
          <w:szCs w:val="18"/>
        </w:rPr>
        <w:t xml:space="preserve"> Oncol Biol Phys</w:t>
      </w:r>
      <w:r w:rsidRPr="00CB52DB">
        <w:rPr>
          <w:szCs w:val="18"/>
        </w:rPr>
        <w:t>, 1996. 34: 543.</w:t>
      </w:r>
    </w:p>
  </w:footnote>
  <w:footnote w:id="13">
    <w:p w14:paraId="6D06E6A8" w14:textId="4093EBB1" w:rsidR="009F19B0" w:rsidRPr="004F7DDA" w:rsidRDefault="009F19B0">
      <w:pPr>
        <w:pStyle w:val="FootnoteText"/>
        <w:rPr>
          <w:lang w:val="en-GB"/>
        </w:rPr>
      </w:pPr>
      <w:r>
        <w:rPr>
          <w:rStyle w:val="FootnoteReference"/>
        </w:rPr>
        <w:footnoteRef/>
      </w:r>
      <w:r>
        <w:t xml:space="preserve"> </w:t>
      </w:r>
      <w:r w:rsidRPr="004F7DDA">
        <w:t xml:space="preserve">TNM </w:t>
      </w:r>
      <w:r>
        <w:t xml:space="preserve">staging (or Tumour, Modes and Metastasis staging </w:t>
      </w:r>
      <w:r w:rsidRPr="004F7DDA">
        <w:t xml:space="preserve">describe how far the cancer has spread </w:t>
      </w:r>
      <w:proofErr w:type="gramStart"/>
      <w:r>
        <w:t>The</w:t>
      </w:r>
      <w:proofErr w:type="gramEnd"/>
      <w:r>
        <w:t xml:space="preserve"> T-</w:t>
      </w:r>
      <w:r w:rsidRPr="004F7DDA">
        <w:t xml:space="preserve">stage </w:t>
      </w:r>
      <w:r>
        <w:t>describes</w:t>
      </w:r>
      <w:r w:rsidRPr="004F7DDA">
        <w:t xml:space="preserve"> the size of the tumo</w:t>
      </w:r>
      <w:r>
        <w:t>u</w:t>
      </w:r>
      <w:r w:rsidRPr="004F7DDA">
        <w:t>r and</w:t>
      </w:r>
      <w:r>
        <w:t xml:space="preserve"> is usually detected using a digital rectal exam and/or an MRI scan. The N-</w:t>
      </w:r>
      <w:r w:rsidRPr="004F7DDA">
        <w:t xml:space="preserve">stage </w:t>
      </w:r>
      <w:r>
        <w:t>describes</w:t>
      </w:r>
      <w:r w:rsidRPr="004F7DDA">
        <w:t xml:space="preserve"> whether the cancer has spread to the lymph nodes and is usually detected using an MRI or CT scan. Nodes can be N0 (negative) or N1 (positive). N1 indicates that the cancer has spread outside the prostate to one o</w:t>
      </w:r>
      <w:r>
        <w:t>r more local lymph nodes. The M-</w:t>
      </w:r>
      <w:r w:rsidRPr="004F7DDA">
        <w:t xml:space="preserve">stage tells you whether the cancer has spread to other areas in the </w:t>
      </w:r>
      <w:proofErr w:type="gramStart"/>
      <w:r w:rsidRPr="004F7DDA">
        <w:t>body</w:t>
      </w:r>
      <w:proofErr w:type="gramEnd"/>
      <w:r w:rsidRPr="004F7DDA">
        <w:t xml:space="preserve"> and it is usually detected using a bone scan. Metastasis can be M0 </w:t>
      </w:r>
      <w:r>
        <w:t>(negative) or M1 (positive). M1 </w:t>
      </w:r>
      <w:r w:rsidRPr="004F7DDA">
        <w:t>indicates that the cancer has spread to other parts of the body.</w:t>
      </w:r>
    </w:p>
  </w:footnote>
  <w:footnote w:id="14">
    <w:p w14:paraId="2620F38A" w14:textId="3FD2923E" w:rsidR="009F19B0" w:rsidRPr="00D67F69" w:rsidRDefault="009F19B0" w:rsidP="000A71BC">
      <w:pPr>
        <w:pStyle w:val="FootnoteText"/>
        <w:rPr>
          <w:sz w:val="17"/>
          <w:szCs w:val="17"/>
        </w:rPr>
      </w:pPr>
      <w:r w:rsidRPr="00CB52DB">
        <w:rPr>
          <w:rStyle w:val="FootnoteReference"/>
          <w:szCs w:val="18"/>
        </w:rPr>
        <w:footnoteRef/>
      </w:r>
      <w:r w:rsidRPr="00CB52DB">
        <w:rPr>
          <w:szCs w:val="18"/>
        </w:rPr>
        <w:t xml:space="preserve"> </w:t>
      </w:r>
      <w:proofErr w:type="spellStart"/>
      <w:r w:rsidRPr="00CB52DB">
        <w:rPr>
          <w:szCs w:val="18"/>
        </w:rPr>
        <w:t>Hofman</w:t>
      </w:r>
      <w:proofErr w:type="spellEnd"/>
      <w:r w:rsidRPr="00CB52DB">
        <w:rPr>
          <w:szCs w:val="18"/>
        </w:rPr>
        <w:t xml:space="preserve"> et al. Prostate-specific membrane antigen PET-CT in patients with high-risk prostate cancer before curative-intent surgery or radiotherapy (</w:t>
      </w:r>
      <w:proofErr w:type="spellStart"/>
      <w:r w:rsidRPr="00CB52DB">
        <w:rPr>
          <w:szCs w:val="18"/>
        </w:rPr>
        <w:t>proPSMA</w:t>
      </w:r>
      <w:proofErr w:type="spellEnd"/>
      <w:r w:rsidRPr="00CB52DB">
        <w:rPr>
          <w:szCs w:val="18"/>
        </w:rPr>
        <w:t xml:space="preserve">): a prospective, randomised, multicentre study. </w:t>
      </w:r>
      <w:r w:rsidRPr="00CB52DB">
        <w:rPr>
          <w:i/>
          <w:iCs/>
          <w:szCs w:val="18"/>
        </w:rPr>
        <w:t>The Lancet</w:t>
      </w:r>
      <w:r w:rsidRPr="00CB52DB">
        <w:rPr>
          <w:szCs w:val="18"/>
        </w:rPr>
        <w:t xml:space="preserve"> Vol 395, Issue 10231, P1208-16, April 2020.</w:t>
      </w:r>
    </w:p>
  </w:footnote>
  <w:footnote w:id="15">
    <w:p w14:paraId="57ABF11F" w14:textId="44BDCD6F" w:rsidR="009F19B0" w:rsidRPr="004F7DDA" w:rsidRDefault="009F19B0">
      <w:pPr>
        <w:pStyle w:val="FootnoteText"/>
        <w:rPr>
          <w:lang w:val="en-GB"/>
        </w:rPr>
      </w:pPr>
      <w:r>
        <w:rPr>
          <w:rStyle w:val="FootnoteReference"/>
        </w:rPr>
        <w:footnoteRef/>
      </w:r>
      <w:r>
        <w:t xml:space="preserve"> PSMA-11 is active ingredient (Glu-urea-Lys(</w:t>
      </w:r>
      <w:proofErr w:type="spellStart"/>
      <w:r>
        <w:t>ahx</w:t>
      </w:r>
      <w:proofErr w:type="spellEnd"/>
      <w:r>
        <w:t>)-</w:t>
      </w:r>
      <w:proofErr w:type="spellStart"/>
      <w:r>
        <w:t>hbed</w:t>
      </w:r>
      <w:proofErr w:type="spellEnd"/>
      <w:r>
        <w:t xml:space="preserve">-CC) discussed in </w:t>
      </w:r>
      <w:proofErr w:type="gramStart"/>
      <w:r>
        <w:t>the his</w:t>
      </w:r>
      <w:proofErr w:type="gramEnd"/>
      <w:r>
        <w:t xml:space="preserve"> AusPAR.</w:t>
      </w:r>
    </w:p>
  </w:footnote>
  <w:footnote w:id="16">
    <w:p w14:paraId="4F0A56B1" w14:textId="3CDB2365" w:rsidR="009F19B0" w:rsidRPr="00896B07" w:rsidRDefault="009F19B0">
      <w:pPr>
        <w:pStyle w:val="FootnoteText"/>
      </w:pPr>
      <w:r>
        <w:rPr>
          <w:rStyle w:val="FootnoteReference"/>
        </w:rPr>
        <w:footnoteRef/>
      </w:r>
      <w:r>
        <w:t xml:space="preserve"> PSMA-617 is</w:t>
      </w:r>
      <w:r w:rsidRPr="00896B07">
        <w:t xml:space="preserve"> a human prostate-specific membrane antigen (PSMA)-targeting ligand</w:t>
      </w:r>
      <w:r>
        <w:t>.</w:t>
      </w:r>
      <w:r>
        <w:br/>
        <w:t>177</w:t>
      </w:r>
      <w:r>
        <w:noBreakHyphen/>
      </w:r>
      <w:r w:rsidRPr="00896B07">
        <w:t>Lutetium</w:t>
      </w:r>
      <w:r>
        <w:t xml:space="preserve"> (</w:t>
      </w:r>
      <w:r w:rsidRPr="004F7DDA">
        <w:rPr>
          <w:vertAlign w:val="superscript"/>
        </w:rPr>
        <w:t>177</w:t>
      </w:r>
      <w:r w:rsidRPr="00896B07">
        <w:t>Lu</w:t>
      </w:r>
      <w:r>
        <w:t xml:space="preserve">)-PSMA (also known as lutetium </w:t>
      </w:r>
      <w:proofErr w:type="spellStart"/>
      <w:r>
        <w:t>vipivotide</w:t>
      </w:r>
      <w:proofErr w:type="spellEnd"/>
      <w:r>
        <w:t xml:space="preserve"> </w:t>
      </w:r>
      <w:proofErr w:type="spellStart"/>
      <w:r>
        <w:t>v</w:t>
      </w:r>
      <w:r w:rsidRPr="00896B07">
        <w:t>etraxetan</w:t>
      </w:r>
      <w:proofErr w:type="spellEnd"/>
      <w:r>
        <w:t>)</w:t>
      </w:r>
      <w:r w:rsidRPr="00896B07">
        <w:t xml:space="preserve"> is a </w:t>
      </w:r>
      <w:proofErr w:type="spellStart"/>
      <w:r w:rsidRPr="00896B07">
        <w:t>radioconjugate</w:t>
      </w:r>
      <w:proofErr w:type="spellEnd"/>
      <w:r w:rsidRPr="00896B07">
        <w:t xml:space="preserve"> composed of</w:t>
      </w:r>
      <w:r>
        <w:t xml:space="preserve"> PSMA-617</w:t>
      </w:r>
      <w:r w:rsidRPr="00896B07">
        <w:t xml:space="preserve"> conjugated to the beta-em</w:t>
      </w:r>
      <w:r>
        <w:t>itting radioisotope lutetium</w:t>
      </w:r>
      <w:r>
        <w:noBreakHyphen/>
      </w:r>
      <w:r w:rsidRPr="00896B07">
        <w:t>177 (</w:t>
      </w:r>
      <w:r w:rsidRPr="004F7DDA">
        <w:rPr>
          <w:vertAlign w:val="superscript"/>
        </w:rPr>
        <w:t>177</w:t>
      </w:r>
      <w:r w:rsidRPr="00896B07">
        <w:t>Lu), with potential antineoplastic activity against PSMA-expressing tumo</w:t>
      </w:r>
      <w:r>
        <w:t>u</w:t>
      </w:r>
      <w:r w:rsidRPr="00896B07">
        <w:t>r cells.</w:t>
      </w:r>
      <w:r>
        <w:t xml:space="preserve"> It is a </w:t>
      </w:r>
      <w:r w:rsidRPr="00301809">
        <w:t>radioligand therapy that delivers beta-particle radiation to PSMA-expressing cells and the surrounding microenvironment.</w:t>
      </w:r>
    </w:p>
  </w:footnote>
  <w:footnote w:id="17">
    <w:p w14:paraId="0285F8D2" w14:textId="6E96E7AA" w:rsidR="009F19B0" w:rsidRPr="004F7DDA" w:rsidRDefault="009F19B0">
      <w:pPr>
        <w:pStyle w:val="FootnoteText"/>
        <w:rPr>
          <w:lang w:val="en-GB"/>
        </w:rPr>
      </w:pPr>
      <w:r>
        <w:rPr>
          <w:rStyle w:val="FootnoteReference"/>
        </w:rPr>
        <w:footnoteRef/>
      </w:r>
      <w:r>
        <w:t xml:space="preserve"> </w:t>
      </w:r>
      <w:proofErr w:type="spellStart"/>
      <w:r>
        <w:t>DCFPyL</w:t>
      </w:r>
      <w:proofErr w:type="spellEnd"/>
      <w:r>
        <w:t xml:space="preserve">: </w:t>
      </w:r>
      <w:r w:rsidRPr="00D85555">
        <w:t>2-(3-{1-carboxy-5-[(6-[(18</w:t>
      </w:r>
      <w:proofErr w:type="gramStart"/>
      <w:r w:rsidRPr="00D85555">
        <w:t>)F]fluoro</w:t>
      </w:r>
      <w:proofErr w:type="gramEnd"/>
      <w:r w:rsidRPr="00D85555">
        <w:t>-pyridine-3-carbonyl)-amino]-pentyl}-ur</w:t>
      </w:r>
      <w:r>
        <w:t>eido)-pentanedioic acid</w:t>
      </w:r>
      <w:r w:rsidRPr="00D85555">
        <w:t>.</w:t>
      </w:r>
    </w:p>
  </w:footnote>
  <w:footnote w:id="18">
    <w:p w14:paraId="7BCE8EB0" w14:textId="5F53EB78" w:rsidR="009F19B0" w:rsidRPr="005D1C18" w:rsidRDefault="009F19B0" w:rsidP="005D1C18">
      <w:pPr>
        <w:pStyle w:val="FootnoteText"/>
      </w:pPr>
      <w:r>
        <w:rPr>
          <w:rStyle w:val="FootnoteReference"/>
        </w:rPr>
        <w:footnoteRef/>
      </w:r>
      <w:r>
        <w:t xml:space="preserve"> Gallium-68 [</w:t>
      </w:r>
      <w:r w:rsidRPr="004F7DDA">
        <w:rPr>
          <w:vertAlign w:val="superscript"/>
        </w:rPr>
        <w:t>68</w:t>
      </w:r>
      <w:r>
        <w:t xml:space="preserve">Ga] is a positron emitter with a half-life of 68 minutes, decaying to stable zinc-68. It is a radiopharmaceutical, generated </w:t>
      </w:r>
      <w:r w:rsidRPr="004F7DDA">
        <w:rPr>
          <w:i/>
        </w:rPr>
        <w:t>in situ</w:t>
      </w:r>
      <w:r>
        <w:t xml:space="preserve"> from the electron capture of germanium-68 (half-life 271 days) owing to its short half-life. This positron-emitting isotope can be imaged efficiently by PET scan.</w:t>
      </w:r>
    </w:p>
  </w:footnote>
  <w:footnote w:id="19">
    <w:p w14:paraId="23A0DEE0" w14:textId="12F25005" w:rsidR="009F19B0" w:rsidRPr="004F7DDA" w:rsidRDefault="009F19B0">
      <w:pPr>
        <w:pStyle w:val="FootnoteText"/>
        <w:rPr>
          <w:lang w:val="en-GB"/>
        </w:rPr>
      </w:pPr>
      <w:r>
        <w:rPr>
          <w:rStyle w:val="FootnoteReference"/>
        </w:rPr>
        <w:footnoteRef/>
      </w:r>
      <w:r>
        <w:t xml:space="preserve"> Also known as [</w:t>
      </w:r>
      <w:r w:rsidRPr="004F7DDA">
        <w:rPr>
          <w:vertAlign w:val="superscript"/>
        </w:rPr>
        <w:t>18</w:t>
      </w:r>
      <w:r>
        <w:t xml:space="preserve">F] </w:t>
      </w:r>
      <w:proofErr w:type="spellStart"/>
      <w:r>
        <w:t>piflufolastat</w:t>
      </w:r>
      <w:proofErr w:type="spellEnd"/>
      <w:r>
        <w:t>.</w:t>
      </w:r>
    </w:p>
  </w:footnote>
  <w:footnote w:id="20">
    <w:p w14:paraId="663355DA" w14:textId="26B7F26D" w:rsidR="009F19B0" w:rsidRPr="004F7DDA" w:rsidRDefault="009F19B0">
      <w:pPr>
        <w:pStyle w:val="FootnoteText"/>
        <w:rPr>
          <w:lang w:val="en-GB"/>
        </w:rPr>
      </w:pPr>
      <w:r>
        <w:rPr>
          <w:rStyle w:val="FootnoteReference"/>
        </w:rPr>
        <w:footnoteRef/>
      </w:r>
      <w:r>
        <w:t xml:space="preserve"> </w:t>
      </w:r>
      <w:r w:rsidRPr="005D1C18">
        <w:t>Lutetium-177</w:t>
      </w:r>
      <w:r>
        <w:t xml:space="preserve"> [</w:t>
      </w:r>
      <w:r w:rsidRPr="004F7DDA">
        <w:rPr>
          <w:vertAlign w:val="superscript"/>
        </w:rPr>
        <w:t>177</w:t>
      </w:r>
      <w:r>
        <w:t xml:space="preserve"> Lu]</w:t>
      </w:r>
      <w:r w:rsidRPr="005D1C18">
        <w:t xml:space="preserve"> is a</w:t>
      </w:r>
      <w:r>
        <w:t xml:space="preserve"> positron emitter with a half-life of about 6.7 days. It is a radioactive isotope of lutetium and is used as a radiopharmaceutical</w:t>
      </w:r>
      <w:r w:rsidRPr="005D1C18">
        <w:t>.</w:t>
      </w:r>
    </w:p>
  </w:footnote>
  <w:footnote w:id="21">
    <w:p w14:paraId="4A9A36A3" w14:textId="46FCCB92" w:rsidR="009F19B0" w:rsidRPr="00CB52DB" w:rsidRDefault="009F19B0" w:rsidP="00B2200C">
      <w:pPr>
        <w:autoSpaceDE w:val="0"/>
        <w:autoSpaceDN w:val="0"/>
        <w:adjustRightInd w:val="0"/>
        <w:spacing w:before="0" w:after="0" w:line="240" w:lineRule="auto"/>
        <w:rPr>
          <w:sz w:val="18"/>
          <w:szCs w:val="18"/>
        </w:rPr>
      </w:pPr>
      <w:r w:rsidRPr="00791BAE">
        <w:rPr>
          <w:rStyle w:val="FootnoteReference"/>
          <w:sz w:val="18"/>
          <w:szCs w:val="18"/>
        </w:rPr>
        <w:footnoteRef/>
      </w:r>
      <w:r w:rsidRPr="00791BAE">
        <w:rPr>
          <w:sz w:val="18"/>
          <w:szCs w:val="18"/>
        </w:rPr>
        <w:t xml:space="preserve"> </w:t>
      </w:r>
      <w:r w:rsidRPr="00CB52DB">
        <w:rPr>
          <w:rStyle w:val="FootnoteTextChar"/>
          <w:szCs w:val="18"/>
        </w:rPr>
        <w:t xml:space="preserve">Green MA, et al. Estimation of radiation dosimetry for 68Ga-HBED-CC (PSMA-11) in patients with suspected recurrence of prostate cancer. </w:t>
      </w:r>
      <w:proofErr w:type="spellStart"/>
      <w:r w:rsidRPr="00CB52DB">
        <w:rPr>
          <w:rStyle w:val="FootnoteTextChar"/>
          <w:i/>
          <w:iCs/>
          <w:szCs w:val="18"/>
        </w:rPr>
        <w:t>Nucl</w:t>
      </w:r>
      <w:proofErr w:type="spellEnd"/>
      <w:r w:rsidRPr="00CB52DB">
        <w:rPr>
          <w:rStyle w:val="FootnoteTextChar"/>
          <w:i/>
          <w:iCs/>
          <w:szCs w:val="18"/>
        </w:rPr>
        <w:t xml:space="preserve"> Med Biol</w:t>
      </w:r>
      <w:r w:rsidRPr="00CB52DB">
        <w:rPr>
          <w:rStyle w:val="FootnoteTextChar"/>
          <w:szCs w:val="18"/>
        </w:rPr>
        <w:t>. 2017 Mar; 46:32-35.</w:t>
      </w:r>
    </w:p>
  </w:footnote>
  <w:footnote w:id="22">
    <w:p w14:paraId="192EEDAC" w14:textId="76E46F3C" w:rsidR="009F19B0" w:rsidRPr="00CB52DB" w:rsidRDefault="009F19B0" w:rsidP="00B2200C">
      <w:pPr>
        <w:pStyle w:val="FootnoteText"/>
        <w:rPr>
          <w:szCs w:val="18"/>
        </w:rPr>
      </w:pPr>
      <w:r w:rsidRPr="00CB52DB">
        <w:rPr>
          <w:rStyle w:val="FootnoteReference"/>
          <w:szCs w:val="18"/>
        </w:rPr>
        <w:footnoteRef/>
      </w:r>
      <w:r w:rsidRPr="00CB52DB">
        <w:rPr>
          <w:szCs w:val="18"/>
        </w:rPr>
        <w:t xml:space="preserve"> </w:t>
      </w:r>
      <w:r w:rsidRPr="00CB52DB">
        <w:rPr>
          <w:szCs w:val="18"/>
          <w:lang w:eastAsia="ja-JP"/>
        </w:rPr>
        <w:t xml:space="preserve">Beheshti M, et al. Optimal time-point for 68Ga-PSMA-11 PET/CT imaging in assessment of prostate cancer: feasibility of sterile cold-kit tracer preparation? </w:t>
      </w:r>
      <w:r w:rsidRPr="00CB52DB">
        <w:rPr>
          <w:i/>
          <w:iCs/>
          <w:szCs w:val="18"/>
          <w:lang w:eastAsia="ja-JP"/>
        </w:rPr>
        <w:t xml:space="preserve">Eur J </w:t>
      </w:r>
      <w:proofErr w:type="spellStart"/>
      <w:r w:rsidRPr="00CB52DB">
        <w:rPr>
          <w:i/>
          <w:iCs/>
          <w:szCs w:val="18"/>
          <w:lang w:eastAsia="ja-JP"/>
        </w:rPr>
        <w:t>Nucl</w:t>
      </w:r>
      <w:proofErr w:type="spellEnd"/>
      <w:r w:rsidRPr="00CB52DB">
        <w:rPr>
          <w:i/>
          <w:iCs/>
          <w:szCs w:val="18"/>
          <w:lang w:eastAsia="ja-JP"/>
        </w:rPr>
        <w:t xml:space="preserve"> Med Mol Imaging</w:t>
      </w:r>
      <w:r w:rsidRPr="00CB52DB">
        <w:rPr>
          <w:szCs w:val="18"/>
          <w:lang w:eastAsia="ja-JP"/>
        </w:rPr>
        <w:t>. 2018;45(7):1188-1196.</w:t>
      </w:r>
    </w:p>
  </w:footnote>
  <w:footnote w:id="23">
    <w:p w14:paraId="70647305" w14:textId="77777777" w:rsidR="009F19B0" w:rsidRPr="00CB52DB" w:rsidRDefault="009F19B0" w:rsidP="00817BFF">
      <w:pPr>
        <w:pStyle w:val="FootnoteText"/>
        <w:rPr>
          <w:szCs w:val="18"/>
        </w:rPr>
      </w:pPr>
      <w:r w:rsidRPr="00CB52DB">
        <w:rPr>
          <w:rStyle w:val="FootnoteReference"/>
          <w:szCs w:val="18"/>
        </w:rPr>
        <w:footnoteRef/>
      </w:r>
      <w:r w:rsidRPr="00CB52DB">
        <w:rPr>
          <w:szCs w:val="18"/>
        </w:rPr>
        <w:t xml:space="preserve"> Radiopharmaceutical cold kits which are manufactured by a radiochemist or pharmacist in a public or private hospital for subsequent extemporaneous compounding and dispensing for use by a patient of that hospital, or a patient of another public or private hospital in the same state or territory, may be an exempt good under item 13 of Schedule 5 of the Therapeutic Goods Regulations 1990.</w:t>
      </w:r>
    </w:p>
  </w:footnote>
  <w:footnote w:id="24">
    <w:p w14:paraId="1A1B2A39" w14:textId="5E38E2D7" w:rsidR="009F19B0" w:rsidRPr="004F7DDA" w:rsidRDefault="009F19B0">
      <w:pPr>
        <w:pStyle w:val="FootnoteText"/>
        <w:rPr>
          <w:lang w:val="en-GB"/>
        </w:rPr>
      </w:pPr>
      <w:r>
        <w:rPr>
          <w:rStyle w:val="FootnoteReference"/>
        </w:rPr>
        <w:footnoteRef/>
      </w:r>
      <w:r>
        <w:t xml:space="preserve"> </w:t>
      </w:r>
      <w:r w:rsidRPr="00BE712E">
        <w:t xml:space="preserve">The Special Access Scheme (SAS) allows certain health practitioners to access therapeutic goods (such as medicines, medical </w:t>
      </w:r>
      <w:proofErr w:type="gramStart"/>
      <w:r w:rsidRPr="00BE712E">
        <w:t>devices</w:t>
      </w:r>
      <w:proofErr w:type="gramEnd"/>
      <w:r w:rsidRPr="00BE712E">
        <w:t xml:space="preserve"> or biologicals) that are not included in the Australian Register of Therapeutic Goods (ARTG) for a single patient. Therapeutic goods that are not included in the ARTG (and are not otherwise exempt from being in the ARTG) are described by us as 'unapproved'.</w:t>
      </w:r>
    </w:p>
  </w:footnote>
  <w:footnote w:id="25">
    <w:p w14:paraId="589D85A0" w14:textId="3D4D58AF" w:rsidR="009F19B0" w:rsidRPr="00CB52DB" w:rsidRDefault="009F19B0" w:rsidP="00D67F69">
      <w:pPr>
        <w:pStyle w:val="FootnoteText"/>
        <w:rPr>
          <w:szCs w:val="18"/>
        </w:rPr>
      </w:pPr>
      <w:r w:rsidRPr="00CB52DB">
        <w:rPr>
          <w:rStyle w:val="FootnoteReference"/>
          <w:szCs w:val="18"/>
        </w:rPr>
        <w:footnoteRef/>
      </w:r>
      <w:r w:rsidRPr="00CB52DB">
        <w:rPr>
          <w:szCs w:val="18"/>
        </w:rPr>
        <w:t xml:space="preserve"> </w:t>
      </w:r>
      <w:r>
        <w:rPr>
          <w:szCs w:val="18"/>
        </w:rPr>
        <w:t xml:space="preserve">Item </w:t>
      </w:r>
      <w:r>
        <w:rPr>
          <w:rFonts w:cs="Helvetica"/>
        </w:rPr>
        <w:t xml:space="preserve">1632 PSMA PET/CT imaging for informing treatment of patients with prostate cancer. </w:t>
      </w:r>
      <w:r>
        <w:rPr>
          <w:szCs w:val="18"/>
        </w:rPr>
        <w:t>Medical Services Advisory Committee</w:t>
      </w:r>
      <w:r w:rsidRPr="00CB52DB">
        <w:rPr>
          <w:szCs w:val="18"/>
        </w:rPr>
        <w:t xml:space="preserve"> meeting</w:t>
      </w:r>
      <w:r>
        <w:rPr>
          <w:szCs w:val="18"/>
        </w:rPr>
        <w:t> </w:t>
      </w:r>
      <w:r w:rsidRPr="00CB52DB">
        <w:rPr>
          <w:szCs w:val="18"/>
        </w:rPr>
        <w:t>29/30 July 2021</w:t>
      </w:r>
      <w:r>
        <w:rPr>
          <w:szCs w:val="18"/>
        </w:rPr>
        <w:t>; Department of Health, Australia.</w:t>
      </w:r>
      <w:r>
        <w:rPr>
          <w:szCs w:val="18"/>
        </w:rPr>
        <w:br/>
        <w:t>Available at: </w:t>
      </w:r>
      <w:r w:rsidRPr="00265202">
        <w:rPr>
          <w:szCs w:val="18"/>
        </w:rPr>
        <w:t>http://msac.gov.au/internet/msac/publishing.nsf/Content/MSAC-Meeting-July2021</w:t>
      </w:r>
    </w:p>
  </w:footnote>
  <w:footnote w:id="26">
    <w:p w14:paraId="2E1C40FD" w14:textId="4C4F6184" w:rsidR="009F19B0" w:rsidRPr="00CB52DB" w:rsidRDefault="009F19B0" w:rsidP="00D67F69">
      <w:pPr>
        <w:pStyle w:val="FootnoteText"/>
        <w:rPr>
          <w:rFonts w:asciiTheme="minorHAnsi" w:hAnsiTheme="minorHAnsi"/>
          <w:szCs w:val="18"/>
        </w:rPr>
      </w:pPr>
      <w:r w:rsidRPr="00CB52DB">
        <w:rPr>
          <w:rStyle w:val="FootnoteReference"/>
          <w:szCs w:val="18"/>
        </w:rPr>
        <w:footnoteRef/>
      </w:r>
      <w:r w:rsidRPr="00CB52DB">
        <w:rPr>
          <w:rFonts w:asciiTheme="minorHAnsi" w:hAnsiTheme="minorHAnsi"/>
          <w:szCs w:val="18"/>
        </w:rPr>
        <w:t xml:space="preserve"> </w:t>
      </w:r>
      <w:r w:rsidRPr="00CB52DB">
        <w:rPr>
          <w:rFonts w:asciiTheme="minorHAnsi" w:hAnsiTheme="minorHAnsi" w:cs="Calibri"/>
          <w:szCs w:val="18"/>
          <w:lang w:eastAsia="ja-JP"/>
        </w:rPr>
        <w:t>MBS Review Taskforce 2018, Final Report on the MBS items for Nuclear Medicine.</w:t>
      </w:r>
      <w:r>
        <w:rPr>
          <w:rFonts w:asciiTheme="minorHAnsi" w:hAnsiTheme="minorHAnsi" w:cs="Calibri"/>
          <w:szCs w:val="18"/>
          <w:lang w:eastAsia="ja-JP"/>
        </w:rPr>
        <w:t xml:space="preserve"> Medicare Benefits Schedule, Australia. Available at: </w:t>
      </w:r>
      <w:r w:rsidRPr="00C813C2">
        <w:rPr>
          <w:rFonts w:asciiTheme="minorHAnsi" w:hAnsiTheme="minorHAnsi" w:cs="Calibri"/>
          <w:szCs w:val="18"/>
          <w:lang w:eastAsia="ja-JP"/>
        </w:rPr>
        <w:t>https://www.health.gov.au/resources/publications/taskforce-final-report-mbs-items-for-nuclear-medicine</w:t>
      </w:r>
    </w:p>
  </w:footnote>
  <w:footnote w:id="27">
    <w:p w14:paraId="0CF5F90A" w14:textId="7FE15D15" w:rsidR="009F19B0" w:rsidRPr="00CB52DB" w:rsidRDefault="009F19B0" w:rsidP="00D67F69">
      <w:pPr>
        <w:pStyle w:val="FootnoteText"/>
        <w:rPr>
          <w:szCs w:val="18"/>
          <w:lang w:eastAsia="ja-JP"/>
        </w:rPr>
      </w:pPr>
      <w:r w:rsidRPr="00CB52DB">
        <w:rPr>
          <w:rStyle w:val="FootnoteReference"/>
          <w:szCs w:val="18"/>
        </w:rPr>
        <w:footnoteRef/>
      </w:r>
      <w:r w:rsidRPr="00CB52DB">
        <w:rPr>
          <w:szCs w:val="18"/>
        </w:rPr>
        <w:t xml:space="preserve"> </w:t>
      </w:r>
      <w:r w:rsidRPr="00CB52DB">
        <w:rPr>
          <w:szCs w:val="18"/>
          <w:lang w:eastAsia="ja-JP"/>
        </w:rPr>
        <w:t>Ratified PICO for Application 1632: PSMA PET/CT Imaging for informing treatment in patients with prostate cancer, October 2020.</w:t>
      </w:r>
    </w:p>
  </w:footnote>
  <w:footnote w:id="28">
    <w:p w14:paraId="535FA0EA" w14:textId="1ED005BF" w:rsidR="009F19B0" w:rsidRPr="00CB52DB" w:rsidRDefault="009F19B0" w:rsidP="00817BFF">
      <w:pPr>
        <w:pStyle w:val="FootnoteText"/>
        <w:rPr>
          <w:szCs w:val="18"/>
        </w:rPr>
      </w:pPr>
      <w:r w:rsidRPr="00CB52DB">
        <w:rPr>
          <w:rStyle w:val="FootnoteReference"/>
          <w:szCs w:val="18"/>
        </w:rPr>
        <w:footnoteRef/>
      </w:r>
      <w:r w:rsidRPr="00CB52DB">
        <w:rPr>
          <w:szCs w:val="18"/>
        </w:rPr>
        <w:t xml:space="preserve"> Maurer T, et al. Current use of PSMA-PET in prostate cancer management. </w:t>
      </w:r>
      <w:r w:rsidRPr="00CB52DB">
        <w:rPr>
          <w:i/>
          <w:iCs/>
          <w:szCs w:val="18"/>
        </w:rPr>
        <w:t xml:space="preserve">Nat Rev </w:t>
      </w:r>
      <w:proofErr w:type="spellStart"/>
      <w:r w:rsidRPr="00CB52DB">
        <w:rPr>
          <w:i/>
          <w:iCs/>
          <w:szCs w:val="18"/>
        </w:rPr>
        <w:t>Urol</w:t>
      </w:r>
      <w:proofErr w:type="spellEnd"/>
      <w:r w:rsidRPr="00CB52DB">
        <w:rPr>
          <w:szCs w:val="18"/>
        </w:rPr>
        <w:t>; 2016: 13:226-35.</w:t>
      </w:r>
    </w:p>
  </w:footnote>
  <w:footnote w:id="29">
    <w:p w14:paraId="16AD1843" w14:textId="620A3B7A" w:rsidR="009F19B0" w:rsidRPr="00EE6AA8" w:rsidRDefault="009F19B0" w:rsidP="00817BFF">
      <w:pPr>
        <w:pStyle w:val="FootnoteText"/>
        <w:rPr>
          <w:sz w:val="17"/>
          <w:szCs w:val="17"/>
        </w:rPr>
      </w:pPr>
      <w:r w:rsidRPr="00CB52DB">
        <w:rPr>
          <w:rStyle w:val="FootnoteReference"/>
          <w:szCs w:val="18"/>
        </w:rPr>
        <w:footnoteRef/>
      </w:r>
      <w:r w:rsidRPr="00CB52DB">
        <w:rPr>
          <w:szCs w:val="18"/>
        </w:rPr>
        <w:t xml:space="preserve"> </w:t>
      </w:r>
      <w:proofErr w:type="spellStart"/>
      <w:r w:rsidRPr="00CB52DB">
        <w:rPr>
          <w:szCs w:val="18"/>
        </w:rPr>
        <w:t>Udovicich</w:t>
      </w:r>
      <w:proofErr w:type="spellEnd"/>
      <w:r w:rsidRPr="00CB52DB">
        <w:rPr>
          <w:szCs w:val="18"/>
        </w:rPr>
        <w:t xml:space="preserve"> C, et al. 68Ga-prostate-specific membrane antigen positron emission tomography/computed tomography in advanced prostate cancer: Current state and future trends. </w:t>
      </w:r>
      <w:r w:rsidRPr="00CB52DB">
        <w:rPr>
          <w:i/>
          <w:iCs/>
          <w:szCs w:val="18"/>
        </w:rPr>
        <w:t>Prostate International</w:t>
      </w:r>
      <w:r w:rsidRPr="00CB52DB">
        <w:rPr>
          <w:szCs w:val="18"/>
        </w:rPr>
        <w:t>. 2017.</w:t>
      </w:r>
    </w:p>
  </w:footnote>
  <w:footnote w:id="30">
    <w:p w14:paraId="0988815C" w14:textId="31849960" w:rsidR="009F19B0" w:rsidRDefault="009F19B0" w:rsidP="00817BFF">
      <w:pPr>
        <w:pStyle w:val="FootnoteText"/>
      </w:pPr>
      <w:r w:rsidRPr="00EE6AA8">
        <w:rPr>
          <w:rStyle w:val="FootnoteReference"/>
          <w:sz w:val="17"/>
          <w:szCs w:val="17"/>
        </w:rPr>
        <w:footnoteRef/>
      </w:r>
      <w:r w:rsidRPr="00EE6AA8">
        <w:rPr>
          <w:sz w:val="17"/>
          <w:szCs w:val="17"/>
        </w:rPr>
        <w:t xml:space="preserve"> </w:t>
      </w:r>
      <w:r w:rsidRPr="00CB52DB">
        <w:rPr>
          <w:szCs w:val="18"/>
        </w:rPr>
        <w:t xml:space="preserve">Roach PJ, et al. The impact of 68Ga-PSMA PET/CT on management intent in prostate cancer: results of an Australian prospective </w:t>
      </w:r>
      <w:proofErr w:type="spellStart"/>
      <w:r w:rsidRPr="00CB52DB">
        <w:rPr>
          <w:szCs w:val="18"/>
        </w:rPr>
        <w:t>multicenter</w:t>
      </w:r>
      <w:proofErr w:type="spellEnd"/>
      <w:r w:rsidRPr="00CB52DB">
        <w:rPr>
          <w:szCs w:val="18"/>
        </w:rPr>
        <w:t xml:space="preserve"> study. </w:t>
      </w:r>
      <w:r w:rsidRPr="00CB52DB">
        <w:rPr>
          <w:i/>
          <w:iCs/>
          <w:szCs w:val="18"/>
        </w:rPr>
        <w:t xml:space="preserve">J </w:t>
      </w:r>
      <w:proofErr w:type="spellStart"/>
      <w:r w:rsidRPr="00CB52DB">
        <w:rPr>
          <w:i/>
          <w:iCs/>
          <w:szCs w:val="18"/>
        </w:rPr>
        <w:t>Nucl</w:t>
      </w:r>
      <w:proofErr w:type="spellEnd"/>
      <w:r w:rsidRPr="00CB52DB">
        <w:rPr>
          <w:i/>
          <w:iCs/>
          <w:szCs w:val="18"/>
        </w:rPr>
        <w:t xml:space="preserve"> Med</w:t>
      </w:r>
      <w:r w:rsidRPr="00CB52DB">
        <w:rPr>
          <w:szCs w:val="18"/>
        </w:rPr>
        <w:t>. 2017; 59(1):82-88.</w:t>
      </w:r>
    </w:p>
  </w:footnote>
  <w:footnote w:id="31">
    <w:p w14:paraId="2C0964A8" w14:textId="372F831D" w:rsidR="009F19B0" w:rsidRPr="004F7DDA" w:rsidRDefault="009F19B0">
      <w:pPr>
        <w:pStyle w:val="FootnoteText"/>
        <w:rPr>
          <w:lang w:val="en-GB"/>
        </w:rPr>
      </w:pPr>
      <w:r>
        <w:rPr>
          <w:rStyle w:val="FootnoteReference"/>
        </w:rPr>
        <w:footnoteRef/>
      </w:r>
      <w:r>
        <w:t xml:space="preserve"> [</w:t>
      </w:r>
      <w:r w:rsidRPr="004F7DDA">
        <w:rPr>
          <w:vertAlign w:val="superscript"/>
        </w:rPr>
        <w:t>68</w:t>
      </w:r>
      <w:r>
        <w:t xml:space="preserve">Ga] Gallium </w:t>
      </w:r>
      <w:r w:rsidRPr="00AB3821">
        <w:t xml:space="preserve">DOTA conjugated peptides (including </w:t>
      </w:r>
      <w:r>
        <w:t>[</w:t>
      </w:r>
      <w:r w:rsidRPr="004F7DDA">
        <w:rPr>
          <w:vertAlign w:val="superscript"/>
        </w:rPr>
        <w:t>68</w:t>
      </w:r>
      <w:r>
        <w:t xml:space="preserve">Ga] </w:t>
      </w:r>
      <w:r w:rsidRPr="00AB3821">
        <w:t>DOTA-TATE,</w:t>
      </w:r>
      <w:r>
        <w:t xml:space="preserve"> and</w:t>
      </w:r>
      <w:r w:rsidRPr="00AB3821">
        <w:t xml:space="preserve"> DOTA-TOC) are used in positron emission tomography (PET) imaging of neuroendocrine tumours (NETs). </w:t>
      </w:r>
      <w:r>
        <w:t>Like SPECT-</w:t>
      </w:r>
      <w:r w:rsidRPr="00AB3821">
        <w:t>octreotide scan</w:t>
      </w:r>
      <w:r>
        <w:t>s,</w:t>
      </w:r>
      <w:r w:rsidRPr="00AB3821">
        <w:t xml:space="preserve"> </w:t>
      </w:r>
      <w:r>
        <w:t xml:space="preserve">an </w:t>
      </w:r>
      <w:proofErr w:type="gramStart"/>
      <w:r w:rsidRPr="00AB3821">
        <w:t>octreoti</w:t>
      </w:r>
      <w:r>
        <w:t>de based</w:t>
      </w:r>
      <w:proofErr w:type="gramEnd"/>
      <w:r>
        <w:t xml:space="preserve"> somatostatin analogue </w:t>
      </w:r>
      <w:r w:rsidRPr="00AB3821">
        <w:t xml:space="preserve">is used as the radioligand, </w:t>
      </w:r>
      <w:r>
        <w:t>and the indications and uses are similar to</w:t>
      </w:r>
      <w:r w:rsidRPr="00AB3821">
        <w:t xml:space="preserve"> </w:t>
      </w:r>
      <w:proofErr w:type="spellStart"/>
      <w:r w:rsidRPr="00AB3821">
        <w:t>ocreotide</w:t>
      </w:r>
      <w:proofErr w:type="spellEnd"/>
      <w:r w:rsidRPr="00AB3821">
        <w:t xml:space="preserve"> scans, however </w:t>
      </w:r>
      <w:r>
        <w:t>the is significant improvement in image quality.</w:t>
      </w:r>
      <w:r w:rsidRPr="00AB3821">
        <w:t xml:space="preserve"> </w:t>
      </w:r>
      <w:r>
        <w:t>Many NETs have overexpression of s</w:t>
      </w:r>
      <w:r w:rsidRPr="00AB3821">
        <w:t>omatostatin receptors, so that the</w:t>
      </w:r>
      <w:r>
        <w:t>re is preferential</w:t>
      </w:r>
      <w:r w:rsidRPr="00AB3821">
        <w:t xml:space="preserve"> </w:t>
      </w:r>
      <w:r>
        <w:t>[</w:t>
      </w:r>
      <w:r w:rsidRPr="004F7DDA">
        <w:rPr>
          <w:vertAlign w:val="superscript"/>
        </w:rPr>
        <w:t>68</w:t>
      </w:r>
      <w:r>
        <w:t>Ga] Gallium DOTA conjugated peptide take-</w:t>
      </w:r>
      <w:r w:rsidRPr="00AB3821">
        <w:t xml:space="preserve">up in these </w:t>
      </w:r>
      <w:proofErr w:type="gramStart"/>
      <w:r w:rsidRPr="00AB3821">
        <w:t>locations, and</w:t>
      </w:r>
      <w:proofErr w:type="gramEnd"/>
      <w:r w:rsidRPr="00AB3821">
        <w:t xml:space="preserve"> visualised on the scan</w:t>
      </w:r>
      <w:r>
        <w:t>.</w:t>
      </w:r>
    </w:p>
  </w:footnote>
  <w:footnote w:id="32">
    <w:p w14:paraId="33C370C7" w14:textId="26E4AF9C" w:rsidR="009F19B0" w:rsidRPr="00F74A2E" w:rsidRDefault="009F19B0" w:rsidP="00F74A2E">
      <w:pPr>
        <w:pStyle w:val="FootnoteText"/>
      </w:pPr>
      <w:r>
        <w:rPr>
          <w:rStyle w:val="FootnoteReference"/>
        </w:rPr>
        <w:footnoteRef/>
      </w:r>
      <w:r>
        <w:t xml:space="preserve"> FDA News Release: FDA Approves First PSMA-Targeted PET Imaging Drug for Men with Prostate Cancer. United States Food and Drug Administration; 1 December 2020. Available at: </w:t>
      </w:r>
      <w:r w:rsidRPr="00F74A2E">
        <w:t>https://www.fda.gov/news-events/press-announcements/fda-approves-first-psma-targeted-pet-imaging-drug-men-prostate-cancer</w:t>
      </w:r>
    </w:p>
  </w:footnote>
  <w:footnote w:id="33">
    <w:p w14:paraId="77A00587" w14:textId="0C835575" w:rsidR="009F19B0" w:rsidRPr="004F7DDA" w:rsidRDefault="009F19B0">
      <w:pPr>
        <w:pStyle w:val="FootnoteText"/>
        <w:rPr>
          <w:lang w:val="en-GB"/>
        </w:rPr>
      </w:pPr>
      <w:r>
        <w:rPr>
          <w:rStyle w:val="FootnoteReference"/>
        </w:rPr>
        <w:footnoteRef/>
      </w:r>
      <w:r>
        <w:t xml:space="preserve"> </w:t>
      </w:r>
      <w:proofErr w:type="spellStart"/>
      <w:r>
        <w:t>Center</w:t>
      </w:r>
      <w:proofErr w:type="spellEnd"/>
      <w:r>
        <w:t xml:space="preserve"> </w:t>
      </w:r>
      <w:proofErr w:type="gramStart"/>
      <w:r>
        <w:t>For</w:t>
      </w:r>
      <w:proofErr w:type="gramEnd"/>
      <w:r>
        <w:t xml:space="preserve"> Drug Evaluation And Research Approval Package for: 212642Orig1s000 Gallium Ga 68 PSMA-11 Injection; NDA 212642. United States Food and Drug Administration; 1 December 2020. Available at: </w:t>
      </w:r>
      <w:r w:rsidRPr="00F74A2E">
        <w:t>https://www.accessdata.fda.gov/drugsatfda_docs/nda/2020/212642Orig1s000Approv.pdf</w:t>
      </w:r>
    </w:p>
  </w:footnote>
  <w:footnote w:id="34">
    <w:p w14:paraId="66AE3B45" w14:textId="3E0E415B" w:rsidR="009F19B0" w:rsidRDefault="009F19B0">
      <w:pPr>
        <w:pStyle w:val="FootnoteText"/>
      </w:pPr>
      <w:r>
        <w:rPr>
          <w:rStyle w:val="FootnoteReference"/>
        </w:rPr>
        <w:footnoteRef/>
      </w:r>
      <w:r>
        <w:t xml:space="preserve"> T</w:t>
      </w:r>
      <w:r w:rsidRPr="004F1766">
        <w:t xml:space="preserve">he TGA has implemented a </w:t>
      </w:r>
      <w:r w:rsidRPr="004F1766">
        <w:rPr>
          <w:b/>
        </w:rPr>
        <w:t>priority pathway</w:t>
      </w:r>
      <w:r w:rsidRPr="004F1766">
        <w:t xml:space="preserve"> for the registration of novel prescription medicines for Australian patients.</w:t>
      </w:r>
      <w:r>
        <w:t xml:space="preserve"> </w:t>
      </w:r>
      <w:r w:rsidRPr="004F1766">
        <w:t>The priority pathway provides a formal mechanism for faster assessment of vital and life-saving prescription medicines. The target timeframe of 150 working days is up to three months shorter than the standard prescription medicines registration process.</w:t>
      </w:r>
    </w:p>
  </w:footnote>
  <w:footnote w:id="35">
    <w:p w14:paraId="3BCF3E07" w14:textId="5595FD63" w:rsidR="009F19B0" w:rsidRPr="00CB52DB" w:rsidRDefault="009F19B0" w:rsidP="00BF52C3">
      <w:pPr>
        <w:pStyle w:val="FootnoteText"/>
        <w:rPr>
          <w:szCs w:val="18"/>
        </w:rPr>
      </w:pPr>
      <w:r>
        <w:rPr>
          <w:rStyle w:val="FootnoteReference"/>
        </w:rPr>
        <w:footnoteRef/>
      </w:r>
      <w:r>
        <w:t xml:space="preserve"> </w:t>
      </w:r>
      <w:r w:rsidRPr="00CB52DB">
        <w:rPr>
          <w:szCs w:val="18"/>
        </w:rPr>
        <w:t>ICH M3 (R2) Non-clinical safety studies for the conduct of human clinical trials for pharmaceuticals. CPMP/ICH/286/95.</w:t>
      </w:r>
    </w:p>
  </w:footnote>
  <w:footnote w:id="36">
    <w:p w14:paraId="0EBD5DD7" w14:textId="4B8D3DCC" w:rsidR="009F19B0" w:rsidRDefault="009F19B0" w:rsidP="00BF52C3">
      <w:pPr>
        <w:pStyle w:val="FootnoteText"/>
      </w:pPr>
      <w:r w:rsidRPr="00CB52DB">
        <w:rPr>
          <w:rStyle w:val="FootnoteReference"/>
          <w:sz w:val="12"/>
          <w:szCs w:val="12"/>
          <w:vertAlign w:val="baseline"/>
        </w:rPr>
        <w:footnoteRef/>
      </w:r>
      <w:r w:rsidRPr="00CB52DB">
        <w:rPr>
          <w:sz w:val="12"/>
          <w:szCs w:val="12"/>
        </w:rPr>
        <w:t xml:space="preserve"> </w:t>
      </w:r>
      <w:hyperlink r:id="rId2" w:history="1">
        <w:r w:rsidRPr="004F7DDA">
          <w:rPr>
            <w:rStyle w:val="Hyperlink"/>
            <w:szCs w:val="18"/>
          </w:rPr>
          <w:t>https://www.fda.gov/regulatory-information/search-fda-guidance-documents/microdose-radiopharmaceutical-diagnostic-drugs-nonclinical-study-recommendations</w:t>
        </w:r>
      </w:hyperlink>
    </w:p>
  </w:footnote>
  <w:footnote w:id="37">
    <w:p w14:paraId="72F5E27F" w14:textId="4161C571" w:rsidR="009F19B0" w:rsidRPr="004F7DDA" w:rsidRDefault="009F19B0">
      <w:pPr>
        <w:pStyle w:val="FootnoteText"/>
        <w:rPr>
          <w:lang w:val="en-GB"/>
        </w:rPr>
      </w:pPr>
      <w:r>
        <w:rPr>
          <w:rStyle w:val="FootnoteReference"/>
        </w:rPr>
        <w:footnoteRef/>
      </w:r>
      <w:r>
        <w:t xml:space="preserve"> </w:t>
      </w:r>
      <w:r w:rsidRPr="003901F1">
        <w:t xml:space="preserve">LNCaP cells are </w:t>
      </w:r>
      <w:r>
        <w:t xml:space="preserve">a cell line of human </w:t>
      </w:r>
      <w:r w:rsidRPr="003901F1">
        <w:t>androgen-sensitive human prostate adenocarcinoma cells</w:t>
      </w:r>
      <w:r>
        <w:t>.</w:t>
      </w:r>
    </w:p>
  </w:footnote>
  <w:footnote w:id="38">
    <w:p w14:paraId="1B3669B2" w14:textId="4F57EE36" w:rsidR="009F19B0" w:rsidRDefault="009F19B0" w:rsidP="00817BFF">
      <w:pPr>
        <w:pStyle w:val="FootnoteText"/>
      </w:pPr>
      <w:r>
        <w:rPr>
          <w:rStyle w:val="FootnoteReference"/>
        </w:rPr>
        <w:footnoteRef/>
      </w:r>
      <w:r>
        <w:t xml:space="preserve"> </w:t>
      </w:r>
      <w:proofErr w:type="spellStart"/>
      <w:r w:rsidRPr="00CB52DB">
        <w:rPr>
          <w:szCs w:val="18"/>
        </w:rPr>
        <w:t>Sandgren</w:t>
      </w:r>
      <w:proofErr w:type="spellEnd"/>
      <w:r w:rsidRPr="00CB52DB">
        <w:rPr>
          <w:szCs w:val="18"/>
        </w:rPr>
        <w:t xml:space="preserve"> K, et al. Radiation dosimetry of [68</w:t>
      </w:r>
      <w:proofErr w:type="gramStart"/>
      <w:r w:rsidRPr="00CB52DB">
        <w:rPr>
          <w:szCs w:val="18"/>
        </w:rPr>
        <w:t>Ga]PSMA</w:t>
      </w:r>
      <w:proofErr w:type="gramEnd"/>
      <w:r w:rsidRPr="00CB52DB">
        <w:rPr>
          <w:szCs w:val="18"/>
        </w:rPr>
        <w:t xml:space="preserve">-11 in low-risk prostate cancer patients. </w:t>
      </w:r>
      <w:r w:rsidRPr="00CB52DB">
        <w:rPr>
          <w:i/>
          <w:iCs/>
          <w:szCs w:val="18"/>
        </w:rPr>
        <w:t>EJNMMI Phys</w:t>
      </w:r>
      <w:r w:rsidRPr="00CB52DB">
        <w:rPr>
          <w:szCs w:val="18"/>
        </w:rPr>
        <w:t>. 2019 Jan;6(1):2</w:t>
      </w:r>
    </w:p>
  </w:footnote>
  <w:footnote w:id="39">
    <w:p w14:paraId="22BD2698" w14:textId="2308FE34" w:rsidR="009F19B0" w:rsidRDefault="009F19B0" w:rsidP="008A2443">
      <w:pPr>
        <w:pStyle w:val="FootnoteText"/>
      </w:pPr>
      <w:r>
        <w:rPr>
          <w:rStyle w:val="FootnoteReference"/>
        </w:rPr>
        <w:footnoteRef/>
      </w:r>
      <w:r>
        <w:t xml:space="preserve"> </w:t>
      </w:r>
      <w:r w:rsidRPr="0023337D">
        <w:t>Afshar-</w:t>
      </w:r>
      <w:proofErr w:type="spellStart"/>
      <w:r w:rsidRPr="0023337D">
        <w:t>Oromieh</w:t>
      </w:r>
      <w:proofErr w:type="spellEnd"/>
      <w:r w:rsidRPr="0023337D">
        <w:t xml:space="preserve">, A., </w:t>
      </w:r>
      <w:proofErr w:type="spellStart"/>
      <w:r w:rsidRPr="0023337D">
        <w:t>Malcher</w:t>
      </w:r>
      <w:proofErr w:type="spellEnd"/>
      <w:r w:rsidRPr="0023337D">
        <w:t>, A., Eder, M. et al. PET imaging with a [68</w:t>
      </w:r>
      <w:proofErr w:type="gramStart"/>
      <w:r w:rsidRPr="0023337D">
        <w:t>Ga]gallium</w:t>
      </w:r>
      <w:proofErr w:type="gramEnd"/>
      <w:r w:rsidRPr="0023337D">
        <w:t xml:space="preserve">-labelled PSMA ligand for the diagnosis of prostate cancer: biodistribution in humans and first evaluation of tumour lesions. </w:t>
      </w:r>
      <w:r w:rsidRPr="004F7DDA">
        <w:rPr>
          <w:i/>
        </w:rPr>
        <w:t xml:space="preserve">Eur J </w:t>
      </w:r>
      <w:proofErr w:type="spellStart"/>
      <w:r w:rsidRPr="004F7DDA">
        <w:rPr>
          <w:i/>
        </w:rPr>
        <w:t>Nucl</w:t>
      </w:r>
      <w:proofErr w:type="spellEnd"/>
      <w:r w:rsidRPr="004F7DDA">
        <w:rPr>
          <w:i/>
        </w:rPr>
        <w:t xml:space="preserve"> Med Mol Imaging </w:t>
      </w:r>
      <w:r w:rsidRPr="0023337D">
        <w:t>40, 486–495 (2013).</w:t>
      </w:r>
      <w:r w:rsidRPr="0023337D" w:rsidDel="0023337D">
        <w:t xml:space="preserve"> </w:t>
      </w:r>
    </w:p>
  </w:footnote>
  <w:footnote w:id="40">
    <w:p w14:paraId="4D7E4878" w14:textId="27FC755D" w:rsidR="009F19B0" w:rsidRPr="00BF52C3" w:rsidRDefault="009F19B0" w:rsidP="008A2443">
      <w:pPr>
        <w:pStyle w:val="FootnoteText"/>
        <w:rPr>
          <w:sz w:val="17"/>
          <w:szCs w:val="17"/>
        </w:rPr>
      </w:pPr>
      <w:r>
        <w:rPr>
          <w:rStyle w:val="FootnoteReference"/>
        </w:rPr>
        <w:footnoteRef/>
      </w:r>
      <w:r>
        <w:t xml:space="preserve"> </w:t>
      </w:r>
      <w:r w:rsidRPr="00CB52DB">
        <w:rPr>
          <w:szCs w:val="18"/>
        </w:rPr>
        <w:t>Prasad V, et al. Biodistribution of [(</w:t>
      </w:r>
      <w:proofErr w:type="gramStart"/>
      <w:r w:rsidRPr="00CB52DB">
        <w:rPr>
          <w:szCs w:val="18"/>
        </w:rPr>
        <w:t>68)Ga</w:t>
      </w:r>
      <w:proofErr w:type="gramEnd"/>
      <w:r w:rsidRPr="00CB52DB">
        <w:rPr>
          <w:szCs w:val="18"/>
        </w:rPr>
        <w:t xml:space="preserve">]PSMA-HBED-CC in patients with prostate cancer: characterization of uptake in normal organs and tumour lesions. </w:t>
      </w:r>
      <w:r w:rsidRPr="00CB52DB">
        <w:rPr>
          <w:i/>
          <w:iCs/>
          <w:szCs w:val="18"/>
        </w:rPr>
        <w:t>Mol Imaging Biol</w:t>
      </w:r>
      <w:r w:rsidRPr="00CB52DB">
        <w:rPr>
          <w:szCs w:val="18"/>
        </w:rPr>
        <w:t>. 2016 Jun;18(3):428-436</w:t>
      </w:r>
    </w:p>
  </w:footnote>
  <w:footnote w:id="41">
    <w:p w14:paraId="3D3AF8C6" w14:textId="175D6588" w:rsidR="009F19B0" w:rsidRDefault="009F19B0" w:rsidP="008A2443">
      <w:pPr>
        <w:pStyle w:val="FootnoteText"/>
      </w:pPr>
      <w:r>
        <w:rPr>
          <w:rStyle w:val="FootnoteReference"/>
        </w:rPr>
        <w:footnoteRef/>
      </w:r>
      <w:r>
        <w:t xml:space="preserve"> </w:t>
      </w:r>
      <w:proofErr w:type="spellStart"/>
      <w:r w:rsidRPr="00CB52DB">
        <w:rPr>
          <w:szCs w:val="18"/>
        </w:rPr>
        <w:t>Fendler</w:t>
      </w:r>
      <w:proofErr w:type="spellEnd"/>
      <w:r w:rsidRPr="00CB52DB">
        <w:rPr>
          <w:szCs w:val="18"/>
        </w:rPr>
        <w:t xml:space="preserve"> et al. 68Ga-PSMA PET/CT: Joint EANM and SNMI procedure guideline for prostate cancer imaging: Version 1.0. </w:t>
      </w:r>
      <w:r w:rsidRPr="00CB52DB">
        <w:rPr>
          <w:i/>
          <w:iCs/>
          <w:szCs w:val="18"/>
        </w:rPr>
        <w:t xml:space="preserve">Eur j </w:t>
      </w:r>
      <w:proofErr w:type="spellStart"/>
      <w:r w:rsidRPr="00CB52DB">
        <w:rPr>
          <w:i/>
          <w:iCs/>
          <w:szCs w:val="18"/>
        </w:rPr>
        <w:t>Nuc</w:t>
      </w:r>
      <w:proofErr w:type="spellEnd"/>
      <w:r w:rsidRPr="00CB52DB">
        <w:rPr>
          <w:i/>
          <w:iCs/>
          <w:szCs w:val="18"/>
        </w:rPr>
        <w:t xml:space="preserve"> Med Mol Imaging</w:t>
      </w:r>
      <w:r w:rsidRPr="00CB52DB">
        <w:rPr>
          <w:szCs w:val="18"/>
        </w:rPr>
        <w:t>. 2017.</w:t>
      </w:r>
    </w:p>
  </w:footnote>
  <w:footnote w:id="42">
    <w:p w14:paraId="1A6695D4" w14:textId="1FCCA6AC" w:rsidR="009F19B0" w:rsidRDefault="009F19B0" w:rsidP="008A2443">
      <w:pPr>
        <w:pStyle w:val="FootnoteText"/>
        <w:rPr>
          <w:sz w:val="20"/>
        </w:rPr>
      </w:pPr>
      <w:r>
        <w:rPr>
          <w:rStyle w:val="FootnoteReference"/>
        </w:rPr>
        <w:footnoteRef/>
      </w:r>
      <w:r>
        <w:t xml:space="preserve"> </w:t>
      </w:r>
      <w:proofErr w:type="spellStart"/>
      <w:r w:rsidRPr="00CB52DB">
        <w:rPr>
          <w:szCs w:val="18"/>
        </w:rPr>
        <w:t>Calderoni</w:t>
      </w:r>
      <w:proofErr w:type="spellEnd"/>
      <w:r w:rsidRPr="00CB52DB">
        <w:rPr>
          <w:szCs w:val="18"/>
        </w:rPr>
        <w:t xml:space="preserve"> et al. Evaluation of an Automated Module Synthesis and a Sterile Cold Kit–Based Preparation of 68Ga-PSMA-11 in Patients with Prostate Cancer. </w:t>
      </w:r>
      <w:r w:rsidRPr="00CB52DB">
        <w:rPr>
          <w:i/>
          <w:iCs/>
          <w:szCs w:val="18"/>
        </w:rPr>
        <w:t xml:space="preserve">Journal of Nuclear Medicine. </w:t>
      </w:r>
      <w:r w:rsidRPr="00CB52DB">
        <w:rPr>
          <w:szCs w:val="18"/>
        </w:rPr>
        <w:t>2020; 61 (5) 716-722.</w:t>
      </w:r>
    </w:p>
  </w:footnote>
  <w:footnote w:id="43">
    <w:p w14:paraId="5CA33485" w14:textId="005DBC32" w:rsidR="009F19B0" w:rsidRPr="004F7DDA" w:rsidRDefault="009F19B0">
      <w:pPr>
        <w:pStyle w:val="FootnoteText"/>
        <w:rPr>
          <w:lang w:val="en-GB"/>
        </w:rPr>
      </w:pPr>
      <w:r>
        <w:rPr>
          <w:rStyle w:val="FootnoteReference"/>
        </w:rPr>
        <w:footnoteRef/>
      </w:r>
      <w:r>
        <w:t xml:space="preserve"> </w:t>
      </w:r>
      <w:r>
        <w:rPr>
          <w:lang w:val="en-GB"/>
        </w:rPr>
        <w:t xml:space="preserve">Official study title: </w:t>
      </w:r>
      <w:r w:rsidRPr="008929A3">
        <w:rPr>
          <w:lang w:val="en-GB"/>
        </w:rPr>
        <w:t>PSMA PET Imaging of Recurrent Prostate Cancer</w:t>
      </w:r>
      <w:r>
        <w:rPr>
          <w:lang w:val="en-GB"/>
        </w:rPr>
        <w:t xml:space="preserve">; an open-label, non-randomised, parallel intervention Phase II study. National Clinical Trial ID: </w:t>
      </w:r>
      <w:r w:rsidRPr="008929A3">
        <w:rPr>
          <w:lang w:val="en-GB"/>
        </w:rPr>
        <w:t>03204123</w:t>
      </w:r>
    </w:p>
  </w:footnote>
  <w:footnote w:id="44">
    <w:p w14:paraId="009E890C" w14:textId="62BB3E49" w:rsidR="009F19B0" w:rsidRPr="004F7DDA" w:rsidRDefault="009F19B0">
      <w:pPr>
        <w:pStyle w:val="FootnoteText"/>
        <w:rPr>
          <w:lang w:val="en-GB"/>
        </w:rPr>
      </w:pPr>
      <w:r>
        <w:rPr>
          <w:rStyle w:val="FootnoteReference"/>
        </w:rPr>
        <w:footnoteRef/>
      </w:r>
      <w:r>
        <w:t xml:space="preserve"> Morris M, Rowe S, </w:t>
      </w:r>
      <w:proofErr w:type="spellStart"/>
      <w:r>
        <w:t>Gorin</w:t>
      </w:r>
      <w:proofErr w:type="spellEnd"/>
      <w:r>
        <w:t xml:space="preserve"> M</w:t>
      </w:r>
      <w:r w:rsidRPr="00463E69">
        <w:t xml:space="preserve">, et al. Diagnostic Performance of 18F-DCFPyL-PET/CT in Men with Biochemically Recurrent Prostate Cancer: Results from the CONDOR Phase III, </w:t>
      </w:r>
      <w:proofErr w:type="spellStart"/>
      <w:r w:rsidRPr="00463E69">
        <w:t>Multicenter</w:t>
      </w:r>
      <w:proofErr w:type="spellEnd"/>
      <w:r w:rsidRPr="00463E69">
        <w:t xml:space="preserve"> Study. </w:t>
      </w:r>
      <w:r w:rsidRPr="004F7DDA">
        <w:rPr>
          <w:i/>
        </w:rPr>
        <w:t>Clin Cancer Res.</w:t>
      </w:r>
      <w:r>
        <w:t xml:space="preserve"> 2021;27(13):3674-3682.</w:t>
      </w:r>
    </w:p>
  </w:footnote>
  <w:footnote w:id="45">
    <w:p w14:paraId="5A07F9B3" w14:textId="5FD0733B" w:rsidR="009F19B0" w:rsidRPr="0062392E" w:rsidRDefault="009F19B0" w:rsidP="0062392E">
      <w:pPr>
        <w:pStyle w:val="FootnoteText"/>
      </w:pPr>
      <w:r>
        <w:rPr>
          <w:rStyle w:val="FootnoteReference"/>
        </w:rPr>
        <w:footnoteRef/>
      </w:r>
      <w:r>
        <w:t xml:space="preserve"> </w:t>
      </w:r>
      <w:r w:rsidRPr="0062392E">
        <w:t xml:space="preserve">The </w:t>
      </w:r>
      <w:r>
        <w:t>International Society for Urological Pathology (</w:t>
      </w:r>
      <w:r w:rsidRPr="0062392E">
        <w:t>ISUP</w:t>
      </w:r>
      <w:r>
        <w:t>)</w:t>
      </w:r>
      <w:r w:rsidRPr="0062392E">
        <w:t xml:space="preserve"> Grade Group system uses five grades. Grade 1 is the least aggressive and Grade 5 is the most aggressive:</w:t>
      </w:r>
      <w:r>
        <w:t xml:space="preserve"> </w:t>
      </w:r>
      <w:r w:rsidRPr="0062392E">
        <w:t>Grade group 3 (Gleason score 4+3 = 7): Intermediate unfavourable; the cancer is moderately aggressive</w:t>
      </w:r>
      <w:r>
        <w:t>. Grade group 4 (Gleason score 8): High risk; the cancer is fast growing and aggressive. Grade group 5 (Gleason score 9 or 10): The highest risk; the cancer is fast growing and aggressive.</w:t>
      </w:r>
    </w:p>
  </w:footnote>
  <w:footnote w:id="46">
    <w:p w14:paraId="5564EBC5" w14:textId="37263C08" w:rsidR="009F19B0" w:rsidRPr="0060135E" w:rsidRDefault="009F19B0" w:rsidP="0060135E">
      <w:pPr>
        <w:pStyle w:val="FootnoteText"/>
      </w:pPr>
      <w:r>
        <w:rPr>
          <w:rStyle w:val="FootnoteReference"/>
        </w:rPr>
        <w:footnoteRef/>
      </w:r>
      <w:r>
        <w:t xml:space="preserve"> TNM Stage T3 means the cancer has broken through the capsule (covering) of the prostate gland. It’s divided into T3a and T3b. T3a means the cancer has broken through the capsule (covering) of the prostate gland. T3b means the cancer has spread into the tubes that carry semen (seminal vesicles).</w:t>
      </w:r>
    </w:p>
  </w:footnote>
  <w:footnote w:id="47">
    <w:p w14:paraId="0E39A472" w14:textId="4BCAEA83" w:rsidR="009F19B0" w:rsidRPr="00273780" w:rsidRDefault="009F19B0" w:rsidP="007A06A3">
      <w:pPr>
        <w:pStyle w:val="FootnoteText"/>
      </w:pPr>
      <w:r w:rsidRPr="00273780">
        <w:rPr>
          <w:rStyle w:val="FootnoteReference"/>
          <w:szCs w:val="18"/>
        </w:rPr>
        <w:footnoteRef/>
      </w:r>
      <w:r w:rsidRPr="00273780">
        <w:t xml:space="preserve"> </w:t>
      </w:r>
      <w:proofErr w:type="spellStart"/>
      <w:r w:rsidRPr="00273780">
        <w:rPr>
          <w:shd w:val="clear" w:color="auto" w:fill="FFFFFF"/>
        </w:rPr>
        <w:t>Fendler</w:t>
      </w:r>
      <w:proofErr w:type="spellEnd"/>
      <w:r w:rsidRPr="00273780">
        <w:rPr>
          <w:shd w:val="clear" w:color="auto" w:fill="FFFFFF"/>
        </w:rPr>
        <w:t xml:space="preserve"> WP, Calais J, </w:t>
      </w:r>
      <w:proofErr w:type="spellStart"/>
      <w:r w:rsidRPr="00273780">
        <w:rPr>
          <w:shd w:val="clear" w:color="auto" w:fill="FFFFFF"/>
        </w:rPr>
        <w:t>Eiber</w:t>
      </w:r>
      <w:proofErr w:type="spellEnd"/>
      <w:r w:rsidRPr="00273780">
        <w:rPr>
          <w:shd w:val="clear" w:color="auto" w:fill="FFFFFF"/>
        </w:rPr>
        <w:t xml:space="preserve"> M, et al. Assessment of </w:t>
      </w:r>
      <w:r w:rsidRPr="00273780">
        <w:rPr>
          <w:shd w:val="clear" w:color="auto" w:fill="FFFFFF"/>
          <w:vertAlign w:val="superscript"/>
        </w:rPr>
        <w:t>68</w:t>
      </w:r>
      <w:r w:rsidRPr="00273780">
        <w:rPr>
          <w:shd w:val="clear" w:color="auto" w:fill="FFFFFF"/>
        </w:rPr>
        <w:t>Ga-PSMA-11 PET Accuracy in Localizing Recurrent Prostate Cancer</w:t>
      </w:r>
      <w:r w:rsidRPr="00273780">
        <w:rPr>
          <w:rStyle w:val="colon-for-citation-subtitle"/>
          <w:rFonts w:asciiTheme="minorHAnsi" w:hAnsiTheme="minorHAnsi" w:cs="Helvetica"/>
          <w:color w:val="333333"/>
          <w:szCs w:val="18"/>
          <w:shd w:val="clear" w:color="auto" w:fill="FFFFFF"/>
        </w:rPr>
        <w:t xml:space="preserve">: </w:t>
      </w:r>
      <w:r w:rsidRPr="00273780">
        <w:rPr>
          <w:rStyle w:val="Subtitle1"/>
          <w:rFonts w:asciiTheme="minorHAnsi" w:hAnsiTheme="minorHAnsi" w:cs="Helvetica"/>
          <w:color w:val="333333"/>
          <w:szCs w:val="18"/>
          <w:shd w:val="clear" w:color="auto" w:fill="FFFFFF"/>
        </w:rPr>
        <w:t>A Prospective Single-Arm Clinical Trial</w:t>
      </w:r>
      <w:r w:rsidRPr="00273780">
        <w:rPr>
          <w:shd w:val="clear" w:color="auto" w:fill="FFFFFF"/>
        </w:rPr>
        <w:t xml:space="preserve">. </w:t>
      </w:r>
      <w:r w:rsidRPr="00273780">
        <w:rPr>
          <w:rStyle w:val="Emphasis"/>
          <w:rFonts w:asciiTheme="minorHAnsi" w:hAnsiTheme="minorHAnsi" w:cs="Helvetica"/>
          <w:color w:val="333333"/>
          <w:szCs w:val="18"/>
          <w:shd w:val="clear" w:color="auto" w:fill="FFFFFF"/>
        </w:rPr>
        <w:t>JAMA Oncol.</w:t>
      </w:r>
      <w:r w:rsidRPr="00273780">
        <w:rPr>
          <w:shd w:val="clear" w:color="auto" w:fill="FFFFFF"/>
        </w:rPr>
        <w:t xml:space="preserve"> 2019;5(6):856–863.</w:t>
      </w:r>
    </w:p>
  </w:footnote>
  <w:footnote w:id="48">
    <w:p w14:paraId="41913A20" w14:textId="34C9DAA1" w:rsidR="009F19B0" w:rsidRPr="00BB6E5F" w:rsidRDefault="009F19B0" w:rsidP="002D4DC6">
      <w:pPr>
        <w:pStyle w:val="FootnoteText"/>
      </w:pPr>
      <w:r>
        <w:rPr>
          <w:rStyle w:val="FootnoteReference"/>
        </w:rPr>
        <w:footnoteRef/>
      </w:r>
      <w:r>
        <w:t xml:space="preserve"> </w:t>
      </w:r>
      <w:proofErr w:type="spellStart"/>
      <w:r>
        <w:t>Center</w:t>
      </w:r>
      <w:proofErr w:type="spellEnd"/>
      <w:r>
        <w:t xml:space="preserve"> for Drug Evaluation and Research 212642Orig1s000 Multi-Discipline Review NDA/BLA Multi-Disciplinary Review and Evaluation NDA 212642 Gallium Ga 68 PSMA-11 Injection. United States Food and Drug Administration. 12 October 2018. Available at: </w:t>
      </w:r>
      <w:r w:rsidRPr="002D4DC6">
        <w:t>https://www.accessdata.fda.gov/drugsatfda_docs/nda/2020/212642Orig1s000MutlidisciplineR.pdf</w:t>
      </w:r>
    </w:p>
  </w:footnote>
  <w:footnote w:id="49">
    <w:p w14:paraId="068FB3C2" w14:textId="1B7674EC" w:rsidR="009F19B0" w:rsidRPr="004F7DDA" w:rsidRDefault="009F19B0">
      <w:pPr>
        <w:pStyle w:val="FootnoteText"/>
        <w:rPr>
          <w:lang w:val="en-GB"/>
        </w:rPr>
      </w:pPr>
      <w:r>
        <w:rPr>
          <w:rStyle w:val="FootnoteReference"/>
        </w:rPr>
        <w:footnoteRef/>
      </w:r>
      <w:r>
        <w:t xml:space="preserve"> </w:t>
      </w:r>
      <w:r w:rsidRPr="00B757B9">
        <w:t xml:space="preserve">Sartor O, de Bono J, Chi KN, et al. Lutetium-177-PSMA-617 for Metastatic Castration-Resistant Prostate Cancer. </w:t>
      </w:r>
      <w:r w:rsidRPr="004F7DDA">
        <w:rPr>
          <w:i/>
        </w:rPr>
        <w:t xml:space="preserve">N </w:t>
      </w:r>
      <w:proofErr w:type="spellStart"/>
      <w:r w:rsidRPr="004F7DDA">
        <w:rPr>
          <w:i/>
        </w:rPr>
        <w:t>Engl</w:t>
      </w:r>
      <w:proofErr w:type="spellEnd"/>
      <w:r w:rsidRPr="004F7DDA">
        <w:rPr>
          <w:i/>
        </w:rPr>
        <w:t xml:space="preserve"> J Med. </w:t>
      </w:r>
      <w:r w:rsidRPr="00B757B9">
        <w:t>2021;385(12):1091-1103.</w:t>
      </w:r>
    </w:p>
  </w:footnote>
  <w:footnote w:id="50">
    <w:p w14:paraId="11B5E237" w14:textId="306CB248" w:rsidR="009F19B0" w:rsidRDefault="009F19B0" w:rsidP="003A7852">
      <w:pPr>
        <w:pStyle w:val="FootnoteText"/>
      </w:pPr>
      <w:r>
        <w:rPr>
          <w:rStyle w:val="FootnoteReference"/>
        </w:rPr>
        <w:footnoteRef/>
      </w:r>
      <w:r>
        <w:t xml:space="preserve"> </w:t>
      </w:r>
      <w:proofErr w:type="spellStart"/>
      <w:r w:rsidRPr="00D477F9">
        <w:rPr>
          <w:szCs w:val="18"/>
          <w:lang w:eastAsia="ja-JP"/>
        </w:rPr>
        <w:t>Lawhn</w:t>
      </w:r>
      <w:proofErr w:type="spellEnd"/>
      <w:r w:rsidRPr="00D477F9">
        <w:rPr>
          <w:szCs w:val="18"/>
          <w:lang w:eastAsia="ja-JP"/>
        </w:rPr>
        <w:t>-Heath C, et al. Single-</w:t>
      </w:r>
      <w:proofErr w:type="spellStart"/>
      <w:r w:rsidRPr="00D477F9">
        <w:rPr>
          <w:szCs w:val="18"/>
          <w:lang w:eastAsia="ja-JP"/>
        </w:rPr>
        <w:t>center</w:t>
      </w:r>
      <w:proofErr w:type="spellEnd"/>
      <w:r w:rsidRPr="00D477F9">
        <w:rPr>
          <w:szCs w:val="18"/>
          <w:lang w:eastAsia="ja-JP"/>
        </w:rPr>
        <w:t xml:space="preserve"> prospective evaluation of 68Ga-PSMA-11 PET in biochemical recurrence of prostate cancer. AJR Am </w:t>
      </w:r>
      <w:r w:rsidRPr="00A24C1C">
        <w:rPr>
          <w:i/>
          <w:iCs/>
          <w:szCs w:val="18"/>
          <w:lang w:eastAsia="ja-JP"/>
        </w:rPr>
        <w:t xml:space="preserve">J </w:t>
      </w:r>
      <w:proofErr w:type="spellStart"/>
      <w:r w:rsidRPr="00A24C1C">
        <w:rPr>
          <w:i/>
          <w:iCs/>
          <w:szCs w:val="18"/>
          <w:lang w:eastAsia="ja-JP"/>
        </w:rPr>
        <w:t>Roentgenol</w:t>
      </w:r>
      <w:proofErr w:type="spellEnd"/>
      <w:r w:rsidRPr="00D477F9">
        <w:rPr>
          <w:szCs w:val="18"/>
          <w:lang w:eastAsia="ja-JP"/>
        </w:rPr>
        <w:t>. 2019 Aug;213(2):266-274.</w:t>
      </w:r>
    </w:p>
  </w:footnote>
  <w:footnote w:id="51">
    <w:p w14:paraId="2CCA9054" w14:textId="4B6A9518" w:rsidR="009F19B0" w:rsidRDefault="009F19B0">
      <w:pPr>
        <w:pStyle w:val="FootnoteText"/>
      </w:pPr>
      <w:r>
        <w:rPr>
          <w:rStyle w:val="FootnoteReference"/>
        </w:rPr>
        <w:footnoteRef/>
      </w:r>
      <w:r>
        <w:t xml:space="preserve"> </w:t>
      </w:r>
      <w:r w:rsidRPr="00A24C1C">
        <w:t xml:space="preserve">Nielsen, J. B., </w:t>
      </w:r>
      <w:r>
        <w:t>et al.</w:t>
      </w:r>
      <w:r w:rsidRPr="00A24C1C">
        <w:t xml:space="preserve"> A Comprehensive Safety Evaluation of 68Ga-Labeled Ligand Prostate-Specific Membrane Antigen 11 PET/CT in Prostate Cancer: The Results of 2 Prospective, </w:t>
      </w:r>
      <w:proofErr w:type="spellStart"/>
      <w:r w:rsidRPr="00A24C1C">
        <w:t>Multicenter</w:t>
      </w:r>
      <w:proofErr w:type="spellEnd"/>
      <w:r w:rsidRPr="00A24C1C">
        <w:t xml:space="preserve"> Trials. </w:t>
      </w:r>
      <w:r w:rsidRPr="00A24C1C">
        <w:rPr>
          <w:i/>
          <w:iCs/>
        </w:rPr>
        <w:t>Clinical nuclear medicine</w:t>
      </w:r>
      <w:r>
        <w:rPr>
          <w:i/>
          <w:iCs/>
        </w:rPr>
        <w:t>.</w:t>
      </w:r>
      <w:r>
        <w:t xml:space="preserve"> 2017; </w:t>
      </w:r>
      <w:r w:rsidRPr="00A24C1C">
        <w:t>42(7), 520–524.</w:t>
      </w:r>
    </w:p>
  </w:footnote>
  <w:footnote w:id="52">
    <w:p w14:paraId="4B75768A" w14:textId="77777777" w:rsidR="009F19B0" w:rsidRDefault="009F19B0">
      <w:pPr>
        <w:pStyle w:val="FootnoteText"/>
      </w:pPr>
      <w:r>
        <w:rPr>
          <w:rStyle w:val="FootnoteReference"/>
        </w:rPr>
        <w:footnoteRef/>
      </w:r>
      <w:r>
        <w:t xml:space="preserve"> </w:t>
      </w:r>
      <w:r w:rsidRPr="007D53B6">
        <w:t>The sponsor must still comply with routine product vigilance and risk minimisation requirements.</w:t>
      </w:r>
    </w:p>
  </w:footnote>
  <w:footnote w:id="53">
    <w:p w14:paraId="0D8CEE0A" w14:textId="66B2BAA5" w:rsidR="009F19B0" w:rsidRPr="004F7DDA" w:rsidRDefault="009F19B0">
      <w:pPr>
        <w:pStyle w:val="FootnoteText"/>
        <w:rPr>
          <w:lang w:val="en-GB"/>
        </w:rPr>
      </w:pPr>
      <w:r>
        <w:rPr>
          <w:rStyle w:val="FootnoteReference"/>
        </w:rPr>
        <w:footnoteRef/>
      </w:r>
      <w:r>
        <w:t xml:space="preserve"> Press release: </w:t>
      </w:r>
      <w:r w:rsidRPr="00BB6E5F">
        <w:t>FDA approves second PSMA-targeted PET imaging drug for men with prostate cancer</w:t>
      </w:r>
      <w:r>
        <w:t xml:space="preserve">; United States Food and Drug Administration. 27 May 2021. Available at: </w:t>
      </w:r>
      <w:r w:rsidRPr="00BB6E5F">
        <w:t>https://www.fda.gov/drugs/news-events-human-drugs/fda-approves-second-psma-targeted-pet-imaging-drug-men-prostate-cancer</w:t>
      </w:r>
    </w:p>
  </w:footnote>
  <w:footnote w:id="54">
    <w:p w14:paraId="70E58F30" w14:textId="0260E706" w:rsidR="009F19B0" w:rsidRPr="004F7DDA" w:rsidRDefault="009F19B0">
      <w:pPr>
        <w:pStyle w:val="FootnoteText"/>
        <w:rPr>
          <w:lang w:val="en-GB"/>
        </w:rPr>
      </w:pPr>
      <w:r>
        <w:rPr>
          <w:rStyle w:val="FootnoteReference"/>
        </w:rPr>
        <w:footnoteRef/>
      </w:r>
      <w:r>
        <w:t xml:space="preserve"> </w:t>
      </w:r>
      <w:proofErr w:type="spellStart"/>
      <w:r>
        <w:t>Center</w:t>
      </w:r>
      <w:proofErr w:type="spellEnd"/>
      <w:r>
        <w:t xml:space="preserve"> for Drug Evaluation </w:t>
      </w:r>
      <w:proofErr w:type="gramStart"/>
      <w:r>
        <w:t>And</w:t>
      </w:r>
      <w:proofErr w:type="gramEnd"/>
      <w:r>
        <w:t xml:space="preserve"> Research Approval Package for 214793Orig1s000, </w:t>
      </w:r>
      <w:proofErr w:type="spellStart"/>
      <w:r>
        <w:t>Pylarify</w:t>
      </w:r>
      <w:proofErr w:type="spellEnd"/>
      <w:r>
        <w:t xml:space="preserve"> </w:t>
      </w:r>
      <w:proofErr w:type="spellStart"/>
      <w:r>
        <w:t>piflufolastat</w:t>
      </w:r>
      <w:proofErr w:type="spellEnd"/>
      <w:r>
        <w:t xml:space="preserve"> F 18 injection. United States Food and Drug Administration. Available at: </w:t>
      </w:r>
      <w:r w:rsidRPr="00EC50CE">
        <w:t>https://www.accessdata.fda.gov/drugsatfda_docs/nda/2021/214793Orig1s000Approv.pdf</w:t>
      </w:r>
    </w:p>
  </w:footnote>
  <w:footnote w:id="55">
    <w:p w14:paraId="54B6671A" w14:textId="0533E2B2" w:rsidR="009F19B0" w:rsidRDefault="009F19B0" w:rsidP="00254B21">
      <w:pPr>
        <w:pStyle w:val="FootnoteText"/>
      </w:pPr>
      <w:r>
        <w:rPr>
          <w:rStyle w:val="FootnoteReference"/>
        </w:rPr>
        <w:footnoteRef/>
      </w:r>
      <w:r>
        <w:t xml:space="preserve"> </w:t>
      </w:r>
      <w:proofErr w:type="spellStart"/>
      <w:r>
        <w:t>Center</w:t>
      </w:r>
      <w:proofErr w:type="spellEnd"/>
      <w:r>
        <w:t xml:space="preserve"> for Drug Evaluation and Research: NDA/BLA </w:t>
      </w:r>
      <w:r w:rsidRPr="00254B21">
        <w:t xml:space="preserve">NDA 214793 / </w:t>
      </w:r>
      <w:proofErr w:type="spellStart"/>
      <w:r w:rsidRPr="00254B21">
        <w:t>Piflufolastat</w:t>
      </w:r>
      <w:proofErr w:type="spellEnd"/>
      <w:r w:rsidRPr="00254B21">
        <w:t xml:space="preserve"> F 18 (</w:t>
      </w:r>
      <w:proofErr w:type="spellStart"/>
      <w:r w:rsidRPr="00254B21">
        <w:t>Pylarify</w:t>
      </w:r>
      <w:proofErr w:type="spellEnd"/>
      <w:proofErr w:type="gramStart"/>
      <w:r w:rsidRPr="00254B21">
        <w:t>):</w:t>
      </w:r>
      <w:r>
        <w:t>multi</w:t>
      </w:r>
      <w:proofErr w:type="gramEnd"/>
      <w:r>
        <w:noBreakHyphen/>
        <w:t xml:space="preserve">discipline review, (p.68). Available at: </w:t>
      </w:r>
      <w:r w:rsidRPr="004F7DDA">
        <w:t>https://www.accessdata.fda.gov/drugsatfda_docs/nda/2021/214793Orig1s000MultidisciplineR.pdf</w:t>
      </w:r>
    </w:p>
  </w:footnote>
  <w:footnote w:id="56">
    <w:p w14:paraId="71D1CF50" w14:textId="5E99EA31" w:rsidR="009F19B0" w:rsidRDefault="009F19B0" w:rsidP="003A7852">
      <w:pPr>
        <w:autoSpaceDE w:val="0"/>
        <w:autoSpaceDN w:val="0"/>
        <w:adjustRightInd w:val="0"/>
        <w:spacing w:before="0" w:after="0" w:line="240" w:lineRule="auto"/>
      </w:pPr>
      <w:r>
        <w:rPr>
          <w:rStyle w:val="FootnoteReference"/>
        </w:rPr>
        <w:footnoteRef/>
      </w:r>
      <w:r>
        <w:t xml:space="preserve"> </w:t>
      </w:r>
      <w:r w:rsidRPr="00CB52DB">
        <w:rPr>
          <w:rStyle w:val="FootnoteTextChar"/>
        </w:rPr>
        <w:t>Maurer T, et al. Diagnostic efficacy of (68)</w:t>
      </w:r>
      <w:r>
        <w:rPr>
          <w:rStyle w:val="FootnoteTextChar"/>
        </w:rPr>
        <w:t xml:space="preserve"> </w:t>
      </w:r>
      <w:r w:rsidRPr="00CB52DB">
        <w:rPr>
          <w:rStyle w:val="FootnoteTextChar"/>
        </w:rPr>
        <w:t xml:space="preserve">gallium-PSMA positron emission tomography compared to conventional imaging for lymph node staging of 130 consecutive patients with intermediate to </w:t>
      </w:r>
      <w:proofErr w:type="gramStart"/>
      <w:r w:rsidRPr="00CB52DB">
        <w:rPr>
          <w:rStyle w:val="FootnoteTextChar"/>
        </w:rPr>
        <w:t>high risk</w:t>
      </w:r>
      <w:proofErr w:type="gramEnd"/>
      <w:r w:rsidRPr="00CB52DB">
        <w:rPr>
          <w:rStyle w:val="FootnoteTextChar"/>
        </w:rPr>
        <w:t xml:space="preserve"> prostate cancer. </w:t>
      </w:r>
      <w:r w:rsidRPr="00CB52DB">
        <w:rPr>
          <w:rStyle w:val="FootnoteTextChar"/>
          <w:i/>
          <w:iCs/>
        </w:rPr>
        <w:t xml:space="preserve">J </w:t>
      </w:r>
      <w:proofErr w:type="spellStart"/>
      <w:r w:rsidRPr="00CB52DB">
        <w:rPr>
          <w:rStyle w:val="FootnoteTextChar"/>
          <w:i/>
          <w:iCs/>
        </w:rPr>
        <w:t>Urol</w:t>
      </w:r>
      <w:proofErr w:type="spellEnd"/>
      <w:r w:rsidRPr="00CB52DB">
        <w:rPr>
          <w:rStyle w:val="FootnoteTextChar"/>
        </w:rPr>
        <w:t xml:space="preserve"> 2016;195: 1436–43.</w:t>
      </w:r>
    </w:p>
  </w:footnote>
  <w:footnote w:id="57">
    <w:p w14:paraId="190B1299" w14:textId="77777777" w:rsidR="009F19B0" w:rsidRDefault="009F19B0" w:rsidP="003A7852">
      <w:pPr>
        <w:autoSpaceDE w:val="0"/>
        <w:autoSpaceDN w:val="0"/>
        <w:adjustRightInd w:val="0"/>
        <w:spacing w:before="0" w:after="0" w:line="240" w:lineRule="auto"/>
      </w:pPr>
      <w:r>
        <w:rPr>
          <w:rStyle w:val="FootnoteReference"/>
        </w:rPr>
        <w:footnoteRef/>
      </w:r>
      <w:r>
        <w:t xml:space="preserve"> </w:t>
      </w:r>
      <w:proofErr w:type="spellStart"/>
      <w:r w:rsidRPr="00CB52DB">
        <w:rPr>
          <w:rStyle w:val="FootnoteTextChar"/>
        </w:rPr>
        <w:t>Herlemann</w:t>
      </w:r>
      <w:proofErr w:type="spellEnd"/>
      <w:r w:rsidRPr="00CB52DB">
        <w:rPr>
          <w:rStyle w:val="FootnoteTextChar"/>
        </w:rPr>
        <w:t xml:space="preserve"> A, </w:t>
      </w:r>
      <w:proofErr w:type="spellStart"/>
      <w:r w:rsidRPr="00CB52DB">
        <w:rPr>
          <w:rStyle w:val="FootnoteTextChar"/>
        </w:rPr>
        <w:t>Wenter</w:t>
      </w:r>
      <w:proofErr w:type="spellEnd"/>
      <w:r w:rsidRPr="00CB52DB">
        <w:rPr>
          <w:rStyle w:val="FootnoteTextChar"/>
        </w:rPr>
        <w:t xml:space="preserve"> V, </w:t>
      </w:r>
      <w:proofErr w:type="spellStart"/>
      <w:r w:rsidRPr="00CB52DB">
        <w:rPr>
          <w:rStyle w:val="FootnoteTextChar"/>
        </w:rPr>
        <w:t>Kretschmer</w:t>
      </w:r>
      <w:proofErr w:type="spellEnd"/>
      <w:r w:rsidRPr="00CB52DB">
        <w:rPr>
          <w:rStyle w:val="FootnoteTextChar"/>
        </w:rPr>
        <w:t xml:space="preserve"> A, et al. Ga-PSMA positron emission tomography/computed tomography provides accurate staging of lymph node regions prior to lymph node dissection in patients with prostate cancer. </w:t>
      </w:r>
      <w:r w:rsidRPr="00CB52DB">
        <w:rPr>
          <w:rStyle w:val="FootnoteTextChar"/>
          <w:i/>
          <w:iCs/>
        </w:rPr>
        <w:t xml:space="preserve">Eur </w:t>
      </w:r>
      <w:proofErr w:type="spellStart"/>
      <w:r w:rsidRPr="00CB52DB">
        <w:rPr>
          <w:rStyle w:val="FootnoteTextChar"/>
          <w:i/>
          <w:iCs/>
        </w:rPr>
        <w:t>Urol</w:t>
      </w:r>
      <w:proofErr w:type="spellEnd"/>
      <w:r w:rsidRPr="00CB52DB">
        <w:rPr>
          <w:rStyle w:val="FootnoteTextChar"/>
        </w:rPr>
        <w:t xml:space="preserve"> 2016; 70: 553–57.</w:t>
      </w:r>
    </w:p>
  </w:footnote>
  <w:footnote w:id="58">
    <w:p w14:paraId="74516359" w14:textId="77777777" w:rsidR="009F19B0" w:rsidRPr="00456765" w:rsidRDefault="009F19B0"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3"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7AC2A" w14:textId="77777777" w:rsidR="009F19B0" w:rsidRDefault="009F19B0"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15DED" w14:textId="77777777" w:rsidR="009F19B0" w:rsidRDefault="009F19B0">
    <w:pPr>
      <w:rPr>
        <w:noProof/>
        <w:lang w:eastAsia="en-AU"/>
      </w:rPr>
    </w:pPr>
    <w:r w:rsidRPr="00347824">
      <w:rPr>
        <w:noProof/>
        <w:lang w:val="en-GB" w:eastAsia="en-GB"/>
      </w:rPr>
      <w:drawing>
        <wp:anchor distT="0" distB="0" distL="114300" distR="114300" simplePos="0" relativeHeight="251659264" behindDoc="1" locked="0" layoutInCell="1" allowOverlap="1" wp14:anchorId="609E5EC4" wp14:editId="36A66B42">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12D0C30" w14:textId="77777777" w:rsidR="009F19B0" w:rsidRDefault="009F19B0"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F51E8" w14:textId="77777777" w:rsidR="009F19B0" w:rsidRDefault="009F19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49E49" w14:textId="77777777" w:rsidR="009F19B0" w:rsidRDefault="009F19B0">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6EBF1" w14:textId="77777777" w:rsidR="009F19B0" w:rsidRDefault="009F19B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D36A9" w14:textId="77777777" w:rsidR="009F19B0" w:rsidRDefault="009F19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10FE9" w14:textId="77777777" w:rsidR="009F19B0" w:rsidRDefault="009F19B0"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DECF8" w14:textId="77777777" w:rsidR="009F19B0" w:rsidRDefault="009F19B0" w:rsidP="006E08B3">
    <w:r>
      <w:t>Therapeutic Goods Administration</w:t>
    </w:r>
  </w:p>
  <w:p w14:paraId="5E38B2D2" w14:textId="77777777" w:rsidR="009F19B0" w:rsidRDefault="009F19B0"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490"/>
        </w:tabs>
        <w:ind w:left="490"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07CCA15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510F2"/>
    <w:multiLevelType w:val="hybridMultilevel"/>
    <w:tmpl w:val="9B2C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BC62E0E"/>
    <w:multiLevelType w:val="hybridMultilevel"/>
    <w:tmpl w:val="F298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C44F9"/>
    <w:multiLevelType w:val="hybridMultilevel"/>
    <w:tmpl w:val="AEA8E9F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23634AD1"/>
    <w:multiLevelType w:val="hybridMultilevel"/>
    <w:tmpl w:val="F976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67879"/>
    <w:multiLevelType w:val="hybridMultilevel"/>
    <w:tmpl w:val="901E5A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CB040E"/>
    <w:multiLevelType w:val="hybridMultilevel"/>
    <w:tmpl w:val="B20A9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6324FB"/>
    <w:multiLevelType w:val="hybridMultilevel"/>
    <w:tmpl w:val="D710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13BAB"/>
    <w:multiLevelType w:val="hybridMultilevel"/>
    <w:tmpl w:val="B7AE0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CA241E"/>
    <w:multiLevelType w:val="hybridMultilevel"/>
    <w:tmpl w:val="5964A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886556D"/>
    <w:multiLevelType w:val="hybridMultilevel"/>
    <w:tmpl w:val="D4CAF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2AE70C8"/>
    <w:multiLevelType w:val="hybridMultilevel"/>
    <w:tmpl w:val="F3EE83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2E1248D"/>
    <w:multiLevelType w:val="hybridMultilevel"/>
    <w:tmpl w:val="8D743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E804300"/>
    <w:multiLevelType w:val="hybridMultilevel"/>
    <w:tmpl w:val="0E5AE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5"/>
  </w:num>
  <w:num w:numId="17">
    <w:abstractNumId w:val="5"/>
  </w:num>
  <w:num w:numId="18">
    <w:abstractNumId w:val="5"/>
  </w:num>
  <w:num w:numId="19">
    <w:abstractNumId w:val="8"/>
  </w:num>
  <w:num w:numId="20">
    <w:abstractNumId w:val="8"/>
  </w:num>
  <w:num w:numId="21">
    <w:abstractNumId w:val="8"/>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24"/>
  </w:num>
  <w:num w:numId="29">
    <w:abstractNumId w:val="6"/>
  </w:num>
  <w:num w:numId="30">
    <w:abstractNumId w:val="14"/>
  </w:num>
  <w:num w:numId="31">
    <w:abstractNumId w:val="4"/>
  </w:num>
  <w:num w:numId="32">
    <w:abstractNumId w:val="20"/>
  </w:num>
  <w:num w:numId="33">
    <w:abstractNumId w:val="22"/>
  </w:num>
  <w:num w:numId="34">
    <w:abstractNumId w:val="23"/>
  </w:num>
  <w:num w:numId="35">
    <w:abstractNumId w:val="17"/>
  </w:num>
  <w:num w:numId="36">
    <w:abstractNumId w:val="21"/>
  </w:num>
  <w:num w:numId="37">
    <w:abstractNumId w:val="15"/>
  </w:num>
  <w:num w:numId="38">
    <w:abstractNumId w:val="18"/>
  </w:num>
  <w:num w:numId="39">
    <w:abstractNumId w:val="10"/>
  </w:num>
  <w:num w:numId="40">
    <w:abstractNumId w:val="13"/>
  </w:num>
  <w:num w:numId="41">
    <w:abstractNumId w:val="25"/>
  </w:num>
  <w:num w:numId="42">
    <w:abstractNumId w:val="7"/>
  </w:num>
  <w:num w:numId="43">
    <w:abstractNumId w:val="11"/>
  </w:num>
  <w:num w:numId="44">
    <w:abstractNumId w:val="5"/>
    <w:lvlOverride w:ilvl="0">
      <w:lvl w:ilvl="0">
        <w:start w:val="1"/>
        <w:numFmt w:val="decimal"/>
        <w:pStyle w:val="Numberbullet0"/>
        <w:lvlText w:val="%1."/>
        <w:lvlJc w:val="left"/>
        <w:pPr>
          <w:ind w:left="2551"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45">
    <w:abstractNumId w:val="16"/>
  </w:num>
  <w:num w:numId="46">
    <w:abstractNumId w:val="9"/>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365"/>
    <w:rsid w:val="00002031"/>
    <w:rsid w:val="00004734"/>
    <w:rsid w:val="0000648D"/>
    <w:rsid w:val="00006B22"/>
    <w:rsid w:val="00006FAB"/>
    <w:rsid w:val="00007900"/>
    <w:rsid w:val="0001050C"/>
    <w:rsid w:val="0001276A"/>
    <w:rsid w:val="000246AE"/>
    <w:rsid w:val="00025C67"/>
    <w:rsid w:val="00036995"/>
    <w:rsid w:val="00044772"/>
    <w:rsid w:val="0004541C"/>
    <w:rsid w:val="00053524"/>
    <w:rsid w:val="0005559E"/>
    <w:rsid w:val="000604D6"/>
    <w:rsid w:val="00061508"/>
    <w:rsid w:val="000734D8"/>
    <w:rsid w:val="00074761"/>
    <w:rsid w:val="00077775"/>
    <w:rsid w:val="00090471"/>
    <w:rsid w:val="00095E45"/>
    <w:rsid w:val="00096AA7"/>
    <w:rsid w:val="000A3AED"/>
    <w:rsid w:val="000A71BC"/>
    <w:rsid w:val="000B3532"/>
    <w:rsid w:val="000B38FD"/>
    <w:rsid w:val="000B3A75"/>
    <w:rsid w:val="000B4A7B"/>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6835"/>
    <w:rsid w:val="00122C2E"/>
    <w:rsid w:val="00124ACD"/>
    <w:rsid w:val="00125318"/>
    <w:rsid w:val="001305A2"/>
    <w:rsid w:val="00133238"/>
    <w:rsid w:val="00133A1B"/>
    <w:rsid w:val="001410A5"/>
    <w:rsid w:val="0014197B"/>
    <w:rsid w:val="001447CD"/>
    <w:rsid w:val="001516B1"/>
    <w:rsid w:val="00152B33"/>
    <w:rsid w:val="00154EBB"/>
    <w:rsid w:val="00156316"/>
    <w:rsid w:val="00161181"/>
    <w:rsid w:val="00162D14"/>
    <w:rsid w:val="00163780"/>
    <w:rsid w:val="0016401D"/>
    <w:rsid w:val="00165389"/>
    <w:rsid w:val="00171D90"/>
    <w:rsid w:val="00175A50"/>
    <w:rsid w:val="0017693F"/>
    <w:rsid w:val="0018110E"/>
    <w:rsid w:val="00181684"/>
    <w:rsid w:val="001843C6"/>
    <w:rsid w:val="001850E0"/>
    <w:rsid w:val="00185FC3"/>
    <w:rsid w:val="001A03AF"/>
    <w:rsid w:val="001A2158"/>
    <w:rsid w:val="001A525F"/>
    <w:rsid w:val="001B09F9"/>
    <w:rsid w:val="001B5C90"/>
    <w:rsid w:val="001B6448"/>
    <w:rsid w:val="001C32CD"/>
    <w:rsid w:val="001D2984"/>
    <w:rsid w:val="001E07CF"/>
    <w:rsid w:val="001E59F1"/>
    <w:rsid w:val="001F2CEE"/>
    <w:rsid w:val="001F49EB"/>
    <w:rsid w:val="001F5A3E"/>
    <w:rsid w:val="001F6CBA"/>
    <w:rsid w:val="00201D4E"/>
    <w:rsid w:val="002076C9"/>
    <w:rsid w:val="00220B8A"/>
    <w:rsid w:val="00222555"/>
    <w:rsid w:val="002257F3"/>
    <w:rsid w:val="0023337D"/>
    <w:rsid w:val="00233456"/>
    <w:rsid w:val="002339A5"/>
    <w:rsid w:val="002359CC"/>
    <w:rsid w:val="00237D2A"/>
    <w:rsid w:val="00246D34"/>
    <w:rsid w:val="00250271"/>
    <w:rsid w:val="0025155B"/>
    <w:rsid w:val="00251786"/>
    <w:rsid w:val="00254B21"/>
    <w:rsid w:val="00257848"/>
    <w:rsid w:val="002578E8"/>
    <w:rsid w:val="00265202"/>
    <w:rsid w:val="0027084A"/>
    <w:rsid w:val="0027438C"/>
    <w:rsid w:val="002764C3"/>
    <w:rsid w:val="00277D18"/>
    <w:rsid w:val="00280265"/>
    <w:rsid w:val="00286434"/>
    <w:rsid w:val="00286C59"/>
    <w:rsid w:val="00291957"/>
    <w:rsid w:val="00293AB9"/>
    <w:rsid w:val="002942D1"/>
    <w:rsid w:val="0029501A"/>
    <w:rsid w:val="002A195F"/>
    <w:rsid w:val="002A3721"/>
    <w:rsid w:val="002A66C5"/>
    <w:rsid w:val="002B1016"/>
    <w:rsid w:val="002B1638"/>
    <w:rsid w:val="002B3624"/>
    <w:rsid w:val="002C00DD"/>
    <w:rsid w:val="002D0952"/>
    <w:rsid w:val="002D4DC6"/>
    <w:rsid w:val="002E40B3"/>
    <w:rsid w:val="002E4C9A"/>
    <w:rsid w:val="002F11F8"/>
    <w:rsid w:val="002F3F56"/>
    <w:rsid w:val="002F44B5"/>
    <w:rsid w:val="002F5122"/>
    <w:rsid w:val="00300920"/>
    <w:rsid w:val="00301809"/>
    <w:rsid w:val="00311AC0"/>
    <w:rsid w:val="003176FC"/>
    <w:rsid w:val="00324E45"/>
    <w:rsid w:val="0032583B"/>
    <w:rsid w:val="0032733B"/>
    <w:rsid w:val="00327883"/>
    <w:rsid w:val="00335504"/>
    <w:rsid w:val="00340C18"/>
    <w:rsid w:val="003442FD"/>
    <w:rsid w:val="00347092"/>
    <w:rsid w:val="00347824"/>
    <w:rsid w:val="00350567"/>
    <w:rsid w:val="003521E8"/>
    <w:rsid w:val="00362C5F"/>
    <w:rsid w:val="00363767"/>
    <w:rsid w:val="00365000"/>
    <w:rsid w:val="00365BD3"/>
    <w:rsid w:val="00370CE3"/>
    <w:rsid w:val="003728F3"/>
    <w:rsid w:val="0037310D"/>
    <w:rsid w:val="003735BC"/>
    <w:rsid w:val="0037496E"/>
    <w:rsid w:val="00382CF3"/>
    <w:rsid w:val="00383221"/>
    <w:rsid w:val="00386150"/>
    <w:rsid w:val="003874CE"/>
    <w:rsid w:val="003901F1"/>
    <w:rsid w:val="00390900"/>
    <w:rsid w:val="003A1F4A"/>
    <w:rsid w:val="003A7852"/>
    <w:rsid w:val="003A7F6C"/>
    <w:rsid w:val="003B4D60"/>
    <w:rsid w:val="003B7E39"/>
    <w:rsid w:val="003C45E7"/>
    <w:rsid w:val="003C58DC"/>
    <w:rsid w:val="003D1E62"/>
    <w:rsid w:val="003E0B99"/>
    <w:rsid w:val="003E2486"/>
    <w:rsid w:val="003E3208"/>
    <w:rsid w:val="003E7487"/>
    <w:rsid w:val="003F0B04"/>
    <w:rsid w:val="003F2B9A"/>
    <w:rsid w:val="003F535A"/>
    <w:rsid w:val="003F670D"/>
    <w:rsid w:val="0040134E"/>
    <w:rsid w:val="004334C7"/>
    <w:rsid w:val="00440A2D"/>
    <w:rsid w:val="00441C3F"/>
    <w:rsid w:val="00444D1A"/>
    <w:rsid w:val="0045186A"/>
    <w:rsid w:val="004564A7"/>
    <w:rsid w:val="00456765"/>
    <w:rsid w:val="00460036"/>
    <w:rsid w:val="004617BF"/>
    <w:rsid w:val="00463658"/>
    <w:rsid w:val="004637A0"/>
    <w:rsid w:val="00463E69"/>
    <w:rsid w:val="0046642E"/>
    <w:rsid w:val="004722CC"/>
    <w:rsid w:val="00472493"/>
    <w:rsid w:val="00490483"/>
    <w:rsid w:val="004936E4"/>
    <w:rsid w:val="00494E60"/>
    <w:rsid w:val="00497487"/>
    <w:rsid w:val="004A2771"/>
    <w:rsid w:val="004A6189"/>
    <w:rsid w:val="004A7390"/>
    <w:rsid w:val="004B7B76"/>
    <w:rsid w:val="004C239D"/>
    <w:rsid w:val="004C24B8"/>
    <w:rsid w:val="004C2DCA"/>
    <w:rsid w:val="004C4FBE"/>
    <w:rsid w:val="004C61D2"/>
    <w:rsid w:val="004C6C88"/>
    <w:rsid w:val="004E5B2F"/>
    <w:rsid w:val="004F0C4A"/>
    <w:rsid w:val="004F0F38"/>
    <w:rsid w:val="004F47D6"/>
    <w:rsid w:val="004F7DDA"/>
    <w:rsid w:val="00500337"/>
    <w:rsid w:val="00500579"/>
    <w:rsid w:val="0050119C"/>
    <w:rsid w:val="00501921"/>
    <w:rsid w:val="005173A9"/>
    <w:rsid w:val="005252B2"/>
    <w:rsid w:val="00530354"/>
    <w:rsid w:val="0053625B"/>
    <w:rsid w:val="005434C6"/>
    <w:rsid w:val="00543B39"/>
    <w:rsid w:val="005456FC"/>
    <w:rsid w:val="00546154"/>
    <w:rsid w:val="00550096"/>
    <w:rsid w:val="00554E79"/>
    <w:rsid w:val="00555280"/>
    <w:rsid w:val="00557FF9"/>
    <w:rsid w:val="00562327"/>
    <w:rsid w:val="00570181"/>
    <w:rsid w:val="005711D5"/>
    <w:rsid w:val="00576378"/>
    <w:rsid w:val="00577130"/>
    <w:rsid w:val="00577945"/>
    <w:rsid w:val="00577E38"/>
    <w:rsid w:val="005819B8"/>
    <w:rsid w:val="00585322"/>
    <w:rsid w:val="005857C6"/>
    <w:rsid w:val="00592F6E"/>
    <w:rsid w:val="00593AD1"/>
    <w:rsid w:val="005A68B6"/>
    <w:rsid w:val="005B1433"/>
    <w:rsid w:val="005B5BB3"/>
    <w:rsid w:val="005C5570"/>
    <w:rsid w:val="005C5B66"/>
    <w:rsid w:val="005C79A4"/>
    <w:rsid w:val="005D1C18"/>
    <w:rsid w:val="005D5442"/>
    <w:rsid w:val="0060135E"/>
    <w:rsid w:val="00603F32"/>
    <w:rsid w:val="00605AD4"/>
    <w:rsid w:val="006136D7"/>
    <w:rsid w:val="0062392E"/>
    <w:rsid w:val="00625A6E"/>
    <w:rsid w:val="00632398"/>
    <w:rsid w:val="00640FC3"/>
    <w:rsid w:val="00642020"/>
    <w:rsid w:val="006430EE"/>
    <w:rsid w:val="0065337B"/>
    <w:rsid w:val="0065419D"/>
    <w:rsid w:val="006603BC"/>
    <w:rsid w:val="006604D8"/>
    <w:rsid w:val="00663600"/>
    <w:rsid w:val="00664A5B"/>
    <w:rsid w:val="0066735C"/>
    <w:rsid w:val="00674389"/>
    <w:rsid w:val="00674EF0"/>
    <w:rsid w:val="006763D2"/>
    <w:rsid w:val="00676906"/>
    <w:rsid w:val="00680C08"/>
    <w:rsid w:val="00680FEE"/>
    <w:rsid w:val="006916A0"/>
    <w:rsid w:val="00692977"/>
    <w:rsid w:val="006931B1"/>
    <w:rsid w:val="006A15C0"/>
    <w:rsid w:val="006A58A8"/>
    <w:rsid w:val="006A5D31"/>
    <w:rsid w:val="006A6197"/>
    <w:rsid w:val="006C3938"/>
    <w:rsid w:val="006C3E2A"/>
    <w:rsid w:val="006C642F"/>
    <w:rsid w:val="006C7593"/>
    <w:rsid w:val="006D03E5"/>
    <w:rsid w:val="006D5D3E"/>
    <w:rsid w:val="006E08B3"/>
    <w:rsid w:val="006F17AC"/>
    <w:rsid w:val="006F25B8"/>
    <w:rsid w:val="006F572E"/>
    <w:rsid w:val="007046D6"/>
    <w:rsid w:val="0070517C"/>
    <w:rsid w:val="00705DB0"/>
    <w:rsid w:val="00710D1B"/>
    <w:rsid w:val="007151A2"/>
    <w:rsid w:val="00716C59"/>
    <w:rsid w:val="00722B57"/>
    <w:rsid w:val="00723F3C"/>
    <w:rsid w:val="00730F8A"/>
    <w:rsid w:val="00735A8C"/>
    <w:rsid w:val="007362F0"/>
    <w:rsid w:val="00741106"/>
    <w:rsid w:val="0074253D"/>
    <w:rsid w:val="00744121"/>
    <w:rsid w:val="0074429B"/>
    <w:rsid w:val="007464CD"/>
    <w:rsid w:val="007469A6"/>
    <w:rsid w:val="00753780"/>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06A3"/>
    <w:rsid w:val="007A4178"/>
    <w:rsid w:val="007A46F5"/>
    <w:rsid w:val="007A6505"/>
    <w:rsid w:val="007B511E"/>
    <w:rsid w:val="007B6132"/>
    <w:rsid w:val="007B6E9F"/>
    <w:rsid w:val="007C1216"/>
    <w:rsid w:val="007C1AF7"/>
    <w:rsid w:val="007C6B9B"/>
    <w:rsid w:val="007D53B6"/>
    <w:rsid w:val="007D5A86"/>
    <w:rsid w:val="00805D27"/>
    <w:rsid w:val="00806DCB"/>
    <w:rsid w:val="00817BFF"/>
    <w:rsid w:val="00817E83"/>
    <w:rsid w:val="00821776"/>
    <w:rsid w:val="008321F5"/>
    <w:rsid w:val="00832369"/>
    <w:rsid w:val="00834660"/>
    <w:rsid w:val="00836BC2"/>
    <w:rsid w:val="0085156D"/>
    <w:rsid w:val="00852B28"/>
    <w:rsid w:val="0085641B"/>
    <w:rsid w:val="00857136"/>
    <w:rsid w:val="00863216"/>
    <w:rsid w:val="00875A6B"/>
    <w:rsid w:val="00885B11"/>
    <w:rsid w:val="00886D15"/>
    <w:rsid w:val="00887DD8"/>
    <w:rsid w:val="00891BA9"/>
    <w:rsid w:val="008929A3"/>
    <w:rsid w:val="00896018"/>
    <w:rsid w:val="008960DD"/>
    <w:rsid w:val="0089635C"/>
    <w:rsid w:val="00896B07"/>
    <w:rsid w:val="008A2443"/>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3367"/>
    <w:rsid w:val="0091523F"/>
    <w:rsid w:val="00920330"/>
    <w:rsid w:val="009219D7"/>
    <w:rsid w:val="00922D53"/>
    <w:rsid w:val="00923B70"/>
    <w:rsid w:val="00924482"/>
    <w:rsid w:val="00924C8E"/>
    <w:rsid w:val="00930237"/>
    <w:rsid w:val="00937AD4"/>
    <w:rsid w:val="00937C17"/>
    <w:rsid w:val="00940A89"/>
    <w:rsid w:val="00941F77"/>
    <w:rsid w:val="00946EA5"/>
    <w:rsid w:val="00953496"/>
    <w:rsid w:val="00960520"/>
    <w:rsid w:val="00963C08"/>
    <w:rsid w:val="009752A5"/>
    <w:rsid w:val="00984246"/>
    <w:rsid w:val="0098585A"/>
    <w:rsid w:val="0099728E"/>
    <w:rsid w:val="009A4CED"/>
    <w:rsid w:val="009A690D"/>
    <w:rsid w:val="009B1D12"/>
    <w:rsid w:val="009B416B"/>
    <w:rsid w:val="009C4BD5"/>
    <w:rsid w:val="009D7B77"/>
    <w:rsid w:val="009E0BB0"/>
    <w:rsid w:val="009E3FBB"/>
    <w:rsid w:val="009F19B0"/>
    <w:rsid w:val="009F7353"/>
    <w:rsid w:val="00A04F85"/>
    <w:rsid w:val="00A05FA4"/>
    <w:rsid w:val="00A102E4"/>
    <w:rsid w:val="00A1219C"/>
    <w:rsid w:val="00A12AC5"/>
    <w:rsid w:val="00A12C42"/>
    <w:rsid w:val="00A14DF7"/>
    <w:rsid w:val="00A1503D"/>
    <w:rsid w:val="00A22D57"/>
    <w:rsid w:val="00A24C1C"/>
    <w:rsid w:val="00A24C1F"/>
    <w:rsid w:val="00A304D4"/>
    <w:rsid w:val="00A3246D"/>
    <w:rsid w:val="00A36FA7"/>
    <w:rsid w:val="00A44DDB"/>
    <w:rsid w:val="00A475B7"/>
    <w:rsid w:val="00A47AF7"/>
    <w:rsid w:val="00A47C3E"/>
    <w:rsid w:val="00A50226"/>
    <w:rsid w:val="00A60BAD"/>
    <w:rsid w:val="00A643F1"/>
    <w:rsid w:val="00A7208C"/>
    <w:rsid w:val="00A77F87"/>
    <w:rsid w:val="00A80B5B"/>
    <w:rsid w:val="00A82369"/>
    <w:rsid w:val="00A84E36"/>
    <w:rsid w:val="00A964D1"/>
    <w:rsid w:val="00AA0ED0"/>
    <w:rsid w:val="00AA1365"/>
    <w:rsid w:val="00AB3821"/>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1D29"/>
    <w:rsid w:val="00B2200C"/>
    <w:rsid w:val="00B25034"/>
    <w:rsid w:val="00B33588"/>
    <w:rsid w:val="00B33863"/>
    <w:rsid w:val="00B37D17"/>
    <w:rsid w:val="00B41242"/>
    <w:rsid w:val="00B4175E"/>
    <w:rsid w:val="00B41C85"/>
    <w:rsid w:val="00B452CE"/>
    <w:rsid w:val="00B4668B"/>
    <w:rsid w:val="00B54C25"/>
    <w:rsid w:val="00B65A4A"/>
    <w:rsid w:val="00B673F8"/>
    <w:rsid w:val="00B757B9"/>
    <w:rsid w:val="00B76B91"/>
    <w:rsid w:val="00B77EB1"/>
    <w:rsid w:val="00B811C6"/>
    <w:rsid w:val="00B813F0"/>
    <w:rsid w:val="00B8547B"/>
    <w:rsid w:val="00B855B0"/>
    <w:rsid w:val="00B92E08"/>
    <w:rsid w:val="00BA6D19"/>
    <w:rsid w:val="00BB6E5F"/>
    <w:rsid w:val="00BC622A"/>
    <w:rsid w:val="00BD1375"/>
    <w:rsid w:val="00BD1F85"/>
    <w:rsid w:val="00BD519A"/>
    <w:rsid w:val="00BE0A78"/>
    <w:rsid w:val="00BE712E"/>
    <w:rsid w:val="00BE79F0"/>
    <w:rsid w:val="00BF046D"/>
    <w:rsid w:val="00BF1190"/>
    <w:rsid w:val="00BF22AA"/>
    <w:rsid w:val="00BF3774"/>
    <w:rsid w:val="00BF52C3"/>
    <w:rsid w:val="00BF5D04"/>
    <w:rsid w:val="00C009AA"/>
    <w:rsid w:val="00C1164D"/>
    <w:rsid w:val="00C16861"/>
    <w:rsid w:val="00C346AB"/>
    <w:rsid w:val="00C404A6"/>
    <w:rsid w:val="00C40A36"/>
    <w:rsid w:val="00C44419"/>
    <w:rsid w:val="00C45E7B"/>
    <w:rsid w:val="00C471B1"/>
    <w:rsid w:val="00C525A2"/>
    <w:rsid w:val="00C52E24"/>
    <w:rsid w:val="00C6316B"/>
    <w:rsid w:val="00C634A9"/>
    <w:rsid w:val="00C64586"/>
    <w:rsid w:val="00C65672"/>
    <w:rsid w:val="00C70A36"/>
    <w:rsid w:val="00C70D53"/>
    <w:rsid w:val="00C7170D"/>
    <w:rsid w:val="00C73D0B"/>
    <w:rsid w:val="00C74D83"/>
    <w:rsid w:val="00C74F5C"/>
    <w:rsid w:val="00C75526"/>
    <w:rsid w:val="00C772FF"/>
    <w:rsid w:val="00C80137"/>
    <w:rsid w:val="00C801AF"/>
    <w:rsid w:val="00C80256"/>
    <w:rsid w:val="00C813C2"/>
    <w:rsid w:val="00C817A7"/>
    <w:rsid w:val="00C83EC2"/>
    <w:rsid w:val="00C878F3"/>
    <w:rsid w:val="00C91C45"/>
    <w:rsid w:val="00C94CD4"/>
    <w:rsid w:val="00C9747E"/>
    <w:rsid w:val="00CA3F6A"/>
    <w:rsid w:val="00CB52DB"/>
    <w:rsid w:val="00CB6BC0"/>
    <w:rsid w:val="00CC1B7C"/>
    <w:rsid w:val="00CC727F"/>
    <w:rsid w:val="00CD14C9"/>
    <w:rsid w:val="00CE1494"/>
    <w:rsid w:val="00CF15C3"/>
    <w:rsid w:val="00CF2B6F"/>
    <w:rsid w:val="00CF2F3E"/>
    <w:rsid w:val="00CF58B6"/>
    <w:rsid w:val="00CF5DAD"/>
    <w:rsid w:val="00D0062D"/>
    <w:rsid w:val="00D017ED"/>
    <w:rsid w:val="00D040D3"/>
    <w:rsid w:val="00D04C65"/>
    <w:rsid w:val="00D153D8"/>
    <w:rsid w:val="00D201D2"/>
    <w:rsid w:val="00D224FE"/>
    <w:rsid w:val="00D23139"/>
    <w:rsid w:val="00D23754"/>
    <w:rsid w:val="00D4094F"/>
    <w:rsid w:val="00D425BB"/>
    <w:rsid w:val="00D4335E"/>
    <w:rsid w:val="00D453FA"/>
    <w:rsid w:val="00D53703"/>
    <w:rsid w:val="00D56127"/>
    <w:rsid w:val="00D6493E"/>
    <w:rsid w:val="00D67F69"/>
    <w:rsid w:val="00D7195D"/>
    <w:rsid w:val="00D7301E"/>
    <w:rsid w:val="00D83AE1"/>
    <w:rsid w:val="00D85555"/>
    <w:rsid w:val="00D855D4"/>
    <w:rsid w:val="00D902C9"/>
    <w:rsid w:val="00D928D5"/>
    <w:rsid w:val="00D93466"/>
    <w:rsid w:val="00D9579E"/>
    <w:rsid w:val="00DA02C1"/>
    <w:rsid w:val="00DA0504"/>
    <w:rsid w:val="00DA1124"/>
    <w:rsid w:val="00DA64CB"/>
    <w:rsid w:val="00DB06B8"/>
    <w:rsid w:val="00DB6124"/>
    <w:rsid w:val="00DB750B"/>
    <w:rsid w:val="00DB75B7"/>
    <w:rsid w:val="00DC0A2F"/>
    <w:rsid w:val="00DC1948"/>
    <w:rsid w:val="00DC6E02"/>
    <w:rsid w:val="00DD1DEF"/>
    <w:rsid w:val="00DD28CD"/>
    <w:rsid w:val="00DE02AE"/>
    <w:rsid w:val="00DE10A8"/>
    <w:rsid w:val="00DE39D1"/>
    <w:rsid w:val="00DF0DB0"/>
    <w:rsid w:val="00DF1D7F"/>
    <w:rsid w:val="00DF4BE4"/>
    <w:rsid w:val="00E01A40"/>
    <w:rsid w:val="00E02382"/>
    <w:rsid w:val="00E02FB4"/>
    <w:rsid w:val="00E13FC7"/>
    <w:rsid w:val="00E20571"/>
    <w:rsid w:val="00E235F7"/>
    <w:rsid w:val="00E23659"/>
    <w:rsid w:val="00E239D4"/>
    <w:rsid w:val="00E26130"/>
    <w:rsid w:val="00E26387"/>
    <w:rsid w:val="00E33D42"/>
    <w:rsid w:val="00E40B22"/>
    <w:rsid w:val="00E44ED1"/>
    <w:rsid w:val="00E45619"/>
    <w:rsid w:val="00E4588F"/>
    <w:rsid w:val="00E46DA3"/>
    <w:rsid w:val="00E51BB1"/>
    <w:rsid w:val="00E55CB0"/>
    <w:rsid w:val="00E55DFF"/>
    <w:rsid w:val="00E624A5"/>
    <w:rsid w:val="00E64BA4"/>
    <w:rsid w:val="00E7344E"/>
    <w:rsid w:val="00E74EE3"/>
    <w:rsid w:val="00E82665"/>
    <w:rsid w:val="00E87749"/>
    <w:rsid w:val="00E91568"/>
    <w:rsid w:val="00EA20C3"/>
    <w:rsid w:val="00EA524A"/>
    <w:rsid w:val="00EB0798"/>
    <w:rsid w:val="00EB40AD"/>
    <w:rsid w:val="00EB586E"/>
    <w:rsid w:val="00EB5FC8"/>
    <w:rsid w:val="00EC463D"/>
    <w:rsid w:val="00EC50CE"/>
    <w:rsid w:val="00EC74CB"/>
    <w:rsid w:val="00EC7A85"/>
    <w:rsid w:val="00ED2922"/>
    <w:rsid w:val="00ED2BDD"/>
    <w:rsid w:val="00ED3CAD"/>
    <w:rsid w:val="00ED5A41"/>
    <w:rsid w:val="00EE1DE8"/>
    <w:rsid w:val="00EE2441"/>
    <w:rsid w:val="00EE27C2"/>
    <w:rsid w:val="00EF4BAD"/>
    <w:rsid w:val="00EF59DC"/>
    <w:rsid w:val="00F033EC"/>
    <w:rsid w:val="00F04F68"/>
    <w:rsid w:val="00F06A31"/>
    <w:rsid w:val="00F12670"/>
    <w:rsid w:val="00F14B27"/>
    <w:rsid w:val="00F15F89"/>
    <w:rsid w:val="00F3148D"/>
    <w:rsid w:val="00F325C5"/>
    <w:rsid w:val="00F32FE0"/>
    <w:rsid w:val="00F35298"/>
    <w:rsid w:val="00F47333"/>
    <w:rsid w:val="00F47E37"/>
    <w:rsid w:val="00F53C07"/>
    <w:rsid w:val="00F54B65"/>
    <w:rsid w:val="00F63DBF"/>
    <w:rsid w:val="00F640B6"/>
    <w:rsid w:val="00F66DF2"/>
    <w:rsid w:val="00F74A2E"/>
    <w:rsid w:val="00F80E40"/>
    <w:rsid w:val="00F83731"/>
    <w:rsid w:val="00F848D9"/>
    <w:rsid w:val="00F90E1F"/>
    <w:rsid w:val="00FA4DFF"/>
    <w:rsid w:val="00FA5069"/>
    <w:rsid w:val="00FA5B82"/>
    <w:rsid w:val="00FA639E"/>
    <w:rsid w:val="00FB369D"/>
    <w:rsid w:val="00FB61BC"/>
    <w:rsid w:val="00FC1FCA"/>
    <w:rsid w:val="00FC25E4"/>
    <w:rsid w:val="00FC4EF7"/>
    <w:rsid w:val="00FD0824"/>
    <w:rsid w:val="00FD119B"/>
    <w:rsid w:val="00FD1EDC"/>
    <w:rsid w:val="00FE0A35"/>
    <w:rsid w:val="00FE1DEE"/>
    <w:rsid w:val="00FF2126"/>
    <w:rsid w:val="00FF5755"/>
    <w:rsid w:val="00FF69BE"/>
    <w:rsid w:val="00FF73C1"/>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83DAA4F"/>
  <w15:docId w15:val="{815DB047-0CDA-4AF9-877C-2239569B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character" w:customStyle="1" w:styleId="article-headerdoilabel1">
    <w:name w:val="article-header__doi__label1"/>
    <w:basedOn w:val="DefaultParagraphFont"/>
    <w:rsid w:val="00E26387"/>
  </w:style>
  <w:style w:type="character" w:customStyle="1" w:styleId="style1">
    <w:name w:val="style1"/>
    <w:basedOn w:val="DefaultParagraphFont"/>
    <w:uiPriority w:val="1"/>
    <w:rsid w:val="00B2200C"/>
    <w:rPr>
      <w:rFonts w:asciiTheme="minorHAnsi" w:hAnsiTheme="minorHAnsi" w:hint="default"/>
      <w:sz w:val="22"/>
    </w:rPr>
  </w:style>
  <w:style w:type="character" w:styleId="Strong">
    <w:name w:val="Strong"/>
    <w:basedOn w:val="DefaultParagraphFont"/>
    <w:uiPriority w:val="22"/>
    <w:qFormat/>
    <w:rsid w:val="00B2200C"/>
    <w:rPr>
      <w:b/>
      <w:bCs/>
    </w:rPr>
  </w:style>
  <w:style w:type="paragraph" w:styleId="ListParagraph">
    <w:name w:val="List Paragraph"/>
    <w:basedOn w:val="Normal"/>
    <w:uiPriority w:val="34"/>
    <w:qFormat/>
    <w:rsid w:val="00817BFF"/>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817BFF"/>
    <w:pPr>
      <w:numPr>
        <w:numId w:val="35"/>
      </w:numPr>
      <w:tabs>
        <w:tab w:val="clear" w:pos="369"/>
        <w:tab w:val="left" w:pos="397"/>
        <w:tab w:val="num" w:pos="511"/>
      </w:tabs>
      <w:spacing w:before="0" w:after="180" w:line="252" w:lineRule="auto"/>
      <w:ind w:left="0" w:firstLine="0"/>
    </w:pPr>
    <w:rPr>
      <w:rFonts w:eastAsia="Times New Roman"/>
      <w:snapToGrid w:val="0"/>
      <w:kern w:val="16"/>
      <w:szCs w:val="24"/>
    </w:rPr>
  </w:style>
  <w:style w:type="paragraph" w:customStyle="1" w:styleId="Default">
    <w:name w:val="Default"/>
    <w:rsid w:val="007151A2"/>
    <w:pPr>
      <w:autoSpaceDE w:val="0"/>
      <w:autoSpaceDN w:val="0"/>
      <w:adjustRightInd w:val="0"/>
      <w:spacing w:before="200" w:after="0" w:line="240" w:lineRule="auto"/>
    </w:pPr>
    <w:rPr>
      <w:rFonts w:eastAsiaTheme="minorEastAsia" w:cs="Arial"/>
      <w:color w:val="000000"/>
      <w:sz w:val="24"/>
      <w:szCs w:val="24"/>
      <w:lang w:eastAsia="zh-CN"/>
    </w:rPr>
  </w:style>
  <w:style w:type="character" w:styleId="Emphasis">
    <w:name w:val="Emphasis"/>
    <w:basedOn w:val="DefaultParagraphFont"/>
    <w:uiPriority w:val="20"/>
    <w:qFormat/>
    <w:rsid w:val="003A7852"/>
    <w:rPr>
      <w:i/>
      <w:iCs/>
    </w:rPr>
  </w:style>
  <w:style w:type="character" w:customStyle="1" w:styleId="Subtitle1">
    <w:name w:val="Subtitle1"/>
    <w:basedOn w:val="DefaultParagraphFont"/>
    <w:rsid w:val="003A7852"/>
  </w:style>
  <w:style w:type="character" w:customStyle="1" w:styleId="colon-for-citation-subtitle">
    <w:name w:val="colon-for-citation-subtitle"/>
    <w:basedOn w:val="DefaultParagraphFont"/>
    <w:rsid w:val="003A7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961629">
      <w:bodyDiv w:val="1"/>
      <w:marLeft w:val="0"/>
      <w:marRight w:val="0"/>
      <w:marTop w:val="0"/>
      <w:marBottom w:val="0"/>
      <w:divBdr>
        <w:top w:val="none" w:sz="0" w:space="0" w:color="auto"/>
        <w:left w:val="none" w:sz="0" w:space="0" w:color="auto"/>
        <w:bottom w:val="none" w:sz="0" w:space="0" w:color="auto"/>
        <w:right w:val="none" w:sz="0" w:space="0" w:color="auto"/>
      </w:divBdr>
    </w:div>
    <w:div w:id="164630906">
      <w:bodyDiv w:val="1"/>
      <w:marLeft w:val="0"/>
      <w:marRight w:val="0"/>
      <w:marTop w:val="0"/>
      <w:marBottom w:val="0"/>
      <w:divBdr>
        <w:top w:val="none" w:sz="0" w:space="0" w:color="auto"/>
        <w:left w:val="none" w:sz="0" w:space="0" w:color="auto"/>
        <w:bottom w:val="none" w:sz="0" w:space="0" w:color="auto"/>
        <w:right w:val="none" w:sz="0" w:space="0" w:color="auto"/>
      </w:divBdr>
      <w:divsChild>
        <w:div w:id="37705207">
          <w:marLeft w:val="0"/>
          <w:marRight w:val="0"/>
          <w:marTop w:val="0"/>
          <w:marBottom w:val="0"/>
          <w:divBdr>
            <w:top w:val="none" w:sz="0" w:space="0" w:color="auto"/>
            <w:left w:val="none" w:sz="0" w:space="0" w:color="auto"/>
            <w:bottom w:val="none" w:sz="0" w:space="0" w:color="auto"/>
            <w:right w:val="none" w:sz="0" w:space="0" w:color="auto"/>
          </w:divBdr>
          <w:divsChild>
            <w:div w:id="1675843603">
              <w:marLeft w:val="0"/>
              <w:marRight w:val="0"/>
              <w:marTop w:val="0"/>
              <w:marBottom w:val="0"/>
              <w:divBdr>
                <w:top w:val="none" w:sz="0" w:space="0" w:color="auto"/>
                <w:left w:val="none" w:sz="0" w:space="0" w:color="auto"/>
                <w:bottom w:val="none" w:sz="0" w:space="0" w:color="auto"/>
                <w:right w:val="none" w:sz="0" w:space="0" w:color="auto"/>
              </w:divBdr>
              <w:divsChild>
                <w:div w:id="2131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48041">
      <w:bodyDiv w:val="1"/>
      <w:marLeft w:val="0"/>
      <w:marRight w:val="0"/>
      <w:marTop w:val="0"/>
      <w:marBottom w:val="0"/>
      <w:divBdr>
        <w:top w:val="none" w:sz="0" w:space="0" w:color="auto"/>
        <w:left w:val="none" w:sz="0" w:space="0" w:color="auto"/>
        <w:bottom w:val="none" w:sz="0" w:space="0" w:color="auto"/>
        <w:right w:val="none" w:sz="0" w:space="0" w:color="auto"/>
      </w:divBdr>
    </w:div>
    <w:div w:id="297956029">
      <w:bodyDiv w:val="1"/>
      <w:marLeft w:val="0"/>
      <w:marRight w:val="0"/>
      <w:marTop w:val="0"/>
      <w:marBottom w:val="0"/>
      <w:divBdr>
        <w:top w:val="none" w:sz="0" w:space="0" w:color="auto"/>
        <w:left w:val="none" w:sz="0" w:space="0" w:color="auto"/>
        <w:bottom w:val="none" w:sz="0" w:space="0" w:color="auto"/>
        <w:right w:val="none" w:sz="0" w:space="0" w:color="auto"/>
      </w:divBdr>
    </w:div>
    <w:div w:id="299652106">
      <w:bodyDiv w:val="1"/>
      <w:marLeft w:val="0"/>
      <w:marRight w:val="0"/>
      <w:marTop w:val="0"/>
      <w:marBottom w:val="0"/>
      <w:divBdr>
        <w:top w:val="none" w:sz="0" w:space="0" w:color="auto"/>
        <w:left w:val="none" w:sz="0" w:space="0" w:color="auto"/>
        <w:bottom w:val="none" w:sz="0" w:space="0" w:color="auto"/>
        <w:right w:val="none" w:sz="0" w:space="0" w:color="auto"/>
      </w:divBdr>
    </w:div>
    <w:div w:id="672413209">
      <w:bodyDiv w:val="1"/>
      <w:marLeft w:val="0"/>
      <w:marRight w:val="0"/>
      <w:marTop w:val="0"/>
      <w:marBottom w:val="0"/>
      <w:divBdr>
        <w:top w:val="none" w:sz="0" w:space="0" w:color="auto"/>
        <w:left w:val="none" w:sz="0" w:space="0" w:color="auto"/>
        <w:bottom w:val="none" w:sz="0" w:space="0" w:color="auto"/>
        <w:right w:val="none" w:sz="0" w:space="0" w:color="auto"/>
      </w:divBdr>
    </w:div>
    <w:div w:id="882670546">
      <w:bodyDiv w:val="1"/>
      <w:marLeft w:val="0"/>
      <w:marRight w:val="0"/>
      <w:marTop w:val="0"/>
      <w:marBottom w:val="0"/>
      <w:divBdr>
        <w:top w:val="none" w:sz="0" w:space="0" w:color="auto"/>
        <w:left w:val="none" w:sz="0" w:space="0" w:color="auto"/>
        <w:bottom w:val="none" w:sz="0" w:space="0" w:color="auto"/>
        <w:right w:val="none" w:sz="0" w:space="0" w:color="auto"/>
      </w:divBdr>
    </w:div>
    <w:div w:id="893781272">
      <w:bodyDiv w:val="1"/>
      <w:marLeft w:val="0"/>
      <w:marRight w:val="0"/>
      <w:marTop w:val="0"/>
      <w:marBottom w:val="0"/>
      <w:divBdr>
        <w:top w:val="none" w:sz="0" w:space="0" w:color="auto"/>
        <w:left w:val="none" w:sz="0" w:space="0" w:color="auto"/>
        <w:bottom w:val="none" w:sz="0" w:space="0" w:color="auto"/>
        <w:right w:val="none" w:sz="0" w:space="0" w:color="auto"/>
      </w:divBdr>
    </w:div>
    <w:div w:id="1195727269">
      <w:bodyDiv w:val="1"/>
      <w:marLeft w:val="0"/>
      <w:marRight w:val="0"/>
      <w:marTop w:val="0"/>
      <w:marBottom w:val="0"/>
      <w:divBdr>
        <w:top w:val="none" w:sz="0" w:space="0" w:color="auto"/>
        <w:left w:val="none" w:sz="0" w:space="0" w:color="auto"/>
        <w:bottom w:val="none" w:sz="0" w:space="0" w:color="auto"/>
        <w:right w:val="none" w:sz="0" w:space="0" w:color="auto"/>
      </w:divBdr>
    </w:div>
    <w:div w:id="1302349228">
      <w:bodyDiv w:val="1"/>
      <w:marLeft w:val="0"/>
      <w:marRight w:val="0"/>
      <w:marTop w:val="0"/>
      <w:marBottom w:val="0"/>
      <w:divBdr>
        <w:top w:val="none" w:sz="0" w:space="0" w:color="auto"/>
        <w:left w:val="none" w:sz="0" w:space="0" w:color="auto"/>
        <w:bottom w:val="none" w:sz="0" w:space="0" w:color="auto"/>
        <w:right w:val="none" w:sz="0" w:space="0" w:color="auto"/>
      </w:divBdr>
    </w:div>
    <w:div w:id="1358846438">
      <w:bodyDiv w:val="1"/>
      <w:marLeft w:val="0"/>
      <w:marRight w:val="0"/>
      <w:marTop w:val="0"/>
      <w:marBottom w:val="0"/>
      <w:divBdr>
        <w:top w:val="none" w:sz="0" w:space="0" w:color="auto"/>
        <w:left w:val="none" w:sz="0" w:space="0" w:color="auto"/>
        <w:bottom w:val="none" w:sz="0" w:space="0" w:color="auto"/>
        <w:right w:val="none" w:sz="0" w:space="0" w:color="auto"/>
      </w:divBdr>
    </w:div>
    <w:div w:id="1669480761">
      <w:bodyDiv w:val="1"/>
      <w:marLeft w:val="0"/>
      <w:marRight w:val="0"/>
      <w:marTop w:val="0"/>
      <w:marBottom w:val="0"/>
      <w:divBdr>
        <w:top w:val="none" w:sz="0" w:space="0" w:color="auto"/>
        <w:left w:val="none" w:sz="0" w:space="0" w:color="auto"/>
        <w:bottom w:val="none" w:sz="0" w:space="0" w:color="auto"/>
        <w:right w:val="none" w:sz="0" w:space="0" w:color="auto"/>
      </w:divBdr>
    </w:div>
    <w:div w:id="1849443366">
      <w:bodyDiv w:val="1"/>
      <w:marLeft w:val="0"/>
      <w:marRight w:val="0"/>
      <w:marTop w:val="0"/>
      <w:marBottom w:val="0"/>
      <w:divBdr>
        <w:top w:val="none" w:sz="0" w:space="0" w:color="auto"/>
        <w:left w:val="none" w:sz="0" w:space="0" w:color="auto"/>
        <w:bottom w:val="none" w:sz="0" w:space="0" w:color="auto"/>
        <w:right w:val="none" w:sz="0" w:space="0" w:color="auto"/>
      </w:divBdr>
    </w:div>
    <w:div w:id="1859352232">
      <w:bodyDiv w:val="1"/>
      <w:marLeft w:val="0"/>
      <w:marRight w:val="0"/>
      <w:marTop w:val="0"/>
      <w:marBottom w:val="0"/>
      <w:divBdr>
        <w:top w:val="none" w:sz="0" w:space="0" w:color="auto"/>
        <w:left w:val="none" w:sz="0" w:space="0" w:color="auto"/>
        <w:bottom w:val="none" w:sz="0" w:space="0" w:color="auto"/>
        <w:right w:val="none" w:sz="0" w:space="0" w:color="auto"/>
      </w:divBdr>
    </w:div>
    <w:div w:id="212410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6.png"/><Relationship Id="rId26" Type="http://schemas.microsoft.com/office/2007/relationships/hdphoto" Target="media/hdphoto2.wdp"/><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4.xml"/><Relationship Id="rId63"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5.png"/><Relationship Id="rId41" Type="http://schemas.microsoft.com/office/2007/relationships/hdphoto" Target="media/hdphoto3.wdp"/><Relationship Id="rId54" Type="http://schemas.openxmlformats.org/officeDocument/2006/relationships/header" Target="header3.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microsoft.com/office/2007/relationships/hdphoto" Target="media/hdphoto5.wdp"/><Relationship Id="rId53" Type="http://schemas.openxmlformats.org/officeDocument/2006/relationships/hyperlink" Target="https://www.tga.gov.au/product-information-pi" TargetMode="External"/><Relationship Id="rId58" Type="http://schemas.openxmlformats.org/officeDocument/2006/relationships/hyperlink" Target="mailto:info@tga.gov.a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footer" Target="footer2.xml"/><Relationship Id="rId61"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8.png"/><Relationship Id="rId52" Type="http://schemas.microsoft.com/office/2007/relationships/hdphoto" Target="media/hdphoto6.wdp"/><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microsoft.com/office/2007/relationships/hdphoto" Target="media/hdphoto4.wdp"/><Relationship Id="rId48" Type="http://schemas.openxmlformats.org/officeDocument/2006/relationships/image" Target="media/image31.png"/><Relationship Id="rId56" Type="http://schemas.openxmlformats.org/officeDocument/2006/relationships/header" Target="header5.xml"/><Relationship Id="rId64" Type="http://schemas.openxmlformats.org/officeDocument/2006/relationships/footer" Target="footer4.xml"/><Relationship Id="rId8" Type="http://schemas.openxmlformats.org/officeDocument/2006/relationships/hyperlink" Target="https://www.tga.gov.au"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committee/advisory-committee-medicines-acm" TargetMode="External"/><Relationship Id="rId2" Type="http://schemas.openxmlformats.org/officeDocument/2006/relationships/hyperlink" Target="https://www.fda.gov/regulatory-information/search-fda-guidance-documents/microdose-radiopharmaceutical-diagnostic-drugs-nonclinical-study-recommendations" TargetMode="External"/><Relationship Id="rId1" Type="http://schemas.openxmlformats.org/officeDocument/2006/relationships/hyperlink" Target="https://ncci.canceraustralia.gov.au/outcomes/relative-survival-rate/relative-survival-stage-diagnosis-prostate-canc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9000\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F8FB3-FFDF-489F-8527-068464F21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447</TotalTime>
  <Pages>53</Pages>
  <Words>17817</Words>
  <Characters>101559</Characters>
  <Application>Microsoft Office Word</Application>
  <DocSecurity>0</DocSecurity>
  <Lines>1880</Lines>
  <Paragraphs>801</Paragraphs>
  <ScaleCrop>false</ScaleCrop>
  <HeadingPairs>
    <vt:vector size="2" baseType="variant">
      <vt:variant>
        <vt:lpstr>Title</vt:lpstr>
      </vt:variant>
      <vt:variant>
        <vt:i4>1</vt:i4>
      </vt:variant>
    </vt:vector>
  </HeadingPairs>
  <TitlesOfParts>
    <vt:vector size="1" baseType="lpstr">
      <vt:lpstr>Australian public assessment report for Glu-urea-Lys(ahx)-hbed-CC</vt:lpstr>
    </vt:vector>
  </TitlesOfParts>
  <Company>Department of Health </Company>
  <LinksUpToDate>false</LinksUpToDate>
  <CharactersWithSpaces>118575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Glu-urea-Lys(ahx)-hbed-CC</dc:title>
  <dc:subject>prescription medicine regulation</dc:subject>
  <dc:creator>Therapeutic Goods Administration</dc:creator>
  <cp:keywords/>
  <cp:lastModifiedBy>KOLARIK-OREILLY, Kristy</cp:lastModifiedBy>
  <cp:revision>7</cp:revision>
  <cp:lastPrinted>2019-08-14T04:30:00Z</cp:lastPrinted>
  <dcterms:created xsi:type="dcterms:W3CDTF">2022-06-17T05:45:00Z</dcterms:created>
  <dcterms:modified xsi:type="dcterms:W3CDTF">2022-06-27T04:30:00Z</dcterms:modified>
  <cp:category/>
</cp:coreProperties>
</file>