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9BB79" w14:textId="0B5965DC" w:rsidR="00375DF3" w:rsidRPr="004E508C" w:rsidRDefault="00375DF3" w:rsidP="003B7CFF">
      <w:pPr>
        <w:pStyle w:val="Paragraph"/>
        <w:rPr>
          <w:lang w:val="en-AU"/>
        </w:rPr>
      </w:pPr>
      <w:r w:rsidRPr="004E508C">
        <w:rPr>
          <w:noProof/>
          <w:lang w:val="en-AU"/>
        </w:rPr>
        <mc:AlternateContent>
          <mc:Choice Requires="wps">
            <w:drawing>
              <wp:inline distT="0" distB="0" distL="0" distR="0" wp14:anchorId="0BA3EB70" wp14:editId="09F06BF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71887" w14:textId="77777777" w:rsidR="00B56D31" w:rsidRPr="00BE2A26" w:rsidRDefault="00B56D31"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BA3EB7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70B71887" w14:textId="77777777" w:rsidR="00B56D31" w:rsidRPr="00BE2A26" w:rsidRDefault="00B56D31"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4E508C">
        <w:rPr>
          <w:lang w:val="en-AU"/>
        </w:rPr>
        <w:t>This medicinal product is subject to additional monitoring in Australia. This will allow quick identification of new safety information. Healthcare professionals are asked to report any suspected adverse events at</w:t>
      </w:r>
      <w:r w:rsidR="008958C0" w:rsidRPr="004E508C">
        <w:rPr>
          <w:lang w:val="en-AU"/>
        </w:rPr>
        <w:t xml:space="preserve"> www.tga.gov.au/reporting-problems.</w:t>
      </w:r>
    </w:p>
    <w:p w14:paraId="3A99F403" w14:textId="5643A6C6" w:rsidR="00ED27EC" w:rsidRPr="004E508C" w:rsidRDefault="006018AE" w:rsidP="00ED27EC">
      <w:pPr>
        <w:pStyle w:val="Heading1Unnumbered"/>
        <w:rPr>
          <w:rFonts w:eastAsia="SimSun"/>
          <w:lang w:val="en-AU"/>
        </w:rPr>
      </w:pPr>
      <w:r w:rsidRPr="004E508C">
        <w:rPr>
          <w:rFonts w:eastAsia="SimSun"/>
          <w:lang w:val="en-AU"/>
        </w:rPr>
        <w:t>Australian P</w:t>
      </w:r>
      <w:r w:rsidR="00A32E10" w:rsidRPr="004E508C">
        <w:rPr>
          <w:rFonts w:eastAsia="SimSun"/>
          <w:lang w:val="en-AU"/>
        </w:rPr>
        <w:t xml:space="preserve">RODUCT </w:t>
      </w:r>
      <w:r w:rsidRPr="004E508C">
        <w:rPr>
          <w:rFonts w:eastAsia="SimSun"/>
          <w:lang w:val="en-AU"/>
        </w:rPr>
        <w:t>I</w:t>
      </w:r>
      <w:r w:rsidR="00A32E10" w:rsidRPr="004E508C">
        <w:rPr>
          <w:rFonts w:eastAsia="SimSun"/>
          <w:lang w:val="en-AU"/>
        </w:rPr>
        <w:t>NFORMATION</w:t>
      </w:r>
    </w:p>
    <w:p w14:paraId="3F32F5E0" w14:textId="7E47DFBD" w:rsidR="006018AE" w:rsidRPr="004E508C" w:rsidRDefault="00D8030B" w:rsidP="00ED27EC">
      <w:pPr>
        <w:pStyle w:val="Heading1Unnumbered"/>
        <w:rPr>
          <w:rFonts w:eastAsia="SimSun"/>
          <w:caps w:val="0"/>
          <w:lang w:val="en-AU"/>
        </w:rPr>
      </w:pPr>
      <w:r w:rsidRPr="004E508C">
        <w:rPr>
          <w:rFonts w:eastAsia="SimSun"/>
          <w:lang w:val="en-AU"/>
        </w:rPr>
        <w:t>ENHERTU</w:t>
      </w:r>
      <w:r w:rsidR="00A45B2B" w:rsidRPr="00A45B2B">
        <w:rPr>
          <w:rFonts w:eastAsia="SimSun" w:cs="Times New Roman"/>
          <w:caps w:val="0"/>
          <w:vertAlign w:val="superscript"/>
          <w:lang w:val="en-AU"/>
        </w:rPr>
        <w:t>®</w:t>
      </w:r>
      <w:r w:rsidR="00C85970" w:rsidRPr="004E508C">
        <w:rPr>
          <w:rFonts w:eastAsia="SimSun"/>
          <w:lang w:val="en-AU"/>
        </w:rPr>
        <w:br/>
      </w:r>
      <w:r w:rsidR="00A32E10" w:rsidRPr="004E508C">
        <w:rPr>
          <w:rFonts w:eastAsia="SimSun"/>
          <w:caps w:val="0"/>
          <w:lang w:val="en-AU"/>
        </w:rPr>
        <w:t>(</w:t>
      </w:r>
      <w:r w:rsidR="00873BDB" w:rsidRPr="004E508C">
        <w:rPr>
          <w:rFonts w:eastAsia="SimSun"/>
          <w:caps w:val="0"/>
          <w:lang w:val="en-AU"/>
        </w:rPr>
        <w:t>trastuzumab deruxtecan</w:t>
      </w:r>
      <w:r w:rsidR="00ED27EC" w:rsidRPr="004E508C">
        <w:rPr>
          <w:rFonts w:eastAsia="SimSun"/>
          <w:caps w:val="0"/>
          <w:lang w:val="en-AU"/>
        </w:rPr>
        <w:t xml:space="preserve">) </w:t>
      </w:r>
      <w:r w:rsidR="00873BDB" w:rsidRPr="004E508C">
        <w:rPr>
          <w:rFonts w:eastAsia="SimSun"/>
          <w:caps w:val="0"/>
          <w:lang w:val="en-AU"/>
        </w:rPr>
        <w:t xml:space="preserve">powder for injection </w:t>
      </w:r>
    </w:p>
    <w:p w14:paraId="4B502CDB" w14:textId="6BCF422C" w:rsidR="005D4503" w:rsidRPr="004E508C" w:rsidRDefault="005D4503" w:rsidP="005D4503">
      <w:pPr>
        <w:pStyle w:val="Paragraph"/>
        <w:rPr>
          <w:rFonts w:eastAsia="SimSun"/>
          <w:lang w:val="en-AU"/>
        </w:rPr>
      </w:pPr>
    </w:p>
    <w:p w14:paraId="210F6399" w14:textId="77777777" w:rsidR="001A3992" w:rsidRPr="004E508C" w:rsidRDefault="001A3992" w:rsidP="00EE3AC8">
      <w:pPr>
        <w:pStyle w:val="Heading1"/>
        <w:rPr>
          <w:lang w:val="en-AU"/>
        </w:rPr>
      </w:pPr>
      <w:r w:rsidRPr="004E508C">
        <w:rPr>
          <w:lang w:val="en-AU"/>
        </w:rPr>
        <w:t>Name of the medicine</w:t>
      </w:r>
    </w:p>
    <w:p w14:paraId="6FA056EC" w14:textId="5C8AB4B1" w:rsidR="006E620F" w:rsidRPr="004E508C" w:rsidRDefault="00AD12BE" w:rsidP="006E620F">
      <w:pPr>
        <w:pStyle w:val="Paragraph"/>
        <w:rPr>
          <w:lang w:val="en-AU"/>
        </w:rPr>
      </w:pPr>
      <w:bookmarkStart w:id="0" w:name="_Ref505770391"/>
      <w:r w:rsidRPr="004E508C">
        <w:rPr>
          <w:lang w:val="en-AU"/>
        </w:rPr>
        <w:t>T</w:t>
      </w:r>
      <w:r w:rsidR="006E620F" w:rsidRPr="004E508C">
        <w:rPr>
          <w:lang w:val="en-AU"/>
        </w:rPr>
        <w:t xml:space="preserve">rastuzumab deruxtecan </w:t>
      </w:r>
    </w:p>
    <w:p w14:paraId="2295093E" w14:textId="77777777" w:rsidR="001A3992" w:rsidRPr="004E508C" w:rsidRDefault="001A3992" w:rsidP="00EE3AC8">
      <w:pPr>
        <w:pStyle w:val="Heading1"/>
        <w:rPr>
          <w:lang w:val="en-AU"/>
        </w:rPr>
      </w:pPr>
      <w:r w:rsidRPr="004E508C">
        <w:rPr>
          <w:lang w:val="en-AU"/>
        </w:rPr>
        <w:t>Qualitative and quantitative composition</w:t>
      </w:r>
      <w:bookmarkEnd w:id="0"/>
    </w:p>
    <w:p w14:paraId="1BFEE1C3" w14:textId="0D95CC6A" w:rsidR="006E620F" w:rsidRPr="004E508C" w:rsidRDefault="006E620F" w:rsidP="006E620F">
      <w:pPr>
        <w:pStyle w:val="Paragraph"/>
        <w:rPr>
          <w:lang w:val="en-AU"/>
        </w:rPr>
      </w:pPr>
      <w:r w:rsidRPr="004E508C">
        <w:rPr>
          <w:lang w:val="en-AU"/>
        </w:rPr>
        <w:t xml:space="preserve">One vial of lyophilized powder for concentrate for solution for infusion delivers 100 mg of trastuzumab deruxtecan. After reconstitution, one vial of 5 mL solution delivers 20 mg/mL of trastuzumab deruxtecan (see </w:t>
      </w:r>
      <w:r w:rsidR="00F90E73" w:rsidRPr="004E508C">
        <w:rPr>
          <w:lang w:val="en-AU"/>
        </w:rPr>
        <w:t>S</w:t>
      </w:r>
      <w:r w:rsidRPr="004E508C">
        <w:rPr>
          <w:lang w:val="en-AU"/>
        </w:rPr>
        <w:t>ection </w:t>
      </w:r>
      <w:r w:rsidR="00CC05FD" w:rsidRPr="004E508C">
        <w:rPr>
          <w:lang w:val="en-AU"/>
        </w:rPr>
        <w:t>4.2</w:t>
      </w:r>
      <w:r w:rsidR="00F90E73" w:rsidRPr="004E508C">
        <w:rPr>
          <w:lang w:val="en-AU"/>
        </w:rPr>
        <w:t xml:space="preserve"> Dose and method of administration</w:t>
      </w:r>
      <w:r w:rsidRPr="004E508C">
        <w:rPr>
          <w:lang w:val="en-AU"/>
        </w:rPr>
        <w:t>).</w:t>
      </w:r>
    </w:p>
    <w:p w14:paraId="46829E47" w14:textId="6DADEB7C" w:rsidR="006E620F" w:rsidRPr="004E508C" w:rsidRDefault="00501443" w:rsidP="006E620F">
      <w:pPr>
        <w:pStyle w:val="ListBullet"/>
        <w:numPr>
          <w:ilvl w:val="0"/>
          <w:numId w:val="0"/>
        </w:numPr>
        <w:ind w:left="425" w:hanging="425"/>
        <w:rPr>
          <w:szCs w:val="24"/>
          <w:lang w:val="en-AU"/>
        </w:rPr>
      </w:pPr>
      <w:r w:rsidRPr="004E508C">
        <w:rPr>
          <w:szCs w:val="24"/>
          <w:lang w:val="en-AU"/>
        </w:rPr>
        <w:t>For the full list of excipients, see Section 6.1 List of excipients</w:t>
      </w:r>
    </w:p>
    <w:p w14:paraId="7596D7C4" w14:textId="77777777" w:rsidR="001A3992" w:rsidRPr="004E508C" w:rsidRDefault="001A3992" w:rsidP="00EE3AC8">
      <w:pPr>
        <w:pStyle w:val="Heading1"/>
        <w:rPr>
          <w:lang w:val="en-AU"/>
        </w:rPr>
      </w:pPr>
      <w:r w:rsidRPr="004E508C">
        <w:rPr>
          <w:lang w:val="en-AU"/>
        </w:rPr>
        <w:t>Pharmaceutical form</w:t>
      </w:r>
    </w:p>
    <w:p w14:paraId="79EBF389" w14:textId="551F5541" w:rsidR="00D37545" w:rsidRPr="004E508C" w:rsidRDefault="00D37545" w:rsidP="00D37545">
      <w:pPr>
        <w:pStyle w:val="C-BodyText"/>
        <w:spacing w:before="0" w:after="0" w:line="240" w:lineRule="auto"/>
        <w:rPr>
          <w:rFonts w:eastAsia="Times New Roman"/>
          <w:szCs w:val="24"/>
          <w:lang w:val="en-AU"/>
        </w:rPr>
      </w:pPr>
      <w:r w:rsidRPr="004E508C">
        <w:rPr>
          <w:rFonts w:eastAsia="Times New Roman"/>
          <w:szCs w:val="24"/>
          <w:lang w:val="en-AU"/>
        </w:rPr>
        <w:t xml:space="preserve">Powder for </w:t>
      </w:r>
      <w:r w:rsidR="003C5C0D" w:rsidRPr="004E508C">
        <w:rPr>
          <w:rFonts w:eastAsia="Times New Roman"/>
          <w:szCs w:val="24"/>
          <w:lang w:val="en-AU"/>
        </w:rPr>
        <w:t>injection.</w:t>
      </w:r>
    </w:p>
    <w:p w14:paraId="6BEABF89" w14:textId="77777777" w:rsidR="00D37545" w:rsidRPr="004E508C" w:rsidRDefault="00D37545" w:rsidP="00D37545">
      <w:pPr>
        <w:pStyle w:val="C-BodyText"/>
        <w:spacing w:before="0" w:after="0" w:line="240" w:lineRule="auto"/>
        <w:rPr>
          <w:rFonts w:eastAsia="Times New Roman"/>
          <w:szCs w:val="24"/>
          <w:lang w:val="en-AU"/>
        </w:rPr>
      </w:pPr>
    </w:p>
    <w:p w14:paraId="27C2D2D9" w14:textId="2E168125" w:rsidR="00D37545" w:rsidRPr="004E508C" w:rsidRDefault="00D37545" w:rsidP="00D37545">
      <w:pPr>
        <w:pStyle w:val="C-BodyText"/>
        <w:spacing w:before="0" w:after="0" w:line="240" w:lineRule="auto"/>
        <w:rPr>
          <w:rFonts w:eastAsia="Times New Roman"/>
          <w:szCs w:val="24"/>
          <w:lang w:val="en-AU"/>
        </w:rPr>
      </w:pPr>
      <w:r w:rsidRPr="004E508C">
        <w:rPr>
          <w:rFonts w:eastAsia="Times New Roman"/>
          <w:szCs w:val="24"/>
          <w:lang w:val="en-AU"/>
        </w:rPr>
        <w:t>White to yellowish</w:t>
      </w:r>
      <w:r w:rsidRPr="004E508C">
        <w:rPr>
          <w:rFonts w:eastAsia="Times New Roman"/>
          <w:szCs w:val="24"/>
          <w:lang w:val="en-AU"/>
        </w:rPr>
        <w:noBreakHyphen/>
        <w:t>white lyophilized powder</w:t>
      </w:r>
      <w:r w:rsidR="003C5C0D" w:rsidRPr="004E508C">
        <w:rPr>
          <w:rFonts w:eastAsia="Times New Roman"/>
          <w:szCs w:val="24"/>
          <w:lang w:val="en-AU"/>
        </w:rPr>
        <w:t>.</w:t>
      </w:r>
    </w:p>
    <w:p w14:paraId="565CF0F0" w14:textId="77777777" w:rsidR="001A3992" w:rsidRPr="004E508C" w:rsidRDefault="001A3992" w:rsidP="00EE3AC8">
      <w:pPr>
        <w:pStyle w:val="Heading1"/>
        <w:rPr>
          <w:lang w:val="en-AU"/>
        </w:rPr>
      </w:pPr>
      <w:r w:rsidRPr="004E508C">
        <w:rPr>
          <w:lang w:val="en-AU"/>
        </w:rPr>
        <w:t>Clinical particulars</w:t>
      </w:r>
    </w:p>
    <w:p w14:paraId="4694176E" w14:textId="77777777" w:rsidR="001A3992" w:rsidRPr="004E508C" w:rsidRDefault="001A3992" w:rsidP="00EE3AC8">
      <w:pPr>
        <w:pStyle w:val="Heading2"/>
        <w:rPr>
          <w:lang w:val="en-AU"/>
        </w:rPr>
      </w:pPr>
      <w:r w:rsidRPr="004E508C">
        <w:rPr>
          <w:lang w:val="en-AU"/>
        </w:rPr>
        <w:t>Therapeutic indi</w:t>
      </w:r>
      <w:r w:rsidR="003B7CFF" w:rsidRPr="004E508C">
        <w:rPr>
          <w:lang w:val="en-AU"/>
        </w:rPr>
        <w:t>cations</w:t>
      </w:r>
    </w:p>
    <w:p w14:paraId="384233AE" w14:textId="3C39939C" w:rsidR="00C85696" w:rsidRPr="00E33073" w:rsidRDefault="0098121C" w:rsidP="0098121C">
      <w:pPr>
        <w:rPr>
          <w:lang w:val="en-AU"/>
        </w:rPr>
      </w:pPr>
      <w:r w:rsidRPr="004E508C">
        <w:rPr>
          <w:lang w:val="en-AU"/>
        </w:rPr>
        <w:t xml:space="preserve">ENHERTU is indicated for the treatment of adult patients with unresectable or metastatic HER2-positive breast cancer who have received two or more </w:t>
      </w:r>
      <w:r w:rsidRPr="00E33073">
        <w:rPr>
          <w:lang w:val="en-AU"/>
        </w:rPr>
        <w:t>prior anti-HER2-based regimens.</w:t>
      </w:r>
    </w:p>
    <w:p w14:paraId="130FC29E" w14:textId="364D351D" w:rsidR="000600F0" w:rsidRPr="004E508C" w:rsidRDefault="000600F0" w:rsidP="0098121C">
      <w:pPr>
        <w:rPr>
          <w:lang w:val="en-AU"/>
        </w:rPr>
      </w:pPr>
      <w:r w:rsidRPr="00E33073">
        <w:rPr>
          <w:lang w:val="en-AU"/>
        </w:rPr>
        <w:t xml:space="preserve">This indication is approved via the </w:t>
      </w:r>
      <w:r w:rsidRPr="00E33073">
        <w:rPr>
          <w:b/>
          <w:bCs/>
          <w:lang w:val="en-AU"/>
        </w:rPr>
        <w:t>provisional approval</w:t>
      </w:r>
      <w:r w:rsidRPr="00E33073">
        <w:rPr>
          <w:lang w:val="en-AU"/>
        </w:rPr>
        <w:t xml:space="preserve"> pathway, based on </w:t>
      </w:r>
      <w:r w:rsidR="00E457CB" w:rsidRPr="00E33073">
        <w:rPr>
          <w:lang w:val="en-AU"/>
        </w:rPr>
        <w:t>overall response rate</w:t>
      </w:r>
      <w:r w:rsidRPr="00E33073">
        <w:rPr>
          <w:lang w:val="en-AU"/>
        </w:rPr>
        <w:t xml:space="preserve"> and duration of response. </w:t>
      </w:r>
      <w:r w:rsidR="00E457CB" w:rsidRPr="00E33073">
        <w:rPr>
          <w:lang w:val="en-AU"/>
        </w:rPr>
        <w:t>Full registration for this indication depends on verification and description of clinical benefit in</w:t>
      </w:r>
      <w:r w:rsidR="00E457CB" w:rsidRPr="004E508C">
        <w:rPr>
          <w:lang w:val="en-AU"/>
        </w:rPr>
        <w:t xml:space="preserve"> a confirmatory trial.  </w:t>
      </w:r>
    </w:p>
    <w:p w14:paraId="5EC5655D" w14:textId="77777777" w:rsidR="003B7CFF" w:rsidRPr="004E508C" w:rsidRDefault="001A3992" w:rsidP="003B7CFF">
      <w:pPr>
        <w:pStyle w:val="Heading2"/>
        <w:rPr>
          <w:lang w:val="en-AU"/>
        </w:rPr>
      </w:pPr>
      <w:r w:rsidRPr="004E508C">
        <w:rPr>
          <w:lang w:val="en-AU"/>
        </w:rPr>
        <w:t>Dose and method of administration</w:t>
      </w:r>
    </w:p>
    <w:p w14:paraId="47C77E0B" w14:textId="79DD9DAC" w:rsidR="00C85696" w:rsidRPr="004E508C" w:rsidRDefault="00573DAD" w:rsidP="005D4503">
      <w:pPr>
        <w:pStyle w:val="C-BodyText"/>
        <w:spacing w:before="0" w:after="0" w:line="240" w:lineRule="auto"/>
        <w:rPr>
          <w:rFonts w:eastAsia="Times New Roman"/>
          <w:szCs w:val="24"/>
          <w:lang w:val="en-AU"/>
        </w:rPr>
      </w:pPr>
      <w:r w:rsidRPr="00894920">
        <w:rPr>
          <w:b/>
          <w:bCs/>
          <w:szCs w:val="24"/>
          <w:lang w:val="en-AU"/>
        </w:rPr>
        <w:t>Do not substitute ENHERTU for or with trastuzumab or trastuzumab emtansine.</w:t>
      </w:r>
      <w:r w:rsidRPr="00573DAD">
        <w:rPr>
          <w:szCs w:val="24"/>
          <w:lang w:val="en-AU"/>
        </w:rPr>
        <w:t xml:space="preserve"> </w:t>
      </w:r>
      <w:r w:rsidR="005D4503" w:rsidRPr="00573DAD">
        <w:rPr>
          <w:rFonts w:eastAsia="Times New Roman"/>
          <w:szCs w:val="24"/>
          <w:lang w:val="en-AU"/>
        </w:rPr>
        <w:t>In order</w:t>
      </w:r>
      <w:r w:rsidR="005D4503" w:rsidRPr="004E508C">
        <w:rPr>
          <w:rFonts w:eastAsia="Times New Roman"/>
          <w:szCs w:val="24"/>
          <w:lang w:val="en-AU"/>
        </w:rPr>
        <w:t xml:space="preserve"> to prevent medicinal product errors, it is important to check the vial labels to ensure that the medicinal product being prepared and administered is ENHERTU (trastuzumab deruxtecan) and not trastuzumab or trastuzumab emtansine.</w:t>
      </w:r>
    </w:p>
    <w:p w14:paraId="69CEE82E" w14:textId="41AE1C6E" w:rsidR="00A93B40" w:rsidRPr="004E508C" w:rsidRDefault="00A93B40" w:rsidP="005D4503">
      <w:pPr>
        <w:pStyle w:val="C-BodyText"/>
        <w:spacing w:before="0" w:after="0" w:line="240" w:lineRule="auto"/>
        <w:rPr>
          <w:rFonts w:eastAsia="Times New Roman"/>
          <w:szCs w:val="24"/>
          <w:lang w:val="en-AU"/>
        </w:rPr>
      </w:pPr>
    </w:p>
    <w:p w14:paraId="6A9D7784" w14:textId="30BB30F9" w:rsidR="00A93B40" w:rsidRPr="004E508C" w:rsidRDefault="00A93B40" w:rsidP="00A93B40">
      <w:pPr>
        <w:pStyle w:val="C-BodyText"/>
        <w:spacing w:before="0" w:after="0" w:line="240" w:lineRule="auto"/>
        <w:rPr>
          <w:szCs w:val="24"/>
          <w:u w:val="single"/>
          <w:lang w:val="en-AU"/>
        </w:rPr>
      </w:pPr>
      <w:r w:rsidRPr="004E508C">
        <w:rPr>
          <w:szCs w:val="24"/>
          <w:lang w:val="en-AU"/>
        </w:rPr>
        <w:t xml:space="preserve">The recommended dose of </w:t>
      </w:r>
      <w:r w:rsidR="000C226A" w:rsidRPr="004E508C">
        <w:rPr>
          <w:szCs w:val="24"/>
          <w:lang w:val="en-AU"/>
        </w:rPr>
        <w:t>ENHERTU</w:t>
      </w:r>
      <w:r w:rsidRPr="004E508C">
        <w:rPr>
          <w:szCs w:val="24"/>
          <w:lang w:val="en-AU"/>
        </w:rPr>
        <w:t xml:space="preserve"> is 5.4 mg/kg given as an intravenous infusion once every 3 weeks (21</w:t>
      </w:r>
      <w:r w:rsidRPr="004E508C">
        <w:rPr>
          <w:szCs w:val="24"/>
          <w:lang w:val="en-AU"/>
        </w:rPr>
        <w:noBreakHyphen/>
        <w:t xml:space="preserve">day cycle) until disease progression or unacceptable toxicity. </w:t>
      </w:r>
    </w:p>
    <w:p w14:paraId="64CDA2E9" w14:textId="77777777" w:rsidR="000C226A" w:rsidRPr="004E508C" w:rsidRDefault="000C226A" w:rsidP="000C226A">
      <w:pPr>
        <w:pStyle w:val="C-BodyText"/>
        <w:spacing w:before="0" w:after="0" w:line="240" w:lineRule="auto"/>
        <w:rPr>
          <w:szCs w:val="24"/>
          <w:lang w:val="en-AU"/>
        </w:rPr>
      </w:pPr>
    </w:p>
    <w:p w14:paraId="61F48D0C" w14:textId="1E0000E3" w:rsidR="000C226A" w:rsidRPr="004E508C" w:rsidRDefault="000C226A" w:rsidP="000C226A">
      <w:pPr>
        <w:pStyle w:val="C-BodyText"/>
        <w:spacing w:before="0" w:after="0" w:line="240" w:lineRule="auto"/>
        <w:rPr>
          <w:szCs w:val="24"/>
          <w:lang w:val="en-AU"/>
        </w:rPr>
      </w:pPr>
      <w:r w:rsidRPr="004E508C">
        <w:rPr>
          <w:szCs w:val="24"/>
          <w:lang w:val="en-AU"/>
        </w:rPr>
        <w:lastRenderedPageBreak/>
        <w:t>The initial dose should be administered as a 90</w:t>
      </w:r>
      <w:r w:rsidRPr="004E508C">
        <w:rPr>
          <w:szCs w:val="24"/>
          <w:lang w:val="en-AU"/>
        </w:rPr>
        <w:noBreakHyphen/>
        <w:t xml:space="preserve">minute intravenous infusion. If the </w:t>
      </w:r>
      <w:r w:rsidR="00781073" w:rsidRPr="004E508C">
        <w:rPr>
          <w:szCs w:val="24"/>
          <w:lang w:val="en-AU"/>
        </w:rPr>
        <w:t xml:space="preserve">initial </w:t>
      </w:r>
      <w:r w:rsidRPr="004E508C">
        <w:rPr>
          <w:szCs w:val="24"/>
          <w:lang w:val="en-AU"/>
        </w:rPr>
        <w:t xml:space="preserve">infusion </w:t>
      </w:r>
      <w:r w:rsidR="00781073" w:rsidRPr="004E508C">
        <w:rPr>
          <w:szCs w:val="24"/>
          <w:lang w:val="en-AU"/>
        </w:rPr>
        <w:t xml:space="preserve">is </w:t>
      </w:r>
      <w:r w:rsidRPr="004E508C">
        <w:rPr>
          <w:szCs w:val="24"/>
          <w:lang w:val="en-AU"/>
        </w:rPr>
        <w:t>well tolerated, subsequent doses of ENHERTU may be administered as 30</w:t>
      </w:r>
      <w:r w:rsidRPr="004E508C">
        <w:rPr>
          <w:szCs w:val="24"/>
          <w:lang w:val="en-AU"/>
        </w:rPr>
        <w:noBreakHyphen/>
        <w:t>minute infusions</w:t>
      </w:r>
      <w:r w:rsidRPr="004E508C">
        <w:rPr>
          <w:color w:val="0000FF"/>
          <w:szCs w:val="24"/>
          <w:lang w:val="en-AU"/>
        </w:rPr>
        <w:t>.</w:t>
      </w:r>
    </w:p>
    <w:p w14:paraId="1D77A8EC" w14:textId="77777777" w:rsidR="000C226A" w:rsidRPr="004E508C" w:rsidRDefault="000C226A" w:rsidP="00A93B40">
      <w:pPr>
        <w:pStyle w:val="C-BodyText"/>
        <w:spacing w:before="0" w:after="0" w:line="240" w:lineRule="auto"/>
        <w:rPr>
          <w:szCs w:val="24"/>
          <w:lang w:val="en-AU"/>
        </w:rPr>
      </w:pPr>
    </w:p>
    <w:p w14:paraId="106001E5" w14:textId="6932C472" w:rsidR="00F3670B" w:rsidRDefault="00F3670B" w:rsidP="00F3670B">
      <w:pPr>
        <w:pStyle w:val="C-BodyText"/>
        <w:spacing w:before="0" w:after="0" w:line="240" w:lineRule="auto"/>
        <w:rPr>
          <w:szCs w:val="24"/>
          <w:lang w:val="en-AU"/>
        </w:rPr>
      </w:pPr>
      <w:r w:rsidRPr="004E508C">
        <w:rPr>
          <w:szCs w:val="24"/>
          <w:lang w:val="en-AU"/>
        </w:rPr>
        <w:t>The infusion rate of ENHERTU should be slowed or interrupted if the patient develops infusion</w:t>
      </w:r>
      <w:r w:rsidRPr="004E508C">
        <w:rPr>
          <w:szCs w:val="24"/>
          <w:lang w:val="en-AU"/>
        </w:rPr>
        <w:noBreakHyphen/>
        <w:t>related symptoms. ENHERTU should be permanently discontinued in case of severe infusion reactions.</w:t>
      </w:r>
    </w:p>
    <w:p w14:paraId="5BA7493E" w14:textId="3BB1A4B8" w:rsidR="00FF589D" w:rsidRDefault="00FF589D" w:rsidP="00F3670B">
      <w:pPr>
        <w:pStyle w:val="C-BodyText"/>
        <w:spacing w:before="0" w:after="0" w:line="240" w:lineRule="auto"/>
        <w:rPr>
          <w:szCs w:val="24"/>
          <w:lang w:val="en-AU"/>
        </w:rPr>
      </w:pPr>
    </w:p>
    <w:p w14:paraId="56B18AAC" w14:textId="012EC7E8" w:rsidR="00FF589D" w:rsidRPr="00A73B04" w:rsidRDefault="00FF589D" w:rsidP="00FF589D">
      <w:pPr>
        <w:pStyle w:val="C-BodyText"/>
        <w:spacing w:before="0" w:after="0" w:line="240" w:lineRule="auto"/>
        <w:rPr>
          <w:szCs w:val="24"/>
          <w:vertAlign w:val="superscript"/>
        </w:rPr>
      </w:pPr>
      <w:r w:rsidRPr="00A73B04">
        <w:rPr>
          <w:szCs w:val="24"/>
        </w:rPr>
        <w:t>Antiemetics may be administered in accordance with local medical practice as per patient tolerance for prophylaxis or management.</w:t>
      </w:r>
    </w:p>
    <w:p w14:paraId="4F857B21" w14:textId="004DE94A" w:rsidR="00A93B40" w:rsidRPr="004E508C" w:rsidRDefault="00A93B40" w:rsidP="005D4503">
      <w:pPr>
        <w:pStyle w:val="C-BodyText"/>
        <w:spacing w:before="0" w:after="0" w:line="240" w:lineRule="auto"/>
        <w:rPr>
          <w:rFonts w:eastAsia="Times New Roman"/>
          <w:szCs w:val="24"/>
          <w:lang w:val="en-AU"/>
        </w:rPr>
      </w:pPr>
    </w:p>
    <w:p w14:paraId="48351DC7" w14:textId="77777777" w:rsidR="00A92C81" w:rsidRPr="004E508C" w:rsidRDefault="00A92C81" w:rsidP="00270432">
      <w:pPr>
        <w:pStyle w:val="Heading3Unnumbered"/>
        <w:rPr>
          <w:lang w:val="en-AU"/>
        </w:rPr>
      </w:pPr>
      <w:bookmarkStart w:id="1" w:name="_Toc34804466"/>
      <w:bookmarkStart w:id="2" w:name="_Toc23341352"/>
      <w:r w:rsidRPr="004E508C">
        <w:rPr>
          <w:lang w:val="en-AU"/>
        </w:rPr>
        <w:t>Dose Modifications</w:t>
      </w:r>
      <w:bookmarkEnd w:id="1"/>
      <w:bookmarkEnd w:id="2"/>
    </w:p>
    <w:p w14:paraId="3E446164" w14:textId="7AB7AEAC" w:rsidR="00A92C81" w:rsidRPr="004E508C" w:rsidRDefault="00A92C81" w:rsidP="00A92C81">
      <w:pPr>
        <w:pStyle w:val="C-BodyText"/>
        <w:spacing w:before="0" w:after="0" w:line="240" w:lineRule="auto"/>
        <w:rPr>
          <w:szCs w:val="24"/>
          <w:lang w:val="en-AU"/>
        </w:rPr>
      </w:pPr>
      <w:r w:rsidRPr="004E508C">
        <w:rPr>
          <w:szCs w:val="24"/>
          <w:lang w:val="en-AU"/>
        </w:rPr>
        <w:t xml:space="preserve">Management of adverse reactions may require temporary interruption, dose reduction, or treatment discontinuation of ENHERTU per guidelines provided in </w:t>
      </w:r>
      <w:r w:rsidR="00C91A24" w:rsidRPr="004E508C">
        <w:rPr>
          <w:szCs w:val="24"/>
          <w:lang w:val="en-AU"/>
        </w:rPr>
        <w:fldChar w:fldCharType="begin"/>
      </w:r>
      <w:r w:rsidR="00C91A24" w:rsidRPr="004E508C">
        <w:rPr>
          <w:szCs w:val="24"/>
          <w:lang w:val="en-AU"/>
        </w:rPr>
        <w:instrText xml:space="preserve"> REF _Ref45269411 \h </w:instrText>
      </w:r>
      <w:r w:rsidR="004A500D" w:rsidRPr="004E508C">
        <w:rPr>
          <w:szCs w:val="24"/>
          <w:lang w:val="en-AU"/>
        </w:rPr>
        <w:instrText xml:space="preserve"> \* MERGEFORMAT </w:instrText>
      </w:r>
      <w:r w:rsidR="00C91A24" w:rsidRPr="004E508C">
        <w:rPr>
          <w:szCs w:val="24"/>
          <w:lang w:val="en-AU"/>
        </w:rPr>
      </w:r>
      <w:r w:rsidR="00C91A24" w:rsidRPr="004E508C">
        <w:rPr>
          <w:szCs w:val="24"/>
          <w:lang w:val="en-AU"/>
        </w:rPr>
        <w:fldChar w:fldCharType="separate"/>
      </w:r>
      <w:r w:rsidR="00C91A24" w:rsidRPr="004E508C">
        <w:rPr>
          <w:lang w:val="en-AU"/>
        </w:rPr>
        <w:t xml:space="preserve">Table </w:t>
      </w:r>
      <w:r w:rsidR="00C91A24" w:rsidRPr="004E508C">
        <w:rPr>
          <w:noProof/>
          <w:lang w:val="en-AU"/>
        </w:rPr>
        <w:t>1</w:t>
      </w:r>
      <w:r w:rsidR="00C91A24" w:rsidRPr="004E508C">
        <w:rPr>
          <w:szCs w:val="24"/>
          <w:lang w:val="en-AU"/>
        </w:rPr>
        <w:fldChar w:fldCharType="end"/>
      </w:r>
      <w:r w:rsidR="00C91A24" w:rsidRPr="004E508C">
        <w:rPr>
          <w:szCs w:val="24"/>
          <w:lang w:val="en-AU"/>
        </w:rPr>
        <w:t xml:space="preserve"> and </w:t>
      </w:r>
      <w:r w:rsidR="00C91A24" w:rsidRPr="004E508C">
        <w:rPr>
          <w:szCs w:val="24"/>
          <w:lang w:val="en-AU"/>
        </w:rPr>
        <w:fldChar w:fldCharType="begin"/>
      </w:r>
      <w:r w:rsidR="00C91A24" w:rsidRPr="004E508C">
        <w:rPr>
          <w:szCs w:val="24"/>
          <w:lang w:val="en-AU"/>
        </w:rPr>
        <w:instrText xml:space="preserve"> REF _Ref45269415 \h </w:instrText>
      </w:r>
      <w:r w:rsidR="004A500D" w:rsidRPr="004E508C">
        <w:rPr>
          <w:szCs w:val="24"/>
          <w:lang w:val="en-AU"/>
        </w:rPr>
        <w:instrText xml:space="preserve"> \* MERGEFORMAT </w:instrText>
      </w:r>
      <w:r w:rsidR="00C91A24" w:rsidRPr="004E508C">
        <w:rPr>
          <w:szCs w:val="24"/>
          <w:lang w:val="en-AU"/>
        </w:rPr>
      </w:r>
      <w:r w:rsidR="00C91A24" w:rsidRPr="004E508C">
        <w:rPr>
          <w:szCs w:val="24"/>
          <w:lang w:val="en-AU"/>
        </w:rPr>
        <w:fldChar w:fldCharType="separate"/>
      </w:r>
      <w:r w:rsidR="00C91A24" w:rsidRPr="004E508C">
        <w:rPr>
          <w:lang w:val="en-AU"/>
        </w:rPr>
        <w:t xml:space="preserve">Table </w:t>
      </w:r>
      <w:r w:rsidR="00C91A24" w:rsidRPr="004E508C">
        <w:rPr>
          <w:noProof/>
          <w:lang w:val="en-AU"/>
        </w:rPr>
        <w:t>2</w:t>
      </w:r>
      <w:r w:rsidR="00C91A24" w:rsidRPr="004E508C">
        <w:rPr>
          <w:szCs w:val="24"/>
          <w:lang w:val="en-AU"/>
        </w:rPr>
        <w:fldChar w:fldCharType="end"/>
      </w:r>
      <w:r w:rsidRPr="004E508C">
        <w:rPr>
          <w:szCs w:val="24"/>
          <w:lang w:val="en-AU"/>
        </w:rPr>
        <w:t>.</w:t>
      </w:r>
    </w:p>
    <w:p w14:paraId="07C41746" w14:textId="77777777" w:rsidR="00A92C81" w:rsidRPr="004E508C" w:rsidRDefault="00A92C81" w:rsidP="005D4503">
      <w:pPr>
        <w:pStyle w:val="C-BodyText"/>
        <w:spacing w:before="0" w:after="0" w:line="240" w:lineRule="auto"/>
        <w:rPr>
          <w:rFonts w:eastAsia="Times New Roman"/>
          <w:szCs w:val="24"/>
          <w:lang w:val="en-AU"/>
        </w:rPr>
      </w:pPr>
    </w:p>
    <w:p w14:paraId="65B53190" w14:textId="73B500CE" w:rsidR="00A92C81" w:rsidRPr="004E508C" w:rsidRDefault="00A92C81" w:rsidP="00A92C81">
      <w:pPr>
        <w:pStyle w:val="C-BodyText"/>
        <w:spacing w:before="0" w:after="0" w:line="240" w:lineRule="auto"/>
        <w:rPr>
          <w:szCs w:val="24"/>
          <w:u w:val="single"/>
          <w:lang w:val="en-AU"/>
        </w:rPr>
      </w:pPr>
      <w:r w:rsidRPr="004E508C">
        <w:rPr>
          <w:szCs w:val="24"/>
          <w:u w:val="single"/>
          <w:lang w:val="en-AU"/>
        </w:rPr>
        <w:t>ENHERTU dose should not be re</w:t>
      </w:r>
      <w:r w:rsidRPr="004E508C">
        <w:rPr>
          <w:szCs w:val="24"/>
          <w:u w:val="single"/>
          <w:lang w:val="en-AU"/>
        </w:rPr>
        <w:noBreakHyphen/>
        <w:t>escalated after a dose reduction is made.</w:t>
      </w:r>
    </w:p>
    <w:p w14:paraId="4A8EA3E9" w14:textId="75B2AEC8" w:rsidR="00A92C81" w:rsidRPr="004E508C" w:rsidRDefault="00A92C81" w:rsidP="00A92C81">
      <w:pPr>
        <w:pStyle w:val="C-BodyText"/>
        <w:spacing w:before="0" w:after="0" w:line="240" w:lineRule="auto"/>
        <w:rPr>
          <w:rFonts w:eastAsia="Times New Roman"/>
          <w:szCs w:val="24"/>
          <w:lang w:val="en-AU"/>
        </w:rPr>
      </w:pPr>
    </w:p>
    <w:p w14:paraId="5619CF6F" w14:textId="01ECE20A" w:rsidR="00A92C81" w:rsidRPr="004E508C" w:rsidRDefault="006D0E84" w:rsidP="006D0E84">
      <w:pPr>
        <w:pStyle w:val="TableTitle"/>
        <w:rPr>
          <w:lang w:val="en-AU"/>
        </w:rPr>
      </w:pPr>
      <w:bookmarkStart w:id="3" w:name="_Ref45269411"/>
      <w:r w:rsidRPr="004E508C">
        <w:rPr>
          <w:lang w:val="en-AU"/>
        </w:rPr>
        <w:t xml:space="preserve">Table </w:t>
      </w:r>
      <w:r w:rsidRPr="004E508C">
        <w:rPr>
          <w:lang w:val="en-AU"/>
        </w:rPr>
        <w:fldChar w:fldCharType="begin"/>
      </w:r>
      <w:r w:rsidRPr="004E508C">
        <w:rPr>
          <w:lang w:val="en-AU"/>
        </w:rPr>
        <w:instrText xml:space="preserve"> SEQ Table \* ARABIC </w:instrText>
      </w:r>
      <w:r w:rsidRPr="004E508C">
        <w:rPr>
          <w:lang w:val="en-AU"/>
        </w:rPr>
        <w:fldChar w:fldCharType="separate"/>
      </w:r>
      <w:r w:rsidR="00E832C6" w:rsidRPr="004E508C">
        <w:rPr>
          <w:noProof/>
          <w:lang w:val="en-AU"/>
        </w:rPr>
        <w:t>1</w:t>
      </w:r>
      <w:r w:rsidRPr="004E508C">
        <w:rPr>
          <w:lang w:val="en-AU"/>
        </w:rPr>
        <w:fldChar w:fldCharType="end"/>
      </w:r>
      <w:bookmarkEnd w:id="3"/>
      <w:r w:rsidRPr="004E508C">
        <w:rPr>
          <w:lang w:val="en-AU"/>
        </w:rPr>
        <w:t>:</w:t>
      </w:r>
      <w:r w:rsidR="00A92C81" w:rsidRPr="004E508C">
        <w:rPr>
          <w:lang w:val="en-AU"/>
        </w:rPr>
        <w:t xml:space="preserve"> Dose Reduction Schedule</w:t>
      </w:r>
    </w:p>
    <w:tbl>
      <w:tblPr>
        <w:tblStyle w:val="TableGrid"/>
        <w:tblW w:w="0" w:type="auto"/>
        <w:tblInd w:w="137" w:type="dxa"/>
        <w:tblLook w:val="04A0" w:firstRow="1" w:lastRow="0" w:firstColumn="1" w:lastColumn="0" w:noHBand="0" w:noVBand="1"/>
      </w:tblPr>
      <w:tblGrid>
        <w:gridCol w:w="3903"/>
        <w:gridCol w:w="3420"/>
      </w:tblGrid>
      <w:tr w:rsidR="00A92C81" w:rsidRPr="004E508C" w14:paraId="0968B450" w14:textId="77777777" w:rsidTr="00B97175">
        <w:trPr>
          <w:cantSplit/>
          <w:tblHeader/>
        </w:trPr>
        <w:tc>
          <w:tcPr>
            <w:tcW w:w="3903" w:type="dxa"/>
            <w:tcBorders>
              <w:top w:val="single" w:sz="4" w:space="0" w:color="000000"/>
              <w:left w:val="single" w:sz="4" w:space="0" w:color="000000"/>
              <w:bottom w:val="single" w:sz="4" w:space="0" w:color="000000"/>
              <w:right w:val="single" w:sz="4" w:space="0" w:color="000000"/>
            </w:tcBorders>
            <w:hideMark/>
          </w:tcPr>
          <w:p w14:paraId="3737A80C" w14:textId="77777777" w:rsidR="00A92C81" w:rsidRPr="004E508C" w:rsidRDefault="00A92C81" w:rsidP="006D0E84">
            <w:pPr>
              <w:pStyle w:val="TableHead"/>
              <w:rPr>
                <w:lang w:val="en-AU"/>
              </w:rPr>
            </w:pPr>
            <w:r w:rsidRPr="004E508C">
              <w:rPr>
                <w:lang w:val="en-AU"/>
              </w:rPr>
              <w:t>Dose Reduction Schedule</w:t>
            </w:r>
          </w:p>
          <w:p w14:paraId="6D369C37" w14:textId="77777777" w:rsidR="00A92C81" w:rsidRPr="004E508C" w:rsidRDefault="00A92C81" w:rsidP="006D0E84">
            <w:pPr>
              <w:pStyle w:val="TableHead"/>
              <w:rPr>
                <w:iCs/>
                <w:lang w:val="en-AU"/>
              </w:rPr>
            </w:pPr>
            <w:r w:rsidRPr="004E508C">
              <w:rPr>
                <w:lang w:val="en-AU"/>
              </w:rPr>
              <w:t>(Starting dose is 5.4 mg/kg.)</w:t>
            </w:r>
          </w:p>
        </w:tc>
        <w:tc>
          <w:tcPr>
            <w:tcW w:w="3420" w:type="dxa"/>
            <w:tcBorders>
              <w:top w:val="single" w:sz="4" w:space="0" w:color="000000"/>
              <w:left w:val="single" w:sz="4" w:space="0" w:color="000000"/>
              <w:bottom w:val="single" w:sz="4" w:space="0" w:color="000000"/>
              <w:right w:val="single" w:sz="4" w:space="0" w:color="000000"/>
            </w:tcBorders>
            <w:hideMark/>
          </w:tcPr>
          <w:p w14:paraId="6313CB3C" w14:textId="15D39EF2" w:rsidR="00A92C81" w:rsidRPr="004E508C" w:rsidRDefault="00A92C81" w:rsidP="006D0E84">
            <w:pPr>
              <w:pStyle w:val="TableHead"/>
              <w:rPr>
                <w:iCs/>
                <w:lang w:val="en-AU"/>
              </w:rPr>
            </w:pPr>
            <w:r w:rsidRPr="004E508C">
              <w:rPr>
                <w:lang w:val="en-AU"/>
              </w:rPr>
              <w:t>Dose to Be Administered</w:t>
            </w:r>
          </w:p>
        </w:tc>
      </w:tr>
      <w:tr w:rsidR="00A92C81" w:rsidRPr="004E508C" w14:paraId="214C9515" w14:textId="77777777" w:rsidTr="00B97175">
        <w:tc>
          <w:tcPr>
            <w:tcW w:w="3903" w:type="dxa"/>
            <w:tcBorders>
              <w:top w:val="single" w:sz="4" w:space="0" w:color="000000"/>
              <w:left w:val="single" w:sz="4" w:space="0" w:color="000000"/>
              <w:bottom w:val="single" w:sz="4" w:space="0" w:color="000000"/>
              <w:right w:val="single" w:sz="4" w:space="0" w:color="000000"/>
            </w:tcBorders>
            <w:hideMark/>
          </w:tcPr>
          <w:p w14:paraId="10DA09AD" w14:textId="77777777" w:rsidR="00A92C81" w:rsidRPr="004E508C" w:rsidRDefault="00A92C81" w:rsidP="00A92C81">
            <w:pPr>
              <w:spacing w:after="0"/>
              <w:rPr>
                <w:b/>
                <w:iCs/>
                <w:lang w:val="en-AU"/>
              </w:rPr>
            </w:pPr>
            <w:r w:rsidRPr="004E508C">
              <w:rPr>
                <w:lang w:val="en-AU"/>
              </w:rPr>
              <w:t>First dose reduction</w:t>
            </w:r>
          </w:p>
        </w:tc>
        <w:tc>
          <w:tcPr>
            <w:tcW w:w="3420" w:type="dxa"/>
            <w:tcBorders>
              <w:top w:val="single" w:sz="4" w:space="0" w:color="000000"/>
              <w:left w:val="single" w:sz="4" w:space="0" w:color="000000"/>
              <w:bottom w:val="single" w:sz="4" w:space="0" w:color="000000"/>
              <w:right w:val="single" w:sz="4" w:space="0" w:color="000000"/>
            </w:tcBorders>
            <w:hideMark/>
          </w:tcPr>
          <w:p w14:paraId="17B1F68F" w14:textId="77777777" w:rsidR="00A92C81" w:rsidRPr="004E508C" w:rsidRDefault="00A92C81" w:rsidP="00A92C81">
            <w:pPr>
              <w:spacing w:after="0"/>
              <w:rPr>
                <w:b/>
                <w:iCs/>
                <w:lang w:val="en-AU"/>
              </w:rPr>
            </w:pPr>
            <w:r w:rsidRPr="004E508C">
              <w:rPr>
                <w:lang w:val="en-AU"/>
              </w:rPr>
              <w:t>4.4</w:t>
            </w:r>
            <w:r w:rsidRPr="004E508C">
              <w:rPr>
                <w:rFonts w:cs="Arial"/>
                <w:szCs w:val="20"/>
                <w:lang w:val="en-AU"/>
              </w:rPr>
              <w:t> </w:t>
            </w:r>
            <w:r w:rsidRPr="004E508C">
              <w:rPr>
                <w:lang w:val="en-AU"/>
              </w:rPr>
              <w:t>mg/kg</w:t>
            </w:r>
          </w:p>
        </w:tc>
      </w:tr>
      <w:tr w:rsidR="00A92C81" w:rsidRPr="004E508C" w14:paraId="1C366B55" w14:textId="77777777" w:rsidTr="00B97175">
        <w:tc>
          <w:tcPr>
            <w:tcW w:w="3903" w:type="dxa"/>
            <w:tcBorders>
              <w:top w:val="single" w:sz="4" w:space="0" w:color="000000"/>
              <w:left w:val="single" w:sz="4" w:space="0" w:color="000000"/>
              <w:bottom w:val="single" w:sz="4" w:space="0" w:color="000000"/>
              <w:right w:val="single" w:sz="4" w:space="0" w:color="000000"/>
            </w:tcBorders>
            <w:hideMark/>
          </w:tcPr>
          <w:p w14:paraId="120004E6" w14:textId="77777777" w:rsidR="00A92C81" w:rsidRPr="004E508C" w:rsidRDefault="00A92C81" w:rsidP="00A92C81">
            <w:pPr>
              <w:spacing w:after="0"/>
              <w:rPr>
                <w:rFonts w:eastAsiaTheme="minorHAnsi"/>
                <w:lang w:val="en-AU"/>
              </w:rPr>
            </w:pPr>
            <w:r w:rsidRPr="004E508C">
              <w:rPr>
                <w:lang w:val="en-AU"/>
              </w:rPr>
              <w:t>Second dose reduction</w:t>
            </w:r>
          </w:p>
        </w:tc>
        <w:tc>
          <w:tcPr>
            <w:tcW w:w="3420" w:type="dxa"/>
            <w:tcBorders>
              <w:top w:val="single" w:sz="4" w:space="0" w:color="000000"/>
              <w:left w:val="single" w:sz="4" w:space="0" w:color="000000"/>
              <w:bottom w:val="single" w:sz="4" w:space="0" w:color="000000"/>
              <w:right w:val="single" w:sz="4" w:space="0" w:color="000000"/>
            </w:tcBorders>
            <w:hideMark/>
          </w:tcPr>
          <w:p w14:paraId="25C89CDC" w14:textId="77777777" w:rsidR="00A92C81" w:rsidRPr="004E508C" w:rsidRDefault="00A92C81" w:rsidP="00A92C81">
            <w:pPr>
              <w:spacing w:after="0"/>
              <w:rPr>
                <w:lang w:val="en-AU"/>
              </w:rPr>
            </w:pPr>
            <w:r w:rsidRPr="004E508C">
              <w:rPr>
                <w:lang w:val="en-AU"/>
              </w:rPr>
              <w:t>3.2 mg/kg</w:t>
            </w:r>
          </w:p>
        </w:tc>
      </w:tr>
      <w:tr w:rsidR="00A92C81" w:rsidRPr="004E508C" w14:paraId="15E1F69B" w14:textId="77777777" w:rsidTr="00B97175">
        <w:tc>
          <w:tcPr>
            <w:tcW w:w="3903" w:type="dxa"/>
            <w:tcBorders>
              <w:top w:val="single" w:sz="4" w:space="0" w:color="000000"/>
              <w:left w:val="single" w:sz="4" w:space="0" w:color="000000"/>
              <w:bottom w:val="single" w:sz="4" w:space="0" w:color="000000"/>
              <w:right w:val="single" w:sz="4" w:space="0" w:color="000000"/>
            </w:tcBorders>
            <w:hideMark/>
          </w:tcPr>
          <w:p w14:paraId="6EC05353" w14:textId="77777777" w:rsidR="00A92C81" w:rsidRPr="004E508C" w:rsidRDefault="00A92C81" w:rsidP="00A92C81">
            <w:pPr>
              <w:spacing w:after="0"/>
              <w:rPr>
                <w:lang w:val="en-AU"/>
              </w:rPr>
            </w:pPr>
            <w:r w:rsidRPr="004E508C">
              <w:rPr>
                <w:lang w:val="en-AU"/>
              </w:rPr>
              <w:t>Requirement for further dose reduction</w:t>
            </w:r>
          </w:p>
        </w:tc>
        <w:tc>
          <w:tcPr>
            <w:tcW w:w="3420" w:type="dxa"/>
            <w:tcBorders>
              <w:top w:val="single" w:sz="4" w:space="0" w:color="000000"/>
              <w:left w:val="single" w:sz="4" w:space="0" w:color="000000"/>
              <w:bottom w:val="single" w:sz="4" w:space="0" w:color="000000"/>
              <w:right w:val="single" w:sz="4" w:space="0" w:color="000000"/>
            </w:tcBorders>
            <w:hideMark/>
          </w:tcPr>
          <w:p w14:paraId="634980E0" w14:textId="77777777" w:rsidR="00A92C81" w:rsidRPr="004E508C" w:rsidRDefault="00A92C81" w:rsidP="00A92C81">
            <w:pPr>
              <w:spacing w:after="0"/>
              <w:rPr>
                <w:lang w:val="en-AU"/>
              </w:rPr>
            </w:pPr>
            <w:r w:rsidRPr="004E508C">
              <w:rPr>
                <w:lang w:val="en-AU"/>
              </w:rPr>
              <w:t>Discontinue treatment.</w:t>
            </w:r>
          </w:p>
        </w:tc>
      </w:tr>
    </w:tbl>
    <w:p w14:paraId="62E824F7" w14:textId="6CC76E5F" w:rsidR="00A92C81" w:rsidRPr="004E508C" w:rsidRDefault="00A92C81" w:rsidP="005D4503">
      <w:pPr>
        <w:pStyle w:val="C-BodyText"/>
        <w:spacing w:before="0" w:after="0" w:line="240" w:lineRule="auto"/>
        <w:rPr>
          <w:rFonts w:eastAsia="Times New Roman"/>
          <w:szCs w:val="24"/>
          <w:lang w:val="en-AU"/>
        </w:rPr>
      </w:pPr>
    </w:p>
    <w:p w14:paraId="39E227C6" w14:textId="77777777" w:rsidR="0099742B" w:rsidRPr="004E508C" w:rsidRDefault="0099742B" w:rsidP="005D4503">
      <w:pPr>
        <w:pStyle w:val="C-BodyText"/>
        <w:spacing w:before="0" w:after="0" w:line="240" w:lineRule="auto"/>
        <w:rPr>
          <w:rFonts w:eastAsia="Times New Roman"/>
          <w:szCs w:val="24"/>
          <w:lang w:val="en-AU"/>
        </w:rPr>
      </w:pPr>
    </w:p>
    <w:p w14:paraId="0CA75278" w14:textId="76371C29" w:rsidR="0099742B" w:rsidRPr="004E508C" w:rsidRDefault="006D0E84" w:rsidP="00B97175">
      <w:pPr>
        <w:pStyle w:val="TableTitle"/>
        <w:rPr>
          <w:bCs/>
          <w:szCs w:val="20"/>
          <w:lang w:val="en-AU"/>
        </w:rPr>
      </w:pPr>
      <w:bookmarkStart w:id="4" w:name="_Ref45269415"/>
      <w:r w:rsidRPr="004E508C">
        <w:rPr>
          <w:lang w:val="en-AU"/>
        </w:rPr>
        <w:t xml:space="preserve">Table </w:t>
      </w:r>
      <w:r w:rsidRPr="004E508C">
        <w:rPr>
          <w:lang w:val="en-AU"/>
        </w:rPr>
        <w:fldChar w:fldCharType="begin"/>
      </w:r>
      <w:r w:rsidRPr="004E508C">
        <w:rPr>
          <w:lang w:val="en-AU"/>
        </w:rPr>
        <w:instrText xml:space="preserve"> SEQ Table \* ARABIC </w:instrText>
      </w:r>
      <w:r w:rsidRPr="004E508C">
        <w:rPr>
          <w:lang w:val="en-AU"/>
        </w:rPr>
        <w:fldChar w:fldCharType="separate"/>
      </w:r>
      <w:r w:rsidR="00E832C6" w:rsidRPr="004E508C">
        <w:rPr>
          <w:noProof/>
          <w:lang w:val="en-AU"/>
        </w:rPr>
        <w:t>2</w:t>
      </w:r>
      <w:r w:rsidRPr="004E508C">
        <w:rPr>
          <w:lang w:val="en-AU"/>
        </w:rPr>
        <w:fldChar w:fldCharType="end"/>
      </w:r>
      <w:bookmarkEnd w:id="4"/>
      <w:r w:rsidR="0099742B" w:rsidRPr="004E508C">
        <w:rPr>
          <w:lang w:val="en-AU"/>
        </w:rPr>
        <w:t>: Dose Modifications for Adverse Reactions</w:t>
      </w:r>
    </w:p>
    <w:tbl>
      <w:tblPr>
        <w:tblStyle w:val="TableGrid"/>
        <w:tblW w:w="9349" w:type="dxa"/>
        <w:jc w:val="center"/>
        <w:tblLook w:val="04A0" w:firstRow="1" w:lastRow="0" w:firstColumn="1" w:lastColumn="0" w:noHBand="0" w:noVBand="1"/>
      </w:tblPr>
      <w:tblGrid>
        <w:gridCol w:w="3119"/>
        <w:gridCol w:w="1554"/>
        <w:gridCol w:w="1539"/>
        <w:gridCol w:w="3137"/>
      </w:tblGrid>
      <w:tr w:rsidR="0099742B" w:rsidRPr="004E508C" w14:paraId="5CE2E82D" w14:textId="77777777" w:rsidTr="00B97175">
        <w:trPr>
          <w:trHeight w:val="20"/>
          <w:tblHeader/>
          <w:jc w:val="center"/>
        </w:trPr>
        <w:tc>
          <w:tcPr>
            <w:tcW w:w="3119" w:type="dxa"/>
          </w:tcPr>
          <w:p w14:paraId="0A13849D" w14:textId="77777777" w:rsidR="0099742B" w:rsidRPr="004E508C" w:rsidRDefault="0099742B" w:rsidP="006D0E84">
            <w:pPr>
              <w:pStyle w:val="TableHead"/>
              <w:rPr>
                <w:lang w:val="en-AU"/>
              </w:rPr>
            </w:pPr>
            <w:bookmarkStart w:id="5" w:name="_Hlk32482427"/>
            <w:r w:rsidRPr="004E508C">
              <w:rPr>
                <w:lang w:val="en-AU"/>
              </w:rPr>
              <w:t>Adverse Reaction</w:t>
            </w:r>
          </w:p>
        </w:tc>
        <w:tc>
          <w:tcPr>
            <w:tcW w:w="3093" w:type="dxa"/>
            <w:gridSpan w:val="2"/>
            <w:vAlign w:val="center"/>
          </w:tcPr>
          <w:p w14:paraId="29D3254C" w14:textId="01A5702B" w:rsidR="0099742B" w:rsidRPr="004E508C" w:rsidRDefault="0099742B" w:rsidP="006D0E84">
            <w:pPr>
              <w:pStyle w:val="TableHead"/>
              <w:rPr>
                <w:vertAlign w:val="superscript"/>
                <w:lang w:val="en-AU"/>
              </w:rPr>
            </w:pPr>
            <w:r w:rsidRPr="004E508C">
              <w:rPr>
                <w:lang w:val="en-AU"/>
              </w:rPr>
              <w:t>Severity</w:t>
            </w:r>
          </w:p>
        </w:tc>
        <w:tc>
          <w:tcPr>
            <w:tcW w:w="3137" w:type="dxa"/>
            <w:vAlign w:val="center"/>
          </w:tcPr>
          <w:p w14:paraId="244A992C" w14:textId="77777777" w:rsidR="0099742B" w:rsidRPr="004E508C" w:rsidRDefault="0099742B" w:rsidP="006D0E84">
            <w:pPr>
              <w:pStyle w:val="TableHead"/>
              <w:rPr>
                <w:lang w:val="en-AU"/>
              </w:rPr>
            </w:pPr>
            <w:r w:rsidRPr="004E508C">
              <w:rPr>
                <w:lang w:val="en-AU"/>
              </w:rPr>
              <w:t>Treatment Modification</w:t>
            </w:r>
          </w:p>
        </w:tc>
      </w:tr>
      <w:tr w:rsidR="0099742B" w:rsidRPr="004E508C" w14:paraId="6683F3CF" w14:textId="77777777" w:rsidTr="00B97175">
        <w:trPr>
          <w:trHeight w:val="20"/>
          <w:jc w:val="center"/>
        </w:trPr>
        <w:tc>
          <w:tcPr>
            <w:tcW w:w="3119" w:type="dxa"/>
            <w:vMerge w:val="restart"/>
          </w:tcPr>
          <w:p w14:paraId="07F1F339" w14:textId="77A84F34" w:rsidR="0099742B" w:rsidRPr="004E508C" w:rsidRDefault="0099742B" w:rsidP="00AC4631">
            <w:pPr>
              <w:spacing w:after="0"/>
              <w:rPr>
                <w:iCs/>
                <w:lang w:val="en-AU"/>
              </w:rPr>
            </w:pPr>
            <w:r w:rsidRPr="004E508C">
              <w:rPr>
                <w:iCs/>
                <w:lang w:val="en-AU"/>
              </w:rPr>
              <w:t>Interstitial Lung Disease (ILD)/Pneumonitis</w:t>
            </w:r>
          </w:p>
        </w:tc>
        <w:tc>
          <w:tcPr>
            <w:tcW w:w="3093" w:type="dxa"/>
            <w:gridSpan w:val="2"/>
          </w:tcPr>
          <w:p w14:paraId="42EE12CA" w14:textId="6A78546B" w:rsidR="0099742B" w:rsidRPr="004E508C" w:rsidDel="00AE469A" w:rsidRDefault="0099742B" w:rsidP="00AC4631">
            <w:pPr>
              <w:spacing w:after="0"/>
              <w:rPr>
                <w:iCs/>
                <w:lang w:val="en-AU"/>
              </w:rPr>
            </w:pPr>
            <w:r w:rsidRPr="004E508C">
              <w:rPr>
                <w:iCs/>
                <w:lang w:val="en-AU"/>
              </w:rPr>
              <w:t>Asymptomatic ILD/Pneumonitis (Grade</w:t>
            </w:r>
            <w:r w:rsidRPr="004E508C">
              <w:rPr>
                <w:rFonts w:cs="Arial"/>
                <w:szCs w:val="20"/>
                <w:lang w:val="en-AU"/>
              </w:rPr>
              <w:t> </w:t>
            </w:r>
            <w:r w:rsidRPr="004E508C">
              <w:rPr>
                <w:iCs/>
                <w:lang w:val="en-AU"/>
              </w:rPr>
              <w:t>1)</w:t>
            </w:r>
          </w:p>
        </w:tc>
        <w:tc>
          <w:tcPr>
            <w:tcW w:w="3137" w:type="dxa"/>
          </w:tcPr>
          <w:p w14:paraId="4253B00A" w14:textId="5232004F" w:rsidR="0099742B" w:rsidRPr="004E508C" w:rsidRDefault="0099742B" w:rsidP="00AC4631">
            <w:pPr>
              <w:spacing w:after="0"/>
              <w:rPr>
                <w:iCs/>
                <w:lang w:val="en-AU"/>
              </w:rPr>
            </w:pPr>
            <w:r w:rsidRPr="004E508C">
              <w:rPr>
                <w:iCs/>
                <w:lang w:val="en-AU"/>
              </w:rPr>
              <w:t xml:space="preserve">Interrupt </w:t>
            </w:r>
            <w:r w:rsidR="007D4129" w:rsidRPr="004E508C">
              <w:rPr>
                <w:iCs/>
                <w:lang w:val="en-AU"/>
              </w:rPr>
              <w:t>ENHERTU</w:t>
            </w:r>
            <w:r w:rsidRPr="004E508C">
              <w:rPr>
                <w:iCs/>
                <w:lang w:val="en-AU"/>
              </w:rPr>
              <w:t xml:space="preserve"> until resolved to Grade 0, then:</w:t>
            </w:r>
          </w:p>
          <w:p w14:paraId="1F95559D" w14:textId="77777777" w:rsidR="0099742B" w:rsidRPr="004E508C" w:rsidRDefault="0099742B" w:rsidP="00FA0F0A">
            <w:pPr>
              <w:numPr>
                <w:ilvl w:val="0"/>
                <w:numId w:val="16"/>
              </w:numPr>
              <w:spacing w:after="0"/>
              <w:rPr>
                <w:iCs/>
                <w:lang w:val="en-AU"/>
              </w:rPr>
            </w:pPr>
            <w:r w:rsidRPr="004E508C">
              <w:rPr>
                <w:iCs/>
                <w:lang w:val="en-AU"/>
              </w:rPr>
              <w:t>if resolved in 28</w:t>
            </w:r>
            <w:r w:rsidRPr="004E508C">
              <w:rPr>
                <w:rFonts w:cs="Arial"/>
                <w:szCs w:val="20"/>
                <w:lang w:val="en-AU"/>
              </w:rPr>
              <w:t> </w:t>
            </w:r>
            <w:r w:rsidRPr="004E508C">
              <w:rPr>
                <w:iCs/>
                <w:lang w:val="en-AU"/>
              </w:rPr>
              <w:t>days or less from date of onset, maintain dose.</w:t>
            </w:r>
          </w:p>
          <w:p w14:paraId="3F0223AE" w14:textId="361582C5" w:rsidR="0099742B" w:rsidRPr="004E508C" w:rsidRDefault="0099742B" w:rsidP="00FA0F0A">
            <w:pPr>
              <w:numPr>
                <w:ilvl w:val="0"/>
                <w:numId w:val="16"/>
              </w:numPr>
              <w:spacing w:after="0"/>
              <w:rPr>
                <w:iCs/>
                <w:lang w:val="en-AU"/>
              </w:rPr>
            </w:pPr>
            <w:r w:rsidRPr="004E508C">
              <w:rPr>
                <w:iCs/>
                <w:lang w:val="en-AU"/>
              </w:rPr>
              <w:t>if resolved in greater than 28</w:t>
            </w:r>
            <w:r w:rsidRPr="004E508C">
              <w:rPr>
                <w:rFonts w:cs="Arial"/>
                <w:szCs w:val="20"/>
                <w:lang w:val="en-AU"/>
              </w:rPr>
              <w:t> </w:t>
            </w:r>
            <w:r w:rsidRPr="004E508C">
              <w:rPr>
                <w:iCs/>
                <w:lang w:val="en-AU"/>
              </w:rPr>
              <w:t xml:space="preserve">days from date of onset, reduce dose one level (see </w:t>
            </w:r>
            <w:r w:rsidR="00DA27AC" w:rsidRPr="004E508C">
              <w:rPr>
                <w:iCs/>
                <w:lang w:val="en-AU"/>
              </w:rPr>
              <w:fldChar w:fldCharType="begin"/>
            </w:r>
            <w:r w:rsidR="00DA27AC" w:rsidRPr="004E508C">
              <w:rPr>
                <w:iCs/>
                <w:lang w:val="en-AU"/>
              </w:rPr>
              <w:instrText xml:space="preserve"> REF _Ref45269411 \h </w:instrText>
            </w:r>
            <w:r w:rsidR="00DA27AC" w:rsidRPr="004E508C">
              <w:rPr>
                <w:iCs/>
                <w:lang w:val="en-AU"/>
              </w:rPr>
            </w:r>
            <w:r w:rsidR="00DA27AC" w:rsidRPr="004E508C">
              <w:rPr>
                <w:iCs/>
                <w:lang w:val="en-AU"/>
              </w:rPr>
              <w:fldChar w:fldCharType="separate"/>
            </w:r>
            <w:r w:rsidR="00DA27AC" w:rsidRPr="004E508C">
              <w:rPr>
                <w:lang w:val="en-AU"/>
              </w:rPr>
              <w:t xml:space="preserve">Table </w:t>
            </w:r>
            <w:r w:rsidR="00DA27AC" w:rsidRPr="004E508C">
              <w:rPr>
                <w:noProof/>
                <w:lang w:val="en-AU"/>
              </w:rPr>
              <w:t>1</w:t>
            </w:r>
            <w:r w:rsidR="00DA27AC" w:rsidRPr="004E508C">
              <w:rPr>
                <w:iCs/>
                <w:lang w:val="en-AU"/>
              </w:rPr>
              <w:fldChar w:fldCharType="end"/>
            </w:r>
            <w:r w:rsidRPr="004E508C">
              <w:rPr>
                <w:iCs/>
                <w:lang w:val="en-AU"/>
              </w:rPr>
              <w:t>).</w:t>
            </w:r>
          </w:p>
          <w:p w14:paraId="501F942A" w14:textId="2375307E" w:rsidR="0099742B" w:rsidRPr="004E508C" w:rsidRDefault="0099742B" w:rsidP="00FA0F0A">
            <w:pPr>
              <w:numPr>
                <w:ilvl w:val="0"/>
                <w:numId w:val="16"/>
              </w:numPr>
              <w:spacing w:after="0"/>
              <w:rPr>
                <w:iCs/>
                <w:lang w:val="en-AU"/>
              </w:rPr>
            </w:pPr>
            <w:r w:rsidRPr="004E508C">
              <w:rPr>
                <w:iCs/>
                <w:lang w:val="en-AU"/>
              </w:rPr>
              <w:t xml:space="preserve">consider corticosteroid treatment as soon as ILD/pneumonitis is suspected (see </w:t>
            </w:r>
            <w:r w:rsidR="007A3519" w:rsidRPr="004E508C">
              <w:rPr>
                <w:iCs/>
                <w:lang w:val="en-AU"/>
              </w:rPr>
              <w:t>S</w:t>
            </w:r>
            <w:r w:rsidRPr="004E508C">
              <w:rPr>
                <w:iCs/>
                <w:lang w:val="en-AU"/>
              </w:rPr>
              <w:t>ection 4.4</w:t>
            </w:r>
            <w:r w:rsidR="00DA27AC" w:rsidRPr="004E508C">
              <w:rPr>
                <w:iCs/>
                <w:lang w:val="en-AU"/>
              </w:rPr>
              <w:t xml:space="preserve"> Special warnings and precautions for us</w:t>
            </w:r>
            <w:r w:rsidR="00F64F5C" w:rsidRPr="004E508C">
              <w:rPr>
                <w:iCs/>
                <w:lang w:val="en-AU"/>
              </w:rPr>
              <w:t>e</w:t>
            </w:r>
            <w:r w:rsidR="00DA27AC" w:rsidRPr="004E508C">
              <w:rPr>
                <w:iCs/>
                <w:lang w:val="en-AU"/>
              </w:rPr>
              <w:t xml:space="preserve">/ </w:t>
            </w:r>
            <w:r w:rsidR="00DA27AC" w:rsidRPr="004E508C">
              <w:rPr>
                <w:i/>
                <w:lang w:val="en-AU"/>
              </w:rPr>
              <w:t>Interstitial lung disease/pneumonitis</w:t>
            </w:r>
            <w:r w:rsidRPr="004E508C">
              <w:rPr>
                <w:iCs/>
                <w:lang w:val="en-AU"/>
              </w:rPr>
              <w:t>).</w:t>
            </w:r>
          </w:p>
        </w:tc>
      </w:tr>
      <w:tr w:rsidR="0099742B" w:rsidRPr="004E508C" w14:paraId="22AD71C7" w14:textId="77777777" w:rsidTr="00B97175">
        <w:trPr>
          <w:trHeight w:val="20"/>
          <w:jc w:val="center"/>
        </w:trPr>
        <w:tc>
          <w:tcPr>
            <w:tcW w:w="3119" w:type="dxa"/>
            <w:vMerge/>
          </w:tcPr>
          <w:p w14:paraId="6F2D4342" w14:textId="77777777" w:rsidR="0099742B" w:rsidRPr="004E508C" w:rsidRDefault="0099742B" w:rsidP="00AC4631">
            <w:pPr>
              <w:spacing w:after="0"/>
              <w:rPr>
                <w:iCs/>
                <w:lang w:val="en-AU"/>
              </w:rPr>
            </w:pPr>
          </w:p>
        </w:tc>
        <w:tc>
          <w:tcPr>
            <w:tcW w:w="3093" w:type="dxa"/>
            <w:gridSpan w:val="2"/>
          </w:tcPr>
          <w:p w14:paraId="367A2CDE" w14:textId="77777777" w:rsidR="0099742B" w:rsidRPr="004E508C" w:rsidRDefault="0099742B" w:rsidP="00AC4631">
            <w:pPr>
              <w:spacing w:after="0"/>
              <w:rPr>
                <w:iCs/>
                <w:lang w:val="en-AU"/>
              </w:rPr>
            </w:pPr>
            <w:r w:rsidRPr="004E508C">
              <w:rPr>
                <w:iCs/>
                <w:lang w:val="en-AU"/>
              </w:rPr>
              <w:t>Symptomatic ILD/Pneumonitis (Grade</w:t>
            </w:r>
            <w:r w:rsidRPr="004E508C">
              <w:rPr>
                <w:rFonts w:cs="Arial"/>
                <w:szCs w:val="20"/>
                <w:lang w:val="en-AU"/>
              </w:rPr>
              <w:t> </w:t>
            </w:r>
            <w:r w:rsidRPr="004E508C">
              <w:rPr>
                <w:iCs/>
                <w:lang w:val="en-AU"/>
              </w:rPr>
              <w:t>2 or greater)</w:t>
            </w:r>
          </w:p>
          <w:p w14:paraId="08181E16" w14:textId="77777777" w:rsidR="0099742B" w:rsidRPr="004E508C" w:rsidRDefault="0099742B" w:rsidP="00AC4631">
            <w:pPr>
              <w:spacing w:after="0"/>
              <w:rPr>
                <w:iCs/>
                <w:lang w:val="en-AU"/>
              </w:rPr>
            </w:pPr>
          </w:p>
        </w:tc>
        <w:tc>
          <w:tcPr>
            <w:tcW w:w="3137" w:type="dxa"/>
          </w:tcPr>
          <w:p w14:paraId="2046F8E0" w14:textId="696758EB" w:rsidR="0099742B" w:rsidRPr="004E508C" w:rsidRDefault="0099742B" w:rsidP="00FA0F0A">
            <w:pPr>
              <w:numPr>
                <w:ilvl w:val="0"/>
                <w:numId w:val="22"/>
              </w:numPr>
              <w:spacing w:after="0"/>
              <w:rPr>
                <w:iCs/>
                <w:lang w:val="en-AU"/>
              </w:rPr>
            </w:pPr>
            <w:r w:rsidRPr="004E508C">
              <w:rPr>
                <w:iCs/>
                <w:lang w:val="en-AU"/>
              </w:rPr>
              <w:lastRenderedPageBreak/>
              <w:t xml:space="preserve">Permanently discontinue </w:t>
            </w:r>
            <w:r w:rsidR="00CB016B" w:rsidRPr="004E508C">
              <w:rPr>
                <w:iCs/>
                <w:lang w:val="en-AU"/>
              </w:rPr>
              <w:t>ENHERTU</w:t>
            </w:r>
            <w:r w:rsidRPr="004E508C">
              <w:rPr>
                <w:iCs/>
                <w:lang w:val="en-AU"/>
              </w:rPr>
              <w:t>.</w:t>
            </w:r>
          </w:p>
          <w:p w14:paraId="5DC67CC5" w14:textId="51DCECCC" w:rsidR="0099742B" w:rsidRPr="004E508C" w:rsidRDefault="0099742B" w:rsidP="00FA0F0A">
            <w:pPr>
              <w:pStyle w:val="ListParagraph"/>
              <w:numPr>
                <w:ilvl w:val="0"/>
                <w:numId w:val="22"/>
              </w:numPr>
              <w:spacing w:after="0"/>
              <w:contextualSpacing w:val="0"/>
              <w:rPr>
                <w:iCs/>
                <w:lang w:val="en-AU"/>
              </w:rPr>
            </w:pPr>
            <w:r w:rsidRPr="004E508C">
              <w:rPr>
                <w:iCs/>
                <w:lang w:val="en-AU"/>
              </w:rPr>
              <w:lastRenderedPageBreak/>
              <w:t>Promptly initiate corticosteroid treatment as soon as ILD/pneumonitis is suspected (</w:t>
            </w:r>
            <w:r w:rsidR="00E13D80" w:rsidRPr="004E508C">
              <w:rPr>
                <w:iCs/>
                <w:lang w:val="en-AU"/>
              </w:rPr>
              <w:t xml:space="preserve">see </w:t>
            </w:r>
            <w:r w:rsidR="007A3519" w:rsidRPr="004E508C">
              <w:rPr>
                <w:iCs/>
                <w:lang w:val="en-AU"/>
              </w:rPr>
              <w:t>S</w:t>
            </w:r>
            <w:r w:rsidR="00E13D80" w:rsidRPr="004E508C">
              <w:rPr>
                <w:iCs/>
                <w:lang w:val="en-AU"/>
              </w:rPr>
              <w:t>ection 4.4 Special warnings and precautions for us</w:t>
            </w:r>
            <w:r w:rsidR="00F64F5C" w:rsidRPr="004E508C">
              <w:rPr>
                <w:iCs/>
                <w:lang w:val="en-AU"/>
              </w:rPr>
              <w:t>e</w:t>
            </w:r>
            <w:r w:rsidR="00E13D80" w:rsidRPr="004E508C">
              <w:rPr>
                <w:iCs/>
                <w:lang w:val="en-AU"/>
              </w:rPr>
              <w:t xml:space="preserve">/ </w:t>
            </w:r>
            <w:r w:rsidR="00E13D80" w:rsidRPr="004E508C">
              <w:rPr>
                <w:i/>
                <w:lang w:val="en-AU"/>
              </w:rPr>
              <w:t>Interstitial lung disease/pneumonitis</w:t>
            </w:r>
            <w:r w:rsidRPr="004E508C">
              <w:rPr>
                <w:iCs/>
                <w:lang w:val="en-AU"/>
              </w:rPr>
              <w:t>).</w:t>
            </w:r>
            <w:r w:rsidRPr="004E508C" w:rsidDel="00424A5E">
              <w:rPr>
                <w:rStyle w:val="CommentReference"/>
                <w:lang w:val="en-AU"/>
              </w:rPr>
              <w:t xml:space="preserve"> </w:t>
            </w:r>
          </w:p>
        </w:tc>
      </w:tr>
      <w:tr w:rsidR="0099742B" w:rsidRPr="004E508C" w14:paraId="4A8D18B6" w14:textId="77777777" w:rsidTr="00B97175">
        <w:trPr>
          <w:trHeight w:val="20"/>
          <w:jc w:val="center"/>
        </w:trPr>
        <w:tc>
          <w:tcPr>
            <w:tcW w:w="3119" w:type="dxa"/>
            <w:vMerge w:val="restart"/>
          </w:tcPr>
          <w:p w14:paraId="72F29B75" w14:textId="0EF3793A" w:rsidR="0099742B" w:rsidRPr="004E508C" w:rsidRDefault="0099742B" w:rsidP="00AC4631">
            <w:pPr>
              <w:spacing w:after="0"/>
              <w:rPr>
                <w:iCs/>
                <w:lang w:val="en-AU"/>
              </w:rPr>
            </w:pPr>
            <w:r w:rsidRPr="004E508C">
              <w:rPr>
                <w:iCs/>
                <w:lang w:val="en-AU"/>
              </w:rPr>
              <w:lastRenderedPageBreak/>
              <w:t>Neutropenia</w:t>
            </w:r>
          </w:p>
        </w:tc>
        <w:tc>
          <w:tcPr>
            <w:tcW w:w="3093" w:type="dxa"/>
            <w:gridSpan w:val="2"/>
          </w:tcPr>
          <w:p w14:paraId="6042D23C" w14:textId="77777777" w:rsidR="0099742B" w:rsidRPr="004E508C" w:rsidRDefault="0099742B" w:rsidP="00AC4631">
            <w:pPr>
              <w:spacing w:after="0"/>
              <w:rPr>
                <w:iCs/>
                <w:lang w:val="en-AU"/>
              </w:rPr>
            </w:pPr>
            <w:r w:rsidRPr="004E508C">
              <w:rPr>
                <w:iCs/>
                <w:lang w:val="en-AU"/>
              </w:rPr>
              <w:t>Grade</w:t>
            </w:r>
            <w:r w:rsidRPr="004E508C">
              <w:rPr>
                <w:rFonts w:cs="Arial"/>
                <w:szCs w:val="20"/>
                <w:lang w:val="en-AU"/>
              </w:rPr>
              <w:t> </w:t>
            </w:r>
            <w:r w:rsidRPr="004E508C">
              <w:rPr>
                <w:iCs/>
                <w:lang w:val="en-AU"/>
              </w:rPr>
              <w:t>3 (less than 1.0</w:t>
            </w:r>
            <w:r w:rsidRPr="004E508C">
              <w:rPr>
                <w:iCs/>
                <w:lang w:val="en-AU"/>
              </w:rPr>
              <w:noBreakHyphen/>
              <w:t>0.5</w:t>
            </w:r>
            <w:r w:rsidRPr="004E508C">
              <w:rPr>
                <w:rFonts w:cs="Arial"/>
                <w:szCs w:val="20"/>
                <w:lang w:val="en-AU"/>
              </w:rPr>
              <w:t> </w:t>
            </w:r>
            <w:r w:rsidRPr="004E508C" w:rsidDel="004300DF">
              <w:rPr>
                <w:iCs/>
                <w:lang w:val="en-AU"/>
              </w:rPr>
              <w:t>x</w:t>
            </w:r>
            <w:r w:rsidRPr="004E508C">
              <w:rPr>
                <w:rFonts w:cs="Arial"/>
                <w:szCs w:val="20"/>
                <w:lang w:val="en-AU"/>
              </w:rPr>
              <w:t> </w:t>
            </w:r>
            <w:r w:rsidRPr="004E508C">
              <w:rPr>
                <w:iCs/>
                <w:lang w:val="en-AU"/>
              </w:rPr>
              <w:t>10</w:t>
            </w:r>
            <w:r w:rsidRPr="004E508C">
              <w:rPr>
                <w:iCs/>
                <w:vertAlign w:val="superscript"/>
                <w:lang w:val="en-AU"/>
              </w:rPr>
              <w:t>9</w:t>
            </w:r>
            <w:r w:rsidRPr="004E508C">
              <w:rPr>
                <w:iCs/>
                <w:lang w:val="en-AU"/>
              </w:rPr>
              <w:t>/L)</w:t>
            </w:r>
          </w:p>
        </w:tc>
        <w:tc>
          <w:tcPr>
            <w:tcW w:w="3137" w:type="dxa"/>
          </w:tcPr>
          <w:p w14:paraId="7E883603" w14:textId="6A0C8C87" w:rsidR="0099742B" w:rsidRPr="004E508C" w:rsidRDefault="0099742B" w:rsidP="00FA0F0A">
            <w:pPr>
              <w:numPr>
                <w:ilvl w:val="0"/>
                <w:numId w:val="21"/>
              </w:numPr>
              <w:spacing w:after="0"/>
              <w:rPr>
                <w:iCs/>
                <w:lang w:val="en-AU"/>
              </w:rPr>
            </w:pPr>
            <w:r w:rsidRPr="004E508C">
              <w:rPr>
                <w:iCs/>
                <w:lang w:val="en-AU"/>
              </w:rPr>
              <w:t xml:space="preserve">Interrupt </w:t>
            </w:r>
            <w:r w:rsidR="00CB016B" w:rsidRPr="004E508C">
              <w:rPr>
                <w:iCs/>
                <w:lang w:val="en-AU"/>
              </w:rPr>
              <w:t>ENHERTU</w:t>
            </w:r>
            <w:r w:rsidRPr="004E508C">
              <w:rPr>
                <w:iCs/>
                <w:lang w:val="en-AU"/>
              </w:rPr>
              <w:t xml:space="preserve"> until resolved to Grade</w:t>
            </w:r>
            <w:r w:rsidRPr="004E508C">
              <w:rPr>
                <w:rFonts w:cs="Arial"/>
                <w:szCs w:val="20"/>
                <w:lang w:val="en-AU"/>
              </w:rPr>
              <w:t> </w:t>
            </w:r>
            <w:r w:rsidRPr="004E508C">
              <w:rPr>
                <w:iCs/>
                <w:lang w:val="en-AU"/>
              </w:rPr>
              <w:t>2 or less, then maintain dose.</w:t>
            </w:r>
          </w:p>
        </w:tc>
      </w:tr>
      <w:tr w:rsidR="0099742B" w:rsidRPr="004E508C" w14:paraId="536F99EA" w14:textId="77777777" w:rsidTr="00B97175">
        <w:trPr>
          <w:trHeight w:val="20"/>
          <w:jc w:val="center"/>
        </w:trPr>
        <w:tc>
          <w:tcPr>
            <w:tcW w:w="3119" w:type="dxa"/>
            <w:vMerge/>
          </w:tcPr>
          <w:p w14:paraId="21F9CF44" w14:textId="77777777" w:rsidR="0099742B" w:rsidRPr="004E508C" w:rsidRDefault="0099742B" w:rsidP="00AC4631">
            <w:pPr>
              <w:spacing w:after="0"/>
              <w:rPr>
                <w:iCs/>
                <w:lang w:val="en-AU"/>
              </w:rPr>
            </w:pPr>
          </w:p>
        </w:tc>
        <w:tc>
          <w:tcPr>
            <w:tcW w:w="3093" w:type="dxa"/>
            <w:gridSpan w:val="2"/>
          </w:tcPr>
          <w:p w14:paraId="079132AE" w14:textId="77777777" w:rsidR="0099742B" w:rsidRPr="004E508C" w:rsidRDefault="0099742B" w:rsidP="00AC4631">
            <w:pPr>
              <w:spacing w:after="0"/>
              <w:rPr>
                <w:iCs/>
                <w:lang w:val="en-AU"/>
              </w:rPr>
            </w:pPr>
            <w:r w:rsidRPr="004E508C">
              <w:rPr>
                <w:iCs/>
                <w:lang w:val="en-AU"/>
              </w:rPr>
              <w:t>Grade</w:t>
            </w:r>
            <w:r w:rsidRPr="004E508C">
              <w:rPr>
                <w:rFonts w:cs="Arial"/>
                <w:szCs w:val="20"/>
                <w:lang w:val="en-AU"/>
              </w:rPr>
              <w:t> </w:t>
            </w:r>
            <w:r w:rsidRPr="004E508C">
              <w:rPr>
                <w:iCs/>
                <w:lang w:val="en-AU"/>
              </w:rPr>
              <w:t>4 (less than 0.5</w:t>
            </w:r>
            <w:r w:rsidRPr="004E508C">
              <w:rPr>
                <w:rFonts w:cs="Arial"/>
                <w:szCs w:val="20"/>
                <w:lang w:val="en-AU"/>
              </w:rPr>
              <w:t> </w:t>
            </w:r>
            <w:r w:rsidRPr="004E508C" w:rsidDel="004300DF">
              <w:rPr>
                <w:iCs/>
                <w:lang w:val="en-AU"/>
              </w:rPr>
              <w:t>x</w:t>
            </w:r>
            <w:r w:rsidRPr="004E508C">
              <w:rPr>
                <w:rFonts w:cs="Arial"/>
                <w:szCs w:val="20"/>
                <w:lang w:val="en-AU"/>
              </w:rPr>
              <w:t> </w:t>
            </w:r>
            <w:r w:rsidRPr="004E508C">
              <w:rPr>
                <w:iCs/>
                <w:lang w:val="en-AU"/>
              </w:rPr>
              <w:t>10</w:t>
            </w:r>
            <w:r w:rsidRPr="004E508C">
              <w:rPr>
                <w:iCs/>
                <w:vertAlign w:val="superscript"/>
                <w:lang w:val="en-AU"/>
              </w:rPr>
              <w:t>9</w:t>
            </w:r>
            <w:r w:rsidRPr="004E508C">
              <w:rPr>
                <w:iCs/>
                <w:lang w:val="en-AU"/>
              </w:rPr>
              <w:t>/L)</w:t>
            </w:r>
          </w:p>
        </w:tc>
        <w:tc>
          <w:tcPr>
            <w:tcW w:w="3137" w:type="dxa"/>
          </w:tcPr>
          <w:p w14:paraId="685201EB" w14:textId="3A439DBE" w:rsidR="0099742B" w:rsidRPr="004E508C" w:rsidRDefault="0099742B" w:rsidP="00FA0F0A">
            <w:pPr>
              <w:numPr>
                <w:ilvl w:val="0"/>
                <w:numId w:val="23"/>
              </w:numPr>
              <w:spacing w:after="0"/>
              <w:rPr>
                <w:iCs/>
                <w:lang w:val="en-AU"/>
              </w:rPr>
            </w:pPr>
            <w:r w:rsidRPr="004E508C">
              <w:rPr>
                <w:iCs/>
                <w:lang w:val="en-AU"/>
              </w:rPr>
              <w:t xml:space="preserve">Interrupt </w:t>
            </w:r>
            <w:r w:rsidR="003D46CA" w:rsidRPr="004E508C">
              <w:rPr>
                <w:iCs/>
                <w:lang w:val="en-AU"/>
              </w:rPr>
              <w:t>ENHERTU</w:t>
            </w:r>
            <w:r w:rsidRPr="004E508C">
              <w:rPr>
                <w:iCs/>
                <w:lang w:val="en-AU"/>
              </w:rPr>
              <w:t xml:space="preserve"> until resolved to Grade</w:t>
            </w:r>
            <w:r w:rsidRPr="004E508C">
              <w:rPr>
                <w:rFonts w:cs="Arial"/>
                <w:szCs w:val="20"/>
                <w:lang w:val="en-AU"/>
              </w:rPr>
              <w:t> </w:t>
            </w:r>
            <w:r w:rsidRPr="004E508C">
              <w:rPr>
                <w:iCs/>
                <w:lang w:val="en-AU"/>
              </w:rPr>
              <w:t>2 or less.</w:t>
            </w:r>
          </w:p>
          <w:p w14:paraId="2D2083DE" w14:textId="0C84B5C6" w:rsidR="0099742B" w:rsidRPr="004E508C" w:rsidRDefault="0099742B" w:rsidP="00FA0F0A">
            <w:pPr>
              <w:numPr>
                <w:ilvl w:val="0"/>
                <w:numId w:val="23"/>
              </w:numPr>
              <w:spacing w:after="0"/>
              <w:rPr>
                <w:iCs/>
                <w:lang w:val="en-AU"/>
              </w:rPr>
            </w:pPr>
            <w:r w:rsidRPr="004E508C">
              <w:rPr>
                <w:iCs/>
                <w:lang w:val="en-AU"/>
              </w:rPr>
              <w:t xml:space="preserve">Reduce dose by one level (see </w:t>
            </w:r>
            <w:r w:rsidR="00E13D80" w:rsidRPr="004E508C">
              <w:rPr>
                <w:iCs/>
                <w:lang w:val="en-AU"/>
              </w:rPr>
              <w:fldChar w:fldCharType="begin"/>
            </w:r>
            <w:r w:rsidR="00E13D80" w:rsidRPr="004E508C">
              <w:rPr>
                <w:iCs/>
                <w:lang w:val="en-AU"/>
              </w:rPr>
              <w:instrText xml:space="preserve"> REF _Ref45269411 \h </w:instrText>
            </w:r>
            <w:r w:rsidR="00E13D80" w:rsidRPr="004E508C">
              <w:rPr>
                <w:iCs/>
                <w:lang w:val="en-AU"/>
              </w:rPr>
            </w:r>
            <w:r w:rsidR="00E13D80" w:rsidRPr="004E508C">
              <w:rPr>
                <w:iCs/>
                <w:lang w:val="en-AU"/>
              </w:rPr>
              <w:fldChar w:fldCharType="separate"/>
            </w:r>
            <w:r w:rsidR="00E13D80" w:rsidRPr="004E508C">
              <w:rPr>
                <w:lang w:val="en-AU"/>
              </w:rPr>
              <w:t xml:space="preserve">Table </w:t>
            </w:r>
            <w:r w:rsidR="00E13D80" w:rsidRPr="004E508C">
              <w:rPr>
                <w:noProof/>
                <w:lang w:val="en-AU"/>
              </w:rPr>
              <w:t>1</w:t>
            </w:r>
            <w:r w:rsidR="00E13D80" w:rsidRPr="004E508C">
              <w:rPr>
                <w:iCs/>
                <w:lang w:val="en-AU"/>
              </w:rPr>
              <w:fldChar w:fldCharType="end"/>
            </w:r>
            <w:r w:rsidRPr="004E508C">
              <w:rPr>
                <w:iCs/>
                <w:lang w:val="en-AU"/>
              </w:rPr>
              <w:t>).</w:t>
            </w:r>
          </w:p>
        </w:tc>
      </w:tr>
      <w:tr w:rsidR="0099742B" w:rsidRPr="004E508C" w14:paraId="184B020D" w14:textId="77777777" w:rsidTr="00B97175">
        <w:trPr>
          <w:trHeight w:val="20"/>
          <w:jc w:val="center"/>
        </w:trPr>
        <w:tc>
          <w:tcPr>
            <w:tcW w:w="3119" w:type="dxa"/>
            <w:tcBorders>
              <w:bottom w:val="single" w:sz="4" w:space="0" w:color="000000"/>
            </w:tcBorders>
          </w:tcPr>
          <w:p w14:paraId="7B707DAC" w14:textId="2D7E6FE0" w:rsidR="0099742B" w:rsidRPr="004E508C" w:rsidRDefault="0099742B" w:rsidP="00AC4631">
            <w:pPr>
              <w:spacing w:after="0"/>
              <w:rPr>
                <w:iCs/>
                <w:lang w:val="en-AU"/>
              </w:rPr>
            </w:pPr>
            <w:r w:rsidRPr="004E508C">
              <w:rPr>
                <w:iCs/>
                <w:lang w:val="en-AU"/>
              </w:rPr>
              <w:t>Febrile Neutropenia</w:t>
            </w:r>
          </w:p>
        </w:tc>
        <w:tc>
          <w:tcPr>
            <w:tcW w:w="3093" w:type="dxa"/>
            <w:gridSpan w:val="2"/>
            <w:tcBorders>
              <w:bottom w:val="single" w:sz="4" w:space="0" w:color="000000"/>
            </w:tcBorders>
          </w:tcPr>
          <w:p w14:paraId="25921D42" w14:textId="77777777" w:rsidR="0099742B" w:rsidRPr="004E508C" w:rsidRDefault="0099742B" w:rsidP="00AC4631">
            <w:pPr>
              <w:spacing w:after="0"/>
              <w:rPr>
                <w:iCs/>
                <w:lang w:val="en-AU"/>
              </w:rPr>
            </w:pPr>
            <w:r w:rsidRPr="004E508C">
              <w:rPr>
                <w:iCs/>
                <w:lang w:val="en-AU"/>
              </w:rPr>
              <w:t>Absolute neutrophil count of less than 1</w:t>
            </w:r>
            <w:r w:rsidRPr="004E508C">
              <w:rPr>
                <w:rFonts w:cs="Arial"/>
                <w:szCs w:val="20"/>
                <w:lang w:val="en-AU"/>
              </w:rPr>
              <w:t> </w:t>
            </w:r>
            <w:r w:rsidRPr="004E508C">
              <w:rPr>
                <w:iCs/>
                <w:lang w:val="en-AU"/>
              </w:rPr>
              <w:t>x</w:t>
            </w:r>
            <w:r w:rsidRPr="004E508C" w:rsidDel="004300DF">
              <w:rPr>
                <w:iCs/>
                <w:lang w:val="en-AU"/>
              </w:rPr>
              <w:t xml:space="preserve"> </w:t>
            </w:r>
            <w:r w:rsidRPr="004E508C">
              <w:rPr>
                <w:iCs/>
                <w:lang w:val="en-AU"/>
              </w:rPr>
              <w:t>10</w:t>
            </w:r>
            <w:r w:rsidRPr="004E508C">
              <w:rPr>
                <w:iCs/>
                <w:vertAlign w:val="superscript"/>
                <w:lang w:val="en-AU"/>
              </w:rPr>
              <w:t>9</w:t>
            </w:r>
            <w:r w:rsidRPr="004E508C">
              <w:rPr>
                <w:iCs/>
                <w:lang w:val="en-AU"/>
              </w:rPr>
              <w:t>/L and temperature greater than 38.3°C or a sustained temperature of 38°C or greater for more than one hour.</w:t>
            </w:r>
          </w:p>
        </w:tc>
        <w:tc>
          <w:tcPr>
            <w:tcW w:w="3137" w:type="dxa"/>
            <w:tcBorders>
              <w:bottom w:val="single" w:sz="4" w:space="0" w:color="000000"/>
            </w:tcBorders>
          </w:tcPr>
          <w:p w14:paraId="7179247F" w14:textId="0D1A6F84" w:rsidR="0099742B" w:rsidRPr="004E508C" w:rsidRDefault="0099742B" w:rsidP="00FA0F0A">
            <w:pPr>
              <w:numPr>
                <w:ilvl w:val="0"/>
                <w:numId w:val="24"/>
              </w:numPr>
              <w:spacing w:after="0"/>
              <w:rPr>
                <w:iCs/>
                <w:lang w:val="en-AU"/>
              </w:rPr>
            </w:pPr>
            <w:r w:rsidRPr="004E508C">
              <w:rPr>
                <w:iCs/>
                <w:lang w:val="en-AU"/>
              </w:rPr>
              <w:t xml:space="preserve">Interrupt </w:t>
            </w:r>
            <w:r w:rsidR="00D70388" w:rsidRPr="004E508C">
              <w:rPr>
                <w:iCs/>
                <w:lang w:val="en-AU"/>
              </w:rPr>
              <w:t>ENHERTU</w:t>
            </w:r>
            <w:r w:rsidRPr="004E508C">
              <w:rPr>
                <w:iCs/>
                <w:lang w:val="en-AU"/>
              </w:rPr>
              <w:t xml:space="preserve"> until resolved.</w:t>
            </w:r>
          </w:p>
          <w:p w14:paraId="4F7A0CD4" w14:textId="35AB0380" w:rsidR="0099742B" w:rsidRPr="004E508C" w:rsidRDefault="0099742B" w:rsidP="00FA0F0A">
            <w:pPr>
              <w:numPr>
                <w:ilvl w:val="0"/>
                <w:numId w:val="24"/>
              </w:numPr>
              <w:spacing w:after="0"/>
              <w:rPr>
                <w:iCs/>
                <w:lang w:val="en-AU"/>
              </w:rPr>
            </w:pPr>
            <w:r w:rsidRPr="004E508C">
              <w:rPr>
                <w:iCs/>
                <w:lang w:val="en-AU"/>
              </w:rPr>
              <w:t xml:space="preserve">Reduce dose by one level (see </w:t>
            </w:r>
            <w:r w:rsidR="00E13D80" w:rsidRPr="004E508C">
              <w:rPr>
                <w:iCs/>
                <w:lang w:val="en-AU"/>
              </w:rPr>
              <w:fldChar w:fldCharType="begin"/>
            </w:r>
            <w:r w:rsidR="00E13D80" w:rsidRPr="004E508C">
              <w:rPr>
                <w:iCs/>
                <w:lang w:val="en-AU"/>
              </w:rPr>
              <w:instrText xml:space="preserve"> REF _Ref45269411 \h </w:instrText>
            </w:r>
            <w:r w:rsidR="00B25ACA" w:rsidRPr="004E508C">
              <w:rPr>
                <w:iCs/>
                <w:lang w:val="en-AU"/>
              </w:rPr>
              <w:instrText xml:space="preserve"> \* MERGEFORMAT </w:instrText>
            </w:r>
            <w:r w:rsidR="00E13D80" w:rsidRPr="004E508C">
              <w:rPr>
                <w:iCs/>
                <w:lang w:val="en-AU"/>
              </w:rPr>
            </w:r>
            <w:r w:rsidR="00E13D80" w:rsidRPr="004E508C">
              <w:rPr>
                <w:iCs/>
                <w:lang w:val="en-AU"/>
              </w:rPr>
              <w:fldChar w:fldCharType="separate"/>
            </w:r>
            <w:r w:rsidR="00E13D80" w:rsidRPr="004E508C">
              <w:rPr>
                <w:lang w:val="en-AU"/>
              </w:rPr>
              <w:t xml:space="preserve">Table </w:t>
            </w:r>
            <w:r w:rsidR="00E13D80" w:rsidRPr="004E508C">
              <w:rPr>
                <w:noProof/>
                <w:lang w:val="en-AU"/>
              </w:rPr>
              <w:t>1</w:t>
            </w:r>
            <w:r w:rsidR="00E13D80" w:rsidRPr="004E508C">
              <w:rPr>
                <w:iCs/>
                <w:lang w:val="en-AU"/>
              </w:rPr>
              <w:fldChar w:fldCharType="end"/>
            </w:r>
            <w:r w:rsidRPr="004E508C">
              <w:rPr>
                <w:iCs/>
                <w:lang w:val="en-AU"/>
              </w:rPr>
              <w:t>).</w:t>
            </w:r>
          </w:p>
        </w:tc>
      </w:tr>
      <w:tr w:rsidR="0099742B" w:rsidRPr="004E508C" w14:paraId="6DA9FBE9" w14:textId="77777777" w:rsidTr="00B97175">
        <w:trPr>
          <w:trHeight w:val="20"/>
          <w:jc w:val="center"/>
        </w:trPr>
        <w:tc>
          <w:tcPr>
            <w:tcW w:w="3119" w:type="dxa"/>
            <w:vMerge w:val="restart"/>
          </w:tcPr>
          <w:p w14:paraId="109A68D2" w14:textId="6696BAFD" w:rsidR="0099742B" w:rsidRPr="004E508C" w:rsidRDefault="0099742B" w:rsidP="00AC4631">
            <w:pPr>
              <w:spacing w:after="0"/>
              <w:rPr>
                <w:iCs/>
                <w:lang w:val="en-AU"/>
              </w:rPr>
            </w:pPr>
            <w:r w:rsidRPr="004E508C">
              <w:rPr>
                <w:iCs/>
                <w:lang w:val="en-AU"/>
              </w:rPr>
              <w:t>Left Ventricular Ejection Fraction (LVEF) Decreased</w:t>
            </w:r>
          </w:p>
        </w:tc>
        <w:tc>
          <w:tcPr>
            <w:tcW w:w="3093" w:type="dxa"/>
            <w:gridSpan w:val="2"/>
            <w:vAlign w:val="center"/>
          </w:tcPr>
          <w:p w14:paraId="0EB3E754" w14:textId="77777777" w:rsidR="0099742B" w:rsidRPr="004E508C" w:rsidRDefault="0099742B" w:rsidP="00AC4631">
            <w:pPr>
              <w:spacing w:after="0"/>
              <w:rPr>
                <w:iCs/>
                <w:lang w:val="en-AU"/>
              </w:rPr>
            </w:pPr>
            <w:r w:rsidRPr="004E508C">
              <w:rPr>
                <w:iCs/>
                <w:lang w:val="en-AU"/>
              </w:rPr>
              <w:t>LVEF greater than 45% and absolute decrease from baseline is 10%</w:t>
            </w:r>
            <w:r w:rsidRPr="004E508C">
              <w:rPr>
                <w:rFonts w:cs="Arial"/>
                <w:szCs w:val="20"/>
                <w:lang w:val="en-AU"/>
              </w:rPr>
              <w:t> </w:t>
            </w:r>
            <w:r w:rsidRPr="004E508C" w:rsidDel="004300DF">
              <w:rPr>
                <w:iCs/>
                <w:lang w:val="en-AU"/>
              </w:rPr>
              <w:t>to</w:t>
            </w:r>
            <w:r w:rsidRPr="004E508C">
              <w:rPr>
                <w:rFonts w:cs="Arial"/>
                <w:szCs w:val="20"/>
                <w:lang w:val="en-AU"/>
              </w:rPr>
              <w:t> </w:t>
            </w:r>
            <w:r w:rsidRPr="004E508C">
              <w:rPr>
                <w:iCs/>
                <w:lang w:val="en-AU"/>
              </w:rPr>
              <w:t>20%</w:t>
            </w:r>
          </w:p>
        </w:tc>
        <w:tc>
          <w:tcPr>
            <w:tcW w:w="3137" w:type="dxa"/>
          </w:tcPr>
          <w:p w14:paraId="26BE4D58" w14:textId="16E863D2" w:rsidR="0099742B" w:rsidRPr="004E508C" w:rsidRDefault="0099742B" w:rsidP="00FA0F0A">
            <w:pPr>
              <w:numPr>
                <w:ilvl w:val="0"/>
                <w:numId w:val="19"/>
              </w:numPr>
              <w:spacing w:after="0"/>
              <w:rPr>
                <w:iCs/>
                <w:lang w:val="en-AU"/>
              </w:rPr>
            </w:pPr>
            <w:r w:rsidRPr="004E508C">
              <w:rPr>
                <w:iCs/>
                <w:lang w:val="en-AU"/>
              </w:rPr>
              <w:t xml:space="preserve">Continue treatment with </w:t>
            </w:r>
            <w:r w:rsidR="00D70388" w:rsidRPr="004E508C">
              <w:rPr>
                <w:iCs/>
                <w:lang w:val="en-AU"/>
              </w:rPr>
              <w:t>ENHERTU</w:t>
            </w:r>
            <w:r w:rsidRPr="004E508C">
              <w:rPr>
                <w:iCs/>
                <w:lang w:val="en-AU"/>
              </w:rPr>
              <w:t>.</w:t>
            </w:r>
          </w:p>
        </w:tc>
      </w:tr>
      <w:tr w:rsidR="0099742B" w:rsidRPr="004E508C" w14:paraId="1B99F2C6" w14:textId="77777777" w:rsidTr="00B97175">
        <w:trPr>
          <w:trHeight w:val="20"/>
          <w:jc w:val="center"/>
        </w:trPr>
        <w:tc>
          <w:tcPr>
            <w:tcW w:w="3119" w:type="dxa"/>
            <w:vMerge/>
          </w:tcPr>
          <w:p w14:paraId="2D321CC5" w14:textId="77777777" w:rsidR="0099742B" w:rsidRPr="004E508C" w:rsidRDefault="0099742B" w:rsidP="00AC4631">
            <w:pPr>
              <w:spacing w:after="0"/>
              <w:rPr>
                <w:iCs/>
                <w:lang w:val="en-AU"/>
              </w:rPr>
            </w:pPr>
          </w:p>
        </w:tc>
        <w:tc>
          <w:tcPr>
            <w:tcW w:w="1554" w:type="dxa"/>
            <w:vMerge w:val="restart"/>
          </w:tcPr>
          <w:p w14:paraId="7686869B" w14:textId="77777777" w:rsidR="0099742B" w:rsidRPr="004E508C" w:rsidRDefault="0099742B" w:rsidP="00AC4631">
            <w:pPr>
              <w:spacing w:after="0"/>
              <w:rPr>
                <w:iCs/>
                <w:lang w:val="en-AU"/>
              </w:rPr>
            </w:pPr>
            <w:r w:rsidRPr="004E508C">
              <w:rPr>
                <w:iCs/>
                <w:lang w:val="en-AU"/>
              </w:rPr>
              <w:t>LVEF 40%</w:t>
            </w:r>
            <w:r w:rsidRPr="004E508C">
              <w:rPr>
                <w:rFonts w:cs="Arial"/>
                <w:szCs w:val="20"/>
                <w:lang w:val="en-AU"/>
              </w:rPr>
              <w:t> </w:t>
            </w:r>
            <w:r w:rsidRPr="004E508C" w:rsidDel="004300DF">
              <w:rPr>
                <w:iCs/>
                <w:lang w:val="en-AU"/>
              </w:rPr>
              <w:t>to</w:t>
            </w:r>
            <w:r w:rsidRPr="004E508C">
              <w:rPr>
                <w:rFonts w:cs="Arial"/>
                <w:szCs w:val="20"/>
                <w:lang w:val="en-AU"/>
              </w:rPr>
              <w:t> </w:t>
            </w:r>
            <w:r w:rsidRPr="004E508C" w:rsidDel="004300DF">
              <w:rPr>
                <w:iCs/>
                <w:lang w:val="en-AU"/>
              </w:rPr>
              <w:t>45</w:t>
            </w:r>
            <w:r w:rsidRPr="004E508C">
              <w:rPr>
                <w:iCs/>
                <w:lang w:val="en-AU"/>
              </w:rPr>
              <w:t>%</w:t>
            </w:r>
          </w:p>
        </w:tc>
        <w:tc>
          <w:tcPr>
            <w:tcW w:w="1539" w:type="dxa"/>
          </w:tcPr>
          <w:p w14:paraId="21E6EEBB" w14:textId="77777777" w:rsidR="0099742B" w:rsidRPr="004E508C" w:rsidRDefault="0099742B" w:rsidP="00AC4631">
            <w:pPr>
              <w:spacing w:after="0"/>
              <w:rPr>
                <w:iCs/>
                <w:lang w:val="en-AU"/>
              </w:rPr>
            </w:pPr>
            <w:r w:rsidRPr="004E508C">
              <w:rPr>
                <w:iCs/>
                <w:lang w:val="en-AU"/>
              </w:rPr>
              <w:t>And absolute decrease from baseline is less than 10%</w:t>
            </w:r>
          </w:p>
        </w:tc>
        <w:tc>
          <w:tcPr>
            <w:tcW w:w="3137" w:type="dxa"/>
          </w:tcPr>
          <w:p w14:paraId="336150AE" w14:textId="17A730F7" w:rsidR="0099742B" w:rsidRPr="004E508C" w:rsidRDefault="0099742B" w:rsidP="00FA0F0A">
            <w:pPr>
              <w:numPr>
                <w:ilvl w:val="0"/>
                <w:numId w:val="17"/>
              </w:numPr>
              <w:spacing w:after="0"/>
              <w:rPr>
                <w:iCs/>
                <w:lang w:val="en-AU"/>
              </w:rPr>
            </w:pPr>
            <w:r w:rsidRPr="004E508C">
              <w:rPr>
                <w:iCs/>
                <w:lang w:val="en-AU"/>
              </w:rPr>
              <w:t xml:space="preserve">Continue treatment with </w:t>
            </w:r>
            <w:r w:rsidR="00D70388" w:rsidRPr="004E508C">
              <w:rPr>
                <w:iCs/>
                <w:lang w:val="en-AU"/>
              </w:rPr>
              <w:t>ENHERTU</w:t>
            </w:r>
            <w:r w:rsidRPr="004E508C">
              <w:rPr>
                <w:iCs/>
                <w:lang w:val="en-AU"/>
              </w:rPr>
              <w:t>.</w:t>
            </w:r>
          </w:p>
          <w:p w14:paraId="3760E766" w14:textId="77777777" w:rsidR="0099742B" w:rsidRPr="004E508C" w:rsidRDefault="0099742B" w:rsidP="00FA0F0A">
            <w:pPr>
              <w:numPr>
                <w:ilvl w:val="0"/>
                <w:numId w:val="18"/>
              </w:numPr>
              <w:spacing w:after="0"/>
              <w:rPr>
                <w:iCs/>
                <w:lang w:val="en-AU"/>
              </w:rPr>
            </w:pPr>
            <w:r w:rsidRPr="004E508C">
              <w:rPr>
                <w:iCs/>
                <w:lang w:val="en-AU"/>
              </w:rPr>
              <w:t>Repeat LVEF assessment within 3</w:t>
            </w:r>
            <w:r w:rsidRPr="004E508C">
              <w:rPr>
                <w:rFonts w:cs="Arial"/>
                <w:szCs w:val="20"/>
                <w:lang w:val="en-AU"/>
              </w:rPr>
              <w:t> </w:t>
            </w:r>
            <w:r w:rsidRPr="004E508C">
              <w:rPr>
                <w:iCs/>
                <w:lang w:val="en-AU"/>
              </w:rPr>
              <w:t>weeks.</w:t>
            </w:r>
          </w:p>
        </w:tc>
      </w:tr>
      <w:tr w:rsidR="0099742B" w:rsidRPr="004E508C" w14:paraId="1893736E" w14:textId="77777777" w:rsidTr="00B97175">
        <w:trPr>
          <w:trHeight w:val="20"/>
          <w:jc w:val="center"/>
        </w:trPr>
        <w:tc>
          <w:tcPr>
            <w:tcW w:w="3119" w:type="dxa"/>
            <w:vMerge/>
          </w:tcPr>
          <w:p w14:paraId="7C034AAD" w14:textId="77777777" w:rsidR="0099742B" w:rsidRPr="004E508C" w:rsidRDefault="0099742B" w:rsidP="00AC4631">
            <w:pPr>
              <w:spacing w:after="0"/>
              <w:rPr>
                <w:iCs/>
                <w:lang w:val="en-AU"/>
              </w:rPr>
            </w:pPr>
          </w:p>
        </w:tc>
        <w:tc>
          <w:tcPr>
            <w:tcW w:w="1554" w:type="dxa"/>
            <w:vMerge/>
          </w:tcPr>
          <w:p w14:paraId="2554CA42" w14:textId="77777777" w:rsidR="0099742B" w:rsidRPr="004E508C" w:rsidRDefault="0099742B" w:rsidP="00AC4631">
            <w:pPr>
              <w:spacing w:after="0"/>
              <w:rPr>
                <w:iCs/>
                <w:lang w:val="en-AU"/>
              </w:rPr>
            </w:pPr>
          </w:p>
        </w:tc>
        <w:tc>
          <w:tcPr>
            <w:tcW w:w="1539" w:type="dxa"/>
          </w:tcPr>
          <w:p w14:paraId="40DFFFBF" w14:textId="77777777" w:rsidR="0099742B" w:rsidRPr="004E508C" w:rsidRDefault="0099742B" w:rsidP="00AC4631">
            <w:pPr>
              <w:spacing w:after="0"/>
              <w:rPr>
                <w:iCs/>
                <w:lang w:val="en-AU"/>
              </w:rPr>
            </w:pPr>
            <w:r w:rsidRPr="004E508C">
              <w:rPr>
                <w:iCs/>
                <w:lang w:val="en-AU"/>
              </w:rPr>
              <w:t>And absolute decrease from baseline is 10%</w:t>
            </w:r>
            <w:r w:rsidRPr="004E508C">
              <w:rPr>
                <w:rFonts w:cs="Arial"/>
                <w:szCs w:val="20"/>
                <w:lang w:val="en-AU"/>
              </w:rPr>
              <w:t> </w:t>
            </w:r>
            <w:r w:rsidRPr="004E508C">
              <w:rPr>
                <w:iCs/>
                <w:lang w:val="en-AU"/>
              </w:rPr>
              <w:t>to</w:t>
            </w:r>
            <w:r w:rsidRPr="004E508C">
              <w:rPr>
                <w:rFonts w:cs="Arial"/>
                <w:szCs w:val="20"/>
                <w:lang w:val="en-AU"/>
              </w:rPr>
              <w:t> </w:t>
            </w:r>
            <w:r w:rsidRPr="004E508C" w:rsidDel="004300DF">
              <w:rPr>
                <w:iCs/>
                <w:lang w:val="en-AU"/>
              </w:rPr>
              <w:t>20</w:t>
            </w:r>
            <w:r w:rsidRPr="004E508C">
              <w:rPr>
                <w:iCs/>
                <w:lang w:val="en-AU"/>
              </w:rPr>
              <w:t>%</w:t>
            </w:r>
          </w:p>
        </w:tc>
        <w:tc>
          <w:tcPr>
            <w:tcW w:w="3137" w:type="dxa"/>
          </w:tcPr>
          <w:p w14:paraId="6C631DF2" w14:textId="4E9D1D27" w:rsidR="0099742B" w:rsidRPr="004E508C" w:rsidRDefault="0099742B" w:rsidP="00FA0F0A">
            <w:pPr>
              <w:numPr>
                <w:ilvl w:val="0"/>
                <w:numId w:val="18"/>
              </w:numPr>
              <w:spacing w:after="0"/>
              <w:rPr>
                <w:iCs/>
                <w:lang w:val="en-AU"/>
              </w:rPr>
            </w:pPr>
            <w:r w:rsidRPr="004E508C">
              <w:rPr>
                <w:iCs/>
                <w:lang w:val="en-AU"/>
              </w:rPr>
              <w:t xml:space="preserve">Interrupt </w:t>
            </w:r>
            <w:r w:rsidR="00034E78" w:rsidRPr="004E508C">
              <w:rPr>
                <w:iCs/>
                <w:lang w:val="en-AU"/>
              </w:rPr>
              <w:t>ENHERTU</w:t>
            </w:r>
            <w:r w:rsidRPr="004E508C">
              <w:rPr>
                <w:iCs/>
                <w:lang w:val="en-AU"/>
              </w:rPr>
              <w:t>.</w:t>
            </w:r>
          </w:p>
          <w:p w14:paraId="3180CBC5" w14:textId="77777777" w:rsidR="0099742B" w:rsidRPr="004E508C" w:rsidRDefault="0099742B" w:rsidP="00FA0F0A">
            <w:pPr>
              <w:numPr>
                <w:ilvl w:val="0"/>
                <w:numId w:val="18"/>
              </w:numPr>
              <w:spacing w:after="0"/>
              <w:rPr>
                <w:iCs/>
                <w:lang w:val="en-AU"/>
              </w:rPr>
            </w:pPr>
            <w:r w:rsidRPr="004E508C">
              <w:rPr>
                <w:iCs/>
                <w:lang w:val="en-AU"/>
              </w:rPr>
              <w:t>Repeat LVEF assessment within 3</w:t>
            </w:r>
            <w:r w:rsidRPr="004E508C">
              <w:rPr>
                <w:rFonts w:cs="Arial"/>
                <w:szCs w:val="20"/>
                <w:lang w:val="en-AU"/>
              </w:rPr>
              <w:t> </w:t>
            </w:r>
            <w:r w:rsidRPr="004E508C">
              <w:rPr>
                <w:iCs/>
                <w:lang w:val="en-AU"/>
              </w:rPr>
              <w:t>weeks.</w:t>
            </w:r>
          </w:p>
          <w:p w14:paraId="35160BF9" w14:textId="1F215395" w:rsidR="0099742B" w:rsidRPr="004E508C" w:rsidRDefault="0099742B" w:rsidP="00FA0F0A">
            <w:pPr>
              <w:numPr>
                <w:ilvl w:val="0"/>
                <w:numId w:val="18"/>
              </w:numPr>
              <w:spacing w:after="0"/>
              <w:rPr>
                <w:iCs/>
                <w:lang w:val="en-AU"/>
              </w:rPr>
            </w:pPr>
            <w:r w:rsidRPr="004E508C">
              <w:rPr>
                <w:iCs/>
                <w:lang w:val="en-AU"/>
              </w:rPr>
              <w:t xml:space="preserve">If LVEF has not recovered to within 10% from baseline, permanently discontinue </w:t>
            </w:r>
            <w:r w:rsidR="00034E78" w:rsidRPr="004E508C">
              <w:rPr>
                <w:iCs/>
                <w:lang w:val="en-AU"/>
              </w:rPr>
              <w:t>ENHERTU</w:t>
            </w:r>
            <w:r w:rsidRPr="004E508C">
              <w:rPr>
                <w:iCs/>
                <w:lang w:val="en-AU"/>
              </w:rPr>
              <w:t>.</w:t>
            </w:r>
          </w:p>
          <w:p w14:paraId="29D62D45" w14:textId="3379A744" w:rsidR="0099742B" w:rsidRPr="004E508C" w:rsidRDefault="0099742B" w:rsidP="00FA0F0A">
            <w:pPr>
              <w:numPr>
                <w:ilvl w:val="0"/>
                <w:numId w:val="18"/>
              </w:numPr>
              <w:spacing w:after="0"/>
              <w:rPr>
                <w:iCs/>
                <w:lang w:val="en-AU"/>
              </w:rPr>
            </w:pPr>
            <w:r w:rsidRPr="004E508C">
              <w:rPr>
                <w:iCs/>
                <w:lang w:val="en-AU"/>
              </w:rPr>
              <w:t xml:space="preserve">If LVEF recovers to within 10% from baseline, resume treatment with </w:t>
            </w:r>
            <w:r w:rsidR="00034E78" w:rsidRPr="004E508C">
              <w:rPr>
                <w:iCs/>
                <w:lang w:val="en-AU"/>
              </w:rPr>
              <w:t>ENHERTU</w:t>
            </w:r>
            <w:r w:rsidRPr="004E508C">
              <w:rPr>
                <w:iCs/>
                <w:lang w:val="en-AU"/>
              </w:rPr>
              <w:t xml:space="preserve"> at the same dose.</w:t>
            </w:r>
          </w:p>
        </w:tc>
      </w:tr>
      <w:tr w:rsidR="0099742B" w:rsidRPr="004E508C" w14:paraId="3ECB21C5" w14:textId="77777777" w:rsidTr="00B97175">
        <w:trPr>
          <w:trHeight w:val="20"/>
          <w:jc w:val="center"/>
        </w:trPr>
        <w:tc>
          <w:tcPr>
            <w:tcW w:w="3119" w:type="dxa"/>
            <w:vMerge/>
          </w:tcPr>
          <w:p w14:paraId="6BC001C0" w14:textId="77777777" w:rsidR="0099742B" w:rsidRPr="004E508C" w:rsidRDefault="0099742B" w:rsidP="00AC4631">
            <w:pPr>
              <w:spacing w:after="0"/>
              <w:rPr>
                <w:iCs/>
                <w:lang w:val="en-AU"/>
              </w:rPr>
            </w:pPr>
          </w:p>
        </w:tc>
        <w:tc>
          <w:tcPr>
            <w:tcW w:w="3093" w:type="dxa"/>
            <w:gridSpan w:val="2"/>
          </w:tcPr>
          <w:p w14:paraId="401004D5" w14:textId="77777777" w:rsidR="0099742B" w:rsidRPr="004E508C" w:rsidRDefault="0099742B" w:rsidP="00AC4631">
            <w:pPr>
              <w:spacing w:after="0"/>
              <w:rPr>
                <w:iCs/>
                <w:lang w:val="en-AU"/>
              </w:rPr>
            </w:pPr>
            <w:r w:rsidRPr="004E508C">
              <w:rPr>
                <w:iCs/>
                <w:lang w:val="en-AU"/>
              </w:rPr>
              <w:t>LVEF less than 40% or absolute decrease from baseline is greater than 20%</w:t>
            </w:r>
          </w:p>
        </w:tc>
        <w:tc>
          <w:tcPr>
            <w:tcW w:w="3137" w:type="dxa"/>
          </w:tcPr>
          <w:p w14:paraId="41963060" w14:textId="788666F5" w:rsidR="0099742B" w:rsidRPr="004E508C" w:rsidRDefault="0099742B" w:rsidP="00FA0F0A">
            <w:pPr>
              <w:numPr>
                <w:ilvl w:val="0"/>
                <w:numId w:val="20"/>
              </w:numPr>
              <w:spacing w:after="0"/>
              <w:rPr>
                <w:iCs/>
                <w:lang w:val="en-AU"/>
              </w:rPr>
            </w:pPr>
            <w:r w:rsidRPr="004E508C">
              <w:rPr>
                <w:iCs/>
                <w:lang w:val="en-AU"/>
              </w:rPr>
              <w:t xml:space="preserve">Interrupt </w:t>
            </w:r>
            <w:r w:rsidR="005A29E6" w:rsidRPr="004E508C">
              <w:rPr>
                <w:iCs/>
                <w:lang w:val="en-AU"/>
              </w:rPr>
              <w:t>ENHERTU</w:t>
            </w:r>
            <w:r w:rsidRPr="004E508C">
              <w:rPr>
                <w:iCs/>
                <w:lang w:val="en-AU"/>
              </w:rPr>
              <w:t>.</w:t>
            </w:r>
          </w:p>
          <w:p w14:paraId="39CABA47" w14:textId="77777777" w:rsidR="0099742B" w:rsidRPr="004E508C" w:rsidRDefault="0099742B" w:rsidP="00FA0F0A">
            <w:pPr>
              <w:numPr>
                <w:ilvl w:val="0"/>
                <w:numId w:val="20"/>
              </w:numPr>
              <w:spacing w:after="0"/>
              <w:rPr>
                <w:iCs/>
                <w:lang w:val="en-AU"/>
              </w:rPr>
            </w:pPr>
            <w:r w:rsidRPr="004E508C">
              <w:rPr>
                <w:iCs/>
                <w:lang w:val="en-AU"/>
              </w:rPr>
              <w:t>Repeat LVEF assessment within 3</w:t>
            </w:r>
            <w:r w:rsidRPr="004E508C">
              <w:rPr>
                <w:rFonts w:cs="Arial"/>
                <w:szCs w:val="20"/>
                <w:lang w:val="en-AU"/>
              </w:rPr>
              <w:t> </w:t>
            </w:r>
            <w:r w:rsidRPr="004E508C">
              <w:rPr>
                <w:iCs/>
                <w:lang w:val="en-AU"/>
              </w:rPr>
              <w:t>weeks.</w:t>
            </w:r>
          </w:p>
          <w:p w14:paraId="315902BF" w14:textId="293FFB87" w:rsidR="0099742B" w:rsidRPr="004E508C" w:rsidRDefault="0099742B" w:rsidP="00FA0F0A">
            <w:pPr>
              <w:numPr>
                <w:ilvl w:val="0"/>
                <w:numId w:val="20"/>
              </w:numPr>
              <w:spacing w:after="0"/>
              <w:rPr>
                <w:iCs/>
                <w:lang w:val="en-AU"/>
              </w:rPr>
            </w:pPr>
            <w:r w:rsidRPr="004E508C">
              <w:rPr>
                <w:iCs/>
                <w:lang w:val="en-AU"/>
              </w:rPr>
              <w:lastRenderedPageBreak/>
              <w:t xml:space="preserve">If LVEF of less than 40% or absolute decrease from baseline of greater than 20% is confirmed, permanently discontinue </w:t>
            </w:r>
            <w:r w:rsidR="00536349" w:rsidRPr="004E508C">
              <w:rPr>
                <w:iCs/>
                <w:lang w:val="en-AU"/>
              </w:rPr>
              <w:t>ENHERTU</w:t>
            </w:r>
            <w:r w:rsidRPr="004E508C">
              <w:rPr>
                <w:iCs/>
                <w:lang w:val="en-AU"/>
              </w:rPr>
              <w:t>.</w:t>
            </w:r>
          </w:p>
        </w:tc>
      </w:tr>
      <w:tr w:rsidR="0099742B" w:rsidRPr="004E508C" w14:paraId="11B17214" w14:textId="77777777" w:rsidTr="00B97175">
        <w:trPr>
          <w:trHeight w:val="20"/>
          <w:jc w:val="center"/>
        </w:trPr>
        <w:tc>
          <w:tcPr>
            <w:tcW w:w="3119" w:type="dxa"/>
            <w:vMerge/>
          </w:tcPr>
          <w:p w14:paraId="11DB47E1" w14:textId="77777777" w:rsidR="0099742B" w:rsidRPr="004E508C" w:rsidRDefault="0099742B" w:rsidP="00AC4631">
            <w:pPr>
              <w:spacing w:after="0"/>
              <w:rPr>
                <w:iCs/>
                <w:lang w:val="en-AU"/>
              </w:rPr>
            </w:pPr>
          </w:p>
        </w:tc>
        <w:tc>
          <w:tcPr>
            <w:tcW w:w="3093" w:type="dxa"/>
            <w:gridSpan w:val="2"/>
          </w:tcPr>
          <w:p w14:paraId="246136E4" w14:textId="3F907B37" w:rsidR="0099742B" w:rsidRPr="004E508C" w:rsidRDefault="0099742B" w:rsidP="00AC4631">
            <w:pPr>
              <w:spacing w:after="0"/>
              <w:rPr>
                <w:iCs/>
                <w:lang w:val="en-AU"/>
              </w:rPr>
            </w:pPr>
            <w:r w:rsidRPr="004E508C">
              <w:rPr>
                <w:iCs/>
                <w:lang w:val="en-AU"/>
              </w:rPr>
              <w:t>Symptomatic congestive heart failure (CHF)</w:t>
            </w:r>
          </w:p>
        </w:tc>
        <w:tc>
          <w:tcPr>
            <w:tcW w:w="3137" w:type="dxa"/>
          </w:tcPr>
          <w:p w14:paraId="40838C7D" w14:textId="15137658" w:rsidR="0099742B" w:rsidRPr="004E508C" w:rsidRDefault="0099742B" w:rsidP="00FA0F0A">
            <w:pPr>
              <w:numPr>
                <w:ilvl w:val="0"/>
                <w:numId w:val="21"/>
              </w:numPr>
              <w:spacing w:after="0"/>
              <w:rPr>
                <w:iCs/>
                <w:lang w:val="en-AU"/>
              </w:rPr>
            </w:pPr>
            <w:r w:rsidRPr="004E508C">
              <w:rPr>
                <w:iCs/>
                <w:lang w:val="en-AU"/>
              </w:rPr>
              <w:t xml:space="preserve">Permanently discontinue </w:t>
            </w:r>
            <w:r w:rsidR="00536349" w:rsidRPr="004E508C">
              <w:rPr>
                <w:iCs/>
                <w:lang w:val="en-AU"/>
              </w:rPr>
              <w:t>ENHERTU</w:t>
            </w:r>
            <w:r w:rsidRPr="004E508C">
              <w:rPr>
                <w:iCs/>
                <w:lang w:val="en-AU"/>
              </w:rPr>
              <w:t>.</w:t>
            </w:r>
          </w:p>
        </w:tc>
      </w:tr>
      <w:tr w:rsidR="0099742B" w:rsidRPr="004E508C" w14:paraId="51C778AE" w14:textId="77777777" w:rsidTr="00B97175">
        <w:trPr>
          <w:trHeight w:val="20"/>
          <w:jc w:val="center"/>
        </w:trPr>
        <w:tc>
          <w:tcPr>
            <w:tcW w:w="9349" w:type="dxa"/>
            <w:gridSpan w:val="4"/>
            <w:tcBorders>
              <w:left w:val="nil"/>
              <w:bottom w:val="nil"/>
              <w:right w:val="nil"/>
            </w:tcBorders>
          </w:tcPr>
          <w:p w14:paraId="3D96805E" w14:textId="7D24A39B" w:rsidR="0099742B" w:rsidRPr="004E508C" w:rsidRDefault="0099742B" w:rsidP="00FE60D8">
            <w:pPr>
              <w:pStyle w:val="TableFootnoteInfo"/>
              <w:rPr>
                <w:lang w:val="en-AU"/>
              </w:rPr>
            </w:pPr>
            <w:r w:rsidRPr="004E508C">
              <w:rPr>
                <w:lang w:val="en-AU"/>
              </w:rPr>
              <w:t>Toxicity grades are in accordance with National Cancer Institute Common Terminology Criteria for Adverse Events Version 4.03 (NCI CTCAE v.4.03).</w:t>
            </w:r>
          </w:p>
        </w:tc>
      </w:tr>
      <w:bookmarkEnd w:id="5"/>
    </w:tbl>
    <w:p w14:paraId="149D05B3" w14:textId="12765644" w:rsidR="005D4503" w:rsidRPr="004E508C" w:rsidRDefault="005D4503" w:rsidP="005D4503">
      <w:pPr>
        <w:pStyle w:val="C-BodyText"/>
        <w:spacing w:before="0" w:after="0" w:line="240" w:lineRule="auto"/>
        <w:rPr>
          <w:lang w:val="en-AU"/>
        </w:rPr>
      </w:pPr>
    </w:p>
    <w:p w14:paraId="3CDAFF98" w14:textId="021168D3" w:rsidR="00740731" w:rsidRPr="004E508C" w:rsidRDefault="00740731" w:rsidP="00270432">
      <w:pPr>
        <w:pStyle w:val="Heading3Unnumbered"/>
        <w:rPr>
          <w:szCs w:val="20"/>
          <w:lang w:val="en-AU"/>
        </w:rPr>
      </w:pPr>
      <w:bookmarkStart w:id="6" w:name="_Toc23341353"/>
      <w:bookmarkStart w:id="7" w:name="_Toc34804467"/>
      <w:r w:rsidRPr="004E508C">
        <w:rPr>
          <w:lang w:val="en-AU"/>
        </w:rPr>
        <w:t>Delayed or Missed Dose</w:t>
      </w:r>
      <w:bookmarkEnd w:id="6"/>
      <w:bookmarkEnd w:id="7"/>
    </w:p>
    <w:p w14:paraId="388C493B" w14:textId="24D3B7C3" w:rsidR="00740731" w:rsidRPr="004E508C" w:rsidRDefault="00740731" w:rsidP="00740731">
      <w:pPr>
        <w:spacing w:after="0" w:line="240" w:lineRule="auto"/>
        <w:rPr>
          <w:rFonts w:eastAsia="MS Mincho"/>
          <w:lang w:val="en-AU"/>
        </w:rPr>
      </w:pPr>
      <w:r w:rsidRPr="004E508C">
        <w:rPr>
          <w:rFonts w:eastAsia="MS Mincho"/>
          <w:lang w:val="en-AU"/>
        </w:rPr>
        <w:t>If a planned dose is delayed or missed, it should be administered as soon as possible without waiting until the next planned cycle. The schedule of administration should be adjusted to maintain a 3</w:t>
      </w:r>
      <w:r w:rsidRPr="004E508C">
        <w:rPr>
          <w:rFonts w:eastAsia="MS Mincho"/>
          <w:lang w:val="en-AU"/>
        </w:rPr>
        <w:noBreakHyphen/>
        <w:t>week interval between doses. The infusion should be administered at the dose and rate the patient tolerated in the most recent infusion.</w:t>
      </w:r>
    </w:p>
    <w:p w14:paraId="359980A5" w14:textId="77777777" w:rsidR="00A62D8B" w:rsidRPr="004E508C" w:rsidRDefault="00A62D8B" w:rsidP="00740731">
      <w:pPr>
        <w:spacing w:after="0" w:line="240" w:lineRule="auto"/>
        <w:rPr>
          <w:rFonts w:eastAsia="MS Mincho"/>
          <w:lang w:val="en-AU"/>
        </w:rPr>
      </w:pPr>
    </w:p>
    <w:p w14:paraId="4B3B599E" w14:textId="5C15143D" w:rsidR="00ED27EC" w:rsidRPr="004E508C" w:rsidRDefault="00ED27EC" w:rsidP="00ED27EC">
      <w:pPr>
        <w:pStyle w:val="Heading3Unnumbered"/>
        <w:rPr>
          <w:lang w:val="en-AU"/>
        </w:rPr>
      </w:pPr>
      <w:r w:rsidRPr="004E508C">
        <w:rPr>
          <w:lang w:val="en-AU"/>
        </w:rPr>
        <w:t>Special patient populations</w:t>
      </w:r>
    </w:p>
    <w:p w14:paraId="72FCB67E" w14:textId="0EB26574" w:rsidR="00740731" w:rsidRPr="004E508C" w:rsidRDefault="00740731" w:rsidP="00740731">
      <w:pPr>
        <w:pStyle w:val="Heading4Unnumbered"/>
        <w:rPr>
          <w:lang w:val="en-AU"/>
        </w:rPr>
      </w:pPr>
      <w:r w:rsidRPr="004E508C">
        <w:rPr>
          <w:lang w:val="en-AU"/>
        </w:rPr>
        <w:t>Use in the elderly</w:t>
      </w:r>
    </w:p>
    <w:p w14:paraId="2EDA9461" w14:textId="693D71F4" w:rsidR="00740731" w:rsidRPr="004E508C" w:rsidRDefault="00740731" w:rsidP="00740731">
      <w:pPr>
        <w:spacing w:after="0" w:line="240" w:lineRule="auto"/>
        <w:rPr>
          <w:lang w:val="en-AU"/>
        </w:rPr>
      </w:pPr>
      <w:r w:rsidRPr="004E508C">
        <w:rPr>
          <w:lang w:val="en-AU"/>
        </w:rPr>
        <w:t xml:space="preserve">No dose adjustment of </w:t>
      </w:r>
      <w:r w:rsidR="00530AB6" w:rsidRPr="004E508C">
        <w:rPr>
          <w:lang w:val="en-AU"/>
        </w:rPr>
        <w:t>ENHERTU</w:t>
      </w:r>
      <w:r w:rsidRPr="004E508C">
        <w:rPr>
          <w:lang w:val="en-AU"/>
        </w:rPr>
        <w:t xml:space="preserve"> is required in patients aged 65</w:t>
      </w:r>
      <w:r w:rsidRPr="004E508C">
        <w:rPr>
          <w:szCs w:val="20"/>
          <w:lang w:val="en-AU"/>
        </w:rPr>
        <w:t> </w:t>
      </w:r>
      <w:r w:rsidRPr="004E508C">
        <w:rPr>
          <w:lang w:val="en-AU"/>
        </w:rPr>
        <w:t>years or older.</w:t>
      </w:r>
    </w:p>
    <w:p w14:paraId="39A680EF" w14:textId="77777777" w:rsidR="009D1A15" w:rsidRPr="004E508C" w:rsidRDefault="009D1A15" w:rsidP="00740731">
      <w:pPr>
        <w:spacing w:after="0" w:line="240" w:lineRule="auto"/>
        <w:rPr>
          <w:lang w:val="en-AU"/>
        </w:rPr>
      </w:pPr>
    </w:p>
    <w:p w14:paraId="2A8DFC7D" w14:textId="4E70C4CA" w:rsidR="00530AB6" w:rsidRPr="004E508C" w:rsidRDefault="00530AB6" w:rsidP="00530AB6">
      <w:pPr>
        <w:pStyle w:val="Heading4Unnumbered"/>
        <w:rPr>
          <w:lang w:val="en-AU"/>
        </w:rPr>
      </w:pPr>
      <w:r w:rsidRPr="004E508C">
        <w:rPr>
          <w:lang w:val="en-AU"/>
        </w:rPr>
        <w:t>Paediatric use</w:t>
      </w:r>
    </w:p>
    <w:p w14:paraId="30FF07AE" w14:textId="75498DBB" w:rsidR="00960462" w:rsidRPr="004E508C" w:rsidRDefault="00960462" w:rsidP="00960462">
      <w:pPr>
        <w:tabs>
          <w:tab w:val="left" w:pos="1080"/>
        </w:tabs>
        <w:spacing w:after="0" w:line="240" w:lineRule="auto"/>
        <w:rPr>
          <w:szCs w:val="20"/>
          <w:lang w:val="en-AU"/>
        </w:rPr>
      </w:pPr>
      <w:r w:rsidRPr="004E508C">
        <w:rPr>
          <w:szCs w:val="20"/>
          <w:lang w:val="en-AU"/>
        </w:rPr>
        <w:t>The safety and efficacy in children and adolescents below 18 years of age have not been established as there is no relevant use in the p</w:t>
      </w:r>
      <w:r w:rsidR="00B23848" w:rsidRPr="004E508C">
        <w:rPr>
          <w:szCs w:val="20"/>
          <w:lang w:val="en-AU"/>
        </w:rPr>
        <w:t>a</w:t>
      </w:r>
      <w:r w:rsidRPr="004E508C">
        <w:rPr>
          <w:szCs w:val="20"/>
          <w:lang w:val="en-AU"/>
        </w:rPr>
        <w:t>ediatric population for the indication of metastatic breast cancer.</w:t>
      </w:r>
    </w:p>
    <w:p w14:paraId="0EF4BB9F" w14:textId="77777777" w:rsidR="00223FE5" w:rsidRPr="004E508C" w:rsidRDefault="00223FE5" w:rsidP="00960462">
      <w:pPr>
        <w:tabs>
          <w:tab w:val="left" w:pos="1080"/>
        </w:tabs>
        <w:spacing w:after="0" w:line="240" w:lineRule="auto"/>
        <w:rPr>
          <w:szCs w:val="20"/>
          <w:lang w:val="en-AU"/>
        </w:rPr>
      </w:pPr>
    </w:p>
    <w:p w14:paraId="3EE9D246" w14:textId="3BF209E9" w:rsidR="00ED27EC" w:rsidRPr="004E508C" w:rsidRDefault="00ED27EC" w:rsidP="00223FE5">
      <w:pPr>
        <w:pStyle w:val="Heading4Unnumbered"/>
        <w:rPr>
          <w:lang w:val="en-AU"/>
        </w:rPr>
      </w:pPr>
      <w:r w:rsidRPr="004E508C">
        <w:rPr>
          <w:lang w:val="en-AU"/>
        </w:rPr>
        <w:t>Renal impairment</w:t>
      </w:r>
    </w:p>
    <w:p w14:paraId="0B6DA9A7" w14:textId="21CF34F3" w:rsidR="00960462" w:rsidRPr="004E508C" w:rsidRDefault="00960462" w:rsidP="00960462">
      <w:pPr>
        <w:spacing w:after="0" w:line="240" w:lineRule="auto"/>
        <w:rPr>
          <w:szCs w:val="20"/>
          <w:lang w:val="en-AU"/>
        </w:rPr>
      </w:pPr>
      <w:bookmarkStart w:id="8" w:name="_Hlk11681035"/>
      <w:r w:rsidRPr="004E508C">
        <w:rPr>
          <w:szCs w:val="20"/>
          <w:lang w:val="en-AU"/>
        </w:rPr>
        <w:t>No dose adjustment is required in patients with mild (creatinine clearance [</w:t>
      </w:r>
      <w:proofErr w:type="spellStart"/>
      <w:r w:rsidRPr="004E508C">
        <w:rPr>
          <w:szCs w:val="20"/>
          <w:lang w:val="en-AU"/>
        </w:rPr>
        <w:t>CLcr</w:t>
      </w:r>
      <w:proofErr w:type="spellEnd"/>
      <w:r w:rsidRPr="004E508C">
        <w:rPr>
          <w:szCs w:val="20"/>
          <w:lang w:val="en-AU"/>
        </w:rPr>
        <w:t>] ≥60 and &lt;90 mL/min) or moderate (</w:t>
      </w:r>
      <w:proofErr w:type="spellStart"/>
      <w:r w:rsidRPr="004E508C">
        <w:rPr>
          <w:szCs w:val="20"/>
          <w:lang w:val="en-AU"/>
        </w:rPr>
        <w:t>CLcr</w:t>
      </w:r>
      <w:proofErr w:type="spellEnd"/>
      <w:r w:rsidRPr="004E508C">
        <w:rPr>
          <w:szCs w:val="20"/>
          <w:lang w:val="en-AU"/>
        </w:rPr>
        <w:t xml:space="preserve"> ≥30 and &lt;60 mL/min) renal impairment. No data are available in patients with severe renal impairment</w:t>
      </w:r>
      <w:bookmarkEnd w:id="8"/>
      <w:r w:rsidRPr="004E508C">
        <w:rPr>
          <w:szCs w:val="20"/>
          <w:lang w:val="en-AU"/>
        </w:rPr>
        <w:t>.</w:t>
      </w:r>
    </w:p>
    <w:p w14:paraId="4F730AAF" w14:textId="77777777" w:rsidR="00960462" w:rsidRPr="004E508C" w:rsidRDefault="00960462" w:rsidP="00960462">
      <w:pPr>
        <w:tabs>
          <w:tab w:val="left" w:pos="1080"/>
        </w:tabs>
        <w:spacing w:after="0" w:line="240" w:lineRule="auto"/>
        <w:rPr>
          <w:b/>
          <w:bCs/>
          <w:i/>
          <w:szCs w:val="22"/>
          <w:lang w:val="en-AU"/>
        </w:rPr>
      </w:pPr>
    </w:p>
    <w:p w14:paraId="1AF97E50" w14:textId="2248BB5A" w:rsidR="00ED27EC" w:rsidRPr="004E508C" w:rsidRDefault="00ED27EC" w:rsidP="00ED27EC">
      <w:pPr>
        <w:pStyle w:val="Heading4Unnumbered"/>
        <w:rPr>
          <w:lang w:val="en-AU"/>
        </w:rPr>
      </w:pPr>
      <w:r w:rsidRPr="004E508C">
        <w:rPr>
          <w:lang w:val="en-AU"/>
        </w:rPr>
        <w:t>Hepatic impairment</w:t>
      </w:r>
    </w:p>
    <w:p w14:paraId="0BEFA450" w14:textId="252F050D" w:rsidR="00960462" w:rsidRPr="004E508C" w:rsidRDefault="00960462" w:rsidP="00B07F13">
      <w:pPr>
        <w:spacing w:after="0" w:line="240" w:lineRule="auto"/>
        <w:rPr>
          <w:szCs w:val="20"/>
          <w:lang w:val="en-AU"/>
        </w:rPr>
      </w:pPr>
      <w:bookmarkStart w:id="9" w:name="_Hlk11681098"/>
      <w:r w:rsidRPr="004E508C">
        <w:rPr>
          <w:szCs w:val="20"/>
          <w:lang w:val="en-AU"/>
        </w:rPr>
        <w:t>No dose adjustment is required in patients with mild (total bilirubin ≤ULN and any AST &gt;ULN or total bilirubin &gt;1 to 1.5 times ULN and any AST) hepatic impairment. There are insufficient data to make a recommendation on dose adjustment in patients with moderate (total bilirubin &gt;1.5 to 3 times ULN and any AST) hepatic impairment. No data are available in patients with severe (total bilirubin &gt;3 to 10 times ULN and any AST) hepatic impairment.</w:t>
      </w:r>
      <w:bookmarkEnd w:id="9"/>
    </w:p>
    <w:p w14:paraId="50610CF9" w14:textId="77777777" w:rsidR="000D24C0" w:rsidRPr="004E508C" w:rsidRDefault="000D24C0" w:rsidP="00B07F13">
      <w:pPr>
        <w:spacing w:after="0" w:line="240" w:lineRule="auto"/>
        <w:rPr>
          <w:szCs w:val="20"/>
          <w:lang w:val="en-AU"/>
        </w:rPr>
      </w:pPr>
    </w:p>
    <w:p w14:paraId="2536A82B" w14:textId="15A4FDEF" w:rsidR="00ED27EC" w:rsidRPr="004E508C" w:rsidRDefault="00ED27EC" w:rsidP="00ED27EC">
      <w:pPr>
        <w:pStyle w:val="Heading3Unnumbered"/>
        <w:rPr>
          <w:lang w:val="en-AU"/>
        </w:rPr>
      </w:pPr>
      <w:r w:rsidRPr="004E508C">
        <w:rPr>
          <w:lang w:val="en-AU"/>
        </w:rPr>
        <w:t>Method of administration</w:t>
      </w:r>
    </w:p>
    <w:p w14:paraId="4782E388" w14:textId="17E19519" w:rsidR="00B07F13" w:rsidRPr="004E508C" w:rsidRDefault="00B07F13" w:rsidP="00B07F13">
      <w:pPr>
        <w:spacing w:after="0" w:line="240" w:lineRule="auto"/>
        <w:rPr>
          <w:szCs w:val="20"/>
          <w:lang w:val="en-AU"/>
        </w:rPr>
      </w:pPr>
      <w:r w:rsidRPr="004E508C">
        <w:rPr>
          <w:szCs w:val="20"/>
          <w:lang w:val="en-AU"/>
        </w:rPr>
        <w:t>ENHERTU is for intravenous use. It must be reconstituted and diluted by a healthcare professional and administered as an intravenous infusion. ENHERTU must not be administered as an intravenous push or bolus.</w:t>
      </w:r>
    </w:p>
    <w:p w14:paraId="12A91DB2" w14:textId="7CE4E012" w:rsidR="00761F6B" w:rsidRPr="004E508C" w:rsidRDefault="00761F6B" w:rsidP="00B07F13">
      <w:pPr>
        <w:spacing w:after="0" w:line="240" w:lineRule="auto"/>
        <w:rPr>
          <w:szCs w:val="20"/>
          <w:lang w:val="en-AU"/>
        </w:rPr>
      </w:pPr>
    </w:p>
    <w:p w14:paraId="01CDDF7B" w14:textId="66018C92" w:rsidR="00761F6B" w:rsidRPr="004E508C" w:rsidRDefault="00761F6B" w:rsidP="00761F6B">
      <w:pPr>
        <w:spacing w:after="0" w:line="240" w:lineRule="auto"/>
        <w:rPr>
          <w:szCs w:val="20"/>
          <w:lang w:val="en-AU"/>
        </w:rPr>
      </w:pPr>
      <w:bookmarkStart w:id="10" w:name="_Hlk45281888"/>
      <w:r w:rsidRPr="004E508C">
        <w:rPr>
          <w:szCs w:val="20"/>
          <w:lang w:val="en-AU"/>
        </w:rPr>
        <w:lastRenderedPageBreak/>
        <w:t>In order to prevent medicinal product errors, it is important to check the vial labels to ensure that the medicinal product being prepared and administered is ENHERTU (trastuzumab deruxtecan) and not trastuzumab or trastuzumab emtansine.</w:t>
      </w:r>
    </w:p>
    <w:p w14:paraId="520311D4" w14:textId="77777777" w:rsidR="00761F6B" w:rsidRPr="004E508C" w:rsidRDefault="00761F6B" w:rsidP="00761F6B">
      <w:pPr>
        <w:spacing w:after="0" w:line="240" w:lineRule="auto"/>
        <w:rPr>
          <w:szCs w:val="20"/>
          <w:lang w:val="en-AU"/>
        </w:rPr>
      </w:pPr>
    </w:p>
    <w:p w14:paraId="5ACFC8EF" w14:textId="647AB140" w:rsidR="00761F6B" w:rsidRPr="004E508C" w:rsidRDefault="00761F6B" w:rsidP="00761F6B">
      <w:pPr>
        <w:spacing w:after="0" w:line="240" w:lineRule="auto"/>
        <w:rPr>
          <w:szCs w:val="20"/>
          <w:lang w:val="en-AU"/>
        </w:rPr>
      </w:pPr>
      <w:r w:rsidRPr="004E508C">
        <w:rPr>
          <w:szCs w:val="20"/>
          <w:lang w:val="en-AU"/>
        </w:rPr>
        <w:t>Appropriate procedures for the preparation of chemotherapeutic medicinal products should be used. Appropriate aseptic technique should be used for the following reconstitution and dilution procedures.</w:t>
      </w:r>
      <w:bookmarkEnd w:id="10"/>
    </w:p>
    <w:p w14:paraId="51EED9E3" w14:textId="2430DE60" w:rsidR="00761F6B" w:rsidRPr="004E508C" w:rsidRDefault="00761F6B" w:rsidP="00761F6B">
      <w:pPr>
        <w:spacing w:after="0" w:line="240" w:lineRule="auto"/>
        <w:rPr>
          <w:szCs w:val="20"/>
          <w:lang w:val="en-AU"/>
        </w:rPr>
      </w:pPr>
    </w:p>
    <w:p w14:paraId="1E06D8D4" w14:textId="77777777" w:rsidR="00761F6B" w:rsidRPr="004E508C" w:rsidRDefault="00761F6B" w:rsidP="00761F6B">
      <w:pPr>
        <w:pStyle w:val="Heading4Unnumbered"/>
        <w:rPr>
          <w:lang w:val="en-AU"/>
        </w:rPr>
      </w:pPr>
      <w:r w:rsidRPr="004E508C">
        <w:rPr>
          <w:lang w:val="en-AU"/>
        </w:rPr>
        <w:t>Reconstitution</w:t>
      </w:r>
    </w:p>
    <w:p w14:paraId="07B8EE19" w14:textId="77777777" w:rsidR="00761F6B" w:rsidRPr="004E508C" w:rsidRDefault="00761F6B" w:rsidP="00761F6B">
      <w:pPr>
        <w:numPr>
          <w:ilvl w:val="0"/>
          <w:numId w:val="26"/>
        </w:numPr>
        <w:spacing w:after="0" w:line="240" w:lineRule="auto"/>
        <w:ind w:left="360"/>
        <w:rPr>
          <w:szCs w:val="20"/>
          <w:lang w:val="en-AU"/>
        </w:rPr>
      </w:pPr>
      <w:r w:rsidRPr="004E508C">
        <w:rPr>
          <w:szCs w:val="20"/>
          <w:lang w:val="en-AU"/>
        </w:rPr>
        <w:t>Reconstitute immediately before dilution.</w:t>
      </w:r>
    </w:p>
    <w:p w14:paraId="5C92E795" w14:textId="235BDB3D" w:rsidR="00761F6B" w:rsidRPr="004E508C" w:rsidRDefault="00761F6B" w:rsidP="00761F6B">
      <w:pPr>
        <w:numPr>
          <w:ilvl w:val="0"/>
          <w:numId w:val="26"/>
        </w:numPr>
        <w:spacing w:after="0" w:line="240" w:lineRule="auto"/>
        <w:ind w:left="360"/>
        <w:rPr>
          <w:szCs w:val="20"/>
          <w:lang w:val="en-AU"/>
        </w:rPr>
      </w:pPr>
      <w:r w:rsidRPr="004E508C">
        <w:rPr>
          <w:szCs w:val="20"/>
          <w:lang w:val="en-AU"/>
        </w:rPr>
        <w:t>More than one vial may be needed for a full dose. Calculate the dose (mg), the total volume of reconstituted ENHERTU solution required, and the number of vial(s) of ENHERTU needed.</w:t>
      </w:r>
    </w:p>
    <w:p w14:paraId="0ACB294E" w14:textId="44219D99" w:rsidR="00761F6B" w:rsidRPr="004E508C" w:rsidRDefault="00761F6B" w:rsidP="00761F6B">
      <w:pPr>
        <w:numPr>
          <w:ilvl w:val="0"/>
          <w:numId w:val="26"/>
        </w:numPr>
        <w:spacing w:after="0" w:line="240" w:lineRule="auto"/>
        <w:ind w:left="360"/>
        <w:rPr>
          <w:szCs w:val="20"/>
          <w:lang w:val="en-AU"/>
        </w:rPr>
      </w:pPr>
      <w:r w:rsidRPr="004E508C">
        <w:rPr>
          <w:szCs w:val="20"/>
          <w:lang w:val="en-AU"/>
        </w:rPr>
        <w:t>Reconstitute each 100 mg vial using a sterile syringe to slowly inject 5 mL of sterile water for injection into each vial to obtain a final concentration of 20 mg/</w:t>
      </w:r>
      <w:proofErr w:type="spellStart"/>
      <w:r w:rsidRPr="004E508C">
        <w:rPr>
          <w:szCs w:val="20"/>
          <w:lang w:val="en-AU"/>
        </w:rPr>
        <w:t>mL.</w:t>
      </w:r>
      <w:proofErr w:type="spellEnd"/>
    </w:p>
    <w:p w14:paraId="2EFC5793" w14:textId="77777777" w:rsidR="00761F6B" w:rsidRPr="004E508C" w:rsidRDefault="00761F6B" w:rsidP="00761F6B">
      <w:pPr>
        <w:numPr>
          <w:ilvl w:val="0"/>
          <w:numId w:val="26"/>
        </w:numPr>
        <w:spacing w:after="0" w:line="240" w:lineRule="auto"/>
        <w:ind w:left="360"/>
        <w:rPr>
          <w:szCs w:val="20"/>
          <w:lang w:val="en-AU"/>
        </w:rPr>
      </w:pPr>
      <w:r w:rsidRPr="004E508C">
        <w:rPr>
          <w:szCs w:val="20"/>
          <w:lang w:val="en-AU"/>
        </w:rPr>
        <w:t xml:space="preserve">Swirl the vial gently until completely dissolved. </w:t>
      </w:r>
      <w:r w:rsidRPr="004E508C">
        <w:rPr>
          <w:szCs w:val="20"/>
          <w:u w:val="single"/>
          <w:lang w:val="en-AU"/>
        </w:rPr>
        <w:t>Do not shake</w:t>
      </w:r>
      <w:r w:rsidRPr="004E508C">
        <w:rPr>
          <w:szCs w:val="20"/>
          <w:lang w:val="en-AU"/>
        </w:rPr>
        <w:t>.</w:t>
      </w:r>
    </w:p>
    <w:p w14:paraId="21B86BC2" w14:textId="58A7D54A" w:rsidR="00761F6B" w:rsidRPr="004E508C" w:rsidRDefault="00761F6B" w:rsidP="00761F6B">
      <w:pPr>
        <w:numPr>
          <w:ilvl w:val="0"/>
          <w:numId w:val="26"/>
        </w:numPr>
        <w:spacing w:after="0" w:line="240" w:lineRule="auto"/>
        <w:ind w:left="360"/>
        <w:rPr>
          <w:szCs w:val="20"/>
          <w:lang w:val="en-AU"/>
        </w:rPr>
      </w:pPr>
      <w:r w:rsidRPr="004E508C">
        <w:rPr>
          <w:szCs w:val="20"/>
          <w:lang w:val="en-AU"/>
        </w:rPr>
        <w:t>Inspect the reconstituted solution for particulates and discoloration. The solution should be clear and colourless to light yellow. Do not use if visible particles are observed or if the solution is cloudy or discoloured.</w:t>
      </w:r>
    </w:p>
    <w:p w14:paraId="3B0AC4A6" w14:textId="39AE6880" w:rsidR="00761F6B" w:rsidRPr="004E508C" w:rsidRDefault="00761F6B" w:rsidP="00761F6B">
      <w:pPr>
        <w:numPr>
          <w:ilvl w:val="0"/>
          <w:numId w:val="26"/>
        </w:numPr>
        <w:spacing w:after="0" w:line="240" w:lineRule="auto"/>
        <w:ind w:left="360"/>
        <w:rPr>
          <w:szCs w:val="20"/>
          <w:lang w:val="en-AU"/>
        </w:rPr>
      </w:pPr>
      <w:r w:rsidRPr="004E508C">
        <w:rPr>
          <w:szCs w:val="20"/>
          <w:lang w:val="en-AU"/>
        </w:rPr>
        <w:t xml:space="preserve">If not used immediately, store the reconstituted </w:t>
      </w:r>
      <w:r w:rsidR="00063EC9" w:rsidRPr="004E508C">
        <w:rPr>
          <w:szCs w:val="20"/>
          <w:lang w:val="en-AU"/>
        </w:rPr>
        <w:t>ENHERTU</w:t>
      </w:r>
      <w:r w:rsidRPr="004E508C">
        <w:rPr>
          <w:szCs w:val="20"/>
          <w:lang w:val="en-AU"/>
        </w:rPr>
        <w:t xml:space="preserve"> vials in a refrigerator at 2ºC to 8ºC for up to 24 hours from the time of reconstitution, protected from light. </w:t>
      </w:r>
      <w:r w:rsidRPr="004E508C">
        <w:rPr>
          <w:szCs w:val="20"/>
          <w:u w:val="single"/>
          <w:lang w:val="en-AU"/>
        </w:rPr>
        <w:t>Do not freeze</w:t>
      </w:r>
      <w:r w:rsidRPr="004E508C">
        <w:rPr>
          <w:szCs w:val="20"/>
          <w:lang w:val="en-AU"/>
        </w:rPr>
        <w:t>.</w:t>
      </w:r>
    </w:p>
    <w:p w14:paraId="2726DF9C" w14:textId="72EBD090" w:rsidR="00761F6B" w:rsidRPr="004E508C" w:rsidRDefault="00761F6B" w:rsidP="00761F6B">
      <w:pPr>
        <w:numPr>
          <w:ilvl w:val="0"/>
          <w:numId w:val="26"/>
        </w:numPr>
        <w:spacing w:after="0" w:line="240" w:lineRule="auto"/>
        <w:ind w:left="360"/>
        <w:rPr>
          <w:szCs w:val="20"/>
          <w:lang w:val="en-AU"/>
        </w:rPr>
      </w:pPr>
      <w:r w:rsidRPr="004E508C">
        <w:rPr>
          <w:szCs w:val="20"/>
          <w:lang w:val="en-AU"/>
        </w:rPr>
        <w:t xml:space="preserve">The product does not contain a preservative. Discard unused </w:t>
      </w:r>
      <w:r w:rsidR="00063EC9" w:rsidRPr="004E508C">
        <w:rPr>
          <w:szCs w:val="20"/>
          <w:lang w:val="en-AU"/>
        </w:rPr>
        <w:t>ENHERTU</w:t>
      </w:r>
      <w:r w:rsidRPr="004E508C">
        <w:rPr>
          <w:szCs w:val="20"/>
          <w:lang w:val="en-AU"/>
        </w:rPr>
        <w:t xml:space="preserve"> after 24 hours refrigerated.</w:t>
      </w:r>
    </w:p>
    <w:p w14:paraId="01CFE1AB" w14:textId="747A96BB" w:rsidR="00761F6B" w:rsidRPr="004E508C" w:rsidRDefault="00761F6B" w:rsidP="00761F6B">
      <w:pPr>
        <w:spacing w:after="0" w:line="240" w:lineRule="auto"/>
        <w:rPr>
          <w:szCs w:val="20"/>
          <w:lang w:val="en-AU"/>
        </w:rPr>
      </w:pPr>
    </w:p>
    <w:p w14:paraId="2EA1F97A" w14:textId="63D5872A" w:rsidR="00224501" w:rsidRPr="004E508C" w:rsidRDefault="00224501" w:rsidP="00224501">
      <w:pPr>
        <w:pStyle w:val="Heading4Unnumbered"/>
        <w:rPr>
          <w:lang w:val="en-AU"/>
        </w:rPr>
      </w:pPr>
      <w:r w:rsidRPr="004E508C">
        <w:rPr>
          <w:lang w:val="en-AU"/>
        </w:rPr>
        <w:t>Dilution</w:t>
      </w:r>
    </w:p>
    <w:p w14:paraId="097BB942" w14:textId="77777777" w:rsidR="00123C31" w:rsidRPr="004E508C" w:rsidRDefault="00123C31" w:rsidP="00123C31">
      <w:pPr>
        <w:spacing w:after="0" w:line="240" w:lineRule="auto"/>
        <w:rPr>
          <w:szCs w:val="20"/>
          <w:lang w:val="en-AU"/>
        </w:rPr>
      </w:pPr>
      <w:r w:rsidRPr="004E508C">
        <w:rPr>
          <w:szCs w:val="20"/>
          <w:lang w:val="en-AU"/>
        </w:rPr>
        <w:t>Calculation to determine the volume of reconstituted ENHERTU (mL) to be further diluted:</w:t>
      </w:r>
    </w:p>
    <w:p w14:paraId="6A7EC329" w14:textId="77777777" w:rsidR="00123C31" w:rsidRPr="004E508C" w:rsidRDefault="00123C31" w:rsidP="00123C31">
      <w:pPr>
        <w:spacing w:after="0" w:line="240" w:lineRule="auto"/>
        <w:rPr>
          <w:szCs w:val="20"/>
          <w:lang w:val="en-AU"/>
        </w:rPr>
      </w:pPr>
    </w:p>
    <w:p w14:paraId="1C11DFDA" w14:textId="37A2CA51" w:rsidR="00123C31" w:rsidRPr="004E508C" w:rsidRDefault="00123C31" w:rsidP="00123C31">
      <w:pPr>
        <w:rPr>
          <w:sz w:val="22"/>
          <w:szCs w:val="22"/>
          <w:lang w:val="en-AU"/>
        </w:rPr>
      </w:pPr>
      <m:oMathPara>
        <m:oMathParaPr>
          <m:jc m:val="left"/>
        </m:oMathParaPr>
        <m:oMath>
          <m:r>
            <m:rPr>
              <m:sty m:val="b"/>
            </m:rPr>
            <w:rPr>
              <w:rFonts w:ascii="Cambria Math" w:hAnsi="Cambria Math"/>
              <w:lang w:val="en-AU"/>
            </w:rPr>
            <m:t>Reconstituted ENHERTU (mL)</m:t>
          </m:r>
          <m:r>
            <m:rPr>
              <m:sty m:val="p"/>
            </m:rPr>
            <w:rPr>
              <w:rFonts w:ascii="Cambria Math" w:hAnsi="Cambria Math"/>
              <w:lang w:val="en-AU"/>
            </w:rPr>
            <m:t>=</m:t>
          </m:r>
          <m:f>
            <m:fPr>
              <m:ctrlPr>
                <w:rPr>
                  <w:rFonts w:ascii="Cambria Math" w:eastAsiaTheme="minorHAnsi" w:hAnsi="Cambria Math"/>
                  <w:sz w:val="22"/>
                  <w:szCs w:val="22"/>
                  <w:lang w:val="en-AU"/>
                </w:rPr>
              </m:ctrlPr>
            </m:fPr>
            <m:num>
              <m:r>
                <m:rPr>
                  <m:sty m:val="p"/>
                </m:rPr>
                <w:rPr>
                  <w:rFonts w:ascii="Cambria Math" w:hAnsi="Cambria Math"/>
                  <w:lang w:val="en-AU"/>
                </w:rPr>
                <m:t>ENHERTU dose (mg/kg) x Patient’s Body Weight (kg)</m:t>
              </m:r>
            </m:num>
            <m:den>
              <m:r>
                <m:rPr>
                  <m:sty m:val="p"/>
                </m:rPr>
                <w:rPr>
                  <w:rFonts w:ascii="Cambria Math" w:hAnsi="Cambria Math"/>
                  <w:lang w:val="en-AU"/>
                </w:rPr>
                <m:t>20 mg/mL</m:t>
              </m:r>
            </m:den>
          </m:f>
        </m:oMath>
      </m:oMathPara>
    </w:p>
    <w:p w14:paraId="16EC81BC" w14:textId="5BAD0AE3" w:rsidR="00224501" w:rsidRPr="004E508C" w:rsidRDefault="00224501" w:rsidP="00224501">
      <w:pPr>
        <w:numPr>
          <w:ilvl w:val="0"/>
          <w:numId w:val="27"/>
        </w:numPr>
        <w:spacing w:after="0" w:line="240" w:lineRule="auto"/>
        <w:rPr>
          <w:szCs w:val="20"/>
          <w:lang w:val="en-AU"/>
        </w:rPr>
      </w:pPr>
      <w:r w:rsidRPr="004E508C">
        <w:rPr>
          <w:szCs w:val="20"/>
          <w:lang w:val="en-AU"/>
        </w:rPr>
        <w:t xml:space="preserve">Dilute the calculated volume of reconstituted ENHERTU in an infusion bag containing 100 mL of 5% dextrose solution. </w:t>
      </w:r>
      <w:r w:rsidRPr="004E508C">
        <w:rPr>
          <w:szCs w:val="20"/>
          <w:u w:val="single"/>
          <w:lang w:val="en-AU"/>
        </w:rPr>
        <w:t>Do not use sodium chloride solution (see </w:t>
      </w:r>
      <w:r w:rsidR="007A3519" w:rsidRPr="004E508C">
        <w:rPr>
          <w:szCs w:val="20"/>
          <w:u w:val="single"/>
          <w:lang w:val="en-AU"/>
        </w:rPr>
        <w:t>S</w:t>
      </w:r>
      <w:r w:rsidRPr="004E508C">
        <w:rPr>
          <w:szCs w:val="20"/>
          <w:u w:val="single"/>
          <w:lang w:val="en-AU"/>
        </w:rPr>
        <w:t>ection 6.2</w:t>
      </w:r>
      <w:r w:rsidR="00005AD8" w:rsidRPr="004E508C">
        <w:rPr>
          <w:szCs w:val="20"/>
          <w:u w:val="single"/>
          <w:lang w:val="en-AU"/>
        </w:rPr>
        <w:t xml:space="preserve"> Incompatibilities</w:t>
      </w:r>
      <w:r w:rsidRPr="004E508C">
        <w:rPr>
          <w:szCs w:val="20"/>
          <w:u w:val="single"/>
          <w:lang w:val="en-AU"/>
        </w:rPr>
        <w:t>)</w:t>
      </w:r>
      <w:r w:rsidRPr="004E508C">
        <w:rPr>
          <w:szCs w:val="20"/>
          <w:lang w:val="en-AU"/>
        </w:rPr>
        <w:t>. An infusion bag made of polyvinylchloride or polyolefin (copolymer of ethylene and polypropylene) is recommended.</w:t>
      </w:r>
    </w:p>
    <w:p w14:paraId="0A39B68F" w14:textId="77777777" w:rsidR="00224501" w:rsidRPr="004E508C" w:rsidRDefault="00224501" w:rsidP="00224501">
      <w:pPr>
        <w:numPr>
          <w:ilvl w:val="0"/>
          <w:numId w:val="27"/>
        </w:numPr>
        <w:spacing w:after="0" w:line="240" w:lineRule="auto"/>
        <w:rPr>
          <w:szCs w:val="20"/>
          <w:lang w:val="en-AU"/>
        </w:rPr>
      </w:pPr>
      <w:r w:rsidRPr="004E508C">
        <w:rPr>
          <w:szCs w:val="20"/>
          <w:lang w:val="en-AU"/>
        </w:rPr>
        <w:t xml:space="preserve">Gently invert the infusion bag to thoroughly mix the solution. </w:t>
      </w:r>
      <w:r w:rsidRPr="004E508C">
        <w:rPr>
          <w:szCs w:val="20"/>
          <w:u w:val="single"/>
          <w:lang w:val="en-AU"/>
        </w:rPr>
        <w:t>Do not shake.</w:t>
      </w:r>
    </w:p>
    <w:p w14:paraId="631D3455" w14:textId="188799EF" w:rsidR="00224501" w:rsidRPr="004E508C" w:rsidRDefault="00224501" w:rsidP="00224501">
      <w:pPr>
        <w:numPr>
          <w:ilvl w:val="0"/>
          <w:numId w:val="27"/>
        </w:numPr>
        <w:spacing w:after="0" w:line="240" w:lineRule="auto"/>
        <w:rPr>
          <w:szCs w:val="20"/>
          <w:lang w:val="en-AU"/>
        </w:rPr>
      </w:pPr>
      <w:r w:rsidRPr="004E508C">
        <w:rPr>
          <w:szCs w:val="20"/>
          <w:lang w:val="en-AU"/>
        </w:rPr>
        <w:t>Cover the infusion bag to protect from light.</w:t>
      </w:r>
    </w:p>
    <w:p w14:paraId="726D9D68" w14:textId="252915C8" w:rsidR="00224501" w:rsidRPr="004E508C" w:rsidRDefault="00224501" w:rsidP="00224501">
      <w:pPr>
        <w:numPr>
          <w:ilvl w:val="0"/>
          <w:numId w:val="27"/>
        </w:numPr>
        <w:spacing w:after="0" w:line="240" w:lineRule="auto"/>
        <w:rPr>
          <w:szCs w:val="20"/>
          <w:lang w:val="en-AU"/>
        </w:rPr>
      </w:pPr>
      <w:r w:rsidRPr="004E508C">
        <w:rPr>
          <w:szCs w:val="20"/>
          <w:lang w:val="en-AU"/>
        </w:rPr>
        <w:t xml:space="preserve">If not used immediately, store at room temperature for up to 4 hours including preparation and infusion or in a refrigerator at 2ºC to 8ºC for up to 24 hours, protected from light. </w:t>
      </w:r>
      <w:r w:rsidRPr="004E508C">
        <w:rPr>
          <w:szCs w:val="20"/>
          <w:u w:val="single"/>
          <w:lang w:val="en-AU"/>
        </w:rPr>
        <w:t>Do not freeze</w:t>
      </w:r>
      <w:r w:rsidRPr="004E508C">
        <w:rPr>
          <w:szCs w:val="20"/>
          <w:lang w:val="en-AU"/>
        </w:rPr>
        <w:t>.</w:t>
      </w:r>
    </w:p>
    <w:p w14:paraId="723C9AA3" w14:textId="77777777" w:rsidR="00224501" w:rsidRPr="004E508C" w:rsidRDefault="00224501" w:rsidP="00224501">
      <w:pPr>
        <w:numPr>
          <w:ilvl w:val="0"/>
          <w:numId w:val="27"/>
        </w:numPr>
        <w:spacing w:after="0" w:line="240" w:lineRule="auto"/>
        <w:rPr>
          <w:szCs w:val="20"/>
          <w:lang w:val="en-AU"/>
        </w:rPr>
      </w:pPr>
      <w:r w:rsidRPr="004E508C">
        <w:rPr>
          <w:szCs w:val="20"/>
          <w:lang w:val="en-AU"/>
        </w:rPr>
        <w:t>Discard any unused portion left in the vial.</w:t>
      </w:r>
    </w:p>
    <w:p w14:paraId="73750B65" w14:textId="77777777" w:rsidR="00761F6B" w:rsidRPr="004E508C" w:rsidRDefault="00761F6B" w:rsidP="00B07F13">
      <w:pPr>
        <w:spacing w:after="0" w:line="240" w:lineRule="auto"/>
        <w:rPr>
          <w:szCs w:val="20"/>
          <w:lang w:val="en-AU"/>
        </w:rPr>
      </w:pPr>
    </w:p>
    <w:p w14:paraId="6336DA32" w14:textId="77777777" w:rsidR="00224501" w:rsidRPr="004E508C" w:rsidRDefault="00224501" w:rsidP="00224501">
      <w:pPr>
        <w:pStyle w:val="Heading4Unnumbered"/>
        <w:rPr>
          <w:lang w:val="en-AU"/>
        </w:rPr>
      </w:pPr>
      <w:r w:rsidRPr="004E508C">
        <w:rPr>
          <w:lang w:val="en-AU"/>
        </w:rPr>
        <w:t>Administration</w:t>
      </w:r>
    </w:p>
    <w:p w14:paraId="4A5DA580" w14:textId="77777777" w:rsidR="00224501" w:rsidRPr="004E508C" w:rsidRDefault="00224501" w:rsidP="00224501">
      <w:pPr>
        <w:numPr>
          <w:ilvl w:val="0"/>
          <w:numId w:val="28"/>
        </w:numPr>
        <w:spacing w:after="0" w:line="240" w:lineRule="auto"/>
        <w:contextualSpacing/>
        <w:rPr>
          <w:szCs w:val="20"/>
          <w:lang w:val="en-AU"/>
        </w:rPr>
      </w:pPr>
      <w:r w:rsidRPr="004E508C">
        <w:rPr>
          <w:szCs w:val="20"/>
          <w:lang w:val="en-AU"/>
        </w:rPr>
        <w:t>If the prepared infusion solution was stored refrigerated (2ºC</w:t>
      </w:r>
      <w:r w:rsidRPr="004E508C">
        <w:rPr>
          <w:rFonts w:cs="Arial"/>
          <w:szCs w:val="20"/>
          <w:lang w:val="en-AU"/>
        </w:rPr>
        <w:t> </w:t>
      </w:r>
      <w:r w:rsidRPr="004E508C">
        <w:rPr>
          <w:szCs w:val="20"/>
          <w:lang w:val="en-AU"/>
        </w:rPr>
        <w:t>to</w:t>
      </w:r>
      <w:r w:rsidRPr="004E508C">
        <w:rPr>
          <w:rFonts w:cs="Arial"/>
          <w:szCs w:val="20"/>
          <w:lang w:val="en-AU"/>
        </w:rPr>
        <w:t> </w:t>
      </w:r>
      <w:r w:rsidRPr="004E508C">
        <w:rPr>
          <w:szCs w:val="20"/>
          <w:lang w:val="en-AU"/>
        </w:rPr>
        <w:t>8ºC), it is recommended that the solution be allowed to equilibrate to room temperature prior to administration.</w:t>
      </w:r>
    </w:p>
    <w:p w14:paraId="05A30A94" w14:textId="5F2D9E5C" w:rsidR="00224501" w:rsidRPr="004E508C" w:rsidRDefault="00224501" w:rsidP="00224501">
      <w:pPr>
        <w:numPr>
          <w:ilvl w:val="0"/>
          <w:numId w:val="28"/>
        </w:numPr>
        <w:spacing w:after="0" w:line="240" w:lineRule="auto"/>
        <w:contextualSpacing/>
        <w:rPr>
          <w:szCs w:val="20"/>
          <w:lang w:val="en-AU"/>
        </w:rPr>
      </w:pPr>
      <w:r w:rsidRPr="004E508C">
        <w:rPr>
          <w:szCs w:val="20"/>
          <w:lang w:val="en-AU"/>
        </w:rPr>
        <w:t xml:space="preserve">Administer </w:t>
      </w:r>
      <w:r w:rsidR="00CE78F7" w:rsidRPr="004E508C">
        <w:rPr>
          <w:szCs w:val="20"/>
          <w:lang w:val="en-AU"/>
        </w:rPr>
        <w:t>ENHERTU</w:t>
      </w:r>
      <w:r w:rsidRPr="004E508C">
        <w:rPr>
          <w:szCs w:val="20"/>
          <w:lang w:val="en-AU"/>
        </w:rPr>
        <w:t xml:space="preserve"> as an intravenous infusion only with a 0.20 or 0.22 micron in</w:t>
      </w:r>
      <w:r w:rsidRPr="004E508C">
        <w:rPr>
          <w:rFonts w:cs="Arial"/>
          <w:szCs w:val="20"/>
          <w:lang w:val="en-AU"/>
        </w:rPr>
        <w:noBreakHyphen/>
      </w:r>
      <w:r w:rsidRPr="004E508C">
        <w:rPr>
          <w:szCs w:val="20"/>
          <w:lang w:val="en-AU"/>
        </w:rPr>
        <w:t xml:space="preserve">line </w:t>
      </w:r>
      <w:proofErr w:type="spellStart"/>
      <w:r w:rsidRPr="004E508C">
        <w:rPr>
          <w:szCs w:val="20"/>
          <w:lang w:val="en-AU"/>
        </w:rPr>
        <w:t>polyethersulfone</w:t>
      </w:r>
      <w:proofErr w:type="spellEnd"/>
      <w:r w:rsidRPr="004E508C">
        <w:rPr>
          <w:szCs w:val="20"/>
          <w:lang w:val="en-AU"/>
        </w:rPr>
        <w:t xml:space="preserve"> (PES) or </w:t>
      </w:r>
      <w:proofErr w:type="spellStart"/>
      <w:r w:rsidRPr="004E508C">
        <w:rPr>
          <w:szCs w:val="20"/>
          <w:lang w:val="en-AU"/>
        </w:rPr>
        <w:t>polysulfone</w:t>
      </w:r>
      <w:proofErr w:type="spellEnd"/>
      <w:r w:rsidRPr="004E508C">
        <w:rPr>
          <w:szCs w:val="20"/>
          <w:lang w:val="en-AU"/>
        </w:rPr>
        <w:t xml:space="preserve"> (PS) filter. Do not administer as an intravenous push or bolus.</w:t>
      </w:r>
    </w:p>
    <w:p w14:paraId="5AD97288" w14:textId="4075DDCD" w:rsidR="00224501" w:rsidRPr="004E508C" w:rsidRDefault="00224501" w:rsidP="00224501">
      <w:pPr>
        <w:numPr>
          <w:ilvl w:val="0"/>
          <w:numId w:val="28"/>
        </w:numPr>
        <w:spacing w:after="0" w:line="240" w:lineRule="auto"/>
        <w:contextualSpacing/>
        <w:rPr>
          <w:szCs w:val="20"/>
          <w:lang w:val="en-AU"/>
        </w:rPr>
      </w:pPr>
      <w:r w:rsidRPr="004E508C">
        <w:rPr>
          <w:szCs w:val="20"/>
          <w:lang w:val="en-AU"/>
        </w:rPr>
        <w:t xml:space="preserve">Do not mix </w:t>
      </w:r>
      <w:r w:rsidR="00CE78F7" w:rsidRPr="004E508C">
        <w:rPr>
          <w:szCs w:val="20"/>
          <w:lang w:val="en-AU"/>
        </w:rPr>
        <w:t>ENHERTU</w:t>
      </w:r>
      <w:r w:rsidRPr="004E508C">
        <w:rPr>
          <w:szCs w:val="20"/>
          <w:lang w:val="en-AU"/>
        </w:rPr>
        <w:t xml:space="preserve"> with other medicinal products or administer other medicinal products through the same intravenous line.</w:t>
      </w:r>
    </w:p>
    <w:p w14:paraId="035FAB22" w14:textId="77777777" w:rsidR="00B07F13" w:rsidRPr="004E508C" w:rsidRDefault="00B07F13" w:rsidP="00B07F13">
      <w:pPr>
        <w:spacing w:after="0" w:line="240" w:lineRule="auto"/>
        <w:rPr>
          <w:szCs w:val="20"/>
          <w:lang w:val="en-AU"/>
        </w:rPr>
      </w:pPr>
    </w:p>
    <w:p w14:paraId="34E1CDD2" w14:textId="77777777" w:rsidR="001A3992" w:rsidRPr="004E508C" w:rsidRDefault="001A3992" w:rsidP="00EE3AC8">
      <w:pPr>
        <w:pStyle w:val="Heading2"/>
        <w:rPr>
          <w:lang w:val="en-AU"/>
        </w:rPr>
      </w:pPr>
      <w:r w:rsidRPr="004E508C">
        <w:rPr>
          <w:lang w:val="en-AU"/>
        </w:rPr>
        <w:t>Contraindications</w:t>
      </w:r>
    </w:p>
    <w:p w14:paraId="3E347F0A" w14:textId="5500AC10" w:rsidR="00F01763" w:rsidRPr="004E508C" w:rsidRDefault="00F01763" w:rsidP="00F01763">
      <w:pPr>
        <w:spacing w:after="0" w:line="240" w:lineRule="auto"/>
        <w:rPr>
          <w:szCs w:val="20"/>
          <w:lang w:val="en-AU"/>
        </w:rPr>
      </w:pPr>
      <w:r w:rsidRPr="004E508C">
        <w:rPr>
          <w:szCs w:val="20"/>
          <w:lang w:val="en-AU"/>
        </w:rPr>
        <w:t>None.</w:t>
      </w:r>
    </w:p>
    <w:p w14:paraId="15D5CEB0" w14:textId="77777777" w:rsidR="00F01763" w:rsidRPr="004E508C" w:rsidRDefault="00F01763" w:rsidP="00F01763">
      <w:pPr>
        <w:spacing w:after="0" w:line="240" w:lineRule="auto"/>
        <w:rPr>
          <w:szCs w:val="20"/>
          <w:lang w:val="en-AU"/>
        </w:rPr>
      </w:pPr>
    </w:p>
    <w:p w14:paraId="4ACE7EEC" w14:textId="77777777" w:rsidR="001A3992" w:rsidRPr="004E508C" w:rsidRDefault="00E74A56" w:rsidP="003B7CFF">
      <w:pPr>
        <w:pStyle w:val="Heading2"/>
        <w:rPr>
          <w:lang w:val="en-AU"/>
        </w:rPr>
      </w:pPr>
      <w:r w:rsidRPr="004E508C">
        <w:rPr>
          <w:lang w:val="en-AU"/>
        </w:rPr>
        <w:t>Special warnings and p</w:t>
      </w:r>
      <w:r w:rsidR="001A3992" w:rsidRPr="004E508C">
        <w:rPr>
          <w:lang w:val="en-AU"/>
        </w:rPr>
        <w:t xml:space="preserve">recautions </w:t>
      </w:r>
      <w:r w:rsidRPr="004E508C">
        <w:rPr>
          <w:lang w:val="en-AU"/>
        </w:rPr>
        <w:t>for use</w:t>
      </w:r>
    </w:p>
    <w:p w14:paraId="0C435DC2" w14:textId="6E1467A7" w:rsidR="00FC02CB" w:rsidRPr="004E508C" w:rsidRDefault="00FC02CB" w:rsidP="00270432">
      <w:pPr>
        <w:pStyle w:val="Heading3Unnumbered"/>
        <w:rPr>
          <w:lang w:val="en-AU"/>
        </w:rPr>
      </w:pPr>
      <w:bookmarkStart w:id="11" w:name="_Toc23341358"/>
      <w:bookmarkStart w:id="12" w:name="_Toc34804472"/>
      <w:r w:rsidRPr="004E508C">
        <w:rPr>
          <w:lang w:val="en-AU"/>
        </w:rPr>
        <w:t>Interstitial Lung Disease</w:t>
      </w:r>
      <w:bookmarkEnd w:id="11"/>
      <w:r w:rsidRPr="004E508C">
        <w:rPr>
          <w:lang w:val="en-AU"/>
        </w:rPr>
        <w:t>/Pneumonitis</w:t>
      </w:r>
      <w:bookmarkEnd w:id="12"/>
    </w:p>
    <w:p w14:paraId="04C9950E" w14:textId="343556B9" w:rsidR="00FC02CB" w:rsidRPr="004E508C" w:rsidRDefault="00FC02CB" w:rsidP="00FC02CB">
      <w:pPr>
        <w:spacing w:after="0" w:line="240" w:lineRule="auto"/>
        <w:rPr>
          <w:szCs w:val="20"/>
          <w:lang w:val="en-AU"/>
        </w:rPr>
      </w:pPr>
      <w:r w:rsidRPr="004E508C">
        <w:rPr>
          <w:szCs w:val="20"/>
          <w:lang w:val="en-AU"/>
        </w:rPr>
        <w:t xml:space="preserve">Cases of interstitial lung disease (ILD) and/or pneumonitis, have been reported with </w:t>
      </w:r>
      <w:r w:rsidR="00C032B2" w:rsidRPr="004E508C">
        <w:rPr>
          <w:szCs w:val="20"/>
          <w:lang w:val="en-AU"/>
        </w:rPr>
        <w:t xml:space="preserve">ENHERTU </w:t>
      </w:r>
      <w:r w:rsidR="00005AD8" w:rsidRPr="004E508C">
        <w:rPr>
          <w:szCs w:val="20"/>
          <w:lang w:val="en-AU"/>
        </w:rPr>
        <w:t>[</w:t>
      </w:r>
      <w:r w:rsidRPr="004E508C">
        <w:rPr>
          <w:szCs w:val="20"/>
          <w:lang w:val="en-AU"/>
        </w:rPr>
        <w:t xml:space="preserve">see </w:t>
      </w:r>
      <w:r w:rsidR="007A3519" w:rsidRPr="004E508C">
        <w:rPr>
          <w:szCs w:val="20"/>
          <w:lang w:val="en-AU"/>
        </w:rPr>
        <w:t>S</w:t>
      </w:r>
      <w:r w:rsidRPr="004E508C">
        <w:rPr>
          <w:szCs w:val="20"/>
          <w:lang w:val="en-AU"/>
        </w:rPr>
        <w:t>ection 4.</w:t>
      </w:r>
      <w:r w:rsidR="00005AD8" w:rsidRPr="004E508C">
        <w:rPr>
          <w:szCs w:val="20"/>
          <w:lang w:val="en-AU"/>
        </w:rPr>
        <w:t>8 Adverse effects (undesirable effects)]</w:t>
      </w:r>
      <w:r w:rsidRPr="004E508C">
        <w:rPr>
          <w:szCs w:val="20"/>
          <w:lang w:val="en-AU"/>
        </w:rPr>
        <w:t>. Fatal outcomes have been observed. In clinical studies, of the 234 patients with unresectable or metastatic HER2</w:t>
      </w:r>
      <w:r w:rsidRPr="004E508C">
        <w:rPr>
          <w:szCs w:val="20"/>
          <w:lang w:val="en-AU"/>
        </w:rPr>
        <w:noBreakHyphen/>
        <w:t xml:space="preserve">positive breast cancer treated with </w:t>
      </w:r>
      <w:r w:rsidR="00C032B2" w:rsidRPr="004E508C">
        <w:rPr>
          <w:szCs w:val="20"/>
          <w:lang w:val="en-AU"/>
        </w:rPr>
        <w:t>ENHERTU</w:t>
      </w:r>
      <w:r w:rsidRPr="004E508C">
        <w:rPr>
          <w:szCs w:val="20"/>
          <w:lang w:val="en-AU"/>
        </w:rPr>
        <w:t xml:space="preserve"> 5.4 mg/kg, ILD occurred in 13.7% of patients as determined by independent review. Most ILD cases were Grade 1 (2.6%), Grade 2 (8.1%), or Grade 3 (0.4%). Grade</w:t>
      </w:r>
      <w:bookmarkStart w:id="13" w:name="_Hlk23933119"/>
      <w:r w:rsidRPr="004E508C">
        <w:rPr>
          <w:szCs w:val="20"/>
          <w:lang w:val="en-AU"/>
        </w:rPr>
        <w:t> </w:t>
      </w:r>
      <w:bookmarkEnd w:id="13"/>
      <w:r w:rsidRPr="004E508C">
        <w:rPr>
          <w:szCs w:val="20"/>
          <w:lang w:val="en-AU"/>
        </w:rPr>
        <w:t>5 events occurred in 2.6% of patients. Median time to first onset was 4.4 months (range: 1.2 to 11.1).</w:t>
      </w:r>
    </w:p>
    <w:p w14:paraId="4467F91A" w14:textId="77777777" w:rsidR="00FC02CB" w:rsidRPr="004E508C" w:rsidRDefault="00FC02CB" w:rsidP="00FC02CB">
      <w:pPr>
        <w:spacing w:after="0" w:line="240" w:lineRule="auto"/>
        <w:rPr>
          <w:szCs w:val="20"/>
          <w:lang w:val="en-AU"/>
        </w:rPr>
      </w:pPr>
    </w:p>
    <w:p w14:paraId="63CC2B11" w14:textId="07332894" w:rsidR="00FC02CB" w:rsidRPr="000F4813" w:rsidRDefault="00FC02CB" w:rsidP="00FC02CB">
      <w:pPr>
        <w:spacing w:after="0" w:line="240" w:lineRule="auto"/>
        <w:rPr>
          <w:szCs w:val="20"/>
          <w:lang w:val="en-AU"/>
        </w:rPr>
      </w:pPr>
      <w:r w:rsidRPr="000F4813">
        <w:rPr>
          <w:szCs w:val="20"/>
          <w:lang w:val="en-AU"/>
        </w:rPr>
        <w:t xml:space="preserve">Patients should be advised to immediately report cough, </w:t>
      </w:r>
      <w:r w:rsidR="000F4813" w:rsidRPr="000F4813">
        <w:rPr>
          <w:szCs w:val="20"/>
          <w:lang w:val="en-AU"/>
        </w:rPr>
        <w:t>dyspnoea</w:t>
      </w:r>
      <w:r w:rsidRPr="000F4813">
        <w:rPr>
          <w:szCs w:val="20"/>
          <w:lang w:val="en-AU"/>
        </w:rPr>
        <w:t>, fever, and/or any new or worsening respiratory symptoms. Patients should be monitored for signs and symptoms of ILD/pneumonitis. Evidence of ILD/pneumonitis should be promptly investigated. Patients with suspected ILD/pneumonitis should be evaluated by radiographic imaging. Consultation with a pulmonologist should be considered. For asymptomatic (Grade 1) ILD/pneumonitis, consider corticosteroid treatment (e.g., ≥0.5 mg/kg</w:t>
      </w:r>
      <w:r w:rsidR="00F14ED1" w:rsidRPr="000F4813">
        <w:rPr>
          <w:szCs w:val="20"/>
          <w:lang w:val="en-AU"/>
        </w:rPr>
        <w:t>/day</w:t>
      </w:r>
      <w:r w:rsidRPr="000F4813">
        <w:rPr>
          <w:szCs w:val="20"/>
          <w:lang w:val="en-AU"/>
        </w:rPr>
        <w:t xml:space="preserve"> prednisolone or equivalent). </w:t>
      </w:r>
      <w:r w:rsidR="00C032B2" w:rsidRPr="000F4813">
        <w:rPr>
          <w:szCs w:val="20"/>
          <w:lang w:val="en-AU"/>
        </w:rPr>
        <w:t>ENHERTU</w:t>
      </w:r>
      <w:r w:rsidRPr="000F4813">
        <w:rPr>
          <w:szCs w:val="20"/>
          <w:lang w:val="en-AU"/>
        </w:rPr>
        <w:t xml:space="preserve"> should be withheld until recovery to Grade 0 and may be resumed according to instructions in Table 2 (see section 4.2). For symptomatic ILD/pneumonitis (Grade 2 or greater), promptly initiate </w:t>
      </w:r>
      <w:r w:rsidR="00F14ED1" w:rsidRPr="000F4813">
        <w:rPr>
          <w:szCs w:val="20"/>
          <w:lang w:val="en-AU"/>
        </w:rPr>
        <w:t xml:space="preserve">systemic </w:t>
      </w:r>
      <w:r w:rsidRPr="000F4813">
        <w:rPr>
          <w:szCs w:val="20"/>
          <w:lang w:val="en-AU"/>
        </w:rPr>
        <w:t>corticosteroid treatment (e.g., ≥1 mg/kg</w:t>
      </w:r>
      <w:r w:rsidR="00F14ED1" w:rsidRPr="000F4813">
        <w:rPr>
          <w:szCs w:val="20"/>
          <w:lang w:val="en-AU"/>
        </w:rPr>
        <w:t>/day</w:t>
      </w:r>
      <w:r w:rsidRPr="000F4813">
        <w:rPr>
          <w:szCs w:val="20"/>
          <w:lang w:val="en-AU"/>
        </w:rPr>
        <w:t xml:space="preserve"> prednisolone or equivalent)</w:t>
      </w:r>
      <w:r w:rsidR="00F14ED1" w:rsidRPr="000F4813">
        <w:rPr>
          <w:szCs w:val="20"/>
          <w:lang w:val="en-AU"/>
        </w:rPr>
        <w:t xml:space="preserve"> and continue for at least 14 days </w:t>
      </w:r>
      <w:r w:rsidR="00F275FC">
        <w:rPr>
          <w:szCs w:val="20"/>
          <w:lang w:val="en-AU"/>
        </w:rPr>
        <w:t xml:space="preserve">followed by </w:t>
      </w:r>
      <w:r w:rsidRPr="000F4813">
        <w:rPr>
          <w:szCs w:val="20"/>
          <w:lang w:val="en-AU"/>
        </w:rPr>
        <w:t xml:space="preserve">gradual taper </w:t>
      </w:r>
      <w:r w:rsidR="00F14ED1" w:rsidRPr="000F4813">
        <w:rPr>
          <w:szCs w:val="20"/>
          <w:lang w:val="en-AU"/>
        </w:rPr>
        <w:t>for at least</w:t>
      </w:r>
      <w:r w:rsidRPr="000F4813">
        <w:rPr>
          <w:szCs w:val="20"/>
          <w:lang w:val="en-AU"/>
        </w:rPr>
        <w:t xml:space="preserve"> 4 weeks. </w:t>
      </w:r>
      <w:r w:rsidR="00C032B2" w:rsidRPr="000F4813">
        <w:rPr>
          <w:szCs w:val="20"/>
          <w:lang w:val="en-AU"/>
        </w:rPr>
        <w:t>ENHERTU</w:t>
      </w:r>
      <w:r w:rsidRPr="000F4813">
        <w:rPr>
          <w:szCs w:val="20"/>
          <w:lang w:val="en-AU"/>
        </w:rPr>
        <w:t xml:space="preserve"> should be permanently discontinued in patients who are diagnosed with symptomatic (Grade 2 or greater) ILD/pneumonitis (see section 4.2</w:t>
      </w:r>
      <w:r w:rsidR="00144D9D" w:rsidRPr="000F4813">
        <w:rPr>
          <w:szCs w:val="20"/>
          <w:lang w:val="en-AU"/>
        </w:rPr>
        <w:t xml:space="preserve"> Dose and method of administration</w:t>
      </w:r>
      <w:r w:rsidRPr="000F4813">
        <w:rPr>
          <w:szCs w:val="20"/>
          <w:lang w:val="en-AU"/>
        </w:rPr>
        <w:t>). Patients with a history of ILD/pneumonitis may be at increased risk of developing ILD/pneumonitis.</w:t>
      </w:r>
    </w:p>
    <w:p w14:paraId="7FFBE247" w14:textId="77777777" w:rsidR="005A21EF" w:rsidRPr="004E508C" w:rsidRDefault="005A21EF" w:rsidP="00FC02CB">
      <w:pPr>
        <w:spacing w:after="0" w:line="240" w:lineRule="auto"/>
        <w:rPr>
          <w:szCs w:val="20"/>
          <w:lang w:val="en-AU"/>
        </w:rPr>
      </w:pPr>
    </w:p>
    <w:p w14:paraId="0B74115A" w14:textId="39306FAF" w:rsidR="00005CAD" w:rsidRPr="004E508C" w:rsidRDefault="00005CAD" w:rsidP="00270432">
      <w:pPr>
        <w:pStyle w:val="Heading3Unnumbered"/>
        <w:rPr>
          <w:vertAlign w:val="superscript"/>
          <w:lang w:val="en-AU"/>
        </w:rPr>
      </w:pPr>
      <w:bookmarkStart w:id="14" w:name="_Toc34804473"/>
      <w:r w:rsidRPr="004E508C">
        <w:rPr>
          <w:lang w:val="en-AU"/>
        </w:rPr>
        <w:t>Neutropenia</w:t>
      </w:r>
      <w:bookmarkEnd w:id="14"/>
    </w:p>
    <w:p w14:paraId="71E12DA3" w14:textId="50A8674B" w:rsidR="00005CAD" w:rsidRPr="004E508C" w:rsidRDefault="00005CAD" w:rsidP="00005CAD">
      <w:pPr>
        <w:spacing w:after="0" w:line="240" w:lineRule="auto"/>
        <w:rPr>
          <w:szCs w:val="20"/>
          <w:lang w:val="en-AU"/>
        </w:rPr>
      </w:pPr>
      <w:r w:rsidRPr="004E508C">
        <w:rPr>
          <w:szCs w:val="20"/>
          <w:lang w:val="en-AU"/>
        </w:rPr>
        <w:t>Cases of neutropenia, including febrile neutropenia, were reported in clinical studies of ENHERTU. Of the 234 patients with unresectable or metastatic HER2</w:t>
      </w:r>
      <w:r w:rsidRPr="004E508C">
        <w:rPr>
          <w:szCs w:val="20"/>
          <w:lang w:val="en-AU"/>
        </w:rPr>
        <w:noBreakHyphen/>
        <w:t>positive breast cancer who received ENHERTU 5.4 mg/kg, a decrease in neutrophil count was reported in 32.5% of patients and 18.8% had Grade 3 or 4 events. Febrile neutropenia was reported in 1.7% of patients.</w:t>
      </w:r>
    </w:p>
    <w:p w14:paraId="66A0AE5D" w14:textId="77777777" w:rsidR="00005CAD" w:rsidRPr="004E508C" w:rsidRDefault="00005CAD" w:rsidP="00005CAD">
      <w:pPr>
        <w:spacing w:after="0" w:line="240" w:lineRule="auto"/>
        <w:rPr>
          <w:szCs w:val="20"/>
          <w:lang w:val="en-AU"/>
        </w:rPr>
      </w:pPr>
    </w:p>
    <w:p w14:paraId="3D4E1235" w14:textId="678F848E" w:rsidR="00005CAD" w:rsidRPr="004E508C" w:rsidRDefault="00005CAD" w:rsidP="00005CAD">
      <w:pPr>
        <w:spacing w:after="0" w:line="240" w:lineRule="auto"/>
        <w:rPr>
          <w:szCs w:val="20"/>
          <w:lang w:val="en-AU"/>
        </w:rPr>
      </w:pPr>
      <w:r w:rsidRPr="004E508C">
        <w:rPr>
          <w:szCs w:val="20"/>
          <w:lang w:val="en-AU"/>
        </w:rPr>
        <w:t xml:space="preserve">Complete blood counts should be monitored prior to initiation of ENHERTU and prior to each dose, and as clinically indicated. Based on the severity of neutropenia, ENHERTU may require dose interruption or reduction (see </w:t>
      </w:r>
      <w:r w:rsidR="007A3519" w:rsidRPr="004E508C">
        <w:rPr>
          <w:szCs w:val="20"/>
          <w:lang w:val="en-AU"/>
        </w:rPr>
        <w:t>S</w:t>
      </w:r>
      <w:r w:rsidRPr="004E508C">
        <w:rPr>
          <w:szCs w:val="20"/>
          <w:lang w:val="en-AU"/>
        </w:rPr>
        <w:t>ection 4.2</w:t>
      </w:r>
      <w:r w:rsidR="003B53BA" w:rsidRPr="004E508C">
        <w:rPr>
          <w:szCs w:val="20"/>
          <w:lang w:val="en-AU"/>
        </w:rPr>
        <w:t xml:space="preserve"> Dose and method of administration</w:t>
      </w:r>
      <w:r w:rsidRPr="004E508C">
        <w:rPr>
          <w:szCs w:val="20"/>
          <w:lang w:val="en-AU"/>
        </w:rPr>
        <w:t>).</w:t>
      </w:r>
    </w:p>
    <w:p w14:paraId="3A1B9372" w14:textId="77777777" w:rsidR="005A21EF" w:rsidRPr="004E508C" w:rsidRDefault="005A21EF" w:rsidP="00005CAD">
      <w:pPr>
        <w:spacing w:after="0" w:line="240" w:lineRule="auto"/>
        <w:rPr>
          <w:szCs w:val="20"/>
          <w:lang w:val="en-AU"/>
        </w:rPr>
      </w:pPr>
    </w:p>
    <w:p w14:paraId="7FB48982" w14:textId="77777777" w:rsidR="00AC4631" w:rsidRPr="004E508C" w:rsidRDefault="00AC4631" w:rsidP="00270432">
      <w:pPr>
        <w:pStyle w:val="Heading3Unnumbered"/>
        <w:rPr>
          <w:lang w:val="en-AU"/>
        </w:rPr>
      </w:pPr>
      <w:bookmarkStart w:id="15" w:name="_Toc34804474"/>
      <w:r w:rsidRPr="004E508C">
        <w:rPr>
          <w:lang w:val="en-AU"/>
        </w:rPr>
        <w:t>Left Ventricular Ejection Fraction Decrease</w:t>
      </w:r>
      <w:bookmarkEnd w:id="15"/>
    </w:p>
    <w:p w14:paraId="09E8D220" w14:textId="07DD3366" w:rsidR="00AC4631" w:rsidRPr="004E508C" w:rsidRDefault="00AC4631" w:rsidP="00AC4631">
      <w:pPr>
        <w:spacing w:after="0" w:line="240" w:lineRule="auto"/>
        <w:rPr>
          <w:szCs w:val="20"/>
          <w:lang w:val="en-AU"/>
        </w:rPr>
      </w:pPr>
      <w:r w:rsidRPr="004E508C">
        <w:rPr>
          <w:szCs w:val="20"/>
          <w:lang w:val="en-AU"/>
        </w:rPr>
        <w:t>Left ventricular ejection fraction (LVEF) decrease has been observed with anti</w:t>
      </w:r>
      <w:r w:rsidRPr="004E508C">
        <w:rPr>
          <w:szCs w:val="20"/>
          <w:lang w:val="en-AU"/>
        </w:rPr>
        <w:noBreakHyphen/>
        <w:t>HER2 therapies. In the 234 patients with unresectable or metastatic HER2</w:t>
      </w:r>
      <w:r w:rsidRPr="004E508C">
        <w:rPr>
          <w:szCs w:val="20"/>
          <w:lang w:val="en-AU"/>
        </w:rPr>
        <w:noBreakHyphen/>
        <w:t xml:space="preserve">positive breast cancer who received </w:t>
      </w:r>
      <w:r w:rsidR="008E17B9" w:rsidRPr="004E508C">
        <w:rPr>
          <w:szCs w:val="20"/>
          <w:lang w:val="en-AU"/>
        </w:rPr>
        <w:t>ENHERTU</w:t>
      </w:r>
      <w:r w:rsidRPr="004E508C">
        <w:rPr>
          <w:szCs w:val="20"/>
          <w:lang w:val="en-AU"/>
        </w:rPr>
        <w:t xml:space="preserve"> 5.4 mg/kg, three cases (1.3%) of asymptomatic LVEF decrease were reported.</w:t>
      </w:r>
      <w:r w:rsidRPr="004E508C">
        <w:rPr>
          <w:color w:val="0000FF"/>
          <w:szCs w:val="20"/>
          <w:lang w:val="en-AU"/>
        </w:rPr>
        <w:t xml:space="preserve"> </w:t>
      </w:r>
      <w:r w:rsidRPr="004E508C">
        <w:rPr>
          <w:szCs w:val="20"/>
          <w:lang w:val="en-AU"/>
        </w:rPr>
        <w:t xml:space="preserve">No decreases of LVEF to less than 40% were observed. Treatment with </w:t>
      </w:r>
      <w:r w:rsidR="008E17B9" w:rsidRPr="004E508C">
        <w:rPr>
          <w:szCs w:val="20"/>
          <w:lang w:val="en-AU"/>
        </w:rPr>
        <w:t>ENHERTU</w:t>
      </w:r>
      <w:r w:rsidRPr="004E508C">
        <w:rPr>
          <w:szCs w:val="20"/>
          <w:lang w:val="en-AU"/>
        </w:rPr>
        <w:t xml:space="preserve"> has not been studied in patients with LVEF less than 50% prior to initiation of treatment.</w:t>
      </w:r>
    </w:p>
    <w:p w14:paraId="43D1DDB5" w14:textId="77777777" w:rsidR="00AC4631" w:rsidRPr="004E508C" w:rsidRDefault="00AC4631" w:rsidP="00AC4631">
      <w:pPr>
        <w:spacing w:after="0" w:line="240" w:lineRule="auto"/>
        <w:rPr>
          <w:szCs w:val="20"/>
          <w:lang w:val="en-AU"/>
        </w:rPr>
      </w:pPr>
    </w:p>
    <w:p w14:paraId="2120BB0C" w14:textId="4C09948A" w:rsidR="00AC4631" w:rsidRPr="004E508C" w:rsidRDefault="00AC4631" w:rsidP="005A21EF">
      <w:pPr>
        <w:spacing w:after="0" w:line="240" w:lineRule="auto"/>
        <w:rPr>
          <w:szCs w:val="20"/>
          <w:lang w:val="en-AU"/>
        </w:rPr>
      </w:pPr>
      <w:r w:rsidRPr="004E508C">
        <w:rPr>
          <w:szCs w:val="20"/>
          <w:lang w:val="en-AU"/>
        </w:rPr>
        <w:lastRenderedPageBreak/>
        <w:t xml:space="preserve">LVEF should be assessed prior to initiation of </w:t>
      </w:r>
      <w:r w:rsidR="008E17B9" w:rsidRPr="004E508C">
        <w:rPr>
          <w:szCs w:val="20"/>
          <w:lang w:val="en-AU"/>
        </w:rPr>
        <w:t>ENHERTU</w:t>
      </w:r>
      <w:r w:rsidRPr="004E508C">
        <w:rPr>
          <w:szCs w:val="20"/>
          <w:lang w:val="en-AU"/>
        </w:rPr>
        <w:t xml:space="preserve"> and at regular intervals during treatment as clinically indicated. </w:t>
      </w:r>
      <w:r w:rsidR="00E41434" w:rsidRPr="004E508C">
        <w:rPr>
          <w:szCs w:val="20"/>
          <w:lang w:val="en-AU"/>
        </w:rPr>
        <w:t>ENHERTU</w:t>
      </w:r>
      <w:r w:rsidRPr="004E508C">
        <w:rPr>
          <w:szCs w:val="20"/>
          <w:lang w:val="en-AU"/>
        </w:rPr>
        <w:t xml:space="preserve"> should be permanently discontinued if LVEF of less than 40% or absolute decrease from baseline of greater than 20% is confirmed. </w:t>
      </w:r>
      <w:r w:rsidR="00E41434" w:rsidRPr="004E508C">
        <w:rPr>
          <w:szCs w:val="20"/>
          <w:lang w:val="en-AU"/>
        </w:rPr>
        <w:t>ENHERTU</w:t>
      </w:r>
      <w:r w:rsidRPr="004E508C">
        <w:rPr>
          <w:szCs w:val="20"/>
          <w:lang w:val="en-AU"/>
        </w:rPr>
        <w:t xml:space="preserve"> should be permanently discontinued in patients with symptomatic congestive heart failure (CHF) (</w:t>
      </w:r>
      <w:r w:rsidR="00080C6E" w:rsidRPr="004E508C">
        <w:rPr>
          <w:szCs w:val="20"/>
          <w:lang w:val="en-AU"/>
        </w:rPr>
        <w:t xml:space="preserve">see </w:t>
      </w:r>
      <w:r w:rsidR="007A3519" w:rsidRPr="004E508C">
        <w:rPr>
          <w:szCs w:val="20"/>
          <w:lang w:val="en-AU"/>
        </w:rPr>
        <w:t>S</w:t>
      </w:r>
      <w:r w:rsidR="00080C6E" w:rsidRPr="004E508C">
        <w:rPr>
          <w:szCs w:val="20"/>
          <w:lang w:val="en-AU"/>
        </w:rPr>
        <w:t>ection 4.2 Dose and method of administration</w:t>
      </w:r>
      <w:r w:rsidRPr="004E508C">
        <w:rPr>
          <w:szCs w:val="20"/>
          <w:lang w:val="en-AU"/>
        </w:rPr>
        <w:t>).</w:t>
      </w:r>
    </w:p>
    <w:p w14:paraId="75C6F5C5" w14:textId="77777777" w:rsidR="005A21EF" w:rsidRPr="004E508C" w:rsidRDefault="005A21EF" w:rsidP="005A21EF">
      <w:pPr>
        <w:spacing w:after="0" w:line="240" w:lineRule="auto"/>
        <w:rPr>
          <w:lang w:val="en-AU"/>
        </w:rPr>
      </w:pPr>
    </w:p>
    <w:p w14:paraId="088603BF" w14:textId="5FD363E0" w:rsidR="00D070E2" w:rsidRPr="004E508C" w:rsidRDefault="00D070E2" w:rsidP="00270432">
      <w:pPr>
        <w:pStyle w:val="Heading3Unnumbered"/>
        <w:rPr>
          <w:lang w:val="en-AU"/>
        </w:rPr>
      </w:pPr>
      <w:bookmarkStart w:id="16" w:name="_Toc23341361"/>
      <w:bookmarkStart w:id="17" w:name="_Toc34804475"/>
      <w:r w:rsidRPr="004E508C">
        <w:rPr>
          <w:lang w:val="en-AU"/>
        </w:rPr>
        <w:t>Embryo</w:t>
      </w:r>
      <w:r w:rsidR="00D746A9">
        <w:rPr>
          <w:lang w:val="en-AU"/>
        </w:rPr>
        <w:t xml:space="preserve"> </w:t>
      </w:r>
      <w:proofErr w:type="spellStart"/>
      <w:r w:rsidR="00F974AC" w:rsidRPr="0081102C">
        <w:rPr>
          <w:lang w:val="en-AU"/>
        </w:rPr>
        <w:t>Fetal</w:t>
      </w:r>
      <w:proofErr w:type="spellEnd"/>
      <w:r w:rsidRPr="004E508C">
        <w:rPr>
          <w:lang w:val="en-AU"/>
        </w:rPr>
        <w:t xml:space="preserve"> Toxicity</w:t>
      </w:r>
      <w:bookmarkEnd w:id="16"/>
      <w:bookmarkEnd w:id="17"/>
    </w:p>
    <w:p w14:paraId="4A2717AD" w14:textId="26944CB9" w:rsidR="00D070E2" w:rsidRPr="007A7402" w:rsidRDefault="00D070E2" w:rsidP="00D070E2">
      <w:pPr>
        <w:spacing w:after="0" w:line="240" w:lineRule="auto"/>
        <w:rPr>
          <w:szCs w:val="20"/>
          <w:lang w:val="en-AU"/>
        </w:rPr>
      </w:pPr>
      <w:r w:rsidRPr="004E508C">
        <w:rPr>
          <w:szCs w:val="20"/>
          <w:lang w:val="en-AU"/>
        </w:rPr>
        <w:t xml:space="preserve">ENHERTU can </w:t>
      </w:r>
      <w:r w:rsidRPr="007A7402">
        <w:rPr>
          <w:szCs w:val="20"/>
          <w:lang w:val="en-AU"/>
        </w:rPr>
        <w:t xml:space="preserve">cause </w:t>
      </w:r>
      <w:proofErr w:type="spellStart"/>
      <w:r w:rsidR="00F974AC" w:rsidRPr="007A7402">
        <w:rPr>
          <w:szCs w:val="20"/>
          <w:lang w:val="en-AU"/>
        </w:rPr>
        <w:t>fetal</w:t>
      </w:r>
      <w:proofErr w:type="spellEnd"/>
      <w:r w:rsidRPr="007A7402">
        <w:rPr>
          <w:szCs w:val="20"/>
          <w:lang w:val="en-AU"/>
        </w:rPr>
        <w:t xml:space="preserve"> harm when administered to a pregnant woman. In post</w:t>
      </w:r>
      <w:r w:rsidR="009B6872" w:rsidRPr="007A7402">
        <w:rPr>
          <w:szCs w:val="20"/>
          <w:lang w:val="en-AU"/>
        </w:rPr>
        <w:t>-</w:t>
      </w:r>
      <w:r w:rsidRPr="007A7402">
        <w:rPr>
          <w:szCs w:val="20"/>
          <w:lang w:val="en-AU"/>
        </w:rPr>
        <w:t>marketing reports, use of trastuzumab, a HER2 receptor antagonist, during pregnancy resulted in cases of oligohydramnios manifesting as fatal pulmonary hypoplasia, skeletal abnormalities, and neonatal death. Based on findings in animals and its mechanism of action, the topoisomerase I inhibitor component of ENHERTU can also cause embryo</w:t>
      </w:r>
      <w:r w:rsidRPr="007A7402">
        <w:rPr>
          <w:rFonts w:cs="Arial"/>
          <w:szCs w:val="20"/>
          <w:lang w:val="en-AU"/>
        </w:rPr>
        <w:noBreakHyphen/>
      </w:r>
      <w:proofErr w:type="spellStart"/>
      <w:r w:rsidR="00F974AC" w:rsidRPr="007A7402">
        <w:rPr>
          <w:szCs w:val="20"/>
          <w:lang w:val="en-AU"/>
        </w:rPr>
        <w:t>fetal</w:t>
      </w:r>
      <w:proofErr w:type="spellEnd"/>
      <w:r w:rsidRPr="007A7402">
        <w:rPr>
          <w:szCs w:val="20"/>
          <w:lang w:val="en-AU"/>
        </w:rPr>
        <w:t xml:space="preserve"> harm when administered to a pregnant woman (see </w:t>
      </w:r>
      <w:r w:rsidR="007A3519" w:rsidRPr="007A7402">
        <w:rPr>
          <w:szCs w:val="20"/>
          <w:lang w:val="en-AU"/>
        </w:rPr>
        <w:t>S</w:t>
      </w:r>
      <w:r w:rsidRPr="007A7402">
        <w:rPr>
          <w:szCs w:val="20"/>
          <w:lang w:val="en-AU"/>
        </w:rPr>
        <w:t>ection 4.6</w:t>
      </w:r>
      <w:r w:rsidR="0029123D" w:rsidRPr="007A7402">
        <w:rPr>
          <w:szCs w:val="20"/>
          <w:lang w:val="en-AU"/>
        </w:rPr>
        <w:t xml:space="preserve"> Fertility, pregnancy and lactation</w:t>
      </w:r>
      <w:r w:rsidRPr="007A7402">
        <w:rPr>
          <w:szCs w:val="20"/>
          <w:lang w:val="en-AU"/>
        </w:rPr>
        <w:t>).</w:t>
      </w:r>
    </w:p>
    <w:p w14:paraId="58C41D1D" w14:textId="77777777" w:rsidR="00D070E2" w:rsidRPr="007A7402" w:rsidRDefault="00D070E2" w:rsidP="00D070E2">
      <w:pPr>
        <w:spacing w:after="0" w:line="240" w:lineRule="auto"/>
        <w:rPr>
          <w:szCs w:val="20"/>
          <w:lang w:val="en-AU"/>
        </w:rPr>
      </w:pPr>
    </w:p>
    <w:p w14:paraId="34A0666C" w14:textId="22501FD6" w:rsidR="00D070E2" w:rsidRPr="004E508C" w:rsidRDefault="00D070E2" w:rsidP="005A21EF">
      <w:pPr>
        <w:spacing w:after="0" w:line="240" w:lineRule="auto"/>
        <w:rPr>
          <w:szCs w:val="20"/>
          <w:lang w:val="en-AU"/>
        </w:rPr>
      </w:pPr>
      <w:r w:rsidRPr="007A7402">
        <w:rPr>
          <w:szCs w:val="20"/>
          <w:lang w:val="en-AU"/>
        </w:rPr>
        <w:t xml:space="preserve">The pregnancy status of females of reproductive potential should be verified prior to the initiation of ENHERTU. The patient should be informed of the potential risks to the </w:t>
      </w:r>
      <w:proofErr w:type="spellStart"/>
      <w:r w:rsidR="000436ED" w:rsidRPr="007A7402">
        <w:rPr>
          <w:szCs w:val="20"/>
          <w:lang w:val="en-AU"/>
        </w:rPr>
        <w:t>fetus</w:t>
      </w:r>
      <w:proofErr w:type="spellEnd"/>
      <w:r w:rsidRPr="007A7402">
        <w:rPr>
          <w:szCs w:val="20"/>
          <w:lang w:val="en-AU"/>
        </w:rPr>
        <w:t>. Females of reproductive potential should be advised to use effective contraception during treatment and for at least 7</w:t>
      </w:r>
      <w:r w:rsidRPr="007A7402">
        <w:rPr>
          <w:rFonts w:cs="Arial"/>
          <w:szCs w:val="20"/>
          <w:lang w:val="en-AU"/>
        </w:rPr>
        <w:t> </w:t>
      </w:r>
      <w:r w:rsidRPr="007A7402">
        <w:rPr>
          <w:szCs w:val="20"/>
          <w:lang w:val="en-AU"/>
        </w:rPr>
        <w:t>months following the last dose of ENHERTU. Male patients with female partners of reproductive potential should be advised to use effective contraception during treatment with ENHERTU and for at least 4</w:t>
      </w:r>
      <w:r w:rsidRPr="007A7402">
        <w:rPr>
          <w:rFonts w:cs="Arial"/>
          <w:szCs w:val="20"/>
          <w:lang w:val="en-AU"/>
        </w:rPr>
        <w:t> </w:t>
      </w:r>
      <w:r w:rsidRPr="007A7402">
        <w:rPr>
          <w:szCs w:val="20"/>
          <w:lang w:val="en-AU"/>
        </w:rPr>
        <w:t>months after the last dose of ENHERTU (</w:t>
      </w:r>
      <w:r w:rsidR="0029123D" w:rsidRPr="007A7402">
        <w:rPr>
          <w:szCs w:val="20"/>
          <w:lang w:val="en-AU"/>
        </w:rPr>
        <w:t xml:space="preserve">see </w:t>
      </w:r>
      <w:r w:rsidR="007A3519" w:rsidRPr="007A7402">
        <w:rPr>
          <w:szCs w:val="20"/>
          <w:lang w:val="en-AU"/>
        </w:rPr>
        <w:t>S</w:t>
      </w:r>
      <w:r w:rsidR="0029123D" w:rsidRPr="007A7402">
        <w:rPr>
          <w:szCs w:val="20"/>
          <w:lang w:val="en-AU"/>
        </w:rPr>
        <w:t>ection 4.6 Fertility</w:t>
      </w:r>
      <w:r w:rsidR="0029123D" w:rsidRPr="004E508C">
        <w:rPr>
          <w:szCs w:val="20"/>
          <w:lang w:val="en-AU"/>
        </w:rPr>
        <w:t>, pregnancy and lactation</w:t>
      </w:r>
      <w:r w:rsidRPr="004E508C">
        <w:rPr>
          <w:szCs w:val="20"/>
          <w:lang w:val="en-AU"/>
        </w:rPr>
        <w:t>).</w:t>
      </w:r>
    </w:p>
    <w:p w14:paraId="6B97254A" w14:textId="77777777" w:rsidR="005A21EF" w:rsidRPr="004E508C" w:rsidRDefault="005A21EF" w:rsidP="005A21EF">
      <w:pPr>
        <w:spacing w:after="0" w:line="240" w:lineRule="auto"/>
        <w:rPr>
          <w:lang w:val="en-AU"/>
        </w:rPr>
      </w:pPr>
    </w:p>
    <w:p w14:paraId="31D0883E" w14:textId="77777777" w:rsidR="001A3992" w:rsidRPr="004E508C" w:rsidRDefault="001A3992" w:rsidP="00D347D7">
      <w:pPr>
        <w:pStyle w:val="Heading3Unnumbered"/>
        <w:rPr>
          <w:lang w:val="en-AU"/>
        </w:rPr>
      </w:pPr>
      <w:r w:rsidRPr="004E508C">
        <w:rPr>
          <w:lang w:val="en-AU"/>
        </w:rPr>
        <w:t>Use in the elderly</w:t>
      </w:r>
    </w:p>
    <w:p w14:paraId="456414AA" w14:textId="77E1EF64" w:rsidR="00EC60F8" w:rsidRPr="004E508C" w:rsidRDefault="00270432" w:rsidP="0099239A">
      <w:pPr>
        <w:rPr>
          <w:lang w:val="en-AU"/>
        </w:rPr>
      </w:pPr>
      <w:r w:rsidRPr="004E508C">
        <w:rPr>
          <w:lang w:val="en-AU"/>
        </w:rPr>
        <w:t xml:space="preserve">Please see </w:t>
      </w:r>
      <w:r w:rsidR="00553C19" w:rsidRPr="004E508C">
        <w:rPr>
          <w:lang w:val="en-AU"/>
        </w:rPr>
        <w:t>S</w:t>
      </w:r>
      <w:r w:rsidRPr="004E508C">
        <w:rPr>
          <w:lang w:val="en-AU"/>
        </w:rPr>
        <w:t>ection 4.2</w:t>
      </w:r>
      <w:r w:rsidR="00F90E73" w:rsidRPr="004E508C">
        <w:rPr>
          <w:lang w:val="en-AU"/>
        </w:rPr>
        <w:t xml:space="preserve"> Dose and method of administration/</w:t>
      </w:r>
      <w:r w:rsidRPr="004E508C">
        <w:rPr>
          <w:lang w:val="en-AU"/>
        </w:rPr>
        <w:t xml:space="preserve"> </w:t>
      </w:r>
      <w:r w:rsidRPr="004E508C">
        <w:rPr>
          <w:i/>
          <w:iCs/>
          <w:lang w:val="en-AU"/>
        </w:rPr>
        <w:t>Use in the elderly</w:t>
      </w:r>
    </w:p>
    <w:p w14:paraId="2B798B76" w14:textId="77777777" w:rsidR="001A3992" w:rsidRPr="004E508C" w:rsidRDefault="001A3992" w:rsidP="00D347D7">
      <w:pPr>
        <w:pStyle w:val="Heading3Unnumbered"/>
        <w:rPr>
          <w:lang w:val="en-AU"/>
        </w:rPr>
      </w:pPr>
      <w:r w:rsidRPr="004E508C">
        <w:rPr>
          <w:lang w:val="en-AU"/>
        </w:rPr>
        <w:t>Paediatric use</w:t>
      </w:r>
    </w:p>
    <w:p w14:paraId="11084748" w14:textId="59F8CCAC" w:rsidR="0099239A" w:rsidRPr="004E508C" w:rsidRDefault="0099239A" w:rsidP="0099239A">
      <w:pPr>
        <w:rPr>
          <w:lang w:val="en-AU"/>
        </w:rPr>
      </w:pPr>
      <w:r w:rsidRPr="004E508C">
        <w:rPr>
          <w:lang w:val="en-AU"/>
        </w:rPr>
        <w:t xml:space="preserve">Please see </w:t>
      </w:r>
      <w:r w:rsidR="00553C19" w:rsidRPr="004E508C">
        <w:rPr>
          <w:lang w:val="en-AU"/>
        </w:rPr>
        <w:t>S</w:t>
      </w:r>
      <w:r w:rsidRPr="004E508C">
        <w:rPr>
          <w:lang w:val="en-AU"/>
        </w:rPr>
        <w:t xml:space="preserve">ection 4.2 </w:t>
      </w:r>
      <w:r w:rsidR="00F90E73" w:rsidRPr="004E508C">
        <w:rPr>
          <w:lang w:val="en-AU"/>
        </w:rPr>
        <w:t>Dose and method of administration/</w:t>
      </w:r>
      <w:r w:rsidRPr="004E508C">
        <w:rPr>
          <w:lang w:val="en-AU"/>
        </w:rPr>
        <w:t xml:space="preserve"> </w:t>
      </w:r>
      <w:r w:rsidRPr="004E508C">
        <w:rPr>
          <w:i/>
          <w:iCs/>
          <w:lang w:val="en-AU"/>
        </w:rPr>
        <w:t>Paediatric use</w:t>
      </w:r>
    </w:p>
    <w:p w14:paraId="36CCF8D1" w14:textId="77777777" w:rsidR="001A3992" w:rsidRPr="004E508C" w:rsidRDefault="001A3992" w:rsidP="00D347D7">
      <w:pPr>
        <w:pStyle w:val="Heading3Unnumbered"/>
        <w:rPr>
          <w:lang w:val="en-AU"/>
        </w:rPr>
      </w:pPr>
      <w:r w:rsidRPr="004E508C">
        <w:rPr>
          <w:lang w:val="en-AU"/>
        </w:rPr>
        <w:t>Effects on laboratory tests</w:t>
      </w:r>
    </w:p>
    <w:p w14:paraId="68CFBCB2" w14:textId="5A19E417" w:rsidR="00EC60F8" w:rsidRPr="004E508C" w:rsidRDefault="00C1626C" w:rsidP="00EC60F8">
      <w:pPr>
        <w:pStyle w:val="Paragraph"/>
        <w:rPr>
          <w:lang w:val="en-AU"/>
        </w:rPr>
      </w:pPr>
      <w:r w:rsidRPr="004E508C">
        <w:rPr>
          <w:lang w:val="en-AU"/>
        </w:rPr>
        <w:t>Please see Section 4.8</w:t>
      </w:r>
      <w:r w:rsidR="00AE0F0A" w:rsidRPr="004E508C">
        <w:rPr>
          <w:lang w:val="en-AU"/>
        </w:rPr>
        <w:t xml:space="preserve"> Adverse effects (Undesirable effects)/</w:t>
      </w:r>
      <w:r w:rsidR="00926C37" w:rsidRPr="004E508C">
        <w:rPr>
          <w:lang w:val="en-AU"/>
        </w:rPr>
        <w:t xml:space="preserve"> </w:t>
      </w:r>
      <w:r w:rsidR="00926C37" w:rsidRPr="004E508C">
        <w:rPr>
          <w:i/>
          <w:iCs/>
          <w:lang w:val="en-AU"/>
        </w:rPr>
        <w:t>Laboratory Abnormalities</w:t>
      </w:r>
      <w:r w:rsidR="00926C37" w:rsidRPr="004E508C">
        <w:rPr>
          <w:vertAlign w:val="superscript"/>
          <w:lang w:val="en-AU"/>
        </w:rPr>
        <w:t xml:space="preserve"> </w:t>
      </w:r>
      <w:r w:rsidR="00926C37" w:rsidRPr="00546490">
        <w:rPr>
          <w:i/>
          <w:iCs/>
          <w:lang w:val="en-AU"/>
        </w:rPr>
        <w:t>(</w:t>
      </w:r>
      <w:r w:rsidR="00546490" w:rsidRPr="00546490">
        <w:rPr>
          <w:i/>
          <w:iCs/>
          <w:lang w:val="en-AU"/>
        </w:rPr>
        <w:fldChar w:fldCharType="begin"/>
      </w:r>
      <w:r w:rsidR="00546490" w:rsidRPr="00546490">
        <w:rPr>
          <w:i/>
          <w:iCs/>
          <w:lang w:val="en-AU"/>
        </w:rPr>
        <w:instrText xml:space="preserve"> REF _Ref49799590 \h  \* MERGEFORMAT </w:instrText>
      </w:r>
      <w:r w:rsidR="00546490" w:rsidRPr="00546490">
        <w:rPr>
          <w:i/>
          <w:iCs/>
          <w:lang w:val="en-AU"/>
        </w:rPr>
      </w:r>
      <w:r w:rsidR="00546490" w:rsidRPr="00546490">
        <w:rPr>
          <w:i/>
          <w:iCs/>
          <w:lang w:val="en-AU"/>
        </w:rPr>
        <w:fldChar w:fldCharType="separate"/>
      </w:r>
      <w:r w:rsidR="00546490" w:rsidRPr="00546490">
        <w:rPr>
          <w:i/>
          <w:iCs/>
          <w:lang w:val="en-AU"/>
        </w:rPr>
        <w:t xml:space="preserve">Table </w:t>
      </w:r>
      <w:r w:rsidR="00546490" w:rsidRPr="00546490">
        <w:rPr>
          <w:i/>
          <w:iCs/>
          <w:noProof/>
          <w:lang w:val="en-AU"/>
        </w:rPr>
        <w:t>4</w:t>
      </w:r>
      <w:r w:rsidR="00546490" w:rsidRPr="00546490">
        <w:rPr>
          <w:i/>
          <w:iCs/>
          <w:lang w:val="en-AU"/>
        </w:rPr>
        <w:fldChar w:fldCharType="end"/>
      </w:r>
      <w:r w:rsidR="00926C37" w:rsidRPr="00546490">
        <w:rPr>
          <w:i/>
          <w:iCs/>
          <w:lang w:val="en-AU"/>
        </w:rPr>
        <w:t>)</w:t>
      </w:r>
    </w:p>
    <w:p w14:paraId="33796617" w14:textId="77777777" w:rsidR="005B109B" w:rsidRPr="004E508C" w:rsidRDefault="005B109B" w:rsidP="00EC60F8">
      <w:pPr>
        <w:pStyle w:val="Paragraph"/>
        <w:rPr>
          <w:lang w:val="en-AU"/>
        </w:rPr>
      </w:pPr>
    </w:p>
    <w:p w14:paraId="0486DD72" w14:textId="77777777" w:rsidR="001A3992" w:rsidRPr="004E508C" w:rsidRDefault="001A3992" w:rsidP="00EE3AC8">
      <w:pPr>
        <w:pStyle w:val="Heading2"/>
        <w:rPr>
          <w:lang w:val="en-AU"/>
        </w:rPr>
      </w:pPr>
      <w:bookmarkStart w:id="18" w:name="_Ref505770425"/>
      <w:r w:rsidRPr="004E508C">
        <w:rPr>
          <w:lang w:val="en-AU"/>
        </w:rPr>
        <w:t>Interactions with other medicines and other forms of interactions</w:t>
      </w:r>
      <w:bookmarkEnd w:id="18"/>
    </w:p>
    <w:p w14:paraId="00BA4856" w14:textId="71C4866F" w:rsidR="005B109B" w:rsidRPr="004E508C" w:rsidRDefault="005B109B" w:rsidP="00553499">
      <w:pPr>
        <w:pStyle w:val="Heading3Unnumbered"/>
        <w:rPr>
          <w:lang w:val="en-AU"/>
        </w:rPr>
      </w:pPr>
      <w:bookmarkStart w:id="19" w:name="_Toc23341363"/>
      <w:bookmarkStart w:id="20" w:name="_Toc34804477"/>
      <w:r w:rsidRPr="004E508C">
        <w:rPr>
          <w:lang w:val="en-AU"/>
        </w:rPr>
        <w:t xml:space="preserve">Effects of Other Medicinal Products on the Pharmacokinetics of </w:t>
      </w:r>
      <w:bookmarkEnd w:id="19"/>
      <w:bookmarkEnd w:id="20"/>
      <w:r w:rsidRPr="004E508C">
        <w:rPr>
          <w:lang w:val="en-AU"/>
        </w:rPr>
        <w:t>ENHERTU</w:t>
      </w:r>
    </w:p>
    <w:p w14:paraId="29FF0B2A" w14:textId="22DA3504" w:rsidR="00915742" w:rsidRPr="00855C87" w:rsidRDefault="00915742" w:rsidP="781FCD3E">
      <w:pPr>
        <w:spacing w:after="0" w:line="240" w:lineRule="auto"/>
        <w:rPr>
          <w:lang w:val="en-AU"/>
        </w:rPr>
      </w:pPr>
      <w:r w:rsidRPr="00855C87">
        <w:rPr>
          <w:i/>
          <w:iCs/>
          <w:lang w:val="en-AU"/>
        </w:rPr>
        <w:t>In vitro</w:t>
      </w:r>
      <w:r w:rsidRPr="00855C87">
        <w:rPr>
          <w:lang w:val="en-AU"/>
        </w:rPr>
        <w:t xml:space="preserve"> studies indicate that the released topoisomerase I inhibitor is a substrate of the following transporters: </w:t>
      </w:r>
      <w:proofErr w:type="spellStart"/>
      <w:r w:rsidR="00820DCA" w:rsidRPr="00855C87">
        <w:rPr>
          <w:lang w:val="en-AU"/>
        </w:rPr>
        <w:t>Pglycoprotein</w:t>
      </w:r>
      <w:proofErr w:type="spellEnd"/>
      <w:r w:rsidR="00820DCA" w:rsidRPr="00855C87">
        <w:rPr>
          <w:lang w:val="en-AU"/>
        </w:rPr>
        <w:t xml:space="preserve"> (</w:t>
      </w:r>
      <w:r w:rsidRPr="00855C87">
        <w:rPr>
          <w:lang w:val="en-AU"/>
        </w:rPr>
        <w:t>P</w:t>
      </w:r>
      <w:r w:rsidRPr="00855C87">
        <w:rPr>
          <w:szCs w:val="20"/>
          <w:lang w:val="en-AU"/>
        </w:rPr>
        <w:noBreakHyphen/>
      </w:r>
      <w:proofErr w:type="spellStart"/>
      <w:r w:rsidRPr="00855C87">
        <w:rPr>
          <w:lang w:val="en-AU"/>
        </w:rPr>
        <w:t>gp</w:t>
      </w:r>
      <w:proofErr w:type="spellEnd"/>
      <w:r w:rsidR="00820DCA" w:rsidRPr="00855C87">
        <w:rPr>
          <w:lang w:val="en-AU"/>
        </w:rPr>
        <w:t>)</w:t>
      </w:r>
      <w:r w:rsidRPr="00855C87">
        <w:rPr>
          <w:lang w:val="en-AU"/>
        </w:rPr>
        <w:t xml:space="preserve">, OATP1B1, OATP1B3, MATE2K, MRP1, and BCRP. Inhibitors of these transporters could increase plasma concentrations of the released topoisomerase I inhibitor. </w:t>
      </w:r>
    </w:p>
    <w:p w14:paraId="385C1F87" w14:textId="77777777" w:rsidR="00915742" w:rsidRPr="00855C87" w:rsidRDefault="00915742" w:rsidP="00915742">
      <w:pPr>
        <w:spacing w:after="0" w:line="240" w:lineRule="auto"/>
        <w:rPr>
          <w:szCs w:val="20"/>
          <w:lang w:val="en-AU"/>
        </w:rPr>
      </w:pPr>
    </w:p>
    <w:p w14:paraId="41324CA5" w14:textId="77777777" w:rsidR="00915742" w:rsidRPr="00501E43" w:rsidRDefault="00915742" w:rsidP="781FCD3E">
      <w:pPr>
        <w:spacing w:after="0" w:line="240" w:lineRule="auto"/>
        <w:rPr>
          <w:lang w:val="en-AU"/>
        </w:rPr>
      </w:pPr>
      <w:r w:rsidRPr="00855C87">
        <w:rPr>
          <w:lang w:val="en-AU"/>
        </w:rPr>
        <w:t>Coadministration of ritonavir (200 mg t</w:t>
      </w:r>
      <w:r w:rsidRPr="00501E43">
        <w:rPr>
          <w:lang w:val="en-AU"/>
        </w:rPr>
        <w:t>wice daily from day 17 of cycle 2 to day 21 of cycle 3), a dual inhibitor of OATP1B/CYP3A, increased exposure (AUC) of trastuzumab deruxtecan by 19% and the released topoisomerase I inhibitor by 22%.</w:t>
      </w:r>
    </w:p>
    <w:p w14:paraId="41B31E2C" w14:textId="77777777" w:rsidR="00915742" w:rsidRPr="00501E43" w:rsidRDefault="00915742" w:rsidP="00915742">
      <w:pPr>
        <w:spacing w:after="0" w:line="240" w:lineRule="auto"/>
        <w:rPr>
          <w:szCs w:val="20"/>
          <w:lang w:val="en-AU"/>
        </w:rPr>
      </w:pPr>
    </w:p>
    <w:p w14:paraId="0F995BB9" w14:textId="17DF0C7A" w:rsidR="00915742" w:rsidRPr="00501E43" w:rsidRDefault="00915742" w:rsidP="781FCD3E">
      <w:pPr>
        <w:spacing w:after="0" w:line="240" w:lineRule="auto"/>
        <w:rPr>
          <w:lang w:val="en-AU"/>
        </w:rPr>
      </w:pPr>
      <w:r w:rsidRPr="00501E43">
        <w:rPr>
          <w:lang w:val="en-AU"/>
        </w:rPr>
        <w:lastRenderedPageBreak/>
        <w:t xml:space="preserve">Coadministration of itraconazole (200 mg twice daily from day 17 of cycle 2 to day 21 of cycle 3), a strong CYP3A inhibitor, increased exposure (AUC) of trastuzumab deruxtecan by 11% and the released topoisomerase I inhibitor by 18%. </w:t>
      </w:r>
    </w:p>
    <w:p w14:paraId="3D2E083E" w14:textId="77777777" w:rsidR="00915742" w:rsidRPr="00501E43" w:rsidRDefault="00915742" w:rsidP="005B109B">
      <w:pPr>
        <w:spacing w:after="0" w:line="240" w:lineRule="auto"/>
        <w:rPr>
          <w:lang w:val="en-AU"/>
        </w:rPr>
      </w:pPr>
    </w:p>
    <w:p w14:paraId="36F48F7E" w14:textId="76E22B48" w:rsidR="005B109B" w:rsidRPr="00855C87" w:rsidRDefault="005B109B" w:rsidP="005B109B">
      <w:pPr>
        <w:spacing w:after="0" w:line="240" w:lineRule="auto"/>
        <w:rPr>
          <w:lang w:val="en-AU"/>
        </w:rPr>
      </w:pPr>
      <w:r w:rsidRPr="00501E43">
        <w:rPr>
          <w:lang w:val="en-AU"/>
        </w:rPr>
        <w:t xml:space="preserve">Coadministration with ritonavir, a dual inhibitor of OATP1B/CYP3A, or with itraconazole, a strong CYP3A inhibitor, resulted in no clinically meaningful increase in exposures of </w:t>
      </w:r>
      <w:r w:rsidR="000E2A68" w:rsidRPr="00501E43">
        <w:rPr>
          <w:lang w:val="en-AU"/>
        </w:rPr>
        <w:t>trastuzumab deruxtecan</w:t>
      </w:r>
      <w:r w:rsidRPr="00501E43">
        <w:rPr>
          <w:lang w:val="en-AU"/>
        </w:rPr>
        <w:t xml:space="preserve"> or the released topoisomerase I inhibitor. No dose adjustment is required during coadministration of </w:t>
      </w:r>
      <w:r w:rsidR="000E2A68" w:rsidRPr="00501E43">
        <w:rPr>
          <w:lang w:val="en-AU"/>
        </w:rPr>
        <w:t>trastuzumab deruxtecan</w:t>
      </w:r>
      <w:r w:rsidRPr="00501E43">
        <w:rPr>
          <w:lang w:val="en-AU"/>
        </w:rPr>
        <w:t xml:space="preserve"> with drugs that are inhibitors of OATP1B or CYP3A.</w:t>
      </w:r>
    </w:p>
    <w:p w14:paraId="5F31B548" w14:textId="77777777" w:rsidR="005B109B" w:rsidRPr="00855C87" w:rsidRDefault="005B109B" w:rsidP="005B109B">
      <w:pPr>
        <w:spacing w:after="0" w:line="240" w:lineRule="auto"/>
        <w:rPr>
          <w:szCs w:val="20"/>
          <w:u w:val="single"/>
          <w:lang w:val="en-AU"/>
        </w:rPr>
      </w:pPr>
    </w:p>
    <w:p w14:paraId="11046333" w14:textId="5DA3617D" w:rsidR="005B109B" w:rsidRPr="004E508C" w:rsidRDefault="005B109B" w:rsidP="005B109B">
      <w:pPr>
        <w:spacing w:after="0" w:line="240" w:lineRule="auto"/>
        <w:rPr>
          <w:lang w:val="en-AU"/>
        </w:rPr>
      </w:pPr>
      <w:r w:rsidRPr="00855C87">
        <w:rPr>
          <w:lang w:val="en-AU"/>
        </w:rPr>
        <w:t>No clinically meaningful interaction is expected with drugs that are inhibitors of P</w:t>
      </w:r>
      <w:r w:rsidRPr="00855C87">
        <w:rPr>
          <w:szCs w:val="20"/>
          <w:lang w:val="en-AU"/>
        </w:rPr>
        <w:noBreakHyphen/>
      </w:r>
      <w:proofErr w:type="spellStart"/>
      <w:r w:rsidRPr="00855C87">
        <w:rPr>
          <w:lang w:val="en-AU"/>
        </w:rPr>
        <w:t>gp</w:t>
      </w:r>
      <w:proofErr w:type="spellEnd"/>
      <w:r w:rsidRPr="00855C87">
        <w:rPr>
          <w:lang w:val="en-AU"/>
        </w:rPr>
        <w:t>, MATE2</w:t>
      </w:r>
      <w:r w:rsidRPr="00855C87">
        <w:rPr>
          <w:szCs w:val="20"/>
          <w:lang w:val="en-AU"/>
        </w:rPr>
        <w:noBreakHyphen/>
      </w:r>
      <w:r w:rsidRPr="00855C87">
        <w:rPr>
          <w:lang w:val="en-AU"/>
        </w:rPr>
        <w:t>K, MRP1</w:t>
      </w:r>
      <w:r w:rsidRPr="004E508C">
        <w:rPr>
          <w:lang w:val="en-AU"/>
        </w:rPr>
        <w:t>, or BCRP transporters.</w:t>
      </w:r>
    </w:p>
    <w:p w14:paraId="2FC3BAC6" w14:textId="1FCC4320" w:rsidR="00E45826" w:rsidRPr="004E508C" w:rsidRDefault="00E45826" w:rsidP="00EC60F8">
      <w:pPr>
        <w:pStyle w:val="Paragraph"/>
        <w:rPr>
          <w:lang w:val="en-AU"/>
        </w:rPr>
      </w:pPr>
    </w:p>
    <w:p w14:paraId="7253FA8D" w14:textId="1C0C3F6E" w:rsidR="0018182D" w:rsidRPr="004E508C" w:rsidRDefault="0018182D" w:rsidP="00553499">
      <w:pPr>
        <w:pStyle w:val="Heading3Unnumbered"/>
        <w:rPr>
          <w:lang w:val="en-AU"/>
        </w:rPr>
      </w:pPr>
      <w:bookmarkStart w:id="21" w:name="_Toc23341364"/>
      <w:bookmarkStart w:id="22" w:name="_Toc34804478"/>
      <w:r w:rsidRPr="004E508C">
        <w:rPr>
          <w:lang w:val="en-AU"/>
        </w:rPr>
        <w:t>Effects of ENHERTU on the Pharmacokinetics of Other Medicinal Products</w:t>
      </w:r>
      <w:bookmarkEnd w:id="21"/>
      <w:bookmarkEnd w:id="22"/>
    </w:p>
    <w:p w14:paraId="7D2AE561" w14:textId="7D219C71" w:rsidR="007C5950" w:rsidRPr="004E508C" w:rsidRDefault="007C5950" w:rsidP="007C5950">
      <w:pPr>
        <w:spacing w:after="0" w:line="240" w:lineRule="auto"/>
        <w:rPr>
          <w:szCs w:val="20"/>
          <w:lang w:val="en-AU"/>
        </w:rPr>
      </w:pPr>
      <w:r w:rsidRPr="00855C87">
        <w:rPr>
          <w:i/>
          <w:iCs/>
          <w:szCs w:val="20"/>
          <w:lang w:val="en-AU"/>
        </w:rPr>
        <w:t>In vitro</w:t>
      </w:r>
      <w:r w:rsidRPr="00855C87">
        <w:rPr>
          <w:szCs w:val="20"/>
          <w:lang w:val="en-AU"/>
        </w:rPr>
        <w:t xml:space="preserve"> studies indicate that the topoisomerase I inhibitor does not inhibit or induce major CYP450 enzymes, including CYP1A2, 2B6, 2C8, 2C9, 2C19, 2D6 and 3A. </w:t>
      </w:r>
      <w:r w:rsidRPr="00855C87">
        <w:rPr>
          <w:i/>
          <w:iCs/>
          <w:szCs w:val="20"/>
          <w:lang w:val="en-AU"/>
        </w:rPr>
        <w:t>In vitro</w:t>
      </w:r>
      <w:r w:rsidRPr="00855C87">
        <w:rPr>
          <w:szCs w:val="20"/>
          <w:lang w:val="en-AU"/>
        </w:rPr>
        <w:t xml:space="preserve"> studies indicate that the topoisomerase I inhibitor does not inhibit OAT3, OCT1, OCT2, OATP1B3, MATE1, MATE2</w:t>
      </w:r>
      <w:r w:rsidRPr="00855C87">
        <w:rPr>
          <w:szCs w:val="20"/>
          <w:lang w:val="en-AU"/>
        </w:rPr>
        <w:noBreakHyphen/>
        <w:t>K, P</w:t>
      </w:r>
      <w:r w:rsidRPr="00855C87">
        <w:rPr>
          <w:szCs w:val="20"/>
          <w:lang w:val="en-AU"/>
        </w:rPr>
        <w:noBreakHyphen/>
      </w:r>
      <w:proofErr w:type="spellStart"/>
      <w:r w:rsidRPr="00855C87">
        <w:rPr>
          <w:szCs w:val="20"/>
          <w:lang w:val="en-AU"/>
        </w:rPr>
        <w:t>gp</w:t>
      </w:r>
      <w:proofErr w:type="spellEnd"/>
      <w:r w:rsidRPr="00855C87">
        <w:rPr>
          <w:szCs w:val="20"/>
          <w:lang w:val="en-AU"/>
        </w:rPr>
        <w:t>, BCRP, or BSEP transporters, but has an inhibitory effect on OAT1 and OATP1B1 with IC</w:t>
      </w:r>
      <w:r w:rsidRPr="00855C87">
        <w:rPr>
          <w:szCs w:val="20"/>
          <w:vertAlign w:val="subscript"/>
          <w:lang w:val="en-AU"/>
        </w:rPr>
        <w:t>50</w:t>
      </w:r>
      <w:r w:rsidRPr="00855C87">
        <w:rPr>
          <w:szCs w:val="20"/>
          <w:lang w:val="en-AU"/>
        </w:rPr>
        <w:t xml:space="preserve"> values of 12.7 and 14.4 µmol/L, respectively, which are significantly higher than steady</w:t>
      </w:r>
      <w:r w:rsidRPr="00855C87">
        <w:rPr>
          <w:szCs w:val="20"/>
          <w:lang w:val="en-AU"/>
        </w:rPr>
        <w:noBreakHyphen/>
        <w:t>state C</w:t>
      </w:r>
      <w:r w:rsidRPr="00855C87">
        <w:rPr>
          <w:szCs w:val="20"/>
          <w:vertAlign w:val="subscript"/>
          <w:lang w:val="en-AU"/>
        </w:rPr>
        <w:t>max</w:t>
      </w:r>
      <w:r w:rsidRPr="00855C87">
        <w:rPr>
          <w:szCs w:val="20"/>
          <w:lang w:val="en-AU"/>
        </w:rPr>
        <w:t xml:space="preserve"> (0.01 µmol/L) of topoisomerase I inhibitor at 5.4 mg/kg dose administered every 3 weeks. No clinically meaningful drug</w:t>
      </w:r>
      <w:r w:rsidRPr="00855C87">
        <w:rPr>
          <w:szCs w:val="20"/>
          <w:lang w:val="en-AU"/>
        </w:rPr>
        <w:noBreakHyphen/>
        <w:t>drug interaction is expected with drugs that are substrates of OAT1 or OATP1B1 transporters.</w:t>
      </w:r>
    </w:p>
    <w:p w14:paraId="4480761E" w14:textId="77777777" w:rsidR="00104749" w:rsidRPr="004E508C" w:rsidRDefault="00104749" w:rsidP="0018182D">
      <w:pPr>
        <w:spacing w:after="0" w:line="240" w:lineRule="auto"/>
        <w:rPr>
          <w:lang w:val="en-AU"/>
        </w:rPr>
      </w:pPr>
    </w:p>
    <w:p w14:paraId="02E0FD66" w14:textId="77777777" w:rsidR="001A3992" w:rsidRPr="004E508C" w:rsidRDefault="001A3992" w:rsidP="00EE3AC8">
      <w:pPr>
        <w:pStyle w:val="Heading2"/>
        <w:rPr>
          <w:lang w:val="en-AU"/>
        </w:rPr>
      </w:pPr>
      <w:r w:rsidRPr="004E508C">
        <w:rPr>
          <w:lang w:val="en-AU"/>
        </w:rPr>
        <w:t>Fer</w:t>
      </w:r>
      <w:r w:rsidR="00EC60F8" w:rsidRPr="004E508C">
        <w:rPr>
          <w:lang w:val="en-AU"/>
        </w:rPr>
        <w:t>tility, pregnancy and lactation</w:t>
      </w:r>
    </w:p>
    <w:p w14:paraId="2C4B0855" w14:textId="0F7A2C51" w:rsidR="00165728" w:rsidRPr="004E508C" w:rsidRDefault="00165728" w:rsidP="00CD53AF">
      <w:pPr>
        <w:pStyle w:val="Heading3Unnumbered"/>
        <w:rPr>
          <w:lang w:val="en-AU"/>
        </w:rPr>
      </w:pPr>
      <w:bookmarkStart w:id="23" w:name="_Toc23341369"/>
      <w:bookmarkStart w:id="24" w:name="_Toc34804483"/>
      <w:r w:rsidRPr="004E508C">
        <w:rPr>
          <w:lang w:val="en-AU"/>
        </w:rPr>
        <w:t>Women of Childbearing Potential</w:t>
      </w:r>
      <w:bookmarkEnd w:id="23"/>
      <w:bookmarkEnd w:id="24"/>
    </w:p>
    <w:p w14:paraId="4788826F" w14:textId="5FDFEDD2" w:rsidR="00165728" w:rsidRPr="004E508C" w:rsidRDefault="00165728" w:rsidP="000E41AF">
      <w:pPr>
        <w:spacing w:after="0" w:line="240" w:lineRule="auto"/>
        <w:rPr>
          <w:szCs w:val="20"/>
          <w:lang w:val="en-AU"/>
        </w:rPr>
      </w:pPr>
      <w:r w:rsidRPr="004E508C">
        <w:rPr>
          <w:szCs w:val="20"/>
          <w:lang w:val="en-AU"/>
        </w:rPr>
        <w:t xml:space="preserve">Pregnancy status of women of childbearing potential should be verified prior to initiation of </w:t>
      </w:r>
      <w:r w:rsidR="00066EC8" w:rsidRPr="004E508C">
        <w:rPr>
          <w:szCs w:val="20"/>
          <w:lang w:val="en-AU"/>
        </w:rPr>
        <w:t>ENHERTU</w:t>
      </w:r>
      <w:r w:rsidRPr="004E508C">
        <w:rPr>
          <w:szCs w:val="20"/>
          <w:lang w:val="en-AU"/>
        </w:rPr>
        <w:t>.</w:t>
      </w:r>
    </w:p>
    <w:p w14:paraId="40869803" w14:textId="77777777" w:rsidR="000E41AF" w:rsidRPr="004E508C" w:rsidRDefault="000E41AF" w:rsidP="000E41AF">
      <w:pPr>
        <w:spacing w:after="0" w:line="240" w:lineRule="auto"/>
        <w:rPr>
          <w:lang w:val="en-AU"/>
        </w:rPr>
      </w:pPr>
    </w:p>
    <w:p w14:paraId="3CFF4A30" w14:textId="57A69265" w:rsidR="001A3992" w:rsidRPr="004E508C" w:rsidRDefault="001A3992" w:rsidP="00CD53AF">
      <w:pPr>
        <w:pStyle w:val="Heading3Unnumbered"/>
        <w:rPr>
          <w:lang w:val="en-AU"/>
        </w:rPr>
      </w:pPr>
      <w:r w:rsidRPr="004E508C">
        <w:rPr>
          <w:lang w:val="en-AU"/>
        </w:rPr>
        <w:t>Effects on fertility</w:t>
      </w:r>
    </w:p>
    <w:p w14:paraId="56B83E51" w14:textId="2CB38355" w:rsidR="007A3519" w:rsidRPr="004E508C" w:rsidRDefault="00CD53AF" w:rsidP="00D55190">
      <w:pPr>
        <w:spacing w:after="0" w:line="240" w:lineRule="auto"/>
        <w:rPr>
          <w:lang w:val="en-AU"/>
        </w:rPr>
      </w:pPr>
      <w:r w:rsidRPr="00373F73">
        <w:rPr>
          <w:lang w:val="en-AU"/>
        </w:rPr>
        <w:t xml:space="preserve">No dedicated fertility studies have been conducted with </w:t>
      </w:r>
      <w:r w:rsidR="002D3C0D" w:rsidRPr="00855C87">
        <w:rPr>
          <w:lang w:val="en-AU"/>
        </w:rPr>
        <w:t>trastuzumab deruxtecan</w:t>
      </w:r>
      <w:r w:rsidRPr="00855C87">
        <w:rPr>
          <w:lang w:val="en-AU"/>
        </w:rPr>
        <w:t xml:space="preserve">. </w:t>
      </w:r>
      <w:r w:rsidR="002D3C0D" w:rsidRPr="00855C87">
        <w:rPr>
          <w:lang w:val="en-AU"/>
        </w:rPr>
        <w:t xml:space="preserve">Repeat-dose toxicity studies with trastuzumab deruxtecan (intravenous dosing once every 3 weeks) revealed adverse changes to the male reproductive organs in rats and monkeys. In rats, treatment resulted in </w:t>
      </w:r>
      <w:r w:rsidR="002D3C0D" w:rsidRPr="007A7402">
        <w:rPr>
          <w:lang w:val="en-AU"/>
        </w:rPr>
        <w:t xml:space="preserve">decreased testes and </w:t>
      </w:r>
      <w:proofErr w:type="spellStart"/>
      <w:r w:rsidR="002D3C0D" w:rsidRPr="007A7402">
        <w:rPr>
          <w:lang w:val="en-AU"/>
        </w:rPr>
        <w:t>epididymides</w:t>
      </w:r>
      <w:proofErr w:type="spellEnd"/>
      <w:r w:rsidR="002D3C0D" w:rsidRPr="007A7402">
        <w:rPr>
          <w:lang w:val="en-AU"/>
        </w:rPr>
        <w:t xml:space="preserve"> weights and spermatid retention at ≥20 mg/kg (</w:t>
      </w:r>
      <w:r w:rsidR="00A223B0" w:rsidRPr="007A7402">
        <w:rPr>
          <w:lang w:val="en-AU"/>
        </w:rPr>
        <w:t>3.3</w:t>
      </w:r>
      <w:r w:rsidR="002D3C0D" w:rsidRPr="007A7402">
        <w:rPr>
          <w:lang w:val="en-AU"/>
        </w:rPr>
        <w:t xml:space="preserve">× the clinical AUC at the maximum recommended clinical dose for trastuzumab deruxtecan and </w:t>
      </w:r>
      <w:r w:rsidR="00A223B0" w:rsidRPr="007A7402">
        <w:rPr>
          <w:lang w:val="en-AU"/>
        </w:rPr>
        <w:t>0.14</w:t>
      </w:r>
      <w:r w:rsidR="002D3C0D" w:rsidRPr="007A7402">
        <w:rPr>
          <w:lang w:val="en-AU"/>
        </w:rPr>
        <w:t>× for the topoisomerase inhibitor) and tubular degeneration in testes and aspermia at 197 mg/kg (</w:t>
      </w:r>
      <w:r w:rsidR="00A223B0" w:rsidRPr="007A7402">
        <w:rPr>
          <w:lang w:val="en-AU"/>
        </w:rPr>
        <w:t>22</w:t>
      </w:r>
      <w:r w:rsidR="002D3C0D" w:rsidRPr="007A7402">
        <w:rPr>
          <w:lang w:val="en-AU"/>
        </w:rPr>
        <w:t>× the clinical AUC for trastuzumab deruxtecan and 1.3× for the topoisomerase inhibitor). In monkeys</w:t>
      </w:r>
      <w:r w:rsidR="00373F73" w:rsidRPr="007A7402">
        <w:rPr>
          <w:lang w:val="en-AU"/>
        </w:rPr>
        <w:t>,</w:t>
      </w:r>
      <w:r w:rsidR="002D3C0D" w:rsidRPr="007A7402">
        <w:rPr>
          <w:lang w:val="en-AU"/>
        </w:rPr>
        <w:t xml:space="preserve"> </w:t>
      </w:r>
      <w:r w:rsidR="00373F73" w:rsidRPr="007A7402">
        <w:rPr>
          <w:lang w:val="en-AU"/>
        </w:rPr>
        <w:t>decreased spermatids in seminiferous tubules in the test</w:t>
      </w:r>
      <w:r w:rsidR="00FD7B96" w:rsidRPr="007A7402">
        <w:rPr>
          <w:lang w:val="en-AU"/>
        </w:rPr>
        <w:t>e</w:t>
      </w:r>
      <w:r w:rsidR="00373F73" w:rsidRPr="007A7402">
        <w:rPr>
          <w:lang w:val="en-AU"/>
        </w:rPr>
        <w:t xml:space="preserve">s were </w:t>
      </w:r>
      <w:r w:rsidR="002D3C0D" w:rsidRPr="007A7402">
        <w:rPr>
          <w:lang w:val="en-AU"/>
        </w:rPr>
        <w:t xml:space="preserve">noted </w:t>
      </w:r>
      <w:r w:rsidR="00373F73" w:rsidRPr="007A7402">
        <w:rPr>
          <w:lang w:val="en-AU"/>
        </w:rPr>
        <w:t>at</w:t>
      </w:r>
      <w:r w:rsidR="002D3C0D" w:rsidRPr="007A7402">
        <w:rPr>
          <w:lang w:val="en-AU"/>
        </w:rPr>
        <w:t xml:space="preserve"> 30 mg/kg (</w:t>
      </w:r>
      <w:r w:rsidR="00A223B0" w:rsidRPr="007A7402">
        <w:rPr>
          <w:lang w:val="en-AU"/>
        </w:rPr>
        <w:t>6.5</w:t>
      </w:r>
      <w:r w:rsidR="002D3C0D" w:rsidRPr="007A7402">
        <w:rPr>
          <w:lang w:val="en-AU"/>
        </w:rPr>
        <w:t xml:space="preserve">× the clinical AUC for trastuzumab deruxtecan </w:t>
      </w:r>
      <w:r w:rsidR="00A223B0" w:rsidRPr="007A7402">
        <w:rPr>
          <w:lang w:val="en-AU"/>
        </w:rPr>
        <w:t>0.44</w:t>
      </w:r>
      <w:r w:rsidR="002D3C0D" w:rsidRPr="007A7402">
        <w:rPr>
          <w:lang w:val="en-AU"/>
        </w:rPr>
        <w:t>× for the topoisomerase inhibitor)</w:t>
      </w:r>
      <w:r w:rsidR="00373F73" w:rsidRPr="007A7402">
        <w:rPr>
          <w:lang w:val="en-AU"/>
        </w:rPr>
        <w:t>.</w:t>
      </w:r>
      <w:r w:rsidR="00EB46E8" w:rsidRPr="007A7402">
        <w:rPr>
          <w:lang w:val="en-AU"/>
        </w:rPr>
        <w:t xml:space="preserve"> These changes in the test</w:t>
      </w:r>
      <w:r w:rsidR="00FD7B96" w:rsidRPr="007A7402">
        <w:rPr>
          <w:lang w:val="en-AU"/>
        </w:rPr>
        <w:t>e</w:t>
      </w:r>
      <w:r w:rsidR="00EB46E8" w:rsidRPr="007A7402">
        <w:rPr>
          <w:lang w:val="en-AU"/>
        </w:rPr>
        <w:t>s of monkeys showed reversibility.</w:t>
      </w:r>
      <w:r w:rsidR="002D3C0D" w:rsidRPr="007A7402">
        <w:rPr>
          <w:sz w:val="23"/>
          <w:szCs w:val="23"/>
        </w:rPr>
        <w:t xml:space="preserve"> </w:t>
      </w:r>
      <w:r w:rsidRPr="007A7402">
        <w:rPr>
          <w:lang w:val="en-AU"/>
        </w:rPr>
        <w:t>Based on results from animal toxicity studies, ENHERTU may impair male reproductive function and fertility</w:t>
      </w:r>
      <w:r w:rsidR="009C2EBF" w:rsidRPr="007A7402">
        <w:rPr>
          <w:lang w:val="en-AU"/>
        </w:rPr>
        <w:t>.</w:t>
      </w:r>
      <w:r w:rsidR="007A3519" w:rsidRPr="007A7402">
        <w:rPr>
          <w:color w:val="0000FF"/>
          <w:lang w:val="en-AU"/>
        </w:rPr>
        <w:t xml:space="preserve"> </w:t>
      </w:r>
    </w:p>
    <w:p w14:paraId="06A35F54" w14:textId="13E57C88" w:rsidR="007A3519" w:rsidRDefault="007A3519" w:rsidP="00D55190">
      <w:pPr>
        <w:spacing w:after="0" w:line="240" w:lineRule="auto"/>
        <w:rPr>
          <w:lang w:val="en-AU"/>
        </w:rPr>
      </w:pPr>
    </w:p>
    <w:p w14:paraId="72074BB0" w14:textId="7DC218E2" w:rsidR="005F62AB" w:rsidRPr="005F62AB" w:rsidRDefault="005F62AB" w:rsidP="005F62AB">
      <w:pPr>
        <w:spacing w:after="0" w:line="240" w:lineRule="auto"/>
        <w:rPr>
          <w:lang w:val="en-AU"/>
        </w:rPr>
      </w:pPr>
      <w:r w:rsidRPr="005F62AB">
        <w:rPr>
          <w:lang w:val="en-AU"/>
        </w:rPr>
        <w:t>It is not known whether trastuzumab deruxtecan or its metabolites are found in seminal fluid. Before starting treatment, male patients should be advised to seek counselling on sperm storage. Male patients must not freeze or donate sperm throughout the treatment period, and for at least 4 months after the final dose of ENHERTU.</w:t>
      </w:r>
    </w:p>
    <w:p w14:paraId="65E735C9" w14:textId="77777777" w:rsidR="005F62AB" w:rsidRPr="004E508C" w:rsidRDefault="005F62AB" w:rsidP="00D55190">
      <w:pPr>
        <w:spacing w:after="0" w:line="240" w:lineRule="auto"/>
        <w:rPr>
          <w:lang w:val="en-AU"/>
        </w:rPr>
      </w:pPr>
    </w:p>
    <w:p w14:paraId="448CCA4B" w14:textId="77777777" w:rsidR="007A3519" w:rsidRPr="004E508C" w:rsidRDefault="007A3519" w:rsidP="007A3519">
      <w:pPr>
        <w:pStyle w:val="Heading3Unnumbered"/>
        <w:rPr>
          <w:lang w:val="en-AU"/>
        </w:rPr>
      </w:pPr>
      <w:bookmarkStart w:id="25" w:name="_Toc23341366"/>
      <w:bookmarkStart w:id="26" w:name="_Toc34804480"/>
      <w:r w:rsidRPr="004E508C">
        <w:rPr>
          <w:lang w:val="en-AU"/>
        </w:rPr>
        <w:lastRenderedPageBreak/>
        <w:t>Contraception in Males and Females</w:t>
      </w:r>
      <w:bookmarkEnd w:id="25"/>
      <w:bookmarkEnd w:id="26"/>
    </w:p>
    <w:p w14:paraId="7C89FCA9" w14:textId="1A41A179" w:rsidR="009421EF" w:rsidRPr="004E508C" w:rsidRDefault="00D55190" w:rsidP="000E41AF">
      <w:pPr>
        <w:spacing w:after="0" w:line="240" w:lineRule="auto"/>
        <w:rPr>
          <w:lang w:val="en-AU"/>
        </w:rPr>
      </w:pPr>
      <w:r w:rsidRPr="004E508C">
        <w:rPr>
          <w:lang w:val="en-AU"/>
        </w:rPr>
        <w:t>Women of childbearing potential should use effective contraception during treatment with ENHERTU and for at least 7 months following the last dose.</w:t>
      </w:r>
      <w:r w:rsidR="00165728" w:rsidRPr="004E508C">
        <w:rPr>
          <w:lang w:val="en-AU"/>
        </w:rPr>
        <w:t xml:space="preserve"> </w:t>
      </w:r>
      <w:r w:rsidRPr="004E508C">
        <w:rPr>
          <w:lang w:val="en-AU"/>
        </w:rPr>
        <w:t>Men with female partners of childbearing potential should use effective contraception during treatment with ENHERTU and for at least 4 months following the last dose.</w:t>
      </w:r>
    </w:p>
    <w:p w14:paraId="2600A957" w14:textId="77777777" w:rsidR="000E41AF" w:rsidRPr="004E508C" w:rsidRDefault="000E41AF" w:rsidP="000E41AF">
      <w:pPr>
        <w:spacing w:after="0" w:line="240" w:lineRule="auto"/>
        <w:rPr>
          <w:b/>
          <w:bCs/>
          <w:lang w:val="en-AU"/>
        </w:rPr>
      </w:pPr>
    </w:p>
    <w:p w14:paraId="7E550B16" w14:textId="74945C2B" w:rsidR="001A3992" w:rsidRPr="004E508C" w:rsidRDefault="00446EDD" w:rsidP="0026491B">
      <w:pPr>
        <w:pStyle w:val="Heading3Unnumbered"/>
        <w:rPr>
          <w:lang w:val="en-AU"/>
        </w:rPr>
      </w:pPr>
      <w:r w:rsidRPr="004E508C">
        <w:rPr>
          <w:lang w:val="en-AU"/>
        </w:rPr>
        <w:t xml:space="preserve">Use in pregnancy </w:t>
      </w:r>
      <w:r w:rsidR="00E45826" w:rsidRPr="004E508C">
        <w:rPr>
          <w:lang w:val="en-AU"/>
        </w:rPr>
        <w:t>– Category</w:t>
      </w:r>
      <w:r w:rsidR="004C6183" w:rsidRPr="004E508C">
        <w:rPr>
          <w:lang w:val="en-AU"/>
        </w:rPr>
        <w:t xml:space="preserve"> D</w:t>
      </w:r>
      <w:r w:rsidR="00E45826" w:rsidRPr="004E508C">
        <w:rPr>
          <w:lang w:val="en-AU"/>
        </w:rPr>
        <w:t xml:space="preserve"> </w:t>
      </w:r>
    </w:p>
    <w:p w14:paraId="3EFD5898" w14:textId="62DC4CBD" w:rsidR="009421EF" w:rsidRPr="004E508C" w:rsidRDefault="006A3928" w:rsidP="009421EF">
      <w:pPr>
        <w:spacing w:after="0" w:line="240" w:lineRule="auto"/>
        <w:rPr>
          <w:lang w:val="en-AU"/>
        </w:rPr>
      </w:pPr>
      <w:r w:rsidRPr="00FD21BA">
        <w:rPr>
          <w:lang w:val="en-AU"/>
        </w:rPr>
        <w:t xml:space="preserve">Trastuzumab </w:t>
      </w:r>
      <w:proofErr w:type="spellStart"/>
      <w:r w:rsidRPr="00FD21BA">
        <w:rPr>
          <w:lang w:val="en-AU"/>
        </w:rPr>
        <w:t>deruxtecan</w:t>
      </w:r>
      <w:proofErr w:type="spellEnd"/>
      <w:r w:rsidRPr="00FD21BA">
        <w:rPr>
          <w:lang w:val="en-AU"/>
        </w:rPr>
        <w:t xml:space="preserve"> </w:t>
      </w:r>
      <w:r w:rsidR="009421EF" w:rsidRPr="00FD21BA">
        <w:rPr>
          <w:lang w:val="en-AU"/>
        </w:rPr>
        <w:t xml:space="preserve">can cause </w:t>
      </w:r>
      <w:proofErr w:type="spellStart"/>
      <w:r w:rsidR="009F5BC8" w:rsidRPr="00FD21BA">
        <w:rPr>
          <w:lang w:val="en-AU"/>
        </w:rPr>
        <w:t>fetal</w:t>
      </w:r>
      <w:proofErr w:type="spellEnd"/>
      <w:r w:rsidR="009421EF" w:rsidRPr="00FD21BA">
        <w:rPr>
          <w:lang w:val="en-AU"/>
        </w:rPr>
        <w:t xml:space="preserve"> harm when administered to a pregnant woman. There are no available data on the</w:t>
      </w:r>
      <w:r w:rsidRPr="00FD21BA">
        <w:rPr>
          <w:lang w:val="en-AU"/>
        </w:rPr>
        <w:t xml:space="preserve"> effects of trastuzumab deruxtecan</w:t>
      </w:r>
      <w:r w:rsidR="009421EF" w:rsidRPr="00FD21BA">
        <w:rPr>
          <w:lang w:val="en-AU"/>
        </w:rPr>
        <w:t xml:space="preserve"> in pregnant women. However, in </w:t>
      </w:r>
      <w:r w:rsidR="009B6872" w:rsidRPr="00FD21BA">
        <w:rPr>
          <w:lang w:val="en-AU"/>
        </w:rPr>
        <w:t>post-marketing</w:t>
      </w:r>
      <w:r w:rsidR="009421EF" w:rsidRPr="00FD21BA">
        <w:rPr>
          <w:lang w:val="en-AU"/>
        </w:rPr>
        <w:t xml:space="preserve"> reports, use of trastuzumab, a HER2 receptor antagonist, during pregnancy resulted in cases of oligohydramnios manifesting as fatal pulmonary hypoplasia, skeletal abnormalities, and neonatal death. Based on findings in animals and its mechanism of action, the topoisomerase I inhibitor component of </w:t>
      </w:r>
      <w:r w:rsidRPr="00FD21BA">
        <w:rPr>
          <w:lang w:val="en-AU"/>
        </w:rPr>
        <w:t xml:space="preserve">trastuzumab deruxtecan </w:t>
      </w:r>
      <w:r w:rsidR="009421EF" w:rsidRPr="00FD21BA">
        <w:rPr>
          <w:lang w:val="en-AU"/>
        </w:rPr>
        <w:t>can also cause embryo</w:t>
      </w:r>
      <w:r w:rsidR="009421EF" w:rsidRPr="00FD21BA">
        <w:rPr>
          <w:lang w:val="en-AU"/>
        </w:rPr>
        <w:noBreakHyphen/>
      </w:r>
      <w:proofErr w:type="spellStart"/>
      <w:r w:rsidR="009F5BC8" w:rsidRPr="00FD21BA">
        <w:rPr>
          <w:lang w:val="en-AU"/>
        </w:rPr>
        <w:t>fetal</w:t>
      </w:r>
      <w:proofErr w:type="spellEnd"/>
      <w:r w:rsidR="009421EF" w:rsidRPr="00FD21BA">
        <w:rPr>
          <w:lang w:val="en-AU"/>
        </w:rPr>
        <w:t xml:space="preserve"> harm when administered to a pregnant woman.</w:t>
      </w:r>
    </w:p>
    <w:p w14:paraId="29084B4C" w14:textId="77777777" w:rsidR="007950BA" w:rsidRPr="004E508C" w:rsidRDefault="007950BA" w:rsidP="009421EF">
      <w:pPr>
        <w:spacing w:after="0" w:line="240" w:lineRule="auto"/>
        <w:rPr>
          <w:lang w:val="en-AU"/>
        </w:rPr>
      </w:pPr>
    </w:p>
    <w:p w14:paraId="764E2099" w14:textId="73E3A423" w:rsidR="007950BA" w:rsidRPr="00384EBB" w:rsidRDefault="007950BA" w:rsidP="007950BA">
      <w:pPr>
        <w:spacing w:after="0" w:line="240" w:lineRule="auto"/>
        <w:rPr>
          <w:lang w:val="en-AU"/>
        </w:rPr>
      </w:pPr>
      <w:r w:rsidRPr="004E508C">
        <w:rPr>
          <w:lang w:val="en-AU"/>
        </w:rPr>
        <w:t xml:space="preserve">There were no animal reproductive or developmental toxicity studies </w:t>
      </w:r>
      <w:r w:rsidRPr="00384EBB">
        <w:rPr>
          <w:lang w:val="en-AU"/>
        </w:rPr>
        <w:t>conducted with trastuzumab deruxtecan. Based on results from general animal toxicity studies, trastuzumab deruxtecan and the topoisomerase I inhibitor component were toxic to rapidly dividing cells (lymphatic/h</w:t>
      </w:r>
      <w:r w:rsidR="00DD556A" w:rsidRPr="00384EBB">
        <w:rPr>
          <w:lang w:val="en-AU"/>
        </w:rPr>
        <w:t>a</w:t>
      </w:r>
      <w:r w:rsidRPr="00384EBB">
        <w:rPr>
          <w:lang w:val="en-AU"/>
        </w:rPr>
        <w:t>ematopoietic organs, intestine, or testes), and the topoisomerase I inhibitor was genotoxic, suggesting the potential for embryotoxicity and teratogenicity.</w:t>
      </w:r>
    </w:p>
    <w:p w14:paraId="183C8BBA" w14:textId="77777777" w:rsidR="009421EF" w:rsidRPr="00384EBB" w:rsidRDefault="009421EF" w:rsidP="009421EF">
      <w:pPr>
        <w:spacing w:after="0" w:line="240" w:lineRule="auto"/>
        <w:rPr>
          <w:lang w:val="en-AU"/>
        </w:rPr>
      </w:pPr>
    </w:p>
    <w:p w14:paraId="65C91424" w14:textId="0000D695" w:rsidR="009421EF" w:rsidRPr="00384EBB" w:rsidRDefault="009421EF" w:rsidP="009421EF">
      <w:pPr>
        <w:spacing w:after="0" w:line="240" w:lineRule="auto"/>
        <w:rPr>
          <w:lang w:val="en-AU"/>
        </w:rPr>
      </w:pPr>
      <w:r w:rsidRPr="00384EBB">
        <w:rPr>
          <w:lang w:val="en-AU"/>
        </w:rPr>
        <w:t xml:space="preserve">Administration of </w:t>
      </w:r>
      <w:r w:rsidR="00805ECB" w:rsidRPr="00384EBB">
        <w:rPr>
          <w:lang w:val="en-AU"/>
        </w:rPr>
        <w:t>ENHERTU</w:t>
      </w:r>
      <w:r w:rsidRPr="00384EBB">
        <w:rPr>
          <w:lang w:val="en-AU"/>
        </w:rPr>
        <w:t xml:space="preserve"> to pregnant women is not recommended, and patients should be informed of the potential risks to the </w:t>
      </w:r>
      <w:proofErr w:type="spellStart"/>
      <w:r w:rsidR="009F5BC8" w:rsidRPr="00384EBB">
        <w:rPr>
          <w:lang w:val="en-AU"/>
        </w:rPr>
        <w:t>fetus</w:t>
      </w:r>
      <w:proofErr w:type="spellEnd"/>
      <w:r w:rsidRPr="00384EBB">
        <w:rPr>
          <w:lang w:val="en-AU"/>
        </w:rPr>
        <w:t xml:space="preserve"> before they become pregnant. Women who become pregnant must immediately contact their doctor. If a woman becomes pregnant during treatment with </w:t>
      </w:r>
      <w:r w:rsidR="00674B90" w:rsidRPr="00384EBB">
        <w:rPr>
          <w:lang w:val="en-AU"/>
        </w:rPr>
        <w:t>ENHERTU</w:t>
      </w:r>
      <w:r w:rsidRPr="00384EBB">
        <w:rPr>
          <w:lang w:val="en-AU"/>
        </w:rPr>
        <w:t xml:space="preserve"> or within 7 months following the last dose of </w:t>
      </w:r>
      <w:r w:rsidR="00674B90" w:rsidRPr="00384EBB">
        <w:rPr>
          <w:lang w:val="en-AU"/>
        </w:rPr>
        <w:t>ENHERTU</w:t>
      </w:r>
      <w:r w:rsidRPr="00384EBB">
        <w:rPr>
          <w:lang w:val="en-AU"/>
        </w:rPr>
        <w:t>, close monitoring is recommended.</w:t>
      </w:r>
    </w:p>
    <w:p w14:paraId="34FB23B2" w14:textId="77777777" w:rsidR="00674B90" w:rsidRPr="00384EBB" w:rsidRDefault="00674B90" w:rsidP="009421EF">
      <w:pPr>
        <w:spacing w:after="0" w:line="240" w:lineRule="auto"/>
        <w:rPr>
          <w:szCs w:val="20"/>
          <w:lang w:val="en-AU"/>
        </w:rPr>
      </w:pPr>
    </w:p>
    <w:p w14:paraId="0B23C3CB" w14:textId="77777777" w:rsidR="001A3992" w:rsidRPr="00384EBB" w:rsidRDefault="00446EDD" w:rsidP="0026491B">
      <w:pPr>
        <w:pStyle w:val="Heading3Unnumbered"/>
        <w:rPr>
          <w:lang w:val="en-AU"/>
        </w:rPr>
      </w:pPr>
      <w:r w:rsidRPr="00384EBB">
        <w:rPr>
          <w:lang w:val="en-AU"/>
        </w:rPr>
        <w:t>Use in lactation</w:t>
      </w:r>
    </w:p>
    <w:p w14:paraId="1F254C5F" w14:textId="3B34BD4A" w:rsidR="00AF6D3F" w:rsidRPr="004E508C" w:rsidRDefault="00AF6D3F" w:rsidP="00AF6D3F">
      <w:pPr>
        <w:spacing w:after="0" w:line="240" w:lineRule="auto"/>
        <w:rPr>
          <w:szCs w:val="20"/>
          <w:lang w:val="en-AU"/>
        </w:rPr>
      </w:pPr>
      <w:r w:rsidRPr="00384EBB">
        <w:rPr>
          <w:szCs w:val="20"/>
          <w:lang w:val="en-AU"/>
        </w:rPr>
        <w:t xml:space="preserve">It is not known if </w:t>
      </w:r>
      <w:r w:rsidR="00E24B35" w:rsidRPr="00384EBB">
        <w:rPr>
          <w:szCs w:val="20"/>
          <w:lang w:val="en-AU"/>
        </w:rPr>
        <w:t xml:space="preserve">trastuzumab deruxtecan </w:t>
      </w:r>
      <w:r w:rsidRPr="00384EBB">
        <w:rPr>
          <w:szCs w:val="20"/>
          <w:lang w:val="en-AU"/>
        </w:rPr>
        <w:t>is excreted in human milk. Since many medicinal products are excreted in human milk and because of the potential for serious adverse reactions in breastfeeding infants, women should discontinue breastfeeding prior to</w:t>
      </w:r>
      <w:r w:rsidRPr="004E508C">
        <w:rPr>
          <w:szCs w:val="20"/>
          <w:lang w:val="en-AU"/>
        </w:rPr>
        <w:t xml:space="preserve"> initiating treatment with ENHERTU. Women may begin breastfeeding 7 months after concluding treatment.</w:t>
      </w:r>
    </w:p>
    <w:p w14:paraId="36E58B7F" w14:textId="77777777" w:rsidR="00AF6D3F" w:rsidRPr="004E508C" w:rsidRDefault="00AF6D3F" w:rsidP="00446EDD">
      <w:pPr>
        <w:pStyle w:val="Paragraph"/>
        <w:rPr>
          <w:lang w:val="en-AU"/>
        </w:rPr>
      </w:pPr>
    </w:p>
    <w:p w14:paraId="03001EE9" w14:textId="77777777" w:rsidR="001A3992" w:rsidRPr="004E508C" w:rsidRDefault="001A3992" w:rsidP="003B7CFF">
      <w:pPr>
        <w:pStyle w:val="Heading2"/>
        <w:rPr>
          <w:lang w:val="en-AU"/>
        </w:rPr>
      </w:pPr>
      <w:r w:rsidRPr="004E508C">
        <w:rPr>
          <w:lang w:val="en-AU"/>
        </w:rPr>
        <w:t>Effects on ability to drive and use machines</w:t>
      </w:r>
    </w:p>
    <w:p w14:paraId="1257AF85" w14:textId="0F40413B" w:rsidR="00464932" w:rsidRPr="004E508C" w:rsidRDefault="00464932" w:rsidP="00464932">
      <w:pPr>
        <w:spacing w:line="240" w:lineRule="auto"/>
        <w:rPr>
          <w:szCs w:val="20"/>
          <w:lang w:val="en-AU"/>
        </w:rPr>
      </w:pPr>
      <w:r w:rsidRPr="004E508C">
        <w:rPr>
          <w:szCs w:val="20"/>
          <w:lang w:val="en-AU"/>
        </w:rPr>
        <w:t xml:space="preserve">ENHERTU is not expected to affect patients’ ability to drive or use machines. Due to potential adverse reactions such as fatigue, headache and dizziness </w:t>
      </w:r>
      <w:r w:rsidR="00863DF8" w:rsidRPr="004E508C">
        <w:rPr>
          <w:szCs w:val="20"/>
          <w:lang w:val="en-AU"/>
        </w:rPr>
        <w:t>[</w:t>
      </w:r>
      <w:r w:rsidRPr="004E508C">
        <w:rPr>
          <w:szCs w:val="20"/>
          <w:lang w:val="en-AU"/>
        </w:rPr>
        <w:t xml:space="preserve">see </w:t>
      </w:r>
      <w:r w:rsidR="00863DF8" w:rsidRPr="004E508C">
        <w:rPr>
          <w:szCs w:val="20"/>
          <w:lang w:val="en-AU"/>
        </w:rPr>
        <w:t>S</w:t>
      </w:r>
      <w:r w:rsidRPr="004E508C">
        <w:rPr>
          <w:szCs w:val="20"/>
          <w:lang w:val="en-AU"/>
        </w:rPr>
        <w:t>ection 4.8</w:t>
      </w:r>
      <w:r w:rsidR="00863DF8" w:rsidRPr="004E508C">
        <w:rPr>
          <w:szCs w:val="20"/>
          <w:lang w:val="en-AU"/>
        </w:rPr>
        <w:t xml:space="preserve"> Adverse effects (undesirable effects)]</w:t>
      </w:r>
      <w:r w:rsidRPr="004E508C">
        <w:rPr>
          <w:szCs w:val="20"/>
          <w:lang w:val="en-AU"/>
        </w:rPr>
        <w:t>, patients should be advised to use caution when driving or operating machinery.</w:t>
      </w:r>
    </w:p>
    <w:p w14:paraId="2F13303A" w14:textId="77777777" w:rsidR="00104749" w:rsidRPr="004E508C" w:rsidRDefault="00104749" w:rsidP="00464932">
      <w:pPr>
        <w:spacing w:line="240" w:lineRule="auto"/>
        <w:rPr>
          <w:szCs w:val="20"/>
          <w:lang w:val="en-AU"/>
        </w:rPr>
      </w:pPr>
    </w:p>
    <w:p w14:paraId="655BF235" w14:textId="77777777" w:rsidR="001A3992" w:rsidRPr="004E508C" w:rsidRDefault="001A3992" w:rsidP="00EE3AC8">
      <w:pPr>
        <w:pStyle w:val="Heading2"/>
        <w:rPr>
          <w:lang w:val="en-AU"/>
        </w:rPr>
      </w:pPr>
      <w:r w:rsidRPr="004E508C">
        <w:rPr>
          <w:lang w:val="en-AU"/>
        </w:rPr>
        <w:t>Adverse effects (Undesirable effects)</w:t>
      </w:r>
    </w:p>
    <w:p w14:paraId="0F3875CB" w14:textId="4DCA370F" w:rsidR="007A48E9" w:rsidRPr="004E508C" w:rsidRDefault="00F44D47" w:rsidP="00504ED3">
      <w:pPr>
        <w:pStyle w:val="Heading3Unnumbered"/>
        <w:rPr>
          <w:lang w:val="en-AU"/>
        </w:rPr>
      </w:pPr>
      <w:r w:rsidRPr="004E508C">
        <w:rPr>
          <w:lang w:val="en-AU"/>
        </w:rPr>
        <w:t xml:space="preserve">Clinical trials experience </w:t>
      </w:r>
    </w:p>
    <w:p w14:paraId="61AF19D5" w14:textId="0CD9AEE8" w:rsidR="00504ED3" w:rsidRPr="004E508C" w:rsidRDefault="00504ED3" w:rsidP="00504ED3">
      <w:pPr>
        <w:pStyle w:val="ListBullet"/>
        <w:numPr>
          <w:ilvl w:val="0"/>
          <w:numId w:val="0"/>
        </w:numPr>
        <w:rPr>
          <w:lang w:val="en-AU"/>
        </w:rPr>
      </w:pPr>
      <w:r w:rsidRPr="004E508C">
        <w:rPr>
          <w:lang w:val="en-AU"/>
        </w:rPr>
        <w:t>As clinical trials are conducted under widely varying conditions, adverse reaction rates observed in the clinical trials of a drug cannot be directly compared to rates in the clinical trials of another drug and may not reflect the rates observed in practice.</w:t>
      </w:r>
    </w:p>
    <w:p w14:paraId="647C95A4" w14:textId="599D16A4" w:rsidR="00504ED3" w:rsidRPr="004E508C" w:rsidRDefault="00504ED3" w:rsidP="00F44D47">
      <w:pPr>
        <w:pStyle w:val="ListBullet"/>
        <w:numPr>
          <w:ilvl w:val="0"/>
          <w:numId w:val="0"/>
        </w:numPr>
        <w:rPr>
          <w:lang w:val="en-AU"/>
        </w:rPr>
      </w:pPr>
    </w:p>
    <w:p w14:paraId="57BE928D" w14:textId="79F72894" w:rsidR="00504ED3" w:rsidRPr="004E508C" w:rsidRDefault="00504ED3" w:rsidP="00504ED3">
      <w:pPr>
        <w:pStyle w:val="Heading4Unnumbered"/>
        <w:rPr>
          <w:lang w:val="en-AU"/>
        </w:rPr>
      </w:pPr>
      <w:r w:rsidRPr="004E508C">
        <w:rPr>
          <w:lang w:val="en-AU"/>
        </w:rPr>
        <w:t>Metastatic Breast Cancer</w:t>
      </w:r>
    </w:p>
    <w:p w14:paraId="02307B95" w14:textId="714E8B56" w:rsidR="007A48E9" w:rsidRPr="009F5BC8" w:rsidRDefault="00F44D47" w:rsidP="00F44D47">
      <w:pPr>
        <w:pStyle w:val="ListBullet"/>
        <w:numPr>
          <w:ilvl w:val="0"/>
          <w:numId w:val="0"/>
        </w:numPr>
        <w:rPr>
          <w:lang w:val="en-AU"/>
        </w:rPr>
      </w:pPr>
      <w:r w:rsidRPr="004E508C">
        <w:rPr>
          <w:lang w:val="en-AU"/>
        </w:rPr>
        <w:t xml:space="preserve">The safety of ENHERTU has been evaluated in a pooled analysis of 234 patients with unresectable or metastatic HER2 positive breast cancer who received at least one dose of ENHERTU 5.4 mg/kg </w:t>
      </w:r>
      <w:r w:rsidRPr="009F5BC8">
        <w:rPr>
          <w:lang w:val="en-AU"/>
        </w:rPr>
        <w:t xml:space="preserve">in DESTINY Breast01 and Study DS8201-A-J101. </w:t>
      </w:r>
      <w:r w:rsidR="00C91A24" w:rsidRPr="009F5BC8">
        <w:rPr>
          <w:lang w:val="en-AU"/>
        </w:rPr>
        <w:fldChar w:fldCharType="begin"/>
      </w:r>
      <w:r w:rsidR="00C91A24" w:rsidRPr="009F5BC8">
        <w:rPr>
          <w:lang w:val="en-AU"/>
        </w:rPr>
        <w:instrText xml:space="preserve"> REF _Ref45269358 \h  \* MERGEFORMAT </w:instrText>
      </w:r>
      <w:r w:rsidR="00C91A24" w:rsidRPr="009F5BC8">
        <w:rPr>
          <w:lang w:val="en-AU"/>
        </w:rPr>
      </w:r>
      <w:r w:rsidR="00C91A24" w:rsidRPr="009F5BC8">
        <w:rPr>
          <w:lang w:val="en-AU"/>
        </w:rPr>
        <w:fldChar w:fldCharType="separate"/>
      </w:r>
      <w:r w:rsidR="00C91A24" w:rsidRPr="009F5BC8">
        <w:rPr>
          <w:lang w:val="en-AU"/>
        </w:rPr>
        <w:t xml:space="preserve">Table </w:t>
      </w:r>
      <w:r w:rsidR="00C91A24" w:rsidRPr="009F5BC8">
        <w:rPr>
          <w:noProof/>
          <w:lang w:val="en-AU"/>
        </w:rPr>
        <w:t>3</w:t>
      </w:r>
      <w:r w:rsidR="00C91A24" w:rsidRPr="009F5BC8">
        <w:rPr>
          <w:lang w:val="en-AU"/>
        </w:rPr>
        <w:fldChar w:fldCharType="end"/>
      </w:r>
      <w:r w:rsidRPr="009F5BC8">
        <w:rPr>
          <w:lang w:val="en-AU"/>
        </w:rPr>
        <w:t xml:space="preserve"> lists adverse drug reactions, with incidences regardless of investigators assessment of causality, reported in this patient population. ENHERTU was administered by intravenous infusion once every three weeks. The median duration of treatment was 9.8 months (range: 0.7 to 37.1).</w:t>
      </w:r>
    </w:p>
    <w:p w14:paraId="72C13EBB" w14:textId="6D399FD1" w:rsidR="007A48E9" w:rsidRPr="009F5BC8" w:rsidRDefault="007A48E9" w:rsidP="007A48E9">
      <w:pPr>
        <w:pStyle w:val="ListBullet"/>
        <w:numPr>
          <w:ilvl w:val="0"/>
          <w:numId w:val="0"/>
        </w:numPr>
        <w:ind w:left="425" w:hanging="425"/>
        <w:rPr>
          <w:iCs/>
          <w:color w:val="00B0F0"/>
          <w:lang w:val="en-AU"/>
        </w:rPr>
      </w:pPr>
    </w:p>
    <w:p w14:paraId="56B5102F" w14:textId="6D44467E" w:rsidR="00F44D47" w:rsidRDefault="00F44D47" w:rsidP="00F44D47">
      <w:pPr>
        <w:pStyle w:val="ListBullet"/>
        <w:numPr>
          <w:ilvl w:val="0"/>
          <w:numId w:val="0"/>
        </w:numPr>
        <w:rPr>
          <w:lang w:val="en-AU"/>
        </w:rPr>
      </w:pPr>
      <w:r w:rsidRPr="009F5BC8">
        <w:rPr>
          <w:lang w:val="en-AU"/>
        </w:rPr>
        <w:t>In ENHERTU treated patients (n=234), the median age was 56 years (range 28 to 96); 99.6% were female; 50.9% were White, 41.5% were Asian, 3.0% were Black or African American; and 57.7% had an Eastern Cooperative Oncology Group (ECOG) performance status of 0 and 41.9% had an ECOG performance status of 1. The studies excluded patients with a history of treated ILD or ILD at screening and patients with a history of clinically significant cardiac disease.</w:t>
      </w:r>
    </w:p>
    <w:p w14:paraId="6B8B4F7B" w14:textId="77777777" w:rsidR="0004378E" w:rsidRDefault="0004378E" w:rsidP="0004378E">
      <w:pPr>
        <w:spacing w:after="0" w:line="240" w:lineRule="auto"/>
      </w:pPr>
    </w:p>
    <w:p w14:paraId="0E4739B6" w14:textId="7E225877" w:rsidR="00F4260C" w:rsidRPr="00E50E2E" w:rsidRDefault="00F4260C" w:rsidP="00F4260C">
      <w:pPr>
        <w:spacing w:after="0" w:line="240" w:lineRule="auto"/>
        <w:rPr>
          <w:shd w:val="clear" w:color="auto" w:fill="FFFFFF" w:themeFill="background1"/>
        </w:rPr>
      </w:pPr>
      <w:bookmarkStart w:id="27" w:name="_Hlk23339327"/>
      <w:r w:rsidRPr="00540B74">
        <w:t xml:space="preserve">The most common adverse reactions </w:t>
      </w:r>
      <w:r w:rsidRPr="00540B74">
        <w:rPr>
          <w:shd w:val="clear" w:color="auto" w:fill="FFFFFF" w:themeFill="background1"/>
        </w:rPr>
        <w:t xml:space="preserve">(frequency ≥20%) were nausea, fatigue, vomiting alopecia, constipation, decreased appetite, anaemia, neutropenia, </w:t>
      </w:r>
      <w:r w:rsidR="00597568" w:rsidRPr="00540B74">
        <w:rPr>
          <w:shd w:val="clear" w:color="auto" w:fill="FFFFFF" w:themeFill="background1"/>
        </w:rPr>
        <w:t>diarrhoea</w:t>
      </w:r>
      <w:r w:rsidRPr="00540B74">
        <w:t>,</w:t>
      </w:r>
      <w:r w:rsidRPr="00540B74">
        <w:rPr>
          <w:shd w:val="clear" w:color="auto" w:fill="FFFFFF" w:themeFill="background1"/>
        </w:rPr>
        <w:t xml:space="preserve"> thrombocytop</w:t>
      </w:r>
      <w:r w:rsidR="00A7303F" w:rsidRPr="00540B74">
        <w:rPr>
          <w:shd w:val="clear" w:color="auto" w:fill="FFFFFF" w:themeFill="background1"/>
        </w:rPr>
        <w:t>a</w:t>
      </w:r>
      <w:r w:rsidRPr="00540B74">
        <w:rPr>
          <w:shd w:val="clear" w:color="auto" w:fill="FFFFFF" w:themeFill="background1"/>
        </w:rPr>
        <w:t>enia</w:t>
      </w:r>
      <w:r w:rsidRPr="00540B74">
        <w:t>, cough, leukopenia, and headache</w:t>
      </w:r>
      <w:r w:rsidR="00F34081" w:rsidRPr="00540B74">
        <w:t xml:space="preserve"> (see </w:t>
      </w:r>
      <w:r w:rsidR="00F34081" w:rsidRPr="00540B74">
        <w:fldChar w:fldCharType="begin"/>
      </w:r>
      <w:r w:rsidR="00F34081" w:rsidRPr="00540B74">
        <w:instrText xml:space="preserve"> REF _Ref69481586 \h </w:instrText>
      </w:r>
      <w:r w:rsidR="00E50E2E" w:rsidRPr="00540B74">
        <w:instrText xml:space="preserve"> \* MERGEFORMAT </w:instrText>
      </w:r>
      <w:r w:rsidR="00F34081" w:rsidRPr="00540B74">
        <w:fldChar w:fldCharType="separate"/>
      </w:r>
      <w:r w:rsidR="00F34081" w:rsidRPr="00540B74">
        <w:rPr>
          <w:lang w:val="en-AU"/>
        </w:rPr>
        <w:t xml:space="preserve">Table </w:t>
      </w:r>
      <w:r w:rsidR="00F34081" w:rsidRPr="00540B74">
        <w:rPr>
          <w:noProof/>
          <w:lang w:val="en-AU"/>
        </w:rPr>
        <w:t>3</w:t>
      </w:r>
      <w:r w:rsidR="00F34081" w:rsidRPr="00540B74">
        <w:fldChar w:fldCharType="end"/>
      </w:r>
      <w:r w:rsidR="00F34081" w:rsidRPr="00540B74">
        <w:t>)</w:t>
      </w:r>
      <w:r w:rsidRPr="00540B74">
        <w:rPr>
          <w:shd w:val="clear" w:color="auto" w:fill="FFFFFF" w:themeFill="background1"/>
        </w:rPr>
        <w:t>. The most common National Cancer Institute Common Terminology Criteria for Adverse Events (NCI</w:t>
      </w:r>
      <w:r w:rsidRPr="00540B74">
        <w:t xml:space="preserve"> </w:t>
      </w:r>
      <w:r w:rsidRPr="00540B74">
        <w:rPr>
          <w:shd w:val="clear" w:color="auto" w:fill="FFFFFF" w:themeFill="background1"/>
        </w:rPr>
        <w:t xml:space="preserve">CTCAE v.4.03) Grade ≥3 adverse reactions (frequency &gt;1%) were neutropenia, </w:t>
      </w:r>
      <w:r w:rsidR="00597568" w:rsidRPr="00540B74">
        <w:rPr>
          <w:shd w:val="clear" w:color="auto" w:fill="FFFFFF" w:themeFill="background1"/>
        </w:rPr>
        <w:t>anaemia</w:t>
      </w:r>
      <w:r w:rsidRPr="00540B74">
        <w:rPr>
          <w:shd w:val="clear" w:color="auto" w:fill="FFFFFF" w:themeFill="background1"/>
        </w:rPr>
        <w:t>, nausea, fatigue, leukopenia, lymphopenia, vomiting, thrombocytop</w:t>
      </w:r>
      <w:r w:rsidR="00A7303F" w:rsidRPr="00540B74">
        <w:rPr>
          <w:shd w:val="clear" w:color="auto" w:fill="FFFFFF" w:themeFill="background1"/>
        </w:rPr>
        <w:t>a</w:t>
      </w:r>
      <w:r w:rsidRPr="00540B74">
        <w:rPr>
          <w:shd w:val="clear" w:color="auto" w:fill="FFFFFF" w:themeFill="background1"/>
        </w:rPr>
        <w:t xml:space="preserve">enia, </w:t>
      </w:r>
      <w:r w:rsidR="00597568" w:rsidRPr="00540B74">
        <w:rPr>
          <w:shd w:val="clear" w:color="auto" w:fill="FFFFFF" w:themeFill="background1"/>
        </w:rPr>
        <w:t>hypokalaemia</w:t>
      </w:r>
      <w:r w:rsidRPr="00540B74">
        <w:rPr>
          <w:shd w:val="clear" w:color="auto" w:fill="FFFFFF" w:themeFill="background1"/>
        </w:rPr>
        <w:t>, ILD</w:t>
      </w:r>
      <w:r w:rsidR="00472B7D" w:rsidRPr="00540B74">
        <w:rPr>
          <w:shd w:val="clear" w:color="auto" w:fill="FFFFFF" w:themeFill="background1"/>
        </w:rPr>
        <w:t>,</w:t>
      </w:r>
      <w:r w:rsidRPr="00540B74">
        <w:t xml:space="preserve"> </w:t>
      </w:r>
      <w:r w:rsidR="00597568" w:rsidRPr="00540B74">
        <w:t>diarrhoea</w:t>
      </w:r>
      <w:r w:rsidRPr="00540B74">
        <w:t>,</w:t>
      </w:r>
      <w:r w:rsidR="00AB2F04" w:rsidRPr="00540B74">
        <w:t xml:space="preserve"> </w:t>
      </w:r>
      <w:r w:rsidR="00AB2F04" w:rsidRPr="00540B74">
        <w:rPr>
          <w:shd w:val="clear" w:color="auto" w:fill="FFFFFF" w:themeFill="background1"/>
        </w:rPr>
        <w:t>febrile neutropenia,</w:t>
      </w:r>
      <w:r w:rsidRPr="00540B74">
        <w:rPr>
          <w:shd w:val="clear" w:color="auto" w:fill="FFFFFF" w:themeFill="background1"/>
        </w:rPr>
        <w:t xml:space="preserve"> </w:t>
      </w:r>
      <w:r w:rsidR="00597568" w:rsidRPr="00540B74">
        <w:t>dyspnoea</w:t>
      </w:r>
      <w:r w:rsidRPr="00540B74">
        <w:rPr>
          <w:shd w:val="clear" w:color="auto" w:fill="FFFFFF" w:themeFill="background1"/>
        </w:rPr>
        <w:t>, abdominal pain, decreased appetite</w:t>
      </w:r>
      <w:r w:rsidRPr="00540B74">
        <w:t>, and alanine aminotransferase increased</w:t>
      </w:r>
      <w:r w:rsidR="00F34081" w:rsidRPr="00540B74">
        <w:t xml:space="preserve"> (see </w:t>
      </w:r>
      <w:r w:rsidR="00F34081" w:rsidRPr="00540B74">
        <w:fldChar w:fldCharType="begin"/>
      </w:r>
      <w:r w:rsidR="00F34081" w:rsidRPr="00540B74">
        <w:instrText xml:space="preserve"> REF _Ref69481586 \h </w:instrText>
      </w:r>
      <w:r w:rsidR="00E50E2E" w:rsidRPr="00540B74">
        <w:instrText xml:space="preserve"> \* MERGEFORMAT </w:instrText>
      </w:r>
      <w:r w:rsidR="00F34081" w:rsidRPr="00540B74">
        <w:fldChar w:fldCharType="separate"/>
      </w:r>
      <w:r w:rsidR="00F34081" w:rsidRPr="00540B74">
        <w:rPr>
          <w:lang w:val="en-AU"/>
        </w:rPr>
        <w:t xml:space="preserve">Table </w:t>
      </w:r>
      <w:r w:rsidR="00F34081" w:rsidRPr="00540B74">
        <w:rPr>
          <w:noProof/>
          <w:lang w:val="en-AU"/>
        </w:rPr>
        <w:t>3</w:t>
      </w:r>
      <w:r w:rsidR="00F34081" w:rsidRPr="00540B74">
        <w:fldChar w:fldCharType="end"/>
      </w:r>
      <w:r w:rsidR="00F34081" w:rsidRPr="00540B74">
        <w:t>)</w:t>
      </w:r>
      <w:r w:rsidRPr="00540B74">
        <w:rPr>
          <w:shd w:val="clear" w:color="auto" w:fill="FFFFFF" w:themeFill="background1"/>
        </w:rPr>
        <w:t>. In six patients (2.6%) ILD led to death.</w:t>
      </w:r>
    </w:p>
    <w:bookmarkEnd w:id="27"/>
    <w:p w14:paraId="174A08FB" w14:textId="77777777" w:rsidR="00F4260C" w:rsidRPr="00E50E2E" w:rsidRDefault="00F4260C" w:rsidP="0004378E">
      <w:pPr>
        <w:spacing w:after="0" w:line="240" w:lineRule="auto"/>
      </w:pPr>
    </w:p>
    <w:p w14:paraId="6EEC114C" w14:textId="06A8CF2A" w:rsidR="0004378E" w:rsidRPr="00E50E2E" w:rsidRDefault="0004378E" w:rsidP="0004378E">
      <w:pPr>
        <w:spacing w:after="0" w:line="240" w:lineRule="auto"/>
        <w:rPr>
          <w:shd w:val="clear" w:color="auto" w:fill="FFFFFF" w:themeFill="background1"/>
        </w:rPr>
      </w:pPr>
      <w:r w:rsidRPr="00540B74">
        <w:t>Dose interruptions due to adverse reactions occurred in 25% of patients treated with ENHERTU. T</w:t>
      </w:r>
      <w:r w:rsidRPr="00540B74">
        <w:rPr>
          <w:shd w:val="clear" w:color="auto" w:fill="FFFFFF" w:themeFill="background1"/>
        </w:rPr>
        <w:t>he most frequent adverse reactions (&gt;2%) associated with dose interruption were neutropenia (</w:t>
      </w:r>
      <w:r w:rsidRPr="00540B74">
        <w:t>14.5</w:t>
      </w:r>
      <w:r w:rsidRPr="00540B74">
        <w:rPr>
          <w:shd w:val="clear" w:color="auto" w:fill="FFFFFF" w:themeFill="background1"/>
        </w:rPr>
        <w:t xml:space="preserve">%), anaemia (3.4%), </w:t>
      </w:r>
      <w:r w:rsidRPr="00540B74">
        <w:t xml:space="preserve">upper respiratory tract infection (3.0%), </w:t>
      </w:r>
      <w:r w:rsidRPr="00540B74">
        <w:rPr>
          <w:shd w:val="clear" w:color="auto" w:fill="FFFFFF" w:themeFill="background1"/>
        </w:rPr>
        <w:t xml:space="preserve">leukopenia </w:t>
      </w:r>
      <w:r w:rsidRPr="00540B74">
        <w:t xml:space="preserve">(3.0%), ILD (2.6%), </w:t>
      </w:r>
      <w:r w:rsidRPr="00540B74">
        <w:rPr>
          <w:shd w:val="clear" w:color="auto" w:fill="FFFFFF" w:themeFill="background1"/>
        </w:rPr>
        <w:t>thrombocytop</w:t>
      </w:r>
      <w:r w:rsidR="00A7303F" w:rsidRPr="00540B74">
        <w:rPr>
          <w:shd w:val="clear" w:color="auto" w:fill="FFFFFF" w:themeFill="background1"/>
        </w:rPr>
        <w:t>a</w:t>
      </w:r>
      <w:r w:rsidRPr="00540B74">
        <w:rPr>
          <w:shd w:val="clear" w:color="auto" w:fill="FFFFFF" w:themeFill="background1"/>
        </w:rPr>
        <w:t>enia (</w:t>
      </w:r>
      <w:r w:rsidRPr="00540B74">
        <w:t>2.6</w:t>
      </w:r>
      <w:r w:rsidRPr="00540B74">
        <w:rPr>
          <w:shd w:val="clear" w:color="auto" w:fill="FFFFFF" w:themeFill="background1"/>
        </w:rPr>
        <w:t>%)</w:t>
      </w:r>
      <w:r w:rsidRPr="00540B74">
        <w:t>, and fatigue (2.1%)</w:t>
      </w:r>
      <w:r w:rsidRPr="00540B74">
        <w:rPr>
          <w:shd w:val="clear" w:color="auto" w:fill="FFFFFF" w:themeFill="background1"/>
        </w:rPr>
        <w:t xml:space="preserve">. Dose reductions occurred in </w:t>
      </w:r>
      <w:r w:rsidRPr="00540B74">
        <w:t>15</w:t>
      </w:r>
      <w:r w:rsidRPr="00540B74">
        <w:rPr>
          <w:shd w:val="clear" w:color="auto" w:fill="FFFFFF" w:themeFill="background1"/>
        </w:rPr>
        <w:t>% of patients treated with ENHERTU.</w:t>
      </w:r>
      <w:r w:rsidRPr="00540B74">
        <w:rPr>
          <w:color w:val="0070C0"/>
          <w:shd w:val="clear" w:color="auto" w:fill="FFFFFF" w:themeFill="background1"/>
        </w:rPr>
        <w:t xml:space="preserve"> </w:t>
      </w:r>
      <w:r w:rsidRPr="00540B74">
        <w:rPr>
          <w:shd w:val="clear" w:color="auto" w:fill="FFFFFF" w:themeFill="background1"/>
        </w:rPr>
        <w:t>The most frequent adverse reactions (&gt;2%) associated with dose reduction were fatigue (</w:t>
      </w:r>
      <w:r w:rsidRPr="00540B74">
        <w:t>3.8</w:t>
      </w:r>
      <w:r w:rsidRPr="00540B74">
        <w:rPr>
          <w:shd w:val="clear" w:color="auto" w:fill="FFFFFF" w:themeFill="background1"/>
        </w:rPr>
        <w:t>%), nausea (</w:t>
      </w:r>
      <w:r w:rsidRPr="00540B74">
        <w:t>3.4</w:t>
      </w:r>
      <w:r w:rsidRPr="00540B74">
        <w:rPr>
          <w:shd w:val="clear" w:color="auto" w:fill="FFFFFF" w:themeFill="background1"/>
        </w:rPr>
        <w:t>%), and neutropenia (</w:t>
      </w:r>
      <w:r w:rsidRPr="00540B74">
        <w:t>3.4</w:t>
      </w:r>
      <w:r w:rsidRPr="00540B74">
        <w:rPr>
          <w:shd w:val="clear" w:color="auto" w:fill="FFFFFF" w:themeFill="background1"/>
        </w:rPr>
        <w:t>%).</w:t>
      </w:r>
      <w:r w:rsidRPr="00540B74">
        <w:rPr>
          <w:color w:val="0070C0"/>
          <w:shd w:val="clear" w:color="auto" w:fill="FFFFFF" w:themeFill="background1"/>
        </w:rPr>
        <w:t xml:space="preserve"> </w:t>
      </w:r>
      <w:r w:rsidRPr="00540B74">
        <w:rPr>
          <w:shd w:val="clear" w:color="auto" w:fill="FFFFFF" w:themeFill="background1"/>
        </w:rPr>
        <w:t xml:space="preserve">Discontinuation of therapy due to an adverse reaction occurred in </w:t>
      </w:r>
      <w:r w:rsidRPr="00540B74">
        <w:t>11</w:t>
      </w:r>
      <w:r w:rsidRPr="00540B74">
        <w:rPr>
          <w:shd w:val="clear" w:color="auto" w:fill="FFFFFF" w:themeFill="background1"/>
        </w:rPr>
        <w:t>% of patients treated with ENHERTU.</w:t>
      </w:r>
      <w:r w:rsidRPr="00540B74">
        <w:rPr>
          <w:color w:val="0070C0"/>
          <w:shd w:val="clear" w:color="auto" w:fill="FFFFFF" w:themeFill="background1"/>
        </w:rPr>
        <w:t xml:space="preserve"> </w:t>
      </w:r>
      <w:r w:rsidRPr="00540B74">
        <w:rPr>
          <w:shd w:val="clear" w:color="auto" w:fill="FFFFFF" w:themeFill="background1"/>
        </w:rPr>
        <w:t xml:space="preserve">The most frequent adverse reaction (&gt;2%) associated with permanent discontinuation was </w:t>
      </w:r>
      <w:r w:rsidRPr="00540B74">
        <w:t xml:space="preserve">ILD </w:t>
      </w:r>
      <w:r w:rsidRPr="00540B74">
        <w:rPr>
          <w:shd w:val="clear" w:color="auto" w:fill="FFFFFF" w:themeFill="background1"/>
        </w:rPr>
        <w:t>(</w:t>
      </w:r>
      <w:r w:rsidRPr="00540B74">
        <w:t>9.4</w:t>
      </w:r>
      <w:r w:rsidRPr="00540B74">
        <w:rPr>
          <w:shd w:val="clear" w:color="auto" w:fill="FFFFFF" w:themeFill="background1"/>
        </w:rPr>
        <w:t>%).</w:t>
      </w:r>
    </w:p>
    <w:p w14:paraId="771275C1" w14:textId="77777777" w:rsidR="0004378E" w:rsidRDefault="0004378E" w:rsidP="0004378E">
      <w:pPr>
        <w:spacing w:after="0" w:line="240" w:lineRule="auto"/>
        <w:rPr>
          <w:lang w:val="en-AU"/>
        </w:rPr>
      </w:pPr>
      <w:bookmarkStart w:id="28" w:name="_Ref45269358"/>
      <w:bookmarkStart w:id="29" w:name="_Ref42684591"/>
    </w:p>
    <w:p w14:paraId="485AD9F0" w14:textId="56F49877" w:rsidR="00F01F0D" w:rsidRPr="009F5BC8" w:rsidRDefault="00ED50A3" w:rsidP="00ED50A3">
      <w:pPr>
        <w:pStyle w:val="TableTitle"/>
        <w:rPr>
          <w:lang w:val="en-AU"/>
        </w:rPr>
      </w:pPr>
      <w:bookmarkStart w:id="30" w:name="_Ref69481586"/>
      <w:r w:rsidRPr="009F5BC8">
        <w:rPr>
          <w:lang w:val="en-AU"/>
        </w:rPr>
        <w:t xml:space="preserve">Table </w:t>
      </w:r>
      <w:r w:rsidRPr="009F5BC8">
        <w:rPr>
          <w:lang w:val="en-AU"/>
        </w:rPr>
        <w:fldChar w:fldCharType="begin"/>
      </w:r>
      <w:r w:rsidRPr="009F5BC8">
        <w:rPr>
          <w:lang w:val="en-AU"/>
        </w:rPr>
        <w:instrText xml:space="preserve"> SEQ Table \* ARABIC </w:instrText>
      </w:r>
      <w:r w:rsidRPr="009F5BC8">
        <w:rPr>
          <w:lang w:val="en-AU"/>
        </w:rPr>
        <w:fldChar w:fldCharType="separate"/>
      </w:r>
      <w:r w:rsidR="00E832C6" w:rsidRPr="009F5BC8">
        <w:rPr>
          <w:noProof/>
          <w:lang w:val="en-AU"/>
        </w:rPr>
        <w:t>3</w:t>
      </w:r>
      <w:r w:rsidRPr="009F5BC8">
        <w:rPr>
          <w:lang w:val="en-AU"/>
        </w:rPr>
        <w:fldChar w:fldCharType="end"/>
      </w:r>
      <w:bookmarkEnd w:id="28"/>
      <w:bookmarkEnd w:id="30"/>
      <w:r w:rsidRPr="009F5BC8">
        <w:rPr>
          <w:lang w:val="en-AU"/>
        </w:rPr>
        <w:t>:</w:t>
      </w:r>
      <w:bookmarkEnd w:id="29"/>
      <w:r w:rsidR="00F01F0D" w:rsidRPr="009F5BC8">
        <w:rPr>
          <w:lang w:val="en-AU"/>
        </w:rPr>
        <w:t xml:space="preserve"> Adverse Drug Reactions Reported in DESTINY-Breast01 and DS8201-A-J101 Trials (</w:t>
      </w:r>
      <w:r w:rsidR="002E0998" w:rsidRPr="009F5BC8">
        <w:rPr>
          <w:lang w:val="en-AU"/>
        </w:rPr>
        <w:t xml:space="preserve">occurred </w:t>
      </w:r>
      <w:r w:rsidR="00AC47E9" w:rsidRPr="009F5BC8">
        <w:rPr>
          <w:lang w:val="en-AU"/>
        </w:rPr>
        <w:t xml:space="preserve">in </w:t>
      </w:r>
      <w:r w:rsidR="00F01F0D" w:rsidRPr="009F5BC8">
        <w:rPr>
          <w:lang w:val="en-AU"/>
        </w:rPr>
        <w:t xml:space="preserve">≥ 10% </w:t>
      </w:r>
      <w:r w:rsidR="002E0998" w:rsidRPr="009F5BC8">
        <w:rPr>
          <w:lang w:val="en-AU"/>
        </w:rPr>
        <w:t xml:space="preserve">of subjects for </w:t>
      </w:r>
      <w:r w:rsidR="00F01F0D" w:rsidRPr="009F5BC8">
        <w:rPr>
          <w:lang w:val="en-AU"/>
        </w:rPr>
        <w:t xml:space="preserve">All Grades or ≥ 2% </w:t>
      </w:r>
      <w:r w:rsidR="002E0998" w:rsidRPr="009F5BC8">
        <w:rPr>
          <w:lang w:val="en-AU"/>
        </w:rPr>
        <w:t xml:space="preserve">for </w:t>
      </w:r>
      <w:r w:rsidR="00F01F0D" w:rsidRPr="009F5BC8">
        <w:rPr>
          <w:lang w:val="en-AU"/>
        </w:rPr>
        <w:t>Grades 3 or 4)</w:t>
      </w:r>
      <w:r w:rsidR="00F01F0D" w:rsidRPr="009F5BC8">
        <w:rPr>
          <w:color w:val="0000FF"/>
          <w:lang w:val="en-AU"/>
        </w:rPr>
        <w:t xml:space="preserve"> </w:t>
      </w:r>
    </w:p>
    <w:tbl>
      <w:tblPr>
        <w:tblW w:w="9461" w:type="dxa"/>
        <w:tblInd w:w="-10" w:type="dxa"/>
        <w:tblLayout w:type="fixed"/>
        <w:tblCellMar>
          <w:left w:w="101" w:type="dxa"/>
          <w:right w:w="101" w:type="dxa"/>
        </w:tblCellMar>
        <w:tblLook w:val="04A0" w:firstRow="1" w:lastRow="0" w:firstColumn="1" w:lastColumn="0" w:noHBand="0" w:noVBand="1"/>
      </w:tblPr>
      <w:tblGrid>
        <w:gridCol w:w="3221"/>
        <w:gridCol w:w="3120"/>
        <w:gridCol w:w="3120"/>
      </w:tblGrid>
      <w:tr w:rsidR="00F01F0D" w:rsidRPr="009F5BC8" w14:paraId="6807E196" w14:textId="77777777" w:rsidTr="00E546BB">
        <w:trPr>
          <w:cantSplit/>
          <w:tblHeader/>
        </w:trPr>
        <w:tc>
          <w:tcPr>
            <w:tcW w:w="3221" w:type="dxa"/>
            <w:vMerge w:val="restart"/>
            <w:tcBorders>
              <w:top w:val="single" w:sz="8" w:space="0" w:color="000000"/>
              <w:left w:val="single" w:sz="8" w:space="0" w:color="000000"/>
              <w:bottom w:val="single" w:sz="8" w:space="0" w:color="000000"/>
              <w:right w:val="single" w:sz="8" w:space="0" w:color="000000"/>
            </w:tcBorders>
            <w:hideMark/>
          </w:tcPr>
          <w:p w14:paraId="6067B7B5" w14:textId="77777777" w:rsidR="00F01F0D" w:rsidRPr="009F5BC8" w:rsidRDefault="00F01F0D" w:rsidP="00ED50A3">
            <w:pPr>
              <w:pStyle w:val="TableHead"/>
              <w:rPr>
                <w:szCs w:val="24"/>
                <w:lang w:val="en-AU"/>
              </w:rPr>
            </w:pPr>
            <w:r w:rsidRPr="009F5BC8">
              <w:rPr>
                <w:szCs w:val="24"/>
                <w:lang w:val="en-AU"/>
              </w:rPr>
              <w:t xml:space="preserve">System Organ </w:t>
            </w:r>
            <w:proofErr w:type="spellStart"/>
            <w:r w:rsidRPr="009F5BC8">
              <w:rPr>
                <w:szCs w:val="24"/>
                <w:lang w:val="en-AU"/>
              </w:rPr>
              <w:t>Class</w:t>
            </w:r>
            <w:r w:rsidRPr="009F5BC8">
              <w:rPr>
                <w:szCs w:val="24"/>
                <w:vertAlign w:val="superscript"/>
                <w:lang w:val="en-AU"/>
              </w:rPr>
              <w:t>a</w:t>
            </w:r>
            <w:proofErr w:type="spellEnd"/>
          </w:p>
        </w:tc>
        <w:tc>
          <w:tcPr>
            <w:tcW w:w="6240" w:type="dxa"/>
            <w:gridSpan w:val="2"/>
            <w:tcBorders>
              <w:top w:val="single" w:sz="8" w:space="0" w:color="000000"/>
              <w:left w:val="single" w:sz="8" w:space="0" w:color="000000"/>
              <w:bottom w:val="single" w:sz="8" w:space="0" w:color="000000"/>
              <w:right w:val="single" w:sz="8" w:space="0" w:color="000000"/>
            </w:tcBorders>
            <w:vAlign w:val="center"/>
            <w:hideMark/>
          </w:tcPr>
          <w:p w14:paraId="05FF8DB3" w14:textId="77777777" w:rsidR="00F01F0D" w:rsidRPr="009F5BC8" w:rsidRDefault="00F01F0D" w:rsidP="00ED50A3">
            <w:pPr>
              <w:pStyle w:val="TableHead"/>
              <w:rPr>
                <w:szCs w:val="24"/>
                <w:lang w:val="en-AU"/>
              </w:rPr>
            </w:pPr>
            <w:r w:rsidRPr="009F5BC8">
              <w:rPr>
                <w:szCs w:val="24"/>
                <w:lang w:val="en-AU"/>
              </w:rPr>
              <w:t>ENHERTU 5.4 mg/kg</w:t>
            </w:r>
          </w:p>
          <w:p w14:paraId="37EBB191" w14:textId="77777777" w:rsidR="00F01F0D" w:rsidRPr="009F5BC8" w:rsidRDefault="00F01F0D" w:rsidP="00ED50A3">
            <w:pPr>
              <w:pStyle w:val="TableHead"/>
              <w:rPr>
                <w:szCs w:val="24"/>
                <w:lang w:val="en-AU"/>
              </w:rPr>
            </w:pPr>
            <w:r w:rsidRPr="009F5BC8">
              <w:rPr>
                <w:szCs w:val="24"/>
                <w:lang w:val="en-AU"/>
              </w:rPr>
              <w:t>N=234</w:t>
            </w:r>
          </w:p>
        </w:tc>
      </w:tr>
      <w:tr w:rsidR="00F01F0D" w:rsidRPr="009F5BC8" w14:paraId="107C0E4B" w14:textId="77777777" w:rsidTr="00E546BB">
        <w:trPr>
          <w:cantSplit/>
          <w:tblHeader/>
        </w:trPr>
        <w:tc>
          <w:tcPr>
            <w:tcW w:w="3221" w:type="dxa"/>
            <w:vMerge/>
            <w:tcBorders>
              <w:top w:val="single" w:sz="8" w:space="0" w:color="000000"/>
              <w:left w:val="single" w:sz="8" w:space="0" w:color="000000"/>
              <w:bottom w:val="single" w:sz="8" w:space="0" w:color="000000"/>
              <w:right w:val="single" w:sz="8" w:space="0" w:color="000000"/>
            </w:tcBorders>
            <w:vAlign w:val="center"/>
            <w:hideMark/>
          </w:tcPr>
          <w:p w14:paraId="11663680" w14:textId="77777777" w:rsidR="00F01F0D" w:rsidRPr="009F5BC8" w:rsidRDefault="00F01F0D" w:rsidP="00ED50A3">
            <w:pPr>
              <w:pStyle w:val="TableHead"/>
              <w:rPr>
                <w:szCs w:val="24"/>
                <w:lang w:val="en-AU"/>
              </w:rPr>
            </w:pPr>
          </w:p>
        </w:tc>
        <w:tc>
          <w:tcPr>
            <w:tcW w:w="3120" w:type="dxa"/>
            <w:tcBorders>
              <w:top w:val="single" w:sz="8" w:space="0" w:color="000000"/>
              <w:left w:val="single" w:sz="8" w:space="0" w:color="000000"/>
              <w:bottom w:val="single" w:sz="8" w:space="0" w:color="000000"/>
              <w:right w:val="single" w:sz="8" w:space="0" w:color="000000"/>
            </w:tcBorders>
            <w:vAlign w:val="center"/>
            <w:hideMark/>
          </w:tcPr>
          <w:p w14:paraId="19457B68" w14:textId="77777777" w:rsidR="00F01F0D" w:rsidRPr="009F5BC8" w:rsidRDefault="00F01F0D" w:rsidP="00ED50A3">
            <w:pPr>
              <w:pStyle w:val="TableHead"/>
              <w:rPr>
                <w:szCs w:val="24"/>
                <w:lang w:val="en-AU"/>
              </w:rPr>
            </w:pPr>
            <w:r w:rsidRPr="009F5BC8">
              <w:rPr>
                <w:szCs w:val="24"/>
                <w:lang w:val="en-AU"/>
              </w:rPr>
              <w:t>All Grades</w:t>
            </w:r>
          </w:p>
          <w:p w14:paraId="199C1362" w14:textId="77777777" w:rsidR="00F01F0D" w:rsidRPr="009F5BC8" w:rsidRDefault="00F01F0D" w:rsidP="00ED50A3">
            <w:pPr>
              <w:pStyle w:val="TableHead"/>
              <w:rPr>
                <w:szCs w:val="24"/>
                <w:lang w:val="en-AU"/>
              </w:rPr>
            </w:pPr>
            <w:r w:rsidRPr="009F5BC8">
              <w:rPr>
                <w:szCs w:val="24"/>
                <w:lang w:val="en-AU"/>
              </w:rPr>
              <w:t>n (%)</w:t>
            </w:r>
          </w:p>
        </w:tc>
        <w:tc>
          <w:tcPr>
            <w:tcW w:w="3120" w:type="dxa"/>
            <w:tcBorders>
              <w:top w:val="single" w:sz="8" w:space="0" w:color="000000"/>
              <w:left w:val="single" w:sz="8" w:space="0" w:color="000000"/>
              <w:bottom w:val="single" w:sz="8" w:space="0" w:color="000000"/>
              <w:right w:val="single" w:sz="8" w:space="0" w:color="000000"/>
            </w:tcBorders>
            <w:vAlign w:val="center"/>
            <w:hideMark/>
          </w:tcPr>
          <w:p w14:paraId="13A05ED6" w14:textId="77777777" w:rsidR="00F01F0D" w:rsidRPr="009F5BC8" w:rsidRDefault="00F01F0D" w:rsidP="00ED50A3">
            <w:pPr>
              <w:pStyle w:val="TableHead"/>
              <w:rPr>
                <w:szCs w:val="24"/>
                <w:lang w:val="en-AU"/>
              </w:rPr>
            </w:pPr>
            <w:r w:rsidRPr="009F5BC8">
              <w:rPr>
                <w:szCs w:val="24"/>
                <w:lang w:val="en-AU"/>
              </w:rPr>
              <w:t>Grades 3 or 4</w:t>
            </w:r>
          </w:p>
          <w:p w14:paraId="0A62EF1E" w14:textId="77777777" w:rsidR="00F01F0D" w:rsidRPr="009F5BC8" w:rsidRDefault="00F01F0D" w:rsidP="00ED50A3">
            <w:pPr>
              <w:pStyle w:val="TableHead"/>
              <w:rPr>
                <w:szCs w:val="24"/>
                <w:lang w:val="en-AU"/>
              </w:rPr>
            </w:pPr>
            <w:r w:rsidRPr="009F5BC8">
              <w:rPr>
                <w:szCs w:val="24"/>
                <w:lang w:val="en-AU"/>
              </w:rPr>
              <w:t>n (%)</w:t>
            </w:r>
          </w:p>
        </w:tc>
      </w:tr>
      <w:tr w:rsidR="00F01F0D" w:rsidRPr="009F5BC8" w14:paraId="7C87DE3C" w14:textId="77777777" w:rsidTr="00E546BB">
        <w:trPr>
          <w:cantSplit/>
        </w:trPr>
        <w:tc>
          <w:tcPr>
            <w:tcW w:w="9461" w:type="dxa"/>
            <w:gridSpan w:val="3"/>
            <w:tcBorders>
              <w:top w:val="nil"/>
              <w:left w:val="single" w:sz="8" w:space="0" w:color="000000"/>
              <w:bottom w:val="nil"/>
              <w:right w:val="single" w:sz="8" w:space="0" w:color="000000"/>
            </w:tcBorders>
            <w:hideMark/>
          </w:tcPr>
          <w:p w14:paraId="023D1629" w14:textId="77777777" w:rsidR="00F01F0D" w:rsidRPr="009F5BC8" w:rsidRDefault="00F01F0D" w:rsidP="00B12B98">
            <w:pPr>
              <w:widowControl w:val="0"/>
              <w:spacing w:before="95" w:after="45"/>
              <w:rPr>
                <w:lang w:val="en-AU"/>
              </w:rPr>
            </w:pPr>
            <w:r w:rsidRPr="009F5BC8">
              <w:rPr>
                <w:b/>
                <w:lang w:val="en-AU"/>
              </w:rPr>
              <w:t>Gastrointestinal Disorders</w:t>
            </w:r>
          </w:p>
        </w:tc>
      </w:tr>
      <w:tr w:rsidR="00F01F0D" w:rsidRPr="009F5BC8" w14:paraId="4C43DD6F" w14:textId="77777777" w:rsidTr="00E546BB">
        <w:trPr>
          <w:cantSplit/>
        </w:trPr>
        <w:tc>
          <w:tcPr>
            <w:tcW w:w="3221" w:type="dxa"/>
            <w:tcBorders>
              <w:top w:val="nil"/>
              <w:left w:val="single" w:sz="8" w:space="0" w:color="000000"/>
              <w:bottom w:val="nil"/>
              <w:right w:val="single" w:sz="8" w:space="0" w:color="000000"/>
            </w:tcBorders>
            <w:hideMark/>
          </w:tcPr>
          <w:p w14:paraId="03659E9C" w14:textId="77777777" w:rsidR="00F01F0D" w:rsidRPr="0020065C" w:rsidRDefault="00F01F0D" w:rsidP="00B12B98">
            <w:pPr>
              <w:widowControl w:val="0"/>
              <w:spacing w:before="95" w:after="45"/>
              <w:rPr>
                <w:lang w:val="en-AU"/>
              </w:rPr>
            </w:pPr>
            <w:r w:rsidRPr="0020065C">
              <w:rPr>
                <w:lang w:val="en-AU"/>
              </w:rPr>
              <w:t>Nausea</w:t>
            </w:r>
          </w:p>
        </w:tc>
        <w:tc>
          <w:tcPr>
            <w:tcW w:w="3120" w:type="dxa"/>
            <w:tcBorders>
              <w:top w:val="nil"/>
              <w:left w:val="single" w:sz="8" w:space="0" w:color="000000"/>
              <w:bottom w:val="nil"/>
              <w:right w:val="single" w:sz="8" w:space="0" w:color="000000"/>
            </w:tcBorders>
            <w:hideMark/>
          </w:tcPr>
          <w:p w14:paraId="6C8285FC" w14:textId="77777777" w:rsidR="00F01F0D" w:rsidRPr="009F5BC8" w:rsidRDefault="00F01F0D" w:rsidP="00B12B98">
            <w:pPr>
              <w:widowControl w:val="0"/>
              <w:spacing w:before="95" w:after="45"/>
              <w:jc w:val="center"/>
              <w:rPr>
                <w:lang w:val="en-AU"/>
              </w:rPr>
            </w:pPr>
            <w:r w:rsidRPr="009F5BC8">
              <w:rPr>
                <w:lang w:val="en-AU"/>
              </w:rPr>
              <w:t>187 (79.9)</w:t>
            </w:r>
          </w:p>
        </w:tc>
        <w:tc>
          <w:tcPr>
            <w:tcW w:w="3120" w:type="dxa"/>
            <w:tcBorders>
              <w:top w:val="nil"/>
              <w:left w:val="single" w:sz="8" w:space="0" w:color="000000"/>
              <w:bottom w:val="nil"/>
              <w:right w:val="single" w:sz="8" w:space="0" w:color="000000"/>
            </w:tcBorders>
            <w:hideMark/>
          </w:tcPr>
          <w:p w14:paraId="665B010B" w14:textId="77777777" w:rsidR="00F01F0D" w:rsidRPr="009F5BC8" w:rsidRDefault="00F01F0D" w:rsidP="00B12B98">
            <w:pPr>
              <w:widowControl w:val="0"/>
              <w:spacing w:before="95" w:after="45"/>
              <w:jc w:val="center"/>
              <w:rPr>
                <w:lang w:val="en-AU"/>
              </w:rPr>
            </w:pPr>
            <w:r w:rsidRPr="009F5BC8">
              <w:rPr>
                <w:lang w:val="en-AU"/>
              </w:rPr>
              <w:t>16 (6.8)</w:t>
            </w:r>
          </w:p>
        </w:tc>
      </w:tr>
      <w:tr w:rsidR="00F01F0D" w:rsidRPr="009F5BC8" w14:paraId="7C5C6E5B" w14:textId="77777777" w:rsidTr="00E546BB">
        <w:trPr>
          <w:cantSplit/>
          <w:trHeight w:val="468"/>
        </w:trPr>
        <w:tc>
          <w:tcPr>
            <w:tcW w:w="3221" w:type="dxa"/>
            <w:tcBorders>
              <w:top w:val="nil"/>
              <w:left w:val="single" w:sz="8" w:space="0" w:color="000000"/>
              <w:bottom w:val="nil"/>
              <w:right w:val="single" w:sz="8" w:space="0" w:color="000000"/>
            </w:tcBorders>
            <w:hideMark/>
          </w:tcPr>
          <w:p w14:paraId="6292CE61" w14:textId="77777777" w:rsidR="00F01F0D" w:rsidRPr="0020065C" w:rsidRDefault="00F01F0D" w:rsidP="00B12B98">
            <w:pPr>
              <w:widowControl w:val="0"/>
              <w:spacing w:before="95" w:after="45"/>
              <w:rPr>
                <w:lang w:val="en-AU"/>
              </w:rPr>
            </w:pPr>
            <w:r w:rsidRPr="0020065C">
              <w:rPr>
                <w:lang w:val="en-AU"/>
              </w:rPr>
              <w:t>Vomiting</w:t>
            </w:r>
          </w:p>
        </w:tc>
        <w:tc>
          <w:tcPr>
            <w:tcW w:w="3120" w:type="dxa"/>
            <w:tcBorders>
              <w:top w:val="nil"/>
              <w:left w:val="single" w:sz="8" w:space="0" w:color="000000"/>
              <w:bottom w:val="nil"/>
              <w:right w:val="single" w:sz="8" w:space="0" w:color="000000"/>
            </w:tcBorders>
            <w:hideMark/>
          </w:tcPr>
          <w:p w14:paraId="35043E06" w14:textId="77777777" w:rsidR="00F01F0D" w:rsidRPr="009F5BC8" w:rsidRDefault="00F01F0D" w:rsidP="00B12B98">
            <w:pPr>
              <w:widowControl w:val="0"/>
              <w:spacing w:before="95" w:after="45"/>
              <w:jc w:val="center"/>
              <w:rPr>
                <w:lang w:val="en-AU"/>
              </w:rPr>
            </w:pPr>
            <w:r w:rsidRPr="009F5BC8">
              <w:rPr>
                <w:lang w:val="en-AU"/>
              </w:rPr>
              <w:t>114 (48.7)</w:t>
            </w:r>
          </w:p>
        </w:tc>
        <w:tc>
          <w:tcPr>
            <w:tcW w:w="3120" w:type="dxa"/>
            <w:tcBorders>
              <w:top w:val="nil"/>
              <w:left w:val="single" w:sz="8" w:space="0" w:color="000000"/>
              <w:bottom w:val="nil"/>
              <w:right w:val="single" w:sz="8" w:space="0" w:color="000000"/>
            </w:tcBorders>
            <w:hideMark/>
          </w:tcPr>
          <w:p w14:paraId="7ECC3D66" w14:textId="77777777" w:rsidR="00F01F0D" w:rsidRPr="009F5BC8" w:rsidRDefault="00F01F0D" w:rsidP="00B12B98">
            <w:pPr>
              <w:widowControl w:val="0"/>
              <w:spacing w:before="95" w:after="45"/>
              <w:jc w:val="center"/>
              <w:rPr>
                <w:lang w:val="en-AU"/>
              </w:rPr>
            </w:pPr>
            <w:r w:rsidRPr="009F5BC8">
              <w:rPr>
                <w:lang w:val="en-AU"/>
              </w:rPr>
              <w:t>10 (4.3)</w:t>
            </w:r>
          </w:p>
        </w:tc>
      </w:tr>
      <w:tr w:rsidR="00F01F0D" w:rsidRPr="009F5BC8" w14:paraId="0BED2AF4" w14:textId="77777777" w:rsidTr="00E546BB">
        <w:trPr>
          <w:cantSplit/>
          <w:trHeight w:val="468"/>
        </w:trPr>
        <w:tc>
          <w:tcPr>
            <w:tcW w:w="3221" w:type="dxa"/>
            <w:tcBorders>
              <w:top w:val="nil"/>
              <w:left w:val="single" w:sz="8" w:space="0" w:color="000000"/>
              <w:bottom w:val="nil"/>
              <w:right w:val="single" w:sz="8" w:space="0" w:color="000000"/>
            </w:tcBorders>
            <w:hideMark/>
          </w:tcPr>
          <w:p w14:paraId="0102A674" w14:textId="77777777" w:rsidR="00F01F0D" w:rsidRPr="0020065C" w:rsidRDefault="00F01F0D" w:rsidP="00B12B98">
            <w:pPr>
              <w:widowControl w:val="0"/>
              <w:spacing w:before="95" w:after="45"/>
              <w:rPr>
                <w:lang w:val="en-AU"/>
              </w:rPr>
            </w:pPr>
            <w:r w:rsidRPr="0020065C">
              <w:rPr>
                <w:lang w:val="en-AU"/>
              </w:rPr>
              <w:t>Constipation</w:t>
            </w:r>
          </w:p>
        </w:tc>
        <w:tc>
          <w:tcPr>
            <w:tcW w:w="3120" w:type="dxa"/>
            <w:tcBorders>
              <w:top w:val="nil"/>
              <w:left w:val="single" w:sz="8" w:space="0" w:color="000000"/>
              <w:bottom w:val="nil"/>
              <w:right w:val="single" w:sz="8" w:space="0" w:color="000000"/>
            </w:tcBorders>
            <w:hideMark/>
          </w:tcPr>
          <w:p w14:paraId="5DB85A53" w14:textId="77777777" w:rsidR="00F01F0D" w:rsidRPr="009F5BC8" w:rsidRDefault="00F01F0D" w:rsidP="00B12B98">
            <w:pPr>
              <w:widowControl w:val="0"/>
              <w:spacing w:before="95" w:after="45"/>
              <w:jc w:val="center"/>
              <w:rPr>
                <w:lang w:val="en-AU"/>
              </w:rPr>
            </w:pPr>
            <w:r w:rsidRPr="009F5BC8">
              <w:rPr>
                <w:lang w:val="en-AU"/>
              </w:rPr>
              <w:t>84 (35.9)</w:t>
            </w:r>
          </w:p>
        </w:tc>
        <w:tc>
          <w:tcPr>
            <w:tcW w:w="3120" w:type="dxa"/>
            <w:tcBorders>
              <w:top w:val="nil"/>
              <w:left w:val="single" w:sz="8" w:space="0" w:color="000000"/>
              <w:bottom w:val="nil"/>
              <w:right w:val="single" w:sz="8" w:space="0" w:color="000000"/>
            </w:tcBorders>
          </w:tcPr>
          <w:p w14:paraId="046E061D" w14:textId="77777777" w:rsidR="00F01F0D" w:rsidRPr="009F5BC8" w:rsidRDefault="00F01F0D" w:rsidP="00B12B98">
            <w:pPr>
              <w:widowControl w:val="0"/>
              <w:spacing w:before="95" w:after="45"/>
              <w:jc w:val="center"/>
              <w:rPr>
                <w:lang w:val="en-AU"/>
              </w:rPr>
            </w:pPr>
            <w:r w:rsidRPr="009F5BC8">
              <w:rPr>
                <w:lang w:val="en-AU"/>
              </w:rPr>
              <w:t>2 (0.9)</w:t>
            </w:r>
          </w:p>
        </w:tc>
      </w:tr>
      <w:tr w:rsidR="00F01F0D" w:rsidRPr="009F5BC8" w14:paraId="24EEC6FB" w14:textId="77777777" w:rsidTr="00E546BB">
        <w:trPr>
          <w:cantSplit/>
          <w:trHeight w:val="468"/>
        </w:trPr>
        <w:tc>
          <w:tcPr>
            <w:tcW w:w="3221" w:type="dxa"/>
            <w:tcBorders>
              <w:top w:val="nil"/>
              <w:left w:val="single" w:sz="8" w:space="0" w:color="000000"/>
              <w:bottom w:val="nil"/>
              <w:right w:val="single" w:sz="8" w:space="0" w:color="000000"/>
            </w:tcBorders>
            <w:hideMark/>
          </w:tcPr>
          <w:p w14:paraId="249590C2" w14:textId="52319F20" w:rsidR="00F01F0D" w:rsidRPr="0020065C" w:rsidRDefault="00155452" w:rsidP="00B12B98">
            <w:pPr>
              <w:widowControl w:val="0"/>
              <w:spacing w:before="95" w:after="45"/>
              <w:rPr>
                <w:lang w:val="en-AU"/>
              </w:rPr>
            </w:pPr>
            <w:r>
              <w:rPr>
                <w:shd w:val="clear" w:color="auto" w:fill="FFFFFF" w:themeFill="background1"/>
              </w:rPr>
              <w:lastRenderedPageBreak/>
              <w:t>D</w:t>
            </w:r>
            <w:r w:rsidRPr="00E50E2E">
              <w:rPr>
                <w:shd w:val="clear" w:color="auto" w:fill="FFFFFF" w:themeFill="background1"/>
              </w:rPr>
              <w:t>iarrhoea</w:t>
            </w:r>
          </w:p>
        </w:tc>
        <w:tc>
          <w:tcPr>
            <w:tcW w:w="3120" w:type="dxa"/>
            <w:tcBorders>
              <w:top w:val="nil"/>
              <w:left w:val="single" w:sz="8" w:space="0" w:color="000000"/>
              <w:bottom w:val="nil"/>
              <w:right w:val="single" w:sz="8" w:space="0" w:color="000000"/>
            </w:tcBorders>
            <w:hideMark/>
          </w:tcPr>
          <w:p w14:paraId="18DF2C35" w14:textId="77777777" w:rsidR="00F01F0D" w:rsidRPr="009F5BC8" w:rsidRDefault="00F01F0D" w:rsidP="00B12B98">
            <w:pPr>
              <w:widowControl w:val="0"/>
              <w:spacing w:before="95" w:after="45"/>
              <w:jc w:val="center"/>
              <w:rPr>
                <w:lang w:val="en-AU"/>
              </w:rPr>
            </w:pPr>
            <w:r w:rsidRPr="009F5BC8">
              <w:rPr>
                <w:lang w:val="en-AU"/>
              </w:rPr>
              <w:t>72 (30.8)</w:t>
            </w:r>
          </w:p>
        </w:tc>
        <w:tc>
          <w:tcPr>
            <w:tcW w:w="3120" w:type="dxa"/>
            <w:tcBorders>
              <w:top w:val="nil"/>
              <w:left w:val="single" w:sz="8" w:space="0" w:color="000000"/>
              <w:bottom w:val="nil"/>
              <w:right w:val="single" w:sz="8" w:space="0" w:color="000000"/>
            </w:tcBorders>
            <w:hideMark/>
          </w:tcPr>
          <w:p w14:paraId="44AFBCE7" w14:textId="77777777" w:rsidR="00F01F0D" w:rsidRPr="009F5BC8" w:rsidRDefault="00F01F0D" w:rsidP="00B12B98">
            <w:pPr>
              <w:widowControl w:val="0"/>
              <w:spacing w:before="95" w:after="45"/>
              <w:jc w:val="center"/>
              <w:rPr>
                <w:lang w:val="en-AU"/>
              </w:rPr>
            </w:pPr>
            <w:r w:rsidRPr="009F5BC8">
              <w:rPr>
                <w:lang w:val="en-AU"/>
              </w:rPr>
              <w:t>6 (2.6)</w:t>
            </w:r>
          </w:p>
        </w:tc>
      </w:tr>
      <w:tr w:rsidR="00F01F0D" w:rsidRPr="009F5BC8" w14:paraId="7E495B05" w14:textId="77777777" w:rsidTr="00E546BB">
        <w:trPr>
          <w:cantSplit/>
          <w:trHeight w:val="468"/>
        </w:trPr>
        <w:tc>
          <w:tcPr>
            <w:tcW w:w="3221" w:type="dxa"/>
            <w:tcBorders>
              <w:top w:val="nil"/>
              <w:left w:val="single" w:sz="8" w:space="0" w:color="000000"/>
              <w:bottom w:val="nil"/>
              <w:right w:val="single" w:sz="8" w:space="0" w:color="000000"/>
            </w:tcBorders>
            <w:hideMark/>
          </w:tcPr>
          <w:p w14:paraId="77545596" w14:textId="77777777" w:rsidR="00F01F0D" w:rsidRPr="0020065C" w:rsidRDefault="00F01F0D" w:rsidP="00B12B98">
            <w:pPr>
              <w:widowControl w:val="0"/>
              <w:spacing w:before="95" w:after="45"/>
              <w:rPr>
                <w:lang w:val="en-AU"/>
              </w:rPr>
            </w:pPr>
            <w:r w:rsidRPr="0020065C">
              <w:rPr>
                <w:lang w:val="en-AU"/>
              </w:rPr>
              <w:t xml:space="preserve">Abdominal </w:t>
            </w:r>
            <w:proofErr w:type="spellStart"/>
            <w:r w:rsidRPr="0020065C">
              <w:rPr>
                <w:lang w:val="en-AU"/>
              </w:rPr>
              <w:t>Pain</w:t>
            </w:r>
            <w:r w:rsidRPr="0020065C">
              <w:rPr>
                <w:vertAlign w:val="superscript"/>
                <w:lang w:val="en-AU"/>
              </w:rPr>
              <w:t>b</w:t>
            </w:r>
            <w:proofErr w:type="spellEnd"/>
          </w:p>
        </w:tc>
        <w:tc>
          <w:tcPr>
            <w:tcW w:w="3120" w:type="dxa"/>
            <w:tcBorders>
              <w:top w:val="nil"/>
              <w:left w:val="single" w:sz="8" w:space="0" w:color="000000"/>
              <w:bottom w:val="nil"/>
              <w:right w:val="single" w:sz="8" w:space="0" w:color="000000"/>
            </w:tcBorders>
          </w:tcPr>
          <w:p w14:paraId="7964437D" w14:textId="2107B8F2" w:rsidR="00F01F0D" w:rsidRPr="009F5BC8" w:rsidRDefault="00F01F0D" w:rsidP="00B12B98">
            <w:pPr>
              <w:widowControl w:val="0"/>
              <w:spacing w:before="95" w:after="45"/>
              <w:jc w:val="center"/>
              <w:rPr>
                <w:lang w:val="en-AU"/>
              </w:rPr>
            </w:pPr>
            <w:r w:rsidRPr="009F5BC8">
              <w:rPr>
                <w:lang w:val="en-AU"/>
              </w:rPr>
              <w:t>46 (19.7</w:t>
            </w:r>
            <w:r w:rsidR="00CD1A72" w:rsidRPr="009F5BC8">
              <w:rPr>
                <w:lang w:val="en-AU"/>
              </w:rPr>
              <w:t>)</w:t>
            </w:r>
          </w:p>
        </w:tc>
        <w:tc>
          <w:tcPr>
            <w:tcW w:w="3120" w:type="dxa"/>
            <w:tcBorders>
              <w:top w:val="nil"/>
              <w:left w:val="single" w:sz="8" w:space="0" w:color="000000"/>
              <w:bottom w:val="nil"/>
              <w:right w:val="single" w:sz="8" w:space="0" w:color="000000"/>
            </w:tcBorders>
            <w:hideMark/>
          </w:tcPr>
          <w:p w14:paraId="167E171C" w14:textId="77777777" w:rsidR="00F01F0D" w:rsidRPr="009F5BC8" w:rsidRDefault="00F01F0D" w:rsidP="00B12B98">
            <w:pPr>
              <w:widowControl w:val="0"/>
              <w:spacing w:before="95" w:after="45"/>
              <w:jc w:val="center"/>
              <w:rPr>
                <w:lang w:val="en-AU"/>
              </w:rPr>
            </w:pPr>
            <w:r w:rsidRPr="009F5BC8">
              <w:rPr>
                <w:lang w:val="en-AU"/>
              </w:rPr>
              <w:t>3 (1.3)</w:t>
            </w:r>
          </w:p>
        </w:tc>
      </w:tr>
      <w:tr w:rsidR="00F01F0D" w:rsidRPr="009F5BC8" w14:paraId="2499D5E4" w14:textId="77777777" w:rsidTr="00E546BB">
        <w:trPr>
          <w:cantSplit/>
          <w:trHeight w:val="468"/>
        </w:trPr>
        <w:tc>
          <w:tcPr>
            <w:tcW w:w="3221" w:type="dxa"/>
            <w:tcBorders>
              <w:top w:val="nil"/>
              <w:left w:val="single" w:sz="8" w:space="0" w:color="000000"/>
              <w:bottom w:val="nil"/>
              <w:right w:val="single" w:sz="8" w:space="0" w:color="000000"/>
            </w:tcBorders>
          </w:tcPr>
          <w:p w14:paraId="5F35C474" w14:textId="77777777" w:rsidR="00F01F0D" w:rsidRPr="0020065C" w:rsidRDefault="00F01F0D" w:rsidP="00B12B98">
            <w:pPr>
              <w:widowControl w:val="0"/>
              <w:spacing w:before="95" w:after="45"/>
              <w:rPr>
                <w:lang w:val="en-AU"/>
              </w:rPr>
            </w:pPr>
            <w:proofErr w:type="spellStart"/>
            <w:r w:rsidRPr="0020065C">
              <w:rPr>
                <w:lang w:val="en-AU"/>
              </w:rPr>
              <w:t>Stomatitis</w:t>
            </w:r>
            <w:r w:rsidRPr="0020065C">
              <w:rPr>
                <w:vertAlign w:val="superscript"/>
                <w:lang w:val="en-AU"/>
              </w:rPr>
              <w:t>c</w:t>
            </w:r>
            <w:proofErr w:type="spellEnd"/>
          </w:p>
        </w:tc>
        <w:tc>
          <w:tcPr>
            <w:tcW w:w="3120" w:type="dxa"/>
            <w:tcBorders>
              <w:top w:val="nil"/>
              <w:left w:val="single" w:sz="8" w:space="0" w:color="000000"/>
              <w:bottom w:val="nil"/>
              <w:right w:val="single" w:sz="8" w:space="0" w:color="000000"/>
            </w:tcBorders>
          </w:tcPr>
          <w:p w14:paraId="2CBE76E0" w14:textId="77777777" w:rsidR="00F01F0D" w:rsidRPr="009F5BC8" w:rsidRDefault="00F01F0D" w:rsidP="00B12B98">
            <w:pPr>
              <w:widowControl w:val="0"/>
              <w:spacing w:before="95" w:after="45"/>
              <w:jc w:val="center"/>
              <w:rPr>
                <w:lang w:val="en-AU"/>
              </w:rPr>
            </w:pPr>
            <w:r w:rsidRPr="009F5BC8">
              <w:rPr>
                <w:lang w:val="en-AU"/>
              </w:rPr>
              <w:t>35 (15.0)</w:t>
            </w:r>
          </w:p>
        </w:tc>
        <w:tc>
          <w:tcPr>
            <w:tcW w:w="3120" w:type="dxa"/>
            <w:tcBorders>
              <w:top w:val="nil"/>
              <w:left w:val="single" w:sz="8" w:space="0" w:color="000000"/>
              <w:bottom w:val="nil"/>
              <w:right w:val="single" w:sz="8" w:space="0" w:color="000000"/>
            </w:tcBorders>
          </w:tcPr>
          <w:p w14:paraId="21E335F6" w14:textId="77777777" w:rsidR="00F01F0D" w:rsidRPr="009F5BC8" w:rsidRDefault="00F01F0D" w:rsidP="00B12B98">
            <w:pPr>
              <w:widowControl w:val="0"/>
              <w:spacing w:before="95" w:after="45"/>
              <w:jc w:val="center"/>
              <w:rPr>
                <w:lang w:val="en-AU"/>
              </w:rPr>
            </w:pPr>
            <w:r w:rsidRPr="009F5BC8">
              <w:rPr>
                <w:lang w:val="en-AU"/>
              </w:rPr>
              <w:t>2 (0.9)</w:t>
            </w:r>
          </w:p>
        </w:tc>
      </w:tr>
      <w:tr w:rsidR="00F01F0D" w:rsidRPr="009F5BC8" w14:paraId="3243F5F8" w14:textId="77777777" w:rsidTr="00E546BB">
        <w:trPr>
          <w:cantSplit/>
          <w:trHeight w:val="468"/>
        </w:trPr>
        <w:tc>
          <w:tcPr>
            <w:tcW w:w="3221" w:type="dxa"/>
            <w:tcBorders>
              <w:top w:val="nil"/>
              <w:left w:val="single" w:sz="8" w:space="0" w:color="000000"/>
              <w:bottom w:val="nil"/>
              <w:right w:val="single" w:sz="8" w:space="0" w:color="000000"/>
            </w:tcBorders>
          </w:tcPr>
          <w:p w14:paraId="3CAF5628" w14:textId="77777777" w:rsidR="00F01F0D" w:rsidRPr="0020065C" w:rsidRDefault="00F01F0D" w:rsidP="00B12B98">
            <w:pPr>
              <w:widowControl w:val="0"/>
              <w:spacing w:before="95" w:after="45"/>
              <w:rPr>
                <w:lang w:val="en-AU"/>
              </w:rPr>
            </w:pPr>
            <w:r w:rsidRPr="0020065C">
              <w:rPr>
                <w:lang w:val="en-AU"/>
              </w:rPr>
              <w:t>Dyspepsia</w:t>
            </w:r>
          </w:p>
        </w:tc>
        <w:tc>
          <w:tcPr>
            <w:tcW w:w="3120" w:type="dxa"/>
            <w:tcBorders>
              <w:top w:val="nil"/>
              <w:left w:val="single" w:sz="8" w:space="0" w:color="000000"/>
              <w:bottom w:val="nil"/>
              <w:right w:val="single" w:sz="8" w:space="0" w:color="000000"/>
            </w:tcBorders>
          </w:tcPr>
          <w:p w14:paraId="2D891D91" w14:textId="77777777" w:rsidR="00F01F0D" w:rsidRPr="009F5BC8" w:rsidRDefault="00F01F0D" w:rsidP="00B12B98">
            <w:pPr>
              <w:widowControl w:val="0"/>
              <w:spacing w:before="95" w:after="45"/>
              <w:jc w:val="center"/>
              <w:rPr>
                <w:lang w:val="en-AU"/>
              </w:rPr>
            </w:pPr>
            <w:r w:rsidRPr="009F5BC8">
              <w:rPr>
                <w:lang w:val="en-AU"/>
              </w:rPr>
              <w:t>33 (14.1)</w:t>
            </w:r>
          </w:p>
        </w:tc>
        <w:tc>
          <w:tcPr>
            <w:tcW w:w="3120" w:type="dxa"/>
            <w:tcBorders>
              <w:top w:val="nil"/>
              <w:left w:val="single" w:sz="8" w:space="0" w:color="000000"/>
              <w:bottom w:val="nil"/>
              <w:right w:val="single" w:sz="8" w:space="0" w:color="000000"/>
            </w:tcBorders>
          </w:tcPr>
          <w:p w14:paraId="003FFFC6" w14:textId="77777777" w:rsidR="00F01F0D" w:rsidRPr="009F5BC8" w:rsidRDefault="00F01F0D" w:rsidP="00B12B98">
            <w:pPr>
              <w:widowControl w:val="0"/>
              <w:spacing w:before="95" w:after="45"/>
              <w:jc w:val="center"/>
              <w:rPr>
                <w:lang w:val="en-AU"/>
              </w:rPr>
            </w:pPr>
            <w:r w:rsidRPr="009F5BC8">
              <w:rPr>
                <w:lang w:val="en-AU"/>
              </w:rPr>
              <w:t>0</w:t>
            </w:r>
          </w:p>
        </w:tc>
      </w:tr>
      <w:tr w:rsidR="00F01F0D" w:rsidRPr="009F5BC8" w14:paraId="54F09D11"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743FF6EB" w14:textId="77777777" w:rsidR="00F01F0D" w:rsidRPr="0020065C" w:rsidRDefault="00F01F0D" w:rsidP="00B12B98">
            <w:pPr>
              <w:widowControl w:val="0"/>
              <w:spacing w:before="95" w:after="45"/>
              <w:rPr>
                <w:b/>
                <w:lang w:val="en-AU"/>
              </w:rPr>
            </w:pPr>
            <w:r w:rsidRPr="0020065C">
              <w:rPr>
                <w:b/>
                <w:lang w:val="en-AU"/>
              </w:rPr>
              <w:t>General Disorders and Administration Site Conditions</w:t>
            </w:r>
          </w:p>
        </w:tc>
      </w:tr>
      <w:tr w:rsidR="00F01F0D" w:rsidRPr="009F5BC8" w14:paraId="22ED01D0" w14:textId="77777777" w:rsidTr="00E546BB">
        <w:trPr>
          <w:cantSplit/>
          <w:trHeight w:val="468"/>
        </w:trPr>
        <w:tc>
          <w:tcPr>
            <w:tcW w:w="3221" w:type="dxa"/>
            <w:tcBorders>
              <w:top w:val="nil"/>
              <w:left w:val="single" w:sz="8" w:space="0" w:color="000000"/>
              <w:bottom w:val="nil"/>
              <w:right w:val="single" w:sz="8" w:space="0" w:color="000000"/>
            </w:tcBorders>
            <w:hideMark/>
          </w:tcPr>
          <w:p w14:paraId="2DC66D38" w14:textId="77777777" w:rsidR="00F01F0D" w:rsidRPr="0020065C" w:rsidRDefault="00F01F0D" w:rsidP="00B12B98">
            <w:pPr>
              <w:widowControl w:val="0"/>
              <w:spacing w:before="95" w:after="45"/>
              <w:rPr>
                <w:lang w:val="en-AU"/>
              </w:rPr>
            </w:pPr>
            <w:r w:rsidRPr="0020065C">
              <w:rPr>
                <w:lang w:val="en-AU"/>
              </w:rPr>
              <w:t>Fatigue</w:t>
            </w:r>
            <w:r w:rsidRPr="0020065C">
              <w:rPr>
                <w:vertAlign w:val="superscript"/>
                <w:lang w:val="en-AU"/>
              </w:rPr>
              <w:t>d</w:t>
            </w:r>
          </w:p>
        </w:tc>
        <w:tc>
          <w:tcPr>
            <w:tcW w:w="3120" w:type="dxa"/>
            <w:tcBorders>
              <w:top w:val="nil"/>
              <w:left w:val="single" w:sz="8" w:space="0" w:color="000000"/>
              <w:bottom w:val="nil"/>
              <w:right w:val="single" w:sz="8" w:space="0" w:color="000000"/>
            </w:tcBorders>
            <w:hideMark/>
          </w:tcPr>
          <w:p w14:paraId="3058C13B" w14:textId="2D84DDD3" w:rsidR="00F01F0D" w:rsidRPr="009F5BC8" w:rsidRDefault="00F01F0D" w:rsidP="00B12B98">
            <w:pPr>
              <w:widowControl w:val="0"/>
              <w:spacing w:before="95" w:after="45"/>
              <w:jc w:val="center"/>
              <w:rPr>
                <w:lang w:val="en-AU"/>
              </w:rPr>
            </w:pPr>
            <w:r w:rsidRPr="009F5BC8">
              <w:rPr>
                <w:lang w:val="en-AU"/>
              </w:rPr>
              <w:t>141 (60.3)</w:t>
            </w:r>
          </w:p>
        </w:tc>
        <w:tc>
          <w:tcPr>
            <w:tcW w:w="3120" w:type="dxa"/>
            <w:tcBorders>
              <w:top w:val="nil"/>
              <w:left w:val="single" w:sz="8" w:space="0" w:color="000000"/>
              <w:bottom w:val="nil"/>
              <w:right w:val="single" w:sz="8" w:space="0" w:color="000000"/>
            </w:tcBorders>
            <w:hideMark/>
          </w:tcPr>
          <w:p w14:paraId="57F9BDA3" w14:textId="77777777" w:rsidR="00F01F0D" w:rsidRPr="009F5BC8" w:rsidRDefault="00F01F0D" w:rsidP="00B12B98">
            <w:pPr>
              <w:widowControl w:val="0"/>
              <w:spacing w:before="95" w:after="45"/>
              <w:jc w:val="center"/>
              <w:rPr>
                <w:lang w:val="en-AU"/>
              </w:rPr>
            </w:pPr>
            <w:r w:rsidRPr="009F5BC8">
              <w:rPr>
                <w:lang w:val="en-AU"/>
              </w:rPr>
              <w:t>15 (6.4)</w:t>
            </w:r>
          </w:p>
        </w:tc>
      </w:tr>
      <w:tr w:rsidR="00F01F0D" w:rsidRPr="009F5BC8" w14:paraId="26B965F4"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796B5C1B" w14:textId="77777777" w:rsidR="00F01F0D" w:rsidRPr="0020065C" w:rsidRDefault="00F01F0D" w:rsidP="00B12B98">
            <w:pPr>
              <w:widowControl w:val="0"/>
              <w:spacing w:before="95" w:after="45"/>
              <w:rPr>
                <w:b/>
                <w:lang w:val="en-AU"/>
              </w:rPr>
            </w:pPr>
            <w:r w:rsidRPr="0020065C">
              <w:rPr>
                <w:b/>
                <w:lang w:val="en-AU"/>
              </w:rPr>
              <w:t>Skin and Subcutaneous Tissue Disorders</w:t>
            </w:r>
          </w:p>
        </w:tc>
      </w:tr>
      <w:tr w:rsidR="00F01F0D" w:rsidRPr="009F5BC8" w14:paraId="70165EB2" w14:textId="77777777" w:rsidTr="00E546BB">
        <w:trPr>
          <w:cantSplit/>
          <w:trHeight w:val="468"/>
        </w:trPr>
        <w:tc>
          <w:tcPr>
            <w:tcW w:w="3221" w:type="dxa"/>
            <w:tcBorders>
              <w:top w:val="nil"/>
              <w:left w:val="single" w:sz="8" w:space="0" w:color="000000"/>
              <w:bottom w:val="nil"/>
              <w:right w:val="single" w:sz="8" w:space="0" w:color="000000"/>
            </w:tcBorders>
            <w:hideMark/>
          </w:tcPr>
          <w:p w14:paraId="31891C15" w14:textId="77777777" w:rsidR="00F01F0D" w:rsidRPr="0020065C" w:rsidRDefault="00F01F0D" w:rsidP="00B12B98">
            <w:pPr>
              <w:widowControl w:val="0"/>
              <w:spacing w:before="95" w:after="45"/>
              <w:rPr>
                <w:lang w:val="en-AU"/>
              </w:rPr>
            </w:pPr>
            <w:r w:rsidRPr="0020065C">
              <w:rPr>
                <w:lang w:val="en-AU"/>
              </w:rPr>
              <w:t>Alopecia</w:t>
            </w:r>
          </w:p>
        </w:tc>
        <w:tc>
          <w:tcPr>
            <w:tcW w:w="3120" w:type="dxa"/>
            <w:tcBorders>
              <w:top w:val="nil"/>
              <w:left w:val="single" w:sz="8" w:space="0" w:color="000000"/>
              <w:bottom w:val="nil"/>
              <w:right w:val="single" w:sz="8" w:space="0" w:color="000000"/>
            </w:tcBorders>
            <w:hideMark/>
          </w:tcPr>
          <w:p w14:paraId="74070E51" w14:textId="77777777" w:rsidR="00F01F0D" w:rsidRPr="009F5BC8" w:rsidRDefault="00F01F0D" w:rsidP="00B12B98">
            <w:pPr>
              <w:widowControl w:val="0"/>
              <w:spacing w:before="95" w:after="45"/>
              <w:jc w:val="center"/>
              <w:rPr>
                <w:lang w:val="en-AU"/>
              </w:rPr>
            </w:pPr>
            <w:r w:rsidRPr="009F5BC8">
              <w:rPr>
                <w:lang w:val="en-AU"/>
              </w:rPr>
              <w:t>108 (46.2)</w:t>
            </w:r>
          </w:p>
        </w:tc>
        <w:tc>
          <w:tcPr>
            <w:tcW w:w="3120" w:type="dxa"/>
            <w:tcBorders>
              <w:top w:val="nil"/>
              <w:left w:val="single" w:sz="8" w:space="0" w:color="000000"/>
              <w:bottom w:val="nil"/>
              <w:right w:val="single" w:sz="8" w:space="0" w:color="000000"/>
            </w:tcBorders>
            <w:hideMark/>
          </w:tcPr>
          <w:p w14:paraId="4DBD3E93" w14:textId="77777777" w:rsidR="00F01F0D" w:rsidRPr="009F5BC8" w:rsidRDefault="00F01F0D" w:rsidP="00B12B98">
            <w:pPr>
              <w:widowControl w:val="0"/>
              <w:spacing w:before="95" w:after="45"/>
              <w:jc w:val="center"/>
              <w:rPr>
                <w:lang w:val="en-AU"/>
              </w:rPr>
            </w:pPr>
            <w:r w:rsidRPr="009F5BC8">
              <w:rPr>
                <w:lang w:val="en-AU"/>
              </w:rPr>
              <w:t>1 (0.4)</w:t>
            </w:r>
          </w:p>
        </w:tc>
      </w:tr>
      <w:tr w:rsidR="00F01F0D" w:rsidRPr="009F5BC8" w14:paraId="0948A241" w14:textId="77777777" w:rsidTr="00E546BB">
        <w:trPr>
          <w:cantSplit/>
          <w:trHeight w:val="468"/>
        </w:trPr>
        <w:tc>
          <w:tcPr>
            <w:tcW w:w="3221" w:type="dxa"/>
            <w:tcBorders>
              <w:top w:val="nil"/>
              <w:left w:val="single" w:sz="8" w:space="0" w:color="000000"/>
              <w:bottom w:val="nil"/>
              <w:right w:val="single" w:sz="8" w:space="0" w:color="000000"/>
            </w:tcBorders>
          </w:tcPr>
          <w:p w14:paraId="253BD5F1" w14:textId="77777777" w:rsidR="00F01F0D" w:rsidRPr="0020065C" w:rsidRDefault="00F01F0D" w:rsidP="00B12B98">
            <w:pPr>
              <w:widowControl w:val="0"/>
              <w:spacing w:before="95" w:after="45"/>
              <w:rPr>
                <w:lang w:val="en-AU"/>
              </w:rPr>
            </w:pPr>
            <w:proofErr w:type="spellStart"/>
            <w:r w:rsidRPr="0020065C">
              <w:rPr>
                <w:lang w:val="en-AU"/>
              </w:rPr>
              <w:t>Rash</w:t>
            </w:r>
            <w:r w:rsidRPr="0020065C">
              <w:rPr>
                <w:vertAlign w:val="superscript"/>
                <w:lang w:val="en-AU"/>
              </w:rPr>
              <w:t>e</w:t>
            </w:r>
            <w:proofErr w:type="spellEnd"/>
          </w:p>
        </w:tc>
        <w:tc>
          <w:tcPr>
            <w:tcW w:w="3120" w:type="dxa"/>
            <w:tcBorders>
              <w:top w:val="nil"/>
              <w:left w:val="single" w:sz="8" w:space="0" w:color="000000"/>
              <w:bottom w:val="nil"/>
              <w:right w:val="single" w:sz="8" w:space="0" w:color="000000"/>
            </w:tcBorders>
          </w:tcPr>
          <w:p w14:paraId="038B3B06" w14:textId="6ED8820A" w:rsidR="00F01F0D" w:rsidRPr="009F5BC8" w:rsidRDefault="00F01F0D" w:rsidP="00B12B98">
            <w:pPr>
              <w:widowControl w:val="0"/>
              <w:spacing w:before="95" w:after="45"/>
              <w:jc w:val="center"/>
              <w:rPr>
                <w:lang w:val="en-AU"/>
              </w:rPr>
            </w:pPr>
            <w:r w:rsidRPr="009F5BC8">
              <w:rPr>
                <w:lang w:val="en-AU"/>
              </w:rPr>
              <w:t>30 (12.8</w:t>
            </w:r>
            <w:r w:rsidR="00FC2141" w:rsidRPr="009F5BC8">
              <w:rPr>
                <w:lang w:val="en-AU"/>
              </w:rPr>
              <w:t>)</w:t>
            </w:r>
          </w:p>
        </w:tc>
        <w:tc>
          <w:tcPr>
            <w:tcW w:w="3120" w:type="dxa"/>
            <w:tcBorders>
              <w:top w:val="nil"/>
              <w:left w:val="single" w:sz="8" w:space="0" w:color="000000"/>
              <w:bottom w:val="nil"/>
              <w:right w:val="single" w:sz="8" w:space="0" w:color="000000"/>
            </w:tcBorders>
          </w:tcPr>
          <w:p w14:paraId="0F63F8B3" w14:textId="77777777" w:rsidR="00F01F0D" w:rsidRPr="009F5BC8" w:rsidRDefault="00F01F0D" w:rsidP="00B12B98">
            <w:pPr>
              <w:widowControl w:val="0"/>
              <w:spacing w:before="95" w:after="45"/>
              <w:jc w:val="center"/>
              <w:rPr>
                <w:lang w:val="en-AU"/>
              </w:rPr>
            </w:pPr>
            <w:r w:rsidRPr="009F5BC8">
              <w:rPr>
                <w:lang w:val="en-AU"/>
              </w:rPr>
              <w:t>1 (0.4)</w:t>
            </w:r>
          </w:p>
        </w:tc>
      </w:tr>
      <w:tr w:rsidR="00F01F0D" w:rsidRPr="009F5BC8" w14:paraId="0DDDEBB2"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42854612" w14:textId="77777777" w:rsidR="00F01F0D" w:rsidRPr="0020065C" w:rsidRDefault="00F01F0D" w:rsidP="00B12B98">
            <w:pPr>
              <w:widowControl w:val="0"/>
              <w:spacing w:before="95" w:after="45"/>
              <w:rPr>
                <w:b/>
                <w:lang w:val="en-AU"/>
              </w:rPr>
            </w:pPr>
            <w:r w:rsidRPr="0020065C">
              <w:rPr>
                <w:b/>
                <w:lang w:val="en-AU"/>
              </w:rPr>
              <w:t>Metabolism and Nutrition Disorders</w:t>
            </w:r>
          </w:p>
        </w:tc>
      </w:tr>
      <w:tr w:rsidR="00F01F0D" w:rsidRPr="009F5BC8" w14:paraId="43C5DA91" w14:textId="77777777" w:rsidTr="00E546BB">
        <w:trPr>
          <w:cantSplit/>
          <w:trHeight w:val="468"/>
        </w:trPr>
        <w:tc>
          <w:tcPr>
            <w:tcW w:w="3221" w:type="dxa"/>
            <w:tcBorders>
              <w:top w:val="nil"/>
              <w:left w:val="single" w:sz="8" w:space="0" w:color="000000"/>
              <w:bottom w:val="nil"/>
              <w:right w:val="single" w:sz="8" w:space="0" w:color="000000"/>
            </w:tcBorders>
            <w:hideMark/>
          </w:tcPr>
          <w:p w14:paraId="15A7C643" w14:textId="77777777" w:rsidR="00F01F0D" w:rsidRPr="0020065C" w:rsidRDefault="00F01F0D" w:rsidP="00B12B98">
            <w:pPr>
              <w:widowControl w:val="0"/>
              <w:spacing w:before="95" w:after="45"/>
              <w:rPr>
                <w:lang w:val="en-AU"/>
              </w:rPr>
            </w:pPr>
            <w:r w:rsidRPr="0020065C">
              <w:rPr>
                <w:lang w:val="en-AU"/>
              </w:rPr>
              <w:t>Decreased appetite</w:t>
            </w:r>
          </w:p>
        </w:tc>
        <w:tc>
          <w:tcPr>
            <w:tcW w:w="3120" w:type="dxa"/>
            <w:tcBorders>
              <w:top w:val="nil"/>
              <w:left w:val="single" w:sz="8" w:space="0" w:color="000000"/>
              <w:bottom w:val="nil"/>
              <w:right w:val="single" w:sz="8" w:space="0" w:color="000000"/>
            </w:tcBorders>
            <w:hideMark/>
          </w:tcPr>
          <w:p w14:paraId="606DAD76" w14:textId="77777777" w:rsidR="00F01F0D" w:rsidRPr="009F5BC8" w:rsidRDefault="00F01F0D" w:rsidP="00B12B98">
            <w:pPr>
              <w:widowControl w:val="0"/>
              <w:spacing w:before="95" w:after="45"/>
              <w:jc w:val="center"/>
              <w:rPr>
                <w:lang w:val="en-AU"/>
              </w:rPr>
            </w:pPr>
            <w:r w:rsidRPr="009F5BC8">
              <w:rPr>
                <w:lang w:val="en-AU"/>
              </w:rPr>
              <w:t>81 (34.6)</w:t>
            </w:r>
          </w:p>
        </w:tc>
        <w:tc>
          <w:tcPr>
            <w:tcW w:w="3120" w:type="dxa"/>
            <w:tcBorders>
              <w:top w:val="nil"/>
              <w:left w:val="single" w:sz="8" w:space="0" w:color="000000"/>
              <w:bottom w:val="nil"/>
              <w:right w:val="single" w:sz="8" w:space="0" w:color="000000"/>
            </w:tcBorders>
            <w:hideMark/>
          </w:tcPr>
          <w:p w14:paraId="6AA47FC0" w14:textId="77777777" w:rsidR="00F01F0D" w:rsidRPr="009F5BC8" w:rsidRDefault="00F01F0D" w:rsidP="00B12B98">
            <w:pPr>
              <w:widowControl w:val="0"/>
              <w:spacing w:before="95" w:after="45"/>
              <w:jc w:val="center"/>
              <w:rPr>
                <w:lang w:val="en-AU"/>
              </w:rPr>
            </w:pPr>
            <w:r w:rsidRPr="009F5BC8">
              <w:rPr>
                <w:lang w:val="en-AU"/>
              </w:rPr>
              <w:t>3 (1.3)</w:t>
            </w:r>
          </w:p>
        </w:tc>
      </w:tr>
      <w:tr w:rsidR="00F01F0D" w:rsidRPr="009F5BC8" w14:paraId="1580230F" w14:textId="77777777" w:rsidTr="00E546BB">
        <w:trPr>
          <w:cantSplit/>
          <w:trHeight w:val="468"/>
        </w:trPr>
        <w:tc>
          <w:tcPr>
            <w:tcW w:w="3221" w:type="dxa"/>
            <w:tcBorders>
              <w:top w:val="nil"/>
              <w:left w:val="single" w:sz="8" w:space="0" w:color="000000"/>
              <w:bottom w:val="nil"/>
              <w:right w:val="single" w:sz="8" w:space="0" w:color="000000"/>
            </w:tcBorders>
            <w:hideMark/>
          </w:tcPr>
          <w:p w14:paraId="185EC325" w14:textId="73EB6062" w:rsidR="00F01F0D" w:rsidRPr="0020065C" w:rsidRDefault="009F5BC8" w:rsidP="00B12B98">
            <w:pPr>
              <w:widowControl w:val="0"/>
              <w:spacing w:before="95" w:after="45"/>
              <w:rPr>
                <w:lang w:val="en-AU"/>
              </w:rPr>
            </w:pPr>
            <w:r w:rsidRPr="0020065C">
              <w:rPr>
                <w:lang w:val="en-AU"/>
              </w:rPr>
              <w:t>Hypokalaemia</w:t>
            </w:r>
          </w:p>
        </w:tc>
        <w:tc>
          <w:tcPr>
            <w:tcW w:w="3120" w:type="dxa"/>
            <w:tcBorders>
              <w:top w:val="nil"/>
              <w:left w:val="single" w:sz="8" w:space="0" w:color="000000"/>
              <w:bottom w:val="nil"/>
              <w:right w:val="single" w:sz="8" w:space="0" w:color="000000"/>
            </w:tcBorders>
          </w:tcPr>
          <w:p w14:paraId="06712D73" w14:textId="77777777" w:rsidR="00F01F0D" w:rsidRPr="009F5BC8" w:rsidRDefault="00F01F0D" w:rsidP="00B12B98">
            <w:pPr>
              <w:widowControl w:val="0"/>
              <w:spacing w:before="95" w:after="45"/>
              <w:jc w:val="center"/>
              <w:rPr>
                <w:lang w:val="en-AU"/>
              </w:rPr>
            </w:pPr>
            <w:r w:rsidRPr="009F5BC8">
              <w:rPr>
                <w:lang w:val="en-AU"/>
              </w:rPr>
              <w:t>30 (12.8)</w:t>
            </w:r>
          </w:p>
        </w:tc>
        <w:tc>
          <w:tcPr>
            <w:tcW w:w="3120" w:type="dxa"/>
            <w:tcBorders>
              <w:top w:val="nil"/>
              <w:left w:val="single" w:sz="8" w:space="0" w:color="000000"/>
              <w:bottom w:val="nil"/>
              <w:right w:val="single" w:sz="8" w:space="0" w:color="000000"/>
            </w:tcBorders>
            <w:hideMark/>
          </w:tcPr>
          <w:p w14:paraId="3EE9416F" w14:textId="77777777" w:rsidR="00F01F0D" w:rsidRPr="009F5BC8" w:rsidRDefault="00F01F0D" w:rsidP="00B12B98">
            <w:pPr>
              <w:widowControl w:val="0"/>
              <w:spacing w:before="95" w:after="45"/>
              <w:jc w:val="center"/>
              <w:rPr>
                <w:lang w:val="en-AU"/>
              </w:rPr>
            </w:pPr>
            <w:r w:rsidRPr="009F5BC8">
              <w:rPr>
                <w:lang w:val="en-AU"/>
              </w:rPr>
              <w:t>8 (3.4)</w:t>
            </w:r>
          </w:p>
        </w:tc>
      </w:tr>
      <w:tr w:rsidR="00F01F0D" w:rsidRPr="009F5BC8" w14:paraId="3EA0EA6B"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6FCDA0DB" w14:textId="77777777" w:rsidR="00F01F0D" w:rsidRPr="0020065C" w:rsidRDefault="00F01F0D" w:rsidP="00B12B98">
            <w:pPr>
              <w:widowControl w:val="0"/>
              <w:spacing w:before="95" w:after="45"/>
              <w:rPr>
                <w:b/>
                <w:lang w:val="en-AU"/>
              </w:rPr>
            </w:pPr>
            <w:r w:rsidRPr="0020065C">
              <w:rPr>
                <w:b/>
                <w:lang w:val="en-AU"/>
              </w:rPr>
              <w:t>Blood and Lymphatic System Disorders</w:t>
            </w:r>
          </w:p>
        </w:tc>
      </w:tr>
      <w:tr w:rsidR="00F01F0D" w:rsidRPr="009F5BC8" w14:paraId="5E9901F0" w14:textId="77777777" w:rsidTr="00E546BB">
        <w:trPr>
          <w:cantSplit/>
          <w:trHeight w:val="468"/>
        </w:trPr>
        <w:tc>
          <w:tcPr>
            <w:tcW w:w="3221" w:type="dxa"/>
            <w:tcBorders>
              <w:top w:val="nil"/>
              <w:left w:val="single" w:sz="8" w:space="0" w:color="000000"/>
              <w:bottom w:val="nil"/>
              <w:right w:val="single" w:sz="8" w:space="0" w:color="000000"/>
            </w:tcBorders>
            <w:hideMark/>
          </w:tcPr>
          <w:p w14:paraId="3E4DE443" w14:textId="43FA8DFF" w:rsidR="00F01F0D" w:rsidRPr="0020065C" w:rsidRDefault="00F01F0D" w:rsidP="00B12B98">
            <w:pPr>
              <w:widowControl w:val="0"/>
              <w:spacing w:before="95" w:after="45"/>
              <w:rPr>
                <w:lang w:val="en-AU"/>
              </w:rPr>
            </w:pPr>
            <w:proofErr w:type="spellStart"/>
            <w:r w:rsidRPr="0020065C">
              <w:rPr>
                <w:lang w:val="en-AU"/>
              </w:rPr>
              <w:t>An</w:t>
            </w:r>
            <w:r w:rsidR="004E508C" w:rsidRPr="0020065C">
              <w:rPr>
                <w:lang w:val="en-AU"/>
              </w:rPr>
              <w:t>a</w:t>
            </w:r>
            <w:r w:rsidRPr="0020065C">
              <w:rPr>
                <w:lang w:val="en-AU"/>
              </w:rPr>
              <w:t>emia</w:t>
            </w:r>
            <w:r w:rsidRPr="0020065C">
              <w:rPr>
                <w:vertAlign w:val="superscript"/>
                <w:lang w:val="en-AU"/>
              </w:rPr>
              <w:t>f</w:t>
            </w:r>
            <w:proofErr w:type="spellEnd"/>
            <w:r w:rsidRPr="0020065C">
              <w:rPr>
                <w:vertAlign w:val="superscript"/>
                <w:lang w:val="en-AU"/>
              </w:rPr>
              <w:t xml:space="preserve"> </w:t>
            </w:r>
          </w:p>
        </w:tc>
        <w:tc>
          <w:tcPr>
            <w:tcW w:w="3120" w:type="dxa"/>
            <w:tcBorders>
              <w:top w:val="nil"/>
              <w:left w:val="single" w:sz="8" w:space="0" w:color="000000"/>
              <w:bottom w:val="nil"/>
              <w:right w:val="single" w:sz="8" w:space="0" w:color="000000"/>
            </w:tcBorders>
            <w:hideMark/>
          </w:tcPr>
          <w:p w14:paraId="4D3AAC91" w14:textId="77777777" w:rsidR="00F01F0D" w:rsidRPr="009F5BC8" w:rsidRDefault="00F01F0D" w:rsidP="00B12B98">
            <w:pPr>
              <w:widowControl w:val="0"/>
              <w:spacing w:before="95" w:after="45"/>
              <w:jc w:val="center"/>
              <w:rPr>
                <w:lang w:val="en-AU"/>
              </w:rPr>
            </w:pPr>
            <w:r w:rsidRPr="009F5BC8">
              <w:rPr>
                <w:lang w:val="en-AU"/>
              </w:rPr>
              <w:t>79 (33.8)</w:t>
            </w:r>
          </w:p>
        </w:tc>
        <w:tc>
          <w:tcPr>
            <w:tcW w:w="3120" w:type="dxa"/>
            <w:tcBorders>
              <w:top w:val="nil"/>
              <w:left w:val="single" w:sz="8" w:space="0" w:color="000000"/>
              <w:bottom w:val="nil"/>
              <w:right w:val="single" w:sz="8" w:space="0" w:color="000000"/>
            </w:tcBorders>
            <w:hideMark/>
          </w:tcPr>
          <w:p w14:paraId="5EFB026D" w14:textId="77777777" w:rsidR="00F01F0D" w:rsidRPr="009F5BC8" w:rsidRDefault="00F01F0D" w:rsidP="00B12B98">
            <w:pPr>
              <w:widowControl w:val="0"/>
              <w:spacing w:before="95" w:after="45"/>
              <w:jc w:val="center"/>
              <w:rPr>
                <w:lang w:val="en-AU"/>
              </w:rPr>
            </w:pPr>
            <w:r w:rsidRPr="009F5BC8">
              <w:rPr>
                <w:lang w:val="en-AU"/>
              </w:rPr>
              <w:t>21 (9.0)</w:t>
            </w:r>
          </w:p>
        </w:tc>
      </w:tr>
      <w:tr w:rsidR="00F01F0D" w:rsidRPr="00540B74" w14:paraId="3E8A0CCC" w14:textId="77777777" w:rsidTr="00E546BB">
        <w:trPr>
          <w:cantSplit/>
          <w:trHeight w:val="468"/>
        </w:trPr>
        <w:tc>
          <w:tcPr>
            <w:tcW w:w="3221" w:type="dxa"/>
            <w:tcBorders>
              <w:top w:val="nil"/>
              <w:left w:val="single" w:sz="8" w:space="0" w:color="000000"/>
              <w:bottom w:val="nil"/>
              <w:right w:val="single" w:sz="8" w:space="0" w:color="000000"/>
            </w:tcBorders>
            <w:hideMark/>
          </w:tcPr>
          <w:p w14:paraId="2EEC3512" w14:textId="77777777" w:rsidR="00F01F0D" w:rsidRPr="00540B74" w:rsidRDefault="00F01F0D" w:rsidP="00B12B98">
            <w:pPr>
              <w:widowControl w:val="0"/>
              <w:spacing w:before="95" w:after="45"/>
              <w:rPr>
                <w:lang w:val="en-AU"/>
              </w:rPr>
            </w:pPr>
            <w:proofErr w:type="spellStart"/>
            <w:r w:rsidRPr="00540B74">
              <w:rPr>
                <w:lang w:val="en-AU"/>
              </w:rPr>
              <w:t>Neutropenia</w:t>
            </w:r>
            <w:r w:rsidRPr="00540B74">
              <w:rPr>
                <w:vertAlign w:val="superscript"/>
                <w:lang w:val="en-AU"/>
              </w:rPr>
              <w:t>g</w:t>
            </w:r>
            <w:proofErr w:type="spellEnd"/>
          </w:p>
        </w:tc>
        <w:tc>
          <w:tcPr>
            <w:tcW w:w="3120" w:type="dxa"/>
            <w:tcBorders>
              <w:top w:val="nil"/>
              <w:left w:val="single" w:sz="8" w:space="0" w:color="000000"/>
              <w:bottom w:val="nil"/>
              <w:right w:val="single" w:sz="8" w:space="0" w:color="000000"/>
            </w:tcBorders>
            <w:hideMark/>
          </w:tcPr>
          <w:p w14:paraId="36BCC80F" w14:textId="77777777" w:rsidR="00F01F0D" w:rsidRPr="00540B74" w:rsidRDefault="00F01F0D" w:rsidP="00B12B98">
            <w:pPr>
              <w:widowControl w:val="0"/>
              <w:spacing w:before="95" w:after="45"/>
              <w:jc w:val="center"/>
              <w:rPr>
                <w:lang w:val="en-AU"/>
              </w:rPr>
            </w:pPr>
            <w:r w:rsidRPr="00540B74">
              <w:rPr>
                <w:lang w:val="en-AU"/>
              </w:rPr>
              <w:t>76 (32.5)</w:t>
            </w:r>
          </w:p>
        </w:tc>
        <w:tc>
          <w:tcPr>
            <w:tcW w:w="3120" w:type="dxa"/>
            <w:tcBorders>
              <w:top w:val="nil"/>
              <w:left w:val="single" w:sz="8" w:space="0" w:color="000000"/>
              <w:bottom w:val="nil"/>
              <w:right w:val="single" w:sz="8" w:space="0" w:color="000000"/>
            </w:tcBorders>
            <w:hideMark/>
          </w:tcPr>
          <w:p w14:paraId="0353BD19" w14:textId="77777777" w:rsidR="00F01F0D" w:rsidRPr="00540B74" w:rsidRDefault="00F01F0D" w:rsidP="00B12B98">
            <w:pPr>
              <w:widowControl w:val="0"/>
              <w:spacing w:before="95" w:after="45"/>
              <w:jc w:val="center"/>
              <w:rPr>
                <w:lang w:val="en-AU"/>
              </w:rPr>
            </w:pPr>
            <w:r w:rsidRPr="00540B74">
              <w:rPr>
                <w:lang w:val="en-AU"/>
              </w:rPr>
              <w:t>44 (18.8)</w:t>
            </w:r>
          </w:p>
        </w:tc>
      </w:tr>
      <w:tr w:rsidR="00F01F0D" w:rsidRPr="00540B74" w14:paraId="06369830" w14:textId="77777777" w:rsidTr="00E546BB">
        <w:trPr>
          <w:cantSplit/>
          <w:trHeight w:val="468"/>
        </w:trPr>
        <w:tc>
          <w:tcPr>
            <w:tcW w:w="3221" w:type="dxa"/>
            <w:tcBorders>
              <w:top w:val="nil"/>
              <w:left w:val="single" w:sz="8" w:space="0" w:color="000000"/>
              <w:bottom w:val="nil"/>
              <w:right w:val="single" w:sz="8" w:space="0" w:color="000000"/>
            </w:tcBorders>
          </w:tcPr>
          <w:p w14:paraId="5119C81A" w14:textId="1C45CED4" w:rsidR="00F01F0D" w:rsidRPr="00540B74" w:rsidRDefault="00F01F0D" w:rsidP="00B12B98">
            <w:pPr>
              <w:widowControl w:val="0"/>
              <w:spacing w:before="95" w:after="45"/>
              <w:rPr>
                <w:lang w:val="en-AU"/>
              </w:rPr>
            </w:pPr>
            <w:proofErr w:type="spellStart"/>
            <w:r w:rsidRPr="00540B74">
              <w:rPr>
                <w:lang w:val="en-AU"/>
              </w:rPr>
              <w:t>Thrombocytop</w:t>
            </w:r>
            <w:r w:rsidR="00A7303F" w:rsidRPr="00540B74">
              <w:rPr>
                <w:lang w:val="en-AU"/>
              </w:rPr>
              <w:t>a</w:t>
            </w:r>
            <w:r w:rsidRPr="00540B74">
              <w:rPr>
                <w:lang w:val="en-AU"/>
              </w:rPr>
              <w:t>enia</w:t>
            </w:r>
            <w:r w:rsidRPr="00540B74">
              <w:rPr>
                <w:vertAlign w:val="superscript"/>
                <w:lang w:val="en-AU"/>
              </w:rPr>
              <w:t>h</w:t>
            </w:r>
            <w:proofErr w:type="spellEnd"/>
          </w:p>
        </w:tc>
        <w:tc>
          <w:tcPr>
            <w:tcW w:w="3120" w:type="dxa"/>
            <w:tcBorders>
              <w:top w:val="nil"/>
              <w:left w:val="single" w:sz="8" w:space="0" w:color="000000"/>
              <w:bottom w:val="nil"/>
              <w:right w:val="single" w:sz="8" w:space="0" w:color="000000"/>
            </w:tcBorders>
          </w:tcPr>
          <w:p w14:paraId="651E5DB1" w14:textId="77777777" w:rsidR="00F01F0D" w:rsidRPr="00540B74" w:rsidRDefault="00F01F0D" w:rsidP="00B12B98">
            <w:pPr>
              <w:widowControl w:val="0"/>
              <w:spacing w:before="95" w:after="45"/>
              <w:jc w:val="center"/>
              <w:rPr>
                <w:lang w:val="en-AU"/>
              </w:rPr>
            </w:pPr>
            <w:r w:rsidRPr="00540B74">
              <w:rPr>
                <w:lang w:val="en-AU"/>
              </w:rPr>
              <w:t>54 (23.1)</w:t>
            </w:r>
          </w:p>
        </w:tc>
        <w:tc>
          <w:tcPr>
            <w:tcW w:w="3120" w:type="dxa"/>
            <w:tcBorders>
              <w:top w:val="nil"/>
              <w:left w:val="single" w:sz="8" w:space="0" w:color="000000"/>
              <w:bottom w:val="nil"/>
              <w:right w:val="single" w:sz="8" w:space="0" w:color="000000"/>
            </w:tcBorders>
          </w:tcPr>
          <w:p w14:paraId="58FD3DBE" w14:textId="77777777" w:rsidR="00F01F0D" w:rsidRPr="00540B74" w:rsidRDefault="00F01F0D" w:rsidP="00B12B98">
            <w:pPr>
              <w:widowControl w:val="0"/>
              <w:spacing w:before="95" w:after="45"/>
              <w:jc w:val="center"/>
              <w:rPr>
                <w:lang w:val="en-AU"/>
              </w:rPr>
            </w:pPr>
            <w:r w:rsidRPr="00540B74">
              <w:rPr>
                <w:lang w:val="en-AU"/>
              </w:rPr>
              <w:t>10 (4.3)</w:t>
            </w:r>
          </w:p>
        </w:tc>
      </w:tr>
      <w:tr w:rsidR="00F01F0D" w:rsidRPr="009F5BC8" w14:paraId="0A463A8E" w14:textId="77777777" w:rsidTr="00E546BB">
        <w:trPr>
          <w:cantSplit/>
          <w:trHeight w:val="468"/>
        </w:trPr>
        <w:tc>
          <w:tcPr>
            <w:tcW w:w="3221" w:type="dxa"/>
            <w:tcBorders>
              <w:top w:val="nil"/>
              <w:left w:val="single" w:sz="8" w:space="0" w:color="000000"/>
              <w:bottom w:val="nil"/>
              <w:right w:val="single" w:sz="8" w:space="0" w:color="000000"/>
            </w:tcBorders>
            <w:hideMark/>
          </w:tcPr>
          <w:p w14:paraId="77792E12" w14:textId="77777777" w:rsidR="00F01F0D" w:rsidRPr="0020065C" w:rsidRDefault="00F01F0D" w:rsidP="00B12B98">
            <w:pPr>
              <w:widowControl w:val="0"/>
              <w:spacing w:before="95" w:after="45"/>
              <w:rPr>
                <w:lang w:val="en-AU"/>
              </w:rPr>
            </w:pPr>
            <w:proofErr w:type="spellStart"/>
            <w:r w:rsidRPr="0020065C">
              <w:rPr>
                <w:lang w:val="en-AU"/>
              </w:rPr>
              <w:t>Leukopenia</w:t>
            </w:r>
            <w:r w:rsidRPr="0020065C">
              <w:rPr>
                <w:vertAlign w:val="superscript"/>
                <w:lang w:val="en-AU"/>
              </w:rPr>
              <w:t>i</w:t>
            </w:r>
            <w:proofErr w:type="spellEnd"/>
          </w:p>
        </w:tc>
        <w:tc>
          <w:tcPr>
            <w:tcW w:w="3120" w:type="dxa"/>
            <w:tcBorders>
              <w:top w:val="nil"/>
              <w:left w:val="single" w:sz="8" w:space="0" w:color="000000"/>
              <w:bottom w:val="nil"/>
              <w:right w:val="single" w:sz="8" w:space="0" w:color="000000"/>
            </w:tcBorders>
            <w:hideMark/>
          </w:tcPr>
          <w:p w14:paraId="7EE9510F" w14:textId="77777777" w:rsidR="00F01F0D" w:rsidRPr="009F5BC8" w:rsidRDefault="00F01F0D" w:rsidP="00B12B98">
            <w:pPr>
              <w:widowControl w:val="0"/>
              <w:spacing w:before="95" w:after="45"/>
              <w:jc w:val="center"/>
              <w:rPr>
                <w:lang w:val="en-AU"/>
              </w:rPr>
            </w:pPr>
            <w:r w:rsidRPr="009F5BC8">
              <w:rPr>
                <w:lang w:val="en-AU"/>
              </w:rPr>
              <w:t>48 (20.5)</w:t>
            </w:r>
          </w:p>
        </w:tc>
        <w:tc>
          <w:tcPr>
            <w:tcW w:w="3120" w:type="dxa"/>
            <w:tcBorders>
              <w:top w:val="nil"/>
              <w:left w:val="single" w:sz="8" w:space="0" w:color="000000"/>
              <w:bottom w:val="nil"/>
              <w:right w:val="single" w:sz="8" w:space="0" w:color="000000"/>
            </w:tcBorders>
            <w:hideMark/>
          </w:tcPr>
          <w:p w14:paraId="57D7BBA3" w14:textId="77777777" w:rsidR="00F01F0D" w:rsidRPr="009F5BC8" w:rsidRDefault="00F01F0D" w:rsidP="00B12B98">
            <w:pPr>
              <w:widowControl w:val="0"/>
              <w:spacing w:before="95" w:after="45"/>
              <w:jc w:val="center"/>
              <w:rPr>
                <w:lang w:val="en-AU"/>
              </w:rPr>
            </w:pPr>
            <w:r w:rsidRPr="009F5BC8">
              <w:rPr>
                <w:lang w:val="en-AU"/>
              </w:rPr>
              <w:t>13 (5.6)</w:t>
            </w:r>
          </w:p>
        </w:tc>
      </w:tr>
      <w:tr w:rsidR="00F01F0D" w:rsidRPr="009F5BC8" w14:paraId="69D88C44" w14:textId="77777777" w:rsidTr="00E546BB">
        <w:trPr>
          <w:cantSplit/>
          <w:trHeight w:val="468"/>
        </w:trPr>
        <w:tc>
          <w:tcPr>
            <w:tcW w:w="3221" w:type="dxa"/>
            <w:tcBorders>
              <w:top w:val="nil"/>
              <w:left w:val="single" w:sz="8" w:space="0" w:color="000000"/>
              <w:bottom w:val="nil"/>
              <w:right w:val="single" w:sz="8" w:space="0" w:color="000000"/>
            </w:tcBorders>
            <w:hideMark/>
          </w:tcPr>
          <w:p w14:paraId="43410100" w14:textId="77777777" w:rsidR="00F01F0D" w:rsidRPr="0020065C" w:rsidRDefault="00F01F0D" w:rsidP="00B12B98">
            <w:pPr>
              <w:widowControl w:val="0"/>
              <w:spacing w:before="95" w:after="45"/>
              <w:rPr>
                <w:lang w:val="en-AU"/>
              </w:rPr>
            </w:pPr>
            <w:proofErr w:type="spellStart"/>
            <w:r w:rsidRPr="0020065C">
              <w:rPr>
                <w:lang w:val="en-AU"/>
              </w:rPr>
              <w:t>Lymphopenia</w:t>
            </w:r>
            <w:r w:rsidRPr="0020065C">
              <w:rPr>
                <w:vertAlign w:val="superscript"/>
                <w:lang w:val="en-AU"/>
              </w:rPr>
              <w:t>j</w:t>
            </w:r>
            <w:proofErr w:type="spellEnd"/>
          </w:p>
        </w:tc>
        <w:tc>
          <w:tcPr>
            <w:tcW w:w="3120" w:type="dxa"/>
            <w:tcBorders>
              <w:top w:val="nil"/>
              <w:left w:val="single" w:sz="8" w:space="0" w:color="000000"/>
              <w:bottom w:val="nil"/>
              <w:right w:val="single" w:sz="8" w:space="0" w:color="000000"/>
            </w:tcBorders>
          </w:tcPr>
          <w:p w14:paraId="2FD0254F" w14:textId="77777777" w:rsidR="00F01F0D" w:rsidRPr="009F5BC8" w:rsidRDefault="00F01F0D" w:rsidP="00B12B98">
            <w:pPr>
              <w:widowControl w:val="0"/>
              <w:spacing w:before="95" w:after="45"/>
              <w:jc w:val="center"/>
              <w:rPr>
                <w:lang w:val="en-AU"/>
              </w:rPr>
            </w:pPr>
            <w:r w:rsidRPr="009F5BC8">
              <w:rPr>
                <w:lang w:val="en-AU"/>
              </w:rPr>
              <w:t>26 (11.1)</w:t>
            </w:r>
          </w:p>
        </w:tc>
        <w:tc>
          <w:tcPr>
            <w:tcW w:w="3120" w:type="dxa"/>
            <w:tcBorders>
              <w:top w:val="nil"/>
              <w:left w:val="single" w:sz="8" w:space="0" w:color="000000"/>
              <w:bottom w:val="nil"/>
              <w:right w:val="single" w:sz="8" w:space="0" w:color="000000"/>
            </w:tcBorders>
            <w:hideMark/>
          </w:tcPr>
          <w:p w14:paraId="5F34060A" w14:textId="77777777" w:rsidR="00F01F0D" w:rsidRPr="009F5BC8" w:rsidRDefault="00F01F0D" w:rsidP="00B12B98">
            <w:pPr>
              <w:widowControl w:val="0"/>
              <w:spacing w:before="95" w:after="45"/>
              <w:jc w:val="center"/>
              <w:rPr>
                <w:lang w:val="en-AU"/>
              </w:rPr>
            </w:pPr>
            <w:r w:rsidRPr="009F5BC8">
              <w:rPr>
                <w:lang w:val="en-AU"/>
              </w:rPr>
              <w:t>12 (5.1)</w:t>
            </w:r>
          </w:p>
        </w:tc>
      </w:tr>
      <w:tr w:rsidR="00F01F0D" w:rsidRPr="009F5BC8" w14:paraId="4EBCB8E1"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3389F65A" w14:textId="77777777" w:rsidR="00F01F0D" w:rsidRPr="0020065C" w:rsidRDefault="00F01F0D" w:rsidP="00B12B98">
            <w:pPr>
              <w:widowControl w:val="0"/>
              <w:spacing w:before="95" w:after="45"/>
              <w:rPr>
                <w:b/>
                <w:lang w:val="en-AU"/>
              </w:rPr>
            </w:pPr>
            <w:r w:rsidRPr="0020065C">
              <w:rPr>
                <w:b/>
                <w:lang w:val="en-AU"/>
              </w:rPr>
              <w:t>Respiratory, Thoracic and Mediastinal Disorders</w:t>
            </w:r>
          </w:p>
        </w:tc>
      </w:tr>
      <w:tr w:rsidR="00F01F0D" w:rsidRPr="009F5BC8" w14:paraId="03179CF4" w14:textId="77777777" w:rsidTr="00E546BB">
        <w:trPr>
          <w:cantSplit/>
          <w:trHeight w:val="468"/>
        </w:trPr>
        <w:tc>
          <w:tcPr>
            <w:tcW w:w="3221" w:type="dxa"/>
            <w:tcBorders>
              <w:top w:val="nil"/>
              <w:left w:val="single" w:sz="8" w:space="0" w:color="000000"/>
              <w:bottom w:val="nil"/>
              <w:right w:val="single" w:sz="8" w:space="0" w:color="000000"/>
            </w:tcBorders>
            <w:hideMark/>
          </w:tcPr>
          <w:p w14:paraId="390D75F1" w14:textId="77777777" w:rsidR="00F01F0D" w:rsidRPr="0020065C" w:rsidRDefault="00F01F0D" w:rsidP="00B12B98">
            <w:pPr>
              <w:widowControl w:val="0"/>
              <w:spacing w:before="95" w:after="45"/>
              <w:rPr>
                <w:lang w:val="en-AU"/>
              </w:rPr>
            </w:pPr>
            <w:r w:rsidRPr="0020065C">
              <w:rPr>
                <w:lang w:val="en-AU"/>
              </w:rPr>
              <w:t>Cough</w:t>
            </w:r>
          </w:p>
        </w:tc>
        <w:tc>
          <w:tcPr>
            <w:tcW w:w="3120" w:type="dxa"/>
            <w:tcBorders>
              <w:top w:val="nil"/>
              <w:left w:val="single" w:sz="8" w:space="0" w:color="000000"/>
              <w:bottom w:val="nil"/>
              <w:right w:val="single" w:sz="8" w:space="0" w:color="000000"/>
            </w:tcBorders>
            <w:hideMark/>
          </w:tcPr>
          <w:p w14:paraId="54726F19" w14:textId="77777777" w:rsidR="00F01F0D" w:rsidRPr="009F5BC8" w:rsidRDefault="00F01F0D" w:rsidP="00B12B98">
            <w:pPr>
              <w:widowControl w:val="0"/>
              <w:spacing w:before="95" w:after="45"/>
              <w:jc w:val="center"/>
              <w:rPr>
                <w:lang w:val="en-AU"/>
              </w:rPr>
            </w:pPr>
            <w:r w:rsidRPr="009F5BC8">
              <w:rPr>
                <w:lang w:val="en-AU"/>
              </w:rPr>
              <w:t>50 (21.4)</w:t>
            </w:r>
          </w:p>
        </w:tc>
        <w:tc>
          <w:tcPr>
            <w:tcW w:w="3120" w:type="dxa"/>
            <w:tcBorders>
              <w:top w:val="nil"/>
              <w:left w:val="single" w:sz="8" w:space="0" w:color="000000"/>
              <w:bottom w:val="nil"/>
              <w:right w:val="single" w:sz="8" w:space="0" w:color="000000"/>
            </w:tcBorders>
          </w:tcPr>
          <w:p w14:paraId="451CF609" w14:textId="77777777" w:rsidR="00F01F0D" w:rsidRPr="009F5BC8" w:rsidRDefault="00F01F0D" w:rsidP="00B12B98">
            <w:pPr>
              <w:widowControl w:val="0"/>
              <w:spacing w:before="95" w:after="45"/>
              <w:jc w:val="center"/>
              <w:rPr>
                <w:lang w:val="en-AU"/>
              </w:rPr>
            </w:pPr>
            <w:r w:rsidRPr="009F5BC8">
              <w:rPr>
                <w:lang w:val="en-AU"/>
              </w:rPr>
              <w:t>0</w:t>
            </w:r>
          </w:p>
        </w:tc>
      </w:tr>
      <w:tr w:rsidR="00F01F0D" w:rsidRPr="009F5BC8" w14:paraId="0E2B6F29" w14:textId="77777777" w:rsidTr="00E546BB">
        <w:trPr>
          <w:cantSplit/>
          <w:trHeight w:val="468"/>
        </w:trPr>
        <w:tc>
          <w:tcPr>
            <w:tcW w:w="3221" w:type="dxa"/>
            <w:tcBorders>
              <w:top w:val="nil"/>
              <w:left w:val="single" w:sz="8" w:space="0" w:color="000000"/>
              <w:bottom w:val="nil"/>
              <w:right w:val="single" w:sz="8" w:space="0" w:color="000000"/>
            </w:tcBorders>
            <w:hideMark/>
          </w:tcPr>
          <w:p w14:paraId="3BECDC69" w14:textId="27DD8E15" w:rsidR="00F01F0D" w:rsidRPr="0020065C" w:rsidRDefault="004E508C" w:rsidP="00B12B98">
            <w:pPr>
              <w:widowControl w:val="0"/>
              <w:spacing w:before="95" w:after="45"/>
              <w:rPr>
                <w:lang w:val="en-AU"/>
              </w:rPr>
            </w:pPr>
            <w:r w:rsidRPr="0020065C">
              <w:rPr>
                <w:lang w:val="en-AU"/>
              </w:rPr>
              <w:t>Dyspnoea</w:t>
            </w:r>
          </w:p>
        </w:tc>
        <w:tc>
          <w:tcPr>
            <w:tcW w:w="3120" w:type="dxa"/>
            <w:tcBorders>
              <w:top w:val="nil"/>
              <w:left w:val="single" w:sz="8" w:space="0" w:color="000000"/>
              <w:bottom w:val="nil"/>
              <w:right w:val="single" w:sz="8" w:space="0" w:color="000000"/>
            </w:tcBorders>
          </w:tcPr>
          <w:p w14:paraId="08D08297" w14:textId="77777777" w:rsidR="00F01F0D" w:rsidRPr="009F5BC8" w:rsidRDefault="00F01F0D" w:rsidP="00B12B98">
            <w:pPr>
              <w:widowControl w:val="0"/>
              <w:spacing w:before="95" w:after="45"/>
              <w:jc w:val="center"/>
              <w:rPr>
                <w:lang w:val="en-AU"/>
              </w:rPr>
            </w:pPr>
            <w:r w:rsidRPr="009F5BC8">
              <w:rPr>
                <w:lang w:val="en-AU"/>
              </w:rPr>
              <w:t>34 (14.5)</w:t>
            </w:r>
          </w:p>
        </w:tc>
        <w:tc>
          <w:tcPr>
            <w:tcW w:w="3120" w:type="dxa"/>
            <w:tcBorders>
              <w:top w:val="nil"/>
              <w:left w:val="single" w:sz="8" w:space="0" w:color="000000"/>
              <w:bottom w:val="nil"/>
              <w:right w:val="single" w:sz="8" w:space="0" w:color="000000"/>
            </w:tcBorders>
            <w:hideMark/>
          </w:tcPr>
          <w:p w14:paraId="422E8830" w14:textId="77777777" w:rsidR="00F01F0D" w:rsidRPr="009F5BC8" w:rsidRDefault="00F01F0D" w:rsidP="00B12B98">
            <w:pPr>
              <w:widowControl w:val="0"/>
              <w:spacing w:before="95" w:after="45"/>
              <w:jc w:val="center"/>
              <w:rPr>
                <w:lang w:val="en-AU"/>
              </w:rPr>
            </w:pPr>
            <w:r w:rsidRPr="009F5BC8">
              <w:rPr>
                <w:lang w:val="en-AU"/>
              </w:rPr>
              <w:t>4 (1.7)</w:t>
            </w:r>
          </w:p>
        </w:tc>
      </w:tr>
      <w:tr w:rsidR="00F01F0D" w:rsidRPr="009F5BC8" w14:paraId="7500B75D" w14:textId="77777777" w:rsidTr="00E546BB">
        <w:trPr>
          <w:cantSplit/>
          <w:trHeight w:val="468"/>
        </w:trPr>
        <w:tc>
          <w:tcPr>
            <w:tcW w:w="3221" w:type="dxa"/>
            <w:tcBorders>
              <w:top w:val="nil"/>
              <w:left w:val="single" w:sz="8" w:space="0" w:color="000000"/>
              <w:bottom w:val="nil"/>
              <w:right w:val="single" w:sz="8" w:space="0" w:color="000000"/>
            </w:tcBorders>
          </w:tcPr>
          <w:p w14:paraId="33542394" w14:textId="77777777" w:rsidR="00F01F0D" w:rsidRPr="0020065C" w:rsidRDefault="00F01F0D" w:rsidP="00B12B98">
            <w:pPr>
              <w:widowControl w:val="0"/>
              <w:spacing w:before="95" w:after="45"/>
              <w:rPr>
                <w:lang w:val="en-AU"/>
              </w:rPr>
            </w:pPr>
            <w:r w:rsidRPr="0020065C">
              <w:rPr>
                <w:lang w:val="en-AU"/>
              </w:rPr>
              <w:t>Epistaxis</w:t>
            </w:r>
          </w:p>
        </w:tc>
        <w:tc>
          <w:tcPr>
            <w:tcW w:w="3120" w:type="dxa"/>
            <w:tcBorders>
              <w:top w:val="nil"/>
              <w:left w:val="single" w:sz="8" w:space="0" w:color="000000"/>
              <w:bottom w:val="nil"/>
              <w:right w:val="single" w:sz="8" w:space="0" w:color="000000"/>
            </w:tcBorders>
          </w:tcPr>
          <w:p w14:paraId="3DE5BAA2" w14:textId="77777777" w:rsidR="00F01F0D" w:rsidRPr="009F5BC8" w:rsidRDefault="00F01F0D" w:rsidP="00B12B98">
            <w:pPr>
              <w:widowControl w:val="0"/>
              <w:spacing w:before="95" w:after="45"/>
              <w:jc w:val="center"/>
              <w:rPr>
                <w:lang w:val="en-AU"/>
              </w:rPr>
            </w:pPr>
            <w:r w:rsidRPr="009F5BC8">
              <w:rPr>
                <w:lang w:val="en-AU"/>
              </w:rPr>
              <w:t>33 (14.1)</w:t>
            </w:r>
          </w:p>
        </w:tc>
        <w:tc>
          <w:tcPr>
            <w:tcW w:w="3120" w:type="dxa"/>
            <w:tcBorders>
              <w:top w:val="nil"/>
              <w:left w:val="single" w:sz="8" w:space="0" w:color="000000"/>
              <w:bottom w:val="nil"/>
              <w:right w:val="single" w:sz="8" w:space="0" w:color="000000"/>
            </w:tcBorders>
          </w:tcPr>
          <w:p w14:paraId="3135B8D6" w14:textId="77777777" w:rsidR="00F01F0D" w:rsidRPr="009F5BC8" w:rsidRDefault="00F01F0D" w:rsidP="00B12B98">
            <w:pPr>
              <w:widowControl w:val="0"/>
              <w:spacing w:before="95" w:after="45"/>
              <w:jc w:val="center"/>
              <w:rPr>
                <w:lang w:val="en-AU"/>
              </w:rPr>
            </w:pPr>
            <w:r w:rsidRPr="009F5BC8">
              <w:rPr>
                <w:lang w:val="en-AU"/>
              </w:rPr>
              <w:t>0</w:t>
            </w:r>
          </w:p>
        </w:tc>
      </w:tr>
      <w:tr w:rsidR="00F01F0D" w:rsidRPr="009F5BC8" w14:paraId="5FA23716" w14:textId="77777777" w:rsidTr="00E546BB">
        <w:trPr>
          <w:cantSplit/>
          <w:trHeight w:val="468"/>
        </w:trPr>
        <w:tc>
          <w:tcPr>
            <w:tcW w:w="3221" w:type="dxa"/>
            <w:tcBorders>
              <w:top w:val="nil"/>
              <w:left w:val="single" w:sz="8" w:space="0" w:color="000000"/>
              <w:bottom w:val="nil"/>
              <w:right w:val="single" w:sz="8" w:space="0" w:color="000000"/>
            </w:tcBorders>
            <w:hideMark/>
          </w:tcPr>
          <w:p w14:paraId="378771E2" w14:textId="77777777" w:rsidR="00F01F0D" w:rsidRPr="0020065C" w:rsidRDefault="00F01F0D" w:rsidP="00B12B98">
            <w:pPr>
              <w:widowControl w:val="0"/>
              <w:spacing w:before="95" w:after="45"/>
              <w:rPr>
                <w:lang w:val="en-AU"/>
              </w:rPr>
            </w:pPr>
            <w:r w:rsidRPr="0020065C">
              <w:rPr>
                <w:lang w:val="en-AU"/>
              </w:rPr>
              <w:t xml:space="preserve">Interstitial lung </w:t>
            </w:r>
            <w:proofErr w:type="spellStart"/>
            <w:r w:rsidRPr="0020065C">
              <w:rPr>
                <w:lang w:val="en-AU"/>
              </w:rPr>
              <w:t>disease</w:t>
            </w:r>
            <w:r w:rsidRPr="0020065C">
              <w:rPr>
                <w:vertAlign w:val="superscript"/>
                <w:lang w:val="en-AU"/>
              </w:rPr>
              <w:t>k</w:t>
            </w:r>
            <w:proofErr w:type="spellEnd"/>
            <w:r w:rsidRPr="0020065C">
              <w:rPr>
                <w:lang w:val="en-AU"/>
              </w:rPr>
              <w:t xml:space="preserve"> </w:t>
            </w:r>
          </w:p>
        </w:tc>
        <w:tc>
          <w:tcPr>
            <w:tcW w:w="3120" w:type="dxa"/>
            <w:tcBorders>
              <w:top w:val="nil"/>
              <w:left w:val="single" w:sz="8" w:space="0" w:color="000000"/>
              <w:bottom w:val="nil"/>
              <w:right w:val="single" w:sz="8" w:space="0" w:color="000000"/>
            </w:tcBorders>
          </w:tcPr>
          <w:p w14:paraId="6228B1C2" w14:textId="77777777" w:rsidR="00F01F0D" w:rsidRPr="009F5BC8" w:rsidRDefault="00F01F0D" w:rsidP="00B12B98">
            <w:pPr>
              <w:widowControl w:val="0"/>
              <w:spacing w:before="95" w:after="45"/>
              <w:jc w:val="center"/>
              <w:rPr>
                <w:lang w:val="en-AU"/>
              </w:rPr>
            </w:pPr>
            <w:r w:rsidRPr="009F5BC8">
              <w:rPr>
                <w:lang w:val="en-AU"/>
              </w:rPr>
              <w:t>32 (13.7)</w:t>
            </w:r>
          </w:p>
        </w:tc>
        <w:tc>
          <w:tcPr>
            <w:tcW w:w="3120" w:type="dxa"/>
            <w:tcBorders>
              <w:top w:val="nil"/>
              <w:left w:val="single" w:sz="8" w:space="0" w:color="000000"/>
              <w:bottom w:val="nil"/>
              <w:right w:val="single" w:sz="8" w:space="0" w:color="000000"/>
            </w:tcBorders>
            <w:hideMark/>
          </w:tcPr>
          <w:p w14:paraId="4E384454" w14:textId="77777777" w:rsidR="00F01F0D" w:rsidRPr="009F5BC8" w:rsidRDefault="00F01F0D" w:rsidP="00B12B98">
            <w:pPr>
              <w:widowControl w:val="0"/>
              <w:spacing w:before="95" w:after="45"/>
              <w:jc w:val="center"/>
              <w:rPr>
                <w:lang w:val="en-AU"/>
              </w:rPr>
            </w:pPr>
            <w:r w:rsidRPr="009F5BC8">
              <w:rPr>
                <w:lang w:val="en-AU"/>
              </w:rPr>
              <w:t>1 (0.4)</w:t>
            </w:r>
          </w:p>
        </w:tc>
      </w:tr>
      <w:tr w:rsidR="00F01F0D" w:rsidRPr="009F5BC8" w14:paraId="38A2AFFD"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6D282866" w14:textId="77777777" w:rsidR="00F01F0D" w:rsidRPr="0020065C" w:rsidRDefault="00F01F0D" w:rsidP="00B12B98">
            <w:pPr>
              <w:widowControl w:val="0"/>
              <w:spacing w:before="95" w:after="45"/>
              <w:rPr>
                <w:b/>
                <w:lang w:val="en-AU"/>
              </w:rPr>
            </w:pPr>
            <w:r w:rsidRPr="0020065C">
              <w:rPr>
                <w:b/>
                <w:lang w:val="en-AU"/>
              </w:rPr>
              <w:t>Nervous System Disorders</w:t>
            </w:r>
          </w:p>
        </w:tc>
      </w:tr>
      <w:tr w:rsidR="00F01F0D" w:rsidRPr="009F5BC8" w14:paraId="5D097BF3" w14:textId="77777777" w:rsidTr="00E546BB">
        <w:trPr>
          <w:cantSplit/>
          <w:trHeight w:val="468"/>
        </w:trPr>
        <w:tc>
          <w:tcPr>
            <w:tcW w:w="3221" w:type="dxa"/>
            <w:tcBorders>
              <w:top w:val="nil"/>
              <w:left w:val="single" w:sz="8" w:space="0" w:color="000000"/>
              <w:bottom w:val="nil"/>
              <w:right w:val="single" w:sz="8" w:space="0" w:color="000000"/>
            </w:tcBorders>
            <w:hideMark/>
          </w:tcPr>
          <w:p w14:paraId="54465C25" w14:textId="77777777" w:rsidR="00F01F0D" w:rsidRPr="0020065C" w:rsidRDefault="00F01F0D" w:rsidP="00B12B98">
            <w:pPr>
              <w:widowControl w:val="0"/>
              <w:spacing w:before="95" w:after="45"/>
              <w:rPr>
                <w:lang w:val="en-AU"/>
              </w:rPr>
            </w:pPr>
            <w:proofErr w:type="spellStart"/>
            <w:r w:rsidRPr="0020065C">
              <w:rPr>
                <w:lang w:val="en-AU"/>
              </w:rPr>
              <w:t>Headache</w:t>
            </w:r>
            <w:r w:rsidRPr="0020065C">
              <w:rPr>
                <w:vertAlign w:val="superscript"/>
                <w:lang w:val="en-AU"/>
              </w:rPr>
              <w:t>l</w:t>
            </w:r>
            <w:proofErr w:type="spellEnd"/>
          </w:p>
        </w:tc>
        <w:tc>
          <w:tcPr>
            <w:tcW w:w="3120" w:type="dxa"/>
            <w:tcBorders>
              <w:top w:val="nil"/>
              <w:left w:val="single" w:sz="8" w:space="0" w:color="000000"/>
              <w:bottom w:val="nil"/>
              <w:right w:val="single" w:sz="8" w:space="0" w:color="000000"/>
            </w:tcBorders>
            <w:hideMark/>
          </w:tcPr>
          <w:p w14:paraId="2A49CC1D" w14:textId="77777777" w:rsidR="00F01F0D" w:rsidRPr="009F5BC8" w:rsidRDefault="00F01F0D" w:rsidP="00B12B98">
            <w:pPr>
              <w:widowControl w:val="0"/>
              <w:spacing w:before="95" w:after="45"/>
              <w:jc w:val="center"/>
              <w:rPr>
                <w:lang w:val="en-AU"/>
              </w:rPr>
            </w:pPr>
            <w:r w:rsidRPr="009F5BC8">
              <w:rPr>
                <w:lang w:val="en-AU"/>
              </w:rPr>
              <w:t>47 (20.1)</w:t>
            </w:r>
          </w:p>
        </w:tc>
        <w:tc>
          <w:tcPr>
            <w:tcW w:w="3120" w:type="dxa"/>
            <w:tcBorders>
              <w:top w:val="nil"/>
              <w:left w:val="single" w:sz="8" w:space="0" w:color="000000"/>
              <w:bottom w:val="nil"/>
              <w:right w:val="single" w:sz="8" w:space="0" w:color="000000"/>
            </w:tcBorders>
          </w:tcPr>
          <w:p w14:paraId="6C2831C0" w14:textId="77777777" w:rsidR="00F01F0D" w:rsidRPr="009F5BC8" w:rsidRDefault="00F01F0D" w:rsidP="00B12B98">
            <w:pPr>
              <w:widowControl w:val="0"/>
              <w:spacing w:before="95" w:after="45"/>
              <w:jc w:val="center"/>
              <w:rPr>
                <w:lang w:val="en-AU"/>
              </w:rPr>
            </w:pPr>
            <w:r w:rsidRPr="009F5BC8">
              <w:rPr>
                <w:lang w:val="en-AU"/>
              </w:rPr>
              <w:t>0</w:t>
            </w:r>
          </w:p>
        </w:tc>
      </w:tr>
      <w:tr w:rsidR="00F01F0D" w:rsidRPr="009F5BC8" w14:paraId="34E32D9F" w14:textId="77777777" w:rsidTr="00E546BB">
        <w:trPr>
          <w:cantSplit/>
          <w:trHeight w:val="468"/>
        </w:trPr>
        <w:tc>
          <w:tcPr>
            <w:tcW w:w="3221" w:type="dxa"/>
            <w:tcBorders>
              <w:top w:val="nil"/>
              <w:left w:val="single" w:sz="8" w:space="0" w:color="000000"/>
              <w:bottom w:val="nil"/>
              <w:right w:val="single" w:sz="8" w:space="0" w:color="000000"/>
            </w:tcBorders>
          </w:tcPr>
          <w:p w14:paraId="4FE4F404" w14:textId="77777777" w:rsidR="00F01F0D" w:rsidRPr="0020065C" w:rsidRDefault="00F01F0D" w:rsidP="00B12B98">
            <w:pPr>
              <w:widowControl w:val="0"/>
              <w:spacing w:before="95" w:after="45"/>
              <w:rPr>
                <w:lang w:val="en-AU"/>
              </w:rPr>
            </w:pPr>
            <w:r w:rsidRPr="0020065C">
              <w:rPr>
                <w:lang w:val="en-AU"/>
              </w:rPr>
              <w:t>Dizziness</w:t>
            </w:r>
          </w:p>
        </w:tc>
        <w:tc>
          <w:tcPr>
            <w:tcW w:w="3120" w:type="dxa"/>
            <w:tcBorders>
              <w:top w:val="nil"/>
              <w:left w:val="single" w:sz="8" w:space="0" w:color="000000"/>
              <w:bottom w:val="nil"/>
              <w:right w:val="single" w:sz="8" w:space="0" w:color="000000"/>
            </w:tcBorders>
          </w:tcPr>
          <w:p w14:paraId="1D721605" w14:textId="77777777" w:rsidR="00F01F0D" w:rsidRPr="009F5BC8" w:rsidRDefault="00F01F0D" w:rsidP="00B12B98">
            <w:pPr>
              <w:widowControl w:val="0"/>
              <w:spacing w:before="95" w:after="45"/>
              <w:jc w:val="center"/>
              <w:rPr>
                <w:lang w:val="en-AU"/>
              </w:rPr>
            </w:pPr>
            <w:r w:rsidRPr="009F5BC8">
              <w:rPr>
                <w:lang w:val="en-AU"/>
              </w:rPr>
              <w:t>25 (10.7)</w:t>
            </w:r>
          </w:p>
        </w:tc>
        <w:tc>
          <w:tcPr>
            <w:tcW w:w="3120" w:type="dxa"/>
            <w:tcBorders>
              <w:top w:val="nil"/>
              <w:left w:val="single" w:sz="8" w:space="0" w:color="000000"/>
              <w:bottom w:val="nil"/>
              <w:right w:val="single" w:sz="8" w:space="0" w:color="000000"/>
            </w:tcBorders>
          </w:tcPr>
          <w:p w14:paraId="3CC38C1E" w14:textId="77777777" w:rsidR="00F01F0D" w:rsidRPr="009F5BC8" w:rsidRDefault="00F01F0D" w:rsidP="00B12B98">
            <w:pPr>
              <w:widowControl w:val="0"/>
              <w:spacing w:before="95" w:after="45"/>
              <w:jc w:val="center"/>
              <w:rPr>
                <w:lang w:val="en-AU"/>
              </w:rPr>
            </w:pPr>
            <w:r w:rsidRPr="009F5BC8">
              <w:rPr>
                <w:lang w:val="en-AU"/>
              </w:rPr>
              <w:t>0</w:t>
            </w:r>
          </w:p>
        </w:tc>
      </w:tr>
      <w:tr w:rsidR="00F01F0D" w:rsidRPr="009F5BC8" w14:paraId="380A32A8" w14:textId="77777777" w:rsidTr="00E546BB">
        <w:trPr>
          <w:cantSplit/>
          <w:trHeight w:val="468"/>
        </w:trPr>
        <w:tc>
          <w:tcPr>
            <w:tcW w:w="9461" w:type="dxa"/>
            <w:gridSpan w:val="3"/>
            <w:tcBorders>
              <w:top w:val="nil"/>
              <w:left w:val="single" w:sz="8" w:space="0" w:color="000000"/>
              <w:bottom w:val="nil"/>
              <w:right w:val="single" w:sz="8" w:space="0" w:color="000000"/>
            </w:tcBorders>
          </w:tcPr>
          <w:p w14:paraId="0A59F49F" w14:textId="77777777" w:rsidR="00F01F0D" w:rsidRPr="0020065C" w:rsidRDefault="00F01F0D" w:rsidP="00B12B98">
            <w:pPr>
              <w:widowControl w:val="0"/>
              <w:spacing w:before="95" w:after="45"/>
              <w:rPr>
                <w:b/>
                <w:bCs/>
                <w:lang w:val="en-AU"/>
              </w:rPr>
            </w:pPr>
            <w:r w:rsidRPr="0020065C">
              <w:rPr>
                <w:b/>
                <w:bCs/>
                <w:lang w:val="en-AU"/>
              </w:rPr>
              <w:lastRenderedPageBreak/>
              <w:t>Infections and infestations</w:t>
            </w:r>
          </w:p>
        </w:tc>
      </w:tr>
      <w:tr w:rsidR="00F01F0D" w:rsidRPr="009F5BC8" w14:paraId="465A701B" w14:textId="77777777" w:rsidTr="00E546BB">
        <w:trPr>
          <w:cantSplit/>
          <w:trHeight w:val="468"/>
        </w:trPr>
        <w:tc>
          <w:tcPr>
            <w:tcW w:w="3221" w:type="dxa"/>
            <w:tcBorders>
              <w:top w:val="nil"/>
              <w:left w:val="single" w:sz="8" w:space="0" w:color="000000"/>
              <w:bottom w:val="nil"/>
              <w:right w:val="single" w:sz="8" w:space="0" w:color="000000"/>
            </w:tcBorders>
          </w:tcPr>
          <w:p w14:paraId="7A462807" w14:textId="77777777" w:rsidR="00F01F0D" w:rsidRPr="0020065C" w:rsidRDefault="00F01F0D" w:rsidP="00B12B98">
            <w:pPr>
              <w:widowControl w:val="0"/>
              <w:spacing w:before="95" w:after="45"/>
              <w:rPr>
                <w:lang w:val="en-AU"/>
              </w:rPr>
            </w:pPr>
            <w:r w:rsidRPr="0020065C">
              <w:rPr>
                <w:lang w:val="en-AU"/>
              </w:rPr>
              <w:t xml:space="preserve">Upper respiratory tract </w:t>
            </w:r>
            <w:proofErr w:type="spellStart"/>
            <w:r w:rsidRPr="0020065C">
              <w:rPr>
                <w:lang w:val="en-AU"/>
              </w:rPr>
              <w:t>infections</w:t>
            </w:r>
            <w:r w:rsidRPr="0020065C">
              <w:rPr>
                <w:vertAlign w:val="superscript"/>
                <w:lang w:val="en-AU"/>
              </w:rPr>
              <w:t>k</w:t>
            </w:r>
            <w:proofErr w:type="spellEnd"/>
          </w:p>
        </w:tc>
        <w:tc>
          <w:tcPr>
            <w:tcW w:w="3120" w:type="dxa"/>
            <w:tcBorders>
              <w:top w:val="nil"/>
              <w:left w:val="single" w:sz="8" w:space="0" w:color="000000"/>
              <w:bottom w:val="nil"/>
              <w:right w:val="single" w:sz="8" w:space="0" w:color="000000"/>
            </w:tcBorders>
          </w:tcPr>
          <w:p w14:paraId="707A7BF1" w14:textId="77777777" w:rsidR="00F01F0D" w:rsidRPr="009F5BC8" w:rsidRDefault="00F01F0D" w:rsidP="00B12B98">
            <w:pPr>
              <w:widowControl w:val="0"/>
              <w:spacing w:before="95" w:after="45"/>
              <w:jc w:val="center"/>
              <w:rPr>
                <w:lang w:val="en-AU"/>
              </w:rPr>
            </w:pPr>
            <w:r w:rsidRPr="009F5BC8">
              <w:rPr>
                <w:lang w:val="en-AU"/>
              </w:rPr>
              <w:t>43 (18.4)</w:t>
            </w:r>
          </w:p>
        </w:tc>
        <w:tc>
          <w:tcPr>
            <w:tcW w:w="3120" w:type="dxa"/>
            <w:tcBorders>
              <w:top w:val="nil"/>
              <w:left w:val="single" w:sz="8" w:space="0" w:color="000000"/>
              <w:bottom w:val="nil"/>
              <w:right w:val="single" w:sz="8" w:space="0" w:color="000000"/>
            </w:tcBorders>
          </w:tcPr>
          <w:p w14:paraId="25F1BFDE" w14:textId="77777777" w:rsidR="00F01F0D" w:rsidRPr="009F5BC8" w:rsidRDefault="00F01F0D" w:rsidP="00B12B98">
            <w:pPr>
              <w:widowControl w:val="0"/>
              <w:spacing w:before="95" w:after="45"/>
              <w:jc w:val="center"/>
              <w:rPr>
                <w:lang w:val="en-AU"/>
              </w:rPr>
            </w:pPr>
            <w:r w:rsidRPr="009F5BC8">
              <w:rPr>
                <w:lang w:val="en-AU"/>
              </w:rPr>
              <w:t>15 (6.4)</w:t>
            </w:r>
          </w:p>
        </w:tc>
      </w:tr>
      <w:tr w:rsidR="00F01F0D" w:rsidRPr="009F5BC8" w14:paraId="01F08A63" w14:textId="77777777" w:rsidTr="00E546BB">
        <w:trPr>
          <w:cantSplit/>
          <w:trHeight w:val="468"/>
        </w:trPr>
        <w:tc>
          <w:tcPr>
            <w:tcW w:w="9461" w:type="dxa"/>
            <w:gridSpan w:val="3"/>
            <w:tcBorders>
              <w:top w:val="nil"/>
              <w:left w:val="single" w:sz="8" w:space="0" w:color="000000"/>
              <w:bottom w:val="nil"/>
              <w:right w:val="single" w:sz="8" w:space="0" w:color="000000"/>
            </w:tcBorders>
            <w:hideMark/>
          </w:tcPr>
          <w:p w14:paraId="168B8817" w14:textId="77777777" w:rsidR="00F01F0D" w:rsidRPr="009F5BC8" w:rsidRDefault="00F01F0D" w:rsidP="00B12B98">
            <w:pPr>
              <w:widowControl w:val="0"/>
              <w:spacing w:before="95" w:after="45"/>
              <w:rPr>
                <w:b/>
                <w:lang w:val="en-AU"/>
              </w:rPr>
            </w:pPr>
            <w:r w:rsidRPr="009F5BC8">
              <w:rPr>
                <w:b/>
                <w:lang w:val="en-AU"/>
              </w:rPr>
              <w:t>Investigations</w:t>
            </w:r>
          </w:p>
        </w:tc>
      </w:tr>
      <w:tr w:rsidR="00F01F0D" w:rsidRPr="009F5BC8" w14:paraId="6E7435F0" w14:textId="77777777" w:rsidTr="00E546BB">
        <w:trPr>
          <w:cantSplit/>
          <w:trHeight w:val="468"/>
        </w:trPr>
        <w:tc>
          <w:tcPr>
            <w:tcW w:w="3221" w:type="dxa"/>
            <w:tcBorders>
              <w:top w:val="nil"/>
              <w:left w:val="single" w:sz="8" w:space="0" w:color="000000"/>
              <w:bottom w:val="nil"/>
              <w:right w:val="single" w:sz="8" w:space="0" w:color="000000"/>
            </w:tcBorders>
            <w:hideMark/>
          </w:tcPr>
          <w:p w14:paraId="03F9BC01" w14:textId="77777777" w:rsidR="00F01F0D" w:rsidRPr="0020065C" w:rsidRDefault="00F01F0D" w:rsidP="00B12B98">
            <w:pPr>
              <w:widowControl w:val="0"/>
              <w:spacing w:before="95" w:after="45"/>
              <w:rPr>
                <w:lang w:val="en-AU"/>
              </w:rPr>
            </w:pPr>
            <w:r w:rsidRPr="0020065C">
              <w:rPr>
                <w:lang w:val="en-AU"/>
              </w:rPr>
              <w:t>Aspartate aminotransferase increased</w:t>
            </w:r>
          </w:p>
        </w:tc>
        <w:tc>
          <w:tcPr>
            <w:tcW w:w="3120" w:type="dxa"/>
            <w:tcBorders>
              <w:top w:val="nil"/>
              <w:left w:val="single" w:sz="8" w:space="0" w:color="000000"/>
              <w:bottom w:val="nil"/>
              <w:right w:val="single" w:sz="8" w:space="0" w:color="000000"/>
            </w:tcBorders>
          </w:tcPr>
          <w:p w14:paraId="1EAE2325" w14:textId="77777777" w:rsidR="00F01F0D" w:rsidRPr="009F5BC8" w:rsidRDefault="00F01F0D" w:rsidP="00B12B98">
            <w:pPr>
              <w:widowControl w:val="0"/>
              <w:spacing w:before="95" w:after="45"/>
              <w:jc w:val="center"/>
              <w:rPr>
                <w:lang w:val="en-AU"/>
              </w:rPr>
            </w:pPr>
            <w:r w:rsidRPr="009F5BC8">
              <w:rPr>
                <w:lang w:val="en-AU"/>
              </w:rPr>
              <w:t>35 (15.0)</w:t>
            </w:r>
          </w:p>
        </w:tc>
        <w:tc>
          <w:tcPr>
            <w:tcW w:w="3120" w:type="dxa"/>
            <w:tcBorders>
              <w:top w:val="nil"/>
              <w:left w:val="single" w:sz="8" w:space="0" w:color="000000"/>
              <w:bottom w:val="nil"/>
              <w:right w:val="single" w:sz="8" w:space="0" w:color="000000"/>
            </w:tcBorders>
            <w:hideMark/>
          </w:tcPr>
          <w:p w14:paraId="1987166E" w14:textId="77777777" w:rsidR="00F01F0D" w:rsidRPr="009F5BC8" w:rsidRDefault="00F01F0D" w:rsidP="00B12B98">
            <w:pPr>
              <w:widowControl w:val="0"/>
              <w:spacing w:before="95" w:after="45"/>
              <w:jc w:val="center"/>
              <w:rPr>
                <w:lang w:val="en-AU"/>
              </w:rPr>
            </w:pPr>
            <w:r w:rsidRPr="009F5BC8">
              <w:rPr>
                <w:lang w:val="en-AU"/>
              </w:rPr>
              <w:t>2 (0.9)</w:t>
            </w:r>
          </w:p>
        </w:tc>
      </w:tr>
      <w:tr w:rsidR="00F01F0D" w:rsidRPr="009F5BC8" w14:paraId="18EB0856" w14:textId="77777777" w:rsidTr="00E546BB">
        <w:trPr>
          <w:cantSplit/>
          <w:trHeight w:val="468"/>
        </w:trPr>
        <w:tc>
          <w:tcPr>
            <w:tcW w:w="3221" w:type="dxa"/>
            <w:tcBorders>
              <w:top w:val="nil"/>
              <w:left w:val="single" w:sz="8" w:space="0" w:color="000000"/>
              <w:bottom w:val="nil"/>
              <w:right w:val="single" w:sz="8" w:space="0" w:color="000000"/>
            </w:tcBorders>
          </w:tcPr>
          <w:p w14:paraId="7B4634AD" w14:textId="77777777" w:rsidR="00F01F0D" w:rsidRPr="0020065C" w:rsidRDefault="00F01F0D" w:rsidP="00B12B98">
            <w:pPr>
              <w:widowControl w:val="0"/>
              <w:spacing w:before="95" w:after="45"/>
              <w:rPr>
                <w:lang w:val="en-AU"/>
              </w:rPr>
            </w:pPr>
            <w:r w:rsidRPr="0020065C">
              <w:rPr>
                <w:lang w:val="en-AU"/>
              </w:rPr>
              <w:t>Alanine aminotransferase increased</w:t>
            </w:r>
          </w:p>
        </w:tc>
        <w:tc>
          <w:tcPr>
            <w:tcW w:w="3120" w:type="dxa"/>
            <w:tcBorders>
              <w:top w:val="nil"/>
              <w:left w:val="single" w:sz="8" w:space="0" w:color="000000"/>
              <w:bottom w:val="nil"/>
              <w:right w:val="single" w:sz="8" w:space="0" w:color="000000"/>
            </w:tcBorders>
          </w:tcPr>
          <w:p w14:paraId="4F5FDC70" w14:textId="77777777" w:rsidR="00F01F0D" w:rsidRPr="009F5BC8" w:rsidRDefault="00F01F0D" w:rsidP="00B12B98">
            <w:pPr>
              <w:widowControl w:val="0"/>
              <w:spacing w:before="95" w:after="45"/>
              <w:jc w:val="center"/>
              <w:rPr>
                <w:lang w:val="en-AU"/>
              </w:rPr>
            </w:pPr>
            <w:r w:rsidRPr="009F5BC8">
              <w:rPr>
                <w:lang w:val="en-AU"/>
              </w:rPr>
              <w:t>25 (10.7)</w:t>
            </w:r>
          </w:p>
        </w:tc>
        <w:tc>
          <w:tcPr>
            <w:tcW w:w="3120" w:type="dxa"/>
            <w:tcBorders>
              <w:top w:val="nil"/>
              <w:left w:val="single" w:sz="8" w:space="0" w:color="000000"/>
              <w:bottom w:val="nil"/>
              <w:right w:val="single" w:sz="8" w:space="0" w:color="000000"/>
            </w:tcBorders>
          </w:tcPr>
          <w:p w14:paraId="2B989DD0" w14:textId="77777777" w:rsidR="00F01F0D" w:rsidRPr="009F5BC8" w:rsidRDefault="00F01F0D" w:rsidP="00B12B98">
            <w:pPr>
              <w:widowControl w:val="0"/>
              <w:spacing w:before="95" w:after="45"/>
              <w:jc w:val="center"/>
              <w:rPr>
                <w:highlight w:val="yellow"/>
                <w:lang w:val="en-AU"/>
              </w:rPr>
            </w:pPr>
            <w:r w:rsidRPr="009F5BC8">
              <w:rPr>
                <w:lang w:val="en-AU"/>
              </w:rPr>
              <w:t>3 (1.3)</w:t>
            </w:r>
          </w:p>
        </w:tc>
      </w:tr>
      <w:tr w:rsidR="00F01F0D" w:rsidRPr="009F5BC8" w14:paraId="4D96659A" w14:textId="77777777" w:rsidTr="00E546BB">
        <w:trPr>
          <w:cantSplit/>
          <w:trHeight w:val="468"/>
        </w:trPr>
        <w:tc>
          <w:tcPr>
            <w:tcW w:w="9461" w:type="dxa"/>
            <w:gridSpan w:val="3"/>
            <w:tcBorders>
              <w:top w:val="nil"/>
              <w:left w:val="single" w:sz="8" w:space="0" w:color="000000"/>
              <w:bottom w:val="nil"/>
              <w:right w:val="single" w:sz="8" w:space="0" w:color="000000"/>
            </w:tcBorders>
          </w:tcPr>
          <w:p w14:paraId="0BAB8192" w14:textId="77777777" w:rsidR="00F01F0D" w:rsidRPr="0020065C" w:rsidRDefault="00F01F0D" w:rsidP="00B12B98">
            <w:pPr>
              <w:widowControl w:val="0"/>
              <w:spacing w:before="95" w:after="45"/>
              <w:rPr>
                <w:lang w:val="en-AU"/>
              </w:rPr>
            </w:pPr>
            <w:r w:rsidRPr="0020065C">
              <w:rPr>
                <w:b/>
                <w:bCs/>
                <w:lang w:val="en-AU"/>
              </w:rPr>
              <w:t>Eye disorders</w:t>
            </w:r>
          </w:p>
        </w:tc>
      </w:tr>
      <w:tr w:rsidR="00F01F0D" w:rsidRPr="009F5BC8" w14:paraId="346D53CB" w14:textId="77777777" w:rsidTr="00E546BB">
        <w:trPr>
          <w:cantSplit/>
          <w:trHeight w:val="468"/>
        </w:trPr>
        <w:tc>
          <w:tcPr>
            <w:tcW w:w="3221" w:type="dxa"/>
            <w:tcBorders>
              <w:top w:val="nil"/>
              <w:left w:val="single" w:sz="8" w:space="0" w:color="000000"/>
              <w:bottom w:val="nil"/>
              <w:right w:val="single" w:sz="8" w:space="0" w:color="000000"/>
            </w:tcBorders>
          </w:tcPr>
          <w:p w14:paraId="1DC49B31" w14:textId="77777777" w:rsidR="00F01F0D" w:rsidRPr="0020065C" w:rsidRDefault="00F01F0D" w:rsidP="00B12B98">
            <w:pPr>
              <w:widowControl w:val="0"/>
              <w:spacing w:before="95" w:after="45"/>
              <w:rPr>
                <w:lang w:val="en-AU"/>
              </w:rPr>
            </w:pPr>
            <w:r w:rsidRPr="0020065C">
              <w:rPr>
                <w:lang w:val="en-AU"/>
              </w:rPr>
              <w:t>Dry eye</w:t>
            </w:r>
          </w:p>
        </w:tc>
        <w:tc>
          <w:tcPr>
            <w:tcW w:w="3120" w:type="dxa"/>
            <w:tcBorders>
              <w:top w:val="nil"/>
              <w:left w:val="single" w:sz="8" w:space="0" w:color="000000"/>
              <w:bottom w:val="nil"/>
              <w:right w:val="single" w:sz="8" w:space="0" w:color="000000"/>
            </w:tcBorders>
          </w:tcPr>
          <w:p w14:paraId="1A825CE7" w14:textId="77777777" w:rsidR="00F01F0D" w:rsidRPr="009F5BC8" w:rsidRDefault="00F01F0D" w:rsidP="00B12B98">
            <w:pPr>
              <w:widowControl w:val="0"/>
              <w:spacing w:before="95" w:after="45"/>
              <w:jc w:val="center"/>
              <w:rPr>
                <w:lang w:val="en-AU"/>
              </w:rPr>
            </w:pPr>
            <w:r w:rsidRPr="009F5BC8">
              <w:rPr>
                <w:lang w:val="en-AU"/>
              </w:rPr>
              <w:t>27 (11.5)</w:t>
            </w:r>
          </w:p>
        </w:tc>
        <w:tc>
          <w:tcPr>
            <w:tcW w:w="3120" w:type="dxa"/>
            <w:tcBorders>
              <w:top w:val="nil"/>
              <w:left w:val="single" w:sz="8" w:space="0" w:color="000000"/>
              <w:bottom w:val="nil"/>
              <w:right w:val="single" w:sz="8" w:space="0" w:color="000000"/>
            </w:tcBorders>
          </w:tcPr>
          <w:p w14:paraId="1632C2F1" w14:textId="77777777" w:rsidR="00F01F0D" w:rsidRPr="009F5BC8" w:rsidRDefault="00F01F0D" w:rsidP="00B12B98">
            <w:pPr>
              <w:widowControl w:val="0"/>
              <w:spacing w:before="95" w:after="45"/>
              <w:jc w:val="center"/>
              <w:rPr>
                <w:lang w:val="en-AU"/>
              </w:rPr>
            </w:pPr>
            <w:r w:rsidRPr="009F5BC8">
              <w:rPr>
                <w:lang w:val="en-AU"/>
              </w:rPr>
              <w:t>1 (0.4)</w:t>
            </w:r>
          </w:p>
        </w:tc>
      </w:tr>
    </w:tbl>
    <w:p w14:paraId="61346E15" w14:textId="77777777" w:rsidR="00F01F0D" w:rsidRPr="009F5BC8" w:rsidRDefault="00F01F0D" w:rsidP="00E546BB">
      <w:pPr>
        <w:pStyle w:val="TableFootnoteInfo"/>
        <w:rPr>
          <w:lang w:val="en-AU"/>
        </w:rPr>
      </w:pPr>
      <w:r w:rsidRPr="009F5BC8">
        <w:rPr>
          <w:lang w:val="en-AU"/>
        </w:rPr>
        <w:t>N=number of patients exposed; MedDRA = Medical Dictionary for Regulatory Activities; PT = preferred term.</w:t>
      </w:r>
    </w:p>
    <w:p w14:paraId="33700594" w14:textId="77777777" w:rsidR="00F01F0D" w:rsidRPr="009F5BC8" w:rsidRDefault="00F01F0D" w:rsidP="00E546BB">
      <w:pPr>
        <w:pStyle w:val="TableFootnoteInfo"/>
        <w:rPr>
          <w:lang w:val="en-AU"/>
        </w:rPr>
      </w:pPr>
      <w:r w:rsidRPr="009F5BC8">
        <w:rPr>
          <w:vertAlign w:val="superscript"/>
          <w:lang w:val="en-AU"/>
        </w:rPr>
        <w:t>a</w:t>
      </w:r>
      <w:r w:rsidRPr="009F5BC8">
        <w:rPr>
          <w:lang w:val="en-AU"/>
        </w:rPr>
        <w:t xml:space="preserve"> Based on MedDRA version 20.1</w:t>
      </w:r>
    </w:p>
    <w:p w14:paraId="6B92D275" w14:textId="77777777" w:rsidR="00F01F0D" w:rsidRPr="009F5BC8" w:rsidRDefault="00F01F0D" w:rsidP="00E546BB">
      <w:pPr>
        <w:pStyle w:val="TableFootnoteInfo"/>
        <w:rPr>
          <w:lang w:val="en-AU"/>
        </w:rPr>
      </w:pPr>
      <w:r w:rsidRPr="009F5BC8">
        <w:rPr>
          <w:vertAlign w:val="superscript"/>
          <w:lang w:val="en-AU"/>
        </w:rPr>
        <w:t xml:space="preserve">b </w:t>
      </w:r>
      <w:r w:rsidRPr="009F5BC8">
        <w:rPr>
          <w:lang w:val="en-AU"/>
        </w:rPr>
        <w:t>Grouped term of abdominal pain includes PTs of abdominal discomfort, gastrointestinal pain, abdominal pain, abdominal pain lower, and abdominal pain upper.</w:t>
      </w:r>
    </w:p>
    <w:p w14:paraId="7AA0CE95" w14:textId="77777777" w:rsidR="00F01F0D" w:rsidRPr="009F5BC8" w:rsidRDefault="00F01F0D" w:rsidP="00E546BB">
      <w:pPr>
        <w:pStyle w:val="TableFootnoteInfo"/>
        <w:rPr>
          <w:lang w:val="en-AU"/>
        </w:rPr>
      </w:pPr>
      <w:r w:rsidRPr="009F5BC8">
        <w:rPr>
          <w:vertAlign w:val="superscript"/>
          <w:lang w:val="en-AU"/>
        </w:rPr>
        <w:t>c</w:t>
      </w:r>
      <w:r w:rsidRPr="009F5BC8">
        <w:rPr>
          <w:lang w:val="en-AU"/>
        </w:rPr>
        <w:t xml:space="preserve"> Grouped term of stomatitis includes PTs of stomatitis, aphthous ulcer, mouth ulceration, oral mucosa erosion, and oral mucosal blistering.</w:t>
      </w:r>
    </w:p>
    <w:p w14:paraId="0622228B" w14:textId="77777777" w:rsidR="00F01F0D" w:rsidRPr="009F5BC8" w:rsidRDefault="00F01F0D" w:rsidP="00E546BB">
      <w:pPr>
        <w:pStyle w:val="TableFootnoteInfo"/>
        <w:rPr>
          <w:lang w:val="en-AU"/>
        </w:rPr>
      </w:pPr>
      <w:r w:rsidRPr="009F5BC8">
        <w:rPr>
          <w:vertAlign w:val="superscript"/>
          <w:lang w:val="en-AU"/>
        </w:rPr>
        <w:t>d</w:t>
      </w:r>
      <w:r w:rsidRPr="009F5BC8">
        <w:rPr>
          <w:lang w:val="en-AU"/>
        </w:rPr>
        <w:t xml:space="preserve"> Grouped term of fatigue includes PTs of fatigue and asthenia.</w:t>
      </w:r>
    </w:p>
    <w:p w14:paraId="6693DE13" w14:textId="77777777" w:rsidR="00F01F0D" w:rsidRPr="009F5BC8" w:rsidRDefault="00F01F0D" w:rsidP="00E546BB">
      <w:pPr>
        <w:pStyle w:val="TableFootnoteInfo"/>
        <w:rPr>
          <w:lang w:val="en-AU"/>
        </w:rPr>
      </w:pPr>
      <w:r w:rsidRPr="009F5BC8">
        <w:rPr>
          <w:vertAlign w:val="superscript"/>
          <w:lang w:val="en-AU"/>
        </w:rPr>
        <w:t>e</w:t>
      </w:r>
      <w:r w:rsidRPr="009F5BC8">
        <w:rPr>
          <w:lang w:val="en-AU"/>
        </w:rPr>
        <w:t xml:space="preserve"> Grouped term of rash includes PTs of rash, rash pustular, and rash maculo-papular.</w:t>
      </w:r>
    </w:p>
    <w:p w14:paraId="51BB65DA" w14:textId="18C8C61D" w:rsidR="00F01F0D" w:rsidRPr="009F5BC8" w:rsidRDefault="00F01F0D" w:rsidP="00E546BB">
      <w:pPr>
        <w:pStyle w:val="TableFootnoteInfo"/>
        <w:rPr>
          <w:lang w:val="en-AU"/>
        </w:rPr>
      </w:pPr>
      <w:r w:rsidRPr="009F5BC8">
        <w:rPr>
          <w:vertAlign w:val="superscript"/>
          <w:lang w:val="en-AU"/>
        </w:rPr>
        <w:t xml:space="preserve">f </w:t>
      </w:r>
      <w:r w:rsidRPr="009F5BC8">
        <w:rPr>
          <w:lang w:val="en-AU"/>
        </w:rPr>
        <w:t xml:space="preserve">Grouped term of </w:t>
      </w:r>
      <w:r w:rsidR="004E508C" w:rsidRPr="009F5BC8">
        <w:rPr>
          <w:lang w:val="en-AU"/>
        </w:rPr>
        <w:t>anaemia</w:t>
      </w:r>
      <w:r w:rsidRPr="009F5BC8">
        <w:rPr>
          <w:lang w:val="en-AU"/>
        </w:rPr>
        <w:t xml:space="preserve"> includes PTs of </w:t>
      </w:r>
      <w:r w:rsidR="004E508C" w:rsidRPr="009F5BC8">
        <w:rPr>
          <w:lang w:val="en-AU"/>
        </w:rPr>
        <w:t>anaemia</w:t>
      </w:r>
      <w:r w:rsidRPr="009F5BC8">
        <w:rPr>
          <w:lang w:val="en-AU"/>
        </w:rPr>
        <w:t xml:space="preserve">, </w:t>
      </w:r>
      <w:r w:rsidR="004E508C" w:rsidRPr="009F5BC8">
        <w:rPr>
          <w:lang w:val="en-AU"/>
        </w:rPr>
        <w:t>haemoglobin</w:t>
      </w:r>
      <w:r w:rsidRPr="009F5BC8">
        <w:rPr>
          <w:lang w:val="en-AU"/>
        </w:rPr>
        <w:t xml:space="preserve"> decreased, red blood cell count</w:t>
      </w:r>
    </w:p>
    <w:p w14:paraId="1D3F4C11" w14:textId="6964FE21" w:rsidR="00F01F0D" w:rsidRPr="00540B74" w:rsidRDefault="00F01F0D" w:rsidP="00E546BB">
      <w:pPr>
        <w:pStyle w:val="TableFootnoteInfo"/>
        <w:rPr>
          <w:lang w:val="en-AU"/>
        </w:rPr>
      </w:pPr>
      <w:r w:rsidRPr="009F5BC8">
        <w:rPr>
          <w:lang w:val="en-AU"/>
        </w:rPr>
        <w:t xml:space="preserve">decreased, and </w:t>
      </w:r>
      <w:r w:rsidR="004E508C" w:rsidRPr="00540B74">
        <w:rPr>
          <w:lang w:val="en-AU"/>
        </w:rPr>
        <w:t>haematocrit</w:t>
      </w:r>
      <w:r w:rsidRPr="00540B74">
        <w:rPr>
          <w:lang w:val="en-AU"/>
        </w:rPr>
        <w:t xml:space="preserve"> decreased.</w:t>
      </w:r>
    </w:p>
    <w:p w14:paraId="2055E2EC" w14:textId="77777777" w:rsidR="00F01F0D" w:rsidRPr="00540B74" w:rsidRDefault="00F01F0D" w:rsidP="00E546BB">
      <w:pPr>
        <w:pStyle w:val="TableFootnoteInfo"/>
        <w:rPr>
          <w:lang w:val="en-AU"/>
        </w:rPr>
      </w:pPr>
      <w:r w:rsidRPr="00540B74">
        <w:rPr>
          <w:vertAlign w:val="superscript"/>
          <w:lang w:val="en-AU"/>
        </w:rPr>
        <w:t>g</w:t>
      </w:r>
      <w:r w:rsidRPr="00540B74">
        <w:rPr>
          <w:lang w:val="en-AU"/>
        </w:rPr>
        <w:t xml:space="preserve"> Grouped term of neutropenia includes PTs of neutropenia and neutrophil count decreased.</w:t>
      </w:r>
    </w:p>
    <w:p w14:paraId="19EF3ACC" w14:textId="288DB79F" w:rsidR="00F01F0D" w:rsidRPr="00540B74" w:rsidRDefault="00F01F0D" w:rsidP="00E546BB">
      <w:pPr>
        <w:pStyle w:val="TableFootnoteInfo"/>
        <w:rPr>
          <w:lang w:val="en-AU"/>
        </w:rPr>
      </w:pPr>
      <w:r w:rsidRPr="00540B74">
        <w:rPr>
          <w:vertAlign w:val="superscript"/>
          <w:lang w:val="en-AU"/>
        </w:rPr>
        <w:t>h</w:t>
      </w:r>
      <w:r w:rsidRPr="00540B74">
        <w:rPr>
          <w:lang w:val="en-AU"/>
        </w:rPr>
        <w:t xml:space="preserve"> Grouped term of thrombocytop</w:t>
      </w:r>
      <w:r w:rsidR="000C527D" w:rsidRPr="00540B74">
        <w:rPr>
          <w:lang w:val="en-AU"/>
        </w:rPr>
        <w:t>a</w:t>
      </w:r>
      <w:r w:rsidRPr="00540B74">
        <w:rPr>
          <w:lang w:val="en-AU"/>
        </w:rPr>
        <w:t>enia includes PTs of thrombocytop</w:t>
      </w:r>
      <w:r w:rsidR="000C527D" w:rsidRPr="00540B74">
        <w:rPr>
          <w:lang w:val="en-AU"/>
        </w:rPr>
        <w:t>a</w:t>
      </w:r>
      <w:r w:rsidRPr="00540B74">
        <w:rPr>
          <w:lang w:val="en-AU"/>
        </w:rPr>
        <w:t>enia and platelet count decreased.</w:t>
      </w:r>
    </w:p>
    <w:p w14:paraId="09AF6D65" w14:textId="77777777" w:rsidR="00F01F0D" w:rsidRPr="00540B74" w:rsidRDefault="00F01F0D" w:rsidP="00E546BB">
      <w:pPr>
        <w:pStyle w:val="TableFootnoteInfo"/>
        <w:rPr>
          <w:lang w:val="en-AU"/>
        </w:rPr>
      </w:pPr>
      <w:r w:rsidRPr="00540B74">
        <w:rPr>
          <w:vertAlign w:val="superscript"/>
          <w:lang w:val="en-AU"/>
        </w:rPr>
        <w:t>i</w:t>
      </w:r>
      <w:r w:rsidRPr="00540B74">
        <w:rPr>
          <w:lang w:val="en-AU"/>
        </w:rPr>
        <w:t xml:space="preserve"> Grouped term of leukopenia includes PTs of leukopenia and white blood cell count decreased.</w:t>
      </w:r>
    </w:p>
    <w:p w14:paraId="2A046188" w14:textId="77777777" w:rsidR="00F01F0D" w:rsidRPr="00540B74" w:rsidRDefault="00F01F0D" w:rsidP="00E546BB">
      <w:pPr>
        <w:pStyle w:val="TableFootnoteInfo"/>
        <w:rPr>
          <w:lang w:val="en-AU"/>
        </w:rPr>
      </w:pPr>
      <w:r w:rsidRPr="00540B74">
        <w:rPr>
          <w:vertAlign w:val="superscript"/>
          <w:lang w:val="en-AU"/>
        </w:rPr>
        <w:t xml:space="preserve">j </w:t>
      </w:r>
      <w:r w:rsidRPr="00540B74">
        <w:rPr>
          <w:lang w:val="en-AU"/>
        </w:rPr>
        <w:t>Grouped term of lymphopenia includes PTs of lymphopenia and lymphocyte count decreased.</w:t>
      </w:r>
    </w:p>
    <w:p w14:paraId="051E6DD6" w14:textId="77777777" w:rsidR="00F01F0D" w:rsidRPr="004E508C" w:rsidRDefault="00F01F0D" w:rsidP="00E546BB">
      <w:pPr>
        <w:pStyle w:val="TableFootnoteInfo"/>
        <w:rPr>
          <w:lang w:val="en-AU"/>
        </w:rPr>
      </w:pPr>
      <w:r w:rsidRPr="00540B74">
        <w:rPr>
          <w:vertAlign w:val="superscript"/>
          <w:lang w:val="en-AU"/>
        </w:rPr>
        <w:t>k</w:t>
      </w:r>
      <w:r w:rsidRPr="00540B74">
        <w:rPr>
          <w:lang w:val="en-AU"/>
        </w:rPr>
        <w:t xml:space="preserve"> Interstitial lung disease includes events that were adjudicated as ILD: pneumonitis, interstitial</w:t>
      </w:r>
    </w:p>
    <w:p w14:paraId="7B684C88" w14:textId="77777777" w:rsidR="00F01F0D" w:rsidRPr="004E508C" w:rsidRDefault="00F01F0D" w:rsidP="00E546BB">
      <w:pPr>
        <w:pStyle w:val="TableFootnoteInfo"/>
        <w:rPr>
          <w:lang w:val="en-AU"/>
        </w:rPr>
      </w:pPr>
      <w:r w:rsidRPr="004E508C">
        <w:rPr>
          <w:lang w:val="en-AU"/>
        </w:rPr>
        <w:t>lung disease, respiratory failure, organizing pneumonia, acute respiratory failure, lung</w:t>
      </w:r>
    </w:p>
    <w:p w14:paraId="6B4CFA89" w14:textId="77777777" w:rsidR="00F01F0D" w:rsidRPr="004E508C" w:rsidRDefault="00F01F0D" w:rsidP="00E546BB">
      <w:pPr>
        <w:pStyle w:val="TableFootnoteInfo"/>
        <w:rPr>
          <w:lang w:val="en-AU"/>
        </w:rPr>
      </w:pPr>
      <w:r w:rsidRPr="004E508C">
        <w:rPr>
          <w:lang w:val="en-AU"/>
        </w:rPr>
        <w:t>infiltration, lymphangitis, and alveolitis.</w:t>
      </w:r>
    </w:p>
    <w:p w14:paraId="033440CD" w14:textId="77777777" w:rsidR="00F01F0D" w:rsidRPr="004E508C" w:rsidRDefault="00F01F0D" w:rsidP="00E546BB">
      <w:pPr>
        <w:pStyle w:val="TableFootnoteInfo"/>
        <w:rPr>
          <w:lang w:val="en-AU"/>
        </w:rPr>
      </w:pPr>
      <w:r w:rsidRPr="004E508C">
        <w:rPr>
          <w:vertAlign w:val="superscript"/>
          <w:lang w:val="en-AU"/>
        </w:rPr>
        <w:t>l</w:t>
      </w:r>
      <w:r w:rsidRPr="004E508C">
        <w:rPr>
          <w:lang w:val="en-AU"/>
        </w:rPr>
        <w:t xml:space="preserve"> Grouped term of headache includes PTs of headache, sinus headache, and migraine.</w:t>
      </w:r>
    </w:p>
    <w:p w14:paraId="06A6A2A9" w14:textId="78549EBA" w:rsidR="00F01F0D" w:rsidRDefault="00F01F0D" w:rsidP="00E546BB">
      <w:pPr>
        <w:pStyle w:val="TableFootnoteInfo"/>
        <w:rPr>
          <w:lang w:val="en-AU"/>
        </w:rPr>
      </w:pPr>
      <w:r w:rsidRPr="004E508C">
        <w:rPr>
          <w:vertAlign w:val="superscript"/>
          <w:lang w:val="en-AU"/>
        </w:rPr>
        <w:t>k.</w:t>
      </w:r>
      <w:r w:rsidRPr="004E508C">
        <w:rPr>
          <w:lang w:val="en-AU"/>
        </w:rPr>
        <w:t xml:space="preserve"> Upper respiratory tract infection (grouped term) includes PTs of upper respiratory tract infection, influenza, and influenza-like illness.</w:t>
      </w:r>
    </w:p>
    <w:p w14:paraId="615A49D1" w14:textId="5FCEC7B1" w:rsidR="00E50E2E" w:rsidRDefault="00E50E2E" w:rsidP="00E546BB">
      <w:pPr>
        <w:pStyle w:val="TableFootnoteInfo"/>
        <w:rPr>
          <w:lang w:val="en-AU"/>
        </w:rPr>
      </w:pPr>
    </w:p>
    <w:p w14:paraId="1ACFB94E" w14:textId="1D1BEBFF" w:rsidR="00E50E2E" w:rsidRPr="00E50E2E" w:rsidRDefault="00E50E2E" w:rsidP="00E546BB">
      <w:pPr>
        <w:pStyle w:val="TableFootnoteInfo"/>
        <w:rPr>
          <w:sz w:val="24"/>
          <w:szCs w:val="24"/>
        </w:rPr>
      </w:pPr>
      <w:r w:rsidRPr="00E50E2E">
        <w:rPr>
          <w:sz w:val="24"/>
          <w:szCs w:val="24"/>
        </w:rPr>
        <w:t>Other clinical</w:t>
      </w:r>
      <w:r w:rsidR="00457591">
        <w:rPr>
          <w:sz w:val="24"/>
          <w:szCs w:val="24"/>
        </w:rPr>
        <w:t>ly</w:t>
      </w:r>
      <w:r w:rsidRPr="00E50E2E">
        <w:rPr>
          <w:sz w:val="24"/>
          <w:szCs w:val="24"/>
        </w:rPr>
        <w:t xml:space="preserve"> relevant adverse reactions reported in less than 10% of patients were:</w:t>
      </w:r>
    </w:p>
    <w:p w14:paraId="4D82F6C6" w14:textId="0D7FB86B" w:rsidR="00E50E2E" w:rsidRPr="00E50E2E" w:rsidRDefault="00E50E2E" w:rsidP="00E50E2E">
      <w:pPr>
        <w:pStyle w:val="TableFootnoteInfo"/>
        <w:numPr>
          <w:ilvl w:val="0"/>
          <w:numId w:val="30"/>
        </w:numPr>
        <w:rPr>
          <w:sz w:val="24"/>
          <w:szCs w:val="24"/>
          <w:lang w:val="en-AU"/>
        </w:rPr>
      </w:pPr>
      <w:r w:rsidRPr="00E50E2E">
        <w:rPr>
          <w:sz w:val="24"/>
          <w:szCs w:val="24"/>
          <w:lang w:val="en-AU"/>
        </w:rPr>
        <w:t>Injury, Poisoning and Procedural Complications: infusion-related reactions (2.6%)</w:t>
      </w:r>
    </w:p>
    <w:p w14:paraId="4BE94E4B" w14:textId="53C04CF8" w:rsidR="00E50E2E" w:rsidRPr="00E50E2E" w:rsidRDefault="00E50E2E" w:rsidP="00E50E2E">
      <w:pPr>
        <w:pStyle w:val="TableFootnoteInfo"/>
        <w:numPr>
          <w:ilvl w:val="0"/>
          <w:numId w:val="30"/>
        </w:numPr>
        <w:rPr>
          <w:sz w:val="24"/>
          <w:szCs w:val="24"/>
          <w:lang w:val="en-AU"/>
        </w:rPr>
      </w:pPr>
      <w:r w:rsidRPr="00E50E2E">
        <w:rPr>
          <w:sz w:val="24"/>
          <w:szCs w:val="24"/>
          <w:lang w:val="en-AU"/>
        </w:rPr>
        <w:t xml:space="preserve">Blood and </w:t>
      </w:r>
      <w:r w:rsidR="000F29F3">
        <w:rPr>
          <w:sz w:val="24"/>
          <w:szCs w:val="24"/>
          <w:lang w:val="en-AU"/>
        </w:rPr>
        <w:t>L</w:t>
      </w:r>
      <w:r w:rsidRPr="00E50E2E">
        <w:rPr>
          <w:sz w:val="24"/>
          <w:szCs w:val="24"/>
          <w:lang w:val="en-AU"/>
        </w:rPr>
        <w:t>ymphatic System Disorders: febrile neutropenia (1.7%)</w:t>
      </w:r>
    </w:p>
    <w:p w14:paraId="0A4909CD" w14:textId="23A35B51" w:rsidR="00816405" w:rsidRPr="004E508C" w:rsidRDefault="00816405" w:rsidP="00816405">
      <w:pPr>
        <w:pStyle w:val="ListBullet"/>
        <w:numPr>
          <w:ilvl w:val="0"/>
          <w:numId w:val="0"/>
        </w:numPr>
        <w:ind w:left="425" w:hanging="425"/>
        <w:rPr>
          <w:iCs/>
          <w:color w:val="00B0F0"/>
          <w:lang w:val="en-AU"/>
        </w:rPr>
      </w:pPr>
    </w:p>
    <w:p w14:paraId="1FA986BA" w14:textId="0089F3E3" w:rsidR="00676CF2" w:rsidRPr="004E508C" w:rsidRDefault="00676CF2" w:rsidP="00676CF2">
      <w:pPr>
        <w:pStyle w:val="Caption"/>
        <w:tabs>
          <w:tab w:val="clear" w:pos="1701"/>
        </w:tabs>
        <w:ind w:left="993" w:hanging="993"/>
        <w:rPr>
          <w:lang w:val="en-AU"/>
        </w:rPr>
      </w:pPr>
      <w:bookmarkStart w:id="31" w:name="_Ref49799590"/>
      <w:r w:rsidRPr="004E508C">
        <w:rPr>
          <w:lang w:val="en-AU"/>
        </w:rPr>
        <w:lastRenderedPageBreak/>
        <w:t xml:space="preserve">Table </w:t>
      </w:r>
      <w:r w:rsidRPr="004E508C">
        <w:rPr>
          <w:lang w:val="en-AU"/>
        </w:rPr>
        <w:fldChar w:fldCharType="begin"/>
      </w:r>
      <w:r w:rsidRPr="004E508C">
        <w:rPr>
          <w:lang w:val="en-AU"/>
        </w:rPr>
        <w:instrText xml:space="preserve"> SEQ Table \* ARABIC </w:instrText>
      </w:r>
      <w:r w:rsidRPr="004E508C">
        <w:rPr>
          <w:lang w:val="en-AU"/>
        </w:rPr>
        <w:fldChar w:fldCharType="separate"/>
      </w:r>
      <w:r w:rsidR="00E832C6" w:rsidRPr="004E508C">
        <w:rPr>
          <w:noProof/>
          <w:lang w:val="en-AU"/>
        </w:rPr>
        <w:t>4</w:t>
      </w:r>
      <w:r w:rsidRPr="004E508C">
        <w:rPr>
          <w:lang w:val="en-AU"/>
        </w:rPr>
        <w:fldChar w:fldCharType="end"/>
      </w:r>
      <w:bookmarkEnd w:id="31"/>
      <w:r w:rsidRPr="004E508C">
        <w:rPr>
          <w:lang w:val="en-AU"/>
        </w:rPr>
        <w:t>: Selected Laboratory Abnormalities in Patients in DESTINY-Breast01 and DS8201-A-J101 Trials</w:t>
      </w:r>
    </w:p>
    <w:tbl>
      <w:tblPr>
        <w:tblW w:w="9461" w:type="dxa"/>
        <w:tblInd w:w="-10" w:type="dxa"/>
        <w:tblLayout w:type="fixed"/>
        <w:tblCellMar>
          <w:left w:w="101" w:type="dxa"/>
          <w:right w:w="101" w:type="dxa"/>
        </w:tblCellMar>
        <w:tblLook w:val="04A0" w:firstRow="1" w:lastRow="0" w:firstColumn="1" w:lastColumn="0" w:noHBand="0" w:noVBand="1"/>
      </w:tblPr>
      <w:tblGrid>
        <w:gridCol w:w="3221"/>
        <w:gridCol w:w="3120"/>
        <w:gridCol w:w="3120"/>
      </w:tblGrid>
      <w:tr w:rsidR="00676CF2" w:rsidRPr="004E508C" w14:paraId="74F6B538" w14:textId="77777777" w:rsidTr="00676CF2">
        <w:trPr>
          <w:cantSplit/>
        </w:trPr>
        <w:tc>
          <w:tcPr>
            <w:tcW w:w="3221" w:type="dxa"/>
            <w:vMerge w:val="restart"/>
            <w:tcBorders>
              <w:top w:val="single" w:sz="8" w:space="0" w:color="000000"/>
              <w:left w:val="single" w:sz="8" w:space="0" w:color="000000"/>
              <w:bottom w:val="single" w:sz="8" w:space="0" w:color="000000"/>
              <w:right w:val="single" w:sz="8" w:space="0" w:color="000000"/>
            </w:tcBorders>
            <w:hideMark/>
          </w:tcPr>
          <w:p w14:paraId="45A25461" w14:textId="77777777" w:rsidR="00676CF2" w:rsidRPr="004E508C" w:rsidRDefault="00676CF2" w:rsidP="00676CF2">
            <w:pPr>
              <w:pStyle w:val="TableHead"/>
              <w:rPr>
                <w:lang w:val="en-AU"/>
              </w:rPr>
            </w:pPr>
            <w:r w:rsidRPr="004E508C">
              <w:rPr>
                <w:lang w:val="en-AU"/>
              </w:rPr>
              <w:t xml:space="preserve">Laboratory </w:t>
            </w:r>
            <w:proofErr w:type="spellStart"/>
            <w:r w:rsidRPr="004E508C">
              <w:rPr>
                <w:lang w:val="en-AU"/>
              </w:rPr>
              <w:t>Abnormalities</w:t>
            </w:r>
            <w:r w:rsidRPr="004E508C">
              <w:rPr>
                <w:vertAlign w:val="superscript"/>
                <w:lang w:val="en-AU"/>
              </w:rPr>
              <w:t>a</w:t>
            </w:r>
            <w:proofErr w:type="spellEnd"/>
          </w:p>
        </w:tc>
        <w:tc>
          <w:tcPr>
            <w:tcW w:w="6240" w:type="dxa"/>
            <w:gridSpan w:val="2"/>
            <w:tcBorders>
              <w:top w:val="single" w:sz="8" w:space="0" w:color="000000"/>
              <w:left w:val="single" w:sz="8" w:space="0" w:color="000000"/>
              <w:bottom w:val="single" w:sz="8" w:space="0" w:color="000000"/>
              <w:right w:val="single" w:sz="8" w:space="0" w:color="000000"/>
            </w:tcBorders>
            <w:vAlign w:val="center"/>
            <w:hideMark/>
          </w:tcPr>
          <w:p w14:paraId="7F8BD9A9" w14:textId="77777777" w:rsidR="00676CF2" w:rsidRPr="004E508C" w:rsidRDefault="00676CF2" w:rsidP="00676CF2">
            <w:pPr>
              <w:pStyle w:val="TableHead"/>
              <w:rPr>
                <w:lang w:val="en-AU"/>
              </w:rPr>
            </w:pPr>
            <w:r w:rsidRPr="004E508C">
              <w:rPr>
                <w:lang w:val="en-AU"/>
              </w:rPr>
              <w:t>ENHERTU 5.4 mg/kg</w:t>
            </w:r>
          </w:p>
          <w:p w14:paraId="332A3317" w14:textId="77777777" w:rsidR="00676CF2" w:rsidRPr="004E508C" w:rsidRDefault="00676CF2" w:rsidP="00676CF2">
            <w:pPr>
              <w:pStyle w:val="TableHead"/>
              <w:rPr>
                <w:lang w:val="en-AU"/>
              </w:rPr>
            </w:pPr>
            <w:r w:rsidRPr="004E508C">
              <w:rPr>
                <w:lang w:val="en-AU"/>
              </w:rPr>
              <w:t>N=234</w:t>
            </w:r>
          </w:p>
        </w:tc>
      </w:tr>
      <w:tr w:rsidR="00676CF2" w:rsidRPr="004E508C" w14:paraId="7155B915" w14:textId="77777777" w:rsidTr="00676CF2">
        <w:trPr>
          <w:cantSplit/>
        </w:trPr>
        <w:tc>
          <w:tcPr>
            <w:tcW w:w="3221" w:type="dxa"/>
            <w:vMerge/>
            <w:tcBorders>
              <w:top w:val="single" w:sz="8" w:space="0" w:color="000000"/>
              <w:left w:val="single" w:sz="8" w:space="0" w:color="000000"/>
              <w:bottom w:val="single" w:sz="8" w:space="0" w:color="000000"/>
              <w:right w:val="single" w:sz="8" w:space="0" w:color="000000"/>
            </w:tcBorders>
            <w:vAlign w:val="center"/>
            <w:hideMark/>
          </w:tcPr>
          <w:p w14:paraId="37932A91" w14:textId="77777777" w:rsidR="00676CF2" w:rsidRPr="004E508C" w:rsidRDefault="00676CF2" w:rsidP="00676CF2">
            <w:pPr>
              <w:pStyle w:val="TableHead"/>
              <w:rPr>
                <w:lang w:val="en-AU"/>
              </w:rPr>
            </w:pPr>
          </w:p>
        </w:tc>
        <w:tc>
          <w:tcPr>
            <w:tcW w:w="3120" w:type="dxa"/>
            <w:tcBorders>
              <w:top w:val="single" w:sz="8" w:space="0" w:color="000000"/>
              <w:left w:val="single" w:sz="8" w:space="0" w:color="000000"/>
              <w:bottom w:val="single" w:sz="8" w:space="0" w:color="000000"/>
              <w:right w:val="single" w:sz="8" w:space="0" w:color="000000"/>
            </w:tcBorders>
            <w:vAlign w:val="center"/>
            <w:hideMark/>
          </w:tcPr>
          <w:p w14:paraId="23D4D505" w14:textId="77777777" w:rsidR="00676CF2" w:rsidRPr="004E508C" w:rsidRDefault="00676CF2" w:rsidP="00676CF2">
            <w:pPr>
              <w:pStyle w:val="TableHead"/>
              <w:rPr>
                <w:lang w:val="en-AU"/>
              </w:rPr>
            </w:pPr>
            <w:r w:rsidRPr="004E508C">
              <w:rPr>
                <w:lang w:val="en-AU"/>
              </w:rPr>
              <w:t>All Grades</w:t>
            </w:r>
          </w:p>
          <w:p w14:paraId="36FCDA36" w14:textId="77777777" w:rsidR="00676CF2" w:rsidRPr="004E508C" w:rsidRDefault="00676CF2" w:rsidP="00676CF2">
            <w:pPr>
              <w:pStyle w:val="TableHead"/>
              <w:rPr>
                <w:lang w:val="en-AU"/>
              </w:rPr>
            </w:pPr>
            <w:r w:rsidRPr="004E508C">
              <w:rPr>
                <w:lang w:val="en-AU"/>
              </w:rPr>
              <w:t>%</w:t>
            </w:r>
          </w:p>
        </w:tc>
        <w:tc>
          <w:tcPr>
            <w:tcW w:w="3120" w:type="dxa"/>
            <w:tcBorders>
              <w:top w:val="single" w:sz="8" w:space="0" w:color="000000"/>
              <w:left w:val="single" w:sz="8" w:space="0" w:color="000000"/>
              <w:bottom w:val="single" w:sz="8" w:space="0" w:color="000000"/>
              <w:right w:val="single" w:sz="8" w:space="0" w:color="000000"/>
            </w:tcBorders>
            <w:vAlign w:val="center"/>
            <w:hideMark/>
          </w:tcPr>
          <w:p w14:paraId="1D4C28B4" w14:textId="77777777" w:rsidR="00676CF2" w:rsidRPr="004E508C" w:rsidRDefault="00676CF2" w:rsidP="00676CF2">
            <w:pPr>
              <w:pStyle w:val="TableHead"/>
              <w:rPr>
                <w:lang w:val="en-AU"/>
              </w:rPr>
            </w:pPr>
            <w:r w:rsidRPr="004E508C">
              <w:rPr>
                <w:lang w:val="en-AU"/>
              </w:rPr>
              <w:t>Grades 3 or 4</w:t>
            </w:r>
          </w:p>
          <w:p w14:paraId="0DC24820" w14:textId="77777777" w:rsidR="00676CF2" w:rsidRPr="004E508C" w:rsidRDefault="00676CF2" w:rsidP="00676CF2">
            <w:pPr>
              <w:pStyle w:val="TableHead"/>
              <w:rPr>
                <w:lang w:val="en-AU"/>
              </w:rPr>
            </w:pPr>
            <w:r w:rsidRPr="004E508C">
              <w:rPr>
                <w:lang w:val="en-AU"/>
              </w:rPr>
              <w:t>%</w:t>
            </w:r>
          </w:p>
        </w:tc>
      </w:tr>
      <w:tr w:rsidR="00676CF2" w:rsidRPr="004E508C" w14:paraId="1EDC3833" w14:textId="77777777" w:rsidTr="00676CF2">
        <w:trPr>
          <w:cantSplit/>
        </w:trPr>
        <w:tc>
          <w:tcPr>
            <w:tcW w:w="9461" w:type="dxa"/>
            <w:gridSpan w:val="3"/>
            <w:tcBorders>
              <w:top w:val="nil"/>
              <w:left w:val="single" w:sz="8" w:space="0" w:color="000000"/>
              <w:bottom w:val="nil"/>
              <w:right w:val="single" w:sz="8" w:space="0" w:color="000000"/>
            </w:tcBorders>
            <w:hideMark/>
          </w:tcPr>
          <w:p w14:paraId="00AA4315" w14:textId="62762FA6" w:rsidR="00676CF2" w:rsidRPr="004E508C" w:rsidRDefault="004E508C" w:rsidP="00B12B98">
            <w:pPr>
              <w:widowControl w:val="0"/>
              <w:spacing w:before="95" w:after="45"/>
              <w:rPr>
                <w:lang w:val="en-AU"/>
              </w:rPr>
            </w:pPr>
            <w:r w:rsidRPr="004E508C">
              <w:rPr>
                <w:b/>
                <w:lang w:val="en-AU"/>
              </w:rPr>
              <w:t>Haematology</w:t>
            </w:r>
          </w:p>
        </w:tc>
      </w:tr>
      <w:tr w:rsidR="00676CF2" w:rsidRPr="004E508C" w14:paraId="6D65D74F" w14:textId="77777777" w:rsidTr="00676CF2">
        <w:trPr>
          <w:cantSplit/>
        </w:trPr>
        <w:tc>
          <w:tcPr>
            <w:tcW w:w="3221" w:type="dxa"/>
            <w:tcBorders>
              <w:top w:val="nil"/>
              <w:left w:val="single" w:sz="8" w:space="0" w:color="000000"/>
              <w:bottom w:val="nil"/>
              <w:right w:val="single" w:sz="8" w:space="0" w:color="000000"/>
            </w:tcBorders>
            <w:hideMark/>
          </w:tcPr>
          <w:p w14:paraId="0164BF85" w14:textId="77777777" w:rsidR="00676CF2" w:rsidRPr="004E508C" w:rsidRDefault="00676CF2" w:rsidP="00B12B98">
            <w:pPr>
              <w:widowControl w:val="0"/>
              <w:spacing w:before="95" w:after="45"/>
              <w:rPr>
                <w:lang w:val="en-AU"/>
              </w:rPr>
            </w:pPr>
            <w:r w:rsidRPr="004E508C">
              <w:rPr>
                <w:lang w:val="en-AU"/>
              </w:rPr>
              <w:t>White blood cell count decreased</w:t>
            </w:r>
          </w:p>
        </w:tc>
        <w:tc>
          <w:tcPr>
            <w:tcW w:w="3120" w:type="dxa"/>
            <w:tcBorders>
              <w:top w:val="nil"/>
              <w:left w:val="single" w:sz="8" w:space="0" w:color="000000"/>
              <w:bottom w:val="nil"/>
              <w:right w:val="single" w:sz="8" w:space="0" w:color="000000"/>
            </w:tcBorders>
          </w:tcPr>
          <w:p w14:paraId="1113F8C5" w14:textId="77777777" w:rsidR="00676CF2" w:rsidRPr="004E508C" w:rsidRDefault="00676CF2" w:rsidP="00B12B98">
            <w:pPr>
              <w:widowControl w:val="0"/>
              <w:spacing w:before="95" w:after="45"/>
              <w:jc w:val="center"/>
              <w:rPr>
                <w:lang w:val="en-AU"/>
              </w:rPr>
            </w:pPr>
            <w:r w:rsidRPr="004E508C">
              <w:rPr>
                <w:lang w:val="en-AU"/>
              </w:rPr>
              <w:t>168 (72.4)</w:t>
            </w:r>
          </w:p>
        </w:tc>
        <w:tc>
          <w:tcPr>
            <w:tcW w:w="3120" w:type="dxa"/>
            <w:tcBorders>
              <w:top w:val="nil"/>
              <w:left w:val="single" w:sz="8" w:space="0" w:color="000000"/>
              <w:bottom w:val="nil"/>
              <w:right w:val="single" w:sz="8" w:space="0" w:color="000000"/>
            </w:tcBorders>
          </w:tcPr>
          <w:p w14:paraId="463B562D" w14:textId="77777777" w:rsidR="00676CF2" w:rsidRPr="004E508C" w:rsidRDefault="00676CF2" w:rsidP="00B12B98">
            <w:pPr>
              <w:widowControl w:val="0"/>
              <w:spacing w:before="95" w:after="45"/>
              <w:jc w:val="center"/>
              <w:rPr>
                <w:lang w:val="en-AU"/>
              </w:rPr>
            </w:pPr>
            <w:r w:rsidRPr="004E508C">
              <w:rPr>
                <w:lang w:val="en-AU"/>
              </w:rPr>
              <w:t>20 (8.6)</w:t>
            </w:r>
          </w:p>
        </w:tc>
      </w:tr>
      <w:tr w:rsidR="00676CF2" w:rsidRPr="004E508C" w14:paraId="195B642F" w14:textId="77777777" w:rsidTr="00676CF2">
        <w:trPr>
          <w:cantSplit/>
          <w:trHeight w:val="468"/>
        </w:trPr>
        <w:tc>
          <w:tcPr>
            <w:tcW w:w="3221" w:type="dxa"/>
            <w:tcBorders>
              <w:top w:val="nil"/>
              <w:left w:val="single" w:sz="8" w:space="0" w:color="000000"/>
              <w:bottom w:val="nil"/>
              <w:right w:val="single" w:sz="8" w:space="0" w:color="000000"/>
            </w:tcBorders>
            <w:hideMark/>
          </w:tcPr>
          <w:p w14:paraId="7701DF2B" w14:textId="6B0ED037" w:rsidR="00676CF2" w:rsidRPr="004E508C" w:rsidRDefault="004603FA" w:rsidP="00B12B98">
            <w:pPr>
              <w:widowControl w:val="0"/>
              <w:spacing w:before="95" w:after="45"/>
              <w:rPr>
                <w:lang w:val="en-AU"/>
              </w:rPr>
            </w:pPr>
            <w:r w:rsidRPr="004E508C">
              <w:rPr>
                <w:lang w:val="en-AU"/>
              </w:rPr>
              <w:t>Anaemia</w:t>
            </w:r>
          </w:p>
        </w:tc>
        <w:tc>
          <w:tcPr>
            <w:tcW w:w="3120" w:type="dxa"/>
            <w:tcBorders>
              <w:top w:val="nil"/>
              <w:left w:val="single" w:sz="8" w:space="0" w:color="000000"/>
              <w:bottom w:val="nil"/>
              <w:right w:val="single" w:sz="8" w:space="0" w:color="000000"/>
            </w:tcBorders>
          </w:tcPr>
          <w:p w14:paraId="1DDB5D00" w14:textId="77777777" w:rsidR="00676CF2" w:rsidRPr="004E508C" w:rsidRDefault="00676CF2" w:rsidP="00B12B98">
            <w:pPr>
              <w:widowControl w:val="0"/>
              <w:spacing w:before="95" w:after="45"/>
              <w:jc w:val="center"/>
              <w:rPr>
                <w:lang w:val="en-AU"/>
              </w:rPr>
            </w:pPr>
            <w:r w:rsidRPr="004E508C">
              <w:rPr>
                <w:lang w:val="en-AU"/>
              </w:rPr>
              <w:t>166 (71.6)</w:t>
            </w:r>
          </w:p>
        </w:tc>
        <w:tc>
          <w:tcPr>
            <w:tcW w:w="3120" w:type="dxa"/>
            <w:tcBorders>
              <w:top w:val="nil"/>
              <w:left w:val="single" w:sz="8" w:space="0" w:color="000000"/>
              <w:bottom w:val="nil"/>
              <w:right w:val="single" w:sz="8" w:space="0" w:color="000000"/>
            </w:tcBorders>
          </w:tcPr>
          <w:p w14:paraId="038B7D87" w14:textId="77777777" w:rsidR="00676CF2" w:rsidRPr="004E508C" w:rsidRDefault="00676CF2" w:rsidP="00B12B98">
            <w:pPr>
              <w:widowControl w:val="0"/>
              <w:spacing w:before="95" w:after="45"/>
              <w:jc w:val="center"/>
              <w:rPr>
                <w:lang w:val="en-AU"/>
              </w:rPr>
            </w:pPr>
            <w:r w:rsidRPr="004E508C">
              <w:rPr>
                <w:lang w:val="en-AU"/>
              </w:rPr>
              <w:t>19 (8.2)</w:t>
            </w:r>
          </w:p>
        </w:tc>
      </w:tr>
      <w:tr w:rsidR="00676CF2" w:rsidRPr="004E508C" w14:paraId="1F6B72A4" w14:textId="77777777" w:rsidTr="00676CF2">
        <w:trPr>
          <w:cantSplit/>
          <w:trHeight w:val="468"/>
        </w:trPr>
        <w:tc>
          <w:tcPr>
            <w:tcW w:w="3221" w:type="dxa"/>
            <w:tcBorders>
              <w:top w:val="nil"/>
              <w:left w:val="single" w:sz="8" w:space="0" w:color="000000"/>
              <w:bottom w:val="nil"/>
              <w:right w:val="single" w:sz="8" w:space="0" w:color="000000"/>
            </w:tcBorders>
            <w:hideMark/>
          </w:tcPr>
          <w:p w14:paraId="621F2521" w14:textId="77777777" w:rsidR="00676CF2" w:rsidRPr="004E508C" w:rsidRDefault="00676CF2" w:rsidP="00B12B98">
            <w:pPr>
              <w:widowControl w:val="0"/>
              <w:spacing w:before="95" w:after="45"/>
              <w:rPr>
                <w:lang w:val="en-AU"/>
              </w:rPr>
            </w:pPr>
            <w:r w:rsidRPr="004E508C">
              <w:rPr>
                <w:lang w:val="en-AU"/>
              </w:rPr>
              <w:t>Neutrophil count decreased</w:t>
            </w:r>
          </w:p>
        </w:tc>
        <w:tc>
          <w:tcPr>
            <w:tcW w:w="3120" w:type="dxa"/>
            <w:tcBorders>
              <w:top w:val="nil"/>
              <w:left w:val="single" w:sz="8" w:space="0" w:color="000000"/>
              <w:bottom w:val="nil"/>
              <w:right w:val="single" w:sz="8" w:space="0" w:color="000000"/>
            </w:tcBorders>
          </w:tcPr>
          <w:p w14:paraId="5FE05CD2" w14:textId="77777777" w:rsidR="00676CF2" w:rsidRPr="004E508C" w:rsidRDefault="00676CF2" w:rsidP="00B12B98">
            <w:pPr>
              <w:widowControl w:val="0"/>
              <w:spacing w:before="95" w:after="45"/>
              <w:jc w:val="center"/>
              <w:rPr>
                <w:lang w:val="en-AU"/>
              </w:rPr>
            </w:pPr>
            <w:r w:rsidRPr="004E508C">
              <w:rPr>
                <w:lang w:val="en-AU"/>
              </w:rPr>
              <w:t>150 (64.9)</w:t>
            </w:r>
          </w:p>
        </w:tc>
        <w:tc>
          <w:tcPr>
            <w:tcW w:w="3120" w:type="dxa"/>
            <w:tcBorders>
              <w:top w:val="nil"/>
              <w:left w:val="single" w:sz="8" w:space="0" w:color="000000"/>
              <w:bottom w:val="nil"/>
              <w:right w:val="single" w:sz="8" w:space="0" w:color="000000"/>
            </w:tcBorders>
          </w:tcPr>
          <w:p w14:paraId="3D55CB77" w14:textId="77777777" w:rsidR="00676CF2" w:rsidRPr="004E508C" w:rsidRDefault="00676CF2" w:rsidP="00B12B98">
            <w:pPr>
              <w:widowControl w:val="0"/>
              <w:spacing w:before="95" w:after="45"/>
              <w:jc w:val="center"/>
              <w:rPr>
                <w:lang w:val="en-AU"/>
              </w:rPr>
            </w:pPr>
            <w:r w:rsidRPr="004E508C">
              <w:rPr>
                <w:lang w:val="en-AU"/>
              </w:rPr>
              <w:t>41 (17.7)</w:t>
            </w:r>
          </w:p>
        </w:tc>
      </w:tr>
      <w:tr w:rsidR="00676CF2" w:rsidRPr="004E508C" w14:paraId="0FEB7AA5" w14:textId="77777777" w:rsidTr="00676CF2">
        <w:trPr>
          <w:cantSplit/>
          <w:trHeight w:val="468"/>
        </w:trPr>
        <w:tc>
          <w:tcPr>
            <w:tcW w:w="3221" w:type="dxa"/>
            <w:tcBorders>
              <w:top w:val="nil"/>
              <w:left w:val="single" w:sz="8" w:space="0" w:color="000000"/>
              <w:bottom w:val="nil"/>
              <w:right w:val="single" w:sz="8" w:space="0" w:color="000000"/>
            </w:tcBorders>
            <w:hideMark/>
          </w:tcPr>
          <w:p w14:paraId="7819D252" w14:textId="77777777" w:rsidR="00676CF2" w:rsidRPr="004E508C" w:rsidRDefault="00676CF2" w:rsidP="00B12B98">
            <w:pPr>
              <w:widowControl w:val="0"/>
              <w:spacing w:before="95" w:after="45"/>
              <w:rPr>
                <w:lang w:val="en-AU"/>
              </w:rPr>
            </w:pPr>
            <w:r w:rsidRPr="004E508C">
              <w:rPr>
                <w:lang w:val="en-AU"/>
              </w:rPr>
              <w:t>Platelet count decreased</w:t>
            </w:r>
          </w:p>
        </w:tc>
        <w:tc>
          <w:tcPr>
            <w:tcW w:w="3120" w:type="dxa"/>
            <w:tcBorders>
              <w:top w:val="nil"/>
              <w:left w:val="single" w:sz="8" w:space="0" w:color="000000"/>
              <w:bottom w:val="nil"/>
              <w:right w:val="single" w:sz="8" w:space="0" w:color="000000"/>
            </w:tcBorders>
          </w:tcPr>
          <w:p w14:paraId="11A67E57" w14:textId="77777777" w:rsidR="00676CF2" w:rsidRPr="004E508C" w:rsidRDefault="00676CF2" w:rsidP="00B12B98">
            <w:pPr>
              <w:widowControl w:val="0"/>
              <w:spacing w:before="95" w:after="45"/>
              <w:jc w:val="center"/>
              <w:rPr>
                <w:lang w:val="en-AU"/>
              </w:rPr>
            </w:pPr>
            <w:r w:rsidRPr="004E508C">
              <w:rPr>
                <w:lang w:val="en-AU"/>
              </w:rPr>
              <w:t>99 (42.9)</w:t>
            </w:r>
          </w:p>
        </w:tc>
        <w:tc>
          <w:tcPr>
            <w:tcW w:w="3120" w:type="dxa"/>
            <w:tcBorders>
              <w:top w:val="nil"/>
              <w:left w:val="single" w:sz="8" w:space="0" w:color="000000"/>
              <w:bottom w:val="nil"/>
              <w:right w:val="single" w:sz="8" w:space="0" w:color="000000"/>
            </w:tcBorders>
          </w:tcPr>
          <w:p w14:paraId="3B498E79" w14:textId="77777777" w:rsidR="00676CF2" w:rsidRPr="004E508C" w:rsidRDefault="00676CF2" w:rsidP="00B12B98">
            <w:pPr>
              <w:widowControl w:val="0"/>
              <w:spacing w:before="95" w:after="45"/>
              <w:jc w:val="center"/>
              <w:rPr>
                <w:lang w:val="en-AU"/>
              </w:rPr>
            </w:pPr>
            <w:r w:rsidRPr="004E508C">
              <w:rPr>
                <w:lang w:val="en-AU"/>
              </w:rPr>
              <w:t>9 (3.9)</w:t>
            </w:r>
          </w:p>
        </w:tc>
      </w:tr>
      <w:tr w:rsidR="00676CF2" w:rsidRPr="004E508C" w14:paraId="68A3D1D4" w14:textId="77777777" w:rsidTr="00676CF2">
        <w:trPr>
          <w:cantSplit/>
          <w:trHeight w:val="468"/>
        </w:trPr>
        <w:tc>
          <w:tcPr>
            <w:tcW w:w="9461" w:type="dxa"/>
            <w:gridSpan w:val="3"/>
            <w:tcBorders>
              <w:top w:val="nil"/>
              <w:left w:val="single" w:sz="8" w:space="0" w:color="000000"/>
              <w:bottom w:val="nil"/>
              <w:right w:val="single" w:sz="8" w:space="0" w:color="000000"/>
            </w:tcBorders>
            <w:hideMark/>
          </w:tcPr>
          <w:p w14:paraId="57CCD8BE" w14:textId="77777777" w:rsidR="00676CF2" w:rsidRPr="004E508C" w:rsidRDefault="00676CF2" w:rsidP="00B12B98">
            <w:pPr>
              <w:widowControl w:val="0"/>
              <w:spacing w:before="95" w:after="45"/>
              <w:rPr>
                <w:b/>
                <w:lang w:val="en-AU"/>
              </w:rPr>
            </w:pPr>
            <w:r w:rsidRPr="004E508C">
              <w:rPr>
                <w:b/>
                <w:lang w:val="en-AU"/>
              </w:rPr>
              <w:t>Chemistry</w:t>
            </w:r>
          </w:p>
        </w:tc>
      </w:tr>
      <w:tr w:rsidR="00676CF2" w:rsidRPr="004E508C" w14:paraId="5F3FD52E" w14:textId="77777777" w:rsidTr="00676CF2">
        <w:trPr>
          <w:cantSplit/>
          <w:trHeight w:val="468"/>
        </w:trPr>
        <w:tc>
          <w:tcPr>
            <w:tcW w:w="3221" w:type="dxa"/>
            <w:tcBorders>
              <w:top w:val="nil"/>
              <w:left w:val="single" w:sz="8" w:space="0" w:color="000000"/>
              <w:bottom w:val="nil"/>
              <w:right w:val="single" w:sz="8" w:space="0" w:color="000000"/>
            </w:tcBorders>
            <w:hideMark/>
          </w:tcPr>
          <w:p w14:paraId="6FB5A5ED" w14:textId="77777777" w:rsidR="00676CF2" w:rsidRPr="004E508C" w:rsidRDefault="00676CF2" w:rsidP="00B12B98">
            <w:pPr>
              <w:widowControl w:val="0"/>
              <w:spacing w:before="95" w:after="45"/>
              <w:rPr>
                <w:lang w:val="en-AU"/>
              </w:rPr>
            </w:pPr>
            <w:r w:rsidRPr="004E508C">
              <w:rPr>
                <w:lang w:val="en-AU"/>
              </w:rPr>
              <w:t>Aspartate aminotransferase increased</w:t>
            </w:r>
          </w:p>
        </w:tc>
        <w:tc>
          <w:tcPr>
            <w:tcW w:w="3120" w:type="dxa"/>
            <w:tcBorders>
              <w:top w:val="nil"/>
              <w:left w:val="single" w:sz="8" w:space="0" w:color="000000"/>
              <w:bottom w:val="nil"/>
              <w:right w:val="single" w:sz="8" w:space="0" w:color="000000"/>
            </w:tcBorders>
          </w:tcPr>
          <w:p w14:paraId="26AB753A" w14:textId="77777777" w:rsidR="00676CF2" w:rsidRPr="004E508C" w:rsidRDefault="00676CF2" w:rsidP="00B12B98">
            <w:pPr>
              <w:widowControl w:val="0"/>
              <w:spacing w:before="95" w:after="45"/>
              <w:jc w:val="center"/>
              <w:rPr>
                <w:lang w:val="en-AU"/>
              </w:rPr>
            </w:pPr>
            <w:r w:rsidRPr="004E508C">
              <w:rPr>
                <w:lang w:val="en-AU"/>
              </w:rPr>
              <w:t>103 (44.4)</w:t>
            </w:r>
          </w:p>
        </w:tc>
        <w:tc>
          <w:tcPr>
            <w:tcW w:w="3120" w:type="dxa"/>
            <w:tcBorders>
              <w:top w:val="nil"/>
              <w:left w:val="single" w:sz="8" w:space="0" w:color="000000"/>
              <w:bottom w:val="nil"/>
              <w:right w:val="single" w:sz="8" w:space="0" w:color="000000"/>
            </w:tcBorders>
          </w:tcPr>
          <w:p w14:paraId="1ABCFCED" w14:textId="77777777" w:rsidR="00676CF2" w:rsidRPr="004E508C" w:rsidRDefault="00676CF2" w:rsidP="00B12B98">
            <w:pPr>
              <w:widowControl w:val="0"/>
              <w:spacing w:before="95" w:after="45"/>
              <w:jc w:val="center"/>
              <w:rPr>
                <w:lang w:val="en-AU"/>
              </w:rPr>
            </w:pPr>
            <w:r w:rsidRPr="004E508C">
              <w:rPr>
                <w:lang w:val="en-AU"/>
              </w:rPr>
              <w:t>2 (0.9)</w:t>
            </w:r>
          </w:p>
        </w:tc>
      </w:tr>
      <w:tr w:rsidR="00676CF2" w:rsidRPr="004E508C" w14:paraId="2498D26D" w14:textId="77777777" w:rsidTr="00676CF2">
        <w:trPr>
          <w:cantSplit/>
          <w:trHeight w:val="468"/>
        </w:trPr>
        <w:tc>
          <w:tcPr>
            <w:tcW w:w="3221" w:type="dxa"/>
            <w:tcBorders>
              <w:top w:val="nil"/>
              <w:left w:val="single" w:sz="8" w:space="0" w:color="000000"/>
              <w:bottom w:val="nil"/>
              <w:right w:val="single" w:sz="8" w:space="0" w:color="000000"/>
            </w:tcBorders>
            <w:hideMark/>
          </w:tcPr>
          <w:p w14:paraId="2EE231AF" w14:textId="77777777" w:rsidR="00676CF2" w:rsidRPr="004E508C" w:rsidRDefault="00676CF2" w:rsidP="00B12B98">
            <w:pPr>
              <w:widowControl w:val="0"/>
              <w:spacing w:before="95" w:after="45"/>
              <w:rPr>
                <w:lang w:val="en-AU"/>
              </w:rPr>
            </w:pPr>
            <w:r w:rsidRPr="004E508C">
              <w:rPr>
                <w:lang w:val="en-AU"/>
              </w:rPr>
              <w:t>Alanine aminotransferase increased</w:t>
            </w:r>
          </w:p>
        </w:tc>
        <w:tc>
          <w:tcPr>
            <w:tcW w:w="3120" w:type="dxa"/>
            <w:tcBorders>
              <w:top w:val="nil"/>
              <w:left w:val="single" w:sz="8" w:space="0" w:color="000000"/>
              <w:bottom w:val="nil"/>
              <w:right w:val="single" w:sz="8" w:space="0" w:color="000000"/>
            </w:tcBorders>
          </w:tcPr>
          <w:p w14:paraId="3698D699" w14:textId="77777777" w:rsidR="00676CF2" w:rsidRPr="004E508C" w:rsidRDefault="00676CF2" w:rsidP="00B12B98">
            <w:pPr>
              <w:widowControl w:val="0"/>
              <w:spacing w:before="95" w:after="45"/>
              <w:jc w:val="center"/>
              <w:rPr>
                <w:lang w:val="en-AU"/>
              </w:rPr>
            </w:pPr>
            <w:r w:rsidRPr="004E508C">
              <w:rPr>
                <w:lang w:val="en-AU"/>
              </w:rPr>
              <w:t>95 (40.9)</w:t>
            </w:r>
          </w:p>
        </w:tc>
        <w:tc>
          <w:tcPr>
            <w:tcW w:w="3120" w:type="dxa"/>
            <w:tcBorders>
              <w:top w:val="nil"/>
              <w:left w:val="single" w:sz="8" w:space="0" w:color="000000"/>
              <w:bottom w:val="nil"/>
              <w:right w:val="single" w:sz="8" w:space="0" w:color="000000"/>
            </w:tcBorders>
          </w:tcPr>
          <w:p w14:paraId="206D8520" w14:textId="77777777" w:rsidR="00676CF2" w:rsidRPr="004E508C" w:rsidRDefault="00676CF2" w:rsidP="00B12B98">
            <w:pPr>
              <w:widowControl w:val="0"/>
              <w:spacing w:before="95" w:after="45"/>
              <w:jc w:val="center"/>
              <w:rPr>
                <w:lang w:val="en-AU"/>
              </w:rPr>
            </w:pPr>
            <w:r w:rsidRPr="004E508C">
              <w:rPr>
                <w:lang w:val="en-AU"/>
              </w:rPr>
              <w:t>1 (0.4)</w:t>
            </w:r>
          </w:p>
        </w:tc>
      </w:tr>
      <w:tr w:rsidR="00676CF2" w:rsidRPr="004E508C" w14:paraId="4A8ABE5D" w14:textId="77777777" w:rsidTr="00676CF2">
        <w:trPr>
          <w:cantSplit/>
          <w:trHeight w:val="468"/>
        </w:trPr>
        <w:tc>
          <w:tcPr>
            <w:tcW w:w="3221" w:type="dxa"/>
            <w:tcBorders>
              <w:top w:val="nil"/>
              <w:left w:val="single" w:sz="8" w:space="0" w:color="000000"/>
              <w:bottom w:val="nil"/>
              <w:right w:val="single" w:sz="8" w:space="0" w:color="000000"/>
            </w:tcBorders>
            <w:hideMark/>
          </w:tcPr>
          <w:p w14:paraId="15CD631C" w14:textId="3256B0D0" w:rsidR="00676CF2" w:rsidRPr="004E508C" w:rsidRDefault="004603FA" w:rsidP="00B12B98">
            <w:pPr>
              <w:widowControl w:val="0"/>
              <w:spacing w:before="95" w:after="45"/>
              <w:rPr>
                <w:lang w:val="en-AU"/>
              </w:rPr>
            </w:pPr>
            <w:r w:rsidRPr="004E508C">
              <w:rPr>
                <w:lang w:val="en-AU"/>
              </w:rPr>
              <w:t>Hypokalaemia</w:t>
            </w:r>
          </w:p>
        </w:tc>
        <w:tc>
          <w:tcPr>
            <w:tcW w:w="3120" w:type="dxa"/>
            <w:tcBorders>
              <w:top w:val="nil"/>
              <w:left w:val="single" w:sz="8" w:space="0" w:color="000000"/>
              <w:bottom w:val="nil"/>
              <w:right w:val="single" w:sz="8" w:space="0" w:color="000000"/>
            </w:tcBorders>
          </w:tcPr>
          <w:p w14:paraId="035FF5E7" w14:textId="77777777" w:rsidR="00676CF2" w:rsidRPr="004E508C" w:rsidRDefault="00676CF2" w:rsidP="00B12B98">
            <w:pPr>
              <w:widowControl w:val="0"/>
              <w:spacing w:before="95" w:after="45"/>
              <w:jc w:val="center"/>
              <w:rPr>
                <w:lang w:val="en-AU"/>
              </w:rPr>
            </w:pPr>
            <w:r w:rsidRPr="004E508C">
              <w:rPr>
                <w:lang w:val="en-AU"/>
              </w:rPr>
              <w:t>64 (27.8)</w:t>
            </w:r>
          </w:p>
        </w:tc>
        <w:tc>
          <w:tcPr>
            <w:tcW w:w="3120" w:type="dxa"/>
            <w:tcBorders>
              <w:top w:val="nil"/>
              <w:left w:val="single" w:sz="8" w:space="0" w:color="000000"/>
              <w:bottom w:val="nil"/>
              <w:right w:val="single" w:sz="8" w:space="0" w:color="000000"/>
            </w:tcBorders>
          </w:tcPr>
          <w:p w14:paraId="13695266" w14:textId="77777777" w:rsidR="00676CF2" w:rsidRPr="004E508C" w:rsidRDefault="00676CF2" w:rsidP="00B12B98">
            <w:pPr>
              <w:widowControl w:val="0"/>
              <w:spacing w:before="95" w:after="45"/>
              <w:jc w:val="center"/>
              <w:rPr>
                <w:lang w:val="en-AU"/>
              </w:rPr>
            </w:pPr>
            <w:r w:rsidRPr="004E508C">
              <w:rPr>
                <w:lang w:val="en-AU"/>
              </w:rPr>
              <w:t>9 (3.9)</w:t>
            </w:r>
          </w:p>
        </w:tc>
      </w:tr>
    </w:tbl>
    <w:p w14:paraId="47B5CF2D" w14:textId="1ED5BA4B" w:rsidR="00676CF2" w:rsidRPr="004E508C" w:rsidRDefault="00676CF2" w:rsidP="00676CF2">
      <w:pPr>
        <w:pStyle w:val="TableFootnoteInfo"/>
        <w:rPr>
          <w:lang w:val="en-AU"/>
        </w:rPr>
      </w:pPr>
      <w:r w:rsidRPr="004E508C">
        <w:rPr>
          <w:vertAlign w:val="superscript"/>
          <w:lang w:val="en-AU"/>
        </w:rPr>
        <w:t>a</w:t>
      </w:r>
      <w:r w:rsidR="00AE66E5">
        <w:rPr>
          <w:vertAlign w:val="superscript"/>
          <w:lang w:val="en-AU"/>
        </w:rPr>
        <w:t xml:space="preserve"> </w:t>
      </w:r>
      <w:r w:rsidRPr="004E508C">
        <w:rPr>
          <w:lang w:val="en-AU"/>
        </w:rPr>
        <w:t>Per National Cancer Institute Common Terminology Criteria for Adverse Events (NCI-CTCAE) version 4.03 based on laboratory measurements.</w:t>
      </w:r>
    </w:p>
    <w:p w14:paraId="4CF2F4E3" w14:textId="074058F4" w:rsidR="00676CF2" w:rsidRPr="004E508C" w:rsidRDefault="00676CF2" w:rsidP="00816405">
      <w:pPr>
        <w:pStyle w:val="ListBullet"/>
        <w:numPr>
          <w:ilvl w:val="0"/>
          <w:numId w:val="0"/>
        </w:numPr>
        <w:ind w:left="425" w:hanging="425"/>
        <w:rPr>
          <w:iCs/>
          <w:color w:val="00B0F0"/>
          <w:lang w:val="en-AU"/>
        </w:rPr>
      </w:pPr>
    </w:p>
    <w:p w14:paraId="230FBE4F" w14:textId="77777777" w:rsidR="000066E7" w:rsidRPr="004E508C" w:rsidRDefault="000066E7" w:rsidP="000066E7">
      <w:pPr>
        <w:pStyle w:val="Heading3Unnumbered"/>
        <w:rPr>
          <w:lang w:val="en-AU"/>
        </w:rPr>
      </w:pPr>
      <w:bookmarkStart w:id="32" w:name="_Toc23341374"/>
      <w:bookmarkStart w:id="33" w:name="_Toc34804488"/>
      <w:r w:rsidRPr="004E508C">
        <w:rPr>
          <w:lang w:val="en-AU"/>
        </w:rPr>
        <w:t>Immunogenicity</w:t>
      </w:r>
      <w:bookmarkEnd w:id="32"/>
      <w:bookmarkEnd w:id="33"/>
    </w:p>
    <w:p w14:paraId="17E013CA" w14:textId="475DF919" w:rsidR="000066E7" w:rsidRPr="004E508C" w:rsidRDefault="000066E7" w:rsidP="000066E7">
      <w:pPr>
        <w:spacing w:after="0" w:line="240" w:lineRule="auto"/>
        <w:rPr>
          <w:lang w:val="en-AU"/>
        </w:rPr>
      </w:pPr>
      <w:r w:rsidRPr="004E508C">
        <w:rPr>
          <w:lang w:val="en-AU"/>
        </w:rPr>
        <w:t xml:space="preserve">As with all therapeutic proteins, there is a potential for immunogenicity. Across all doses evaluated in clinical studies, 0.6% (4/640) of evaluable patients developed antibodies against trastuzumab deruxtecan following treatment with </w:t>
      </w:r>
      <w:r w:rsidR="005A2486" w:rsidRPr="004E508C">
        <w:rPr>
          <w:lang w:val="en-AU"/>
        </w:rPr>
        <w:t>ENHERTU</w:t>
      </w:r>
      <w:r w:rsidRPr="004E508C">
        <w:rPr>
          <w:lang w:val="en-AU"/>
        </w:rPr>
        <w:t>. There was no association between development of antibodies and allergic</w:t>
      </w:r>
      <w:r w:rsidRPr="004E508C">
        <w:rPr>
          <w:lang w:val="en-AU"/>
        </w:rPr>
        <w:noBreakHyphen/>
        <w:t>type reactions.</w:t>
      </w:r>
    </w:p>
    <w:p w14:paraId="4AA14A34" w14:textId="54D1BC5C" w:rsidR="000066E7" w:rsidRPr="004E508C" w:rsidRDefault="000066E7" w:rsidP="00816405">
      <w:pPr>
        <w:pStyle w:val="ListBullet"/>
        <w:numPr>
          <w:ilvl w:val="0"/>
          <w:numId w:val="0"/>
        </w:numPr>
        <w:ind w:left="425" w:hanging="425"/>
        <w:rPr>
          <w:iCs/>
          <w:color w:val="00B0F0"/>
          <w:lang w:val="en-AU"/>
        </w:rPr>
      </w:pPr>
    </w:p>
    <w:p w14:paraId="31DF4CA6" w14:textId="77777777" w:rsidR="00DF3302" w:rsidRPr="004E508C" w:rsidRDefault="00DF3302" w:rsidP="00DF3302">
      <w:pPr>
        <w:pStyle w:val="Heading3Unnumbered"/>
        <w:rPr>
          <w:lang w:val="en-AU"/>
        </w:rPr>
      </w:pPr>
      <w:r w:rsidRPr="004E508C">
        <w:rPr>
          <w:lang w:val="en-AU"/>
        </w:rPr>
        <w:t xml:space="preserve">Reporting suspected adverse </w:t>
      </w:r>
      <w:r w:rsidR="002803FC" w:rsidRPr="004E508C">
        <w:rPr>
          <w:lang w:val="en-AU"/>
        </w:rPr>
        <w:t>effects</w:t>
      </w:r>
    </w:p>
    <w:p w14:paraId="59E8D01A" w14:textId="589CE317" w:rsidR="001D3AF3" w:rsidRPr="004E508C" w:rsidRDefault="00DF3302" w:rsidP="00446EDD">
      <w:pPr>
        <w:pStyle w:val="Paragraph"/>
        <w:rPr>
          <w:lang w:val="en-AU"/>
        </w:rPr>
      </w:pPr>
      <w:r w:rsidRPr="004E508C">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317B91" w:rsidRPr="004E508C">
        <w:rPr>
          <w:lang w:val="en-AU"/>
        </w:rPr>
        <w:t>www.tga.gov.au/reporting-problems</w:t>
      </w:r>
      <w:r w:rsidRPr="004E508C">
        <w:rPr>
          <w:lang w:val="en-AU"/>
        </w:rPr>
        <w:t>.</w:t>
      </w:r>
    </w:p>
    <w:p w14:paraId="69FAFBEF" w14:textId="77777777" w:rsidR="00317B91" w:rsidRPr="004E508C" w:rsidRDefault="00317B91" w:rsidP="00446EDD">
      <w:pPr>
        <w:pStyle w:val="Paragraph"/>
        <w:rPr>
          <w:lang w:val="en-AU"/>
        </w:rPr>
      </w:pPr>
    </w:p>
    <w:p w14:paraId="53846756" w14:textId="77777777" w:rsidR="001A3992" w:rsidRPr="004E508C" w:rsidRDefault="001A3992" w:rsidP="00EE3AC8">
      <w:pPr>
        <w:pStyle w:val="Heading2"/>
        <w:rPr>
          <w:lang w:val="en-AU"/>
        </w:rPr>
      </w:pPr>
      <w:r w:rsidRPr="004E508C">
        <w:rPr>
          <w:lang w:val="en-AU"/>
        </w:rPr>
        <w:t>Overdose</w:t>
      </w:r>
    </w:p>
    <w:p w14:paraId="07CDE0F8" w14:textId="70BA10FF" w:rsidR="002C0207" w:rsidRPr="004E508C" w:rsidRDefault="002C0207" w:rsidP="006F0EF3">
      <w:pPr>
        <w:spacing w:after="0" w:line="240" w:lineRule="auto"/>
        <w:rPr>
          <w:lang w:val="en-AU"/>
        </w:rPr>
      </w:pPr>
      <w:bookmarkStart w:id="34" w:name="_Hlk12022481"/>
      <w:r w:rsidRPr="004E508C">
        <w:rPr>
          <w:lang w:val="en-AU"/>
        </w:rPr>
        <w:t>There is no information on overdose with trastuzumab deruxtecan. In the event of overdose, patients should be monitored, and appropriate supportive care should be given.</w:t>
      </w:r>
      <w:bookmarkEnd w:id="34"/>
    </w:p>
    <w:p w14:paraId="2D2B0082" w14:textId="77777777" w:rsidR="006F0EF3" w:rsidRPr="004E508C" w:rsidRDefault="006F0EF3" w:rsidP="006F0EF3">
      <w:pPr>
        <w:spacing w:after="0" w:line="240" w:lineRule="auto"/>
        <w:rPr>
          <w:lang w:val="en-AU"/>
        </w:rPr>
      </w:pPr>
    </w:p>
    <w:p w14:paraId="11A435F6" w14:textId="5B4A7B80" w:rsidR="00D87298" w:rsidRPr="004E508C" w:rsidRDefault="00D87298" w:rsidP="00D87298">
      <w:pPr>
        <w:pStyle w:val="Paragraph"/>
        <w:rPr>
          <w:lang w:val="en-AU"/>
        </w:rPr>
      </w:pPr>
      <w:r w:rsidRPr="004E508C">
        <w:rPr>
          <w:lang w:val="en-AU"/>
        </w:rPr>
        <w:lastRenderedPageBreak/>
        <w:t>For information on the management of overdose, contact the Poison Information Centre on 131126 (Australia).</w:t>
      </w:r>
    </w:p>
    <w:p w14:paraId="5370C6EC" w14:textId="77777777" w:rsidR="006F0EF3" w:rsidRPr="004E508C" w:rsidRDefault="006F0EF3" w:rsidP="00D87298">
      <w:pPr>
        <w:pStyle w:val="Paragraph"/>
        <w:rPr>
          <w:lang w:val="en-AU"/>
        </w:rPr>
      </w:pPr>
    </w:p>
    <w:p w14:paraId="63B6CAA6" w14:textId="77777777" w:rsidR="001A3992" w:rsidRPr="004E508C" w:rsidRDefault="001A3992" w:rsidP="00881EA6">
      <w:pPr>
        <w:pStyle w:val="Heading1"/>
        <w:keepNext w:val="0"/>
        <w:rPr>
          <w:lang w:val="en-AU"/>
        </w:rPr>
      </w:pPr>
      <w:r w:rsidRPr="004E508C">
        <w:rPr>
          <w:lang w:val="en-AU"/>
        </w:rPr>
        <w:t>Pharmacological properties</w:t>
      </w:r>
    </w:p>
    <w:p w14:paraId="7689298E" w14:textId="77777777" w:rsidR="001A3992" w:rsidRPr="004E508C" w:rsidRDefault="007403BD" w:rsidP="00EE3AC8">
      <w:pPr>
        <w:pStyle w:val="Heading2"/>
        <w:rPr>
          <w:lang w:val="en-AU"/>
        </w:rPr>
      </w:pPr>
      <w:r w:rsidRPr="004E508C">
        <w:rPr>
          <w:lang w:val="en-AU"/>
        </w:rPr>
        <w:t>Pharmacodynamic properties</w:t>
      </w:r>
    </w:p>
    <w:p w14:paraId="751A016D" w14:textId="77777777" w:rsidR="001A3992" w:rsidRPr="004E508C" w:rsidRDefault="001A3992" w:rsidP="0026491B">
      <w:pPr>
        <w:pStyle w:val="Heading3Unnumbered"/>
        <w:rPr>
          <w:lang w:val="en-AU"/>
        </w:rPr>
      </w:pPr>
      <w:r w:rsidRPr="004E508C">
        <w:rPr>
          <w:lang w:val="en-AU"/>
        </w:rPr>
        <w:t>Mechanism of action</w:t>
      </w:r>
    </w:p>
    <w:p w14:paraId="1AFED05A" w14:textId="7B29FF4F" w:rsidR="002E0BF3" w:rsidRPr="004E508C" w:rsidRDefault="009030DD" w:rsidP="002E0BF3">
      <w:pPr>
        <w:spacing w:after="0" w:line="240" w:lineRule="auto"/>
        <w:rPr>
          <w:lang w:val="en-AU"/>
        </w:rPr>
      </w:pPr>
      <w:bookmarkStart w:id="35" w:name="_Hlk11680311"/>
      <w:r w:rsidRPr="00384EBB">
        <w:rPr>
          <w:lang w:val="en-AU"/>
        </w:rPr>
        <w:t>T</w:t>
      </w:r>
      <w:r w:rsidR="002E0BF3" w:rsidRPr="00384EBB">
        <w:rPr>
          <w:lang w:val="en-AU"/>
        </w:rPr>
        <w:t>rastuzumab deruxtecan, is a HER2</w:t>
      </w:r>
      <w:r w:rsidR="00E727FE" w:rsidRPr="00384EBB">
        <w:rPr>
          <w:lang w:val="en-AU"/>
        </w:rPr>
        <w:t>-</w:t>
      </w:r>
      <w:r w:rsidR="002E0BF3" w:rsidRPr="00384EBB">
        <w:rPr>
          <w:lang w:val="en-AU"/>
        </w:rPr>
        <w:t>targeted antibody</w:t>
      </w:r>
      <w:r w:rsidR="00E727FE" w:rsidRPr="00384EBB">
        <w:rPr>
          <w:lang w:val="en-AU"/>
        </w:rPr>
        <w:t>-</w:t>
      </w:r>
      <w:r w:rsidR="002E0BF3" w:rsidRPr="00384EBB">
        <w:rPr>
          <w:lang w:val="en-AU"/>
        </w:rPr>
        <w:t>drug conjugate (ADC). The antibody is a humanized anti</w:t>
      </w:r>
      <w:r w:rsidR="00A61F57" w:rsidRPr="00384EBB">
        <w:rPr>
          <w:lang w:val="en-AU"/>
        </w:rPr>
        <w:t>-</w:t>
      </w:r>
      <w:r w:rsidR="002E0BF3" w:rsidRPr="00384EBB">
        <w:rPr>
          <w:lang w:val="en-AU"/>
        </w:rPr>
        <w:t>HER2 IgG1 attached to deruxtecan, a topoisomerase I inhibitor bound by a tetrapeptide</w:t>
      </w:r>
      <w:r w:rsidR="00A61F57" w:rsidRPr="00384EBB">
        <w:rPr>
          <w:lang w:val="en-AU"/>
        </w:rPr>
        <w:t>-</w:t>
      </w:r>
      <w:r w:rsidR="002E0BF3" w:rsidRPr="00384EBB">
        <w:rPr>
          <w:lang w:val="en-AU"/>
        </w:rPr>
        <w:t>based</w:t>
      </w:r>
      <w:r w:rsidR="00A61F57" w:rsidRPr="00384EBB">
        <w:rPr>
          <w:lang w:val="en-AU"/>
        </w:rPr>
        <w:t xml:space="preserve"> </w:t>
      </w:r>
      <w:r w:rsidR="002E0BF3" w:rsidRPr="00384EBB">
        <w:rPr>
          <w:lang w:val="en-AU"/>
        </w:rPr>
        <w:t>cleavable linker. The ADC is stable in plasma</w:t>
      </w:r>
      <w:r w:rsidRPr="00384EBB">
        <w:rPr>
          <w:lang w:val="en-AU"/>
        </w:rPr>
        <w:t xml:space="preserve"> under in vitro conditions</w:t>
      </w:r>
      <w:r w:rsidR="002E0BF3" w:rsidRPr="00384EBB">
        <w:rPr>
          <w:lang w:val="en-AU"/>
        </w:rPr>
        <w:t xml:space="preserve">. Following binding to HER2 on </w:t>
      </w:r>
      <w:r w:rsidR="00803688" w:rsidRPr="00384EBB">
        <w:rPr>
          <w:lang w:val="en-AU"/>
        </w:rPr>
        <w:t>tumour</w:t>
      </w:r>
      <w:r w:rsidR="002E0BF3" w:rsidRPr="00384EBB">
        <w:rPr>
          <w:lang w:val="en-AU"/>
        </w:rPr>
        <w:t xml:space="preserve"> cells, trastuzumab deruxtecan undergoes internalization and intracellular linker cleavage by lysosomal enzymes. Upon release, the membrane</w:t>
      </w:r>
      <w:r w:rsidR="00A61F57" w:rsidRPr="00384EBB">
        <w:rPr>
          <w:lang w:val="en-AU"/>
        </w:rPr>
        <w:t>-</w:t>
      </w:r>
      <w:r w:rsidR="002E0BF3" w:rsidRPr="00384EBB">
        <w:rPr>
          <w:lang w:val="en-AU"/>
        </w:rPr>
        <w:t>permeable</w:t>
      </w:r>
      <w:r w:rsidR="00A61F57" w:rsidRPr="00384EBB">
        <w:rPr>
          <w:lang w:val="en-AU"/>
        </w:rPr>
        <w:t xml:space="preserve"> </w:t>
      </w:r>
      <w:r w:rsidR="002E0BF3" w:rsidRPr="00384EBB">
        <w:rPr>
          <w:lang w:val="en-AU"/>
        </w:rPr>
        <w:t xml:space="preserve">topoisomerase I inhibitor causes DNA damage and apoptotic cell death. The topoisomerase I inhibitor, an </w:t>
      </w:r>
      <w:proofErr w:type="spellStart"/>
      <w:r w:rsidR="002E0BF3" w:rsidRPr="00384EBB">
        <w:rPr>
          <w:lang w:val="en-AU"/>
        </w:rPr>
        <w:t>exatecan</w:t>
      </w:r>
      <w:proofErr w:type="spellEnd"/>
      <w:r w:rsidR="002E0BF3" w:rsidRPr="00384EBB">
        <w:rPr>
          <w:lang w:val="en-AU"/>
        </w:rPr>
        <w:t xml:space="preserve"> derivative, is approximately 10 times more potent than SN38, the active metabolite of irinotecan.</w:t>
      </w:r>
      <w:bookmarkEnd w:id="35"/>
    </w:p>
    <w:p w14:paraId="5ED18A4F" w14:textId="0248F620" w:rsidR="002E0BF3" w:rsidRPr="004E508C" w:rsidRDefault="002E0BF3" w:rsidP="002E0BF3">
      <w:pPr>
        <w:spacing w:after="0" w:line="240" w:lineRule="auto"/>
        <w:rPr>
          <w:lang w:val="en-AU"/>
        </w:rPr>
      </w:pPr>
    </w:p>
    <w:p w14:paraId="3B86479F" w14:textId="77777777" w:rsidR="002E0BF3" w:rsidRPr="004E508C" w:rsidRDefault="002E0BF3" w:rsidP="002E0BF3">
      <w:pPr>
        <w:pStyle w:val="Heading3Unnumbered"/>
        <w:rPr>
          <w:lang w:val="en-AU"/>
        </w:rPr>
      </w:pPr>
      <w:bookmarkStart w:id="36" w:name="_Toc23341379"/>
      <w:bookmarkStart w:id="37" w:name="_Toc34804493"/>
      <w:r w:rsidRPr="004E508C">
        <w:rPr>
          <w:lang w:val="en-AU"/>
        </w:rPr>
        <w:t>Pharmacodynamic Effects</w:t>
      </w:r>
      <w:bookmarkEnd w:id="36"/>
      <w:bookmarkEnd w:id="37"/>
    </w:p>
    <w:p w14:paraId="06206548" w14:textId="15346D17" w:rsidR="002E0BF3" w:rsidRPr="004E508C" w:rsidRDefault="002E0BF3" w:rsidP="002E0BF3">
      <w:pPr>
        <w:spacing w:after="0" w:line="240" w:lineRule="auto"/>
        <w:rPr>
          <w:lang w:val="en-AU"/>
        </w:rPr>
      </w:pPr>
      <w:r w:rsidRPr="004E508C">
        <w:rPr>
          <w:lang w:val="en-AU"/>
        </w:rPr>
        <w:t>The administration of multiple doses of trastuzumab deruxtecan (6.4 mg/kg every 3 weeks) did not show any clinically meaningful effect on the QTc interval in an open-label, single-arm study in 51 patients with HER2</w:t>
      </w:r>
      <w:r w:rsidRPr="004E508C">
        <w:rPr>
          <w:lang w:val="en-AU"/>
        </w:rPr>
        <w:noBreakHyphen/>
        <w:t>expressing metastatic breast cancer.</w:t>
      </w:r>
    </w:p>
    <w:p w14:paraId="4A9F2575" w14:textId="77777777" w:rsidR="002E0BF3" w:rsidRPr="004E508C" w:rsidRDefault="002E0BF3" w:rsidP="002E0BF3">
      <w:pPr>
        <w:spacing w:after="0" w:line="240" w:lineRule="auto"/>
        <w:rPr>
          <w:szCs w:val="20"/>
          <w:lang w:val="en-AU"/>
        </w:rPr>
      </w:pPr>
    </w:p>
    <w:p w14:paraId="73E947B7" w14:textId="3B4589B6" w:rsidR="001A3992" w:rsidRPr="004E508C" w:rsidRDefault="001A3992" w:rsidP="0026491B">
      <w:pPr>
        <w:pStyle w:val="Heading3Unnumbered"/>
        <w:rPr>
          <w:lang w:val="en-AU"/>
        </w:rPr>
      </w:pPr>
      <w:r w:rsidRPr="004E508C">
        <w:rPr>
          <w:lang w:val="en-AU"/>
        </w:rPr>
        <w:t>Clinical trials</w:t>
      </w:r>
    </w:p>
    <w:p w14:paraId="6D6404E0" w14:textId="77777777" w:rsidR="00104749" w:rsidRPr="004E508C" w:rsidRDefault="00104749" w:rsidP="00104749">
      <w:pPr>
        <w:pStyle w:val="Heading4Unnumbered"/>
        <w:rPr>
          <w:lang w:val="en-AU"/>
        </w:rPr>
      </w:pPr>
      <w:r w:rsidRPr="004E508C">
        <w:rPr>
          <w:lang w:val="en-AU"/>
        </w:rPr>
        <w:t>Metastatic Breast Cancer</w:t>
      </w:r>
    </w:p>
    <w:p w14:paraId="1DCBFB36" w14:textId="1749DAB5" w:rsidR="00063A7D" w:rsidRPr="004E508C" w:rsidRDefault="00063A7D" w:rsidP="00063A7D">
      <w:pPr>
        <w:spacing w:after="0" w:line="240" w:lineRule="auto"/>
        <w:rPr>
          <w:lang w:val="en-AU"/>
        </w:rPr>
      </w:pPr>
      <w:r w:rsidRPr="004E508C">
        <w:rPr>
          <w:lang w:val="en-AU"/>
        </w:rPr>
        <w:t>The efficacy and safety of ENHERTU were demonstrated in a Phase 2, single</w:t>
      </w:r>
      <w:r w:rsidRPr="004E508C">
        <w:rPr>
          <w:lang w:val="en-AU"/>
        </w:rPr>
        <w:noBreakHyphen/>
        <w:t>agent, open</w:t>
      </w:r>
      <w:r w:rsidRPr="004E508C">
        <w:rPr>
          <w:lang w:val="en-AU"/>
        </w:rPr>
        <w:noBreakHyphen/>
        <w:t xml:space="preserve">label, </w:t>
      </w:r>
      <w:r w:rsidR="00E119C8" w:rsidRPr="004E508C">
        <w:rPr>
          <w:lang w:val="en-AU"/>
        </w:rPr>
        <w:t>multicentre</w:t>
      </w:r>
      <w:r w:rsidRPr="004E508C">
        <w:rPr>
          <w:lang w:val="en-AU"/>
        </w:rPr>
        <w:t xml:space="preserve"> study: DESTINY</w:t>
      </w:r>
      <w:r w:rsidRPr="004E508C">
        <w:rPr>
          <w:lang w:val="en-AU"/>
        </w:rPr>
        <w:noBreakHyphen/>
        <w:t>Breast01.</w:t>
      </w:r>
    </w:p>
    <w:p w14:paraId="3571172B" w14:textId="77777777" w:rsidR="00063A7D" w:rsidRPr="004E508C" w:rsidRDefault="00063A7D" w:rsidP="00063A7D">
      <w:pPr>
        <w:spacing w:after="0" w:line="240" w:lineRule="auto"/>
        <w:rPr>
          <w:lang w:val="en-AU"/>
        </w:rPr>
      </w:pPr>
    </w:p>
    <w:p w14:paraId="4E928A36" w14:textId="58DB8270" w:rsidR="00063A7D" w:rsidRPr="00E119C8" w:rsidRDefault="00063A7D" w:rsidP="00063A7D">
      <w:pPr>
        <w:spacing w:after="0" w:line="240" w:lineRule="auto"/>
        <w:rPr>
          <w:lang w:val="en-AU"/>
        </w:rPr>
      </w:pPr>
      <w:r w:rsidRPr="00E119C8">
        <w:rPr>
          <w:lang w:val="en-AU"/>
        </w:rPr>
        <w:t>The study included adult patients with unresectable or metastatic HER2</w:t>
      </w:r>
      <w:r w:rsidRPr="00E119C8">
        <w:rPr>
          <w:lang w:val="en-AU"/>
        </w:rPr>
        <w:noBreakHyphen/>
        <w:t>positive breast cancer who had received two or more prior anti</w:t>
      </w:r>
      <w:r w:rsidRPr="00E119C8">
        <w:rPr>
          <w:lang w:val="en-AU"/>
        </w:rPr>
        <w:noBreakHyphen/>
        <w:t xml:space="preserve">HER2 regimens, including trastuzumab emtansine (100%), trastuzumab (100%), and </w:t>
      </w:r>
      <w:proofErr w:type="spellStart"/>
      <w:r w:rsidRPr="00E119C8">
        <w:rPr>
          <w:lang w:val="en-AU"/>
        </w:rPr>
        <w:t>pertuzumab</w:t>
      </w:r>
      <w:proofErr w:type="spellEnd"/>
      <w:r w:rsidRPr="00E119C8">
        <w:rPr>
          <w:lang w:val="en-AU"/>
        </w:rPr>
        <w:t xml:space="preserve"> (65.8%).</w:t>
      </w:r>
      <w:r w:rsidRPr="00E119C8">
        <w:rPr>
          <w:vertAlign w:val="superscript"/>
          <w:lang w:val="en-AU"/>
        </w:rPr>
        <w:t xml:space="preserve"> </w:t>
      </w:r>
      <w:r w:rsidRPr="00E119C8">
        <w:rPr>
          <w:lang w:val="en-AU"/>
        </w:rPr>
        <w:t xml:space="preserve">Archival breast </w:t>
      </w:r>
      <w:r w:rsidR="00E119C8" w:rsidRPr="00E119C8">
        <w:rPr>
          <w:lang w:val="en-AU"/>
        </w:rPr>
        <w:t>tumour</w:t>
      </w:r>
      <w:r w:rsidRPr="00E119C8">
        <w:rPr>
          <w:lang w:val="en-AU"/>
        </w:rPr>
        <w:t xml:space="preserve"> samples were required to show HER2 positivity defined as HER2 IHC 3+ or ISH</w:t>
      </w:r>
      <w:r w:rsidRPr="00E119C8">
        <w:rPr>
          <w:lang w:val="en-AU"/>
        </w:rPr>
        <w:noBreakHyphen/>
        <w:t xml:space="preserve">positive. The study excluded patients with a history of treated ILD or ILD at screening and patients with a history of clinically significant cardiac disease. </w:t>
      </w:r>
      <w:r w:rsidR="000D694E" w:rsidRPr="00E119C8">
        <w:rPr>
          <w:lang w:val="en-AU"/>
        </w:rPr>
        <w:t>ENHERTU</w:t>
      </w:r>
      <w:r w:rsidRPr="00E119C8">
        <w:rPr>
          <w:lang w:val="en-AU"/>
        </w:rPr>
        <w:t xml:space="preserve"> was administered by intravenous infusion at 5.4 mg/kg once every three weeks until disease progression, death, withdrawal of consent, or unacceptable toxicity. The primary efficacy outcome measure was confirmed objective response rate (ORR) according to Response Evaluation Criteria in Solid </w:t>
      </w:r>
      <w:r w:rsidR="00E119C8" w:rsidRPr="00E119C8">
        <w:rPr>
          <w:lang w:val="en-AU"/>
        </w:rPr>
        <w:t>Tumours</w:t>
      </w:r>
      <w:r w:rsidRPr="00E119C8">
        <w:rPr>
          <w:lang w:val="en-AU"/>
        </w:rPr>
        <w:t xml:space="preserve"> (RECIST v1.1) in the intent</w:t>
      </w:r>
      <w:r w:rsidRPr="00E119C8">
        <w:rPr>
          <w:lang w:val="en-AU"/>
        </w:rPr>
        <w:noBreakHyphen/>
        <w:t>to</w:t>
      </w:r>
      <w:r w:rsidRPr="00E119C8">
        <w:rPr>
          <w:lang w:val="en-AU"/>
        </w:rPr>
        <w:noBreakHyphen/>
        <w:t>treat (ITT) population as evaluated by independent central review. Duration of response (DOR) and progression</w:t>
      </w:r>
      <w:r w:rsidRPr="00E119C8">
        <w:rPr>
          <w:lang w:val="en-AU"/>
        </w:rPr>
        <w:noBreakHyphen/>
        <w:t>free survival (PFS) were additional outcome measures.</w:t>
      </w:r>
    </w:p>
    <w:p w14:paraId="66CD1F4B" w14:textId="77777777" w:rsidR="00063A7D" w:rsidRPr="00E119C8" w:rsidRDefault="00063A7D" w:rsidP="00063A7D">
      <w:pPr>
        <w:spacing w:after="0" w:line="240" w:lineRule="auto"/>
        <w:rPr>
          <w:lang w:val="en-AU"/>
        </w:rPr>
      </w:pPr>
    </w:p>
    <w:p w14:paraId="66366CBE" w14:textId="7827E930" w:rsidR="00063A7D" w:rsidRPr="00E119C8" w:rsidRDefault="00063A7D" w:rsidP="00063A7D">
      <w:pPr>
        <w:spacing w:after="0" w:line="240" w:lineRule="auto"/>
        <w:rPr>
          <w:lang w:val="en-AU"/>
        </w:rPr>
      </w:pPr>
      <w:bookmarkStart w:id="38" w:name="_Hlk12021908"/>
      <w:r w:rsidRPr="00E119C8">
        <w:rPr>
          <w:lang w:val="en-AU"/>
        </w:rPr>
        <w:t>DESTINY</w:t>
      </w:r>
      <w:r w:rsidRPr="00E119C8">
        <w:rPr>
          <w:lang w:val="en-AU"/>
        </w:rPr>
        <w:noBreakHyphen/>
        <w:t xml:space="preserve">Breast01 (N = 184) baseline demographic and disease characteristics were: median age 55 years (range 28 to 96); female (100%); White (54.9%), Asian (38.0%), Black or African American (2.2%); Eastern Cooperative Oncology Group (ECOG) performance status 0 (55.4%) or 1 (44.0%); hormone receptor status (positive: 52.7%); presence of visceral disease (91.8%); median number of prior therapies in the metastatic setting: 5 (range: 2 to 17); prior </w:t>
      </w:r>
      <w:proofErr w:type="spellStart"/>
      <w:r w:rsidRPr="00E119C8">
        <w:rPr>
          <w:lang w:val="en-AU"/>
        </w:rPr>
        <w:t>pertuzumab</w:t>
      </w:r>
      <w:proofErr w:type="spellEnd"/>
      <w:r w:rsidRPr="00E119C8">
        <w:rPr>
          <w:lang w:val="en-AU"/>
        </w:rPr>
        <w:t xml:space="preserve"> therapy (65.8%); sum of diameters of target lesions (&lt;5 cm: 42.4%, ≥ 5 cm: 50.0%).</w:t>
      </w:r>
      <w:bookmarkEnd w:id="38"/>
    </w:p>
    <w:p w14:paraId="48FA3085" w14:textId="77777777" w:rsidR="00063A7D" w:rsidRPr="00E119C8" w:rsidRDefault="00063A7D" w:rsidP="00063A7D">
      <w:pPr>
        <w:spacing w:after="0" w:line="240" w:lineRule="auto"/>
        <w:rPr>
          <w:lang w:val="en-AU"/>
        </w:rPr>
      </w:pPr>
      <w:bookmarkStart w:id="39" w:name="_Hlk12022035"/>
    </w:p>
    <w:p w14:paraId="5861DF03" w14:textId="3351C005" w:rsidR="007403BD" w:rsidRPr="0078772C" w:rsidRDefault="00063A7D" w:rsidP="00063A7D">
      <w:pPr>
        <w:spacing w:after="0" w:line="240" w:lineRule="auto"/>
        <w:rPr>
          <w:lang w:val="en-AU"/>
        </w:rPr>
      </w:pPr>
      <w:r w:rsidRPr="0078772C">
        <w:rPr>
          <w:lang w:val="en-AU"/>
        </w:rPr>
        <w:lastRenderedPageBreak/>
        <w:t xml:space="preserve">Efficacy results </w:t>
      </w:r>
      <w:r w:rsidR="00CC6514" w:rsidRPr="0078772C">
        <w:rPr>
          <w:lang w:val="en-AU"/>
        </w:rPr>
        <w:t xml:space="preserve">based on a data cut-off of 26 Mar 2021 with a median duration of follow-up of 26.5 months and median duration of treatment of 10.1 months </w:t>
      </w:r>
      <w:r w:rsidRPr="0078772C">
        <w:rPr>
          <w:lang w:val="en-AU"/>
        </w:rPr>
        <w:t xml:space="preserve">are summarized in </w:t>
      </w:r>
      <w:r w:rsidR="00C91A24" w:rsidRPr="0078772C">
        <w:rPr>
          <w:lang w:val="en-AU"/>
        </w:rPr>
        <w:fldChar w:fldCharType="begin"/>
      </w:r>
      <w:r w:rsidR="00C91A24" w:rsidRPr="0078772C">
        <w:rPr>
          <w:lang w:val="en-AU"/>
        </w:rPr>
        <w:instrText xml:space="preserve"> REF _Ref45269310 \h </w:instrText>
      </w:r>
      <w:r w:rsidR="0078772C">
        <w:rPr>
          <w:lang w:val="en-AU"/>
        </w:rPr>
        <w:instrText xml:space="preserve"> \* MERGEFORMAT </w:instrText>
      </w:r>
      <w:r w:rsidR="00C91A24" w:rsidRPr="0078772C">
        <w:rPr>
          <w:lang w:val="en-AU"/>
        </w:rPr>
      </w:r>
      <w:r w:rsidR="00C91A24" w:rsidRPr="0078772C">
        <w:rPr>
          <w:lang w:val="en-AU"/>
        </w:rPr>
        <w:fldChar w:fldCharType="separate"/>
      </w:r>
      <w:r w:rsidR="00C91A24" w:rsidRPr="0078772C">
        <w:rPr>
          <w:lang w:val="en-AU"/>
        </w:rPr>
        <w:t xml:space="preserve">Table </w:t>
      </w:r>
      <w:r w:rsidR="00C91A24" w:rsidRPr="0078772C">
        <w:rPr>
          <w:noProof/>
          <w:lang w:val="en-AU"/>
        </w:rPr>
        <w:t>5</w:t>
      </w:r>
      <w:r w:rsidR="00C91A24" w:rsidRPr="0078772C">
        <w:rPr>
          <w:lang w:val="en-AU"/>
        </w:rPr>
        <w:fldChar w:fldCharType="end"/>
      </w:r>
      <w:bookmarkEnd w:id="39"/>
      <w:r w:rsidR="00C91A24" w:rsidRPr="0078772C">
        <w:rPr>
          <w:lang w:val="en-AU"/>
        </w:rPr>
        <w:t xml:space="preserve">. </w:t>
      </w:r>
    </w:p>
    <w:p w14:paraId="72C6FC0C" w14:textId="56C04395" w:rsidR="000F5942" w:rsidRPr="0078772C" w:rsidRDefault="000F5942" w:rsidP="00063A7D">
      <w:pPr>
        <w:spacing w:after="0" w:line="240" w:lineRule="auto"/>
        <w:rPr>
          <w:lang w:val="en-AU"/>
        </w:rPr>
      </w:pPr>
    </w:p>
    <w:p w14:paraId="3DCDB3DC" w14:textId="1779CF06" w:rsidR="00BF2F56" w:rsidRPr="0078772C" w:rsidRDefault="00BF2F56" w:rsidP="00063A7D">
      <w:pPr>
        <w:spacing w:after="0" w:line="240" w:lineRule="auto"/>
        <w:rPr>
          <w:lang w:val="en-AU"/>
        </w:rPr>
      </w:pPr>
    </w:p>
    <w:p w14:paraId="1CDF150D" w14:textId="003C1338" w:rsidR="00BF2F56" w:rsidRPr="0078772C" w:rsidRDefault="00E832C6" w:rsidP="00E832C6">
      <w:pPr>
        <w:pStyle w:val="TableTitle"/>
        <w:rPr>
          <w:lang w:val="en-AU"/>
        </w:rPr>
      </w:pPr>
      <w:bookmarkStart w:id="40" w:name="_Ref45269310"/>
      <w:r w:rsidRPr="0078772C">
        <w:rPr>
          <w:lang w:val="en-AU"/>
        </w:rPr>
        <w:t xml:space="preserve">Table </w:t>
      </w:r>
      <w:r w:rsidRPr="0078772C">
        <w:rPr>
          <w:b w:val="0"/>
          <w:lang w:val="en-AU"/>
        </w:rPr>
        <w:fldChar w:fldCharType="begin"/>
      </w:r>
      <w:r w:rsidRPr="0078772C">
        <w:rPr>
          <w:lang w:val="en-AU"/>
        </w:rPr>
        <w:instrText xml:space="preserve"> SEQ Table \* ARABIC </w:instrText>
      </w:r>
      <w:r w:rsidRPr="0078772C">
        <w:rPr>
          <w:b w:val="0"/>
          <w:lang w:val="en-AU"/>
        </w:rPr>
        <w:fldChar w:fldCharType="separate"/>
      </w:r>
      <w:r w:rsidRPr="0078772C">
        <w:rPr>
          <w:noProof/>
          <w:lang w:val="en-AU"/>
        </w:rPr>
        <w:t>5</w:t>
      </w:r>
      <w:r w:rsidRPr="0078772C">
        <w:rPr>
          <w:b w:val="0"/>
          <w:lang w:val="en-AU"/>
        </w:rPr>
        <w:fldChar w:fldCharType="end"/>
      </w:r>
      <w:bookmarkEnd w:id="40"/>
      <w:r w:rsidR="00BF2F56" w:rsidRPr="0078772C">
        <w:rPr>
          <w:lang w:val="en-AU"/>
        </w:rPr>
        <w:t xml:space="preserve">: Efficacy </w:t>
      </w:r>
      <w:r w:rsidR="00200C01" w:rsidRPr="0078772C">
        <w:rPr>
          <w:lang w:val="en-AU"/>
        </w:rPr>
        <w:t>r</w:t>
      </w:r>
      <w:r w:rsidR="00BF2F56" w:rsidRPr="0078772C">
        <w:rPr>
          <w:lang w:val="en-AU"/>
        </w:rPr>
        <w:t>esults in DESTINY</w:t>
      </w:r>
      <w:r w:rsidR="00BF2F56" w:rsidRPr="0078772C">
        <w:rPr>
          <w:szCs w:val="20"/>
          <w:lang w:val="en-AU"/>
        </w:rPr>
        <w:noBreakHyphen/>
      </w:r>
      <w:r w:rsidR="00BF2F56" w:rsidRPr="0078772C">
        <w:rPr>
          <w:lang w:val="en-AU"/>
        </w:rPr>
        <w:t>Breast01</w:t>
      </w:r>
      <w:r w:rsidR="00C020EC" w:rsidRPr="0078772C">
        <w:rPr>
          <w:lang w:val="en-AU"/>
        </w:rPr>
        <w:t xml:space="preserve"> </w:t>
      </w:r>
      <w:r w:rsidR="00BF2F56" w:rsidRPr="0078772C">
        <w:rPr>
          <w:lang w:val="en-AU"/>
        </w:rPr>
        <w:t>(</w:t>
      </w:r>
      <w:r w:rsidR="00200C01" w:rsidRPr="0078772C">
        <w:rPr>
          <w:lang w:val="en-AU"/>
        </w:rPr>
        <w:t>i</w:t>
      </w:r>
      <w:r w:rsidR="00BF2F56" w:rsidRPr="0078772C">
        <w:rPr>
          <w:lang w:val="en-AU"/>
        </w:rPr>
        <w:t>ntent</w:t>
      </w:r>
      <w:r w:rsidR="00BF2F56" w:rsidRPr="0078772C">
        <w:rPr>
          <w:szCs w:val="20"/>
          <w:lang w:val="en-AU"/>
        </w:rPr>
        <w:noBreakHyphen/>
      </w:r>
      <w:r w:rsidR="00BF2F56" w:rsidRPr="0078772C">
        <w:rPr>
          <w:lang w:val="en-AU"/>
        </w:rPr>
        <w:t>to</w:t>
      </w:r>
      <w:r w:rsidR="00BF2F56" w:rsidRPr="0078772C">
        <w:rPr>
          <w:szCs w:val="20"/>
          <w:lang w:val="en-AU"/>
        </w:rPr>
        <w:noBreakHyphen/>
      </w:r>
      <w:r w:rsidR="00200C01" w:rsidRPr="0078772C">
        <w:rPr>
          <w:lang w:val="en-AU"/>
        </w:rPr>
        <w:t>t</w:t>
      </w:r>
      <w:r w:rsidR="00BF2F56" w:rsidRPr="0078772C">
        <w:rPr>
          <w:lang w:val="en-AU"/>
        </w:rPr>
        <w:t xml:space="preserve">reat </w:t>
      </w:r>
      <w:r w:rsidR="00200C01" w:rsidRPr="0078772C">
        <w:rPr>
          <w:lang w:val="en-AU"/>
        </w:rPr>
        <w:t>a</w:t>
      </w:r>
      <w:r w:rsidR="00BF2F56" w:rsidRPr="0078772C">
        <w:rPr>
          <w:lang w:val="en-AU"/>
        </w:rPr>
        <w:t xml:space="preserve">nalysis </w:t>
      </w:r>
      <w:r w:rsidR="00200C01" w:rsidRPr="0078772C">
        <w:rPr>
          <w:lang w:val="en-AU"/>
        </w:rPr>
        <w:t>s</w:t>
      </w:r>
      <w:r w:rsidR="00BF2F56" w:rsidRPr="0078772C">
        <w:rPr>
          <w:lang w:val="en-AU"/>
        </w:rPr>
        <w:t>et)</w:t>
      </w:r>
    </w:p>
    <w:tbl>
      <w:tblPr>
        <w:tblStyle w:val="TableGrid"/>
        <w:tblW w:w="0" w:type="auto"/>
        <w:tblInd w:w="-5" w:type="dxa"/>
        <w:tblCellMar>
          <w:left w:w="115" w:type="dxa"/>
          <w:right w:w="115" w:type="dxa"/>
        </w:tblCellMar>
        <w:tblLook w:val="04A0" w:firstRow="1" w:lastRow="0" w:firstColumn="1" w:lastColumn="0" w:noHBand="0" w:noVBand="1"/>
      </w:tblPr>
      <w:tblGrid>
        <w:gridCol w:w="5812"/>
        <w:gridCol w:w="3686"/>
      </w:tblGrid>
      <w:tr w:rsidR="004E57DD" w:rsidRPr="0078772C" w14:paraId="1559DDD5" w14:textId="77777777" w:rsidTr="00C020EC">
        <w:trPr>
          <w:cantSplit/>
          <w:trHeight w:val="779"/>
          <w:tblHeader/>
        </w:trPr>
        <w:tc>
          <w:tcPr>
            <w:tcW w:w="5812" w:type="dxa"/>
            <w:tcBorders>
              <w:top w:val="single" w:sz="4" w:space="0" w:color="auto"/>
              <w:left w:val="single" w:sz="4" w:space="0" w:color="auto"/>
              <w:bottom w:val="single" w:sz="4" w:space="0" w:color="auto"/>
              <w:right w:val="single" w:sz="4" w:space="0" w:color="auto"/>
            </w:tcBorders>
            <w:vAlign w:val="center"/>
            <w:hideMark/>
          </w:tcPr>
          <w:p w14:paraId="35375CEE" w14:textId="65BED62F" w:rsidR="004E57DD" w:rsidRPr="0078772C" w:rsidRDefault="004E57DD" w:rsidP="00E832C6">
            <w:pPr>
              <w:pStyle w:val="TableHead"/>
              <w:rPr>
                <w:lang w:val="en-A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7F4DBB2" w14:textId="77777777" w:rsidR="004E57DD" w:rsidRPr="0078772C" w:rsidRDefault="004E57DD" w:rsidP="00E832C6">
            <w:pPr>
              <w:pStyle w:val="TableHead"/>
              <w:rPr>
                <w:lang w:val="en-AU"/>
              </w:rPr>
            </w:pPr>
            <w:r w:rsidRPr="0078772C">
              <w:rPr>
                <w:lang w:val="en-AU"/>
              </w:rPr>
              <w:t>DESTINY</w:t>
            </w:r>
            <w:r w:rsidRPr="0078772C">
              <w:rPr>
                <w:rFonts w:cs="Arial"/>
                <w:szCs w:val="20"/>
                <w:lang w:val="en-AU"/>
              </w:rPr>
              <w:noBreakHyphen/>
            </w:r>
            <w:r w:rsidRPr="0078772C">
              <w:rPr>
                <w:lang w:val="en-AU"/>
              </w:rPr>
              <w:t>Breast01</w:t>
            </w:r>
          </w:p>
          <w:p w14:paraId="779D0F35" w14:textId="57438F19" w:rsidR="00703FA1" w:rsidRPr="0078772C" w:rsidRDefault="004E57DD" w:rsidP="00C020EC">
            <w:pPr>
              <w:pStyle w:val="TableHead"/>
              <w:rPr>
                <w:lang w:val="en-AU"/>
              </w:rPr>
            </w:pPr>
            <w:r w:rsidRPr="0078772C">
              <w:rPr>
                <w:lang w:val="en-AU"/>
              </w:rPr>
              <w:t>N=184</w:t>
            </w:r>
          </w:p>
        </w:tc>
      </w:tr>
      <w:tr w:rsidR="004E57DD" w:rsidRPr="0078772C" w14:paraId="56F606B2" w14:textId="77777777" w:rsidTr="00C020EC">
        <w:trPr>
          <w:trHeight w:val="561"/>
        </w:trPr>
        <w:tc>
          <w:tcPr>
            <w:tcW w:w="5812" w:type="dxa"/>
            <w:tcBorders>
              <w:top w:val="single" w:sz="4" w:space="0" w:color="auto"/>
              <w:left w:val="single" w:sz="4" w:space="0" w:color="auto"/>
              <w:bottom w:val="single" w:sz="4" w:space="0" w:color="auto"/>
              <w:right w:val="single" w:sz="4" w:space="0" w:color="auto"/>
            </w:tcBorders>
            <w:vAlign w:val="center"/>
          </w:tcPr>
          <w:p w14:paraId="194C45B3" w14:textId="41B8CB7B" w:rsidR="004E57DD" w:rsidRPr="0078772C" w:rsidRDefault="004E57DD" w:rsidP="00464932">
            <w:pPr>
              <w:spacing w:after="0"/>
              <w:rPr>
                <w:lang w:val="en-AU"/>
              </w:rPr>
            </w:pPr>
            <w:r w:rsidRPr="0078772C">
              <w:rPr>
                <w:b/>
                <w:lang w:val="en-AU"/>
              </w:rPr>
              <w:t xml:space="preserve">Confirmed </w:t>
            </w:r>
            <w:r w:rsidR="00200C01" w:rsidRPr="0078772C">
              <w:rPr>
                <w:b/>
                <w:lang w:val="en-AU"/>
              </w:rPr>
              <w:t>o</w:t>
            </w:r>
            <w:r w:rsidRPr="0078772C">
              <w:rPr>
                <w:b/>
                <w:lang w:val="en-AU"/>
              </w:rPr>
              <w:t xml:space="preserve">bjective </w:t>
            </w:r>
            <w:r w:rsidR="00200C01" w:rsidRPr="0078772C">
              <w:rPr>
                <w:b/>
                <w:lang w:val="en-AU"/>
              </w:rPr>
              <w:t>r</w:t>
            </w:r>
            <w:r w:rsidRPr="0078772C">
              <w:rPr>
                <w:b/>
                <w:lang w:val="en-AU"/>
              </w:rPr>
              <w:t xml:space="preserve">esponse </w:t>
            </w:r>
            <w:r w:rsidR="00200C01" w:rsidRPr="0078772C">
              <w:rPr>
                <w:b/>
                <w:lang w:val="en-AU"/>
              </w:rPr>
              <w:t>r</w:t>
            </w:r>
            <w:r w:rsidRPr="0078772C">
              <w:rPr>
                <w:b/>
                <w:lang w:val="en-AU"/>
              </w:rPr>
              <w:t>ate</w:t>
            </w:r>
            <w:r w:rsidR="00703FA1" w:rsidRPr="0078772C">
              <w:rPr>
                <w:b/>
                <w:lang w:val="en-AU"/>
              </w:rPr>
              <w:t xml:space="preserve"> (ORR) </w:t>
            </w:r>
            <w:r w:rsidRPr="0078772C">
              <w:rPr>
                <w:lang w:val="en-AU"/>
              </w:rPr>
              <w:t>(95% CI)</w:t>
            </w:r>
            <w:r w:rsidR="00704E7C" w:rsidRPr="0078772C">
              <w:rPr>
                <w:vertAlign w:val="superscript"/>
                <w:lang w:val="en-AU"/>
              </w:rPr>
              <w:t>#</w:t>
            </w:r>
            <w:r w:rsidR="00266B71" w:rsidRPr="0078772C">
              <w:rPr>
                <w:vertAlign w:val="superscript"/>
                <w:lang w:val="en-AU"/>
              </w:rPr>
              <w:t>§</w:t>
            </w:r>
            <w:r w:rsidR="00E02913" w:rsidRPr="0078772C">
              <w:rPr>
                <w:rStyle w:val="CommentReference"/>
                <w:lang w:val="en-AU" w:eastAsia="en-US"/>
              </w:rPr>
              <w:t xml:space="preserve">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9D8842" w14:textId="74789DDF" w:rsidR="004E57DD" w:rsidRPr="0078772C" w:rsidRDefault="00704E7C" w:rsidP="00464932">
            <w:pPr>
              <w:spacing w:after="0"/>
              <w:jc w:val="center"/>
              <w:rPr>
                <w:lang w:val="en-AU"/>
              </w:rPr>
            </w:pPr>
            <w:r w:rsidRPr="0078772C">
              <w:rPr>
                <w:lang w:val="en-AU"/>
              </w:rPr>
              <w:t>62% (54.5, 69.0)</w:t>
            </w:r>
          </w:p>
        </w:tc>
      </w:tr>
      <w:tr w:rsidR="004E57DD" w:rsidRPr="0078772C" w14:paraId="6CF979F8" w14:textId="77777777" w:rsidTr="00C020EC">
        <w:trPr>
          <w:trHeight w:val="561"/>
        </w:trPr>
        <w:tc>
          <w:tcPr>
            <w:tcW w:w="5812" w:type="dxa"/>
            <w:tcBorders>
              <w:top w:val="single" w:sz="4" w:space="0" w:color="auto"/>
              <w:left w:val="single" w:sz="4" w:space="0" w:color="auto"/>
              <w:bottom w:val="single" w:sz="4" w:space="0" w:color="auto"/>
              <w:right w:val="single" w:sz="4" w:space="0" w:color="auto"/>
            </w:tcBorders>
            <w:vAlign w:val="center"/>
            <w:hideMark/>
          </w:tcPr>
          <w:p w14:paraId="376BC630" w14:textId="524D73EA" w:rsidR="004E57DD" w:rsidRPr="0078772C" w:rsidRDefault="004E57DD" w:rsidP="00464932">
            <w:pPr>
              <w:spacing w:after="0"/>
              <w:rPr>
                <w:lang w:val="en-AU"/>
              </w:rPr>
            </w:pPr>
            <w:r w:rsidRPr="0078772C">
              <w:rPr>
                <w:lang w:val="en-AU"/>
              </w:rPr>
              <w:t xml:space="preserve">Complete </w:t>
            </w:r>
            <w:r w:rsidR="00D528FD" w:rsidRPr="0078772C">
              <w:rPr>
                <w:lang w:val="en-AU"/>
              </w:rPr>
              <w:t>r</w:t>
            </w:r>
            <w:r w:rsidRPr="0078772C">
              <w:rPr>
                <w:lang w:val="en-AU"/>
              </w:rPr>
              <w:t>esponse</w:t>
            </w:r>
            <w:r w:rsidR="00775B8E" w:rsidRPr="0078772C">
              <w:rPr>
                <w:lang w:val="en-AU"/>
              </w:rPr>
              <w:t xml:space="preserve"> (CR)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9EEC04" w14:textId="32E5A1C2" w:rsidR="004E57DD" w:rsidRPr="0078772C" w:rsidRDefault="00D43A76" w:rsidP="00464932">
            <w:pPr>
              <w:spacing w:after="0"/>
              <w:jc w:val="center"/>
              <w:rPr>
                <w:lang w:val="en-AU"/>
              </w:rPr>
            </w:pPr>
            <w:r w:rsidRPr="0078772C">
              <w:rPr>
                <w:lang w:val="en-AU"/>
              </w:rPr>
              <w:t>7.1%</w:t>
            </w:r>
          </w:p>
        </w:tc>
      </w:tr>
      <w:tr w:rsidR="004E57DD" w:rsidRPr="0078772C" w14:paraId="2CB39EE2" w14:textId="77777777" w:rsidTr="00C020EC">
        <w:trPr>
          <w:trHeight w:val="561"/>
        </w:trPr>
        <w:tc>
          <w:tcPr>
            <w:tcW w:w="5812" w:type="dxa"/>
            <w:tcBorders>
              <w:top w:val="single" w:sz="4" w:space="0" w:color="auto"/>
              <w:left w:val="single" w:sz="4" w:space="0" w:color="auto"/>
              <w:bottom w:val="single" w:sz="4" w:space="0" w:color="auto"/>
              <w:right w:val="single" w:sz="4" w:space="0" w:color="auto"/>
            </w:tcBorders>
            <w:vAlign w:val="center"/>
            <w:hideMark/>
          </w:tcPr>
          <w:p w14:paraId="39C91E19" w14:textId="2E7B51B7" w:rsidR="004E57DD" w:rsidRPr="0078772C" w:rsidRDefault="004E57DD" w:rsidP="00464932">
            <w:pPr>
              <w:spacing w:after="0"/>
              <w:rPr>
                <w:lang w:val="en-AU"/>
              </w:rPr>
            </w:pPr>
            <w:r w:rsidRPr="0078772C">
              <w:rPr>
                <w:lang w:val="en-AU"/>
              </w:rPr>
              <w:t xml:space="preserve">Partial </w:t>
            </w:r>
            <w:r w:rsidR="00D528FD" w:rsidRPr="0078772C">
              <w:rPr>
                <w:lang w:val="en-AU"/>
              </w:rPr>
              <w:t>r</w:t>
            </w:r>
            <w:r w:rsidRPr="0078772C">
              <w:rPr>
                <w:lang w:val="en-AU"/>
              </w:rPr>
              <w:t>esponse</w:t>
            </w:r>
            <w:r w:rsidR="00C570F9" w:rsidRPr="0078772C">
              <w:rPr>
                <w:lang w:val="en-AU"/>
              </w:rPr>
              <w:t xml:space="preserve"> (PR)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947A6C" w14:textId="33B9E250" w:rsidR="004E57DD" w:rsidRPr="0078772C" w:rsidRDefault="00D43A76" w:rsidP="00464932">
            <w:pPr>
              <w:spacing w:after="0"/>
              <w:jc w:val="center"/>
              <w:rPr>
                <w:lang w:val="en-AU"/>
              </w:rPr>
            </w:pPr>
            <w:r w:rsidRPr="0078772C">
              <w:rPr>
                <w:lang w:val="en-AU"/>
              </w:rPr>
              <w:t>54.9%</w:t>
            </w:r>
          </w:p>
        </w:tc>
      </w:tr>
      <w:tr w:rsidR="004E57DD" w:rsidRPr="0078772C" w14:paraId="081B3D94" w14:textId="77777777" w:rsidTr="00C020EC">
        <w:trPr>
          <w:trHeight w:val="496"/>
        </w:trPr>
        <w:tc>
          <w:tcPr>
            <w:tcW w:w="5812" w:type="dxa"/>
            <w:tcBorders>
              <w:top w:val="single" w:sz="4" w:space="0" w:color="auto"/>
              <w:left w:val="single" w:sz="4" w:space="0" w:color="auto"/>
              <w:bottom w:val="single" w:sz="4" w:space="0" w:color="auto"/>
              <w:right w:val="single" w:sz="4" w:space="0" w:color="auto"/>
            </w:tcBorders>
            <w:vAlign w:val="center"/>
          </w:tcPr>
          <w:p w14:paraId="678AE5A4" w14:textId="224231BC" w:rsidR="00792A35" w:rsidRPr="0078772C" w:rsidRDefault="004E57DD" w:rsidP="00464932">
            <w:pPr>
              <w:spacing w:after="0"/>
              <w:rPr>
                <w:b/>
                <w:lang w:val="en-AU"/>
              </w:rPr>
            </w:pPr>
            <w:r w:rsidRPr="0078772C">
              <w:rPr>
                <w:b/>
                <w:lang w:val="en-AU"/>
              </w:rPr>
              <w:t xml:space="preserve">Duration of Response </w:t>
            </w:r>
            <w:r w:rsidR="00792A35" w:rsidRPr="0078772C">
              <w:rPr>
                <w:b/>
                <w:lang w:val="en-AU"/>
              </w:rPr>
              <w:t>(</w:t>
            </w:r>
            <w:proofErr w:type="spellStart"/>
            <w:r w:rsidR="00792A35" w:rsidRPr="0078772C">
              <w:rPr>
                <w:b/>
                <w:lang w:val="en-AU"/>
              </w:rPr>
              <w:t>DoR</w:t>
            </w:r>
            <w:proofErr w:type="spellEnd"/>
            <w:r w:rsidR="00792A35" w:rsidRPr="0078772C">
              <w:rPr>
                <w:b/>
                <w:lang w:val="en-AU"/>
              </w:rPr>
              <w:t>)</w:t>
            </w:r>
            <w:r w:rsidR="00BB487C" w:rsidRPr="0078772C">
              <w:rPr>
                <w:lang w:val="en-AU"/>
              </w:rPr>
              <w:t>*</w:t>
            </w:r>
          </w:p>
          <w:p w14:paraId="2D0AC885" w14:textId="7D2BDF97" w:rsidR="004E57DD" w:rsidRPr="0078772C" w:rsidRDefault="004E57DD" w:rsidP="00464932">
            <w:pPr>
              <w:spacing w:after="0"/>
              <w:rPr>
                <w:b/>
                <w:lang w:val="en-AU"/>
              </w:rPr>
            </w:pPr>
          </w:p>
        </w:tc>
        <w:tc>
          <w:tcPr>
            <w:tcW w:w="3686" w:type="dxa"/>
            <w:tcBorders>
              <w:top w:val="single" w:sz="4" w:space="0" w:color="auto"/>
              <w:left w:val="single" w:sz="4" w:space="0" w:color="auto"/>
              <w:bottom w:val="single" w:sz="4" w:space="0" w:color="auto"/>
              <w:right w:val="single" w:sz="4" w:space="0" w:color="auto"/>
            </w:tcBorders>
            <w:vAlign w:val="center"/>
          </w:tcPr>
          <w:p w14:paraId="11BB5EED" w14:textId="4BFEB094" w:rsidR="004E57DD" w:rsidRPr="0078772C" w:rsidRDefault="004E57DD" w:rsidP="00464932">
            <w:pPr>
              <w:spacing w:after="0"/>
              <w:jc w:val="center"/>
              <w:rPr>
                <w:lang w:val="en-AU"/>
              </w:rPr>
            </w:pPr>
          </w:p>
        </w:tc>
      </w:tr>
      <w:tr w:rsidR="00D528FD" w:rsidRPr="0078772C" w14:paraId="3270C3F8" w14:textId="77777777" w:rsidTr="00C020EC">
        <w:trPr>
          <w:trHeight w:val="496"/>
        </w:trPr>
        <w:tc>
          <w:tcPr>
            <w:tcW w:w="5812" w:type="dxa"/>
            <w:tcBorders>
              <w:top w:val="single" w:sz="4" w:space="0" w:color="auto"/>
              <w:left w:val="single" w:sz="4" w:space="0" w:color="auto"/>
              <w:bottom w:val="single" w:sz="4" w:space="0" w:color="auto"/>
              <w:right w:val="single" w:sz="4" w:space="0" w:color="auto"/>
            </w:tcBorders>
            <w:vAlign w:val="center"/>
          </w:tcPr>
          <w:p w14:paraId="3E10DC45" w14:textId="6C0E0666" w:rsidR="00D528FD" w:rsidRPr="0078772C" w:rsidRDefault="00D528FD" w:rsidP="00464932">
            <w:pPr>
              <w:spacing w:after="0"/>
              <w:rPr>
                <w:b/>
                <w:lang w:val="en-AU"/>
              </w:rPr>
            </w:pPr>
            <w:r w:rsidRPr="0078772C">
              <w:rPr>
                <w:lang w:val="en-AU"/>
              </w:rPr>
              <w:t>Median, months (95% CI)</w:t>
            </w:r>
          </w:p>
        </w:tc>
        <w:tc>
          <w:tcPr>
            <w:tcW w:w="3686" w:type="dxa"/>
            <w:tcBorders>
              <w:top w:val="single" w:sz="4" w:space="0" w:color="auto"/>
              <w:left w:val="single" w:sz="4" w:space="0" w:color="auto"/>
              <w:bottom w:val="single" w:sz="4" w:space="0" w:color="auto"/>
              <w:right w:val="single" w:sz="4" w:space="0" w:color="auto"/>
            </w:tcBorders>
            <w:vAlign w:val="center"/>
          </w:tcPr>
          <w:p w14:paraId="27DF0933" w14:textId="498CE605" w:rsidR="00D528FD" w:rsidRPr="0078772C" w:rsidRDefault="0075143C" w:rsidP="00464932">
            <w:pPr>
              <w:spacing w:after="0"/>
              <w:jc w:val="center"/>
              <w:rPr>
                <w:lang w:val="en-AU"/>
              </w:rPr>
            </w:pPr>
            <w:r w:rsidRPr="0078772C">
              <w:rPr>
                <w:lang w:val="en-AU"/>
              </w:rPr>
              <w:t>18.2</w:t>
            </w:r>
            <w:r w:rsidR="00BB487C" w:rsidRPr="0078772C">
              <w:rPr>
                <w:lang w:val="en-AU"/>
              </w:rPr>
              <w:t xml:space="preserve"> (15.0, NR)</w:t>
            </w:r>
          </w:p>
        </w:tc>
      </w:tr>
      <w:tr w:rsidR="004E57DD" w:rsidRPr="0078772C" w14:paraId="1CFE0E5E" w14:textId="77777777" w:rsidTr="00C020EC">
        <w:trPr>
          <w:trHeight w:val="636"/>
        </w:trPr>
        <w:tc>
          <w:tcPr>
            <w:tcW w:w="5812" w:type="dxa"/>
            <w:tcBorders>
              <w:top w:val="single" w:sz="4" w:space="0" w:color="auto"/>
              <w:left w:val="single" w:sz="4" w:space="0" w:color="auto"/>
              <w:bottom w:val="single" w:sz="4" w:space="0" w:color="auto"/>
              <w:right w:val="single" w:sz="4" w:space="0" w:color="auto"/>
            </w:tcBorders>
            <w:vAlign w:val="center"/>
          </w:tcPr>
          <w:p w14:paraId="0218FFD9" w14:textId="68C5DA7D" w:rsidR="004E57DD" w:rsidRPr="0078772C" w:rsidRDefault="004E57DD" w:rsidP="00464932">
            <w:pPr>
              <w:spacing w:after="0"/>
              <w:rPr>
                <w:lang w:val="en-AU"/>
              </w:rPr>
            </w:pPr>
            <w:r w:rsidRPr="0078772C">
              <w:rPr>
                <w:lang w:val="en-AU"/>
              </w:rPr>
              <w:t>% with duration of response ≥6 months (95% CI)</w:t>
            </w:r>
            <w:r w:rsidRPr="0078772C">
              <w:rPr>
                <w:bCs/>
                <w:vertAlign w:val="superscript"/>
                <w:lang w:val="en-AU"/>
              </w:rPr>
              <w:t>†</w:t>
            </w:r>
          </w:p>
        </w:tc>
        <w:tc>
          <w:tcPr>
            <w:tcW w:w="3686" w:type="dxa"/>
            <w:tcBorders>
              <w:top w:val="single" w:sz="4" w:space="0" w:color="auto"/>
              <w:left w:val="single" w:sz="4" w:space="0" w:color="auto"/>
              <w:bottom w:val="single" w:sz="4" w:space="0" w:color="auto"/>
              <w:right w:val="single" w:sz="4" w:space="0" w:color="auto"/>
            </w:tcBorders>
            <w:vAlign w:val="center"/>
          </w:tcPr>
          <w:p w14:paraId="141BC92E" w14:textId="2AA4FFF1" w:rsidR="004E57DD" w:rsidRPr="0078772C" w:rsidRDefault="00CC6514" w:rsidP="00CC6514">
            <w:pPr>
              <w:spacing w:after="0"/>
              <w:jc w:val="center"/>
              <w:rPr>
                <w:lang w:val="en-AU"/>
              </w:rPr>
            </w:pPr>
            <w:r w:rsidRPr="0078772C">
              <w:rPr>
                <w:lang w:val="en-AU"/>
              </w:rPr>
              <w:t>81.8% (72.5, 88.1)</w:t>
            </w:r>
          </w:p>
        </w:tc>
      </w:tr>
      <w:tr w:rsidR="00BF2F56" w:rsidRPr="0078772C" w14:paraId="7E0E05C0" w14:textId="77777777" w:rsidTr="0075143C">
        <w:trPr>
          <w:trHeight w:val="521"/>
        </w:trPr>
        <w:tc>
          <w:tcPr>
            <w:tcW w:w="9498" w:type="dxa"/>
            <w:gridSpan w:val="2"/>
            <w:tcBorders>
              <w:top w:val="single" w:sz="4" w:space="0" w:color="auto"/>
              <w:left w:val="nil"/>
              <w:bottom w:val="nil"/>
              <w:right w:val="nil"/>
            </w:tcBorders>
            <w:vAlign w:val="center"/>
          </w:tcPr>
          <w:p w14:paraId="692729CF" w14:textId="77777777" w:rsidR="00BF2F56" w:rsidRPr="0078772C" w:rsidRDefault="00BF2F56" w:rsidP="00464932">
            <w:pPr>
              <w:spacing w:after="0"/>
              <w:rPr>
                <w:sz w:val="21"/>
                <w:szCs w:val="20"/>
                <w:lang w:val="en-AU"/>
              </w:rPr>
            </w:pPr>
            <w:r w:rsidRPr="0078772C">
              <w:rPr>
                <w:sz w:val="21"/>
                <w:szCs w:val="20"/>
                <w:lang w:val="en-AU"/>
              </w:rPr>
              <w:t>ORR 95% CI calculated using Clopper-Pearson method</w:t>
            </w:r>
          </w:p>
          <w:p w14:paraId="1E7BDF77" w14:textId="77777777" w:rsidR="00BF2F56" w:rsidRPr="0078772C" w:rsidRDefault="00BF2F56" w:rsidP="00464932">
            <w:pPr>
              <w:spacing w:after="0"/>
              <w:rPr>
                <w:sz w:val="21"/>
                <w:szCs w:val="20"/>
                <w:lang w:val="en-AU"/>
              </w:rPr>
            </w:pPr>
            <w:r w:rsidRPr="0078772C">
              <w:rPr>
                <w:sz w:val="21"/>
                <w:szCs w:val="20"/>
                <w:lang w:val="en-AU"/>
              </w:rPr>
              <w:t>CI = confidence interval</w:t>
            </w:r>
          </w:p>
          <w:p w14:paraId="113895F9" w14:textId="46AF980F" w:rsidR="00BF2F56" w:rsidRPr="0078772C" w:rsidRDefault="00BF2F56" w:rsidP="00464932">
            <w:pPr>
              <w:spacing w:after="0"/>
              <w:rPr>
                <w:sz w:val="21"/>
                <w:szCs w:val="20"/>
                <w:lang w:val="en-AU"/>
              </w:rPr>
            </w:pPr>
            <w:r w:rsidRPr="0078772C">
              <w:rPr>
                <w:sz w:val="21"/>
                <w:szCs w:val="20"/>
                <w:lang w:val="en-AU"/>
              </w:rPr>
              <w:t>95% CIs calculated using Brookmeyer-Crowley method</w:t>
            </w:r>
          </w:p>
          <w:p w14:paraId="596960F2" w14:textId="25C67EE8" w:rsidR="00704E7C" w:rsidRPr="0078772C" w:rsidRDefault="00704E7C" w:rsidP="00464932">
            <w:pPr>
              <w:spacing w:after="0"/>
              <w:rPr>
                <w:sz w:val="21"/>
                <w:szCs w:val="20"/>
                <w:lang w:val="en-AU"/>
              </w:rPr>
            </w:pPr>
            <w:r w:rsidRPr="0078772C">
              <w:rPr>
                <w:sz w:val="21"/>
                <w:szCs w:val="20"/>
                <w:vertAlign w:val="superscript"/>
                <w:lang w:val="en-AU"/>
              </w:rPr>
              <w:t>#</w:t>
            </w:r>
            <w:r w:rsidRPr="0078772C">
              <w:rPr>
                <w:sz w:val="21"/>
                <w:szCs w:val="20"/>
                <w:lang w:val="en-AU"/>
              </w:rPr>
              <w:t>Confirmed responses (by blinded independent central review) were defined as a recorded response of either CR/PR, confirmed by repeat imaging not less than 4 weeks after the visit when the response was first observed.</w:t>
            </w:r>
          </w:p>
          <w:p w14:paraId="4AFF41BA" w14:textId="422DE965" w:rsidR="00266B71" w:rsidRPr="0078772C" w:rsidRDefault="00266B71" w:rsidP="00464932">
            <w:pPr>
              <w:spacing w:after="0"/>
              <w:rPr>
                <w:sz w:val="21"/>
                <w:szCs w:val="20"/>
                <w:lang w:val="en-AU"/>
              </w:rPr>
            </w:pPr>
            <w:r w:rsidRPr="0078772C">
              <w:rPr>
                <w:vertAlign w:val="superscript"/>
                <w:lang w:val="en-AU"/>
              </w:rPr>
              <w:t>§</w:t>
            </w:r>
            <w:r w:rsidRPr="0078772C">
              <w:rPr>
                <w:sz w:val="20"/>
                <w:szCs w:val="20"/>
              </w:rPr>
              <w:t>Of the 184 patients, 35.3% had stable disease, 1.6% had progressive disease and 1.1% were not evaluable.</w:t>
            </w:r>
          </w:p>
          <w:p w14:paraId="63188A02" w14:textId="4BC3B27E" w:rsidR="00BF2F56" w:rsidRPr="0078772C" w:rsidRDefault="00BF2F56" w:rsidP="00464932">
            <w:pPr>
              <w:spacing w:after="0"/>
              <w:rPr>
                <w:sz w:val="21"/>
                <w:szCs w:val="21"/>
                <w:lang w:val="en-AU"/>
              </w:rPr>
            </w:pPr>
            <w:r w:rsidRPr="0078772C">
              <w:rPr>
                <w:sz w:val="21"/>
                <w:szCs w:val="21"/>
                <w:lang w:val="en-AU"/>
              </w:rPr>
              <w:t>*</w:t>
            </w:r>
            <w:r w:rsidR="00BB487C" w:rsidRPr="0078772C">
              <w:rPr>
                <w:sz w:val="21"/>
                <w:szCs w:val="21"/>
                <w:lang w:val="en-AU"/>
              </w:rPr>
              <w:t>Includes 69 patients with censored data</w:t>
            </w:r>
          </w:p>
          <w:p w14:paraId="4FB14789" w14:textId="7280928E" w:rsidR="00563CB7" w:rsidRPr="0078772C" w:rsidRDefault="00BF2F56" w:rsidP="00464932">
            <w:pPr>
              <w:spacing w:after="0"/>
              <w:rPr>
                <w:sz w:val="21"/>
                <w:szCs w:val="20"/>
                <w:lang w:val="en-AU"/>
              </w:rPr>
            </w:pPr>
            <w:r w:rsidRPr="0078772C">
              <w:rPr>
                <w:sz w:val="21"/>
                <w:szCs w:val="20"/>
                <w:lang w:val="en-AU"/>
              </w:rPr>
              <w:t>†Based on Kaplan</w:t>
            </w:r>
            <w:r w:rsidRPr="0078772C">
              <w:rPr>
                <w:rFonts w:cs="Arial"/>
                <w:szCs w:val="20"/>
                <w:lang w:val="en-AU"/>
              </w:rPr>
              <w:noBreakHyphen/>
            </w:r>
            <w:r w:rsidRPr="0078772C">
              <w:rPr>
                <w:sz w:val="21"/>
                <w:szCs w:val="20"/>
                <w:lang w:val="en-AU"/>
              </w:rPr>
              <w:t>Meier estimates</w:t>
            </w:r>
          </w:p>
          <w:p w14:paraId="44E77205" w14:textId="57DBA79E" w:rsidR="00BF2F56" w:rsidRPr="0078772C" w:rsidRDefault="00563CB7" w:rsidP="00464932">
            <w:pPr>
              <w:spacing w:after="0"/>
              <w:rPr>
                <w:sz w:val="21"/>
                <w:szCs w:val="20"/>
                <w:lang w:val="en-AU"/>
              </w:rPr>
            </w:pPr>
            <w:r w:rsidRPr="0078772C">
              <w:rPr>
                <w:sz w:val="21"/>
                <w:szCs w:val="20"/>
                <w:lang w:val="en-AU"/>
              </w:rPr>
              <w:t>Efficacy data based on DCO 21 March 2021, median duration of follow-up of 26.5 months</w:t>
            </w:r>
          </w:p>
        </w:tc>
      </w:tr>
    </w:tbl>
    <w:p w14:paraId="3707D353" w14:textId="77777777" w:rsidR="00BF2F56" w:rsidRPr="0078772C" w:rsidRDefault="00BF2F56" w:rsidP="00063A7D">
      <w:pPr>
        <w:spacing w:after="0" w:line="240" w:lineRule="auto"/>
        <w:rPr>
          <w:lang w:val="en-AU"/>
        </w:rPr>
      </w:pPr>
    </w:p>
    <w:p w14:paraId="0AB4272F" w14:textId="77EE1BFD" w:rsidR="00063A7D" w:rsidRPr="0078772C" w:rsidRDefault="00063A7D" w:rsidP="00063A7D">
      <w:pPr>
        <w:spacing w:after="0" w:line="240" w:lineRule="auto"/>
        <w:rPr>
          <w:lang w:val="en-AU"/>
        </w:rPr>
      </w:pPr>
    </w:p>
    <w:p w14:paraId="73D59986" w14:textId="13254578" w:rsidR="00F91F31" w:rsidRPr="004E508C" w:rsidRDefault="00F91F31" w:rsidP="00F91F31">
      <w:pPr>
        <w:spacing w:after="0" w:line="240" w:lineRule="auto"/>
        <w:rPr>
          <w:lang w:val="en-AU"/>
        </w:rPr>
      </w:pPr>
      <w:r w:rsidRPr="0078772C">
        <w:rPr>
          <w:lang w:val="en-AU"/>
        </w:rPr>
        <w:t xml:space="preserve">Consistent antitumor activity was observed with </w:t>
      </w:r>
      <w:r w:rsidR="0005179C" w:rsidRPr="0078772C">
        <w:rPr>
          <w:lang w:val="en-AU"/>
        </w:rPr>
        <w:t>ENHERTU</w:t>
      </w:r>
      <w:r w:rsidRPr="0078772C">
        <w:rPr>
          <w:lang w:val="en-AU"/>
        </w:rPr>
        <w:t xml:space="preserve"> regardless of prior </w:t>
      </w:r>
      <w:proofErr w:type="spellStart"/>
      <w:r w:rsidRPr="0078772C">
        <w:rPr>
          <w:lang w:val="en-AU"/>
        </w:rPr>
        <w:t>pertuzumab</w:t>
      </w:r>
      <w:proofErr w:type="spellEnd"/>
      <w:r w:rsidRPr="0078772C">
        <w:rPr>
          <w:lang w:val="en-AU"/>
        </w:rPr>
        <w:t xml:space="preserve"> therapy and hormone receptor status. In DESTINY</w:t>
      </w:r>
      <w:r w:rsidRPr="0078772C">
        <w:rPr>
          <w:lang w:val="en-AU"/>
        </w:rPr>
        <w:noBreakHyphen/>
        <w:t xml:space="preserve">Breast01, the subgroup of patients who received prior </w:t>
      </w:r>
      <w:proofErr w:type="spellStart"/>
      <w:r w:rsidRPr="0078772C">
        <w:rPr>
          <w:lang w:val="en-AU"/>
        </w:rPr>
        <w:t>pertuzumab</w:t>
      </w:r>
      <w:proofErr w:type="spellEnd"/>
      <w:r w:rsidRPr="0078772C">
        <w:rPr>
          <w:lang w:val="en-AU"/>
        </w:rPr>
        <w:t xml:space="preserve"> therapy had a confirmed ORR of 6</w:t>
      </w:r>
      <w:r w:rsidR="00713197" w:rsidRPr="0078772C">
        <w:rPr>
          <w:lang w:val="en-AU"/>
        </w:rPr>
        <w:t>6</w:t>
      </w:r>
      <w:r w:rsidRPr="0078772C">
        <w:rPr>
          <w:lang w:val="en-AU"/>
        </w:rPr>
        <w:t>% (95% CI: 5</w:t>
      </w:r>
      <w:r w:rsidR="00713197" w:rsidRPr="0078772C">
        <w:rPr>
          <w:lang w:val="en-AU"/>
        </w:rPr>
        <w:t>7</w:t>
      </w:r>
      <w:r w:rsidRPr="0078772C">
        <w:rPr>
          <w:lang w:val="en-AU"/>
        </w:rPr>
        <w:t>, 7</w:t>
      </w:r>
      <w:r w:rsidR="00713197" w:rsidRPr="0078772C">
        <w:rPr>
          <w:lang w:val="en-AU"/>
        </w:rPr>
        <w:t>5</w:t>
      </w:r>
      <w:r w:rsidRPr="0078772C">
        <w:rPr>
          <w:lang w:val="en-AU"/>
        </w:rPr>
        <w:t xml:space="preserve">), and those who did not receive prior </w:t>
      </w:r>
      <w:proofErr w:type="spellStart"/>
      <w:r w:rsidRPr="0078772C">
        <w:rPr>
          <w:lang w:val="en-AU"/>
        </w:rPr>
        <w:t>pertuzumab</w:t>
      </w:r>
      <w:proofErr w:type="spellEnd"/>
      <w:r w:rsidRPr="0078772C">
        <w:rPr>
          <w:lang w:val="en-AU"/>
        </w:rPr>
        <w:t xml:space="preserve"> therapy had a confirmed ORR of 5</w:t>
      </w:r>
      <w:r w:rsidR="00713197" w:rsidRPr="0078772C">
        <w:rPr>
          <w:lang w:val="en-AU"/>
        </w:rPr>
        <w:t>7</w:t>
      </w:r>
      <w:r w:rsidRPr="0078772C">
        <w:rPr>
          <w:lang w:val="en-AU"/>
        </w:rPr>
        <w:t>% (95% CI: 4</w:t>
      </w:r>
      <w:r w:rsidR="00713197" w:rsidRPr="0078772C">
        <w:rPr>
          <w:lang w:val="en-AU"/>
        </w:rPr>
        <w:t>3</w:t>
      </w:r>
      <w:r w:rsidRPr="0078772C">
        <w:rPr>
          <w:lang w:val="en-AU"/>
        </w:rPr>
        <w:t>, 6</w:t>
      </w:r>
      <w:r w:rsidR="00713197" w:rsidRPr="0078772C">
        <w:rPr>
          <w:lang w:val="en-AU"/>
        </w:rPr>
        <w:t>9</w:t>
      </w:r>
      <w:r w:rsidRPr="0078772C">
        <w:rPr>
          <w:lang w:val="en-AU"/>
        </w:rPr>
        <w:t xml:space="preserve">). The subgroup of patients who were hormone receptor positive at baseline had a confirmed ORR of </w:t>
      </w:r>
      <w:r w:rsidR="00713197" w:rsidRPr="0078772C">
        <w:rPr>
          <w:lang w:val="en-AU"/>
        </w:rPr>
        <w:t>60</w:t>
      </w:r>
      <w:r w:rsidRPr="0078772C">
        <w:rPr>
          <w:lang w:val="en-AU"/>
        </w:rPr>
        <w:t>% (95% CI: 4</w:t>
      </w:r>
      <w:r w:rsidR="00713197" w:rsidRPr="0078772C">
        <w:rPr>
          <w:lang w:val="en-AU"/>
        </w:rPr>
        <w:t>9</w:t>
      </w:r>
      <w:r w:rsidRPr="0078772C">
        <w:rPr>
          <w:lang w:val="en-AU"/>
        </w:rPr>
        <w:t xml:space="preserve">, </w:t>
      </w:r>
      <w:r w:rsidR="00713197" w:rsidRPr="0078772C">
        <w:rPr>
          <w:lang w:val="en-AU"/>
        </w:rPr>
        <w:t>70</w:t>
      </w:r>
      <w:r w:rsidRPr="0078772C">
        <w:rPr>
          <w:lang w:val="en-AU"/>
        </w:rPr>
        <w:t>), and those who were hormone receptor negative at baseline had a confirmed ORR of 6</w:t>
      </w:r>
      <w:r w:rsidR="00713197" w:rsidRPr="0078772C">
        <w:rPr>
          <w:lang w:val="en-AU"/>
        </w:rPr>
        <w:t>8</w:t>
      </w:r>
      <w:r w:rsidRPr="0078772C">
        <w:rPr>
          <w:lang w:val="en-AU"/>
        </w:rPr>
        <w:t>% (95% CI: 5</w:t>
      </w:r>
      <w:r w:rsidR="00713197" w:rsidRPr="0078772C">
        <w:rPr>
          <w:lang w:val="en-AU"/>
        </w:rPr>
        <w:t>6</w:t>
      </w:r>
      <w:r w:rsidRPr="0078772C">
        <w:rPr>
          <w:lang w:val="en-AU"/>
        </w:rPr>
        <w:t>, 7</w:t>
      </w:r>
      <w:r w:rsidR="00713197" w:rsidRPr="0078772C">
        <w:rPr>
          <w:lang w:val="en-AU"/>
        </w:rPr>
        <w:t>7</w:t>
      </w:r>
      <w:r w:rsidRPr="0078772C">
        <w:rPr>
          <w:lang w:val="en-AU"/>
        </w:rPr>
        <w:t>).</w:t>
      </w:r>
    </w:p>
    <w:p w14:paraId="04B4A63C" w14:textId="2159FFE0" w:rsidR="00F91F31" w:rsidRPr="004E508C" w:rsidRDefault="00F91F31" w:rsidP="00063A7D">
      <w:pPr>
        <w:spacing w:after="0" w:line="240" w:lineRule="auto"/>
        <w:rPr>
          <w:lang w:val="en-AU"/>
        </w:rPr>
      </w:pPr>
    </w:p>
    <w:p w14:paraId="14B9F112" w14:textId="77777777" w:rsidR="00F91F31" w:rsidRPr="004E508C" w:rsidRDefault="00F91F31" w:rsidP="00063A7D">
      <w:pPr>
        <w:spacing w:after="0" w:line="240" w:lineRule="auto"/>
        <w:rPr>
          <w:lang w:val="en-AU"/>
        </w:rPr>
      </w:pPr>
    </w:p>
    <w:p w14:paraId="3DB55D31" w14:textId="77777777" w:rsidR="001A3992" w:rsidRPr="004E508C" w:rsidRDefault="007403BD" w:rsidP="003B7CFF">
      <w:pPr>
        <w:pStyle w:val="Heading2"/>
        <w:rPr>
          <w:lang w:val="en-AU"/>
        </w:rPr>
      </w:pPr>
      <w:r w:rsidRPr="004E508C">
        <w:rPr>
          <w:lang w:val="en-AU"/>
        </w:rPr>
        <w:t>Pharmacokinetic properties</w:t>
      </w:r>
    </w:p>
    <w:p w14:paraId="4E3522BB" w14:textId="17E6D461" w:rsidR="00557A50" w:rsidRPr="004E508C" w:rsidRDefault="00557A50" w:rsidP="007403BD">
      <w:pPr>
        <w:pStyle w:val="Paragraph"/>
        <w:rPr>
          <w:lang w:val="en-AU"/>
        </w:rPr>
      </w:pPr>
      <w:r w:rsidRPr="004E508C">
        <w:rPr>
          <w:lang w:val="en-AU"/>
        </w:rPr>
        <w:t>The pharmacokinetics of trastuzumab deruxtecan was evaluated in patients with cancer.</w:t>
      </w:r>
      <w:r w:rsidR="00057AB4" w:rsidRPr="004E508C">
        <w:rPr>
          <w:lang w:val="en-AU"/>
        </w:rPr>
        <w:t xml:space="preserve"> </w:t>
      </w:r>
      <w:r w:rsidRPr="004E508C">
        <w:rPr>
          <w:lang w:val="en-AU"/>
        </w:rPr>
        <w:t xml:space="preserve">At the recommended dosage of ENHERTU, the geometric mean (coefficient of variation [CV]%) </w:t>
      </w:r>
      <w:proofErr w:type="spellStart"/>
      <w:r w:rsidRPr="004E508C">
        <w:rPr>
          <w:lang w:val="en-AU"/>
        </w:rPr>
        <w:t>Cmax</w:t>
      </w:r>
      <w:proofErr w:type="spellEnd"/>
      <w:r w:rsidRPr="004E508C">
        <w:rPr>
          <w:lang w:val="en-AU"/>
        </w:rPr>
        <w:t xml:space="preserve"> of trastuzumab </w:t>
      </w:r>
      <w:proofErr w:type="spellStart"/>
      <w:r w:rsidRPr="004E508C">
        <w:rPr>
          <w:lang w:val="en-AU"/>
        </w:rPr>
        <w:t>deruxtecan</w:t>
      </w:r>
      <w:proofErr w:type="spellEnd"/>
      <w:r w:rsidRPr="004E508C">
        <w:rPr>
          <w:lang w:val="en-AU"/>
        </w:rPr>
        <w:t xml:space="preserve"> and </w:t>
      </w:r>
      <w:proofErr w:type="spellStart"/>
      <w:r w:rsidRPr="004E508C">
        <w:rPr>
          <w:lang w:val="en-AU"/>
        </w:rPr>
        <w:t>DXd</w:t>
      </w:r>
      <w:proofErr w:type="spellEnd"/>
      <w:r w:rsidRPr="004E508C">
        <w:rPr>
          <w:lang w:val="en-AU"/>
        </w:rPr>
        <w:t xml:space="preserve"> were 122 μg/mL (20%) and 4.4 ng/mL (40%), respectively, and the AUC of trastuzumab </w:t>
      </w:r>
      <w:proofErr w:type="spellStart"/>
      <w:r w:rsidRPr="004E508C">
        <w:rPr>
          <w:lang w:val="en-AU"/>
        </w:rPr>
        <w:t>deruxtecan</w:t>
      </w:r>
      <w:proofErr w:type="spellEnd"/>
      <w:r w:rsidRPr="004E508C">
        <w:rPr>
          <w:lang w:val="en-AU"/>
        </w:rPr>
        <w:t xml:space="preserve"> and </w:t>
      </w:r>
      <w:proofErr w:type="spellStart"/>
      <w:r w:rsidRPr="004E508C">
        <w:rPr>
          <w:lang w:val="en-AU"/>
        </w:rPr>
        <w:t>DXd</w:t>
      </w:r>
      <w:proofErr w:type="spellEnd"/>
      <w:r w:rsidRPr="004E508C">
        <w:rPr>
          <w:lang w:val="en-AU"/>
        </w:rPr>
        <w:t xml:space="preserve"> were 735 </w:t>
      </w:r>
      <w:proofErr w:type="spellStart"/>
      <w:r w:rsidRPr="004E508C">
        <w:rPr>
          <w:lang w:val="en-AU"/>
        </w:rPr>
        <w:t>μg·day</w:t>
      </w:r>
      <w:proofErr w:type="spellEnd"/>
      <w:r w:rsidRPr="004E508C">
        <w:rPr>
          <w:lang w:val="en-AU"/>
        </w:rPr>
        <w:t xml:space="preserve">/mL (31%) and 28 </w:t>
      </w:r>
      <w:proofErr w:type="spellStart"/>
      <w:r w:rsidRPr="004E508C">
        <w:rPr>
          <w:lang w:val="en-AU"/>
        </w:rPr>
        <w:t>ng·day</w:t>
      </w:r>
      <w:proofErr w:type="spellEnd"/>
      <w:r w:rsidRPr="004E508C">
        <w:rPr>
          <w:lang w:val="en-AU"/>
        </w:rPr>
        <w:t>/mL (38%), respectively, based on population pharmacokinetic analysis.</w:t>
      </w:r>
    </w:p>
    <w:p w14:paraId="4E7DFA0E" w14:textId="77777777" w:rsidR="001A3992" w:rsidRPr="004E508C" w:rsidRDefault="001A3992" w:rsidP="0026491B">
      <w:pPr>
        <w:pStyle w:val="Heading3Unnumbered"/>
        <w:rPr>
          <w:lang w:val="en-AU"/>
        </w:rPr>
      </w:pPr>
      <w:r w:rsidRPr="004E508C">
        <w:rPr>
          <w:lang w:val="en-AU"/>
        </w:rPr>
        <w:lastRenderedPageBreak/>
        <w:t>Distribution</w:t>
      </w:r>
    </w:p>
    <w:p w14:paraId="05BBC332" w14:textId="2B68AC63" w:rsidR="00557A50" w:rsidRPr="004E508C" w:rsidRDefault="00557A50" w:rsidP="00557A50">
      <w:pPr>
        <w:spacing w:after="0" w:line="240" w:lineRule="auto"/>
        <w:rPr>
          <w:lang w:val="en-AU"/>
        </w:rPr>
      </w:pPr>
      <w:r w:rsidRPr="004E508C">
        <w:rPr>
          <w:lang w:val="en-AU"/>
        </w:rPr>
        <w:t>Based on population pharmacokinetic analysis, the volume of distribution of the central compartment (</w:t>
      </w:r>
      <w:proofErr w:type="spellStart"/>
      <w:r w:rsidRPr="004E508C">
        <w:rPr>
          <w:lang w:val="en-AU"/>
        </w:rPr>
        <w:t>Vc</w:t>
      </w:r>
      <w:proofErr w:type="spellEnd"/>
      <w:r w:rsidRPr="004E508C">
        <w:rPr>
          <w:lang w:val="en-AU"/>
        </w:rPr>
        <w:t xml:space="preserve">) of trastuzumab </w:t>
      </w:r>
      <w:proofErr w:type="spellStart"/>
      <w:r w:rsidRPr="004E508C">
        <w:rPr>
          <w:lang w:val="en-AU"/>
        </w:rPr>
        <w:t>deruxtecan</w:t>
      </w:r>
      <w:proofErr w:type="spellEnd"/>
      <w:r w:rsidRPr="004E508C">
        <w:rPr>
          <w:lang w:val="en-AU"/>
        </w:rPr>
        <w:t xml:space="preserve"> was estimated to be 2.77 L. </w:t>
      </w:r>
    </w:p>
    <w:p w14:paraId="0D524B2F" w14:textId="77777777" w:rsidR="00557A50" w:rsidRPr="004E508C" w:rsidRDefault="00557A50" w:rsidP="00557A50">
      <w:pPr>
        <w:spacing w:after="0" w:line="240" w:lineRule="auto"/>
        <w:rPr>
          <w:lang w:val="en-AU"/>
        </w:rPr>
      </w:pPr>
    </w:p>
    <w:p w14:paraId="79EFB140" w14:textId="0F3C09D8" w:rsidR="00557A50" w:rsidRPr="004E508C" w:rsidRDefault="00557A50" w:rsidP="00557A50">
      <w:pPr>
        <w:spacing w:after="0" w:line="240" w:lineRule="auto"/>
        <w:rPr>
          <w:lang w:val="en-AU"/>
        </w:rPr>
      </w:pPr>
      <w:r w:rsidRPr="004E508C">
        <w:rPr>
          <w:i/>
          <w:iCs/>
          <w:lang w:val="en-AU"/>
        </w:rPr>
        <w:t>In vitro</w:t>
      </w:r>
      <w:r w:rsidRPr="004E508C">
        <w:rPr>
          <w:lang w:val="en-AU"/>
        </w:rPr>
        <w:t>, the mean human plasma protein binding of the topoisomerase I inhibitor was approximately 97%.</w:t>
      </w:r>
    </w:p>
    <w:p w14:paraId="7B6FD923" w14:textId="77777777" w:rsidR="00557A50" w:rsidRPr="004E508C" w:rsidRDefault="00557A50" w:rsidP="00557A50">
      <w:pPr>
        <w:spacing w:after="0" w:line="240" w:lineRule="auto"/>
        <w:rPr>
          <w:lang w:val="en-AU"/>
        </w:rPr>
      </w:pPr>
    </w:p>
    <w:p w14:paraId="0CE9FB58" w14:textId="291B07E4" w:rsidR="00557A50" w:rsidRPr="004E508C" w:rsidRDefault="00557A50" w:rsidP="00557A50">
      <w:pPr>
        <w:spacing w:after="0" w:line="240" w:lineRule="auto"/>
        <w:rPr>
          <w:lang w:val="en-AU"/>
        </w:rPr>
      </w:pPr>
      <w:r w:rsidRPr="004E508C">
        <w:rPr>
          <w:i/>
          <w:iCs/>
          <w:lang w:val="en-AU"/>
        </w:rPr>
        <w:t>In vitro</w:t>
      </w:r>
      <w:r w:rsidRPr="004E508C">
        <w:rPr>
          <w:lang w:val="en-AU"/>
        </w:rPr>
        <w:t>, the blood to plasma concentration ratio of the topoisomerase I inhibitor was approximately 0.6.</w:t>
      </w:r>
    </w:p>
    <w:p w14:paraId="0D0A8A0D" w14:textId="77777777" w:rsidR="00557A50" w:rsidRPr="004E508C" w:rsidRDefault="00557A50" w:rsidP="00557A50">
      <w:pPr>
        <w:spacing w:after="0" w:line="240" w:lineRule="auto"/>
        <w:rPr>
          <w:lang w:val="en-AU"/>
        </w:rPr>
      </w:pPr>
    </w:p>
    <w:p w14:paraId="5210C93C" w14:textId="77777777" w:rsidR="001A3992" w:rsidRPr="004E508C" w:rsidRDefault="001A3992" w:rsidP="0026491B">
      <w:pPr>
        <w:pStyle w:val="Heading3Unnumbered"/>
        <w:rPr>
          <w:lang w:val="en-AU"/>
        </w:rPr>
      </w:pPr>
      <w:r w:rsidRPr="004E508C">
        <w:rPr>
          <w:lang w:val="en-AU"/>
        </w:rPr>
        <w:t>Metabolism</w:t>
      </w:r>
    </w:p>
    <w:p w14:paraId="4432EBCA" w14:textId="69AA122D" w:rsidR="0093529F" w:rsidRPr="004E508C" w:rsidRDefault="0093529F" w:rsidP="0093529F">
      <w:pPr>
        <w:spacing w:after="0" w:line="240" w:lineRule="auto"/>
        <w:rPr>
          <w:lang w:val="en-AU"/>
        </w:rPr>
      </w:pPr>
      <w:r w:rsidRPr="004E508C">
        <w:rPr>
          <w:lang w:val="en-AU"/>
        </w:rPr>
        <w:t>Trastuzumab deruxtecan undergoes intracellular cleavage by lysosomal enzymes to release the active topoisomerase I inhibitor.</w:t>
      </w:r>
    </w:p>
    <w:p w14:paraId="708C838A" w14:textId="77777777" w:rsidR="0093529F" w:rsidRPr="004E508C" w:rsidRDefault="0093529F" w:rsidP="0093529F">
      <w:pPr>
        <w:spacing w:after="0" w:line="240" w:lineRule="auto"/>
        <w:rPr>
          <w:lang w:val="en-AU"/>
        </w:rPr>
      </w:pPr>
    </w:p>
    <w:p w14:paraId="599F3932" w14:textId="77777777" w:rsidR="0093529F" w:rsidRPr="004E508C" w:rsidRDefault="0093529F" w:rsidP="0093529F">
      <w:pPr>
        <w:spacing w:after="0" w:line="240" w:lineRule="auto"/>
        <w:rPr>
          <w:lang w:val="en-AU"/>
        </w:rPr>
      </w:pPr>
      <w:r w:rsidRPr="004E508C">
        <w:rPr>
          <w:lang w:val="en-AU"/>
        </w:rPr>
        <w:t>The humanized HER2 IgG1 monoclonal antibody is expected to be degraded into small peptides and amino acids via catabolic pathways in the same manner as endogenous IgG.</w:t>
      </w:r>
    </w:p>
    <w:p w14:paraId="4C621AF0" w14:textId="77777777" w:rsidR="0093529F" w:rsidRPr="004E508C" w:rsidRDefault="0093529F" w:rsidP="0093529F">
      <w:pPr>
        <w:spacing w:after="0" w:line="240" w:lineRule="auto"/>
        <w:rPr>
          <w:lang w:val="en-AU"/>
        </w:rPr>
      </w:pPr>
    </w:p>
    <w:p w14:paraId="4F303FEC" w14:textId="3C883BBD" w:rsidR="00C432F3" w:rsidRPr="004E508C" w:rsidRDefault="0093529F" w:rsidP="00F06A9F">
      <w:pPr>
        <w:spacing w:after="0" w:line="240" w:lineRule="auto"/>
        <w:rPr>
          <w:lang w:val="en-AU"/>
        </w:rPr>
      </w:pPr>
      <w:r w:rsidRPr="004E508C">
        <w:rPr>
          <w:i/>
          <w:iCs/>
          <w:lang w:val="en-AU"/>
        </w:rPr>
        <w:t>In vitro</w:t>
      </w:r>
      <w:r w:rsidRPr="004E508C">
        <w:rPr>
          <w:lang w:val="en-AU"/>
        </w:rPr>
        <w:t xml:space="preserve"> metabolism studies in human liver microsomes indicate that the topoisomerase I inhibitor is metabolized mainly by CYP3A4 via oxidative pathways.</w:t>
      </w:r>
    </w:p>
    <w:p w14:paraId="72CB1788" w14:textId="77777777" w:rsidR="00F06A9F" w:rsidRPr="004E508C" w:rsidRDefault="00F06A9F" w:rsidP="00F06A9F">
      <w:pPr>
        <w:spacing w:after="0" w:line="240" w:lineRule="auto"/>
        <w:rPr>
          <w:lang w:val="en-AU"/>
        </w:rPr>
      </w:pPr>
    </w:p>
    <w:p w14:paraId="7BB93D90" w14:textId="457FB42F" w:rsidR="001A3992" w:rsidRPr="004E508C" w:rsidRDefault="001A3992" w:rsidP="0026491B">
      <w:pPr>
        <w:pStyle w:val="Heading3Unnumbered"/>
        <w:rPr>
          <w:lang w:val="en-AU"/>
        </w:rPr>
      </w:pPr>
      <w:r w:rsidRPr="004E508C">
        <w:rPr>
          <w:lang w:val="en-AU"/>
        </w:rPr>
        <w:t>Excretion</w:t>
      </w:r>
    </w:p>
    <w:p w14:paraId="273A292D" w14:textId="51689102" w:rsidR="00C432F3" w:rsidRPr="004E508C" w:rsidRDefault="00C432F3" w:rsidP="00C432F3">
      <w:pPr>
        <w:spacing w:after="0" w:line="240" w:lineRule="auto"/>
        <w:rPr>
          <w:lang w:val="en-AU"/>
        </w:rPr>
      </w:pPr>
      <w:r w:rsidRPr="004E508C">
        <w:rPr>
          <w:lang w:val="en-AU"/>
        </w:rPr>
        <w:t>Based on population pharmacokinetic analysis, following intravenous administration of trastuzumab deruxtecan in patients with metastatic HER2</w:t>
      </w:r>
      <w:r w:rsidRPr="004E508C">
        <w:rPr>
          <w:lang w:val="en-AU"/>
        </w:rPr>
        <w:noBreakHyphen/>
        <w:t xml:space="preserve">positive breast cancer, the clearance of trastuzumab deruxtecan was estimated to be 0.42 L/day and </w:t>
      </w:r>
      <w:r w:rsidRPr="00384EBB">
        <w:rPr>
          <w:lang w:val="en-AU"/>
        </w:rPr>
        <w:t>the clearance of the topoisomerase I inhibitor was 19.2 L/h. The apparent elimination half</w:t>
      </w:r>
      <w:r w:rsidRPr="00384EBB">
        <w:rPr>
          <w:lang w:val="en-AU"/>
        </w:rPr>
        <w:noBreakHyphen/>
        <w:t>life (t1/2) of trastuzumab deruxtecan and released topoisomerase I inhibitor was approximately 5.7 days. Moderate accumulation (approximately 35% in cycle 3 compared to cycle 1) of trastuzumab deruxtecan was observed</w:t>
      </w:r>
      <w:r w:rsidRPr="004E508C">
        <w:rPr>
          <w:lang w:val="en-AU"/>
        </w:rPr>
        <w:t>.</w:t>
      </w:r>
    </w:p>
    <w:p w14:paraId="7D4A746B" w14:textId="77777777" w:rsidR="00C432F3" w:rsidRPr="004E508C" w:rsidRDefault="00C432F3" w:rsidP="00C432F3">
      <w:pPr>
        <w:spacing w:after="0" w:line="240" w:lineRule="auto"/>
        <w:rPr>
          <w:lang w:val="en-AU"/>
        </w:rPr>
      </w:pPr>
    </w:p>
    <w:p w14:paraId="7EA7DB83" w14:textId="338FE147" w:rsidR="00823A95" w:rsidRPr="004E508C" w:rsidRDefault="00C432F3" w:rsidP="00C432F3">
      <w:pPr>
        <w:spacing w:after="0" w:line="240" w:lineRule="auto"/>
        <w:rPr>
          <w:lang w:val="en-AU"/>
        </w:rPr>
      </w:pPr>
      <w:r w:rsidRPr="004E508C">
        <w:rPr>
          <w:lang w:val="en-AU"/>
        </w:rPr>
        <w:t>Following intravenous administration of the topoisomerase I inhibitor to rats, the major excretion pathway was f</w:t>
      </w:r>
      <w:r w:rsidR="00E119C8">
        <w:rPr>
          <w:lang w:val="en-AU"/>
        </w:rPr>
        <w:t>a</w:t>
      </w:r>
      <w:r w:rsidRPr="004E508C">
        <w:rPr>
          <w:lang w:val="en-AU"/>
        </w:rPr>
        <w:t>eces via the biliary route. The topoisomerase I inhibitor was the most abundant component in urine, f</w:t>
      </w:r>
      <w:r w:rsidR="00E119C8">
        <w:rPr>
          <w:lang w:val="en-AU"/>
        </w:rPr>
        <w:t>a</w:t>
      </w:r>
      <w:r w:rsidRPr="004E508C">
        <w:rPr>
          <w:lang w:val="en-AU"/>
        </w:rPr>
        <w:t>eces, and bile. Following single intravenous administration of trastuzumab deruxtecan (6.4 mg/kg) to monkeys, unchanged released topoisomerase I inhibitor was the most abundant component in urine and f</w:t>
      </w:r>
      <w:r w:rsidR="00E119C8">
        <w:rPr>
          <w:lang w:val="en-AU"/>
        </w:rPr>
        <w:t>a</w:t>
      </w:r>
      <w:r w:rsidRPr="004E508C">
        <w:rPr>
          <w:lang w:val="en-AU"/>
        </w:rPr>
        <w:t>eces.</w:t>
      </w:r>
    </w:p>
    <w:p w14:paraId="14DEF2E3" w14:textId="77777777" w:rsidR="00F06A9F" w:rsidRPr="004E508C" w:rsidRDefault="00F06A9F" w:rsidP="00C432F3">
      <w:pPr>
        <w:spacing w:after="0" w:line="240" w:lineRule="auto"/>
        <w:rPr>
          <w:szCs w:val="20"/>
          <w:lang w:val="en-AU"/>
        </w:rPr>
      </w:pPr>
    </w:p>
    <w:p w14:paraId="565F208E" w14:textId="77777777" w:rsidR="00A54E93" w:rsidRPr="004E508C" w:rsidRDefault="00A54E93" w:rsidP="00A54E93">
      <w:pPr>
        <w:pStyle w:val="Heading3Unnumbered"/>
        <w:rPr>
          <w:b w:val="0"/>
          <w:u w:val="single"/>
          <w:lang w:val="en-AU"/>
        </w:rPr>
      </w:pPr>
      <w:bookmarkStart w:id="41" w:name="_Toc34804499"/>
      <w:bookmarkStart w:id="42" w:name="_Toc23341385"/>
      <w:r w:rsidRPr="004E508C">
        <w:rPr>
          <w:lang w:val="en-AU"/>
        </w:rPr>
        <w:t>Linearity/Nonlinearity</w:t>
      </w:r>
      <w:bookmarkEnd w:id="41"/>
      <w:bookmarkEnd w:id="42"/>
    </w:p>
    <w:p w14:paraId="77D45E2D" w14:textId="31C23BAF" w:rsidR="00A54E93" w:rsidRPr="004E508C" w:rsidRDefault="00A54E93" w:rsidP="00A54E93">
      <w:pPr>
        <w:spacing w:after="0" w:line="240" w:lineRule="auto"/>
        <w:rPr>
          <w:lang w:val="en-AU"/>
        </w:rPr>
      </w:pPr>
      <w:r w:rsidRPr="004E508C">
        <w:rPr>
          <w:lang w:val="en-AU"/>
        </w:rPr>
        <w:t>The exposure of trastuzumab deruxtecan and released topoisomerase I inhibitor when administered intravenously increased in proportion to dose in the 3.2 mg/kg to 8.0 mg/kg dose range (approximately 0.6 to 1.5 times the recommended dose) with low to moderate interindividual variability.</w:t>
      </w:r>
    </w:p>
    <w:p w14:paraId="3C0C93E8" w14:textId="49930977" w:rsidR="00142326" w:rsidRPr="004E508C" w:rsidRDefault="00142326" w:rsidP="00A54E93">
      <w:pPr>
        <w:spacing w:after="0" w:line="240" w:lineRule="auto"/>
        <w:rPr>
          <w:lang w:val="en-AU"/>
        </w:rPr>
      </w:pPr>
    </w:p>
    <w:p w14:paraId="28DF006F" w14:textId="2CBFC81F" w:rsidR="00142326" w:rsidRPr="004E508C" w:rsidRDefault="00142326" w:rsidP="00142326">
      <w:pPr>
        <w:pStyle w:val="Heading3Unnumbered"/>
        <w:rPr>
          <w:lang w:val="en-AU"/>
        </w:rPr>
      </w:pPr>
      <w:r w:rsidRPr="004E508C">
        <w:rPr>
          <w:lang w:val="en-AU"/>
        </w:rPr>
        <w:t xml:space="preserve">Specific populations </w:t>
      </w:r>
    </w:p>
    <w:p w14:paraId="55EF84B9" w14:textId="2F045C76" w:rsidR="00142326" w:rsidRPr="004E508C" w:rsidRDefault="00142326" w:rsidP="00142326">
      <w:pPr>
        <w:pStyle w:val="Heading4Unnumbered"/>
        <w:rPr>
          <w:lang w:val="en-AU"/>
        </w:rPr>
      </w:pPr>
      <w:r w:rsidRPr="004E508C">
        <w:rPr>
          <w:lang w:val="en-AU"/>
        </w:rPr>
        <w:t>Age, race, ethnicity, sex and body weight</w:t>
      </w:r>
    </w:p>
    <w:p w14:paraId="2A648703" w14:textId="037868B8" w:rsidR="00142326" w:rsidRPr="004E508C" w:rsidRDefault="00142326" w:rsidP="00142326">
      <w:pPr>
        <w:spacing w:after="0" w:line="240" w:lineRule="auto"/>
        <w:rPr>
          <w:lang w:val="en-AU"/>
        </w:rPr>
      </w:pPr>
      <w:r w:rsidRPr="004E508C">
        <w:rPr>
          <w:lang w:val="en-AU"/>
        </w:rPr>
        <w:t>Based on population pharmacokinetic analysis, age (23</w:t>
      </w:r>
      <w:r w:rsidRPr="004E508C">
        <w:rPr>
          <w:lang w:val="en-AU"/>
        </w:rPr>
        <w:noBreakHyphen/>
        <w:t>96 years), race, ethnicity, sex and body weight did not have a clinically meaningful effect on exposure of trastuzumab deruxtecan or released topoisomerase I inhibitor.</w:t>
      </w:r>
    </w:p>
    <w:p w14:paraId="3DA8918C" w14:textId="77777777" w:rsidR="0059373A" w:rsidRPr="004E508C" w:rsidRDefault="0059373A" w:rsidP="00142326">
      <w:pPr>
        <w:spacing w:after="0" w:line="240" w:lineRule="auto"/>
        <w:rPr>
          <w:lang w:val="en-AU"/>
        </w:rPr>
      </w:pPr>
    </w:p>
    <w:p w14:paraId="211A0051" w14:textId="7C790A49" w:rsidR="00142326" w:rsidRPr="004E508C" w:rsidRDefault="00142326" w:rsidP="005C561D">
      <w:pPr>
        <w:pStyle w:val="Heading4Unnumbered"/>
        <w:rPr>
          <w:lang w:val="en-AU"/>
        </w:rPr>
      </w:pPr>
      <w:r w:rsidRPr="004E508C">
        <w:rPr>
          <w:lang w:val="en-AU"/>
        </w:rPr>
        <w:lastRenderedPageBreak/>
        <w:t xml:space="preserve">Renal impairment </w:t>
      </w:r>
    </w:p>
    <w:p w14:paraId="2189719C" w14:textId="3D55FA8A" w:rsidR="00142326" w:rsidRPr="004E508C" w:rsidRDefault="00142326" w:rsidP="00142326">
      <w:pPr>
        <w:spacing w:after="0" w:line="240" w:lineRule="auto"/>
        <w:rPr>
          <w:lang w:val="en-AU"/>
        </w:rPr>
      </w:pPr>
      <w:r w:rsidRPr="004E508C">
        <w:rPr>
          <w:lang w:val="en-AU"/>
        </w:rPr>
        <w:t>No dedicated renal impairment study was conducted. Based on population pharmacokinetic analysis including patients with mild (creatinine clearance [</w:t>
      </w:r>
      <w:proofErr w:type="spellStart"/>
      <w:r w:rsidRPr="004E508C">
        <w:rPr>
          <w:lang w:val="en-AU"/>
        </w:rPr>
        <w:t>CLcr</w:t>
      </w:r>
      <w:proofErr w:type="spellEnd"/>
      <w:r w:rsidRPr="004E508C">
        <w:rPr>
          <w:lang w:val="en-AU"/>
        </w:rPr>
        <w:t>] ≥60 and &lt;90 mL/min) or moderate (</w:t>
      </w:r>
      <w:proofErr w:type="spellStart"/>
      <w:r w:rsidRPr="004E508C">
        <w:rPr>
          <w:lang w:val="en-AU"/>
        </w:rPr>
        <w:t>CLcr</w:t>
      </w:r>
      <w:proofErr w:type="spellEnd"/>
      <w:r w:rsidRPr="004E508C">
        <w:rPr>
          <w:lang w:val="en-AU"/>
        </w:rPr>
        <w:t xml:space="preserve"> ≥30 and &lt;60 mL/min) renal impairment (estimated by Cockcroft</w:t>
      </w:r>
      <w:r w:rsidRPr="004E508C">
        <w:rPr>
          <w:lang w:val="en-AU"/>
        </w:rPr>
        <w:noBreakHyphen/>
        <w:t>Gault), the pharmacokinetics of the released topoisomerase I inhibitor was not affected by mild to moderate renal impairment as compared to normal renal function (</w:t>
      </w:r>
      <w:proofErr w:type="spellStart"/>
      <w:r w:rsidRPr="004E508C">
        <w:rPr>
          <w:lang w:val="en-AU"/>
        </w:rPr>
        <w:t>CLcr</w:t>
      </w:r>
      <w:proofErr w:type="spellEnd"/>
      <w:r w:rsidRPr="004E508C">
        <w:rPr>
          <w:lang w:val="en-AU"/>
        </w:rPr>
        <w:t xml:space="preserve"> ≥90 mL/min).</w:t>
      </w:r>
    </w:p>
    <w:p w14:paraId="4A8C7D4B" w14:textId="0AAF79F2" w:rsidR="00142326" w:rsidRPr="004E508C" w:rsidRDefault="00142326" w:rsidP="00142326">
      <w:pPr>
        <w:spacing w:after="0" w:line="240" w:lineRule="auto"/>
        <w:rPr>
          <w:lang w:val="en-AU"/>
        </w:rPr>
      </w:pPr>
    </w:p>
    <w:p w14:paraId="049A6B46" w14:textId="0E524247" w:rsidR="00142326" w:rsidRPr="004E508C" w:rsidRDefault="00142326" w:rsidP="005C561D">
      <w:pPr>
        <w:pStyle w:val="Heading4Unnumbered"/>
        <w:rPr>
          <w:lang w:val="en-AU"/>
        </w:rPr>
      </w:pPr>
      <w:r w:rsidRPr="004E508C">
        <w:rPr>
          <w:lang w:val="en-AU"/>
        </w:rPr>
        <w:t>Hepatic impa</w:t>
      </w:r>
      <w:r w:rsidR="00DA2255">
        <w:rPr>
          <w:lang w:val="en-AU"/>
        </w:rPr>
        <w:t>i</w:t>
      </w:r>
      <w:r w:rsidRPr="004E508C">
        <w:rPr>
          <w:lang w:val="en-AU"/>
        </w:rPr>
        <w:t>rment</w:t>
      </w:r>
    </w:p>
    <w:p w14:paraId="74F2F033" w14:textId="2679539B" w:rsidR="00142326" w:rsidRPr="004E508C" w:rsidRDefault="00142326" w:rsidP="00142326">
      <w:pPr>
        <w:spacing w:after="0" w:line="240" w:lineRule="auto"/>
        <w:rPr>
          <w:lang w:val="en-AU"/>
        </w:rPr>
      </w:pPr>
      <w:r w:rsidRPr="004E508C">
        <w:rPr>
          <w:lang w:val="en-AU"/>
        </w:rPr>
        <w:t>No dedicated hepatic impairment study was conducted. Based on population pharmacokinetic analysis, higher levels of AST and total bilirubin resulted in a lower clearance of topoisomerase I inhibitor. The impact of these changes is not expected to be clinically meaningful.</w:t>
      </w:r>
    </w:p>
    <w:p w14:paraId="7BEEB5A0" w14:textId="0FBAB76F" w:rsidR="00142326" w:rsidRPr="004E508C" w:rsidRDefault="00142326" w:rsidP="00142326">
      <w:pPr>
        <w:spacing w:after="0" w:line="240" w:lineRule="auto"/>
        <w:rPr>
          <w:lang w:val="en-AU"/>
        </w:rPr>
      </w:pPr>
    </w:p>
    <w:p w14:paraId="01B227AC" w14:textId="6C11E004" w:rsidR="001A3992" w:rsidRPr="004E508C" w:rsidRDefault="001A3992" w:rsidP="00EE3AC8">
      <w:pPr>
        <w:pStyle w:val="Heading2"/>
        <w:rPr>
          <w:lang w:val="en-AU"/>
        </w:rPr>
      </w:pPr>
      <w:r w:rsidRPr="004E508C">
        <w:rPr>
          <w:lang w:val="en-AU"/>
        </w:rPr>
        <w:t>Preclinical safety data</w:t>
      </w:r>
    </w:p>
    <w:p w14:paraId="6A996B13" w14:textId="77777777" w:rsidR="001A3992" w:rsidRPr="004E508C" w:rsidRDefault="001A3992" w:rsidP="0026491B">
      <w:pPr>
        <w:pStyle w:val="Heading3Unnumbered"/>
        <w:rPr>
          <w:lang w:val="en-AU"/>
        </w:rPr>
      </w:pPr>
      <w:r w:rsidRPr="004E508C">
        <w:rPr>
          <w:lang w:val="en-AU"/>
        </w:rPr>
        <w:t>Genotoxicity</w:t>
      </w:r>
    </w:p>
    <w:p w14:paraId="78BEA0D5" w14:textId="17892220" w:rsidR="00C32985" w:rsidRPr="004E508C" w:rsidRDefault="00C32985" w:rsidP="00C32985">
      <w:pPr>
        <w:pStyle w:val="Paragraph"/>
        <w:rPr>
          <w:szCs w:val="20"/>
          <w:lang w:val="en-AU"/>
        </w:rPr>
      </w:pPr>
      <w:r w:rsidRPr="004E508C">
        <w:rPr>
          <w:szCs w:val="20"/>
          <w:lang w:val="en-AU"/>
        </w:rPr>
        <w:t>The topoisomerase I inhibitor component of trastuzumab deruxtecan was clastogenic in both an</w:t>
      </w:r>
      <w:r w:rsidRPr="004E508C">
        <w:rPr>
          <w:i/>
          <w:iCs/>
          <w:szCs w:val="20"/>
          <w:lang w:val="en-AU"/>
        </w:rPr>
        <w:t xml:space="preserve"> in vivo</w:t>
      </w:r>
      <w:r w:rsidRPr="004E508C">
        <w:rPr>
          <w:szCs w:val="20"/>
          <w:lang w:val="en-AU"/>
        </w:rPr>
        <w:t xml:space="preserve"> rat bone marrow micronucleus assay and an </w:t>
      </w:r>
      <w:r w:rsidRPr="004E508C">
        <w:rPr>
          <w:i/>
          <w:iCs/>
          <w:szCs w:val="20"/>
          <w:lang w:val="en-AU"/>
        </w:rPr>
        <w:t>in vitro</w:t>
      </w:r>
      <w:r w:rsidRPr="004E508C">
        <w:rPr>
          <w:szCs w:val="20"/>
          <w:lang w:val="en-AU"/>
        </w:rPr>
        <w:t xml:space="preserve"> Chinese hamster lung chromosome aberration assay and was not mutagenic in an </w:t>
      </w:r>
      <w:r w:rsidRPr="004E508C">
        <w:rPr>
          <w:i/>
          <w:iCs/>
          <w:szCs w:val="20"/>
          <w:lang w:val="en-AU"/>
        </w:rPr>
        <w:t>in</w:t>
      </w:r>
      <w:r w:rsidR="0043553B" w:rsidRPr="004E508C">
        <w:rPr>
          <w:i/>
          <w:iCs/>
          <w:szCs w:val="20"/>
          <w:lang w:val="en-AU"/>
        </w:rPr>
        <w:t> </w:t>
      </w:r>
      <w:r w:rsidRPr="004E508C">
        <w:rPr>
          <w:i/>
          <w:iCs/>
          <w:szCs w:val="20"/>
          <w:lang w:val="en-AU"/>
        </w:rPr>
        <w:t>vitro</w:t>
      </w:r>
      <w:r w:rsidRPr="004E508C">
        <w:rPr>
          <w:szCs w:val="20"/>
          <w:lang w:val="en-AU"/>
        </w:rPr>
        <w:t xml:space="preserve"> bacterial reverse mutation assay.</w:t>
      </w:r>
    </w:p>
    <w:p w14:paraId="7AB34B7B" w14:textId="77777777" w:rsidR="001A3992" w:rsidRPr="004E508C" w:rsidRDefault="001A3992" w:rsidP="0026491B">
      <w:pPr>
        <w:pStyle w:val="Heading3Unnumbered"/>
        <w:rPr>
          <w:lang w:val="en-AU"/>
        </w:rPr>
      </w:pPr>
      <w:r w:rsidRPr="004E508C">
        <w:rPr>
          <w:lang w:val="en-AU"/>
        </w:rPr>
        <w:t>Carcinogenicity</w:t>
      </w:r>
    </w:p>
    <w:p w14:paraId="0B03BF68" w14:textId="02EEDDAD" w:rsidR="00C32985" w:rsidRPr="004E508C" w:rsidRDefault="00C32985" w:rsidP="00C32985">
      <w:pPr>
        <w:spacing w:after="0" w:line="240" w:lineRule="auto"/>
        <w:rPr>
          <w:szCs w:val="20"/>
          <w:lang w:val="en-AU"/>
        </w:rPr>
      </w:pPr>
      <w:r w:rsidRPr="004E508C">
        <w:rPr>
          <w:szCs w:val="20"/>
          <w:lang w:val="en-AU"/>
        </w:rPr>
        <w:t>Carcinogenicity studies have not been conducted with trastuzumab deruxtecan.</w:t>
      </w:r>
    </w:p>
    <w:p w14:paraId="014BB72B" w14:textId="77777777" w:rsidR="00436A17" w:rsidRPr="004E508C" w:rsidRDefault="00436A17" w:rsidP="00C32985">
      <w:pPr>
        <w:spacing w:after="0" w:line="240" w:lineRule="auto"/>
        <w:rPr>
          <w:szCs w:val="20"/>
          <w:lang w:val="en-AU"/>
        </w:rPr>
      </w:pPr>
    </w:p>
    <w:p w14:paraId="73BB1206" w14:textId="77777777" w:rsidR="001A3992" w:rsidRPr="004E508C" w:rsidRDefault="001A3992" w:rsidP="00EE3AC8">
      <w:pPr>
        <w:pStyle w:val="Heading1"/>
        <w:rPr>
          <w:lang w:val="en-AU"/>
        </w:rPr>
      </w:pPr>
      <w:r w:rsidRPr="004E508C">
        <w:rPr>
          <w:lang w:val="en-AU"/>
        </w:rPr>
        <w:t>Pharmaceutical particulars</w:t>
      </w:r>
    </w:p>
    <w:p w14:paraId="6AAF6956" w14:textId="77777777" w:rsidR="001A3992" w:rsidRPr="004E508C" w:rsidRDefault="001A3992" w:rsidP="00EE3AC8">
      <w:pPr>
        <w:pStyle w:val="Heading2"/>
        <w:rPr>
          <w:lang w:val="en-AU"/>
        </w:rPr>
      </w:pPr>
      <w:bookmarkStart w:id="43" w:name="_Ref505768678"/>
      <w:r w:rsidRPr="004E508C">
        <w:rPr>
          <w:lang w:val="en-AU"/>
        </w:rPr>
        <w:t>List of exci</w:t>
      </w:r>
      <w:r w:rsidR="00795D99" w:rsidRPr="004E508C">
        <w:rPr>
          <w:lang w:val="en-AU"/>
        </w:rPr>
        <w:t>pients</w:t>
      </w:r>
      <w:bookmarkEnd w:id="43"/>
    </w:p>
    <w:p w14:paraId="0A3FE084" w14:textId="20BAE43B" w:rsidR="004B52BC" w:rsidRPr="004E508C" w:rsidRDefault="004B52BC" w:rsidP="004B52BC">
      <w:pPr>
        <w:spacing w:after="0" w:line="240" w:lineRule="auto"/>
        <w:rPr>
          <w:lang w:val="en-AU"/>
        </w:rPr>
      </w:pPr>
      <w:r w:rsidRPr="004E508C">
        <w:rPr>
          <w:lang w:val="en-AU"/>
        </w:rPr>
        <w:t xml:space="preserve">Histidine, histidine hydrochloride monohydrate, sucrose, </w:t>
      </w:r>
      <w:r w:rsidR="000A1CDC" w:rsidRPr="004E508C">
        <w:rPr>
          <w:lang w:val="en-AU"/>
        </w:rPr>
        <w:t xml:space="preserve">and </w:t>
      </w:r>
      <w:r w:rsidRPr="004E508C">
        <w:rPr>
          <w:lang w:val="en-AU"/>
        </w:rPr>
        <w:t>polysorbate 80</w:t>
      </w:r>
      <w:r w:rsidR="00770156" w:rsidRPr="004E508C">
        <w:rPr>
          <w:lang w:val="en-AU"/>
        </w:rPr>
        <w:t>.</w:t>
      </w:r>
    </w:p>
    <w:p w14:paraId="53D5EF1E" w14:textId="77777777" w:rsidR="004B52BC" w:rsidRPr="004E508C" w:rsidRDefault="004B52BC" w:rsidP="007A2548">
      <w:pPr>
        <w:pStyle w:val="Paragraph"/>
        <w:rPr>
          <w:i/>
          <w:color w:val="00B0F0"/>
          <w:lang w:val="en-AU"/>
        </w:rPr>
      </w:pPr>
    </w:p>
    <w:p w14:paraId="5143B839" w14:textId="77777777" w:rsidR="001A3992" w:rsidRPr="004E508C" w:rsidRDefault="001A3992" w:rsidP="00EE3AC8">
      <w:pPr>
        <w:pStyle w:val="Heading2"/>
        <w:rPr>
          <w:lang w:val="en-AU"/>
        </w:rPr>
      </w:pPr>
      <w:r w:rsidRPr="004E508C">
        <w:rPr>
          <w:lang w:val="en-AU"/>
        </w:rPr>
        <w:t>Incompatib</w:t>
      </w:r>
      <w:r w:rsidR="00795D99" w:rsidRPr="004E508C">
        <w:rPr>
          <w:lang w:val="en-AU"/>
        </w:rPr>
        <w:t>ilities</w:t>
      </w:r>
    </w:p>
    <w:p w14:paraId="586E97E7" w14:textId="77777777" w:rsidR="00436A17" w:rsidRPr="004E508C" w:rsidRDefault="00436A17" w:rsidP="00436A17">
      <w:pPr>
        <w:spacing w:after="0" w:line="240" w:lineRule="auto"/>
        <w:rPr>
          <w:szCs w:val="20"/>
          <w:lang w:val="en-AU"/>
        </w:rPr>
      </w:pPr>
      <w:r w:rsidRPr="004E508C">
        <w:rPr>
          <w:szCs w:val="20"/>
          <w:lang w:val="en-AU"/>
        </w:rPr>
        <w:t>In the absence of compatibility studies, this medicinal product must not be mixed with other medicinal products.</w:t>
      </w:r>
    </w:p>
    <w:p w14:paraId="25C64C17" w14:textId="77777777" w:rsidR="00436A17" w:rsidRPr="004E508C" w:rsidRDefault="00436A17" w:rsidP="00436A17">
      <w:pPr>
        <w:spacing w:after="0" w:line="240" w:lineRule="auto"/>
        <w:rPr>
          <w:szCs w:val="20"/>
          <w:lang w:val="en-AU"/>
        </w:rPr>
      </w:pPr>
    </w:p>
    <w:p w14:paraId="4361D9A9" w14:textId="77777777" w:rsidR="00436A17" w:rsidRPr="004E508C" w:rsidRDefault="00436A17" w:rsidP="00436A17">
      <w:pPr>
        <w:spacing w:after="0" w:line="240" w:lineRule="auto"/>
        <w:rPr>
          <w:szCs w:val="20"/>
          <w:lang w:val="en-AU"/>
        </w:rPr>
      </w:pPr>
      <w:r w:rsidRPr="004E508C">
        <w:rPr>
          <w:szCs w:val="20"/>
          <w:lang w:val="en-AU"/>
        </w:rPr>
        <w:t>Sodium chloride solution for infusion must not be used for reconstitution or dilution since it may cause particulate formation.</w:t>
      </w:r>
    </w:p>
    <w:p w14:paraId="27D07620" w14:textId="77777777" w:rsidR="00436A17" w:rsidRPr="004E508C" w:rsidRDefault="00436A17" w:rsidP="007A2548">
      <w:pPr>
        <w:pStyle w:val="Paragraph"/>
        <w:rPr>
          <w:i/>
          <w:color w:val="00B0F0"/>
          <w:lang w:val="en-AU"/>
        </w:rPr>
      </w:pPr>
    </w:p>
    <w:p w14:paraId="5B21E460" w14:textId="77777777" w:rsidR="001A3992" w:rsidRPr="004E508C" w:rsidRDefault="001A3992" w:rsidP="00EE3AC8">
      <w:pPr>
        <w:pStyle w:val="Heading2"/>
        <w:rPr>
          <w:lang w:val="en-AU"/>
        </w:rPr>
      </w:pPr>
      <w:r w:rsidRPr="004E508C">
        <w:rPr>
          <w:lang w:val="en-AU"/>
        </w:rPr>
        <w:t>Shelf life</w:t>
      </w:r>
    </w:p>
    <w:p w14:paraId="69D0FD5D" w14:textId="57336033" w:rsidR="00537554" w:rsidRPr="004E508C" w:rsidRDefault="00537554" w:rsidP="00537554">
      <w:pPr>
        <w:pStyle w:val="Heading3Unnumbered"/>
        <w:rPr>
          <w:lang w:val="en-AU"/>
        </w:rPr>
      </w:pPr>
      <w:r w:rsidRPr="004E508C">
        <w:rPr>
          <w:lang w:val="en-AU"/>
        </w:rPr>
        <w:t>Unopened vial</w:t>
      </w:r>
    </w:p>
    <w:p w14:paraId="1E93EC6E" w14:textId="6CB4A954" w:rsidR="007A2548" w:rsidRPr="004E508C" w:rsidRDefault="007A2548" w:rsidP="007403BD">
      <w:pPr>
        <w:pStyle w:val="Paragraph"/>
        <w:rPr>
          <w:lang w:val="en-AU"/>
        </w:rPr>
      </w:pPr>
      <w:r w:rsidRPr="004E508C">
        <w:rPr>
          <w:lang w:val="en-AU"/>
        </w:rPr>
        <w:t>In Australia, information on the shelf life can be found on the public summary of the Australian Register of Therapeutic Goods (ARTG). The expiry date can be found on the packaging.</w:t>
      </w:r>
    </w:p>
    <w:p w14:paraId="0CC965E6" w14:textId="77777777" w:rsidR="00537554" w:rsidRPr="004E508C" w:rsidRDefault="00537554" w:rsidP="00537554">
      <w:pPr>
        <w:pStyle w:val="Heading3Unnumbered"/>
        <w:rPr>
          <w:lang w:val="en-AU"/>
        </w:rPr>
      </w:pPr>
      <w:r w:rsidRPr="004E508C">
        <w:rPr>
          <w:lang w:val="en-AU"/>
        </w:rPr>
        <w:t>Reconstituted Solution</w:t>
      </w:r>
    </w:p>
    <w:p w14:paraId="2CF1E5C3" w14:textId="3CD26F9F" w:rsidR="00537554" w:rsidRPr="004E508C" w:rsidRDefault="00537554" w:rsidP="00537554">
      <w:pPr>
        <w:spacing w:after="0" w:line="240" w:lineRule="auto"/>
        <w:rPr>
          <w:szCs w:val="20"/>
          <w:lang w:val="en-AU"/>
        </w:rPr>
      </w:pPr>
      <w:r w:rsidRPr="004E508C">
        <w:rPr>
          <w:szCs w:val="20"/>
          <w:lang w:val="en-AU"/>
        </w:rPr>
        <w:t>It is recommended that the reconstituted solution be used immediately. If not used immediately, the reconstituted solution may be stored in a refrigerator at 2ºC to 8ºC for up to 24 hours from the time of reconstitution, protected from light.</w:t>
      </w:r>
    </w:p>
    <w:p w14:paraId="2AFC10AD" w14:textId="548881AC" w:rsidR="00537554" w:rsidRPr="004E508C" w:rsidRDefault="00537554" w:rsidP="007403BD">
      <w:pPr>
        <w:pStyle w:val="Paragraph"/>
        <w:rPr>
          <w:lang w:val="en-AU"/>
        </w:rPr>
      </w:pPr>
    </w:p>
    <w:p w14:paraId="77151238" w14:textId="77777777" w:rsidR="00537554" w:rsidRPr="004E508C" w:rsidRDefault="00537554" w:rsidP="00537554">
      <w:pPr>
        <w:pStyle w:val="Heading3Unnumbered"/>
        <w:rPr>
          <w:lang w:val="en-AU"/>
        </w:rPr>
      </w:pPr>
      <w:r w:rsidRPr="004E508C">
        <w:rPr>
          <w:lang w:val="en-AU"/>
        </w:rPr>
        <w:lastRenderedPageBreak/>
        <w:t>Diluted Solution</w:t>
      </w:r>
    </w:p>
    <w:p w14:paraId="05D272A6" w14:textId="7010FC7A" w:rsidR="00537554" w:rsidRPr="004E508C" w:rsidRDefault="00537554" w:rsidP="00537554">
      <w:pPr>
        <w:spacing w:after="0" w:line="240" w:lineRule="auto"/>
        <w:rPr>
          <w:lang w:val="en-AU"/>
        </w:rPr>
      </w:pPr>
      <w:r w:rsidRPr="004E508C">
        <w:rPr>
          <w:szCs w:val="20"/>
          <w:lang w:val="en-AU"/>
        </w:rPr>
        <w:t>It is recommended that the diluted solution be used immediately. If not used immediately, the diluted solution may be stored at room temperature for up to 4</w:t>
      </w:r>
      <w:r w:rsidRPr="004E508C">
        <w:rPr>
          <w:rFonts w:cs="Arial"/>
          <w:szCs w:val="20"/>
          <w:lang w:val="en-AU"/>
        </w:rPr>
        <w:t> </w:t>
      </w:r>
      <w:r w:rsidRPr="004E508C">
        <w:rPr>
          <w:szCs w:val="20"/>
          <w:lang w:val="en-AU"/>
        </w:rPr>
        <w:t>hours or in a refrigerator at 2ºC</w:t>
      </w:r>
      <w:r w:rsidRPr="004E508C">
        <w:rPr>
          <w:rFonts w:cs="Arial"/>
          <w:szCs w:val="20"/>
          <w:lang w:val="en-AU"/>
        </w:rPr>
        <w:t> </w:t>
      </w:r>
      <w:r w:rsidRPr="004E508C">
        <w:rPr>
          <w:szCs w:val="20"/>
          <w:lang w:val="en-AU"/>
        </w:rPr>
        <w:t>to</w:t>
      </w:r>
      <w:r w:rsidRPr="004E508C">
        <w:rPr>
          <w:rFonts w:cs="Arial"/>
          <w:szCs w:val="20"/>
          <w:lang w:val="en-AU"/>
        </w:rPr>
        <w:t> </w:t>
      </w:r>
      <w:r w:rsidRPr="004E508C">
        <w:rPr>
          <w:szCs w:val="20"/>
          <w:lang w:val="en-AU"/>
        </w:rPr>
        <w:t>8ºC for up to 24 hours, protected from light. These storage times start from the time of reconstitution.</w:t>
      </w:r>
    </w:p>
    <w:p w14:paraId="7FE9C029" w14:textId="77777777" w:rsidR="00537554" w:rsidRPr="004E508C" w:rsidRDefault="00537554" w:rsidP="007403BD">
      <w:pPr>
        <w:pStyle w:val="Paragraph"/>
        <w:rPr>
          <w:lang w:val="en-AU"/>
        </w:rPr>
      </w:pPr>
    </w:p>
    <w:p w14:paraId="2BE1FE9F" w14:textId="77777777" w:rsidR="001A3992" w:rsidRPr="004E508C" w:rsidRDefault="00795D99" w:rsidP="00795D99">
      <w:pPr>
        <w:pStyle w:val="Heading2"/>
        <w:rPr>
          <w:lang w:val="en-AU"/>
        </w:rPr>
      </w:pPr>
      <w:r w:rsidRPr="004E508C">
        <w:rPr>
          <w:lang w:val="en-AU"/>
        </w:rPr>
        <w:t>Special precautions for storage</w:t>
      </w:r>
    </w:p>
    <w:p w14:paraId="0919C34A" w14:textId="56B2CCBB" w:rsidR="00537554" w:rsidRPr="004E508C" w:rsidRDefault="00537554" w:rsidP="00537554">
      <w:pPr>
        <w:spacing w:after="0" w:line="240" w:lineRule="auto"/>
        <w:rPr>
          <w:szCs w:val="20"/>
          <w:lang w:val="en-AU"/>
        </w:rPr>
      </w:pPr>
      <w:r w:rsidRPr="004E508C">
        <w:rPr>
          <w:szCs w:val="20"/>
          <w:lang w:val="en-AU"/>
        </w:rPr>
        <w:t>Store vials in a refrigerator (2ºC to 8ºC) until time of reconstitution.</w:t>
      </w:r>
    </w:p>
    <w:p w14:paraId="3C65AFD7" w14:textId="77777777" w:rsidR="00537554" w:rsidRPr="004E508C" w:rsidRDefault="00537554" w:rsidP="00537554">
      <w:pPr>
        <w:spacing w:after="0" w:line="240" w:lineRule="auto"/>
        <w:rPr>
          <w:szCs w:val="20"/>
          <w:lang w:val="en-AU"/>
        </w:rPr>
      </w:pPr>
    </w:p>
    <w:p w14:paraId="2417971B" w14:textId="77777777" w:rsidR="00537554" w:rsidRPr="004E508C" w:rsidRDefault="00537554" w:rsidP="00537554">
      <w:pPr>
        <w:spacing w:after="0" w:line="240" w:lineRule="auto"/>
        <w:rPr>
          <w:szCs w:val="20"/>
          <w:lang w:val="en-AU"/>
        </w:rPr>
      </w:pPr>
      <w:r w:rsidRPr="004E508C">
        <w:rPr>
          <w:szCs w:val="20"/>
          <w:lang w:val="en-AU"/>
        </w:rPr>
        <w:t>Do not freeze.</w:t>
      </w:r>
    </w:p>
    <w:p w14:paraId="380C9976" w14:textId="77777777" w:rsidR="00537554" w:rsidRPr="004E508C" w:rsidRDefault="00537554" w:rsidP="00537554">
      <w:pPr>
        <w:spacing w:after="0" w:line="240" w:lineRule="auto"/>
        <w:rPr>
          <w:szCs w:val="20"/>
          <w:lang w:val="en-AU"/>
        </w:rPr>
      </w:pPr>
    </w:p>
    <w:p w14:paraId="3401FBD2" w14:textId="02BB614E" w:rsidR="007A2548" w:rsidRPr="004E508C" w:rsidRDefault="00537554" w:rsidP="00537554">
      <w:pPr>
        <w:spacing w:after="0" w:line="240" w:lineRule="auto"/>
        <w:rPr>
          <w:szCs w:val="20"/>
          <w:lang w:val="en-AU"/>
        </w:rPr>
      </w:pPr>
      <w:r w:rsidRPr="004E508C">
        <w:rPr>
          <w:szCs w:val="20"/>
          <w:lang w:val="en-AU"/>
        </w:rPr>
        <w:t>For storage conditions after reconstitution and dilution of the medicinal product, see </w:t>
      </w:r>
      <w:r w:rsidR="00965D16" w:rsidRPr="004E508C">
        <w:rPr>
          <w:szCs w:val="20"/>
          <w:lang w:val="en-AU"/>
        </w:rPr>
        <w:t>S</w:t>
      </w:r>
      <w:r w:rsidRPr="004E508C">
        <w:rPr>
          <w:szCs w:val="20"/>
          <w:lang w:val="en-AU"/>
        </w:rPr>
        <w:t>ection 6.3</w:t>
      </w:r>
      <w:r w:rsidR="00965D16" w:rsidRPr="004E508C">
        <w:rPr>
          <w:szCs w:val="20"/>
          <w:lang w:val="en-AU"/>
        </w:rPr>
        <w:t xml:space="preserve"> Shelf life</w:t>
      </w:r>
      <w:r w:rsidRPr="004E508C">
        <w:rPr>
          <w:szCs w:val="20"/>
          <w:lang w:val="en-AU"/>
        </w:rPr>
        <w:t>.</w:t>
      </w:r>
    </w:p>
    <w:p w14:paraId="2B0D9F90" w14:textId="77777777" w:rsidR="00537554" w:rsidRPr="004E508C" w:rsidRDefault="00537554" w:rsidP="00537554">
      <w:pPr>
        <w:spacing w:after="0" w:line="240" w:lineRule="auto"/>
        <w:rPr>
          <w:szCs w:val="20"/>
          <w:lang w:val="en-AU"/>
        </w:rPr>
      </w:pPr>
    </w:p>
    <w:p w14:paraId="4B2688B2" w14:textId="77777777" w:rsidR="001A3992" w:rsidRPr="004E508C" w:rsidRDefault="001A3992" w:rsidP="00EE3AC8">
      <w:pPr>
        <w:pStyle w:val="Heading2"/>
        <w:rPr>
          <w:lang w:val="en-AU"/>
        </w:rPr>
      </w:pPr>
      <w:r w:rsidRPr="004E508C">
        <w:rPr>
          <w:lang w:val="en-AU"/>
        </w:rPr>
        <w:t>N</w:t>
      </w:r>
      <w:r w:rsidR="00795D99" w:rsidRPr="004E508C">
        <w:rPr>
          <w:lang w:val="en-AU"/>
        </w:rPr>
        <w:t>ature and contents of container</w:t>
      </w:r>
    </w:p>
    <w:p w14:paraId="32446131" w14:textId="2464F7E1" w:rsidR="004F4607" w:rsidRPr="004E508C" w:rsidRDefault="00D76E02" w:rsidP="004F4607">
      <w:pPr>
        <w:spacing w:line="240" w:lineRule="auto"/>
        <w:rPr>
          <w:szCs w:val="20"/>
          <w:lang w:val="en-AU"/>
        </w:rPr>
      </w:pPr>
      <w:bookmarkStart w:id="44" w:name="_Hlk34922864"/>
      <w:r w:rsidRPr="004E508C">
        <w:rPr>
          <w:szCs w:val="20"/>
          <w:lang w:val="en-AU"/>
        </w:rPr>
        <w:t>ENHERTU</w:t>
      </w:r>
      <w:r w:rsidR="004F4607" w:rsidRPr="004E508C">
        <w:rPr>
          <w:szCs w:val="20"/>
          <w:lang w:val="en-AU"/>
        </w:rPr>
        <w:t xml:space="preserve"> is provided in 10 mL Type 1 amber borosilicate glass vial sealed with a fluoro-resin laminated butyl rubber stopper, and a polypropylene/aluminium yellow flip-off crimp cap. </w:t>
      </w:r>
    </w:p>
    <w:p w14:paraId="04517071" w14:textId="0FE1AF2C" w:rsidR="004F4607" w:rsidRPr="004E508C" w:rsidRDefault="004F4607" w:rsidP="004F4607">
      <w:pPr>
        <w:spacing w:line="240" w:lineRule="auto"/>
        <w:rPr>
          <w:szCs w:val="20"/>
          <w:lang w:val="en-AU"/>
        </w:rPr>
      </w:pPr>
      <w:r w:rsidRPr="004E508C">
        <w:rPr>
          <w:szCs w:val="20"/>
          <w:lang w:val="en-AU"/>
        </w:rPr>
        <w:t>Each carton contains 1 </w:t>
      </w:r>
      <w:r w:rsidR="00D76E02" w:rsidRPr="004E508C">
        <w:rPr>
          <w:szCs w:val="20"/>
          <w:lang w:val="en-AU"/>
        </w:rPr>
        <w:t xml:space="preserve">glass </w:t>
      </w:r>
      <w:r w:rsidRPr="004E508C">
        <w:rPr>
          <w:szCs w:val="20"/>
          <w:lang w:val="en-AU"/>
        </w:rPr>
        <w:t>vial.</w:t>
      </w:r>
      <w:bookmarkEnd w:id="44"/>
    </w:p>
    <w:p w14:paraId="6009E55A" w14:textId="77777777" w:rsidR="007D629B" w:rsidRPr="004E508C" w:rsidRDefault="007D629B" w:rsidP="00333D39">
      <w:pPr>
        <w:spacing w:after="0" w:line="240" w:lineRule="auto"/>
        <w:rPr>
          <w:szCs w:val="20"/>
          <w:lang w:val="en-AU"/>
        </w:rPr>
      </w:pPr>
    </w:p>
    <w:p w14:paraId="3CD54412" w14:textId="77777777" w:rsidR="001A3992" w:rsidRPr="004E508C" w:rsidRDefault="001A3992" w:rsidP="00EE3AC8">
      <w:pPr>
        <w:pStyle w:val="Heading2"/>
        <w:rPr>
          <w:lang w:val="en-AU"/>
        </w:rPr>
      </w:pPr>
      <w:r w:rsidRPr="004E508C">
        <w:rPr>
          <w:lang w:val="en-AU"/>
        </w:rPr>
        <w:t>S</w:t>
      </w:r>
      <w:r w:rsidR="00795D99" w:rsidRPr="004E508C">
        <w:rPr>
          <w:lang w:val="en-AU"/>
        </w:rPr>
        <w:t>pecial precautions for disposal</w:t>
      </w:r>
    </w:p>
    <w:p w14:paraId="2E5B3B80" w14:textId="09CBC4E4" w:rsidR="006A727B" w:rsidRPr="004E508C" w:rsidRDefault="00B41A31" w:rsidP="00D82620">
      <w:pPr>
        <w:spacing w:after="0" w:line="240" w:lineRule="auto"/>
        <w:rPr>
          <w:lang w:val="en-AU"/>
        </w:rPr>
      </w:pPr>
      <w:r>
        <w:rPr>
          <w:szCs w:val="20"/>
          <w:lang w:val="en-AU"/>
        </w:rPr>
        <w:t>Product is for single use in one patient only. Discard any residue</w:t>
      </w:r>
      <w:r w:rsidR="00D82620" w:rsidRPr="004E508C">
        <w:rPr>
          <w:szCs w:val="20"/>
          <w:lang w:val="en-AU"/>
        </w:rPr>
        <w:t xml:space="preserve">. </w:t>
      </w:r>
      <w:r w:rsidR="006A727B" w:rsidRPr="004E508C">
        <w:rPr>
          <w:lang w:val="en-AU"/>
        </w:rPr>
        <w:t>In Australia, any unused medicine or waste material should be disposed of by taking to your local pharmacy</w:t>
      </w:r>
      <w:r w:rsidR="00D82620" w:rsidRPr="004E508C">
        <w:rPr>
          <w:lang w:val="en-AU"/>
        </w:rPr>
        <w:t>.</w:t>
      </w:r>
    </w:p>
    <w:p w14:paraId="2EA12D23" w14:textId="77777777" w:rsidR="00D82620" w:rsidRPr="004E508C" w:rsidRDefault="00D82620" w:rsidP="00D82620">
      <w:pPr>
        <w:spacing w:after="0" w:line="240" w:lineRule="auto"/>
        <w:rPr>
          <w:szCs w:val="20"/>
          <w:lang w:val="en-AU"/>
        </w:rPr>
      </w:pPr>
    </w:p>
    <w:p w14:paraId="7D067995" w14:textId="77777777" w:rsidR="001A3992" w:rsidRPr="004E508C" w:rsidRDefault="001A3992" w:rsidP="00EE3AC8">
      <w:pPr>
        <w:pStyle w:val="Heading2"/>
        <w:rPr>
          <w:lang w:val="en-AU"/>
        </w:rPr>
      </w:pPr>
      <w:r w:rsidRPr="004E508C">
        <w:rPr>
          <w:lang w:val="en-AU"/>
        </w:rPr>
        <w:t>Physicochemical properties</w:t>
      </w:r>
    </w:p>
    <w:p w14:paraId="419C3108" w14:textId="50863353" w:rsidR="00676043" w:rsidRPr="004E508C" w:rsidRDefault="00676043" w:rsidP="00676043">
      <w:pPr>
        <w:pStyle w:val="Paragraph"/>
        <w:rPr>
          <w:lang w:val="en-AU"/>
        </w:rPr>
      </w:pPr>
      <w:r w:rsidRPr="004E508C">
        <w:rPr>
          <w:lang w:val="en-AU"/>
        </w:rPr>
        <w:t>Trastuzumab deruxtecan is an antibody</w:t>
      </w:r>
      <w:r w:rsidRPr="004E508C">
        <w:rPr>
          <w:lang w:val="en-AU"/>
        </w:rPr>
        <w:noBreakHyphen/>
        <w:t>drug conjugate (ADC) composed of three components: 1) a humanized anti</w:t>
      </w:r>
      <w:r w:rsidRPr="004E508C">
        <w:rPr>
          <w:lang w:val="en-AU"/>
        </w:rPr>
        <w:noBreakHyphen/>
        <w:t xml:space="preserve">HER2 IgG1 monoclonal antibody (mAb) with the same amino acid sequence as trastuzumab, covalently linked to 2) a topoisomerase I inhibitor, an </w:t>
      </w:r>
      <w:proofErr w:type="spellStart"/>
      <w:r w:rsidRPr="004E508C">
        <w:rPr>
          <w:lang w:val="en-AU"/>
        </w:rPr>
        <w:t>exatecan</w:t>
      </w:r>
      <w:proofErr w:type="spellEnd"/>
      <w:r w:rsidRPr="004E508C">
        <w:rPr>
          <w:lang w:val="en-AU"/>
        </w:rPr>
        <w:t xml:space="preserve"> derivative, via 3) a tetrapeptide</w:t>
      </w:r>
      <w:r w:rsidRPr="004E508C">
        <w:rPr>
          <w:lang w:val="en-AU"/>
        </w:rPr>
        <w:noBreakHyphen/>
        <w:t>based cleavable linker. Deruxtecan is composed of the linker and the topoisomerase I inhibitor.</w:t>
      </w:r>
    </w:p>
    <w:p w14:paraId="2011CB49" w14:textId="476BE705" w:rsidR="00676043" w:rsidRPr="004E508C" w:rsidRDefault="00676043" w:rsidP="00676043">
      <w:pPr>
        <w:pStyle w:val="Paragraph"/>
        <w:rPr>
          <w:lang w:val="en-AU"/>
        </w:rPr>
      </w:pPr>
      <w:r w:rsidRPr="004E508C">
        <w:rPr>
          <w:lang w:val="en-AU"/>
        </w:rPr>
        <w:t>The antibody is produced in Chinese hamster ovary cells by recombinant DNA technology and the topoisomerase I inhibitor and linker are produced by chemical synthesis. Approximately 8 molecules of deruxtecan are attached to each antibody molecule.</w:t>
      </w:r>
    </w:p>
    <w:p w14:paraId="7C735265" w14:textId="7ED0866B" w:rsidR="00062AE5" w:rsidRPr="004E508C" w:rsidRDefault="007D629B" w:rsidP="00062AE5">
      <w:pPr>
        <w:pStyle w:val="Heading3Unnumbered"/>
        <w:rPr>
          <w:lang w:val="en-AU"/>
        </w:rPr>
      </w:pPr>
      <w:r w:rsidRPr="004E508C">
        <w:rPr>
          <w:lang w:val="en-AU"/>
        </w:rPr>
        <w:lastRenderedPageBreak/>
        <w:t>General</w:t>
      </w:r>
      <w:r w:rsidR="00062AE5" w:rsidRPr="004E508C">
        <w:rPr>
          <w:lang w:val="en-AU"/>
        </w:rPr>
        <w:t xml:space="preserve"> structure</w:t>
      </w:r>
    </w:p>
    <w:p w14:paraId="4D617DB6" w14:textId="77777777" w:rsidR="007D629B" w:rsidRPr="004E508C" w:rsidRDefault="007D629B" w:rsidP="004C7F1B">
      <w:pPr>
        <w:pStyle w:val="FigureTitle"/>
        <w:rPr>
          <w:lang w:val="en-AU"/>
        </w:rPr>
      </w:pPr>
      <w:r>
        <w:rPr>
          <w:noProof/>
        </w:rPr>
        <w:drawing>
          <wp:inline distT="0" distB="0" distL="0" distR="0" wp14:anchorId="593E6D58" wp14:editId="6DB23FAF">
            <wp:extent cx="5295263" cy="1379220"/>
            <wp:effectExtent l="0" t="0" r="635" b="0"/>
            <wp:docPr id="787302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295263" cy="1379220"/>
                    </a:xfrm>
                    <a:prstGeom prst="rect">
                      <a:avLst/>
                    </a:prstGeom>
                  </pic:spPr>
                </pic:pic>
              </a:graphicData>
            </a:graphic>
          </wp:inline>
        </w:drawing>
      </w:r>
    </w:p>
    <w:p w14:paraId="7F77BE1A" w14:textId="09308C1B" w:rsidR="00C73EF4" w:rsidRPr="004E508C" w:rsidRDefault="004C7F1B" w:rsidP="0059373A">
      <w:pPr>
        <w:pStyle w:val="FigureTitle"/>
        <w:rPr>
          <w:lang w:val="en-AU"/>
        </w:rPr>
      </w:pPr>
      <w:r w:rsidRPr="004E508C">
        <w:rPr>
          <w:lang w:val="en-AU"/>
        </w:rPr>
        <w:t>Figure </w:t>
      </w:r>
      <w:r w:rsidRPr="004E508C">
        <w:rPr>
          <w:lang w:val="en-AU"/>
        </w:rPr>
        <w:fldChar w:fldCharType="begin"/>
      </w:r>
      <w:r w:rsidRPr="004E508C">
        <w:rPr>
          <w:lang w:val="en-AU"/>
        </w:rPr>
        <w:instrText xml:space="preserve"> SEQ Figure \* ARABIC </w:instrText>
      </w:r>
      <w:r w:rsidRPr="004E508C">
        <w:rPr>
          <w:lang w:val="en-AU"/>
        </w:rPr>
        <w:fldChar w:fldCharType="separate"/>
      </w:r>
      <w:r w:rsidR="00D8030B" w:rsidRPr="004E508C">
        <w:rPr>
          <w:noProof/>
          <w:lang w:val="en-AU"/>
        </w:rPr>
        <w:t>1</w:t>
      </w:r>
      <w:r w:rsidRPr="004E508C">
        <w:rPr>
          <w:lang w:val="en-AU"/>
        </w:rPr>
        <w:fldChar w:fldCharType="end"/>
      </w:r>
      <w:r w:rsidRPr="004E508C">
        <w:rPr>
          <w:lang w:val="en-AU"/>
        </w:rPr>
        <w:tab/>
        <w:t xml:space="preserve">General structure of </w:t>
      </w:r>
      <w:r w:rsidR="00C73EF4" w:rsidRPr="004E508C">
        <w:rPr>
          <w:lang w:val="en-AU"/>
        </w:rPr>
        <w:t>trastuzumab deruxtecan</w:t>
      </w:r>
    </w:p>
    <w:p w14:paraId="267B9D29" w14:textId="77777777" w:rsidR="0059373A" w:rsidRPr="004E508C" w:rsidRDefault="0059373A" w:rsidP="0059373A">
      <w:pPr>
        <w:pStyle w:val="Figure"/>
        <w:rPr>
          <w:lang w:val="en-AU"/>
        </w:rPr>
      </w:pPr>
    </w:p>
    <w:p w14:paraId="77A2A55E" w14:textId="769CFBE0" w:rsidR="00062AE5" w:rsidRPr="004E508C" w:rsidRDefault="001A3992" w:rsidP="00062AE5">
      <w:pPr>
        <w:pStyle w:val="Heading3Unnumbered"/>
        <w:rPr>
          <w:lang w:val="en-AU"/>
        </w:rPr>
      </w:pPr>
      <w:r w:rsidRPr="004E508C">
        <w:rPr>
          <w:lang w:val="en-AU"/>
        </w:rPr>
        <w:t>CAS number</w:t>
      </w:r>
    </w:p>
    <w:p w14:paraId="54593723" w14:textId="5BDDB575" w:rsidR="00D4369B" w:rsidRPr="004E508C" w:rsidRDefault="00D4369B" w:rsidP="006A727B">
      <w:pPr>
        <w:pStyle w:val="Paragraph"/>
        <w:rPr>
          <w:lang w:val="en-AU"/>
        </w:rPr>
      </w:pPr>
      <w:r w:rsidRPr="004E508C">
        <w:rPr>
          <w:lang w:val="en-AU"/>
        </w:rPr>
        <w:t xml:space="preserve">1826843-81-5 </w:t>
      </w:r>
    </w:p>
    <w:p w14:paraId="6387213E" w14:textId="77777777" w:rsidR="0059373A" w:rsidRPr="004E508C" w:rsidRDefault="0059373A" w:rsidP="006A727B">
      <w:pPr>
        <w:pStyle w:val="Paragraph"/>
        <w:rPr>
          <w:lang w:val="en-AU"/>
        </w:rPr>
      </w:pPr>
    </w:p>
    <w:p w14:paraId="155289B0" w14:textId="77777777" w:rsidR="001A3992" w:rsidRPr="004E508C" w:rsidRDefault="001A3992" w:rsidP="00EE3AC8">
      <w:pPr>
        <w:pStyle w:val="Heading1"/>
        <w:rPr>
          <w:lang w:val="en-AU"/>
        </w:rPr>
      </w:pPr>
      <w:r w:rsidRPr="004E508C">
        <w:rPr>
          <w:lang w:val="en-AU"/>
        </w:rPr>
        <w:t>Medicine schedule (Poisons Standard)</w:t>
      </w:r>
    </w:p>
    <w:p w14:paraId="27CE5ACC" w14:textId="0E24E4C3" w:rsidR="0041004D" w:rsidRPr="004E508C" w:rsidRDefault="0041004D" w:rsidP="002D3489">
      <w:pPr>
        <w:pStyle w:val="Paragraph"/>
        <w:rPr>
          <w:lang w:val="en-AU"/>
        </w:rPr>
      </w:pPr>
      <w:r w:rsidRPr="004E508C">
        <w:rPr>
          <w:lang w:val="en-AU"/>
        </w:rPr>
        <w:t>Prescription only medicine (Schedule 4)</w:t>
      </w:r>
    </w:p>
    <w:p w14:paraId="3868D320" w14:textId="77777777" w:rsidR="008E2071" w:rsidRPr="004E508C" w:rsidRDefault="008E2071" w:rsidP="002D3489">
      <w:pPr>
        <w:pStyle w:val="Paragraph"/>
        <w:rPr>
          <w:lang w:val="en-AU"/>
        </w:rPr>
      </w:pPr>
    </w:p>
    <w:p w14:paraId="327DFC75" w14:textId="77777777" w:rsidR="00285173" w:rsidRPr="004E508C" w:rsidRDefault="001A3992" w:rsidP="00EE3AC8">
      <w:pPr>
        <w:pStyle w:val="Heading1"/>
        <w:rPr>
          <w:lang w:val="en-AU"/>
        </w:rPr>
      </w:pPr>
      <w:r w:rsidRPr="004E508C">
        <w:rPr>
          <w:lang w:val="en-AU"/>
        </w:rPr>
        <w:t>Sponsor</w:t>
      </w:r>
    </w:p>
    <w:p w14:paraId="045F7926" w14:textId="77777777" w:rsidR="0041004D" w:rsidRPr="004E508C" w:rsidRDefault="0041004D" w:rsidP="0041004D">
      <w:pPr>
        <w:pStyle w:val="Paragraph"/>
        <w:rPr>
          <w:lang w:val="en-AU"/>
        </w:rPr>
      </w:pPr>
      <w:r w:rsidRPr="004E508C">
        <w:rPr>
          <w:lang w:val="en-AU"/>
        </w:rPr>
        <w:t>AstraZeneca Pty Ltd</w:t>
      </w:r>
      <w:r w:rsidRPr="004E508C">
        <w:rPr>
          <w:lang w:val="en-AU"/>
        </w:rPr>
        <w:br/>
        <w:t>ABN 54 009 682 311</w:t>
      </w:r>
      <w:r w:rsidRPr="004E508C">
        <w:rPr>
          <w:lang w:val="en-AU"/>
        </w:rPr>
        <w:br/>
        <w:t>66 Talavera Road</w:t>
      </w:r>
      <w:r w:rsidRPr="004E508C">
        <w:rPr>
          <w:lang w:val="en-AU"/>
        </w:rPr>
        <w:br/>
        <w:t>MACQUARIE PARK NSW 2113</w:t>
      </w:r>
    </w:p>
    <w:p w14:paraId="5DB74FCA" w14:textId="6B231418" w:rsidR="0041004D" w:rsidRPr="004E508C" w:rsidRDefault="0041004D" w:rsidP="0041004D">
      <w:pPr>
        <w:pStyle w:val="Paragraph"/>
        <w:rPr>
          <w:lang w:val="en-AU"/>
        </w:rPr>
      </w:pPr>
      <w:r w:rsidRPr="004E508C">
        <w:rPr>
          <w:lang w:val="en-AU"/>
        </w:rPr>
        <w:t>Telephone: 1800 805 342</w:t>
      </w:r>
    </w:p>
    <w:p w14:paraId="3BC6C7F1" w14:textId="77777777" w:rsidR="00D863F7" w:rsidRPr="004E508C" w:rsidRDefault="00D863F7" w:rsidP="0041004D">
      <w:pPr>
        <w:pStyle w:val="Paragraph"/>
        <w:rPr>
          <w:lang w:val="en-AU"/>
        </w:rPr>
      </w:pPr>
    </w:p>
    <w:p w14:paraId="5C7CDFEF" w14:textId="77777777" w:rsidR="00285173" w:rsidRPr="004E508C" w:rsidRDefault="00285173" w:rsidP="00EE3AC8">
      <w:pPr>
        <w:pStyle w:val="Heading1"/>
        <w:rPr>
          <w:lang w:val="en-AU"/>
        </w:rPr>
      </w:pPr>
      <w:r w:rsidRPr="004E508C">
        <w:rPr>
          <w:lang w:val="en-AU"/>
        </w:rPr>
        <w:t xml:space="preserve">Date of first </w:t>
      </w:r>
      <w:r w:rsidR="00795D99" w:rsidRPr="004E508C">
        <w:rPr>
          <w:lang w:val="en-AU"/>
        </w:rPr>
        <w:t>approval</w:t>
      </w:r>
    </w:p>
    <w:p w14:paraId="64E6629E" w14:textId="18F46336" w:rsidR="00E00336" w:rsidRPr="004E508C" w:rsidRDefault="00513B1A" w:rsidP="002D3489">
      <w:pPr>
        <w:pStyle w:val="Paragraph"/>
        <w:rPr>
          <w:lang w:val="en-AU"/>
        </w:rPr>
      </w:pPr>
      <w:r w:rsidRPr="004E508C">
        <w:rPr>
          <w:lang w:val="en-AU"/>
        </w:rPr>
        <w:t xml:space="preserve"> </w:t>
      </w:r>
      <w:r w:rsidRPr="001F2E35">
        <w:rPr>
          <w:highlight w:val="yellow"/>
          <w:lang w:val="en-AU"/>
        </w:rPr>
        <w:t>DD MMM YYYY</w:t>
      </w:r>
    </w:p>
    <w:p w14:paraId="728ECB88" w14:textId="77777777" w:rsidR="00D863F7" w:rsidRPr="004E508C" w:rsidRDefault="00D863F7" w:rsidP="002D3489">
      <w:pPr>
        <w:pStyle w:val="Paragraph"/>
        <w:rPr>
          <w:lang w:val="en-AU"/>
        </w:rPr>
      </w:pPr>
    </w:p>
    <w:p w14:paraId="756233D1" w14:textId="77777777" w:rsidR="00285173" w:rsidRPr="004E508C" w:rsidRDefault="00285173" w:rsidP="00EE3AC8">
      <w:pPr>
        <w:pStyle w:val="Heading1"/>
        <w:rPr>
          <w:lang w:val="en-AU"/>
        </w:rPr>
      </w:pPr>
      <w:r w:rsidRPr="004E508C">
        <w:rPr>
          <w:lang w:val="en-AU"/>
        </w:rPr>
        <w:t>Date o</w:t>
      </w:r>
      <w:r w:rsidR="00795D99" w:rsidRPr="004E508C">
        <w:rPr>
          <w:lang w:val="en-AU"/>
        </w:rPr>
        <w:t>f revision</w:t>
      </w:r>
    </w:p>
    <w:p w14:paraId="442443CE" w14:textId="308AF0F6" w:rsidR="00513B1A" w:rsidRPr="004E508C" w:rsidRDefault="001812B5" w:rsidP="00513B1A">
      <w:pPr>
        <w:pStyle w:val="Paragraph"/>
        <w:rPr>
          <w:lang w:val="en-AU"/>
        </w:rPr>
      </w:pPr>
      <w:r w:rsidRPr="004E508C">
        <w:rPr>
          <w:lang w:val="en-AU"/>
        </w:rPr>
        <w:t>Not applicable.</w:t>
      </w:r>
    </w:p>
    <w:p w14:paraId="5D4AC856" w14:textId="77777777" w:rsidR="00D863F7" w:rsidRPr="004E508C" w:rsidRDefault="00D863F7" w:rsidP="00513B1A">
      <w:pPr>
        <w:pStyle w:val="Paragraph"/>
        <w:rPr>
          <w:lang w:val="en-AU"/>
        </w:rPr>
      </w:pPr>
    </w:p>
    <w:p w14:paraId="3E49FBD2" w14:textId="77777777" w:rsidR="00285173" w:rsidRPr="004E508C" w:rsidRDefault="00285173" w:rsidP="0026491B">
      <w:pPr>
        <w:pStyle w:val="Heading2Unnumbered"/>
        <w:rPr>
          <w:lang w:val="en-AU"/>
        </w:rPr>
      </w:pPr>
      <w:r w:rsidRPr="004E508C">
        <w:rPr>
          <w:lang w:val="en-AU"/>
        </w:rPr>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4E508C" w14:paraId="0776AC40" w14:textId="77777777" w:rsidTr="008A35FB">
        <w:trPr>
          <w:cantSplit/>
          <w:tblHeader/>
        </w:trPr>
        <w:tc>
          <w:tcPr>
            <w:tcW w:w="1129" w:type="dxa"/>
            <w:shd w:val="clear" w:color="auto" w:fill="auto"/>
          </w:tcPr>
          <w:p w14:paraId="374E73CB" w14:textId="77777777" w:rsidR="008A35FB" w:rsidRPr="004E508C" w:rsidRDefault="008A35FB" w:rsidP="008A35FB">
            <w:pPr>
              <w:pStyle w:val="TableHead"/>
              <w:jc w:val="left"/>
              <w:rPr>
                <w:lang w:val="en-AU"/>
              </w:rPr>
            </w:pPr>
            <w:r w:rsidRPr="004E508C">
              <w:rPr>
                <w:lang w:val="en-AU"/>
              </w:rPr>
              <w:t>Section changed</w:t>
            </w:r>
          </w:p>
        </w:tc>
        <w:tc>
          <w:tcPr>
            <w:tcW w:w="8509" w:type="dxa"/>
            <w:shd w:val="clear" w:color="auto" w:fill="auto"/>
          </w:tcPr>
          <w:p w14:paraId="57BCF7AE" w14:textId="77777777" w:rsidR="008A35FB" w:rsidRPr="004E508C" w:rsidRDefault="008A35FB" w:rsidP="008A35FB">
            <w:pPr>
              <w:pStyle w:val="TableHead"/>
              <w:jc w:val="left"/>
              <w:rPr>
                <w:lang w:val="en-AU"/>
              </w:rPr>
            </w:pPr>
            <w:r w:rsidRPr="004E508C">
              <w:rPr>
                <w:lang w:val="en-AU"/>
              </w:rPr>
              <w:t>Summary of new information</w:t>
            </w:r>
          </w:p>
        </w:tc>
      </w:tr>
      <w:tr w:rsidR="001812B5" w:rsidRPr="004E508C" w14:paraId="0631374A" w14:textId="77777777" w:rsidTr="00257099">
        <w:trPr>
          <w:cantSplit/>
        </w:trPr>
        <w:tc>
          <w:tcPr>
            <w:tcW w:w="1129" w:type="dxa"/>
            <w:shd w:val="clear" w:color="auto" w:fill="auto"/>
          </w:tcPr>
          <w:p w14:paraId="6EBAC526" w14:textId="5066B6E7" w:rsidR="001812B5" w:rsidRPr="004E508C" w:rsidRDefault="001812B5" w:rsidP="00257099">
            <w:pPr>
              <w:pStyle w:val="TableLeft"/>
              <w:rPr>
                <w:lang w:val="en-AU"/>
              </w:rPr>
            </w:pPr>
            <w:r w:rsidRPr="004E508C">
              <w:rPr>
                <w:lang w:val="en-AU"/>
              </w:rPr>
              <w:t>N/A</w:t>
            </w:r>
          </w:p>
        </w:tc>
        <w:tc>
          <w:tcPr>
            <w:tcW w:w="8509" w:type="dxa"/>
            <w:shd w:val="clear" w:color="auto" w:fill="auto"/>
          </w:tcPr>
          <w:p w14:paraId="0E2A41F6" w14:textId="5E3462D1" w:rsidR="001812B5" w:rsidRPr="004E508C" w:rsidRDefault="001812B5" w:rsidP="00257099">
            <w:pPr>
              <w:pStyle w:val="TableLeft"/>
              <w:rPr>
                <w:lang w:val="en-AU"/>
              </w:rPr>
            </w:pPr>
            <w:r w:rsidRPr="004E508C">
              <w:rPr>
                <w:lang w:val="en-AU"/>
              </w:rPr>
              <w:t>New product</w:t>
            </w:r>
          </w:p>
        </w:tc>
      </w:tr>
    </w:tbl>
    <w:p w14:paraId="7ED5B46F" w14:textId="77777777" w:rsidR="00513B1A" w:rsidRPr="004E508C" w:rsidRDefault="00513B1A" w:rsidP="00513B1A">
      <w:pPr>
        <w:pStyle w:val="Paragraph"/>
        <w:rPr>
          <w:lang w:val="en-AU"/>
        </w:rPr>
      </w:pPr>
    </w:p>
    <w:p w14:paraId="390A4326" w14:textId="259725F4" w:rsidR="00E50D31" w:rsidRPr="004E508C" w:rsidRDefault="00E50D31" w:rsidP="00513B1A">
      <w:pPr>
        <w:pStyle w:val="Paragraph"/>
        <w:rPr>
          <w:sz w:val="20"/>
          <w:szCs w:val="20"/>
          <w:lang w:val="en-AU"/>
        </w:rPr>
      </w:pPr>
      <w:bookmarkStart w:id="45" w:name="_Hlk45289341"/>
      <w:r w:rsidRPr="004E508C">
        <w:rPr>
          <w:sz w:val="20"/>
          <w:szCs w:val="20"/>
          <w:lang w:val="en-AU"/>
        </w:rPr>
        <w:t>ENHERTU</w:t>
      </w:r>
      <w:r w:rsidR="00A45B2B" w:rsidRPr="00A45B2B">
        <w:rPr>
          <w:sz w:val="20"/>
          <w:szCs w:val="20"/>
          <w:vertAlign w:val="superscript"/>
          <w:lang w:val="en-AU"/>
        </w:rPr>
        <w:t>®</w:t>
      </w:r>
      <w:r w:rsidRPr="004E508C">
        <w:rPr>
          <w:sz w:val="20"/>
          <w:szCs w:val="20"/>
          <w:lang w:val="en-AU"/>
        </w:rPr>
        <w:t xml:space="preserve"> is a trademark of the Daiichi Sankyo </w:t>
      </w:r>
      <w:r w:rsidR="00AB48FC" w:rsidRPr="004E508C">
        <w:rPr>
          <w:sz w:val="20"/>
          <w:szCs w:val="20"/>
          <w:lang w:val="en-AU"/>
        </w:rPr>
        <w:t>Company</w:t>
      </w:r>
      <w:r w:rsidR="0018158C" w:rsidRPr="004E508C">
        <w:rPr>
          <w:sz w:val="20"/>
          <w:szCs w:val="20"/>
          <w:lang w:val="en-AU"/>
        </w:rPr>
        <w:t xml:space="preserve"> </w:t>
      </w:r>
      <w:r w:rsidR="00AB48FC" w:rsidRPr="004E508C">
        <w:rPr>
          <w:sz w:val="20"/>
          <w:szCs w:val="20"/>
          <w:lang w:val="en-AU"/>
        </w:rPr>
        <w:t>limited</w:t>
      </w:r>
      <w:r w:rsidR="0018158C" w:rsidRPr="004E508C">
        <w:rPr>
          <w:sz w:val="20"/>
          <w:szCs w:val="20"/>
          <w:lang w:val="en-AU"/>
        </w:rPr>
        <w:t>,</w:t>
      </w:r>
      <w:r w:rsidR="00AB48FC" w:rsidRPr="004E508C">
        <w:rPr>
          <w:sz w:val="20"/>
          <w:szCs w:val="20"/>
          <w:lang w:val="en-AU"/>
        </w:rPr>
        <w:t xml:space="preserve"> used under license by AstraZeneca. </w:t>
      </w:r>
    </w:p>
    <w:bookmarkEnd w:id="45"/>
    <w:p w14:paraId="7FD09B1E" w14:textId="5F1937F5" w:rsidR="00513B1A" w:rsidRPr="004E508C" w:rsidRDefault="00513B1A" w:rsidP="00513B1A">
      <w:pPr>
        <w:pStyle w:val="Paragraph"/>
        <w:rPr>
          <w:sz w:val="20"/>
          <w:szCs w:val="20"/>
          <w:lang w:val="en-AU"/>
        </w:rPr>
      </w:pPr>
      <w:r w:rsidRPr="004E508C">
        <w:rPr>
          <w:sz w:val="20"/>
          <w:szCs w:val="20"/>
          <w:vertAlign w:val="superscript"/>
          <w:lang w:val="en-AU"/>
        </w:rPr>
        <w:t>©</w:t>
      </w:r>
      <w:r w:rsidRPr="004E508C">
        <w:rPr>
          <w:sz w:val="20"/>
          <w:szCs w:val="20"/>
          <w:lang w:val="en-AU"/>
        </w:rPr>
        <w:t xml:space="preserve"> AstraZeneca, </w:t>
      </w:r>
      <w:r w:rsidR="00AB48FC" w:rsidRPr="004E508C">
        <w:rPr>
          <w:sz w:val="20"/>
          <w:szCs w:val="20"/>
          <w:lang w:val="en-AU"/>
        </w:rPr>
        <w:t>202</w:t>
      </w:r>
      <w:r w:rsidR="00D7389F" w:rsidRPr="004E508C">
        <w:rPr>
          <w:sz w:val="20"/>
          <w:szCs w:val="20"/>
          <w:lang w:val="en-AU"/>
        </w:rPr>
        <w:t>1</w:t>
      </w:r>
      <w:r w:rsidR="00AB48FC" w:rsidRPr="004E508C">
        <w:rPr>
          <w:sz w:val="20"/>
          <w:szCs w:val="20"/>
          <w:lang w:val="en-AU"/>
        </w:rPr>
        <w:t xml:space="preserve"> </w:t>
      </w:r>
    </w:p>
    <w:p w14:paraId="00DBCF14" w14:textId="002DB3A4" w:rsidR="008A35FB" w:rsidRPr="004E508C" w:rsidRDefault="00350691" w:rsidP="008A35FB">
      <w:pPr>
        <w:pStyle w:val="Paragraph"/>
        <w:rPr>
          <w:sz w:val="20"/>
          <w:szCs w:val="20"/>
          <w:lang w:val="en-AU"/>
        </w:rPr>
      </w:pPr>
      <w:r w:rsidRPr="00350691">
        <w:rPr>
          <w:sz w:val="20"/>
          <w:szCs w:val="20"/>
          <w:highlight w:val="yellow"/>
          <w:lang w:val="en-AU"/>
        </w:rPr>
        <w:t>Doc ID-</w:t>
      </w:r>
      <w:r w:rsidRPr="00B41A31">
        <w:rPr>
          <w:sz w:val="20"/>
          <w:szCs w:val="20"/>
          <w:highlight w:val="yellow"/>
          <w:lang w:val="en-AU"/>
        </w:rPr>
        <w:t xml:space="preserve">004361490 </w:t>
      </w:r>
      <w:r w:rsidR="00513B1A" w:rsidRPr="00B41A31">
        <w:rPr>
          <w:sz w:val="20"/>
          <w:szCs w:val="20"/>
          <w:highlight w:val="yellow"/>
          <w:lang w:val="en-AU"/>
        </w:rPr>
        <w:t>v</w:t>
      </w:r>
      <w:r w:rsidR="00F13A56" w:rsidRPr="00F13A56">
        <w:rPr>
          <w:sz w:val="20"/>
          <w:szCs w:val="20"/>
          <w:highlight w:val="yellow"/>
          <w:lang w:val="en-AU"/>
        </w:rPr>
        <w:t>5</w:t>
      </w:r>
    </w:p>
    <w:sectPr w:rsidR="008A35FB" w:rsidRPr="004E508C" w:rsidSect="0080644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7A437" w14:textId="77777777" w:rsidR="00631C8D" w:rsidRDefault="00631C8D" w:rsidP="001A3992">
      <w:pPr>
        <w:spacing w:after="0" w:line="240" w:lineRule="auto"/>
      </w:pPr>
      <w:r>
        <w:separator/>
      </w:r>
    </w:p>
  </w:endnote>
  <w:endnote w:type="continuationSeparator" w:id="0">
    <w:p w14:paraId="431EAC61" w14:textId="77777777" w:rsidR="00631C8D" w:rsidRDefault="00631C8D" w:rsidP="001A3992">
      <w:pPr>
        <w:spacing w:after="0" w:line="240" w:lineRule="auto"/>
      </w:pPr>
      <w:r>
        <w:continuationSeparator/>
      </w:r>
    </w:p>
  </w:endnote>
  <w:endnote w:type="continuationNotice" w:id="1">
    <w:p w14:paraId="3235C363" w14:textId="77777777" w:rsidR="00631C8D" w:rsidRDefault="00631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2514" w14:textId="77777777" w:rsidR="00B56D31" w:rsidRDefault="00B56D31"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3B0E3" w14:textId="77777777" w:rsidR="00631C8D" w:rsidRDefault="00631C8D" w:rsidP="001A3992">
      <w:pPr>
        <w:spacing w:after="0" w:line="240" w:lineRule="auto"/>
      </w:pPr>
      <w:r>
        <w:separator/>
      </w:r>
    </w:p>
  </w:footnote>
  <w:footnote w:type="continuationSeparator" w:id="0">
    <w:p w14:paraId="6D37E1C7" w14:textId="77777777" w:rsidR="00631C8D" w:rsidRDefault="00631C8D" w:rsidP="001A3992">
      <w:pPr>
        <w:spacing w:after="0" w:line="240" w:lineRule="auto"/>
      </w:pPr>
      <w:r>
        <w:continuationSeparator/>
      </w:r>
    </w:p>
  </w:footnote>
  <w:footnote w:type="continuationNotice" w:id="1">
    <w:p w14:paraId="340801C8" w14:textId="77777777" w:rsidR="00631C8D" w:rsidRDefault="00631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F83ED1" w:rsidRPr="000B2145" w14:paraId="33FDD847" w14:textId="77777777" w:rsidTr="00F83ED1">
      <w:trPr>
        <w:trHeight w:val="1012"/>
        <w:jc w:val="center"/>
      </w:trPr>
      <w:tc>
        <w:tcPr>
          <w:tcW w:w="9039" w:type="dxa"/>
          <w:shd w:val="clear" w:color="auto" w:fill="E4F2E0"/>
        </w:tcPr>
        <w:p w14:paraId="26D355F3" w14:textId="77777777" w:rsidR="00F83ED1" w:rsidRPr="006E44B9" w:rsidRDefault="00F83ED1" w:rsidP="00F83ED1">
          <w:pPr>
            <w:pStyle w:val="Footer"/>
            <w:tabs>
              <w:tab w:val="center" w:pos="4513"/>
              <w:tab w:val="right" w:pos="9026"/>
            </w:tabs>
            <w:rPr>
              <w:b/>
              <w:sz w:val="18"/>
              <w:szCs w:val="18"/>
            </w:rPr>
          </w:pPr>
          <w:bookmarkStart w:id="46" w:name="_Hlk80611440"/>
          <w:r w:rsidRPr="000E4791">
            <w:rPr>
              <w:b/>
              <w:sz w:val="18"/>
              <w:szCs w:val="18"/>
            </w:rPr>
            <w:t>Attachment 1</w:t>
          </w:r>
          <w:r>
            <w:t xml:space="preserve"> </w:t>
          </w:r>
          <w:proofErr w:type="spellStart"/>
          <w:r w:rsidRPr="006E44B9">
            <w:rPr>
              <w:b/>
              <w:sz w:val="18"/>
              <w:szCs w:val="18"/>
            </w:rPr>
            <w:t>AusPAR</w:t>
          </w:r>
          <w:proofErr w:type="spellEnd"/>
          <w:r w:rsidRPr="006E44B9">
            <w:rPr>
              <w:b/>
              <w:sz w:val="18"/>
              <w:szCs w:val="18"/>
            </w:rPr>
            <w:t xml:space="preserve"> - </w:t>
          </w:r>
          <w:proofErr w:type="spellStart"/>
          <w:r w:rsidRPr="006E44B9">
            <w:rPr>
              <w:b/>
              <w:sz w:val="18"/>
              <w:szCs w:val="18"/>
            </w:rPr>
            <w:t>Enhertu</w:t>
          </w:r>
          <w:proofErr w:type="spellEnd"/>
          <w:r w:rsidRPr="006E44B9">
            <w:rPr>
              <w:b/>
              <w:sz w:val="18"/>
              <w:szCs w:val="18"/>
            </w:rPr>
            <w:t xml:space="preserve"> – </w:t>
          </w:r>
          <w:r>
            <w:rPr>
              <w:b/>
              <w:sz w:val="18"/>
              <w:szCs w:val="18"/>
            </w:rPr>
            <w:t>T</w:t>
          </w:r>
          <w:r w:rsidRPr="006E44B9">
            <w:rPr>
              <w:b/>
              <w:sz w:val="18"/>
              <w:szCs w:val="18"/>
            </w:rPr>
            <w:t xml:space="preserve">rastuzumab </w:t>
          </w:r>
          <w:proofErr w:type="spellStart"/>
          <w:r w:rsidRPr="006E44B9">
            <w:rPr>
              <w:b/>
              <w:sz w:val="18"/>
              <w:szCs w:val="18"/>
            </w:rPr>
            <w:t>deruxtecan</w:t>
          </w:r>
          <w:proofErr w:type="spellEnd"/>
          <w:r w:rsidRPr="006E44B9">
            <w:rPr>
              <w:b/>
              <w:sz w:val="18"/>
              <w:szCs w:val="18"/>
            </w:rPr>
            <w:t xml:space="preserve"> - AstraZeneca Pty Ltd PM-2020-04659-1-4</w:t>
          </w:r>
        </w:p>
        <w:p w14:paraId="1495056D" w14:textId="77777777" w:rsidR="00F83ED1" w:rsidRPr="000E4791" w:rsidRDefault="00F83ED1" w:rsidP="00F83ED1">
          <w:pPr>
            <w:pStyle w:val="Footer"/>
            <w:rPr>
              <w:b/>
              <w:sz w:val="18"/>
              <w:szCs w:val="18"/>
            </w:rPr>
          </w:pPr>
          <w:r w:rsidRPr="006E44B9">
            <w:rPr>
              <w:b/>
              <w:sz w:val="18"/>
              <w:szCs w:val="18"/>
            </w:rPr>
            <w:t>FINAL 15 June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6"/>
  </w:tbl>
  <w:p w14:paraId="4C1EEFDD" w14:textId="77777777" w:rsidR="00F83ED1" w:rsidRDefault="00F8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E1C7F6B"/>
    <w:multiLevelType w:val="hybridMultilevel"/>
    <w:tmpl w:val="04D0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07E02"/>
    <w:multiLevelType w:val="hybridMultilevel"/>
    <w:tmpl w:val="C8E80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5012AE"/>
    <w:multiLevelType w:val="hybridMultilevel"/>
    <w:tmpl w:val="8A72C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6"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8" w15:restartNumberingAfterBreak="0">
    <w:nsid w:val="15D836D5"/>
    <w:multiLevelType w:val="hybridMultilevel"/>
    <w:tmpl w:val="E62E3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B4E56"/>
    <w:multiLevelType w:val="hybridMultilevel"/>
    <w:tmpl w:val="F934E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22C71CC"/>
    <w:multiLevelType w:val="hybridMultilevel"/>
    <w:tmpl w:val="5D5A9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34415F12"/>
    <w:multiLevelType w:val="hybridMultilevel"/>
    <w:tmpl w:val="2128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5" w15:restartNumberingAfterBreak="0">
    <w:nsid w:val="3EF5019A"/>
    <w:multiLevelType w:val="hybridMultilevel"/>
    <w:tmpl w:val="E460D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7"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8" w15:restartNumberingAfterBreak="0">
    <w:nsid w:val="4EB7118C"/>
    <w:multiLevelType w:val="hybridMultilevel"/>
    <w:tmpl w:val="F4E47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012447"/>
    <w:multiLevelType w:val="hybridMultilevel"/>
    <w:tmpl w:val="07443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2" w15:restartNumberingAfterBreak="0">
    <w:nsid w:val="6FB67BDC"/>
    <w:multiLevelType w:val="hybridMultilevel"/>
    <w:tmpl w:val="3A541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AB2662"/>
    <w:multiLevelType w:val="hybridMultilevel"/>
    <w:tmpl w:val="D87A7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366146"/>
    <w:multiLevelType w:val="hybridMultilevel"/>
    <w:tmpl w:val="199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696F5D"/>
    <w:multiLevelType w:val="hybridMultilevel"/>
    <w:tmpl w:val="E4A2A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2C797E"/>
    <w:multiLevelType w:val="hybridMultilevel"/>
    <w:tmpl w:val="725E0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4"/>
  </w:num>
  <w:num w:numId="3">
    <w:abstractNumId w:val="12"/>
  </w:num>
  <w:num w:numId="4">
    <w:abstractNumId w:val="6"/>
  </w:num>
  <w:num w:numId="5">
    <w:abstractNumId w:val="16"/>
  </w:num>
  <w:num w:numId="6">
    <w:abstractNumId w:val="0"/>
  </w:num>
  <w:num w:numId="7">
    <w:abstractNumId w:val="7"/>
  </w:num>
  <w:num w:numId="8">
    <w:abstractNumId w:val="20"/>
  </w:num>
  <w:num w:numId="9">
    <w:abstractNumId w:val="28"/>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7"/>
  </w:num>
  <w:num w:numId="18">
    <w:abstractNumId w:val="18"/>
  </w:num>
  <w:num w:numId="19">
    <w:abstractNumId w:val="25"/>
  </w:num>
  <w:num w:numId="20">
    <w:abstractNumId w:val="11"/>
  </w:num>
  <w:num w:numId="21">
    <w:abstractNumId w:val="26"/>
  </w:num>
  <w:num w:numId="22">
    <w:abstractNumId w:val="2"/>
  </w:num>
  <w:num w:numId="23">
    <w:abstractNumId w:val="8"/>
  </w:num>
  <w:num w:numId="24">
    <w:abstractNumId w:val="9"/>
  </w:num>
  <w:num w:numId="25">
    <w:abstractNumId w:val="19"/>
  </w:num>
  <w:num w:numId="26">
    <w:abstractNumId w:val="15"/>
  </w:num>
  <w:num w:numId="27">
    <w:abstractNumId w:val="23"/>
  </w:num>
  <w:num w:numId="28">
    <w:abstractNumId w:val="3"/>
  </w:num>
  <w:num w:numId="29">
    <w:abstractNumId w:val="4"/>
  </w:num>
  <w:num w:numId="30">
    <w:abstractNumId w:val="13"/>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attachedTemplate r:id="rId1"/>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0B"/>
    <w:rsid w:val="0000032C"/>
    <w:rsid w:val="00000C3E"/>
    <w:rsid w:val="0000173A"/>
    <w:rsid w:val="00005AD8"/>
    <w:rsid w:val="00005CAD"/>
    <w:rsid w:val="000066E7"/>
    <w:rsid w:val="0001666A"/>
    <w:rsid w:val="00020497"/>
    <w:rsid w:val="00025958"/>
    <w:rsid w:val="00034E78"/>
    <w:rsid w:val="00041EDD"/>
    <w:rsid w:val="00042302"/>
    <w:rsid w:val="00043104"/>
    <w:rsid w:val="000436ED"/>
    <w:rsid w:val="0004378E"/>
    <w:rsid w:val="0005014E"/>
    <w:rsid w:val="0005179C"/>
    <w:rsid w:val="0005393E"/>
    <w:rsid w:val="00053CB8"/>
    <w:rsid w:val="00057AB4"/>
    <w:rsid w:val="000600F0"/>
    <w:rsid w:val="00062AE5"/>
    <w:rsid w:val="00063A7D"/>
    <w:rsid w:val="00063EC9"/>
    <w:rsid w:val="00063EE1"/>
    <w:rsid w:val="0006699D"/>
    <w:rsid w:val="00066EC8"/>
    <w:rsid w:val="00071535"/>
    <w:rsid w:val="00071897"/>
    <w:rsid w:val="00080C6E"/>
    <w:rsid w:val="00080CBF"/>
    <w:rsid w:val="00083EF4"/>
    <w:rsid w:val="00084932"/>
    <w:rsid w:val="00090295"/>
    <w:rsid w:val="0009106C"/>
    <w:rsid w:val="0009109F"/>
    <w:rsid w:val="00097572"/>
    <w:rsid w:val="000A008C"/>
    <w:rsid w:val="000A08EB"/>
    <w:rsid w:val="000A1CDC"/>
    <w:rsid w:val="000B0E64"/>
    <w:rsid w:val="000C07B2"/>
    <w:rsid w:val="000C18E5"/>
    <w:rsid w:val="000C226A"/>
    <w:rsid w:val="000C337F"/>
    <w:rsid w:val="000C500E"/>
    <w:rsid w:val="000C527D"/>
    <w:rsid w:val="000C6FB8"/>
    <w:rsid w:val="000D0586"/>
    <w:rsid w:val="000D24C0"/>
    <w:rsid w:val="000D5CF2"/>
    <w:rsid w:val="000D625A"/>
    <w:rsid w:val="000D694E"/>
    <w:rsid w:val="000D7E7B"/>
    <w:rsid w:val="000E2A68"/>
    <w:rsid w:val="000E41AF"/>
    <w:rsid w:val="000E427D"/>
    <w:rsid w:val="000E4ED6"/>
    <w:rsid w:val="000E6864"/>
    <w:rsid w:val="000E739C"/>
    <w:rsid w:val="000E73D5"/>
    <w:rsid w:val="000F0CFA"/>
    <w:rsid w:val="000F29F3"/>
    <w:rsid w:val="000F4813"/>
    <w:rsid w:val="000F506D"/>
    <w:rsid w:val="000F5942"/>
    <w:rsid w:val="000F76F3"/>
    <w:rsid w:val="00100315"/>
    <w:rsid w:val="00101B66"/>
    <w:rsid w:val="00103652"/>
    <w:rsid w:val="00104749"/>
    <w:rsid w:val="001068FE"/>
    <w:rsid w:val="0011091D"/>
    <w:rsid w:val="001112B1"/>
    <w:rsid w:val="00112389"/>
    <w:rsid w:val="00117258"/>
    <w:rsid w:val="0012266D"/>
    <w:rsid w:val="00123C31"/>
    <w:rsid w:val="001328C3"/>
    <w:rsid w:val="001377B8"/>
    <w:rsid w:val="00142326"/>
    <w:rsid w:val="00143B08"/>
    <w:rsid w:val="00143B26"/>
    <w:rsid w:val="00144124"/>
    <w:rsid w:val="00144D9D"/>
    <w:rsid w:val="00155452"/>
    <w:rsid w:val="00155B98"/>
    <w:rsid w:val="00157170"/>
    <w:rsid w:val="00157909"/>
    <w:rsid w:val="001610FD"/>
    <w:rsid w:val="00164128"/>
    <w:rsid w:val="00165728"/>
    <w:rsid w:val="00167BA1"/>
    <w:rsid w:val="00167EF2"/>
    <w:rsid w:val="00171BF7"/>
    <w:rsid w:val="00175398"/>
    <w:rsid w:val="0017690B"/>
    <w:rsid w:val="00176A12"/>
    <w:rsid w:val="00180FE5"/>
    <w:rsid w:val="001812B5"/>
    <w:rsid w:val="0018158C"/>
    <w:rsid w:val="0018182D"/>
    <w:rsid w:val="00181EF8"/>
    <w:rsid w:val="0018299C"/>
    <w:rsid w:val="00183C7D"/>
    <w:rsid w:val="001859AF"/>
    <w:rsid w:val="00185A39"/>
    <w:rsid w:val="00190D54"/>
    <w:rsid w:val="001934BB"/>
    <w:rsid w:val="00195943"/>
    <w:rsid w:val="001A2E25"/>
    <w:rsid w:val="001A3204"/>
    <w:rsid w:val="001A3992"/>
    <w:rsid w:val="001A58F3"/>
    <w:rsid w:val="001A791B"/>
    <w:rsid w:val="001B114A"/>
    <w:rsid w:val="001B2435"/>
    <w:rsid w:val="001B693C"/>
    <w:rsid w:val="001C2976"/>
    <w:rsid w:val="001C394C"/>
    <w:rsid w:val="001C6E3F"/>
    <w:rsid w:val="001D3AF3"/>
    <w:rsid w:val="001D43C7"/>
    <w:rsid w:val="001E10D1"/>
    <w:rsid w:val="001E5C60"/>
    <w:rsid w:val="001F02FE"/>
    <w:rsid w:val="001F2A97"/>
    <w:rsid w:val="001F2E35"/>
    <w:rsid w:val="001F5188"/>
    <w:rsid w:val="0020065C"/>
    <w:rsid w:val="00200C01"/>
    <w:rsid w:val="00203707"/>
    <w:rsid w:val="002049B0"/>
    <w:rsid w:val="0021039E"/>
    <w:rsid w:val="002166F2"/>
    <w:rsid w:val="002217EB"/>
    <w:rsid w:val="00223E0E"/>
    <w:rsid w:val="00223E74"/>
    <w:rsid w:val="00223FE5"/>
    <w:rsid w:val="00224501"/>
    <w:rsid w:val="00225E77"/>
    <w:rsid w:val="0023108C"/>
    <w:rsid w:val="002319F3"/>
    <w:rsid w:val="002335CD"/>
    <w:rsid w:val="002339EC"/>
    <w:rsid w:val="002343B9"/>
    <w:rsid w:val="00250930"/>
    <w:rsid w:val="00250B7D"/>
    <w:rsid w:val="00253E81"/>
    <w:rsid w:val="00257099"/>
    <w:rsid w:val="00261BD0"/>
    <w:rsid w:val="00261E71"/>
    <w:rsid w:val="0026491B"/>
    <w:rsid w:val="00266B71"/>
    <w:rsid w:val="00270432"/>
    <w:rsid w:val="00271616"/>
    <w:rsid w:val="00273341"/>
    <w:rsid w:val="0027693F"/>
    <w:rsid w:val="00276A1A"/>
    <w:rsid w:val="00277412"/>
    <w:rsid w:val="002803FC"/>
    <w:rsid w:val="00285173"/>
    <w:rsid w:val="00286FD5"/>
    <w:rsid w:val="0029123D"/>
    <w:rsid w:val="00297D8E"/>
    <w:rsid w:val="002A5CCA"/>
    <w:rsid w:val="002B7E74"/>
    <w:rsid w:val="002C0207"/>
    <w:rsid w:val="002C214F"/>
    <w:rsid w:val="002C30A1"/>
    <w:rsid w:val="002C358E"/>
    <w:rsid w:val="002C5575"/>
    <w:rsid w:val="002C73E0"/>
    <w:rsid w:val="002D1062"/>
    <w:rsid w:val="002D1F00"/>
    <w:rsid w:val="002D2380"/>
    <w:rsid w:val="002D32C8"/>
    <w:rsid w:val="002D3489"/>
    <w:rsid w:val="002D3C0D"/>
    <w:rsid w:val="002E0998"/>
    <w:rsid w:val="002E0BF3"/>
    <w:rsid w:val="002E277D"/>
    <w:rsid w:val="002E30C1"/>
    <w:rsid w:val="002F0600"/>
    <w:rsid w:val="002F5943"/>
    <w:rsid w:val="002F5C06"/>
    <w:rsid w:val="002F65F8"/>
    <w:rsid w:val="002F71BD"/>
    <w:rsid w:val="002F7549"/>
    <w:rsid w:val="002F7592"/>
    <w:rsid w:val="00302B8C"/>
    <w:rsid w:val="003136CE"/>
    <w:rsid w:val="00316D54"/>
    <w:rsid w:val="00317B91"/>
    <w:rsid w:val="00317EBC"/>
    <w:rsid w:val="00321A25"/>
    <w:rsid w:val="003265A0"/>
    <w:rsid w:val="00333D39"/>
    <w:rsid w:val="00335584"/>
    <w:rsid w:val="0034169A"/>
    <w:rsid w:val="003420B3"/>
    <w:rsid w:val="0034553E"/>
    <w:rsid w:val="00347145"/>
    <w:rsid w:val="00347E6A"/>
    <w:rsid w:val="00350691"/>
    <w:rsid w:val="00355229"/>
    <w:rsid w:val="00356BCF"/>
    <w:rsid w:val="0035740A"/>
    <w:rsid w:val="00360BDC"/>
    <w:rsid w:val="00361A88"/>
    <w:rsid w:val="00362F10"/>
    <w:rsid w:val="00365473"/>
    <w:rsid w:val="00365D9F"/>
    <w:rsid w:val="00372C27"/>
    <w:rsid w:val="00373F73"/>
    <w:rsid w:val="00375847"/>
    <w:rsid w:val="00375DF3"/>
    <w:rsid w:val="003763D7"/>
    <w:rsid w:val="00376D26"/>
    <w:rsid w:val="00377337"/>
    <w:rsid w:val="00377B5D"/>
    <w:rsid w:val="0038135E"/>
    <w:rsid w:val="00382ABF"/>
    <w:rsid w:val="00384EBB"/>
    <w:rsid w:val="00386A22"/>
    <w:rsid w:val="00387B8F"/>
    <w:rsid w:val="00395AB1"/>
    <w:rsid w:val="00395D88"/>
    <w:rsid w:val="00396AA5"/>
    <w:rsid w:val="00397A8D"/>
    <w:rsid w:val="003A06BF"/>
    <w:rsid w:val="003A5F44"/>
    <w:rsid w:val="003A7EBE"/>
    <w:rsid w:val="003B27AB"/>
    <w:rsid w:val="003B53BA"/>
    <w:rsid w:val="003B5A56"/>
    <w:rsid w:val="003B7CFF"/>
    <w:rsid w:val="003C1116"/>
    <w:rsid w:val="003C2886"/>
    <w:rsid w:val="003C2FD8"/>
    <w:rsid w:val="003C5C0D"/>
    <w:rsid w:val="003C7A74"/>
    <w:rsid w:val="003D2F62"/>
    <w:rsid w:val="003D46CA"/>
    <w:rsid w:val="003D46DA"/>
    <w:rsid w:val="003E0083"/>
    <w:rsid w:val="003E2594"/>
    <w:rsid w:val="003E41FC"/>
    <w:rsid w:val="003F044C"/>
    <w:rsid w:val="003F73B9"/>
    <w:rsid w:val="00403375"/>
    <w:rsid w:val="0041004D"/>
    <w:rsid w:val="004115DD"/>
    <w:rsid w:val="0041404D"/>
    <w:rsid w:val="004221E6"/>
    <w:rsid w:val="0042633C"/>
    <w:rsid w:val="00431ACD"/>
    <w:rsid w:val="0043422E"/>
    <w:rsid w:val="0043553B"/>
    <w:rsid w:val="00436A17"/>
    <w:rsid w:val="00436F76"/>
    <w:rsid w:val="00437234"/>
    <w:rsid w:val="00440F9A"/>
    <w:rsid w:val="004415BA"/>
    <w:rsid w:val="00443807"/>
    <w:rsid w:val="00446178"/>
    <w:rsid w:val="00446EDD"/>
    <w:rsid w:val="00447B58"/>
    <w:rsid w:val="0045118C"/>
    <w:rsid w:val="00451A11"/>
    <w:rsid w:val="004543B5"/>
    <w:rsid w:val="0045460A"/>
    <w:rsid w:val="00457591"/>
    <w:rsid w:val="00460115"/>
    <w:rsid w:val="004603FA"/>
    <w:rsid w:val="00462625"/>
    <w:rsid w:val="00464932"/>
    <w:rsid w:val="00465174"/>
    <w:rsid w:val="00465278"/>
    <w:rsid w:val="004663A7"/>
    <w:rsid w:val="00470DC2"/>
    <w:rsid w:val="004724FA"/>
    <w:rsid w:val="00472B7D"/>
    <w:rsid w:val="00472D35"/>
    <w:rsid w:val="00474B49"/>
    <w:rsid w:val="00476ED1"/>
    <w:rsid w:val="00477A4D"/>
    <w:rsid w:val="0048024D"/>
    <w:rsid w:val="00487D73"/>
    <w:rsid w:val="00490ADE"/>
    <w:rsid w:val="00490BFE"/>
    <w:rsid w:val="00491C25"/>
    <w:rsid w:val="00491EA4"/>
    <w:rsid w:val="00496CB9"/>
    <w:rsid w:val="004A4F95"/>
    <w:rsid w:val="004A500D"/>
    <w:rsid w:val="004A6371"/>
    <w:rsid w:val="004A73A7"/>
    <w:rsid w:val="004B0F29"/>
    <w:rsid w:val="004B104B"/>
    <w:rsid w:val="004B52BC"/>
    <w:rsid w:val="004B6B19"/>
    <w:rsid w:val="004C086E"/>
    <w:rsid w:val="004C597D"/>
    <w:rsid w:val="004C6062"/>
    <w:rsid w:val="004C6183"/>
    <w:rsid w:val="004C7F1B"/>
    <w:rsid w:val="004D3B1F"/>
    <w:rsid w:val="004D6FC6"/>
    <w:rsid w:val="004E0AF5"/>
    <w:rsid w:val="004E0D18"/>
    <w:rsid w:val="004E508C"/>
    <w:rsid w:val="004E57DD"/>
    <w:rsid w:val="004E7334"/>
    <w:rsid w:val="004E7580"/>
    <w:rsid w:val="004F4607"/>
    <w:rsid w:val="004F486F"/>
    <w:rsid w:val="004F5016"/>
    <w:rsid w:val="004F63B0"/>
    <w:rsid w:val="004F6D0B"/>
    <w:rsid w:val="00500A97"/>
    <w:rsid w:val="00500C97"/>
    <w:rsid w:val="00501443"/>
    <w:rsid w:val="00501E43"/>
    <w:rsid w:val="00504ED3"/>
    <w:rsid w:val="00505D09"/>
    <w:rsid w:val="005067E0"/>
    <w:rsid w:val="005074AD"/>
    <w:rsid w:val="00513B1A"/>
    <w:rsid w:val="00513E64"/>
    <w:rsid w:val="005162A0"/>
    <w:rsid w:val="005208C2"/>
    <w:rsid w:val="005278EA"/>
    <w:rsid w:val="00530AB6"/>
    <w:rsid w:val="00536349"/>
    <w:rsid w:val="00537554"/>
    <w:rsid w:val="00540006"/>
    <w:rsid w:val="00540526"/>
    <w:rsid w:val="00540B74"/>
    <w:rsid w:val="005411DD"/>
    <w:rsid w:val="00546490"/>
    <w:rsid w:val="00552C74"/>
    <w:rsid w:val="00553499"/>
    <w:rsid w:val="00553C19"/>
    <w:rsid w:val="005564EB"/>
    <w:rsid w:val="00557A50"/>
    <w:rsid w:val="00560C96"/>
    <w:rsid w:val="00562BDA"/>
    <w:rsid w:val="00563CB7"/>
    <w:rsid w:val="00565E45"/>
    <w:rsid w:val="00567153"/>
    <w:rsid w:val="00567E22"/>
    <w:rsid w:val="0057032F"/>
    <w:rsid w:val="00570D4E"/>
    <w:rsid w:val="00573DAD"/>
    <w:rsid w:val="00585C56"/>
    <w:rsid w:val="00586480"/>
    <w:rsid w:val="0058729D"/>
    <w:rsid w:val="00587344"/>
    <w:rsid w:val="005920BE"/>
    <w:rsid w:val="00592444"/>
    <w:rsid w:val="0059373A"/>
    <w:rsid w:val="0059393D"/>
    <w:rsid w:val="00597568"/>
    <w:rsid w:val="005A21EF"/>
    <w:rsid w:val="005A2486"/>
    <w:rsid w:val="005A29E6"/>
    <w:rsid w:val="005B109B"/>
    <w:rsid w:val="005B34D4"/>
    <w:rsid w:val="005B392A"/>
    <w:rsid w:val="005C2D47"/>
    <w:rsid w:val="005C4FC8"/>
    <w:rsid w:val="005C561D"/>
    <w:rsid w:val="005C5FC6"/>
    <w:rsid w:val="005D1F9D"/>
    <w:rsid w:val="005D4503"/>
    <w:rsid w:val="005D5D32"/>
    <w:rsid w:val="005D6816"/>
    <w:rsid w:val="005E4DB1"/>
    <w:rsid w:val="005E7493"/>
    <w:rsid w:val="005F09EE"/>
    <w:rsid w:val="005F344A"/>
    <w:rsid w:val="005F39E3"/>
    <w:rsid w:val="005F5975"/>
    <w:rsid w:val="005F62AB"/>
    <w:rsid w:val="006018AE"/>
    <w:rsid w:val="00603264"/>
    <w:rsid w:val="0060455F"/>
    <w:rsid w:val="006116AA"/>
    <w:rsid w:val="00617D52"/>
    <w:rsid w:val="006205DC"/>
    <w:rsid w:val="00621B09"/>
    <w:rsid w:val="00631C8D"/>
    <w:rsid w:val="006364A4"/>
    <w:rsid w:val="006401FC"/>
    <w:rsid w:val="00641142"/>
    <w:rsid w:val="00645B8E"/>
    <w:rsid w:val="006467C2"/>
    <w:rsid w:val="00651F43"/>
    <w:rsid w:val="00653A3A"/>
    <w:rsid w:val="00655FB4"/>
    <w:rsid w:val="00661E06"/>
    <w:rsid w:val="00661F38"/>
    <w:rsid w:val="006629AD"/>
    <w:rsid w:val="00664624"/>
    <w:rsid w:val="00665402"/>
    <w:rsid w:val="00670154"/>
    <w:rsid w:val="00670C65"/>
    <w:rsid w:val="00671964"/>
    <w:rsid w:val="00673C40"/>
    <w:rsid w:val="00674B90"/>
    <w:rsid w:val="00676043"/>
    <w:rsid w:val="00676CF2"/>
    <w:rsid w:val="0068064F"/>
    <w:rsid w:val="0068250B"/>
    <w:rsid w:val="0068314F"/>
    <w:rsid w:val="00685B73"/>
    <w:rsid w:val="00691518"/>
    <w:rsid w:val="00694065"/>
    <w:rsid w:val="006A2B84"/>
    <w:rsid w:val="006A36FB"/>
    <w:rsid w:val="006A3928"/>
    <w:rsid w:val="006A634E"/>
    <w:rsid w:val="006A6C35"/>
    <w:rsid w:val="006A727B"/>
    <w:rsid w:val="006B283C"/>
    <w:rsid w:val="006B2C9D"/>
    <w:rsid w:val="006B3551"/>
    <w:rsid w:val="006B7D77"/>
    <w:rsid w:val="006C212E"/>
    <w:rsid w:val="006C3BEB"/>
    <w:rsid w:val="006C51A0"/>
    <w:rsid w:val="006C56EE"/>
    <w:rsid w:val="006C5ABA"/>
    <w:rsid w:val="006C64CC"/>
    <w:rsid w:val="006D0E84"/>
    <w:rsid w:val="006D5B04"/>
    <w:rsid w:val="006E0024"/>
    <w:rsid w:val="006E2479"/>
    <w:rsid w:val="006E4C1E"/>
    <w:rsid w:val="006E620F"/>
    <w:rsid w:val="006F0EF3"/>
    <w:rsid w:val="00702D6D"/>
    <w:rsid w:val="0070304F"/>
    <w:rsid w:val="00703FA1"/>
    <w:rsid w:val="00704E7C"/>
    <w:rsid w:val="00705CDF"/>
    <w:rsid w:val="00706BB4"/>
    <w:rsid w:val="00710E51"/>
    <w:rsid w:val="00713197"/>
    <w:rsid w:val="0071741E"/>
    <w:rsid w:val="0072254D"/>
    <w:rsid w:val="007228AC"/>
    <w:rsid w:val="00730822"/>
    <w:rsid w:val="00734AE6"/>
    <w:rsid w:val="007403BD"/>
    <w:rsid w:val="00740731"/>
    <w:rsid w:val="0075143C"/>
    <w:rsid w:val="007556B9"/>
    <w:rsid w:val="00761F6B"/>
    <w:rsid w:val="00770156"/>
    <w:rsid w:val="007706C9"/>
    <w:rsid w:val="00770C34"/>
    <w:rsid w:val="00770E54"/>
    <w:rsid w:val="007710B2"/>
    <w:rsid w:val="0077380F"/>
    <w:rsid w:val="00774B90"/>
    <w:rsid w:val="00775B8E"/>
    <w:rsid w:val="007760F4"/>
    <w:rsid w:val="00777D2A"/>
    <w:rsid w:val="00780AFA"/>
    <w:rsid w:val="00781073"/>
    <w:rsid w:val="00784BD6"/>
    <w:rsid w:val="0078772C"/>
    <w:rsid w:val="007920E0"/>
    <w:rsid w:val="00792A35"/>
    <w:rsid w:val="007950BA"/>
    <w:rsid w:val="00795D99"/>
    <w:rsid w:val="007A023C"/>
    <w:rsid w:val="007A1794"/>
    <w:rsid w:val="007A1E9A"/>
    <w:rsid w:val="007A2548"/>
    <w:rsid w:val="007A3519"/>
    <w:rsid w:val="007A373D"/>
    <w:rsid w:val="007A48E9"/>
    <w:rsid w:val="007A4995"/>
    <w:rsid w:val="007A5CBC"/>
    <w:rsid w:val="007A7402"/>
    <w:rsid w:val="007AB1E5"/>
    <w:rsid w:val="007B4143"/>
    <w:rsid w:val="007B4FE5"/>
    <w:rsid w:val="007B743A"/>
    <w:rsid w:val="007C1192"/>
    <w:rsid w:val="007C299B"/>
    <w:rsid w:val="007C4B7D"/>
    <w:rsid w:val="007C5950"/>
    <w:rsid w:val="007C66C8"/>
    <w:rsid w:val="007C6DBC"/>
    <w:rsid w:val="007C7376"/>
    <w:rsid w:val="007D3FD7"/>
    <w:rsid w:val="007D4129"/>
    <w:rsid w:val="007D5611"/>
    <w:rsid w:val="007D5CC0"/>
    <w:rsid w:val="007D629B"/>
    <w:rsid w:val="007E0448"/>
    <w:rsid w:val="007F0D6A"/>
    <w:rsid w:val="007F495A"/>
    <w:rsid w:val="007F4AED"/>
    <w:rsid w:val="00800698"/>
    <w:rsid w:val="00803688"/>
    <w:rsid w:val="00805061"/>
    <w:rsid w:val="00805ECB"/>
    <w:rsid w:val="0080644B"/>
    <w:rsid w:val="00806C54"/>
    <w:rsid w:val="0081102C"/>
    <w:rsid w:val="00811E88"/>
    <w:rsid w:val="008159DB"/>
    <w:rsid w:val="00816405"/>
    <w:rsid w:val="008172F4"/>
    <w:rsid w:val="00820DCA"/>
    <w:rsid w:val="00822134"/>
    <w:rsid w:val="00823A95"/>
    <w:rsid w:val="00825B7C"/>
    <w:rsid w:val="008276F9"/>
    <w:rsid w:val="008359FB"/>
    <w:rsid w:val="0084557F"/>
    <w:rsid w:val="00851127"/>
    <w:rsid w:val="00853142"/>
    <w:rsid w:val="00853826"/>
    <w:rsid w:val="0085451B"/>
    <w:rsid w:val="00855C87"/>
    <w:rsid w:val="00856262"/>
    <w:rsid w:val="00857F74"/>
    <w:rsid w:val="008634CB"/>
    <w:rsid w:val="00863DF8"/>
    <w:rsid w:val="00866628"/>
    <w:rsid w:val="00866D40"/>
    <w:rsid w:val="008672FE"/>
    <w:rsid w:val="008702A1"/>
    <w:rsid w:val="00870D0C"/>
    <w:rsid w:val="00873BDB"/>
    <w:rsid w:val="00873F14"/>
    <w:rsid w:val="0087596E"/>
    <w:rsid w:val="00876ECA"/>
    <w:rsid w:val="00881EA6"/>
    <w:rsid w:val="008849FC"/>
    <w:rsid w:val="008935E0"/>
    <w:rsid w:val="00894920"/>
    <w:rsid w:val="008958C0"/>
    <w:rsid w:val="008A174D"/>
    <w:rsid w:val="008A35FB"/>
    <w:rsid w:val="008B1EBA"/>
    <w:rsid w:val="008B3122"/>
    <w:rsid w:val="008B4E33"/>
    <w:rsid w:val="008B782A"/>
    <w:rsid w:val="008C177B"/>
    <w:rsid w:val="008C6A10"/>
    <w:rsid w:val="008D4775"/>
    <w:rsid w:val="008E1104"/>
    <w:rsid w:val="008E17B9"/>
    <w:rsid w:val="008E2071"/>
    <w:rsid w:val="008E34B7"/>
    <w:rsid w:val="008E4F62"/>
    <w:rsid w:val="008E7354"/>
    <w:rsid w:val="00902CF4"/>
    <w:rsid w:val="009030DD"/>
    <w:rsid w:val="009041DC"/>
    <w:rsid w:val="00904432"/>
    <w:rsid w:val="00905FE6"/>
    <w:rsid w:val="00906923"/>
    <w:rsid w:val="00907DD2"/>
    <w:rsid w:val="00907FD1"/>
    <w:rsid w:val="00915742"/>
    <w:rsid w:val="00915AC1"/>
    <w:rsid w:val="009249F4"/>
    <w:rsid w:val="00925395"/>
    <w:rsid w:val="00926C37"/>
    <w:rsid w:val="00930321"/>
    <w:rsid w:val="009331C7"/>
    <w:rsid w:val="0093529F"/>
    <w:rsid w:val="009362C4"/>
    <w:rsid w:val="00936B0E"/>
    <w:rsid w:val="009421EF"/>
    <w:rsid w:val="009465AB"/>
    <w:rsid w:val="00951C9D"/>
    <w:rsid w:val="0095367B"/>
    <w:rsid w:val="009545C3"/>
    <w:rsid w:val="00960462"/>
    <w:rsid w:val="00960CD5"/>
    <w:rsid w:val="0096144C"/>
    <w:rsid w:val="009628EE"/>
    <w:rsid w:val="00965D16"/>
    <w:rsid w:val="0097188A"/>
    <w:rsid w:val="00973972"/>
    <w:rsid w:val="009759B3"/>
    <w:rsid w:val="009764C5"/>
    <w:rsid w:val="00977A10"/>
    <w:rsid w:val="00977F79"/>
    <w:rsid w:val="0098121C"/>
    <w:rsid w:val="00981F71"/>
    <w:rsid w:val="0098244F"/>
    <w:rsid w:val="00982F8F"/>
    <w:rsid w:val="00986EEB"/>
    <w:rsid w:val="00987410"/>
    <w:rsid w:val="0099239A"/>
    <w:rsid w:val="00992970"/>
    <w:rsid w:val="0099742B"/>
    <w:rsid w:val="009B6872"/>
    <w:rsid w:val="009C2EBF"/>
    <w:rsid w:val="009C4F8C"/>
    <w:rsid w:val="009D1A15"/>
    <w:rsid w:val="009D1D86"/>
    <w:rsid w:val="009D1FF3"/>
    <w:rsid w:val="009D40E3"/>
    <w:rsid w:val="009D5E82"/>
    <w:rsid w:val="009E42E4"/>
    <w:rsid w:val="009E6D9D"/>
    <w:rsid w:val="009F2C66"/>
    <w:rsid w:val="009F5BC8"/>
    <w:rsid w:val="009F7408"/>
    <w:rsid w:val="00A00B97"/>
    <w:rsid w:val="00A01F0F"/>
    <w:rsid w:val="00A05576"/>
    <w:rsid w:val="00A1207E"/>
    <w:rsid w:val="00A12C51"/>
    <w:rsid w:val="00A219D5"/>
    <w:rsid w:val="00A223B0"/>
    <w:rsid w:val="00A32E10"/>
    <w:rsid w:val="00A36457"/>
    <w:rsid w:val="00A45B2B"/>
    <w:rsid w:val="00A45C82"/>
    <w:rsid w:val="00A47A77"/>
    <w:rsid w:val="00A53313"/>
    <w:rsid w:val="00A54AE3"/>
    <w:rsid w:val="00A54E93"/>
    <w:rsid w:val="00A57AA2"/>
    <w:rsid w:val="00A60FA0"/>
    <w:rsid w:val="00A614F0"/>
    <w:rsid w:val="00A61F57"/>
    <w:rsid w:val="00A62D8B"/>
    <w:rsid w:val="00A63CB7"/>
    <w:rsid w:val="00A65CEB"/>
    <w:rsid w:val="00A65E28"/>
    <w:rsid w:val="00A6617D"/>
    <w:rsid w:val="00A66412"/>
    <w:rsid w:val="00A67D80"/>
    <w:rsid w:val="00A7303F"/>
    <w:rsid w:val="00A83642"/>
    <w:rsid w:val="00A907E2"/>
    <w:rsid w:val="00A92C81"/>
    <w:rsid w:val="00A93B40"/>
    <w:rsid w:val="00A972D1"/>
    <w:rsid w:val="00AA0297"/>
    <w:rsid w:val="00AA0B20"/>
    <w:rsid w:val="00AA12E1"/>
    <w:rsid w:val="00AB057B"/>
    <w:rsid w:val="00AB13DD"/>
    <w:rsid w:val="00AB210B"/>
    <w:rsid w:val="00AB2B5B"/>
    <w:rsid w:val="00AB2F04"/>
    <w:rsid w:val="00AB48FC"/>
    <w:rsid w:val="00AC20EC"/>
    <w:rsid w:val="00AC216D"/>
    <w:rsid w:val="00AC25F3"/>
    <w:rsid w:val="00AC3673"/>
    <w:rsid w:val="00AC4631"/>
    <w:rsid w:val="00AC47E9"/>
    <w:rsid w:val="00AC4EFD"/>
    <w:rsid w:val="00AD0D91"/>
    <w:rsid w:val="00AD12BE"/>
    <w:rsid w:val="00AD3ADB"/>
    <w:rsid w:val="00AD6E82"/>
    <w:rsid w:val="00AE05C7"/>
    <w:rsid w:val="00AE0F0A"/>
    <w:rsid w:val="00AE57C6"/>
    <w:rsid w:val="00AE66E5"/>
    <w:rsid w:val="00AE7716"/>
    <w:rsid w:val="00AF479E"/>
    <w:rsid w:val="00AF6D3F"/>
    <w:rsid w:val="00AF70CF"/>
    <w:rsid w:val="00AF78C1"/>
    <w:rsid w:val="00B020FE"/>
    <w:rsid w:val="00B047D2"/>
    <w:rsid w:val="00B07F13"/>
    <w:rsid w:val="00B1013B"/>
    <w:rsid w:val="00B103DB"/>
    <w:rsid w:val="00B12B98"/>
    <w:rsid w:val="00B13B46"/>
    <w:rsid w:val="00B14B36"/>
    <w:rsid w:val="00B14C54"/>
    <w:rsid w:val="00B224D0"/>
    <w:rsid w:val="00B23848"/>
    <w:rsid w:val="00B25ACA"/>
    <w:rsid w:val="00B26CDD"/>
    <w:rsid w:val="00B32D85"/>
    <w:rsid w:val="00B3330D"/>
    <w:rsid w:val="00B33500"/>
    <w:rsid w:val="00B3488B"/>
    <w:rsid w:val="00B41A31"/>
    <w:rsid w:val="00B41AA2"/>
    <w:rsid w:val="00B464D3"/>
    <w:rsid w:val="00B46CE3"/>
    <w:rsid w:val="00B51BA3"/>
    <w:rsid w:val="00B52395"/>
    <w:rsid w:val="00B52EE7"/>
    <w:rsid w:val="00B53F31"/>
    <w:rsid w:val="00B552CA"/>
    <w:rsid w:val="00B56D31"/>
    <w:rsid w:val="00B606AB"/>
    <w:rsid w:val="00B62302"/>
    <w:rsid w:val="00B71E76"/>
    <w:rsid w:val="00B77D40"/>
    <w:rsid w:val="00B82295"/>
    <w:rsid w:val="00B9091F"/>
    <w:rsid w:val="00B93DF6"/>
    <w:rsid w:val="00B9593F"/>
    <w:rsid w:val="00B95A78"/>
    <w:rsid w:val="00B97175"/>
    <w:rsid w:val="00B97670"/>
    <w:rsid w:val="00B97B84"/>
    <w:rsid w:val="00BA3475"/>
    <w:rsid w:val="00BA47B1"/>
    <w:rsid w:val="00BB11EF"/>
    <w:rsid w:val="00BB14F3"/>
    <w:rsid w:val="00BB487C"/>
    <w:rsid w:val="00BB7CD8"/>
    <w:rsid w:val="00BC7083"/>
    <w:rsid w:val="00BD0441"/>
    <w:rsid w:val="00BD24B4"/>
    <w:rsid w:val="00BE0AC4"/>
    <w:rsid w:val="00BE0B90"/>
    <w:rsid w:val="00BE2A26"/>
    <w:rsid w:val="00BE4624"/>
    <w:rsid w:val="00BE49FA"/>
    <w:rsid w:val="00BF013E"/>
    <w:rsid w:val="00BF2F56"/>
    <w:rsid w:val="00BF6AD2"/>
    <w:rsid w:val="00C020EC"/>
    <w:rsid w:val="00C0268B"/>
    <w:rsid w:val="00C032B2"/>
    <w:rsid w:val="00C038C5"/>
    <w:rsid w:val="00C067CF"/>
    <w:rsid w:val="00C1149F"/>
    <w:rsid w:val="00C12B5C"/>
    <w:rsid w:val="00C14AEA"/>
    <w:rsid w:val="00C15193"/>
    <w:rsid w:val="00C151A3"/>
    <w:rsid w:val="00C1626C"/>
    <w:rsid w:val="00C1707F"/>
    <w:rsid w:val="00C20278"/>
    <w:rsid w:val="00C22269"/>
    <w:rsid w:val="00C2772B"/>
    <w:rsid w:val="00C302E3"/>
    <w:rsid w:val="00C326AB"/>
    <w:rsid w:val="00C32985"/>
    <w:rsid w:val="00C354AB"/>
    <w:rsid w:val="00C35D58"/>
    <w:rsid w:val="00C37A94"/>
    <w:rsid w:val="00C40B2D"/>
    <w:rsid w:val="00C432F3"/>
    <w:rsid w:val="00C456C0"/>
    <w:rsid w:val="00C56579"/>
    <w:rsid w:val="00C56626"/>
    <w:rsid w:val="00C570F9"/>
    <w:rsid w:val="00C5733C"/>
    <w:rsid w:val="00C64723"/>
    <w:rsid w:val="00C7116F"/>
    <w:rsid w:val="00C73EF4"/>
    <w:rsid w:val="00C741AB"/>
    <w:rsid w:val="00C77EE8"/>
    <w:rsid w:val="00C80AE6"/>
    <w:rsid w:val="00C82166"/>
    <w:rsid w:val="00C83E44"/>
    <w:rsid w:val="00C85696"/>
    <w:rsid w:val="00C85970"/>
    <w:rsid w:val="00C90260"/>
    <w:rsid w:val="00C91480"/>
    <w:rsid w:val="00C91A24"/>
    <w:rsid w:val="00C91AC2"/>
    <w:rsid w:val="00C9479D"/>
    <w:rsid w:val="00CA117C"/>
    <w:rsid w:val="00CB016B"/>
    <w:rsid w:val="00CB26AA"/>
    <w:rsid w:val="00CB3FA0"/>
    <w:rsid w:val="00CB58EB"/>
    <w:rsid w:val="00CC05FD"/>
    <w:rsid w:val="00CC1514"/>
    <w:rsid w:val="00CC6514"/>
    <w:rsid w:val="00CC6BAC"/>
    <w:rsid w:val="00CD1A72"/>
    <w:rsid w:val="00CD290E"/>
    <w:rsid w:val="00CD50D4"/>
    <w:rsid w:val="00CD53AF"/>
    <w:rsid w:val="00CE01B9"/>
    <w:rsid w:val="00CE092F"/>
    <w:rsid w:val="00CE6DED"/>
    <w:rsid w:val="00CE78F7"/>
    <w:rsid w:val="00CF3660"/>
    <w:rsid w:val="00CF40F6"/>
    <w:rsid w:val="00CF6B7B"/>
    <w:rsid w:val="00D02597"/>
    <w:rsid w:val="00D044D6"/>
    <w:rsid w:val="00D04CBE"/>
    <w:rsid w:val="00D06511"/>
    <w:rsid w:val="00D070E2"/>
    <w:rsid w:val="00D14F51"/>
    <w:rsid w:val="00D16DF2"/>
    <w:rsid w:val="00D17AB3"/>
    <w:rsid w:val="00D347D7"/>
    <w:rsid w:val="00D37545"/>
    <w:rsid w:val="00D41CD6"/>
    <w:rsid w:val="00D4369B"/>
    <w:rsid w:val="00D43A76"/>
    <w:rsid w:val="00D46E39"/>
    <w:rsid w:val="00D50F98"/>
    <w:rsid w:val="00D528FD"/>
    <w:rsid w:val="00D53C6C"/>
    <w:rsid w:val="00D55190"/>
    <w:rsid w:val="00D61835"/>
    <w:rsid w:val="00D62E28"/>
    <w:rsid w:val="00D62E53"/>
    <w:rsid w:val="00D639EE"/>
    <w:rsid w:val="00D660B6"/>
    <w:rsid w:val="00D70388"/>
    <w:rsid w:val="00D7248C"/>
    <w:rsid w:val="00D7251B"/>
    <w:rsid w:val="00D7389F"/>
    <w:rsid w:val="00D746A9"/>
    <w:rsid w:val="00D76E02"/>
    <w:rsid w:val="00D8030B"/>
    <w:rsid w:val="00D81432"/>
    <w:rsid w:val="00D82620"/>
    <w:rsid w:val="00D85E96"/>
    <w:rsid w:val="00D863F7"/>
    <w:rsid w:val="00D87298"/>
    <w:rsid w:val="00D90FE8"/>
    <w:rsid w:val="00D91A9A"/>
    <w:rsid w:val="00DA1387"/>
    <w:rsid w:val="00DA2255"/>
    <w:rsid w:val="00DA27AC"/>
    <w:rsid w:val="00DA4F25"/>
    <w:rsid w:val="00DB4E0C"/>
    <w:rsid w:val="00DB7690"/>
    <w:rsid w:val="00DC13AF"/>
    <w:rsid w:val="00DD556A"/>
    <w:rsid w:val="00DE2545"/>
    <w:rsid w:val="00DE2EBA"/>
    <w:rsid w:val="00DF0168"/>
    <w:rsid w:val="00DF1B38"/>
    <w:rsid w:val="00DF3302"/>
    <w:rsid w:val="00E00336"/>
    <w:rsid w:val="00E01715"/>
    <w:rsid w:val="00E02913"/>
    <w:rsid w:val="00E02CCB"/>
    <w:rsid w:val="00E05854"/>
    <w:rsid w:val="00E05E69"/>
    <w:rsid w:val="00E06692"/>
    <w:rsid w:val="00E07AD9"/>
    <w:rsid w:val="00E11216"/>
    <w:rsid w:val="00E119C8"/>
    <w:rsid w:val="00E12761"/>
    <w:rsid w:val="00E12795"/>
    <w:rsid w:val="00E13D80"/>
    <w:rsid w:val="00E20A7A"/>
    <w:rsid w:val="00E21D53"/>
    <w:rsid w:val="00E24B35"/>
    <w:rsid w:val="00E25348"/>
    <w:rsid w:val="00E2619D"/>
    <w:rsid w:val="00E33073"/>
    <w:rsid w:val="00E345C4"/>
    <w:rsid w:val="00E34D15"/>
    <w:rsid w:val="00E4032B"/>
    <w:rsid w:val="00E405C9"/>
    <w:rsid w:val="00E4131D"/>
    <w:rsid w:val="00E41434"/>
    <w:rsid w:val="00E44015"/>
    <w:rsid w:val="00E457CB"/>
    <w:rsid w:val="00E45826"/>
    <w:rsid w:val="00E50D31"/>
    <w:rsid w:val="00E50E2E"/>
    <w:rsid w:val="00E51FC9"/>
    <w:rsid w:val="00E5435A"/>
    <w:rsid w:val="00E546BB"/>
    <w:rsid w:val="00E557A8"/>
    <w:rsid w:val="00E55BC0"/>
    <w:rsid w:val="00E63356"/>
    <w:rsid w:val="00E654D3"/>
    <w:rsid w:val="00E727FE"/>
    <w:rsid w:val="00E74A56"/>
    <w:rsid w:val="00E75886"/>
    <w:rsid w:val="00E81077"/>
    <w:rsid w:val="00E81E3B"/>
    <w:rsid w:val="00E832C6"/>
    <w:rsid w:val="00E90FE2"/>
    <w:rsid w:val="00E9243A"/>
    <w:rsid w:val="00E95421"/>
    <w:rsid w:val="00E96676"/>
    <w:rsid w:val="00EA4ACF"/>
    <w:rsid w:val="00EA5527"/>
    <w:rsid w:val="00EA5E04"/>
    <w:rsid w:val="00EB05AE"/>
    <w:rsid w:val="00EB12EF"/>
    <w:rsid w:val="00EB46E8"/>
    <w:rsid w:val="00EB7BF3"/>
    <w:rsid w:val="00EC08BA"/>
    <w:rsid w:val="00EC1538"/>
    <w:rsid w:val="00EC19B6"/>
    <w:rsid w:val="00EC1DBC"/>
    <w:rsid w:val="00EC4F97"/>
    <w:rsid w:val="00EC60F8"/>
    <w:rsid w:val="00ED27EC"/>
    <w:rsid w:val="00ED50A3"/>
    <w:rsid w:val="00EE10CB"/>
    <w:rsid w:val="00EE3AC8"/>
    <w:rsid w:val="00EE408E"/>
    <w:rsid w:val="00EE6E7E"/>
    <w:rsid w:val="00EF03D5"/>
    <w:rsid w:val="00EF0CA6"/>
    <w:rsid w:val="00EF1093"/>
    <w:rsid w:val="00EF4DA4"/>
    <w:rsid w:val="00EF661D"/>
    <w:rsid w:val="00F003E6"/>
    <w:rsid w:val="00F01763"/>
    <w:rsid w:val="00F01F0D"/>
    <w:rsid w:val="00F02A45"/>
    <w:rsid w:val="00F06A9F"/>
    <w:rsid w:val="00F06F31"/>
    <w:rsid w:val="00F075DF"/>
    <w:rsid w:val="00F128BB"/>
    <w:rsid w:val="00F13A56"/>
    <w:rsid w:val="00F13CAA"/>
    <w:rsid w:val="00F14ED1"/>
    <w:rsid w:val="00F2179C"/>
    <w:rsid w:val="00F275FC"/>
    <w:rsid w:val="00F34081"/>
    <w:rsid w:val="00F3670B"/>
    <w:rsid w:val="00F37B6F"/>
    <w:rsid w:val="00F4260C"/>
    <w:rsid w:val="00F431BD"/>
    <w:rsid w:val="00F44D47"/>
    <w:rsid w:val="00F54B23"/>
    <w:rsid w:val="00F5632A"/>
    <w:rsid w:val="00F60B26"/>
    <w:rsid w:val="00F61E0F"/>
    <w:rsid w:val="00F620EC"/>
    <w:rsid w:val="00F6277B"/>
    <w:rsid w:val="00F64F5C"/>
    <w:rsid w:val="00F7169B"/>
    <w:rsid w:val="00F7288F"/>
    <w:rsid w:val="00F736D2"/>
    <w:rsid w:val="00F80DBD"/>
    <w:rsid w:val="00F8327B"/>
    <w:rsid w:val="00F83ED1"/>
    <w:rsid w:val="00F86B4A"/>
    <w:rsid w:val="00F90E73"/>
    <w:rsid w:val="00F913F9"/>
    <w:rsid w:val="00F91F31"/>
    <w:rsid w:val="00F94F2C"/>
    <w:rsid w:val="00F974AC"/>
    <w:rsid w:val="00F976FD"/>
    <w:rsid w:val="00FA0F0A"/>
    <w:rsid w:val="00FA4173"/>
    <w:rsid w:val="00FA474E"/>
    <w:rsid w:val="00FA7786"/>
    <w:rsid w:val="00FB03E0"/>
    <w:rsid w:val="00FB56DB"/>
    <w:rsid w:val="00FB5AD3"/>
    <w:rsid w:val="00FB6C65"/>
    <w:rsid w:val="00FB7119"/>
    <w:rsid w:val="00FC02CB"/>
    <w:rsid w:val="00FC1F0C"/>
    <w:rsid w:val="00FC2141"/>
    <w:rsid w:val="00FC29E4"/>
    <w:rsid w:val="00FC31AE"/>
    <w:rsid w:val="00FC3D6B"/>
    <w:rsid w:val="00FC6001"/>
    <w:rsid w:val="00FC62E3"/>
    <w:rsid w:val="00FC6AE3"/>
    <w:rsid w:val="00FC758E"/>
    <w:rsid w:val="00FD04D3"/>
    <w:rsid w:val="00FD21BA"/>
    <w:rsid w:val="00FD7B96"/>
    <w:rsid w:val="00FE39CF"/>
    <w:rsid w:val="00FE60D8"/>
    <w:rsid w:val="00FE6251"/>
    <w:rsid w:val="00FF05D5"/>
    <w:rsid w:val="00FF11A4"/>
    <w:rsid w:val="00FF1BB6"/>
    <w:rsid w:val="00FF4E1A"/>
    <w:rsid w:val="00FF589D"/>
    <w:rsid w:val="00FF7544"/>
    <w:rsid w:val="0CEC9D51"/>
    <w:rsid w:val="0D768B2F"/>
    <w:rsid w:val="19300DCF"/>
    <w:rsid w:val="2B1104E5"/>
    <w:rsid w:val="35D98164"/>
    <w:rsid w:val="37599FC3"/>
    <w:rsid w:val="3CB3C6ED"/>
    <w:rsid w:val="4D7ABFA2"/>
    <w:rsid w:val="5044EED1"/>
    <w:rsid w:val="62FB2726"/>
    <w:rsid w:val="775D3C2F"/>
    <w:rsid w:val="781FCD3E"/>
    <w:rsid w:val="7A5B27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281D2"/>
  <w15:docId w15:val="{E1980F86-33C7-4D07-A0B7-7B1940A9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nhideWhenUsed="1"/>
    <w:lsdException w:name="envelope address" w:semiHidden="1" w:uiPriority="69" w:unhideWhenUsed="1"/>
    <w:lsdException w:name="envelope return" w:semiHidden="1" w:uiPriority="69"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basedOn w:val="Normal"/>
    <w:link w:val="CommentTextChar"/>
    <w:uiPriority w:val="99"/>
    <w:rsid w:val="003B7CFF"/>
    <w:rPr>
      <w:sz w:val="20"/>
      <w:szCs w:val="20"/>
    </w:rPr>
  </w:style>
  <w:style w:type="character" w:customStyle="1" w:styleId="CommentTextChar">
    <w:name w:val="Comment Text Char"/>
    <w:basedOn w:val="DefaultParagraphFont"/>
    <w:link w:val="CommentText"/>
    <w:uiPriority w:val="9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FE60D8"/>
    <w:pPr>
      <w:keepLines/>
      <w:spacing w:before="40" w:after="40" w:line="240" w:lineRule="auto"/>
    </w:pPr>
    <w:rPr>
      <w:sz w:val="20"/>
      <w:szCs w:val="48"/>
    </w:rPr>
  </w:style>
  <w:style w:type="paragraph" w:customStyle="1" w:styleId="TableFootnoteLetter">
    <w:name w:val="Table Footnote Letter"/>
    <w:basedOn w:val="Normal"/>
    <w:uiPriority w:val="13"/>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6D0E84"/>
    <w:rPr>
      <w:b/>
      <w:sz w:val="24"/>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99"/>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BodyText">
    <w:name w:val="C-Body Text"/>
    <w:link w:val="C-BodyTextChar1"/>
    <w:rsid w:val="006E620F"/>
    <w:pPr>
      <w:spacing w:before="120" w:after="120" w:line="280" w:lineRule="atLeast"/>
    </w:pPr>
    <w:rPr>
      <w:rFonts w:ascii="Times New Roman" w:eastAsia="MS Mincho" w:hAnsi="Times New Roman" w:cs="Times New Roman"/>
      <w:sz w:val="24"/>
      <w:szCs w:val="20"/>
      <w:lang w:val="en-US"/>
    </w:rPr>
  </w:style>
  <w:style w:type="character" w:customStyle="1" w:styleId="C-BodyTextChar1">
    <w:name w:val="C-Body Text Char1"/>
    <w:link w:val="C-BodyText"/>
    <w:rsid w:val="006E620F"/>
    <w:rPr>
      <w:rFonts w:ascii="Times New Roman" w:eastAsia="MS Mincho" w:hAnsi="Times New Roman" w:cs="Times New Roman"/>
      <w:sz w:val="24"/>
      <w:szCs w:val="20"/>
      <w:lang w:val="en-US"/>
    </w:rPr>
  </w:style>
  <w:style w:type="paragraph" w:customStyle="1" w:styleId="C-Heading3non-numbered">
    <w:name w:val="C-Heading 3 (non-numbered)"/>
    <w:basedOn w:val="Normal"/>
    <w:next w:val="Normal"/>
    <w:rsid w:val="00A92C81"/>
    <w:pPr>
      <w:keepNext/>
      <w:tabs>
        <w:tab w:val="left" w:pos="1080"/>
      </w:tabs>
      <w:spacing w:before="240" w:after="0" w:line="240" w:lineRule="auto"/>
      <w:ind w:left="1080" w:hanging="1080"/>
      <w:outlineLvl w:val="2"/>
    </w:pPr>
    <w:rPr>
      <w:rFonts w:eastAsia="MS Mincho"/>
      <w:b/>
      <w:szCs w:val="20"/>
      <w:lang w:val="en-US"/>
    </w:rPr>
  </w:style>
  <w:style w:type="paragraph" w:customStyle="1" w:styleId="C-Heading2">
    <w:name w:val="C-Heading 2"/>
    <w:next w:val="C-BodyText"/>
    <w:rsid w:val="0099742B"/>
    <w:pPr>
      <w:keepNext/>
      <w:tabs>
        <w:tab w:val="num" w:pos="2070"/>
      </w:tabs>
      <w:spacing w:before="240" w:after="0" w:line="240" w:lineRule="auto"/>
      <w:ind w:left="2070" w:hanging="1080"/>
      <w:outlineLvl w:val="1"/>
    </w:pPr>
    <w:rPr>
      <w:rFonts w:ascii="Times New Roman Bold" w:eastAsia="MS Mincho" w:hAnsi="Times New Roman Bold" w:cs="Times New Roman"/>
      <w:b/>
      <w:sz w:val="24"/>
      <w:szCs w:val="24"/>
      <w:lang w:val="en-US"/>
    </w:rPr>
  </w:style>
  <w:style w:type="paragraph" w:customStyle="1" w:styleId="C-Heading3">
    <w:name w:val="C-Heading 3"/>
    <w:next w:val="C-BodyText"/>
    <w:rsid w:val="0099742B"/>
    <w:pPr>
      <w:keepNext/>
      <w:tabs>
        <w:tab w:val="num" w:pos="1080"/>
      </w:tabs>
      <w:spacing w:before="240" w:after="0" w:line="240" w:lineRule="auto"/>
      <w:ind w:left="1080" w:hanging="1080"/>
      <w:outlineLvl w:val="2"/>
    </w:pPr>
    <w:rPr>
      <w:rFonts w:ascii="Times New Roman" w:eastAsia="MS Mincho" w:hAnsi="Times New Roman" w:cs="Times New Roman"/>
      <w:b/>
      <w:sz w:val="24"/>
      <w:szCs w:val="20"/>
      <w:lang w:val="en-US"/>
    </w:rPr>
  </w:style>
  <w:style w:type="paragraph" w:customStyle="1" w:styleId="C-Heading4">
    <w:name w:val="C-Heading 4"/>
    <w:next w:val="C-BodyText"/>
    <w:rsid w:val="0099742B"/>
    <w:pPr>
      <w:keepNext/>
      <w:tabs>
        <w:tab w:val="num" w:pos="1080"/>
      </w:tabs>
      <w:spacing w:before="240" w:after="0" w:line="240" w:lineRule="auto"/>
      <w:ind w:left="1080" w:hanging="1080"/>
      <w:outlineLvl w:val="3"/>
    </w:pPr>
    <w:rPr>
      <w:rFonts w:ascii="Times New Roman" w:eastAsia="MS Mincho" w:hAnsi="Times New Roman" w:cs="Times New Roman"/>
      <w:b/>
      <w:sz w:val="24"/>
      <w:szCs w:val="20"/>
      <w:lang w:val="en-US"/>
    </w:rPr>
  </w:style>
  <w:style w:type="paragraph" w:customStyle="1" w:styleId="C-Heading5">
    <w:name w:val="C-Heading 5"/>
    <w:next w:val="C-BodyText"/>
    <w:rsid w:val="0099742B"/>
    <w:pPr>
      <w:keepNext/>
      <w:tabs>
        <w:tab w:val="num" w:pos="1440"/>
      </w:tabs>
      <w:spacing w:before="240" w:after="0" w:line="240" w:lineRule="auto"/>
      <w:ind w:left="1440" w:hanging="1440"/>
      <w:outlineLvl w:val="4"/>
    </w:pPr>
    <w:rPr>
      <w:rFonts w:ascii="Times New Roman" w:eastAsia="MS Mincho" w:hAnsi="Times New Roman" w:cs="Times New Roman"/>
      <w:b/>
      <w:sz w:val="24"/>
      <w:szCs w:val="20"/>
      <w:lang w:val="en-US"/>
    </w:rPr>
  </w:style>
  <w:style w:type="paragraph" w:customStyle="1" w:styleId="C-Heading6">
    <w:name w:val="C-Heading 6"/>
    <w:next w:val="C-BodyText"/>
    <w:rsid w:val="0099742B"/>
    <w:pPr>
      <w:keepNext/>
      <w:tabs>
        <w:tab w:val="num" w:pos="1440"/>
      </w:tabs>
      <w:spacing w:before="240" w:after="0" w:line="240" w:lineRule="auto"/>
      <w:ind w:left="1440" w:hanging="1440"/>
      <w:outlineLvl w:val="5"/>
    </w:pPr>
    <w:rPr>
      <w:rFonts w:ascii="Times New Roman" w:eastAsia="MS Mincho" w:hAnsi="Times New Roman" w:cs="Times New Roman"/>
      <w:b/>
      <w:sz w:val="24"/>
      <w:szCs w:val="20"/>
      <w:lang w:val="en-US"/>
    </w:rPr>
  </w:style>
  <w:style w:type="character" w:customStyle="1" w:styleId="C-BodyTextChar">
    <w:name w:val="C-Body Text Char"/>
    <w:rsid w:val="00FF589D"/>
    <w:rPr>
      <w:rFonts w:eastAsiaTheme="minorEastAsia"/>
      <w:sz w:val="24"/>
      <w:lang w:eastAsia="en-US"/>
    </w:rPr>
  </w:style>
  <w:style w:type="paragraph" w:customStyle="1" w:styleId="C-NumberedList">
    <w:name w:val="C-Numbered List"/>
    <w:link w:val="C-NumberedListChar"/>
    <w:rsid w:val="00B606AB"/>
    <w:pPr>
      <w:numPr>
        <w:numId w:val="31"/>
      </w:numPr>
      <w:spacing w:before="120" w:after="120" w:line="280" w:lineRule="atLeast"/>
    </w:pPr>
    <w:rPr>
      <w:rFonts w:ascii="Times New Roman" w:eastAsia="Times New Roman" w:hAnsi="Times New Roman" w:cs="Times New Roman"/>
      <w:sz w:val="24"/>
      <w:szCs w:val="20"/>
      <w:lang w:val="en-US"/>
    </w:rPr>
  </w:style>
  <w:style w:type="paragraph" w:customStyle="1" w:styleId="C-AlphabeticList">
    <w:name w:val="C-Alphabetic List"/>
    <w:rsid w:val="00B606AB"/>
    <w:pPr>
      <w:numPr>
        <w:ilvl w:val="1"/>
        <w:numId w:val="31"/>
      </w:numPr>
      <w:spacing w:after="0" w:line="240" w:lineRule="auto"/>
    </w:pPr>
    <w:rPr>
      <w:rFonts w:ascii="Times New Roman" w:eastAsia="Times New Roman" w:hAnsi="Times New Roman" w:cs="Times New Roman"/>
      <w:sz w:val="24"/>
      <w:szCs w:val="20"/>
      <w:lang w:val="en-US"/>
    </w:rPr>
  </w:style>
  <w:style w:type="character" w:customStyle="1" w:styleId="C-NumberedListChar">
    <w:name w:val="C-Numbered List Char"/>
    <w:link w:val="C-NumberedList"/>
    <w:rsid w:val="00B606AB"/>
    <w:rPr>
      <w:rFonts w:ascii="Times New Roman" w:eastAsia="Times New Roman" w:hAnsi="Times New Roman" w:cs="Times New Roman"/>
      <w:sz w:val="24"/>
      <w:szCs w:val="20"/>
      <w:lang w:val="en-US"/>
    </w:rPr>
  </w:style>
  <w:style w:type="paragraph" w:customStyle="1" w:styleId="Default">
    <w:name w:val="Default"/>
    <w:rsid w:val="00BB48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99906">
      <w:bodyDiv w:val="1"/>
      <w:marLeft w:val="0"/>
      <w:marRight w:val="0"/>
      <w:marTop w:val="0"/>
      <w:marBottom w:val="0"/>
      <w:divBdr>
        <w:top w:val="none" w:sz="0" w:space="0" w:color="auto"/>
        <w:left w:val="none" w:sz="0" w:space="0" w:color="auto"/>
        <w:bottom w:val="none" w:sz="0" w:space="0" w:color="auto"/>
        <w:right w:val="none" w:sz="0" w:space="0" w:color="auto"/>
      </w:divBdr>
    </w:div>
    <w:div w:id="110712484">
      <w:bodyDiv w:val="1"/>
      <w:marLeft w:val="0"/>
      <w:marRight w:val="0"/>
      <w:marTop w:val="0"/>
      <w:marBottom w:val="0"/>
      <w:divBdr>
        <w:top w:val="none" w:sz="0" w:space="0" w:color="auto"/>
        <w:left w:val="none" w:sz="0" w:space="0" w:color="auto"/>
        <w:bottom w:val="none" w:sz="0" w:space="0" w:color="auto"/>
        <w:right w:val="none" w:sz="0" w:space="0" w:color="auto"/>
      </w:divBdr>
    </w:div>
    <w:div w:id="124548477">
      <w:bodyDiv w:val="1"/>
      <w:marLeft w:val="0"/>
      <w:marRight w:val="0"/>
      <w:marTop w:val="0"/>
      <w:marBottom w:val="0"/>
      <w:divBdr>
        <w:top w:val="none" w:sz="0" w:space="0" w:color="auto"/>
        <w:left w:val="none" w:sz="0" w:space="0" w:color="auto"/>
        <w:bottom w:val="none" w:sz="0" w:space="0" w:color="auto"/>
        <w:right w:val="none" w:sz="0" w:space="0" w:color="auto"/>
      </w:divBdr>
    </w:div>
    <w:div w:id="147290181">
      <w:bodyDiv w:val="1"/>
      <w:marLeft w:val="0"/>
      <w:marRight w:val="0"/>
      <w:marTop w:val="0"/>
      <w:marBottom w:val="0"/>
      <w:divBdr>
        <w:top w:val="none" w:sz="0" w:space="0" w:color="auto"/>
        <w:left w:val="none" w:sz="0" w:space="0" w:color="auto"/>
        <w:bottom w:val="none" w:sz="0" w:space="0" w:color="auto"/>
        <w:right w:val="none" w:sz="0" w:space="0" w:color="auto"/>
      </w:divBdr>
    </w:div>
    <w:div w:id="166478976">
      <w:bodyDiv w:val="1"/>
      <w:marLeft w:val="0"/>
      <w:marRight w:val="0"/>
      <w:marTop w:val="0"/>
      <w:marBottom w:val="0"/>
      <w:divBdr>
        <w:top w:val="none" w:sz="0" w:space="0" w:color="auto"/>
        <w:left w:val="none" w:sz="0" w:space="0" w:color="auto"/>
        <w:bottom w:val="none" w:sz="0" w:space="0" w:color="auto"/>
        <w:right w:val="none" w:sz="0" w:space="0" w:color="auto"/>
      </w:divBdr>
    </w:div>
    <w:div w:id="331836470">
      <w:bodyDiv w:val="1"/>
      <w:marLeft w:val="0"/>
      <w:marRight w:val="0"/>
      <w:marTop w:val="0"/>
      <w:marBottom w:val="0"/>
      <w:divBdr>
        <w:top w:val="none" w:sz="0" w:space="0" w:color="auto"/>
        <w:left w:val="none" w:sz="0" w:space="0" w:color="auto"/>
        <w:bottom w:val="none" w:sz="0" w:space="0" w:color="auto"/>
        <w:right w:val="none" w:sz="0" w:space="0" w:color="auto"/>
      </w:divBdr>
    </w:div>
    <w:div w:id="332488237">
      <w:bodyDiv w:val="1"/>
      <w:marLeft w:val="0"/>
      <w:marRight w:val="0"/>
      <w:marTop w:val="0"/>
      <w:marBottom w:val="0"/>
      <w:divBdr>
        <w:top w:val="none" w:sz="0" w:space="0" w:color="auto"/>
        <w:left w:val="none" w:sz="0" w:space="0" w:color="auto"/>
        <w:bottom w:val="none" w:sz="0" w:space="0" w:color="auto"/>
        <w:right w:val="none" w:sz="0" w:space="0" w:color="auto"/>
      </w:divBdr>
    </w:div>
    <w:div w:id="457526782">
      <w:bodyDiv w:val="1"/>
      <w:marLeft w:val="0"/>
      <w:marRight w:val="0"/>
      <w:marTop w:val="0"/>
      <w:marBottom w:val="0"/>
      <w:divBdr>
        <w:top w:val="none" w:sz="0" w:space="0" w:color="auto"/>
        <w:left w:val="none" w:sz="0" w:space="0" w:color="auto"/>
        <w:bottom w:val="none" w:sz="0" w:space="0" w:color="auto"/>
        <w:right w:val="none" w:sz="0" w:space="0" w:color="auto"/>
      </w:divBdr>
    </w:div>
    <w:div w:id="459105518">
      <w:bodyDiv w:val="1"/>
      <w:marLeft w:val="0"/>
      <w:marRight w:val="0"/>
      <w:marTop w:val="0"/>
      <w:marBottom w:val="0"/>
      <w:divBdr>
        <w:top w:val="none" w:sz="0" w:space="0" w:color="auto"/>
        <w:left w:val="none" w:sz="0" w:space="0" w:color="auto"/>
        <w:bottom w:val="none" w:sz="0" w:space="0" w:color="auto"/>
        <w:right w:val="none" w:sz="0" w:space="0" w:color="auto"/>
      </w:divBdr>
    </w:div>
    <w:div w:id="464667660">
      <w:bodyDiv w:val="1"/>
      <w:marLeft w:val="0"/>
      <w:marRight w:val="0"/>
      <w:marTop w:val="0"/>
      <w:marBottom w:val="0"/>
      <w:divBdr>
        <w:top w:val="none" w:sz="0" w:space="0" w:color="auto"/>
        <w:left w:val="none" w:sz="0" w:space="0" w:color="auto"/>
        <w:bottom w:val="none" w:sz="0" w:space="0" w:color="auto"/>
        <w:right w:val="none" w:sz="0" w:space="0" w:color="auto"/>
      </w:divBdr>
    </w:div>
    <w:div w:id="487138382">
      <w:bodyDiv w:val="1"/>
      <w:marLeft w:val="0"/>
      <w:marRight w:val="0"/>
      <w:marTop w:val="0"/>
      <w:marBottom w:val="0"/>
      <w:divBdr>
        <w:top w:val="none" w:sz="0" w:space="0" w:color="auto"/>
        <w:left w:val="none" w:sz="0" w:space="0" w:color="auto"/>
        <w:bottom w:val="none" w:sz="0" w:space="0" w:color="auto"/>
        <w:right w:val="none" w:sz="0" w:space="0" w:color="auto"/>
      </w:divBdr>
    </w:div>
    <w:div w:id="495919949">
      <w:bodyDiv w:val="1"/>
      <w:marLeft w:val="0"/>
      <w:marRight w:val="0"/>
      <w:marTop w:val="0"/>
      <w:marBottom w:val="0"/>
      <w:divBdr>
        <w:top w:val="none" w:sz="0" w:space="0" w:color="auto"/>
        <w:left w:val="none" w:sz="0" w:space="0" w:color="auto"/>
        <w:bottom w:val="none" w:sz="0" w:space="0" w:color="auto"/>
        <w:right w:val="none" w:sz="0" w:space="0" w:color="auto"/>
      </w:divBdr>
    </w:div>
    <w:div w:id="597642690">
      <w:bodyDiv w:val="1"/>
      <w:marLeft w:val="0"/>
      <w:marRight w:val="0"/>
      <w:marTop w:val="0"/>
      <w:marBottom w:val="0"/>
      <w:divBdr>
        <w:top w:val="none" w:sz="0" w:space="0" w:color="auto"/>
        <w:left w:val="none" w:sz="0" w:space="0" w:color="auto"/>
        <w:bottom w:val="none" w:sz="0" w:space="0" w:color="auto"/>
        <w:right w:val="none" w:sz="0" w:space="0" w:color="auto"/>
      </w:divBdr>
    </w:div>
    <w:div w:id="651256838">
      <w:bodyDiv w:val="1"/>
      <w:marLeft w:val="0"/>
      <w:marRight w:val="0"/>
      <w:marTop w:val="0"/>
      <w:marBottom w:val="0"/>
      <w:divBdr>
        <w:top w:val="none" w:sz="0" w:space="0" w:color="auto"/>
        <w:left w:val="none" w:sz="0" w:space="0" w:color="auto"/>
        <w:bottom w:val="none" w:sz="0" w:space="0" w:color="auto"/>
        <w:right w:val="none" w:sz="0" w:space="0" w:color="auto"/>
      </w:divBdr>
    </w:div>
    <w:div w:id="784079553">
      <w:bodyDiv w:val="1"/>
      <w:marLeft w:val="0"/>
      <w:marRight w:val="0"/>
      <w:marTop w:val="0"/>
      <w:marBottom w:val="0"/>
      <w:divBdr>
        <w:top w:val="none" w:sz="0" w:space="0" w:color="auto"/>
        <w:left w:val="none" w:sz="0" w:space="0" w:color="auto"/>
        <w:bottom w:val="none" w:sz="0" w:space="0" w:color="auto"/>
        <w:right w:val="none" w:sz="0" w:space="0" w:color="auto"/>
      </w:divBdr>
    </w:div>
    <w:div w:id="791678939">
      <w:bodyDiv w:val="1"/>
      <w:marLeft w:val="0"/>
      <w:marRight w:val="0"/>
      <w:marTop w:val="0"/>
      <w:marBottom w:val="0"/>
      <w:divBdr>
        <w:top w:val="none" w:sz="0" w:space="0" w:color="auto"/>
        <w:left w:val="none" w:sz="0" w:space="0" w:color="auto"/>
        <w:bottom w:val="none" w:sz="0" w:space="0" w:color="auto"/>
        <w:right w:val="none" w:sz="0" w:space="0" w:color="auto"/>
      </w:divBdr>
    </w:div>
    <w:div w:id="941038523">
      <w:bodyDiv w:val="1"/>
      <w:marLeft w:val="0"/>
      <w:marRight w:val="0"/>
      <w:marTop w:val="0"/>
      <w:marBottom w:val="0"/>
      <w:divBdr>
        <w:top w:val="none" w:sz="0" w:space="0" w:color="auto"/>
        <w:left w:val="none" w:sz="0" w:space="0" w:color="auto"/>
        <w:bottom w:val="none" w:sz="0" w:space="0" w:color="auto"/>
        <w:right w:val="none" w:sz="0" w:space="0" w:color="auto"/>
      </w:divBdr>
    </w:div>
    <w:div w:id="1033727292">
      <w:bodyDiv w:val="1"/>
      <w:marLeft w:val="0"/>
      <w:marRight w:val="0"/>
      <w:marTop w:val="0"/>
      <w:marBottom w:val="0"/>
      <w:divBdr>
        <w:top w:val="none" w:sz="0" w:space="0" w:color="auto"/>
        <w:left w:val="none" w:sz="0" w:space="0" w:color="auto"/>
        <w:bottom w:val="none" w:sz="0" w:space="0" w:color="auto"/>
        <w:right w:val="none" w:sz="0" w:space="0" w:color="auto"/>
      </w:divBdr>
    </w:div>
    <w:div w:id="1082988037">
      <w:bodyDiv w:val="1"/>
      <w:marLeft w:val="0"/>
      <w:marRight w:val="0"/>
      <w:marTop w:val="0"/>
      <w:marBottom w:val="0"/>
      <w:divBdr>
        <w:top w:val="none" w:sz="0" w:space="0" w:color="auto"/>
        <w:left w:val="none" w:sz="0" w:space="0" w:color="auto"/>
        <w:bottom w:val="none" w:sz="0" w:space="0" w:color="auto"/>
        <w:right w:val="none" w:sz="0" w:space="0" w:color="auto"/>
      </w:divBdr>
    </w:div>
    <w:div w:id="1292249363">
      <w:bodyDiv w:val="1"/>
      <w:marLeft w:val="0"/>
      <w:marRight w:val="0"/>
      <w:marTop w:val="0"/>
      <w:marBottom w:val="0"/>
      <w:divBdr>
        <w:top w:val="none" w:sz="0" w:space="0" w:color="auto"/>
        <w:left w:val="none" w:sz="0" w:space="0" w:color="auto"/>
        <w:bottom w:val="none" w:sz="0" w:space="0" w:color="auto"/>
        <w:right w:val="none" w:sz="0" w:space="0" w:color="auto"/>
      </w:divBdr>
    </w:div>
    <w:div w:id="1358316155">
      <w:bodyDiv w:val="1"/>
      <w:marLeft w:val="0"/>
      <w:marRight w:val="0"/>
      <w:marTop w:val="0"/>
      <w:marBottom w:val="0"/>
      <w:divBdr>
        <w:top w:val="none" w:sz="0" w:space="0" w:color="auto"/>
        <w:left w:val="none" w:sz="0" w:space="0" w:color="auto"/>
        <w:bottom w:val="none" w:sz="0" w:space="0" w:color="auto"/>
        <w:right w:val="none" w:sz="0" w:space="0" w:color="auto"/>
      </w:divBdr>
    </w:div>
    <w:div w:id="1419403829">
      <w:bodyDiv w:val="1"/>
      <w:marLeft w:val="0"/>
      <w:marRight w:val="0"/>
      <w:marTop w:val="0"/>
      <w:marBottom w:val="0"/>
      <w:divBdr>
        <w:top w:val="none" w:sz="0" w:space="0" w:color="auto"/>
        <w:left w:val="none" w:sz="0" w:space="0" w:color="auto"/>
        <w:bottom w:val="none" w:sz="0" w:space="0" w:color="auto"/>
        <w:right w:val="none" w:sz="0" w:space="0" w:color="auto"/>
      </w:divBdr>
    </w:div>
    <w:div w:id="1445223401">
      <w:bodyDiv w:val="1"/>
      <w:marLeft w:val="0"/>
      <w:marRight w:val="0"/>
      <w:marTop w:val="0"/>
      <w:marBottom w:val="0"/>
      <w:divBdr>
        <w:top w:val="none" w:sz="0" w:space="0" w:color="auto"/>
        <w:left w:val="none" w:sz="0" w:space="0" w:color="auto"/>
        <w:bottom w:val="none" w:sz="0" w:space="0" w:color="auto"/>
        <w:right w:val="none" w:sz="0" w:space="0" w:color="auto"/>
      </w:divBdr>
    </w:div>
    <w:div w:id="1454249562">
      <w:bodyDiv w:val="1"/>
      <w:marLeft w:val="0"/>
      <w:marRight w:val="0"/>
      <w:marTop w:val="0"/>
      <w:marBottom w:val="0"/>
      <w:divBdr>
        <w:top w:val="none" w:sz="0" w:space="0" w:color="auto"/>
        <w:left w:val="none" w:sz="0" w:space="0" w:color="auto"/>
        <w:bottom w:val="none" w:sz="0" w:space="0" w:color="auto"/>
        <w:right w:val="none" w:sz="0" w:space="0" w:color="auto"/>
      </w:divBdr>
    </w:div>
    <w:div w:id="1482574278">
      <w:bodyDiv w:val="1"/>
      <w:marLeft w:val="0"/>
      <w:marRight w:val="0"/>
      <w:marTop w:val="0"/>
      <w:marBottom w:val="0"/>
      <w:divBdr>
        <w:top w:val="none" w:sz="0" w:space="0" w:color="auto"/>
        <w:left w:val="none" w:sz="0" w:space="0" w:color="auto"/>
        <w:bottom w:val="none" w:sz="0" w:space="0" w:color="auto"/>
        <w:right w:val="none" w:sz="0" w:space="0" w:color="auto"/>
      </w:divBdr>
    </w:div>
    <w:div w:id="1521357012">
      <w:bodyDiv w:val="1"/>
      <w:marLeft w:val="0"/>
      <w:marRight w:val="0"/>
      <w:marTop w:val="0"/>
      <w:marBottom w:val="0"/>
      <w:divBdr>
        <w:top w:val="none" w:sz="0" w:space="0" w:color="auto"/>
        <w:left w:val="none" w:sz="0" w:space="0" w:color="auto"/>
        <w:bottom w:val="none" w:sz="0" w:space="0" w:color="auto"/>
        <w:right w:val="none" w:sz="0" w:space="0" w:color="auto"/>
      </w:divBdr>
    </w:div>
    <w:div w:id="1575167841">
      <w:bodyDiv w:val="1"/>
      <w:marLeft w:val="0"/>
      <w:marRight w:val="0"/>
      <w:marTop w:val="0"/>
      <w:marBottom w:val="0"/>
      <w:divBdr>
        <w:top w:val="none" w:sz="0" w:space="0" w:color="auto"/>
        <w:left w:val="none" w:sz="0" w:space="0" w:color="auto"/>
        <w:bottom w:val="none" w:sz="0" w:space="0" w:color="auto"/>
        <w:right w:val="none" w:sz="0" w:space="0" w:color="auto"/>
      </w:divBdr>
    </w:div>
    <w:div w:id="1589265794">
      <w:bodyDiv w:val="1"/>
      <w:marLeft w:val="0"/>
      <w:marRight w:val="0"/>
      <w:marTop w:val="0"/>
      <w:marBottom w:val="0"/>
      <w:divBdr>
        <w:top w:val="none" w:sz="0" w:space="0" w:color="auto"/>
        <w:left w:val="none" w:sz="0" w:space="0" w:color="auto"/>
        <w:bottom w:val="none" w:sz="0" w:space="0" w:color="auto"/>
        <w:right w:val="none" w:sz="0" w:space="0" w:color="auto"/>
      </w:divBdr>
    </w:div>
    <w:div w:id="1597402619">
      <w:bodyDiv w:val="1"/>
      <w:marLeft w:val="0"/>
      <w:marRight w:val="0"/>
      <w:marTop w:val="0"/>
      <w:marBottom w:val="0"/>
      <w:divBdr>
        <w:top w:val="none" w:sz="0" w:space="0" w:color="auto"/>
        <w:left w:val="none" w:sz="0" w:space="0" w:color="auto"/>
        <w:bottom w:val="none" w:sz="0" w:space="0" w:color="auto"/>
        <w:right w:val="none" w:sz="0" w:space="0" w:color="auto"/>
      </w:divBdr>
    </w:div>
    <w:div w:id="1635284797">
      <w:bodyDiv w:val="1"/>
      <w:marLeft w:val="0"/>
      <w:marRight w:val="0"/>
      <w:marTop w:val="0"/>
      <w:marBottom w:val="0"/>
      <w:divBdr>
        <w:top w:val="none" w:sz="0" w:space="0" w:color="auto"/>
        <w:left w:val="none" w:sz="0" w:space="0" w:color="auto"/>
        <w:bottom w:val="none" w:sz="0" w:space="0" w:color="auto"/>
        <w:right w:val="none" w:sz="0" w:space="0" w:color="auto"/>
      </w:divBdr>
    </w:div>
    <w:div w:id="1646082031">
      <w:bodyDiv w:val="1"/>
      <w:marLeft w:val="0"/>
      <w:marRight w:val="0"/>
      <w:marTop w:val="0"/>
      <w:marBottom w:val="0"/>
      <w:divBdr>
        <w:top w:val="none" w:sz="0" w:space="0" w:color="auto"/>
        <w:left w:val="none" w:sz="0" w:space="0" w:color="auto"/>
        <w:bottom w:val="none" w:sz="0" w:space="0" w:color="auto"/>
        <w:right w:val="none" w:sz="0" w:space="0" w:color="auto"/>
      </w:divBdr>
    </w:div>
    <w:div w:id="1723559568">
      <w:bodyDiv w:val="1"/>
      <w:marLeft w:val="0"/>
      <w:marRight w:val="0"/>
      <w:marTop w:val="0"/>
      <w:marBottom w:val="0"/>
      <w:divBdr>
        <w:top w:val="none" w:sz="0" w:space="0" w:color="auto"/>
        <w:left w:val="none" w:sz="0" w:space="0" w:color="auto"/>
        <w:bottom w:val="none" w:sz="0" w:space="0" w:color="auto"/>
        <w:right w:val="none" w:sz="0" w:space="0" w:color="auto"/>
      </w:divBdr>
    </w:div>
    <w:div w:id="1818299553">
      <w:bodyDiv w:val="1"/>
      <w:marLeft w:val="0"/>
      <w:marRight w:val="0"/>
      <w:marTop w:val="0"/>
      <w:marBottom w:val="0"/>
      <w:divBdr>
        <w:top w:val="none" w:sz="0" w:space="0" w:color="auto"/>
        <w:left w:val="none" w:sz="0" w:space="0" w:color="auto"/>
        <w:bottom w:val="none" w:sz="0" w:space="0" w:color="auto"/>
        <w:right w:val="none" w:sz="0" w:space="0" w:color="auto"/>
      </w:divBdr>
    </w:div>
    <w:div w:id="1861237102">
      <w:bodyDiv w:val="1"/>
      <w:marLeft w:val="0"/>
      <w:marRight w:val="0"/>
      <w:marTop w:val="0"/>
      <w:marBottom w:val="0"/>
      <w:divBdr>
        <w:top w:val="none" w:sz="0" w:space="0" w:color="auto"/>
        <w:left w:val="none" w:sz="0" w:space="0" w:color="auto"/>
        <w:bottom w:val="none" w:sz="0" w:space="0" w:color="auto"/>
        <w:right w:val="none" w:sz="0" w:space="0" w:color="auto"/>
      </w:divBdr>
    </w:div>
    <w:div w:id="1955595368">
      <w:bodyDiv w:val="1"/>
      <w:marLeft w:val="0"/>
      <w:marRight w:val="0"/>
      <w:marTop w:val="0"/>
      <w:marBottom w:val="0"/>
      <w:divBdr>
        <w:top w:val="none" w:sz="0" w:space="0" w:color="auto"/>
        <w:left w:val="none" w:sz="0" w:space="0" w:color="auto"/>
        <w:bottom w:val="none" w:sz="0" w:space="0" w:color="auto"/>
        <w:right w:val="none" w:sz="0" w:space="0" w:color="auto"/>
      </w:divBdr>
    </w:div>
    <w:div w:id="1964917369">
      <w:bodyDiv w:val="1"/>
      <w:marLeft w:val="0"/>
      <w:marRight w:val="0"/>
      <w:marTop w:val="0"/>
      <w:marBottom w:val="0"/>
      <w:divBdr>
        <w:top w:val="none" w:sz="0" w:space="0" w:color="auto"/>
        <w:left w:val="none" w:sz="0" w:space="0" w:color="auto"/>
        <w:bottom w:val="none" w:sz="0" w:space="0" w:color="auto"/>
        <w:right w:val="none" w:sz="0" w:space="0" w:color="auto"/>
      </w:divBdr>
    </w:div>
    <w:div w:id="2046757058">
      <w:bodyDiv w:val="1"/>
      <w:marLeft w:val="0"/>
      <w:marRight w:val="0"/>
      <w:marTop w:val="0"/>
      <w:marBottom w:val="0"/>
      <w:divBdr>
        <w:top w:val="none" w:sz="0" w:space="0" w:color="auto"/>
        <w:left w:val="none" w:sz="0" w:space="0" w:color="auto"/>
        <w:bottom w:val="none" w:sz="0" w:space="0" w:color="auto"/>
        <w:right w:val="none" w:sz="0" w:space="0" w:color="auto"/>
      </w:divBdr>
    </w:div>
    <w:div w:id="2049913382">
      <w:bodyDiv w:val="1"/>
      <w:marLeft w:val="0"/>
      <w:marRight w:val="0"/>
      <w:marTop w:val="0"/>
      <w:marBottom w:val="0"/>
      <w:divBdr>
        <w:top w:val="none" w:sz="0" w:space="0" w:color="auto"/>
        <w:left w:val="none" w:sz="0" w:space="0" w:color="auto"/>
        <w:bottom w:val="none" w:sz="0" w:space="0" w:color="auto"/>
        <w:right w:val="none" w:sz="0" w:space="0" w:color="auto"/>
      </w:divBdr>
    </w:div>
    <w:div w:id="2066902607">
      <w:bodyDiv w:val="1"/>
      <w:marLeft w:val="0"/>
      <w:marRight w:val="0"/>
      <w:marTop w:val="0"/>
      <w:marBottom w:val="0"/>
      <w:divBdr>
        <w:top w:val="none" w:sz="0" w:space="0" w:color="auto"/>
        <w:left w:val="none" w:sz="0" w:space="0" w:color="auto"/>
        <w:bottom w:val="none" w:sz="0" w:space="0" w:color="auto"/>
        <w:right w:val="none" w:sz="0" w:space="0" w:color="auto"/>
      </w:divBdr>
    </w:div>
    <w:div w:id="21315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mb261\Box%20Sync\LH\PCdesktop\Oncology\DS-8201\202001-NBE-DESTINY-B1\01-dossier\Module-1\1.3.1-pi\20200702-pi-annotated-enhertu-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C5807C0D82546A95B337C95813926" ma:contentTypeVersion="8" ma:contentTypeDescription="Create a new document." ma:contentTypeScope="" ma:versionID="444e26802c83e85303473cbb7e7e7a6e">
  <xsd:schema xmlns:xsd="http://www.w3.org/2001/XMLSchema" xmlns:xs="http://www.w3.org/2001/XMLSchema" xmlns:p="http://schemas.microsoft.com/office/2006/metadata/properties" xmlns:ns2="44a56295-c29e-4898-8136-a54736c65b82" xmlns:ns3="d6d6f1ff-03c0-4429-a0b3-75d3f961d0fd" xmlns:ns4="f55d234f-e82c-4878-9a50-4623bd66f60c" targetNamespace="http://schemas.microsoft.com/office/2006/metadata/properties" ma:root="true" ma:fieldsID="f6dcc49c2db7ce24e8965f47509caddf" ns2:_="" ns3:_="" ns4:_="">
    <xsd:import namespace="44a56295-c29e-4898-8136-a54736c65b82"/>
    <xsd:import namespace="d6d6f1ff-03c0-4429-a0b3-75d3f961d0fd"/>
    <xsd:import namespace="f55d234f-e82c-4878-9a50-4623bd66f60c"/>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d6f1ff-03c0-4429-a0b3-75d3f961d0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5d234f-e82c-4878-9a50-4623bd66f6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287E2763-86A7-40DB-B212-4C5BB052D819}">
  <ds:schemaRefs>
    <ds:schemaRef ds:uri="http://schemas.microsoft.com/sharepoint/v3/contenttype/forms"/>
  </ds:schemaRefs>
</ds:datastoreItem>
</file>

<file path=customXml/itemProps2.xml><?xml version="1.0" encoding="utf-8"?>
<ds:datastoreItem xmlns:ds="http://schemas.openxmlformats.org/officeDocument/2006/customXml" ds:itemID="{98F97056-55DF-4FB3-81C3-DAC54D5F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d6d6f1ff-03c0-4429-a0b3-75d3f961d0fd"/>
    <ds:schemaRef ds:uri="f55d234f-e82c-4878-9a50-4623bd66f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C34D0-8B8D-45AB-BB76-291AF22266C3}">
  <ds:schemaRefs>
    <ds:schemaRef ds:uri="http://schemas.microsoft.com/office/2006/metadata/properties"/>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1F4A9FCA-27F8-4DD9-8EC1-F28B2FFB5974}">
  <ds:schemaRefs>
    <ds:schemaRef ds:uri="http://schemas.openxmlformats.org/officeDocument/2006/bibliography"/>
  </ds:schemaRefs>
</ds:datastoreItem>
</file>

<file path=customXml/itemProps5.xml><?xml version="1.0" encoding="utf-8"?>
<ds:datastoreItem xmlns:ds="http://schemas.openxmlformats.org/officeDocument/2006/customXml" ds:itemID="{043E41B3-72AB-4A0D-81DA-59D8466D86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20200702-pi-annotated-enhertu-black-triangle.dotx</Template>
  <TotalTime>3</TotalTime>
  <Pages>20</Pages>
  <Words>6047</Words>
  <Characters>34471</Characters>
  <Application>Microsoft Office Word</Application>
  <DocSecurity>0</DocSecurity>
  <Lines>638</Lines>
  <Paragraphs>271</Paragraphs>
  <ScaleCrop>false</ScaleCrop>
  <HeadingPairs>
    <vt:vector size="2" baseType="variant">
      <vt:variant>
        <vt:lpstr>Title</vt:lpstr>
      </vt:variant>
      <vt:variant>
        <vt:i4>1</vt:i4>
      </vt:variant>
    </vt:vector>
  </HeadingPairs>
  <TitlesOfParts>
    <vt:vector size="1" baseType="lpstr">
      <vt:lpstr/>
    </vt:vector>
  </TitlesOfParts>
  <Company>AstraZeneca Pty Ltd</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Trastuzumab deruxtecan</dc:title>
  <dc:subject>prescription medicine regulation</dc:subject>
  <dc:creator>AstraZeneca Pty Ltd</dc:creator>
  <cp:keywords/>
  <cp:lastModifiedBy>KOLARIK-OREILLY, Kristy</cp:lastModifiedBy>
  <cp:revision>4</cp:revision>
  <cp:lastPrinted>2017-11-13T08:13:00Z</cp:lastPrinted>
  <dcterms:created xsi:type="dcterms:W3CDTF">2022-05-23T06:38:00Z</dcterms:created>
  <dcterms:modified xsi:type="dcterms:W3CDTF">2022-06-27T04:59:00Z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0x010100D8AC5807C0D82546A95B337C95813926</vt:lpwstr>
  </property>
</Properties>
</file>