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0F6CCC9A" w14:textId="77777777" w:rsidTr="00BF1190">
        <w:trPr>
          <w:trHeight w:val="1863"/>
        </w:trPr>
        <w:tc>
          <w:tcPr>
            <w:tcW w:w="3652" w:type="dxa"/>
            <w:tcBorders>
              <w:top w:val="nil"/>
              <w:left w:val="nil"/>
              <w:bottom w:val="nil"/>
              <w:right w:val="nil"/>
            </w:tcBorders>
          </w:tcPr>
          <w:p w14:paraId="4B3D72E0" w14:textId="2BF7F553" w:rsidR="008E7846" w:rsidRPr="00096AA7" w:rsidRDefault="00BB5E50" w:rsidP="00096AA7">
            <w:pPr>
              <w:rPr>
                <w:rFonts w:ascii="Arial" w:hAnsi="Arial" w:cs="Arial"/>
                <w:b/>
                <w:color w:val="002C47"/>
                <w:sz w:val="36"/>
                <w:szCs w:val="36"/>
              </w:rPr>
            </w:pPr>
            <w:r>
              <w:rPr>
                <w:rFonts w:ascii="Arial" w:hAnsi="Arial" w:cs="Arial"/>
                <w:b/>
                <w:color w:val="002C47"/>
                <w:sz w:val="36"/>
                <w:szCs w:val="36"/>
              </w:rPr>
              <w:t>June</w:t>
            </w:r>
            <w:r w:rsidR="006002CD">
              <w:rPr>
                <w:rFonts w:ascii="Arial" w:hAnsi="Arial" w:cs="Arial"/>
                <w:b/>
                <w:color w:val="002C47"/>
                <w:sz w:val="36"/>
                <w:szCs w:val="36"/>
              </w:rPr>
              <w:t xml:space="preserve"> 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6918FEA1" w14:textId="77777777" w:rsidTr="0032583B">
        <w:trPr>
          <w:trHeight w:val="868"/>
        </w:trPr>
        <w:tc>
          <w:tcPr>
            <w:tcW w:w="9079" w:type="dxa"/>
          </w:tcPr>
          <w:p w14:paraId="5BF1DF86" w14:textId="74C5826D" w:rsidR="0032583B" w:rsidRPr="00A964D1" w:rsidRDefault="0032583B" w:rsidP="00460036">
            <w:pPr>
              <w:pStyle w:val="Title"/>
              <w:rPr>
                <w:color w:val="FFFFFF" w:themeColor="background1"/>
              </w:rPr>
            </w:pPr>
            <w:r w:rsidRPr="00A964D1">
              <w:rPr>
                <w:color w:val="FFFFFF" w:themeColor="background1"/>
              </w:rPr>
              <w:t xml:space="preserve">Australian Public Assessment Report for </w:t>
            </w:r>
            <w:bookmarkStart w:id="0" w:name="_Hlk107233370"/>
            <w:r w:rsidR="004B453F">
              <w:rPr>
                <w:color w:val="FFFFFF" w:themeColor="background1"/>
              </w:rPr>
              <w:t>Trastuzumab</w:t>
            </w:r>
            <w:r w:rsidR="006002CD" w:rsidRPr="006002CD">
              <w:rPr>
                <w:color w:val="FFFFFF" w:themeColor="background1"/>
              </w:rPr>
              <w:t xml:space="preserve"> </w:t>
            </w:r>
            <w:proofErr w:type="spellStart"/>
            <w:r w:rsidR="006002CD" w:rsidRPr="006002CD">
              <w:rPr>
                <w:color w:val="FFFFFF" w:themeColor="background1"/>
              </w:rPr>
              <w:t>deruxtecan</w:t>
            </w:r>
            <w:bookmarkEnd w:id="0"/>
            <w:proofErr w:type="spellEnd"/>
          </w:p>
        </w:tc>
      </w:tr>
      <w:tr w:rsidR="0032583B" w:rsidRPr="00B64760" w14:paraId="7216C22A" w14:textId="77777777" w:rsidTr="0032583B">
        <w:tc>
          <w:tcPr>
            <w:tcW w:w="9079" w:type="dxa"/>
          </w:tcPr>
          <w:p w14:paraId="7EED565A" w14:textId="540DFC05" w:rsidR="0032583B" w:rsidRPr="008E7846" w:rsidRDefault="0032583B" w:rsidP="00460036">
            <w:pPr>
              <w:pStyle w:val="Subtitle"/>
              <w:rPr>
                <w:color w:val="FFFFFF" w:themeColor="background1"/>
              </w:rPr>
            </w:pPr>
            <w:r w:rsidRPr="008E7846">
              <w:rPr>
                <w:color w:val="FFFFFF" w:themeColor="background1"/>
              </w:rPr>
              <w:t xml:space="preserve">Proprietary Product Name: </w:t>
            </w:r>
            <w:bookmarkStart w:id="1" w:name="_Hlk107233395"/>
            <w:proofErr w:type="spellStart"/>
            <w:r w:rsidR="006002CD">
              <w:rPr>
                <w:color w:val="FFFFFF" w:themeColor="background1"/>
              </w:rPr>
              <w:t>Enhertu</w:t>
            </w:r>
            <w:bookmarkEnd w:id="1"/>
            <w:proofErr w:type="spellEnd"/>
          </w:p>
        </w:tc>
      </w:tr>
      <w:tr w:rsidR="0032583B" w:rsidRPr="00B64760" w14:paraId="69F138ED" w14:textId="77777777" w:rsidTr="0032583B">
        <w:trPr>
          <w:trHeight w:val="486"/>
        </w:trPr>
        <w:tc>
          <w:tcPr>
            <w:tcW w:w="9079" w:type="dxa"/>
          </w:tcPr>
          <w:p w14:paraId="6E23AEAE" w14:textId="12802A6F" w:rsidR="0032583B" w:rsidRPr="008E7846" w:rsidRDefault="00460036" w:rsidP="0032583B">
            <w:pPr>
              <w:pStyle w:val="Subtitle"/>
              <w:rPr>
                <w:color w:val="FFFFFF" w:themeColor="background1"/>
              </w:rPr>
            </w:pPr>
            <w:r>
              <w:rPr>
                <w:color w:val="FFFFFF" w:themeColor="background1"/>
              </w:rPr>
              <w:t xml:space="preserve">Sponsor: </w:t>
            </w:r>
            <w:bookmarkStart w:id="2" w:name="_Hlk107233403"/>
            <w:r w:rsidR="006002CD" w:rsidRPr="006002CD">
              <w:rPr>
                <w:color w:val="FFFFFF" w:themeColor="background1"/>
              </w:rPr>
              <w:t>AstraZeneca Pty Ltd</w:t>
            </w:r>
            <w:bookmarkEnd w:id="2"/>
          </w:p>
        </w:tc>
      </w:tr>
    </w:tbl>
    <w:p w14:paraId="6621D5B4" w14:textId="77777777" w:rsidR="008E7846" w:rsidRPr="0085156D" w:rsidRDefault="008E7846" w:rsidP="0085156D">
      <w:r w:rsidRPr="0085156D">
        <w:br w:type="page"/>
      </w:r>
    </w:p>
    <w:p w14:paraId="3B105307" w14:textId="77777777" w:rsidR="008E7846" w:rsidRPr="001F6CBA" w:rsidRDefault="008E7846" w:rsidP="008E7846">
      <w:pPr>
        <w:pStyle w:val="NonTOCHeading2"/>
      </w:pPr>
      <w:r w:rsidRPr="001F6CBA">
        <w:lastRenderedPageBreak/>
        <w:t>About the Therapeutic Goods Administration (TGA)</w:t>
      </w:r>
    </w:p>
    <w:p w14:paraId="7C4DF7F3"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562E1F42"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w:t>
      </w:r>
      <w:proofErr w:type="gramStart"/>
      <w:r w:rsidR="008E7846">
        <w:t>safety</w:t>
      </w:r>
      <w:proofErr w:type="gramEnd"/>
      <w:r w:rsidR="008E7846">
        <w:t xml:space="preserve"> and efficacy (performance) when necessary.</w:t>
      </w:r>
    </w:p>
    <w:p w14:paraId="42721C17"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2EAC7486"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28FF0E2D" w14:textId="02AF5050"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12" w:history="1">
        <w:r w:rsidR="00441C3F">
          <w:rPr>
            <w:rStyle w:val="Hyperlink"/>
          </w:rPr>
          <w:t>https://www.tga.gov.au</w:t>
        </w:r>
      </w:hyperlink>
      <w:r w:rsidR="00441C3F">
        <w:t>&gt;.</w:t>
      </w:r>
    </w:p>
    <w:p w14:paraId="5BCF917D" w14:textId="77777777" w:rsidR="008E7846" w:rsidRDefault="008E7846" w:rsidP="00875A6B">
      <w:pPr>
        <w:pStyle w:val="NonTOCHeading2"/>
      </w:pPr>
      <w:r>
        <w:t xml:space="preserve">About </w:t>
      </w:r>
      <w:proofErr w:type="spellStart"/>
      <w:r>
        <w:t>AusPARs</w:t>
      </w:r>
      <w:proofErr w:type="spellEnd"/>
    </w:p>
    <w:p w14:paraId="450D4AA4"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29F55470" w14:textId="77777777"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14:paraId="43B524E1" w14:textId="77777777" w:rsidR="008E7846" w:rsidRDefault="008E7846" w:rsidP="008E7846">
      <w:pPr>
        <w:pStyle w:val="ListBullet"/>
        <w:numPr>
          <w:ilvl w:val="0"/>
          <w:numId w:val="3"/>
        </w:numPr>
        <w:ind w:left="357" w:hanging="357"/>
      </w:pPr>
      <w:r>
        <w:t xml:space="preserve">An AusPAR is prepared for submissions that relate to new chemical entities, generic medicines, major </w:t>
      </w:r>
      <w:proofErr w:type="gramStart"/>
      <w:r>
        <w:t>variations</w:t>
      </w:r>
      <w:proofErr w:type="gramEnd"/>
      <w:r>
        <w:t xml:space="preserve"> and extensions of indications.</w:t>
      </w:r>
    </w:p>
    <w:p w14:paraId="17549D90"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242D5E47"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7B868FC6" w14:textId="77777777" w:rsidR="00924482" w:rsidRPr="00DF1D7F" w:rsidRDefault="00924482" w:rsidP="00F54B65">
      <w:pPr>
        <w:pStyle w:val="LegalSubheading"/>
        <w:spacing w:before="3120"/>
      </w:pPr>
      <w:r w:rsidRPr="00DF1D7F">
        <w:t>Copyright</w:t>
      </w:r>
    </w:p>
    <w:p w14:paraId="744691CB" w14:textId="1AA8C44A"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6002CD">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proofErr w:type="gramStart"/>
      <w:r w:rsidRPr="00191B3B">
        <w:rPr>
          <w:rFonts w:cs="Arial"/>
          <w:lang w:val="en-GB"/>
        </w:rPr>
        <w:t>reserved</w:t>
      </w:r>
      <w:proofErr w:type="gramEnd"/>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3" w:history="1">
        <w:r w:rsidRPr="00191B3B">
          <w:rPr>
            <w:rStyle w:val="Hyperlink"/>
            <w:rFonts w:cs="Arial"/>
            <w:lang w:val="en-GB"/>
          </w:rPr>
          <w:t>tga.copyright@tga.gov.au</w:t>
        </w:r>
      </w:hyperlink>
      <w:r w:rsidRPr="00191B3B">
        <w:rPr>
          <w:rFonts w:cs="Arial"/>
        </w:rPr>
        <w:t>&gt;.</w:t>
      </w:r>
    </w:p>
    <w:p w14:paraId="5254041E" w14:textId="77777777" w:rsidR="00924482" w:rsidRDefault="00924482" w:rsidP="00924482">
      <w:pPr>
        <w:pStyle w:val="LegalCopy"/>
        <w:sectPr w:rsidR="00924482" w:rsidSect="003D1E62">
          <w:headerReference w:type="default" r:id="rId14"/>
          <w:footerReference w:type="default" r:id="rId15"/>
          <w:headerReference w:type="first" r:id="rId16"/>
          <w:pgSz w:w="11906" w:h="16838" w:code="9"/>
          <w:pgMar w:top="426" w:right="1701" w:bottom="0" w:left="1701" w:header="907" w:footer="142" w:gutter="0"/>
          <w:pgNumType w:fmt="lowerRoman" w:start="1"/>
          <w:cols w:space="708"/>
          <w:titlePg/>
          <w:docGrid w:linePitch="360"/>
        </w:sectPr>
      </w:pPr>
    </w:p>
    <w:bookmarkStart w:id="3" w:name="_Toc247691501" w:displacedByCustomXml="next"/>
    <w:bookmarkStart w:id="4"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7C2ED7F9" w14:textId="77777777" w:rsidR="0089635C" w:rsidRPr="0089635C" w:rsidRDefault="0089635C" w:rsidP="0010788A">
          <w:pPr>
            <w:pStyle w:val="Contents"/>
          </w:pPr>
          <w:r w:rsidRPr="0010788A">
            <w:t>Contents</w:t>
          </w:r>
        </w:p>
        <w:p w14:paraId="1D737650" w14:textId="7930F57B" w:rsidR="006922A4"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03589834" w:history="1">
            <w:r w:rsidR="006922A4" w:rsidRPr="00F30430">
              <w:rPr>
                <w:rStyle w:val="Hyperlink"/>
                <w:noProof/>
              </w:rPr>
              <w:t>List of abbreviations</w:t>
            </w:r>
            <w:r w:rsidR="006922A4">
              <w:rPr>
                <w:noProof/>
                <w:webHidden/>
              </w:rPr>
              <w:tab/>
            </w:r>
            <w:r w:rsidR="006922A4">
              <w:rPr>
                <w:noProof/>
                <w:webHidden/>
              </w:rPr>
              <w:fldChar w:fldCharType="begin"/>
            </w:r>
            <w:r w:rsidR="006922A4">
              <w:rPr>
                <w:noProof/>
                <w:webHidden/>
              </w:rPr>
              <w:instrText xml:space="preserve"> PAGEREF _Toc103589834 \h </w:instrText>
            </w:r>
            <w:r w:rsidR="006922A4">
              <w:rPr>
                <w:noProof/>
                <w:webHidden/>
              </w:rPr>
            </w:r>
            <w:r w:rsidR="006922A4">
              <w:rPr>
                <w:noProof/>
                <w:webHidden/>
              </w:rPr>
              <w:fldChar w:fldCharType="separate"/>
            </w:r>
            <w:r w:rsidR="006922A4">
              <w:rPr>
                <w:noProof/>
                <w:webHidden/>
              </w:rPr>
              <w:t>4</w:t>
            </w:r>
            <w:r w:rsidR="006922A4">
              <w:rPr>
                <w:noProof/>
                <w:webHidden/>
              </w:rPr>
              <w:fldChar w:fldCharType="end"/>
            </w:r>
          </w:hyperlink>
        </w:p>
        <w:p w14:paraId="718E9009" w14:textId="0B7FB130" w:rsidR="006922A4" w:rsidRDefault="006E3A15">
          <w:pPr>
            <w:pStyle w:val="TOC1"/>
            <w:rPr>
              <w:rFonts w:asciiTheme="minorHAnsi" w:eastAsiaTheme="minorEastAsia" w:hAnsiTheme="minorHAnsi" w:cstheme="minorBidi"/>
              <w:b w:val="0"/>
              <w:noProof/>
              <w:sz w:val="22"/>
              <w:lang w:eastAsia="en-AU"/>
            </w:rPr>
          </w:pPr>
          <w:hyperlink w:anchor="_Toc103589835" w:history="1">
            <w:r w:rsidR="006922A4" w:rsidRPr="00F30430">
              <w:rPr>
                <w:rStyle w:val="Hyperlink"/>
                <w:noProof/>
              </w:rPr>
              <w:t>I. Introduction to product submission</w:t>
            </w:r>
            <w:r w:rsidR="006922A4">
              <w:rPr>
                <w:noProof/>
                <w:webHidden/>
              </w:rPr>
              <w:tab/>
            </w:r>
            <w:r w:rsidR="006922A4">
              <w:rPr>
                <w:noProof/>
                <w:webHidden/>
              </w:rPr>
              <w:fldChar w:fldCharType="begin"/>
            </w:r>
            <w:r w:rsidR="006922A4">
              <w:rPr>
                <w:noProof/>
                <w:webHidden/>
              </w:rPr>
              <w:instrText xml:space="preserve"> PAGEREF _Toc103589835 \h </w:instrText>
            </w:r>
            <w:r w:rsidR="006922A4">
              <w:rPr>
                <w:noProof/>
                <w:webHidden/>
              </w:rPr>
            </w:r>
            <w:r w:rsidR="006922A4">
              <w:rPr>
                <w:noProof/>
                <w:webHidden/>
              </w:rPr>
              <w:fldChar w:fldCharType="separate"/>
            </w:r>
            <w:r w:rsidR="006922A4">
              <w:rPr>
                <w:noProof/>
                <w:webHidden/>
              </w:rPr>
              <w:t>7</w:t>
            </w:r>
            <w:r w:rsidR="006922A4">
              <w:rPr>
                <w:noProof/>
                <w:webHidden/>
              </w:rPr>
              <w:fldChar w:fldCharType="end"/>
            </w:r>
          </w:hyperlink>
        </w:p>
        <w:p w14:paraId="05389339" w14:textId="63EFD83F" w:rsidR="006922A4" w:rsidRDefault="006E3A15">
          <w:pPr>
            <w:pStyle w:val="TOC2"/>
            <w:rPr>
              <w:rFonts w:asciiTheme="minorHAnsi" w:eastAsiaTheme="minorEastAsia" w:hAnsiTheme="minorHAnsi" w:cstheme="minorBidi"/>
              <w:b w:val="0"/>
              <w:noProof/>
              <w:sz w:val="22"/>
              <w:lang w:eastAsia="en-AU"/>
            </w:rPr>
          </w:pPr>
          <w:hyperlink w:anchor="_Toc103589836" w:history="1">
            <w:r w:rsidR="006922A4" w:rsidRPr="00F30430">
              <w:rPr>
                <w:rStyle w:val="Hyperlink"/>
                <w:noProof/>
                <w:lang w:eastAsia="en-AU"/>
              </w:rPr>
              <w:t>Submission details</w:t>
            </w:r>
            <w:r w:rsidR="006922A4">
              <w:rPr>
                <w:noProof/>
                <w:webHidden/>
              </w:rPr>
              <w:tab/>
            </w:r>
            <w:r w:rsidR="006922A4">
              <w:rPr>
                <w:noProof/>
                <w:webHidden/>
              </w:rPr>
              <w:fldChar w:fldCharType="begin"/>
            </w:r>
            <w:r w:rsidR="006922A4">
              <w:rPr>
                <w:noProof/>
                <w:webHidden/>
              </w:rPr>
              <w:instrText xml:space="preserve"> PAGEREF _Toc103589836 \h </w:instrText>
            </w:r>
            <w:r w:rsidR="006922A4">
              <w:rPr>
                <w:noProof/>
                <w:webHidden/>
              </w:rPr>
            </w:r>
            <w:r w:rsidR="006922A4">
              <w:rPr>
                <w:noProof/>
                <w:webHidden/>
              </w:rPr>
              <w:fldChar w:fldCharType="separate"/>
            </w:r>
            <w:r w:rsidR="006922A4">
              <w:rPr>
                <w:noProof/>
                <w:webHidden/>
              </w:rPr>
              <w:t>7</w:t>
            </w:r>
            <w:r w:rsidR="006922A4">
              <w:rPr>
                <w:noProof/>
                <w:webHidden/>
              </w:rPr>
              <w:fldChar w:fldCharType="end"/>
            </w:r>
          </w:hyperlink>
        </w:p>
        <w:p w14:paraId="66749F30" w14:textId="1B141201" w:rsidR="006922A4" w:rsidRDefault="006E3A15">
          <w:pPr>
            <w:pStyle w:val="TOC2"/>
            <w:rPr>
              <w:rFonts w:asciiTheme="minorHAnsi" w:eastAsiaTheme="minorEastAsia" w:hAnsiTheme="minorHAnsi" w:cstheme="minorBidi"/>
              <w:b w:val="0"/>
              <w:noProof/>
              <w:sz w:val="22"/>
              <w:lang w:eastAsia="en-AU"/>
            </w:rPr>
          </w:pPr>
          <w:hyperlink w:anchor="_Toc103589837" w:history="1">
            <w:r w:rsidR="006922A4" w:rsidRPr="00F30430">
              <w:rPr>
                <w:rStyle w:val="Hyperlink"/>
                <w:noProof/>
              </w:rPr>
              <w:t>Product background</w:t>
            </w:r>
            <w:r w:rsidR="006922A4">
              <w:rPr>
                <w:noProof/>
                <w:webHidden/>
              </w:rPr>
              <w:tab/>
            </w:r>
            <w:r w:rsidR="006922A4">
              <w:rPr>
                <w:noProof/>
                <w:webHidden/>
              </w:rPr>
              <w:fldChar w:fldCharType="begin"/>
            </w:r>
            <w:r w:rsidR="006922A4">
              <w:rPr>
                <w:noProof/>
                <w:webHidden/>
              </w:rPr>
              <w:instrText xml:space="preserve"> PAGEREF _Toc103589837 \h </w:instrText>
            </w:r>
            <w:r w:rsidR="006922A4">
              <w:rPr>
                <w:noProof/>
                <w:webHidden/>
              </w:rPr>
            </w:r>
            <w:r w:rsidR="006922A4">
              <w:rPr>
                <w:noProof/>
                <w:webHidden/>
              </w:rPr>
              <w:fldChar w:fldCharType="separate"/>
            </w:r>
            <w:r w:rsidR="006922A4">
              <w:rPr>
                <w:noProof/>
                <w:webHidden/>
              </w:rPr>
              <w:t>8</w:t>
            </w:r>
            <w:r w:rsidR="006922A4">
              <w:rPr>
                <w:noProof/>
                <w:webHidden/>
              </w:rPr>
              <w:fldChar w:fldCharType="end"/>
            </w:r>
          </w:hyperlink>
        </w:p>
        <w:p w14:paraId="230BD818" w14:textId="08B32717" w:rsidR="006922A4" w:rsidRDefault="006E3A15">
          <w:pPr>
            <w:pStyle w:val="TOC2"/>
            <w:rPr>
              <w:rFonts w:asciiTheme="minorHAnsi" w:eastAsiaTheme="minorEastAsia" w:hAnsiTheme="minorHAnsi" w:cstheme="minorBidi"/>
              <w:b w:val="0"/>
              <w:noProof/>
              <w:sz w:val="22"/>
              <w:lang w:eastAsia="en-AU"/>
            </w:rPr>
          </w:pPr>
          <w:hyperlink w:anchor="_Toc103589838" w:history="1">
            <w:r w:rsidR="006922A4" w:rsidRPr="00F30430">
              <w:rPr>
                <w:rStyle w:val="Hyperlink"/>
                <w:noProof/>
              </w:rPr>
              <w:t>Regulatory status</w:t>
            </w:r>
            <w:r w:rsidR="006922A4">
              <w:rPr>
                <w:noProof/>
                <w:webHidden/>
              </w:rPr>
              <w:tab/>
            </w:r>
            <w:r w:rsidR="006922A4">
              <w:rPr>
                <w:noProof/>
                <w:webHidden/>
              </w:rPr>
              <w:fldChar w:fldCharType="begin"/>
            </w:r>
            <w:r w:rsidR="006922A4">
              <w:rPr>
                <w:noProof/>
                <w:webHidden/>
              </w:rPr>
              <w:instrText xml:space="preserve"> PAGEREF _Toc103589838 \h </w:instrText>
            </w:r>
            <w:r w:rsidR="006922A4">
              <w:rPr>
                <w:noProof/>
                <w:webHidden/>
              </w:rPr>
            </w:r>
            <w:r w:rsidR="006922A4">
              <w:rPr>
                <w:noProof/>
                <w:webHidden/>
              </w:rPr>
              <w:fldChar w:fldCharType="separate"/>
            </w:r>
            <w:r w:rsidR="006922A4">
              <w:rPr>
                <w:noProof/>
                <w:webHidden/>
              </w:rPr>
              <w:t>11</w:t>
            </w:r>
            <w:r w:rsidR="006922A4">
              <w:rPr>
                <w:noProof/>
                <w:webHidden/>
              </w:rPr>
              <w:fldChar w:fldCharType="end"/>
            </w:r>
          </w:hyperlink>
        </w:p>
        <w:p w14:paraId="186DDA87" w14:textId="3942A1DF" w:rsidR="006922A4" w:rsidRDefault="006E3A15">
          <w:pPr>
            <w:pStyle w:val="TOC2"/>
            <w:rPr>
              <w:rFonts w:asciiTheme="minorHAnsi" w:eastAsiaTheme="minorEastAsia" w:hAnsiTheme="minorHAnsi" w:cstheme="minorBidi"/>
              <w:b w:val="0"/>
              <w:noProof/>
              <w:sz w:val="22"/>
              <w:lang w:eastAsia="en-AU"/>
            </w:rPr>
          </w:pPr>
          <w:hyperlink w:anchor="_Toc103589839" w:history="1">
            <w:r w:rsidR="006922A4" w:rsidRPr="00F30430">
              <w:rPr>
                <w:rStyle w:val="Hyperlink"/>
                <w:noProof/>
              </w:rPr>
              <w:t>Product Information</w:t>
            </w:r>
            <w:r w:rsidR="006922A4">
              <w:rPr>
                <w:noProof/>
                <w:webHidden/>
              </w:rPr>
              <w:tab/>
            </w:r>
            <w:r w:rsidR="006922A4">
              <w:rPr>
                <w:noProof/>
                <w:webHidden/>
              </w:rPr>
              <w:fldChar w:fldCharType="begin"/>
            </w:r>
            <w:r w:rsidR="006922A4">
              <w:rPr>
                <w:noProof/>
                <w:webHidden/>
              </w:rPr>
              <w:instrText xml:space="preserve"> PAGEREF _Toc103589839 \h </w:instrText>
            </w:r>
            <w:r w:rsidR="006922A4">
              <w:rPr>
                <w:noProof/>
                <w:webHidden/>
              </w:rPr>
            </w:r>
            <w:r w:rsidR="006922A4">
              <w:rPr>
                <w:noProof/>
                <w:webHidden/>
              </w:rPr>
              <w:fldChar w:fldCharType="separate"/>
            </w:r>
            <w:r w:rsidR="006922A4">
              <w:rPr>
                <w:noProof/>
                <w:webHidden/>
              </w:rPr>
              <w:t>13</w:t>
            </w:r>
            <w:r w:rsidR="006922A4">
              <w:rPr>
                <w:noProof/>
                <w:webHidden/>
              </w:rPr>
              <w:fldChar w:fldCharType="end"/>
            </w:r>
          </w:hyperlink>
        </w:p>
        <w:p w14:paraId="49651D4C" w14:textId="4D57C0D4" w:rsidR="006922A4" w:rsidRDefault="006E3A15">
          <w:pPr>
            <w:pStyle w:val="TOC1"/>
            <w:rPr>
              <w:rFonts w:asciiTheme="minorHAnsi" w:eastAsiaTheme="minorEastAsia" w:hAnsiTheme="minorHAnsi" w:cstheme="minorBidi"/>
              <w:b w:val="0"/>
              <w:noProof/>
              <w:sz w:val="22"/>
              <w:lang w:eastAsia="en-AU"/>
            </w:rPr>
          </w:pPr>
          <w:hyperlink w:anchor="_Toc103589840" w:history="1">
            <w:r w:rsidR="006922A4" w:rsidRPr="00F30430">
              <w:rPr>
                <w:rStyle w:val="Hyperlink"/>
                <w:noProof/>
              </w:rPr>
              <w:t>II. Registration timeline</w:t>
            </w:r>
            <w:r w:rsidR="006922A4">
              <w:rPr>
                <w:noProof/>
                <w:webHidden/>
              </w:rPr>
              <w:tab/>
            </w:r>
            <w:r w:rsidR="006922A4">
              <w:rPr>
                <w:noProof/>
                <w:webHidden/>
              </w:rPr>
              <w:fldChar w:fldCharType="begin"/>
            </w:r>
            <w:r w:rsidR="006922A4">
              <w:rPr>
                <w:noProof/>
                <w:webHidden/>
              </w:rPr>
              <w:instrText xml:space="preserve"> PAGEREF _Toc103589840 \h </w:instrText>
            </w:r>
            <w:r w:rsidR="006922A4">
              <w:rPr>
                <w:noProof/>
                <w:webHidden/>
              </w:rPr>
            </w:r>
            <w:r w:rsidR="006922A4">
              <w:rPr>
                <w:noProof/>
                <w:webHidden/>
              </w:rPr>
              <w:fldChar w:fldCharType="separate"/>
            </w:r>
            <w:r w:rsidR="006922A4">
              <w:rPr>
                <w:noProof/>
                <w:webHidden/>
              </w:rPr>
              <w:t>13</w:t>
            </w:r>
            <w:r w:rsidR="006922A4">
              <w:rPr>
                <w:noProof/>
                <w:webHidden/>
              </w:rPr>
              <w:fldChar w:fldCharType="end"/>
            </w:r>
          </w:hyperlink>
        </w:p>
        <w:p w14:paraId="4721C58D" w14:textId="7DC310D7" w:rsidR="006922A4" w:rsidRDefault="006E3A15">
          <w:pPr>
            <w:pStyle w:val="TOC1"/>
            <w:rPr>
              <w:rFonts w:asciiTheme="minorHAnsi" w:eastAsiaTheme="minorEastAsia" w:hAnsiTheme="minorHAnsi" w:cstheme="minorBidi"/>
              <w:b w:val="0"/>
              <w:noProof/>
              <w:sz w:val="22"/>
              <w:lang w:eastAsia="en-AU"/>
            </w:rPr>
          </w:pPr>
          <w:hyperlink w:anchor="_Toc103589841" w:history="1">
            <w:r w:rsidR="006922A4" w:rsidRPr="00F30430">
              <w:rPr>
                <w:rStyle w:val="Hyperlink"/>
                <w:noProof/>
              </w:rPr>
              <w:t>III. Submission overview and risk/benefit assessment</w:t>
            </w:r>
            <w:r w:rsidR="006922A4">
              <w:rPr>
                <w:noProof/>
                <w:webHidden/>
              </w:rPr>
              <w:tab/>
            </w:r>
            <w:r w:rsidR="006922A4">
              <w:rPr>
                <w:noProof/>
                <w:webHidden/>
              </w:rPr>
              <w:fldChar w:fldCharType="begin"/>
            </w:r>
            <w:r w:rsidR="006922A4">
              <w:rPr>
                <w:noProof/>
                <w:webHidden/>
              </w:rPr>
              <w:instrText xml:space="preserve"> PAGEREF _Toc103589841 \h </w:instrText>
            </w:r>
            <w:r w:rsidR="006922A4">
              <w:rPr>
                <w:noProof/>
                <w:webHidden/>
              </w:rPr>
            </w:r>
            <w:r w:rsidR="006922A4">
              <w:rPr>
                <w:noProof/>
                <w:webHidden/>
              </w:rPr>
              <w:fldChar w:fldCharType="separate"/>
            </w:r>
            <w:r w:rsidR="006922A4">
              <w:rPr>
                <w:noProof/>
                <w:webHidden/>
              </w:rPr>
              <w:t>14</w:t>
            </w:r>
            <w:r w:rsidR="006922A4">
              <w:rPr>
                <w:noProof/>
                <w:webHidden/>
              </w:rPr>
              <w:fldChar w:fldCharType="end"/>
            </w:r>
          </w:hyperlink>
        </w:p>
        <w:p w14:paraId="75A47D00" w14:textId="4089584A" w:rsidR="006922A4" w:rsidRDefault="006E3A15">
          <w:pPr>
            <w:pStyle w:val="TOC2"/>
            <w:rPr>
              <w:rFonts w:asciiTheme="minorHAnsi" w:eastAsiaTheme="minorEastAsia" w:hAnsiTheme="minorHAnsi" w:cstheme="minorBidi"/>
              <w:b w:val="0"/>
              <w:noProof/>
              <w:sz w:val="22"/>
              <w:lang w:eastAsia="en-AU"/>
            </w:rPr>
          </w:pPr>
          <w:hyperlink w:anchor="_Toc103589842" w:history="1">
            <w:r w:rsidR="006922A4" w:rsidRPr="00F30430">
              <w:rPr>
                <w:rStyle w:val="Hyperlink"/>
                <w:noProof/>
              </w:rPr>
              <w:t>Quality</w:t>
            </w:r>
            <w:r w:rsidR="006922A4">
              <w:rPr>
                <w:noProof/>
                <w:webHidden/>
              </w:rPr>
              <w:tab/>
            </w:r>
            <w:r w:rsidR="006922A4">
              <w:rPr>
                <w:noProof/>
                <w:webHidden/>
              </w:rPr>
              <w:fldChar w:fldCharType="begin"/>
            </w:r>
            <w:r w:rsidR="006922A4">
              <w:rPr>
                <w:noProof/>
                <w:webHidden/>
              </w:rPr>
              <w:instrText xml:space="preserve"> PAGEREF _Toc103589842 \h </w:instrText>
            </w:r>
            <w:r w:rsidR="006922A4">
              <w:rPr>
                <w:noProof/>
                <w:webHidden/>
              </w:rPr>
            </w:r>
            <w:r w:rsidR="006922A4">
              <w:rPr>
                <w:noProof/>
                <w:webHidden/>
              </w:rPr>
              <w:fldChar w:fldCharType="separate"/>
            </w:r>
            <w:r w:rsidR="006922A4">
              <w:rPr>
                <w:noProof/>
                <w:webHidden/>
              </w:rPr>
              <w:t>14</w:t>
            </w:r>
            <w:r w:rsidR="006922A4">
              <w:rPr>
                <w:noProof/>
                <w:webHidden/>
              </w:rPr>
              <w:fldChar w:fldCharType="end"/>
            </w:r>
          </w:hyperlink>
        </w:p>
        <w:p w14:paraId="425C4D7B" w14:textId="2C81F13E" w:rsidR="006922A4" w:rsidRDefault="006E3A15">
          <w:pPr>
            <w:pStyle w:val="TOC2"/>
            <w:rPr>
              <w:rFonts w:asciiTheme="minorHAnsi" w:eastAsiaTheme="minorEastAsia" w:hAnsiTheme="minorHAnsi" w:cstheme="minorBidi"/>
              <w:b w:val="0"/>
              <w:noProof/>
              <w:sz w:val="22"/>
              <w:lang w:eastAsia="en-AU"/>
            </w:rPr>
          </w:pPr>
          <w:hyperlink w:anchor="_Toc103589843" w:history="1">
            <w:r w:rsidR="006922A4" w:rsidRPr="00F30430">
              <w:rPr>
                <w:rStyle w:val="Hyperlink"/>
                <w:noProof/>
              </w:rPr>
              <w:t>Nonclinical</w:t>
            </w:r>
            <w:r w:rsidR="006922A4">
              <w:rPr>
                <w:noProof/>
                <w:webHidden/>
              </w:rPr>
              <w:tab/>
            </w:r>
            <w:r w:rsidR="006922A4">
              <w:rPr>
                <w:noProof/>
                <w:webHidden/>
              </w:rPr>
              <w:fldChar w:fldCharType="begin"/>
            </w:r>
            <w:r w:rsidR="006922A4">
              <w:rPr>
                <w:noProof/>
                <w:webHidden/>
              </w:rPr>
              <w:instrText xml:space="preserve"> PAGEREF _Toc103589843 \h </w:instrText>
            </w:r>
            <w:r w:rsidR="006922A4">
              <w:rPr>
                <w:noProof/>
                <w:webHidden/>
              </w:rPr>
            </w:r>
            <w:r w:rsidR="006922A4">
              <w:rPr>
                <w:noProof/>
                <w:webHidden/>
              </w:rPr>
              <w:fldChar w:fldCharType="separate"/>
            </w:r>
            <w:r w:rsidR="006922A4">
              <w:rPr>
                <w:noProof/>
                <w:webHidden/>
              </w:rPr>
              <w:t>15</w:t>
            </w:r>
            <w:r w:rsidR="006922A4">
              <w:rPr>
                <w:noProof/>
                <w:webHidden/>
              </w:rPr>
              <w:fldChar w:fldCharType="end"/>
            </w:r>
          </w:hyperlink>
        </w:p>
        <w:p w14:paraId="6A15317C" w14:textId="53E60F3D" w:rsidR="006922A4" w:rsidRDefault="006E3A15">
          <w:pPr>
            <w:pStyle w:val="TOC2"/>
            <w:rPr>
              <w:rFonts w:asciiTheme="minorHAnsi" w:eastAsiaTheme="minorEastAsia" w:hAnsiTheme="minorHAnsi" w:cstheme="minorBidi"/>
              <w:b w:val="0"/>
              <w:noProof/>
              <w:sz w:val="22"/>
              <w:lang w:eastAsia="en-AU"/>
            </w:rPr>
          </w:pPr>
          <w:hyperlink w:anchor="_Toc103589844" w:history="1">
            <w:r w:rsidR="006922A4" w:rsidRPr="00F30430">
              <w:rPr>
                <w:rStyle w:val="Hyperlink"/>
                <w:noProof/>
              </w:rPr>
              <w:t>Clinical</w:t>
            </w:r>
            <w:r w:rsidR="006922A4">
              <w:rPr>
                <w:noProof/>
                <w:webHidden/>
              </w:rPr>
              <w:tab/>
            </w:r>
            <w:r w:rsidR="006922A4">
              <w:rPr>
                <w:noProof/>
                <w:webHidden/>
              </w:rPr>
              <w:fldChar w:fldCharType="begin"/>
            </w:r>
            <w:r w:rsidR="006922A4">
              <w:rPr>
                <w:noProof/>
                <w:webHidden/>
              </w:rPr>
              <w:instrText xml:space="preserve"> PAGEREF _Toc103589844 \h </w:instrText>
            </w:r>
            <w:r w:rsidR="006922A4">
              <w:rPr>
                <w:noProof/>
                <w:webHidden/>
              </w:rPr>
            </w:r>
            <w:r w:rsidR="006922A4">
              <w:rPr>
                <w:noProof/>
                <w:webHidden/>
              </w:rPr>
              <w:fldChar w:fldCharType="separate"/>
            </w:r>
            <w:r w:rsidR="006922A4">
              <w:rPr>
                <w:noProof/>
                <w:webHidden/>
              </w:rPr>
              <w:t>16</w:t>
            </w:r>
            <w:r w:rsidR="006922A4">
              <w:rPr>
                <w:noProof/>
                <w:webHidden/>
              </w:rPr>
              <w:fldChar w:fldCharType="end"/>
            </w:r>
          </w:hyperlink>
        </w:p>
        <w:p w14:paraId="4A185F07" w14:textId="190A73C7" w:rsidR="006922A4" w:rsidRDefault="006E3A15">
          <w:pPr>
            <w:pStyle w:val="TOC2"/>
            <w:rPr>
              <w:rFonts w:asciiTheme="minorHAnsi" w:eastAsiaTheme="minorEastAsia" w:hAnsiTheme="minorHAnsi" w:cstheme="minorBidi"/>
              <w:b w:val="0"/>
              <w:noProof/>
              <w:sz w:val="22"/>
              <w:lang w:eastAsia="en-AU"/>
            </w:rPr>
          </w:pPr>
          <w:hyperlink w:anchor="_Toc103589845" w:history="1">
            <w:r w:rsidR="006922A4" w:rsidRPr="00F30430">
              <w:rPr>
                <w:rStyle w:val="Hyperlink"/>
                <w:noProof/>
                <w:lang w:eastAsia="en-AU"/>
              </w:rPr>
              <w:t>Risk management plan</w:t>
            </w:r>
            <w:r w:rsidR="006922A4">
              <w:rPr>
                <w:noProof/>
                <w:webHidden/>
              </w:rPr>
              <w:tab/>
            </w:r>
            <w:r w:rsidR="006922A4">
              <w:rPr>
                <w:noProof/>
                <w:webHidden/>
              </w:rPr>
              <w:fldChar w:fldCharType="begin"/>
            </w:r>
            <w:r w:rsidR="006922A4">
              <w:rPr>
                <w:noProof/>
                <w:webHidden/>
              </w:rPr>
              <w:instrText xml:space="preserve"> PAGEREF _Toc103589845 \h </w:instrText>
            </w:r>
            <w:r w:rsidR="006922A4">
              <w:rPr>
                <w:noProof/>
                <w:webHidden/>
              </w:rPr>
            </w:r>
            <w:r w:rsidR="006922A4">
              <w:rPr>
                <w:noProof/>
                <w:webHidden/>
              </w:rPr>
              <w:fldChar w:fldCharType="separate"/>
            </w:r>
            <w:r w:rsidR="006922A4">
              <w:rPr>
                <w:noProof/>
                <w:webHidden/>
              </w:rPr>
              <w:t>32</w:t>
            </w:r>
            <w:r w:rsidR="006922A4">
              <w:rPr>
                <w:noProof/>
                <w:webHidden/>
              </w:rPr>
              <w:fldChar w:fldCharType="end"/>
            </w:r>
          </w:hyperlink>
        </w:p>
        <w:p w14:paraId="2402687C" w14:textId="33789CDA" w:rsidR="006922A4" w:rsidRDefault="006E3A15">
          <w:pPr>
            <w:pStyle w:val="TOC2"/>
            <w:rPr>
              <w:rFonts w:asciiTheme="minorHAnsi" w:eastAsiaTheme="minorEastAsia" w:hAnsiTheme="minorHAnsi" w:cstheme="minorBidi"/>
              <w:b w:val="0"/>
              <w:noProof/>
              <w:sz w:val="22"/>
              <w:lang w:eastAsia="en-AU"/>
            </w:rPr>
          </w:pPr>
          <w:hyperlink w:anchor="_Toc103589846" w:history="1">
            <w:r w:rsidR="006922A4" w:rsidRPr="00F30430">
              <w:rPr>
                <w:rStyle w:val="Hyperlink"/>
                <w:noProof/>
              </w:rPr>
              <w:t>Risk-benefit analysis</w:t>
            </w:r>
            <w:r w:rsidR="006922A4">
              <w:rPr>
                <w:noProof/>
                <w:webHidden/>
              </w:rPr>
              <w:tab/>
            </w:r>
            <w:r w:rsidR="006922A4">
              <w:rPr>
                <w:noProof/>
                <w:webHidden/>
              </w:rPr>
              <w:fldChar w:fldCharType="begin"/>
            </w:r>
            <w:r w:rsidR="006922A4">
              <w:rPr>
                <w:noProof/>
                <w:webHidden/>
              </w:rPr>
              <w:instrText xml:space="preserve"> PAGEREF _Toc103589846 \h </w:instrText>
            </w:r>
            <w:r w:rsidR="006922A4">
              <w:rPr>
                <w:noProof/>
                <w:webHidden/>
              </w:rPr>
            </w:r>
            <w:r w:rsidR="006922A4">
              <w:rPr>
                <w:noProof/>
                <w:webHidden/>
              </w:rPr>
              <w:fldChar w:fldCharType="separate"/>
            </w:r>
            <w:r w:rsidR="006922A4">
              <w:rPr>
                <w:noProof/>
                <w:webHidden/>
              </w:rPr>
              <w:t>35</w:t>
            </w:r>
            <w:r w:rsidR="006922A4">
              <w:rPr>
                <w:noProof/>
                <w:webHidden/>
              </w:rPr>
              <w:fldChar w:fldCharType="end"/>
            </w:r>
          </w:hyperlink>
        </w:p>
        <w:p w14:paraId="0B6F27D4" w14:textId="755EB4BD" w:rsidR="006922A4" w:rsidRDefault="006E3A15">
          <w:pPr>
            <w:pStyle w:val="TOC2"/>
            <w:rPr>
              <w:rFonts w:asciiTheme="minorHAnsi" w:eastAsiaTheme="minorEastAsia" w:hAnsiTheme="minorHAnsi" w:cstheme="minorBidi"/>
              <w:b w:val="0"/>
              <w:noProof/>
              <w:sz w:val="22"/>
              <w:lang w:eastAsia="en-AU"/>
            </w:rPr>
          </w:pPr>
          <w:hyperlink w:anchor="_Toc103589847" w:history="1">
            <w:r w:rsidR="006922A4" w:rsidRPr="00F30430">
              <w:rPr>
                <w:rStyle w:val="Hyperlink"/>
                <w:noProof/>
              </w:rPr>
              <w:t>Outcome</w:t>
            </w:r>
            <w:r w:rsidR="006922A4">
              <w:rPr>
                <w:noProof/>
                <w:webHidden/>
              </w:rPr>
              <w:tab/>
            </w:r>
            <w:r w:rsidR="006922A4">
              <w:rPr>
                <w:noProof/>
                <w:webHidden/>
              </w:rPr>
              <w:fldChar w:fldCharType="begin"/>
            </w:r>
            <w:r w:rsidR="006922A4">
              <w:rPr>
                <w:noProof/>
                <w:webHidden/>
              </w:rPr>
              <w:instrText xml:space="preserve"> PAGEREF _Toc103589847 \h </w:instrText>
            </w:r>
            <w:r w:rsidR="006922A4">
              <w:rPr>
                <w:noProof/>
                <w:webHidden/>
              </w:rPr>
            </w:r>
            <w:r w:rsidR="006922A4">
              <w:rPr>
                <w:noProof/>
                <w:webHidden/>
              </w:rPr>
              <w:fldChar w:fldCharType="separate"/>
            </w:r>
            <w:r w:rsidR="006922A4">
              <w:rPr>
                <w:noProof/>
                <w:webHidden/>
              </w:rPr>
              <w:t>37</w:t>
            </w:r>
            <w:r w:rsidR="006922A4">
              <w:rPr>
                <w:noProof/>
                <w:webHidden/>
              </w:rPr>
              <w:fldChar w:fldCharType="end"/>
            </w:r>
          </w:hyperlink>
        </w:p>
        <w:p w14:paraId="4257AE22" w14:textId="548142A1" w:rsidR="006922A4" w:rsidRDefault="006E3A15">
          <w:pPr>
            <w:pStyle w:val="TOC1"/>
            <w:rPr>
              <w:rFonts w:asciiTheme="minorHAnsi" w:eastAsiaTheme="minorEastAsia" w:hAnsiTheme="minorHAnsi" w:cstheme="minorBidi"/>
              <w:b w:val="0"/>
              <w:noProof/>
              <w:sz w:val="22"/>
              <w:lang w:eastAsia="en-AU"/>
            </w:rPr>
          </w:pPr>
          <w:hyperlink w:anchor="_Toc103589848" w:history="1">
            <w:r w:rsidR="006922A4" w:rsidRPr="00F30430">
              <w:rPr>
                <w:rStyle w:val="Hyperlink"/>
                <w:noProof/>
              </w:rPr>
              <w:t>Attachment 1. Product Information</w:t>
            </w:r>
            <w:r w:rsidR="006922A4">
              <w:rPr>
                <w:noProof/>
                <w:webHidden/>
              </w:rPr>
              <w:tab/>
            </w:r>
            <w:r w:rsidR="006922A4">
              <w:rPr>
                <w:noProof/>
                <w:webHidden/>
              </w:rPr>
              <w:fldChar w:fldCharType="begin"/>
            </w:r>
            <w:r w:rsidR="006922A4">
              <w:rPr>
                <w:noProof/>
                <w:webHidden/>
              </w:rPr>
              <w:instrText xml:space="preserve"> PAGEREF _Toc103589848 \h </w:instrText>
            </w:r>
            <w:r w:rsidR="006922A4">
              <w:rPr>
                <w:noProof/>
                <w:webHidden/>
              </w:rPr>
            </w:r>
            <w:r w:rsidR="006922A4">
              <w:rPr>
                <w:noProof/>
                <w:webHidden/>
              </w:rPr>
              <w:fldChar w:fldCharType="separate"/>
            </w:r>
            <w:r w:rsidR="006922A4">
              <w:rPr>
                <w:noProof/>
                <w:webHidden/>
              </w:rPr>
              <w:t>38</w:t>
            </w:r>
            <w:r w:rsidR="006922A4">
              <w:rPr>
                <w:noProof/>
                <w:webHidden/>
              </w:rPr>
              <w:fldChar w:fldCharType="end"/>
            </w:r>
          </w:hyperlink>
        </w:p>
        <w:p w14:paraId="44C747ED" w14:textId="38C01815" w:rsidR="003A7F6C" w:rsidRPr="00B811C6" w:rsidRDefault="00C525A2" w:rsidP="00B811C6">
          <w:pPr>
            <w:pStyle w:val="TOC2"/>
          </w:pPr>
          <w:r>
            <w:fldChar w:fldCharType="end"/>
          </w:r>
        </w:p>
      </w:sdtContent>
    </w:sdt>
    <w:bookmarkStart w:id="5" w:name="_Toc314842482" w:displacedByCustomXml="prev"/>
    <w:p w14:paraId="2C1F3560" w14:textId="77777777" w:rsidR="00FD119B" w:rsidRDefault="00FD119B">
      <w:pPr>
        <w:spacing w:before="0" w:after="200" w:line="0" w:lineRule="auto"/>
      </w:pPr>
      <w:r>
        <w:br w:type="page"/>
      </w:r>
    </w:p>
    <w:p w14:paraId="383D8B2A" w14:textId="5E44F22E" w:rsidR="00C52E24" w:rsidRPr="00C52E24" w:rsidRDefault="00324E45" w:rsidP="006002CD">
      <w:pPr>
        <w:pStyle w:val="Heading2"/>
      </w:pPr>
      <w:bookmarkStart w:id="6" w:name="_Toc351716269"/>
      <w:bookmarkStart w:id="7" w:name="_Toc351718881"/>
      <w:bookmarkStart w:id="8" w:name="_Toc355338616"/>
      <w:bookmarkStart w:id="9" w:name="_Toc356306144"/>
      <w:bookmarkStart w:id="10" w:name="_Toc103589834"/>
      <w:r>
        <w:lastRenderedPageBreak/>
        <w:t>List of</w:t>
      </w:r>
      <w:r w:rsidR="00FD119B" w:rsidRPr="00FD119B">
        <w:t xml:space="preserve"> abbreviations</w:t>
      </w:r>
      <w:bookmarkEnd w:id="6"/>
      <w:bookmarkEnd w:id="7"/>
      <w:bookmarkEnd w:id="8"/>
      <w:bookmarkEnd w:id="9"/>
      <w:bookmarkEnd w:id="10"/>
    </w:p>
    <w:tbl>
      <w:tblPr>
        <w:tblStyle w:val="TableTGAblue"/>
        <w:tblW w:w="0" w:type="auto"/>
        <w:tblLook w:val="04A0" w:firstRow="1" w:lastRow="0" w:firstColumn="1" w:lastColumn="0" w:noHBand="0" w:noVBand="1"/>
      </w:tblPr>
      <w:tblGrid>
        <w:gridCol w:w="1975"/>
        <w:gridCol w:w="6519"/>
      </w:tblGrid>
      <w:tr w:rsidR="00A14C8E" w:rsidRPr="00FD119B" w14:paraId="73C72D2D" w14:textId="77777777" w:rsidTr="000D2D71">
        <w:trPr>
          <w:cnfStyle w:val="100000000000" w:firstRow="1" w:lastRow="0" w:firstColumn="0" w:lastColumn="0" w:oddVBand="0" w:evenVBand="0" w:oddHBand="0" w:evenHBand="0" w:firstRowFirstColumn="0" w:firstRowLastColumn="0" w:lastRowFirstColumn="0" w:lastRowLastColumn="0"/>
        </w:trPr>
        <w:tc>
          <w:tcPr>
            <w:tcW w:w="1975" w:type="dxa"/>
            <w:tcBorders>
              <w:top w:val="single" w:sz="4" w:space="0" w:color="auto"/>
              <w:left w:val="single" w:sz="4" w:space="0" w:color="auto"/>
              <w:bottom w:val="single" w:sz="4" w:space="0" w:color="auto"/>
              <w:right w:val="single" w:sz="4" w:space="0" w:color="auto"/>
            </w:tcBorders>
          </w:tcPr>
          <w:p w14:paraId="0C1AC1D9" w14:textId="77777777" w:rsidR="00A14C8E" w:rsidRPr="00FD119B" w:rsidRDefault="00A14C8E" w:rsidP="007510EC">
            <w:pPr>
              <w:keepNext w:val="0"/>
              <w:ind w:left="0" w:right="0"/>
              <w:rPr>
                <w:szCs w:val="22"/>
                <w:lang w:eastAsia="en-US"/>
              </w:rPr>
            </w:pPr>
            <w:bookmarkStart w:id="11" w:name="_Hlk103256349"/>
            <w:r w:rsidRPr="00FD119B">
              <w:rPr>
                <w:szCs w:val="22"/>
                <w:lang w:eastAsia="en-US"/>
              </w:rPr>
              <w:t>Abbreviation</w:t>
            </w:r>
          </w:p>
        </w:tc>
        <w:tc>
          <w:tcPr>
            <w:tcW w:w="6519" w:type="dxa"/>
            <w:tcBorders>
              <w:top w:val="single" w:sz="4" w:space="0" w:color="auto"/>
              <w:left w:val="single" w:sz="4" w:space="0" w:color="auto"/>
              <w:bottom w:val="single" w:sz="4" w:space="0" w:color="auto"/>
              <w:right w:val="single" w:sz="4" w:space="0" w:color="auto"/>
            </w:tcBorders>
          </w:tcPr>
          <w:p w14:paraId="798B65A4" w14:textId="77777777" w:rsidR="00A14C8E" w:rsidRPr="00FD119B" w:rsidRDefault="00A14C8E" w:rsidP="007510EC">
            <w:pPr>
              <w:keepNext w:val="0"/>
              <w:ind w:left="0" w:right="0"/>
              <w:rPr>
                <w:szCs w:val="22"/>
                <w:lang w:eastAsia="en-US"/>
              </w:rPr>
            </w:pPr>
            <w:r w:rsidRPr="00FD119B">
              <w:rPr>
                <w:szCs w:val="22"/>
                <w:lang w:eastAsia="en-US"/>
              </w:rPr>
              <w:t>Meaning</w:t>
            </w:r>
          </w:p>
        </w:tc>
      </w:tr>
      <w:tr w:rsidR="00A14C8E" w:rsidRPr="00FD119B" w14:paraId="48C20381" w14:textId="77777777" w:rsidTr="000D2D71">
        <w:tc>
          <w:tcPr>
            <w:tcW w:w="1975" w:type="dxa"/>
          </w:tcPr>
          <w:p w14:paraId="3B1D0711" w14:textId="77777777" w:rsidR="00A14C8E" w:rsidRDefault="00A14C8E" w:rsidP="007510EC">
            <w:r>
              <w:t>ADA</w:t>
            </w:r>
          </w:p>
        </w:tc>
        <w:tc>
          <w:tcPr>
            <w:tcW w:w="6519" w:type="dxa"/>
          </w:tcPr>
          <w:p w14:paraId="63A4EA6B" w14:textId="4F19FEDC" w:rsidR="00A14C8E" w:rsidRDefault="00A14C8E" w:rsidP="007510EC">
            <w:r>
              <w:t>Anti-drug antibod</w:t>
            </w:r>
            <w:r w:rsidR="002527F7">
              <w:t>y</w:t>
            </w:r>
          </w:p>
        </w:tc>
      </w:tr>
      <w:tr w:rsidR="00A14C8E" w:rsidRPr="00FD119B" w14:paraId="122BA67F" w14:textId="77777777" w:rsidTr="000D2D71">
        <w:tc>
          <w:tcPr>
            <w:tcW w:w="1975" w:type="dxa"/>
          </w:tcPr>
          <w:p w14:paraId="560D56A3" w14:textId="77777777" w:rsidR="00A14C8E" w:rsidRDefault="00A14C8E" w:rsidP="007510EC">
            <w:r>
              <w:t>ADCC</w:t>
            </w:r>
          </w:p>
        </w:tc>
        <w:tc>
          <w:tcPr>
            <w:tcW w:w="6519" w:type="dxa"/>
          </w:tcPr>
          <w:p w14:paraId="58C17ED5" w14:textId="77777777" w:rsidR="00A14C8E" w:rsidRDefault="00A14C8E" w:rsidP="007510EC">
            <w:r>
              <w:t>A</w:t>
            </w:r>
            <w:r w:rsidRPr="00253B70">
              <w:t>ntibody dependent cellular cytotoxic</w:t>
            </w:r>
          </w:p>
        </w:tc>
      </w:tr>
      <w:tr w:rsidR="00A14C8E" w:rsidRPr="00FD119B" w14:paraId="4574BD80" w14:textId="77777777" w:rsidTr="000D2D71">
        <w:tc>
          <w:tcPr>
            <w:tcW w:w="1975" w:type="dxa"/>
          </w:tcPr>
          <w:p w14:paraId="2F9F05F1" w14:textId="77777777" w:rsidR="00A14C8E" w:rsidRDefault="00A14C8E" w:rsidP="007510EC">
            <w:r>
              <w:t>AE</w:t>
            </w:r>
          </w:p>
        </w:tc>
        <w:tc>
          <w:tcPr>
            <w:tcW w:w="6519" w:type="dxa"/>
          </w:tcPr>
          <w:p w14:paraId="02B3C40C" w14:textId="77777777" w:rsidR="00A14C8E" w:rsidRDefault="00A14C8E" w:rsidP="007510EC">
            <w:r>
              <w:t>Adverse event</w:t>
            </w:r>
          </w:p>
        </w:tc>
      </w:tr>
      <w:tr w:rsidR="00A14C8E" w:rsidRPr="00FD119B" w14:paraId="4C3CD13C" w14:textId="77777777" w:rsidTr="000D2D71">
        <w:tc>
          <w:tcPr>
            <w:tcW w:w="1975" w:type="dxa"/>
          </w:tcPr>
          <w:p w14:paraId="2A96B9BC" w14:textId="77777777" w:rsidR="00A14C8E" w:rsidRPr="00FD119B" w:rsidRDefault="00A14C8E" w:rsidP="007510EC">
            <w:r>
              <w:t>ARTG</w:t>
            </w:r>
          </w:p>
        </w:tc>
        <w:tc>
          <w:tcPr>
            <w:tcW w:w="6519" w:type="dxa"/>
          </w:tcPr>
          <w:p w14:paraId="736030CB" w14:textId="77777777" w:rsidR="00A14C8E" w:rsidRPr="00FD119B" w:rsidRDefault="00A14C8E" w:rsidP="007510EC">
            <w:r w:rsidRPr="00460036">
              <w:t>Australian Register of Therapeutic Goods</w:t>
            </w:r>
          </w:p>
        </w:tc>
      </w:tr>
      <w:tr w:rsidR="00A14C8E" w:rsidRPr="00FD119B" w14:paraId="34DB925A" w14:textId="77777777" w:rsidTr="000D2D71">
        <w:tc>
          <w:tcPr>
            <w:tcW w:w="1975" w:type="dxa"/>
          </w:tcPr>
          <w:p w14:paraId="5433BD71" w14:textId="77777777" w:rsidR="00A14C8E" w:rsidRDefault="00A14C8E" w:rsidP="007510EC">
            <w:r>
              <w:t>ASA</w:t>
            </w:r>
          </w:p>
        </w:tc>
        <w:tc>
          <w:tcPr>
            <w:tcW w:w="6519" w:type="dxa"/>
          </w:tcPr>
          <w:p w14:paraId="5FF77F4D" w14:textId="77777777" w:rsidR="00A14C8E" w:rsidRDefault="00A14C8E" w:rsidP="007510EC">
            <w:r>
              <w:t>Australia specific annex</w:t>
            </w:r>
          </w:p>
        </w:tc>
      </w:tr>
      <w:tr w:rsidR="00A14C8E" w:rsidRPr="00FD119B" w14:paraId="39219CE4" w14:textId="77777777" w:rsidTr="000D2D71">
        <w:tc>
          <w:tcPr>
            <w:tcW w:w="1975" w:type="dxa"/>
          </w:tcPr>
          <w:p w14:paraId="668A5751" w14:textId="77777777" w:rsidR="00A14C8E" w:rsidRDefault="00A14C8E" w:rsidP="007510EC">
            <w:r>
              <w:t>AUC</w:t>
            </w:r>
          </w:p>
        </w:tc>
        <w:tc>
          <w:tcPr>
            <w:tcW w:w="6519" w:type="dxa"/>
          </w:tcPr>
          <w:p w14:paraId="6444A959" w14:textId="77777777" w:rsidR="00A14C8E" w:rsidRDefault="00A14C8E" w:rsidP="007510EC">
            <w:r>
              <w:rPr>
                <w:rFonts w:cs="Calibri"/>
                <w:color w:val="000000"/>
                <w:szCs w:val="22"/>
              </w:rPr>
              <w:t>A</w:t>
            </w:r>
            <w:r w:rsidRPr="002B01B1">
              <w:rPr>
                <w:rFonts w:cs="Calibri"/>
                <w:color w:val="000000"/>
                <w:szCs w:val="22"/>
              </w:rPr>
              <w:t>rea under the concentration time curve</w:t>
            </w:r>
          </w:p>
        </w:tc>
      </w:tr>
      <w:tr w:rsidR="00A14C8E" w:rsidRPr="00FD119B" w14:paraId="0757CA59" w14:textId="77777777" w:rsidTr="000D2D71">
        <w:tc>
          <w:tcPr>
            <w:tcW w:w="1975" w:type="dxa"/>
          </w:tcPr>
          <w:p w14:paraId="598C9D56" w14:textId="77777777" w:rsidR="00A14C8E" w:rsidRDefault="00A14C8E" w:rsidP="007510EC">
            <w:r w:rsidRPr="00155E5D">
              <w:t>AUC</w:t>
            </w:r>
            <w:r w:rsidRPr="00D27078">
              <w:rPr>
                <w:vertAlign w:val="subscript"/>
              </w:rPr>
              <w:t>0-21days</w:t>
            </w:r>
          </w:p>
        </w:tc>
        <w:tc>
          <w:tcPr>
            <w:tcW w:w="6519" w:type="dxa"/>
          </w:tcPr>
          <w:p w14:paraId="027CC32A" w14:textId="1894E50E" w:rsidR="00A14C8E" w:rsidRDefault="00A14C8E" w:rsidP="007510EC">
            <w:r w:rsidRPr="002B01B1">
              <w:rPr>
                <w:rFonts w:cs="Calibri"/>
                <w:color w:val="000000"/>
                <w:szCs w:val="22"/>
              </w:rPr>
              <w:t xml:space="preserve">Area under the concentration time curve </w:t>
            </w:r>
            <w:r>
              <w:rPr>
                <w:rFonts w:cs="Calibri"/>
                <w:color w:val="000000"/>
                <w:szCs w:val="22"/>
              </w:rPr>
              <w:t>from time zero to 21</w:t>
            </w:r>
            <w:r w:rsidR="002527F7">
              <w:rPr>
                <w:rFonts w:cs="Calibri"/>
                <w:color w:val="000000"/>
                <w:szCs w:val="22"/>
              </w:rPr>
              <w:t> </w:t>
            </w:r>
            <w:r>
              <w:rPr>
                <w:rFonts w:cs="Calibri"/>
                <w:color w:val="000000"/>
                <w:szCs w:val="22"/>
              </w:rPr>
              <w:t>days</w:t>
            </w:r>
          </w:p>
        </w:tc>
      </w:tr>
      <w:tr w:rsidR="00A14C8E" w:rsidRPr="00FD119B" w14:paraId="21F5C5BD" w14:textId="77777777" w:rsidTr="000D2D71">
        <w:tc>
          <w:tcPr>
            <w:tcW w:w="1975" w:type="dxa"/>
          </w:tcPr>
          <w:p w14:paraId="4DFA72A1" w14:textId="77777777" w:rsidR="00A14C8E" w:rsidRDefault="00A14C8E" w:rsidP="007510EC">
            <w:r>
              <w:t>AUC</w:t>
            </w:r>
            <w:r w:rsidRPr="00A85359">
              <w:rPr>
                <w:vertAlign w:val="subscript"/>
              </w:rPr>
              <w:t>tau</w:t>
            </w:r>
          </w:p>
        </w:tc>
        <w:tc>
          <w:tcPr>
            <w:tcW w:w="6519" w:type="dxa"/>
          </w:tcPr>
          <w:p w14:paraId="1C0C6119" w14:textId="77777777" w:rsidR="00A14C8E" w:rsidRDefault="00A14C8E" w:rsidP="007510EC">
            <w:r>
              <w:t>A</w:t>
            </w:r>
            <w:r w:rsidRPr="00155E5D">
              <w:t>rea under the concentratio</w:t>
            </w:r>
            <w:r>
              <w:t xml:space="preserve">n </w:t>
            </w:r>
            <w:r w:rsidRPr="00155E5D">
              <w:t>time curve during the dosing interval</w:t>
            </w:r>
          </w:p>
        </w:tc>
      </w:tr>
      <w:tr w:rsidR="00A14C8E" w:rsidRPr="00FD119B" w14:paraId="283B1D7D" w14:textId="77777777" w:rsidTr="000D2D71">
        <w:tc>
          <w:tcPr>
            <w:tcW w:w="1975" w:type="dxa"/>
          </w:tcPr>
          <w:p w14:paraId="6CAFAC57" w14:textId="77777777" w:rsidR="00A14C8E" w:rsidRPr="00155E5D" w:rsidRDefault="00A14C8E" w:rsidP="007510EC">
            <w:r>
              <w:t>BOR</w:t>
            </w:r>
          </w:p>
        </w:tc>
        <w:tc>
          <w:tcPr>
            <w:tcW w:w="6519" w:type="dxa"/>
          </w:tcPr>
          <w:p w14:paraId="2A7366CA" w14:textId="77777777" w:rsidR="00A14C8E" w:rsidRDefault="00A14C8E" w:rsidP="007510EC">
            <w:r>
              <w:t>Best overall response</w:t>
            </w:r>
          </w:p>
        </w:tc>
      </w:tr>
      <w:tr w:rsidR="00A14C8E" w:rsidRPr="00FD119B" w14:paraId="180ADB36" w14:textId="77777777" w:rsidTr="000D2D71">
        <w:tc>
          <w:tcPr>
            <w:tcW w:w="1975" w:type="dxa"/>
          </w:tcPr>
          <w:p w14:paraId="7EE71089" w14:textId="77777777" w:rsidR="00A14C8E" w:rsidRDefault="00A14C8E" w:rsidP="007510EC">
            <w:proofErr w:type="spellStart"/>
            <w:r w:rsidRPr="00155E5D">
              <w:t>C</w:t>
            </w:r>
            <w:r w:rsidRPr="002C414F">
              <w:rPr>
                <w:vertAlign w:val="subscript"/>
              </w:rPr>
              <w:t>avg</w:t>
            </w:r>
            <w:proofErr w:type="spellEnd"/>
          </w:p>
        </w:tc>
        <w:tc>
          <w:tcPr>
            <w:tcW w:w="6519" w:type="dxa"/>
          </w:tcPr>
          <w:p w14:paraId="01724698" w14:textId="77777777" w:rsidR="00A14C8E" w:rsidRDefault="00A14C8E" w:rsidP="007510EC">
            <w:r>
              <w:t>Average concentration</w:t>
            </w:r>
          </w:p>
        </w:tc>
      </w:tr>
      <w:tr w:rsidR="00A14C8E" w:rsidRPr="00FD119B" w14:paraId="2D4801BA" w14:textId="77777777" w:rsidTr="000D2D71">
        <w:tc>
          <w:tcPr>
            <w:tcW w:w="1975" w:type="dxa"/>
          </w:tcPr>
          <w:p w14:paraId="37E0FD31" w14:textId="77777777" w:rsidR="00A14C8E" w:rsidRPr="00FD119B" w:rsidRDefault="00A14C8E" w:rsidP="007510EC">
            <w:r>
              <w:t>CI</w:t>
            </w:r>
          </w:p>
        </w:tc>
        <w:tc>
          <w:tcPr>
            <w:tcW w:w="6519" w:type="dxa"/>
          </w:tcPr>
          <w:p w14:paraId="4D5E1492" w14:textId="77777777" w:rsidR="00A14C8E" w:rsidRPr="00FD119B" w:rsidRDefault="00A14C8E" w:rsidP="007510EC">
            <w:r>
              <w:t>Confidence interval</w:t>
            </w:r>
          </w:p>
        </w:tc>
      </w:tr>
      <w:tr w:rsidR="00A14C8E" w:rsidRPr="00FD119B" w14:paraId="147BE5B4" w14:textId="77777777" w:rsidTr="000D2D71">
        <w:tc>
          <w:tcPr>
            <w:tcW w:w="1975" w:type="dxa"/>
          </w:tcPr>
          <w:p w14:paraId="3E770A7F" w14:textId="77777777" w:rsidR="00A14C8E" w:rsidRDefault="00A14C8E" w:rsidP="007510EC">
            <w:r>
              <w:t>C</w:t>
            </w:r>
            <w:r w:rsidRPr="00223A83">
              <w:rPr>
                <w:vertAlign w:val="subscript"/>
              </w:rPr>
              <w:t>max</w:t>
            </w:r>
          </w:p>
        </w:tc>
        <w:tc>
          <w:tcPr>
            <w:tcW w:w="6519" w:type="dxa"/>
          </w:tcPr>
          <w:p w14:paraId="77DA8060" w14:textId="77777777" w:rsidR="00A14C8E" w:rsidRDefault="00A14C8E" w:rsidP="007510EC">
            <w:r>
              <w:t>Maximum concentration</w:t>
            </w:r>
          </w:p>
        </w:tc>
      </w:tr>
      <w:tr w:rsidR="00A14C8E" w:rsidRPr="00FD119B" w14:paraId="6F781604" w14:textId="77777777" w:rsidTr="000D2D71">
        <w:tc>
          <w:tcPr>
            <w:tcW w:w="1975" w:type="dxa"/>
          </w:tcPr>
          <w:p w14:paraId="7027E38F" w14:textId="77777777" w:rsidR="00A14C8E" w:rsidRDefault="00A14C8E" w:rsidP="007510EC">
            <w:proofErr w:type="spellStart"/>
            <w:r>
              <w:t>C</w:t>
            </w:r>
            <w:r w:rsidRPr="00746888">
              <w:rPr>
                <w:vertAlign w:val="subscript"/>
              </w:rPr>
              <w:t>min</w:t>
            </w:r>
            <w:proofErr w:type="spellEnd"/>
          </w:p>
        </w:tc>
        <w:tc>
          <w:tcPr>
            <w:tcW w:w="6519" w:type="dxa"/>
          </w:tcPr>
          <w:p w14:paraId="4551D57E" w14:textId="77777777" w:rsidR="00A14C8E" w:rsidRDefault="00A14C8E" w:rsidP="007510EC">
            <w:r>
              <w:t>Minimum concentration</w:t>
            </w:r>
          </w:p>
        </w:tc>
      </w:tr>
      <w:tr w:rsidR="00A14C8E" w:rsidRPr="00FD119B" w14:paraId="2911A0A4" w14:textId="77777777" w:rsidTr="000D2D71">
        <w:tc>
          <w:tcPr>
            <w:tcW w:w="1975" w:type="dxa"/>
          </w:tcPr>
          <w:p w14:paraId="6CF19016" w14:textId="77777777" w:rsidR="00A14C8E" w:rsidRDefault="00A14C8E" w:rsidP="007510EC">
            <w:r>
              <w:t>CPD</w:t>
            </w:r>
          </w:p>
        </w:tc>
        <w:tc>
          <w:tcPr>
            <w:tcW w:w="6519" w:type="dxa"/>
          </w:tcPr>
          <w:p w14:paraId="0A3186EB" w14:textId="77777777" w:rsidR="00A14C8E" w:rsidRDefault="00A14C8E" w:rsidP="007510EC">
            <w:r w:rsidRPr="008A28A2">
              <w:t>Certified Product Details</w:t>
            </w:r>
          </w:p>
        </w:tc>
      </w:tr>
      <w:tr w:rsidR="00A14C8E" w:rsidRPr="00FD119B" w14:paraId="60CA54ED" w14:textId="77777777" w:rsidTr="000D2D71">
        <w:tc>
          <w:tcPr>
            <w:tcW w:w="1975" w:type="dxa"/>
          </w:tcPr>
          <w:p w14:paraId="244C810E" w14:textId="77777777" w:rsidR="00A14C8E" w:rsidRPr="00155E5D" w:rsidRDefault="00A14C8E" w:rsidP="007510EC">
            <w:r>
              <w:t>CR</w:t>
            </w:r>
          </w:p>
        </w:tc>
        <w:tc>
          <w:tcPr>
            <w:tcW w:w="6519" w:type="dxa"/>
          </w:tcPr>
          <w:p w14:paraId="25FFC8E2" w14:textId="77777777" w:rsidR="00A14C8E" w:rsidRDefault="00A14C8E" w:rsidP="007510EC">
            <w:r>
              <w:t>Complete response</w:t>
            </w:r>
          </w:p>
        </w:tc>
      </w:tr>
      <w:tr w:rsidR="00A14C8E" w:rsidRPr="00FD119B" w14:paraId="4FE65580" w14:textId="77777777" w:rsidTr="000D2D71">
        <w:tc>
          <w:tcPr>
            <w:tcW w:w="1975" w:type="dxa"/>
          </w:tcPr>
          <w:p w14:paraId="4D28E53C" w14:textId="77777777" w:rsidR="00A14C8E" w:rsidRPr="00155E5D" w:rsidRDefault="00A14C8E" w:rsidP="007510EC">
            <w:r>
              <w:t>CT</w:t>
            </w:r>
          </w:p>
        </w:tc>
        <w:tc>
          <w:tcPr>
            <w:tcW w:w="6519" w:type="dxa"/>
          </w:tcPr>
          <w:p w14:paraId="34EF002C" w14:textId="77777777" w:rsidR="00A14C8E" w:rsidRDefault="00A14C8E" w:rsidP="007510EC">
            <w:r>
              <w:t>Computed tomography</w:t>
            </w:r>
          </w:p>
        </w:tc>
      </w:tr>
      <w:tr w:rsidR="00A14C8E" w:rsidRPr="00FD119B" w14:paraId="44D4E013" w14:textId="77777777" w:rsidTr="000D2D71">
        <w:tc>
          <w:tcPr>
            <w:tcW w:w="1975" w:type="dxa"/>
          </w:tcPr>
          <w:p w14:paraId="526AEE35" w14:textId="77777777" w:rsidR="00A14C8E" w:rsidRDefault="00A14C8E" w:rsidP="007510EC">
            <w:r>
              <w:t>CV</w:t>
            </w:r>
          </w:p>
        </w:tc>
        <w:tc>
          <w:tcPr>
            <w:tcW w:w="6519" w:type="dxa"/>
          </w:tcPr>
          <w:p w14:paraId="6B4157DE" w14:textId="77777777" w:rsidR="00A14C8E" w:rsidRDefault="00A14C8E" w:rsidP="007510EC">
            <w:r>
              <w:t>C</w:t>
            </w:r>
            <w:r w:rsidRPr="00A85359">
              <w:t>oefficient of variation</w:t>
            </w:r>
          </w:p>
        </w:tc>
      </w:tr>
      <w:tr w:rsidR="00A14C8E" w:rsidRPr="00FD119B" w14:paraId="1C57AF40" w14:textId="77777777" w:rsidTr="000D2D71">
        <w:tc>
          <w:tcPr>
            <w:tcW w:w="1975" w:type="dxa"/>
          </w:tcPr>
          <w:p w14:paraId="35A51FA1" w14:textId="77777777" w:rsidR="00A14C8E" w:rsidRDefault="00A14C8E" w:rsidP="007510EC">
            <w:r>
              <w:t>DLP</w:t>
            </w:r>
          </w:p>
        </w:tc>
        <w:tc>
          <w:tcPr>
            <w:tcW w:w="6519" w:type="dxa"/>
          </w:tcPr>
          <w:p w14:paraId="1ABB3E74" w14:textId="77777777" w:rsidR="00A14C8E" w:rsidRDefault="00A14C8E" w:rsidP="007510EC">
            <w:r>
              <w:t>Data lock point</w:t>
            </w:r>
          </w:p>
        </w:tc>
      </w:tr>
      <w:tr w:rsidR="00A14C8E" w:rsidRPr="00FD119B" w14:paraId="60CACAE2" w14:textId="77777777" w:rsidTr="000D2D71">
        <w:tc>
          <w:tcPr>
            <w:tcW w:w="1975" w:type="dxa"/>
          </w:tcPr>
          <w:p w14:paraId="6AEAEC2F" w14:textId="77777777" w:rsidR="00A14C8E" w:rsidRDefault="00A14C8E" w:rsidP="007510EC">
            <w:r>
              <w:t>DOR</w:t>
            </w:r>
          </w:p>
        </w:tc>
        <w:tc>
          <w:tcPr>
            <w:tcW w:w="6519" w:type="dxa"/>
          </w:tcPr>
          <w:p w14:paraId="5173C148" w14:textId="77777777" w:rsidR="00A14C8E" w:rsidRDefault="00A14C8E" w:rsidP="007510EC">
            <w:r>
              <w:t>Duration of response</w:t>
            </w:r>
          </w:p>
        </w:tc>
      </w:tr>
      <w:tr w:rsidR="00A14C8E" w:rsidRPr="00FD119B" w14:paraId="5A709358" w14:textId="77777777" w:rsidTr="000D2D71">
        <w:tc>
          <w:tcPr>
            <w:tcW w:w="1975" w:type="dxa"/>
          </w:tcPr>
          <w:p w14:paraId="5ED6373C" w14:textId="77777777" w:rsidR="00A14C8E" w:rsidRDefault="00A14C8E" w:rsidP="007510EC">
            <w:r>
              <w:t>ECHO</w:t>
            </w:r>
          </w:p>
        </w:tc>
        <w:tc>
          <w:tcPr>
            <w:tcW w:w="6519" w:type="dxa"/>
          </w:tcPr>
          <w:p w14:paraId="5B11F1A8" w14:textId="77777777" w:rsidR="00A14C8E" w:rsidRDefault="00A14C8E" w:rsidP="007510EC">
            <w:r>
              <w:t>Echocardiogram</w:t>
            </w:r>
          </w:p>
        </w:tc>
      </w:tr>
      <w:tr w:rsidR="00A14C8E" w:rsidRPr="00FD119B" w14:paraId="4B9D2589" w14:textId="77777777" w:rsidTr="000D2D71">
        <w:tc>
          <w:tcPr>
            <w:tcW w:w="1975" w:type="dxa"/>
          </w:tcPr>
          <w:p w14:paraId="2BD18497" w14:textId="77777777" w:rsidR="00A14C8E" w:rsidRDefault="00A14C8E" w:rsidP="007510EC">
            <w:r>
              <w:t>ECOG PS</w:t>
            </w:r>
          </w:p>
        </w:tc>
        <w:tc>
          <w:tcPr>
            <w:tcW w:w="6519" w:type="dxa"/>
          </w:tcPr>
          <w:p w14:paraId="1FD864BB" w14:textId="77777777" w:rsidR="00A14C8E" w:rsidRDefault="00A14C8E" w:rsidP="007510EC">
            <w:r>
              <w:t>Eastern Cooperative Oncology Group performance status</w:t>
            </w:r>
          </w:p>
        </w:tc>
      </w:tr>
      <w:tr w:rsidR="00A14C8E" w:rsidRPr="00FD119B" w14:paraId="224067F2" w14:textId="77777777" w:rsidTr="000D2D71">
        <w:tc>
          <w:tcPr>
            <w:tcW w:w="1975" w:type="dxa"/>
          </w:tcPr>
          <w:p w14:paraId="66B5DD2C" w14:textId="77777777" w:rsidR="00A14C8E" w:rsidRPr="00FD119B" w:rsidRDefault="00A14C8E" w:rsidP="007510EC">
            <w:r>
              <w:t>EU</w:t>
            </w:r>
          </w:p>
        </w:tc>
        <w:tc>
          <w:tcPr>
            <w:tcW w:w="6519" w:type="dxa"/>
          </w:tcPr>
          <w:p w14:paraId="69F2CA1B" w14:textId="77777777" w:rsidR="00A14C8E" w:rsidRPr="00FD119B" w:rsidRDefault="00A14C8E" w:rsidP="007510EC">
            <w:r>
              <w:t>European Union</w:t>
            </w:r>
          </w:p>
        </w:tc>
      </w:tr>
      <w:tr w:rsidR="00A14C8E" w:rsidRPr="00FD119B" w14:paraId="1CB5593D" w14:textId="77777777" w:rsidTr="000D2D71">
        <w:tc>
          <w:tcPr>
            <w:tcW w:w="1975" w:type="dxa"/>
          </w:tcPr>
          <w:p w14:paraId="1BE0653D" w14:textId="77777777" w:rsidR="00A14C8E" w:rsidRDefault="00A14C8E" w:rsidP="007510EC">
            <w:r>
              <w:t>FDA</w:t>
            </w:r>
          </w:p>
        </w:tc>
        <w:tc>
          <w:tcPr>
            <w:tcW w:w="6519" w:type="dxa"/>
          </w:tcPr>
          <w:p w14:paraId="0A98A317" w14:textId="77777777" w:rsidR="00A14C8E" w:rsidRDefault="00A14C8E" w:rsidP="007510EC">
            <w:r>
              <w:t>Food and Drug Administration (United States of America)</w:t>
            </w:r>
          </w:p>
        </w:tc>
      </w:tr>
      <w:tr w:rsidR="00A14C8E" w:rsidRPr="00FD119B" w14:paraId="777E6A19" w14:textId="77777777" w:rsidTr="000D2D71">
        <w:tc>
          <w:tcPr>
            <w:tcW w:w="1975" w:type="dxa"/>
          </w:tcPr>
          <w:p w14:paraId="742D2F41" w14:textId="77777777" w:rsidR="00A14C8E" w:rsidRDefault="00A14C8E" w:rsidP="007510EC">
            <w:r>
              <w:t>FL-DP1</w:t>
            </w:r>
          </w:p>
        </w:tc>
        <w:tc>
          <w:tcPr>
            <w:tcW w:w="6519" w:type="dxa"/>
          </w:tcPr>
          <w:p w14:paraId="047AD65D" w14:textId="77777777" w:rsidR="00A14C8E" w:rsidRDefault="00A14C8E" w:rsidP="007510EC">
            <w:r>
              <w:t>Frozen liquid drug product 1</w:t>
            </w:r>
          </w:p>
        </w:tc>
      </w:tr>
      <w:tr w:rsidR="00A14C8E" w:rsidRPr="00FD119B" w14:paraId="3B0771D6" w14:textId="77777777" w:rsidTr="000D2D71">
        <w:tc>
          <w:tcPr>
            <w:tcW w:w="1975" w:type="dxa"/>
          </w:tcPr>
          <w:p w14:paraId="47B949C0" w14:textId="77777777" w:rsidR="00A14C8E" w:rsidRDefault="00A14C8E" w:rsidP="007510EC">
            <w:r>
              <w:lastRenderedPageBreak/>
              <w:t>FL-DP2</w:t>
            </w:r>
          </w:p>
        </w:tc>
        <w:tc>
          <w:tcPr>
            <w:tcW w:w="6519" w:type="dxa"/>
          </w:tcPr>
          <w:p w14:paraId="2A4F3094" w14:textId="77777777" w:rsidR="00A14C8E" w:rsidRDefault="00A14C8E" w:rsidP="007510EC">
            <w:r>
              <w:t>Frozen liquid drug product 2</w:t>
            </w:r>
          </w:p>
        </w:tc>
      </w:tr>
      <w:tr w:rsidR="00A14C8E" w:rsidRPr="00FD119B" w14:paraId="2D908A04" w14:textId="77777777" w:rsidTr="000D2D71">
        <w:tc>
          <w:tcPr>
            <w:tcW w:w="1975" w:type="dxa"/>
          </w:tcPr>
          <w:p w14:paraId="27A6F0F1" w14:textId="2323FE8A" w:rsidR="00A14C8E" w:rsidRPr="00FD119B" w:rsidRDefault="005E11EB" w:rsidP="007510EC">
            <w:r>
              <w:t>H</w:t>
            </w:r>
            <w:r w:rsidR="00A14C8E">
              <w:t>ER2</w:t>
            </w:r>
          </w:p>
        </w:tc>
        <w:tc>
          <w:tcPr>
            <w:tcW w:w="6519" w:type="dxa"/>
          </w:tcPr>
          <w:p w14:paraId="4A760AFE" w14:textId="77777777" w:rsidR="00A14C8E" w:rsidRPr="00FD119B" w:rsidRDefault="00A14C8E" w:rsidP="007510EC">
            <w:r>
              <w:t>Human epidermal growth factor receptor 2</w:t>
            </w:r>
          </w:p>
        </w:tc>
      </w:tr>
      <w:tr w:rsidR="00A14C8E" w:rsidRPr="00FD119B" w14:paraId="2304DA7E" w14:textId="77777777" w:rsidTr="000D2D71">
        <w:tc>
          <w:tcPr>
            <w:tcW w:w="1975" w:type="dxa"/>
          </w:tcPr>
          <w:p w14:paraId="1D0B89D5" w14:textId="77777777" w:rsidR="00A14C8E" w:rsidRDefault="00A14C8E" w:rsidP="007510EC">
            <w:r>
              <w:t>HCP</w:t>
            </w:r>
          </w:p>
        </w:tc>
        <w:tc>
          <w:tcPr>
            <w:tcW w:w="6519" w:type="dxa"/>
          </w:tcPr>
          <w:p w14:paraId="5EB363B4" w14:textId="77777777" w:rsidR="00A14C8E" w:rsidRDefault="00A14C8E" w:rsidP="007510EC">
            <w:r>
              <w:t>Health Care Professional</w:t>
            </w:r>
          </w:p>
        </w:tc>
      </w:tr>
      <w:tr w:rsidR="00A14C8E" w:rsidRPr="00FD119B" w14:paraId="019442C2" w14:textId="77777777" w:rsidTr="000D2D71">
        <w:tc>
          <w:tcPr>
            <w:tcW w:w="1975" w:type="dxa"/>
          </w:tcPr>
          <w:p w14:paraId="0C3ECF0C" w14:textId="77777777" w:rsidR="00A14C8E" w:rsidRDefault="00A14C8E" w:rsidP="007510EC">
            <w:r>
              <w:t>IC</w:t>
            </w:r>
            <w:r w:rsidRPr="00746888">
              <w:rPr>
                <w:vertAlign w:val="subscript"/>
              </w:rPr>
              <w:t>50</w:t>
            </w:r>
          </w:p>
        </w:tc>
        <w:tc>
          <w:tcPr>
            <w:tcW w:w="6519" w:type="dxa"/>
          </w:tcPr>
          <w:p w14:paraId="6099A678" w14:textId="174D5385" w:rsidR="00A14C8E" w:rsidRDefault="002527F7" w:rsidP="007510EC">
            <w:r>
              <w:t>Half maximal (50%) i</w:t>
            </w:r>
            <w:r w:rsidR="00A14C8E">
              <w:t>nhibitory concentration</w:t>
            </w:r>
          </w:p>
        </w:tc>
      </w:tr>
      <w:tr w:rsidR="00A14C8E" w:rsidRPr="00FD119B" w14:paraId="64D8A506" w14:textId="77777777" w:rsidTr="000D2D71">
        <w:tc>
          <w:tcPr>
            <w:tcW w:w="1975" w:type="dxa"/>
          </w:tcPr>
          <w:p w14:paraId="2FD1B4F0" w14:textId="77777777" w:rsidR="00A14C8E" w:rsidRPr="00155E5D" w:rsidRDefault="00A14C8E" w:rsidP="007510EC">
            <w:r>
              <w:t>ICR</w:t>
            </w:r>
          </w:p>
        </w:tc>
        <w:tc>
          <w:tcPr>
            <w:tcW w:w="6519" w:type="dxa"/>
          </w:tcPr>
          <w:p w14:paraId="1B173854" w14:textId="77777777" w:rsidR="00A14C8E" w:rsidRDefault="00A14C8E" w:rsidP="007510EC">
            <w:r>
              <w:t>Independent central review</w:t>
            </w:r>
          </w:p>
        </w:tc>
      </w:tr>
      <w:tr w:rsidR="00A14C8E" w:rsidRPr="00FD119B" w14:paraId="3EE4F5B5" w14:textId="77777777" w:rsidTr="000D2D71">
        <w:tc>
          <w:tcPr>
            <w:tcW w:w="1975" w:type="dxa"/>
          </w:tcPr>
          <w:p w14:paraId="663FC9B5" w14:textId="77777777" w:rsidR="00A14C8E" w:rsidRDefault="00A14C8E" w:rsidP="007510EC">
            <w:r>
              <w:t>ILD</w:t>
            </w:r>
          </w:p>
        </w:tc>
        <w:tc>
          <w:tcPr>
            <w:tcW w:w="6519" w:type="dxa"/>
          </w:tcPr>
          <w:p w14:paraId="382A03EA" w14:textId="77777777" w:rsidR="00A14C8E" w:rsidRDefault="00A14C8E" w:rsidP="007510EC">
            <w:r>
              <w:t>Interstitial lung disease</w:t>
            </w:r>
          </w:p>
        </w:tc>
      </w:tr>
      <w:tr w:rsidR="00A14C8E" w:rsidRPr="00FD119B" w14:paraId="15A80C11" w14:textId="77777777" w:rsidTr="000D2D71">
        <w:tc>
          <w:tcPr>
            <w:tcW w:w="1975" w:type="dxa"/>
          </w:tcPr>
          <w:p w14:paraId="70B30874" w14:textId="77777777" w:rsidR="00A14C8E" w:rsidRDefault="00A14C8E" w:rsidP="007510EC">
            <w:r>
              <w:t>IRR</w:t>
            </w:r>
          </w:p>
        </w:tc>
        <w:tc>
          <w:tcPr>
            <w:tcW w:w="6519" w:type="dxa"/>
          </w:tcPr>
          <w:p w14:paraId="1F5832F8" w14:textId="77777777" w:rsidR="00A14C8E" w:rsidRDefault="00A14C8E" w:rsidP="007510EC">
            <w:r>
              <w:t>Infusion related reaction</w:t>
            </w:r>
          </w:p>
        </w:tc>
      </w:tr>
      <w:tr w:rsidR="00A14C8E" w:rsidRPr="00FD119B" w14:paraId="63983DB1" w14:textId="77777777" w:rsidTr="000D2D71">
        <w:tc>
          <w:tcPr>
            <w:tcW w:w="1975" w:type="dxa"/>
          </w:tcPr>
          <w:p w14:paraId="6AE3B5F3" w14:textId="77777777" w:rsidR="00A14C8E" w:rsidRDefault="00A14C8E" w:rsidP="007510EC">
            <w:r>
              <w:t>LVEF</w:t>
            </w:r>
          </w:p>
        </w:tc>
        <w:tc>
          <w:tcPr>
            <w:tcW w:w="6519" w:type="dxa"/>
          </w:tcPr>
          <w:p w14:paraId="3CC819F2" w14:textId="77777777" w:rsidR="00A14C8E" w:rsidRDefault="00A14C8E" w:rsidP="007510EC">
            <w:r>
              <w:t>Left ventricular ejection fraction</w:t>
            </w:r>
          </w:p>
        </w:tc>
      </w:tr>
      <w:tr w:rsidR="00A14C8E" w:rsidRPr="00FD119B" w14:paraId="7265BEF9" w14:textId="77777777" w:rsidTr="000D2D71">
        <w:tc>
          <w:tcPr>
            <w:tcW w:w="1975" w:type="dxa"/>
          </w:tcPr>
          <w:p w14:paraId="628394E7" w14:textId="77777777" w:rsidR="00A14C8E" w:rsidRDefault="00A14C8E" w:rsidP="007510EC">
            <w:proofErr w:type="spellStart"/>
            <w:r>
              <w:t>Lyo</w:t>
            </w:r>
            <w:proofErr w:type="spellEnd"/>
            <w:r>
              <w:t>-DP</w:t>
            </w:r>
          </w:p>
        </w:tc>
        <w:tc>
          <w:tcPr>
            <w:tcW w:w="6519" w:type="dxa"/>
          </w:tcPr>
          <w:p w14:paraId="6CF44772" w14:textId="10B5A556" w:rsidR="00A14C8E" w:rsidRDefault="00A14C8E" w:rsidP="007510EC">
            <w:r>
              <w:t>L</w:t>
            </w:r>
            <w:r w:rsidRPr="00155E5D">
              <w:t>yophil</w:t>
            </w:r>
            <w:r w:rsidR="0095510B">
              <w:t>is</w:t>
            </w:r>
            <w:r w:rsidRPr="00155E5D">
              <w:t>ed powder-drug product</w:t>
            </w:r>
          </w:p>
        </w:tc>
      </w:tr>
      <w:tr w:rsidR="00A14C8E" w:rsidRPr="00FD119B" w14:paraId="4797174C" w14:textId="77777777" w:rsidTr="000D2D71">
        <w:tc>
          <w:tcPr>
            <w:tcW w:w="1975" w:type="dxa"/>
          </w:tcPr>
          <w:p w14:paraId="445C394A" w14:textId="77777777" w:rsidR="00A14C8E" w:rsidRDefault="00A14C8E" w:rsidP="007510EC">
            <w:r w:rsidRPr="00223A83">
              <w:t>MAAA-1181a</w:t>
            </w:r>
          </w:p>
        </w:tc>
        <w:tc>
          <w:tcPr>
            <w:tcW w:w="6519" w:type="dxa"/>
          </w:tcPr>
          <w:p w14:paraId="210E95D7" w14:textId="4BB851A7" w:rsidR="00A14C8E" w:rsidRDefault="00A14C8E">
            <w:r>
              <w:t>A</w:t>
            </w:r>
            <w:r w:rsidRPr="00155E5D">
              <w:t>ctive topoisomerase I inhibitor</w:t>
            </w:r>
            <w:r>
              <w:t xml:space="preserve"> of </w:t>
            </w:r>
            <w:r w:rsidR="004B453F">
              <w:t>Trastuzumab</w:t>
            </w:r>
            <w:r w:rsidR="005E11EB">
              <w:t xml:space="preserve"> </w:t>
            </w:r>
            <w:proofErr w:type="spellStart"/>
            <w:r w:rsidR="005E11EB">
              <w:t>deruxtecan</w:t>
            </w:r>
            <w:proofErr w:type="spellEnd"/>
          </w:p>
        </w:tc>
      </w:tr>
      <w:tr w:rsidR="00A14C8E" w:rsidRPr="00FD119B" w14:paraId="7064AF81" w14:textId="77777777" w:rsidTr="000D2D71">
        <w:tc>
          <w:tcPr>
            <w:tcW w:w="1975" w:type="dxa"/>
          </w:tcPr>
          <w:p w14:paraId="0A658F50" w14:textId="1BE6310F" w:rsidR="00A14C8E" w:rsidRPr="00FD119B" w:rsidRDefault="00A14C8E" w:rsidP="007510EC">
            <w:proofErr w:type="spellStart"/>
            <w:r>
              <w:t>M</w:t>
            </w:r>
            <w:r w:rsidR="000F0949">
              <w:t>A</w:t>
            </w:r>
            <w:r>
              <w:t>b</w:t>
            </w:r>
            <w:proofErr w:type="spellEnd"/>
          </w:p>
        </w:tc>
        <w:tc>
          <w:tcPr>
            <w:tcW w:w="6519" w:type="dxa"/>
          </w:tcPr>
          <w:p w14:paraId="75379539" w14:textId="77777777" w:rsidR="00A14C8E" w:rsidRPr="00FD119B" w:rsidRDefault="00A14C8E" w:rsidP="007510EC">
            <w:r>
              <w:t>Monoclonal antibody</w:t>
            </w:r>
          </w:p>
        </w:tc>
      </w:tr>
      <w:tr w:rsidR="00A14C8E" w:rsidRPr="00FD119B" w14:paraId="5815F2A5" w14:textId="77777777" w:rsidTr="000D2D71">
        <w:tc>
          <w:tcPr>
            <w:tcW w:w="1975" w:type="dxa"/>
          </w:tcPr>
          <w:p w14:paraId="61ADD52F" w14:textId="77777777" w:rsidR="00A14C8E" w:rsidRPr="00155E5D" w:rsidRDefault="00A14C8E" w:rsidP="007510EC">
            <w:r>
              <w:t>MRI</w:t>
            </w:r>
          </w:p>
        </w:tc>
        <w:tc>
          <w:tcPr>
            <w:tcW w:w="6519" w:type="dxa"/>
          </w:tcPr>
          <w:p w14:paraId="64D84683" w14:textId="77777777" w:rsidR="00A14C8E" w:rsidRDefault="00A14C8E" w:rsidP="007510EC">
            <w:r>
              <w:t>Magnetic resonance imaging</w:t>
            </w:r>
          </w:p>
        </w:tc>
      </w:tr>
      <w:tr w:rsidR="00A14C8E" w:rsidRPr="00FD119B" w14:paraId="504D43B0" w14:textId="77777777" w:rsidTr="000D2D71">
        <w:tc>
          <w:tcPr>
            <w:tcW w:w="1975" w:type="dxa"/>
          </w:tcPr>
          <w:p w14:paraId="5D0A82B9" w14:textId="77777777" w:rsidR="00A14C8E" w:rsidRDefault="00A14C8E" w:rsidP="007510EC">
            <w:r>
              <w:t>MTD</w:t>
            </w:r>
          </w:p>
        </w:tc>
        <w:tc>
          <w:tcPr>
            <w:tcW w:w="6519" w:type="dxa"/>
          </w:tcPr>
          <w:p w14:paraId="7745EACA" w14:textId="77777777" w:rsidR="00A14C8E" w:rsidRDefault="00A14C8E" w:rsidP="007510EC">
            <w:r>
              <w:t>Maximum tolerated dose</w:t>
            </w:r>
          </w:p>
        </w:tc>
      </w:tr>
      <w:tr w:rsidR="00A14C8E" w:rsidRPr="00FD119B" w14:paraId="1304F0E1" w14:textId="77777777" w:rsidTr="000D2D71">
        <w:tc>
          <w:tcPr>
            <w:tcW w:w="1975" w:type="dxa"/>
          </w:tcPr>
          <w:p w14:paraId="3F2A9DF7" w14:textId="77777777" w:rsidR="00A14C8E" w:rsidRDefault="00A14C8E" w:rsidP="007510EC">
            <w:r>
              <w:t>MUGA</w:t>
            </w:r>
          </w:p>
        </w:tc>
        <w:tc>
          <w:tcPr>
            <w:tcW w:w="6519" w:type="dxa"/>
          </w:tcPr>
          <w:p w14:paraId="60FADD34" w14:textId="77777777" w:rsidR="00A14C8E" w:rsidRDefault="00A14C8E" w:rsidP="007510EC">
            <w:proofErr w:type="spellStart"/>
            <w:r>
              <w:t>Multigated</w:t>
            </w:r>
            <w:proofErr w:type="spellEnd"/>
            <w:r>
              <w:t xml:space="preserve"> acquisition</w:t>
            </w:r>
          </w:p>
        </w:tc>
      </w:tr>
      <w:tr w:rsidR="00A14C8E" w:rsidRPr="00FD119B" w14:paraId="4EA620C5" w14:textId="77777777" w:rsidTr="000D2D71">
        <w:tc>
          <w:tcPr>
            <w:tcW w:w="1975" w:type="dxa"/>
          </w:tcPr>
          <w:p w14:paraId="3F99AB2D" w14:textId="77777777" w:rsidR="00A14C8E" w:rsidRDefault="00A14C8E" w:rsidP="007510EC">
            <w:r>
              <w:t>OCE</w:t>
            </w:r>
          </w:p>
        </w:tc>
        <w:tc>
          <w:tcPr>
            <w:tcW w:w="6519" w:type="dxa"/>
          </w:tcPr>
          <w:p w14:paraId="0548A31C" w14:textId="77777777" w:rsidR="00A14C8E" w:rsidRDefault="00A14C8E" w:rsidP="007510EC">
            <w:r>
              <w:t xml:space="preserve">Oncology </w:t>
            </w:r>
            <w:proofErr w:type="spellStart"/>
            <w:r>
              <w:t>Center</w:t>
            </w:r>
            <w:proofErr w:type="spellEnd"/>
            <w:r>
              <w:t xml:space="preserve"> of Excellence (United States of America)</w:t>
            </w:r>
          </w:p>
        </w:tc>
      </w:tr>
      <w:tr w:rsidR="00A14C8E" w:rsidRPr="00FD119B" w14:paraId="4004B5FF" w14:textId="77777777" w:rsidTr="000D2D71">
        <w:tc>
          <w:tcPr>
            <w:tcW w:w="1975" w:type="dxa"/>
          </w:tcPr>
          <w:p w14:paraId="5643F6DD" w14:textId="77777777" w:rsidR="00A14C8E" w:rsidRPr="00FD119B" w:rsidRDefault="00A14C8E" w:rsidP="007510EC">
            <w:r>
              <w:t>OR</w:t>
            </w:r>
          </w:p>
        </w:tc>
        <w:tc>
          <w:tcPr>
            <w:tcW w:w="6519" w:type="dxa"/>
          </w:tcPr>
          <w:p w14:paraId="08625933" w14:textId="77777777" w:rsidR="00A14C8E" w:rsidRPr="00FD119B" w:rsidRDefault="00A14C8E" w:rsidP="007510EC">
            <w:r>
              <w:t>Overall response</w:t>
            </w:r>
          </w:p>
        </w:tc>
      </w:tr>
      <w:tr w:rsidR="00A14C8E" w:rsidRPr="00FD119B" w14:paraId="181AAFC0" w14:textId="77777777" w:rsidTr="000D2D71">
        <w:tc>
          <w:tcPr>
            <w:tcW w:w="1975" w:type="dxa"/>
          </w:tcPr>
          <w:p w14:paraId="19C5E7CC" w14:textId="77777777" w:rsidR="00A14C8E" w:rsidRDefault="00A14C8E" w:rsidP="007510EC">
            <w:r>
              <w:t>ORR</w:t>
            </w:r>
          </w:p>
        </w:tc>
        <w:tc>
          <w:tcPr>
            <w:tcW w:w="6519" w:type="dxa"/>
          </w:tcPr>
          <w:p w14:paraId="585A37C7" w14:textId="77777777" w:rsidR="00A14C8E" w:rsidRDefault="00A14C8E" w:rsidP="007510EC">
            <w:r>
              <w:t>O</w:t>
            </w:r>
            <w:r w:rsidRPr="00155E5D">
              <w:t xml:space="preserve">bjective </w:t>
            </w:r>
            <w:r>
              <w:t>r</w:t>
            </w:r>
            <w:r w:rsidRPr="00155E5D">
              <w:t xml:space="preserve">esponse </w:t>
            </w:r>
            <w:r>
              <w:t>r</w:t>
            </w:r>
            <w:r w:rsidRPr="00155E5D">
              <w:t>ate</w:t>
            </w:r>
          </w:p>
        </w:tc>
      </w:tr>
      <w:tr w:rsidR="00A14C8E" w:rsidRPr="00FD119B" w14:paraId="75931694" w14:textId="77777777" w:rsidTr="000D2D71">
        <w:tc>
          <w:tcPr>
            <w:tcW w:w="1975" w:type="dxa"/>
          </w:tcPr>
          <w:p w14:paraId="52D52626" w14:textId="77777777" w:rsidR="00A14C8E" w:rsidRPr="00FD119B" w:rsidRDefault="00A14C8E" w:rsidP="007510EC">
            <w:r>
              <w:t>PFS</w:t>
            </w:r>
          </w:p>
        </w:tc>
        <w:tc>
          <w:tcPr>
            <w:tcW w:w="6519" w:type="dxa"/>
          </w:tcPr>
          <w:p w14:paraId="562571FF" w14:textId="77777777" w:rsidR="00A14C8E" w:rsidRPr="00FD119B" w:rsidRDefault="00A14C8E" w:rsidP="007510EC">
            <w:r>
              <w:t>Progression free survival</w:t>
            </w:r>
          </w:p>
        </w:tc>
      </w:tr>
      <w:tr w:rsidR="00A14C8E" w:rsidRPr="00FD119B" w14:paraId="653B0C11" w14:textId="77777777" w:rsidTr="000D2D71">
        <w:tc>
          <w:tcPr>
            <w:tcW w:w="1975" w:type="dxa"/>
          </w:tcPr>
          <w:p w14:paraId="26D62EE4" w14:textId="77777777" w:rsidR="00A14C8E" w:rsidRDefault="00A14C8E" w:rsidP="007510EC">
            <w:r>
              <w:t>PI</w:t>
            </w:r>
          </w:p>
        </w:tc>
        <w:tc>
          <w:tcPr>
            <w:tcW w:w="6519" w:type="dxa"/>
          </w:tcPr>
          <w:p w14:paraId="01D1B5E0" w14:textId="77777777" w:rsidR="00A14C8E" w:rsidRDefault="00A14C8E" w:rsidP="007510EC">
            <w:r>
              <w:t>Product Information</w:t>
            </w:r>
          </w:p>
        </w:tc>
      </w:tr>
      <w:tr w:rsidR="00A14C8E" w:rsidRPr="00FD119B" w14:paraId="0CC521FD" w14:textId="77777777" w:rsidTr="000D2D71">
        <w:tc>
          <w:tcPr>
            <w:tcW w:w="1975" w:type="dxa"/>
          </w:tcPr>
          <w:p w14:paraId="254AE323" w14:textId="77777777" w:rsidR="00A14C8E" w:rsidRDefault="00A14C8E" w:rsidP="007510EC">
            <w:r>
              <w:t>PK</w:t>
            </w:r>
          </w:p>
        </w:tc>
        <w:tc>
          <w:tcPr>
            <w:tcW w:w="6519" w:type="dxa"/>
          </w:tcPr>
          <w:p w14:paraId="44F882F7" w14:textId="77777777" w:rsidR="00A14C8E" w:rsidRDefault="00A14C8E" w:rsidP="007510EC">
            <w:r>
              <w:t>Pharmacokinetic(s)</w:t>
            </w:r>
          </w:p>
        </w:tc>
      </w:tr>
      <w:tr w:rsidR="00A14C8E" w:rsidRPr="00FD119B" w14:paraId="20364DA4" w14:textId="77777777" w:rsidTr="000D2D71">
        <w:tc>
          <w:tcPr>
            <w:tcW w:w="1975" w:type="dxa"/>
          </w:tcPr>
          <w:p w14:paraId="01B59BBD" w14:textId="77777777" w:rsidR="00A14C8E" w:rsidRDefault="00A14C8E" w:rsidP="007510EC">
            <w:proofErr w:type="spellStart"/>
            <w:r>
              <w:t>PopPK</w:t>
            </w:r>
            <w:proofErr w:type="spellEnd"/>
          </w:p>
        </w:tc>
        <w:tc>
          <w:tcPr>
            <w:tcW w:w="6519" w:type="dxa"/>
          </w:tcPr>
          <w:p w14:paraId="2F24574F" w14:textId="77777777" w:rsidR="00A14C8E" w:rsidRDefault="00A14C8E" w:rsidP="007510EC">
            <w:r>
              <w:t>Population pharmacokinetic(s)</w:t>
            </w:r>
          </w:p>
        </w:tc>
      </w:tr>
      <w:tr w:rsidR="00A14C8E" w:rsidRPr="00FD119B" w14:paraId="37C84768" w14:textId="77777777" w:rsidTr="000D2D71">
        <w:tc>
          <w:tcPr>
            <w:tcW w:w="1975" w:type="dxa"/>
          </w:tcPr>
          <w:p w14:paraId="5E4D522F" w14:textId="77777777" w:rsidR="00A14C8E" w:rsidRPr="00155E5D" w:rsidRDefault="00A14C8E" w:rsidP="007510EC">
            <w:r>
              <w:t>PR</w:t>
            </w:r>
          </w:p>
        </w:tc>
        <w:tc>
          <w:tcPr>
            <w:tcW w:w="6519" w:type="dxa"/>
          </w:tcPr>
          <w:p w14:paraId="5756CB76" w14:textId="77777777" w:rsidR="00A14C8E" w:rsidRDefault="00A14C8E" w:rsidP="007510EC">
            <w:r>
              <w:t>Partial response</w:t>
            </w:r>
          </w:p>
        </w:tc>
      </w:tr>
      <w:tr w:rsidR="00A14C8E" w:rsidRPr="00FD119B" w14:paraId="6E19C952" w14:textId="77777777" w:rsidTr="000D2D71">
        <w:tc>
          <w:tcPr>
            <w:tcW w:w="1975" w:type="dxa"/>
          </w:tcPr>
          <w:p w14:paraId="19683CF2" w14:textId="77777777" w:rsidR="00A14C8E" w:rsidRDefault="00A14C8E" w:rsidP="007510EC">
            <w:r>
              <w:t>PT</w:t>
            </w:r>
          </w:p>
        </w:tc>
        <w:tc>
          <w:tcPr>
            <w:tcW w:w="6519" w:type="dxa"/>
          </w:tcPr>
          <w:p w14:paraId="4EF6D36D" w14:textId="77777777" w:rsidR="00A14C8E" w:rsidRDefault="00A14C8E" w:rsidP="007510EC">
            <w:r>
              <w:t>Preferred Term</w:t>
            </w:r>
          </w:p>
        </w:tc>
      </w:tr>
      <w:tr w:rsidR="00A14C8E" w:rsidRPr="00FD119B" w14:paraId="695DF83F" w14:textId="77777777" w:rsidTr="000D2D71">
        <w:tc>
          <w:tcPr>
            <w:tcW w:w="1975" w:type="dxa"/>
          </w:tcPr>
          <w:p w14:paraId="6E4D4EFD" w14:textId="77777777" w:rsidR="00A14C8E" w:rsidRDefault="00A14C8E" w:rsidP="007510EC">
            <w:r>
              <w:t>RMP</w:t>
            </w:r>
          </w:p>
        </w:tc>
        <w:tc>
          <w:tcPr>
            <w:tcW w:w="6519" w:type="dxa"/>
          </w:tcPr>
          <w:p w14:paraId="26DC3806" w14:textId="77777777" w:rsidR="00A14C8E" w:rsidRDefault="00A14C8E" w:rsidP="007510EC">
            <w:r>
              <w:t>Risk management plan</w:t>
            </w:r>
          </w:p>
        </w:tc>
      </w:tr>
      <w:tr w:rsidR="00A14C8E" w:rsidRPr="00FD119B" w14:paraId="7981C5B9" w14:textId="77777777" w:rsidTr="000D2D71">
        <w:tc>
          <w:tcPr>
            <w:tcW w:w="1975" w:type="dxa"/>
          </w:tcPr>
          <w:p w14:paraId="55098052" w14:textId="77777777" w:rsidR="00A14C8E" w:rsidRDefault="00A14C8E" w:rsidP="007510EC">
            <w:r w:rsidRPr="00A85359">
              <w:t>t</w:t>
            </w:r>
            <w:r w:rsidRPr="00A85359">
              <w:rPr>
                <w:vertAlign w:val="subscript"/>
              </w:rPr>
              <w:t>1/2</w:t>
            </w:r>
          </w:p>
        </w:tc>
        <w:tc>
          <w:tcPr>
            <w:tcW w:w="6519" w:type="dxa"/>
          </w:tcPr>
          <w:p w14:paraId="688CB828" w14:textId="68F4D919" w:rsidR="00A14C8E" w:rsidRDefault="00A14C8E" w:rsidP="007510EC">
            <w:r w:rsidRPr="00155E5D">
              <w:t>Half</w:t>
            </w:r>
            <w:r w:rsidR="005E11EB">
              <w:t>-</w:t>
            </w:r>
            <w:r w:rsidRPr="00155E5D">
              <w:t>life</w:t>
            </w:r>
          </w:p>
        </w:tc>
      </w:tr>
      <w:tr w:rsidR="00A14C8E" w:rsidRPr="00FD119B" w14:paraId="05C50F1F" w14:textId="77777777" w:rsidTr="000D2D71">
        <w:tc>
          <w:tcPr>
            <w:tcW w:w="1975" w:type="dxa"/>
          </w:tcPr>
          <w:p w14:paraId="028B3954" w14:textId="77777777" w:rsidR="00A14C8E" w:rsidRDefault="00A14C8E" w:rsidP="007510EC">
            <w:r>
              <w:t>TEAE</w:t>
            </w:r>
          </w:p>
        </w:tc>
        <w:tc>
          <w:tcPr>
            <w:tcW w:w="6519" w:type="dxa"/>
          </w:tcPr>
          <w:p w14:paraId="32230D61" w14:textId="14398D52" w:rsidR="00A14C8E" w:rsidRDefault="00A14C8E" w:rsidP="007510EC">
            <w:r>
              <w:t>Treatment</w:t>
            </w:r>
            <w:r w:rsidR="005E11EB">
              <w:t>-</w:t>
            </w:r>
            <w:r>
              <w:t>emergent adverse event</w:t>
            </w:r>
          </w:p>
        </w:tc>
      </w:tr>
      <w:tr w:rsidR="00A14C8E" w:rsidRPr="00FD119B" w14:paraId="0951316D" w14:textId="77777777" w:rsidTr="000D2D71">
        <w:tc>
          <w:tcPr>
            <w:tcW w:w="1975" w:type="dxa"/>
          </w:tcPr>
          <w:p w14:paraId="73E1CA50" w14:textId="77777777" w:rsidR="00A14C8E" w:rsidRPr="00FD119B" w:rsidRDefault="00A14C8E" w:rsidP="007510EC">
            <w:r>
              <w:lastRenderedPageBreak/>
              <w:t>TGA</w:t>
            </w:r>
          </w:p>
        </w:tc>
        <w:tc>
          <w:tcPr>
            <w:tcW w:w="6519" w:type="dxa"/>
          </w:tcPr>
          <w:p w14:paraId="381B45CA" w14:textId="77777777" w:rsidR="00A14C8E" w:rsidRPr="00FD119B" w:rsidRDefault="00A14C8E" w:rsidP="007510EC">
            <w:r>
              <w:t>Therapeutic Goods Administration</w:t>
            </w:r>
          </w:p>
        </w:tc>
      </w:tr>
      <w:tr w:rsidR="00A14C8E" w:rsidRPr="00FD119B" w14:paraId="122FB7F6" w14:textId="77777777" w:rsidTr="000D2D71">
        <w:tc>
          <w:tcPr>
            <w:tcW w:w="1975" w:type="dxa"/>
          </w:tcPr>
          <w:p w14:paraId="0AE1CA50" w14:textId="77777777" w:rsidR="00A14C8E" w:rsidRPr="00FD119B" w:rsidRDefault="00A14C8E" w:rsidP="007510EC">
            <w:r>
              <w:t>USA</w:t>
            </w:r>
          </w:p>
        </w:tc>
        <w:tc>
          <w:tcPr>
            <w:tcW w:w="6519" w:type="dxa"/>
          </w:tcPr>
          <w:p w14:paraId="131B1CE2" w14:textId="77777777" w:rsidR="00A14C8E" w:rsidRPr="00FD119B" w:rsidRDefault="00A14C8E" w:rsidP="007510EC">
            <w:r>
              <w:t>United States of America</w:t>
            </w:r>
          </w:p>
        </w:tc>
      </w:tr>
      <w:bookmarkEnd w:id="11"/>
    </w:tbl>
    <w:p w14:paraId="5E85C1FD" w14:textId="77777777" w:rsidR="00FD119B" w:rsidRPr="00FD119B" w:rsidRDefault="00FD119B" w:rsidP="00FD119B">
      <w:pPr>
        <w:spacing w:before="0" w:after="200" w:line="0" w:lineRule="auto"/>
        <w:rPr>
          <w:b/>
          <w:i/>
          <w:sz w:val="24"/>
          <w:szCs w:val="24"/>
        </w:rPr>
      </w:pPr>
      <w:r w:rsidRPr="00FD119B">
        <w:rPr>
          <w:b/>
          <w:i/>
          <w:sz w:val="24"/>
          <w:szCs w:val="24"/>
        </w:rPr>
        <w:br w:type="page"/>
      </w:r>
    </w:p>
    <w:p w14:paraId="7AAF1BB0" w14:textId="77777777" w:rsidR="008E7846" w:rsidRDefault="00F53C07" w:rsidP="008E7846">
      <w:pPr>
        <w:pStyle w:val="Heading2"/>
      </w:pPr>
      <w:bookmarkStart w:id="12" w:name="_Toc103589835"/>
      <w:r>
        <w:lastRenderedPageBreak/>
        <w:t>I.</w:t>
      </w:r>
      <w:r w:rsidR="008E7846">
        <w:t xml:space="preserve"> Introduction to product submission</w:t>
      </w:r>
      <w:bookmarkEnd w:id="3"/>
      <w:bookmarkEnd w:id="5"/>
      <w:bookmarkEnd w:id="12"/>
    </w:p>
    <w:p w14:paraId="2AC61D3C" w14:textId="77777777" w:rsidR="008E7846" w:rsidRDefault="008E7846" w:rsidP="008E7846">
      <w:pPr>
        <w:pStyle w:val="Heading3"/>
        <w:rPr>
          <w:lang w:eastAsia="en-AU"/>
        </w:rPr>
      </w:pPr>
      <w:bookmarkStart w:id="13" w:name="_Toc247691502"/>
      <w:bookmarkStart w:id="14" w:name="_Toc314842483"/>
      <w:bookmarkStart w:id="15" w:name="_Toc103589836"/>
      <w:r>
        <w:rPr>
          <w:lang w:eastAsia="en-AU"/>
        </w:rPr>
        <w:t>Submission details</w:t>
      </w:r>
      <w:bookmarkEnd w:id="13"/>
      <w:bookmarkEnd w:id="14"/>
      <w:bookmarkEnd w:id="15"/>
    </w:p>
    <w:tbl>
      <w:tblPr>
        <w:tblW w:w="9214" w:type="dxa"/>
        <w:tblInd w:w="108" w:type="dxa"/>
        <w:tblLook w:val="01E0" w:firstRow="1" w:lastRow="1" w:firstColumn="1" w:lastColumn="1" w:noHBand="0" w:noVBand="0"/>
      </w:tblPr>
      <w:tblGrid>
        <w:gridCol w:w="2907"/>
        <w:gridCol w:w="6307"/>
      </w:tblGrid>
      <w:tr w:rsidR="008E7846" w:rsidRPr="003D1E62" w14:paraId="774D66D7" w14:textId="77777777" w:rsidTr="003735BC">
        <w:tc>
          <w:tcPr>
            <w:tcW w:w="2907" w:type="dxa"/>
          </w:tcPr>
          <w:p w14:paraId="0D5C48AA"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285C4846" w14:textId="5BAB604D" w:rsidR="008E7846" w:rsidRPr="003D1E62" w:rsidRDefault="00F1729D" w:rsidP="001B5C90">
            <w:r>
              <w:t>New biological entity</w:t>
            </w:r>
          </w:p>
        </w:tc>
      </w:tr>
      <w:tr w:rsidR="00460036" w:rsidRPr="003D1E62" w14:paraId="24CF7DEC" w14:textId="77777777" w:rsidTr="003735BC">
        <w:tc>
          <w:tcPr>
            <w:tcW w:w="2907" w:type="dxa"/>
          </w:tcPr>
          <w:p w14:paraId="6F6F35E5" w14:textId="24F3F6C3" w:rsidR="00460036" w:rsidRPr="003D1E62" w:rsidRDefault="00460036" w:rsidP="003D1E62">
            <w:pPr>
              <w:rPr>
                <w:i/>
              </w:rPr>
            </w:pPr>
            <w:r w:rsidRPr="00460036">
              <w:rPr>
                <w:i/>
              </w:rPr>
              <w:t>Product nam</w:t>
            </w:r>
            <w:r w:rsidR="00F1729D">
              <w:rPr>
                <w:i/>
              </w:rPr>
              <w:t>e</w:t>
            </w:r>
            <w:r w:rsidRPr="00460036">
              <w:rPr>
                <w:i/>
              </w:rPr>
              <w:t>:</w:t>
            </w:r>
          </w:p>
        </w:tc>
        <w:tc>
          <w:tcPr>
            <w:tcW w:w="6307" w:type="dxa"/>
          </w:tcPr>
          <w:p w14:paraId="187392B2" w14:textId="1F2DF95B" w:rsidR="00460036" w:rsidRPr="003D1E62" w:rsidRDefault="00F1729D" w:rsidP="001B5C90">
            <w:proofErr w:type="spellStart"/>
            <w:r>
              <w:t>Enhertu</w:t>
            </w:r>
            <w:proofErr w:type="spellEnd"/>
          </w:p>
        </w:tc>
      </w:tr>
      <w:tr w:rsidR="00460036" w:rsidRPr="003D1E62" w14:paraId="2B8523D6" w14:textId="77777777" w:rsidTr="003735BC">
        <w:tc>
          <w:tcPr>
            <w:tcW w:w="2907" w:type="dxa"/>
          </w:tcPr>
          <w:p w14:paraId="471E969C" w14:textId="772084CD" w:rsidR="00460036" w:rsidRPr="003D1E62" w:rsidRDefault="00460036" w:rsidP="003D1E62">
            <w:pPr>
              <w:rPr>
                <w:i/>
              </w:rPr>
            </w:pPr>
            <w:r w:rsidRPr="00460036">
              <w:rPr>
                <w:i/>
              </w:rPr>
              <w:t>Active ingredient:</w:t>
            </w:r>
          </w:p>
        </w:tc>
        <w:tc>
          <w:tcPr>
            <w:tcW w:w="6307" w:type="dxa"/>
          </w:tcPr>
          <w:p w14:paraId="7B84AA45" w14:textId="0E791C76" w:rsidR="00460036" w:rsidRPr="003D1E62" w:rsidRDefault="004B453F" w:rsidP="001B5C90">
            <w:r>
              <w:t>Trastuzumab</w:t>
            </w:r>
            <w:r w:rsidR="00F1729D" w:rsidRPr="00F1729D">
              <w:t xml:space="preserve"> </w:t>
            </w:r>
            <w:proofErr w:type="spellStart"/>
            <w:r w:rsidR="00F1729D" w:rsidRPr="00F1729D">
              <w:t>deruxtecan</w:t>
            </w:r>
            <w:proofErr w:type="spellEnd"/>
          </w:p>
        </w:tc>
      </w:tr>
      <w:tr w:rsidR="008E7846" w:rsidRPr="003D1E62" w14:paraId="0C6BCE8B" w14:textId="77777777" w:rsidTr="003735BC">
        <w:tc>
          <w:tcPr>
            <w:tcW w:w="2907" w:type="dxa"/>
          </w:tcPr>
          <w:p w14:paraId="2DBC8B81" w14:textId="77777777" w:rsidR="008E7846" w:rsidRPr="003D1E62" w:rsidRDefault="008E7846" w:rsidP="003D1E62">
            <w:r w:rsidRPr="003D1E62">
              <w:rPr>
                <w:i/>
              </w:rPr>
              <w:t>Decision</w:t>
            </w:r>
            <w:r w:rsidRPr="003D1E62">
              <w:t>:</w:t>
            </w:r>
          </w:p>
        </w:tc>
        <w:tc>
          <w:tcPr>
            <w:tcW w:w="6307" w:type="dxa"/>
          </w:tcPr>
          <w:p w14:paraId="3540A7A2" w14:textId="4F91775B" w:rsidR="008E7846" w:rsidRPr="003D1E62" w:rsidRDefault="00460036" w:rsidP="001B5C90">
            <w:r w:rsidRPr="00460036">
              <w:t>Approved for provisional registration</w:t>
            </w:r>
          </w:p>
        </w:tc>
      </w:tr>
      <w:tr w:rsidR="008E7846" w:rsidRPr="003D1E62" w14:paraId="77A165C2" w14:textId="77777777" w:rsidTr="003735BC">
        <w:tc>
          <w:tcPr>
            <w:tcW w:w="2907" w:type="dxa"/>
          </w:tcPr>
          <w:p w14:paraId="1EDF5210"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785BDFB0" w14:textId="18A8462B" w:rsidR="008E7846" w:rsidRPr="003D1E62" w:rsidRDefault="00F1729D" w:rsidP="001B5C90">
            <w:r>
              <w:t>5 October 2021</w:t>
            </w:r>
          </w:p>
        </w:tc>
      </w:tr>
      <w:tr w:rsidR="00ED2922" w:rsidRPr="003D1E62" w14:paraId="7872F60D" w14:textId="77777777" w:rsidTr="003735BC">
        <w:tc>
          <w:tcPr>
            <w:tcW w:w="2907" w:type="dxa"/>
          </w:tcPr>
          <w:p w14:paraId="05C9C961" w14:textId="77777777" w:rsidR="00ED2922" w:rsidRPr="00441C3F" w:rsidRDefault="00ED2922" w:rsidP="001B5C90">
            <w:pPr>
              <w:rPr>
                <w:i/>
              </w:rPr>
            </w:pPr>
            <w:r w:rsidRPr="00441C3F">
              <w:rPr>
                <w:i/>
              </w:rPr>
              <w:t>Date of entry onto ARTG</w:t>
            </w:r>
            <w:r w:rsidR="00500337">
              <w:rPr>
                <w:i/>
              </w:rPr>
              <w:t>:</w:t>
            </w:r>
          </w:p>
        </w:tc>
        <w:tc>
          <w:tcPr>
            <w:tcW w:w="6307" w:type="dxa"/>
          </w:tcPr>
          <w:p w14:paraId="293F3221" w14:textId="6E0A965E" w:rsidR="00ED2922" w:rsidRPr="00441C3F" w:rsidRDefault="00F1729D" w:rsidP="00D153D8">
            <w:pPr>
              <w:rPr>
                <w:i/>
              </w:rPr>
            </w:pPr>
            <w:r>
              <w:t>8 October 2021</w:t>
            </w:r>
          </w:p>
        </w:tc>
      </w:tr>
      <w:tr w:rsidR="00500337" w:rsidRPr="003D1E62" w14:paraId="181D794C" w14:textId="77777777" w:rsidTr="003735BC">
        <w:tc>
          <w:tcPr>
            <w:tcW w:w="2907" w:type="dxa"/>
          </w:tcPr>
          <w:p w14:paraId="6D56374C" w14:textId="37B42A6B" w:rsidR="00500337" w:rsidRPr="00441C3F" w:rsidRDefault="00500337" w:rsidP="001B5C90">
            <w:pPr>
              <w:rPr>
                <w:i/>
              </w:rPr>
            </w:pPr>
            <w:r>
              <w:rPr>
                <w:i/>
              </w:rPr>
              <w:t>ARTG number:</w:t>
            </w:r>
          </w:p>
        </w:tc>
        <w:tc>
          <w:tcPr>
            <w:tcW w:w="6307" w:type="dxa"/>
          </w:tcPr>
          <w:p w14:paraId="1F945214" w14:textId="019CCEC1" w:rsidR="00500337" w:rsidRPr="00441C3F" w:rsidRDefault="00F1729D" w:rsidP="00EC463D">
            <w:r>
              <w:t>343262</w:t>
            </w:r>
          </w:p>
        </w:tc>
      </w:tr>
      <w:tr w:rsidR="003735BC" w:rsidRPr="003D1E62" w14:paraId="16C79BA7" w14:textId="77777777" w:rsidTr="003735BC">
        <w:tc>
          <w:tcPr>
            <w:tcW w:w="2907" w:type="dxa"/>
          </w:tcPr>
          <w:p w14:paraId="3DC31CA5"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2"/>
            </w:r>
          </w:p>
        </w:tc>
        <w:tc>
          <w:tcPr>
            <w:tcW w:w="6307" w:type="dxa"/>
          </w:tcPr>
          <w:p w14:paraId="012EBD16" w14:textId="476EDFDB" w:rsidR="003735BC" w:rsidRDefault="003735BC" w:rsidP="003735BC">
            <w:r>
              <w:t>Yes</w:t>
            </w:r>
          </w:p>
          <w:p w14:paraId="5D07FED2" w14:textId="038EA8EF" w:rsidR="003735BC" w:rsidRPr="00487162" w:rsidRDefault="003735BC" w:rsidP="003735BC">
            <w:r>
              <w:t>As a provisionally registered product, this medicine will remain in the Black Triangle Scheme for the duration of its provisional registration</w:t>
            </w:r>
          </w:p>
        </w:tc>
      </w:tr>
      <w:tr w:rsidR="008E7846" w:rsidRPr="00487162" w14:paraId="6BA469FC" w14:textId="77777777" w:rsidTr="00BF1190">
        <w:tc>
          <w:tcPr>
            <w:tcW w:w="2907" w:type="dxa"/>
          </w:tcPr>
          <w:p w14:paraId="7867CCA4"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1B6BC90A" w14:textId="77777777" w:rsidR="008E7846" w:rsidRDefault="00F1729D" w:rsidP="00E45619">
            <w:r w:rsidRPr="00505690">
              <w:t>AstraZeneca Pty Ltd</w:t>
            </w:r>
          </w:p>
          <w:p w14:paraId="110C4A65" w14:textId="77777777" w:rsidR="00F1729D" w:rsidRPr="00505690" w:rsidRDefault="00F1729D" w:rsidP="00F1729D">
            <w:r w:rsidRPr="00505690">
              <w:t>66 Talavera Road</w:t>
            </w:r>
          </w:p>
          <w:p w14:paraId="4122B5C7" w14:textId="4A1C2F40" w:rsidR="00F1729D" w:rsidRPr="00487162" w:rsidRDefault="00F1729D" w:rsidP="00F1729D">
            <w:r w:rsidRPr="00505690">
              <w:t>M</w:t>
            </w:r>
            <w:r>
              <w:t>acquarie</w:t>
            </w:r>
            <w:r w:rsidRPr="00505690">
              <w:t xml:space="preserve"> P</w:t>
            </w:r>
            <w:r>
              <w:t>ark</w:t>
            </w:r>
            <w:r w:rsidR="005E11EB">
              <w:t>,</w:t>
            </w:r>
            <w:r w:rsidRPr="00505690">
              <w:t xml:space="preserve"> NSW</w:t>
            </w:r>
            <w:r w:rsidR="005E11EB">
              <w:t>,</w:t>
            </w:r>
            <w:r w:rsidRPr="00505690">
              <w:t xml:space="preserve"> 2113</w:t>
            </w:r>
          </w:p>
        </w:tc>
      </w:tr>
      <w:tr w:rsidR="008E7846" w:rsidRPr="00487162" w14:paraId="6626C4BF" w14:textId="77777777" w:rsidTr="00BF1190">
        <w:tc>
          <w:tcPr>
            <w:tcW w:w="2907" w:type="dxa"/>
          </w:tcPr>
          <w:p w14:paraId="1D82C875" w14:textId="09F1489E" w:rsidR="008E7846" w:rsidRPr="00487162" w:rsidRDefault="001B5C90" w:rsidP="00E45619">
            <w:pPr>
              <w:rPr>
                <w:i/>
              </w:rPr>
            </w:pPr>
            <w:r>
              <w:rPr>
                <w:i/>
              </w:rPr>
              <w:t>Dose form:</w:t>
            </w:r>
          </w:p>
        </w:tc>
        <w:tc>
          <w:tcPr>
            <w:tcW w:w="6307" w:type="dxa"/>
          </w:tcPr>
          <w:p w14:paraId="3D50F729" w14:textId="38FBC7C2" w:rsidR="008E7846" w:rsidRPr="00487162" w:rsidRDefault="00F1729D" w:rsidP="00E45619">
            <w:r>
              <w:t>Powder for injection</w:t>
            </w:r>
          </w:p>
        </w:tc>
      </w:tr>
      <w:tr w:rsidR="008E7846" w:rsidRPr="00487162" w14:paraId="60CFCA14" w14:textId="77777777" w:rsidTr="00BF1190">
        <w:tc>
          <w:tcPr>
            <w:tcW w:w="2907" w:type="dxa"/>
          </w:tcPr>
          <w:p w14:paraId="7856BFF4" w14:textId="7105664E" w:rsidR="008E7846" w:rsidRPr="00487162" w:rsidRDefault="00324E45" w:rsidP="00E45619">
            <w:pPr>
              <w:rPr>
                <w:i/>
              </w:rPr>
            </w:pPr>
            <w:r>
              <w:rPr>
                <w:i/>
              </w:rPr>
              <w:t>Strength:</w:t>
            </w:r>
          </w:p>
        </w:tc>
        <w:tc>
          <w:tcPr>
            <w:tcW w:w="6307" w:type="dxa"/>
          </w:tcPr>
          <w:p w14:paraId="330EFB69" w14:textId="1CBA12AD" w:rsidR="008E7846" w:rsidRPr="00487162" w:rsidRDefault="00F1729D" w:rsidP="00E45619">
            <w:r>
              <w:t>100 mg</w:t>
            </w:r>
          </w:p>
        </w:tc>
      </w:tr>
      <w:tr w:rsidR="008E7846" w:rsidRPr="00487162" w14:paraId="181A4250" w14:textId="77777777" w:rsidTr="00BF1190">
        <w:tc>
          <w:tcPr>
            <w:tcW w:w="2907" w:type="dxa"/>
          </w:tcPr>
          <w:p w14:paraId="1E88406D" w14:textId="52108073" w:rsidR="008E7846" w:rsidRPr="00487162" w:rsidRDefault="008E7846" w:rsidP="00E45619">
            <w:pPr>
              <w:rPr>
                <w:i/>
              </w:rPr>
            </w:pPr>
            <w:r w:rsidRPr="00487162">
              <w:rPr>
                <w:i/>
              </w:rPr>
              <w:t>Container:</w:t>
            </w:r>
          </w:p>
        </w:tc>
        <w:tc>
          <w:tcPr>
            <w:tcW w:w="6307" w:type="dxa"/>
          </w:tcPr>
          <w:p w14:paraId="6C1C634C" w14:textId="02A722F9" w:rsidR="008E7846" w:rsidRPr="00487162" w:rsidRDefault="00F1729D" w:rsidP="00E45619">
            <w:r>
              <w:t>Vial</w:t>
            </w:r>
          </w:p>
        </w:tc>
      </w:tr>
      <w:tr w:rsidR="008E7846" w:rsidRPr="00487162" w14:paraId="48990F5C" w14:textId="77777777" w:rsidTr="00BF1190">
        <w:tc>
          <w:tcPr>
            <w:tcW w:w="2907" w:type="dxa"/>
          </w:tcPr>
          <w:p w14:paraId="426EB986" w14:textId="261DD82D" w:rsidR="008E7846" w:rsidRPr="00487162" w:rsidRDefault="008E7846" w:rsidP="00E45619">
            <w:pPr>
              <w:rPr>
                <w:i/>
              </w:rPr>
            </w:pPr>
            <w:r w:rsidRPr="00487162">
              <w:rPr>
                <w:i/>
              </w:rPr>
              <w:t>Pack size:</w:t>
            </w:r>
          </w:p>
        </w:tc>
        <w:tc>
          <w:tcPr>
            <w:tcW w:w="6307" w:type="dxa"/>
          </w:tcPr>
          <w:p w14:paraId="2CD027F1" w14:textId="619DDEBA" w:rsidR="008E7846" w:rsidRPr="00487162" w:rsidRDefault="00F1729D" w:rsidP="00E45619">
            <w:r>
              <w:t>One</w:t>
            </w:r>
          </w:p>
        </w:tc>
      </w:tr>
      <w:tr w:rsidR="008E7846" w:rsidRPr="00487162" w14:paraId="26BD740D" w14:textId="77777777" w:rsidTr="00BF1190">
        <w:tc>
          <w:tcPr>
            <w:tcW w:w="2907" w:type="dxa"/>
          </w:tcPr>
          <w:p w14:paraId="32EF08DA"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501984E1" w14:textId="69B76319" w:rsidR="00F1729D" w:rsidRPr="00F1729D" w:rsidRDefault="00F1729D" w:rsidP="00F1729D">
            <w:pPr>
              <w:rPr>
                <w:i/>
                <w:iCs/>
              </w:rPr>
            </w:pPr>
            <w:proofErr w:type="spellStart"/>
            <w:r w:rsidRPr="00F1729D">
              <w:rPr>
                <w:i/>
                <w:iCs/>
              </w:rPr>
              <w:t>Enhertu</w:t>
            </w:r>
            <w:proofErr w:type="spellEnd"/>
            <w:r w:rsidRPr="00F1729D">
              <w:rPr>
                <w:i/>
                <w:iCs/>
              </w:rPr>
              <w:t xml:space="preserve"> is indicated for the treatment of adult patients with unresectable or metastatic HER2 positive breast cancer who have received two or more prior anti HER2-based regimens.</w:t>
            </w:r>
          </w:p>
          <w:p w14:paraId="1733512A" w14:textId="6DC8C4C2" w:rsidR="008E7846" w:rsidRPr="00487162" w:rsidRDefault="00F1729D" w:rsidP="00F1729D">
            <w:pPr>
              <w:rPr>
                <w:rFonts w:eastAsia="MS Mincho"/>
                <w:lang w:eastAsia="ja-JP"/>
              </w:rPr>
            </w:pPr>
            <w:r w:rsidRPr="00F1729D">
              <w:rPr>
                <w:i/>
                <w:iCs/>
              </w:rPr>
              <w:t>This indication is approved via the provisional approval pathway, based on overall response rate and duration of response. Full</w:t>
            </w:r>
            <w:r w:rsidR="005E11EB">
              <w:rPr>
                <w:i/>
                <w:iCs/>
              </w:rPr>
              <w:t> </w:t>
            </w:r>
            <w:r w:rsidRPr="00F1729D">
              <w:rPr>
                <w:i/>
                <w:iCs/>
              </w:rPr>
              <w:t>registration for this indication depends on verification and description of clinical benefit in a confirmatory trial</w:t>
            </w:r>
            <w:r>
              <w:t>.</w:t>
            </w:r>
          </w:p>
        </w:tc>
      </w:tr>
      <w:tr w:rsidR="008E7846" w:rsidRPr="00487162" w14:paraId="1E15FCC8" w14:textId="77777777" w:rsidTr="00BF1190">
        <w:tc>
          <w:tcPr>
            <w:tcW w:w="2907" w:type="dxa"/>
          </w:tcPr>
          <w:p w14:paraId="4D19EE9D" w14:textId="7BB4F86D" w:rsidR="008E7846" w:rsidRPr="00487162" w:rsidRDefault="008E7846" w:rsidP="00E45619">
            <w:pPr>
              <w:rPr>
                <w:i/>
              </w:rPr>
            </w:pPr>
            <w:r w:rsidRPr="00487162">
              <w:rPr>
                <w:i/>
              </w:rPr>
              <w:t>Route of administration:</w:t>
            </w:r>
          </w:p>
        </w:tc>
        <w:tc>
          <w:tcPr>
            <w:tcW w:w="6307" w:type="dxa"/>
          </w:tcPr>
          <w:p w14:paraId="76E3D958" w14:textId="056E2CD5" w:rsidR="008E7846" w:rsidRPr="00487162" w:rsidRDefault="00F1729D" w:rsidP="00E45619">
            <w:r>
              <w:t>Intravenous infusion</w:t>
            </w:r>
          </w:p>
        </w:tc>
      </w:tr>
      <w:tr w:rsidR="008E7846" w:rsidRPr="00487162" w14:paraId="04D15280" w14:textId="77777777" w:rsidTr="00BF1190">
        <w:tc>
          <w:tcPr>
            <w:tcW w:w="2907" w:type="dxa"/>
          </w:tcPr>
          <w:p w14:paraId="4C8F4937" w14:textId="77777777" w:rsidR="008E7846" w:rsidRPr="00487162" w:rsidRDefault="008E7846" w:rsidP="00E45619">
            <w:pPr>
              <w:rPr>
                <w:i/>
              </w:rPr>
            </w:pPr>
            <w:r w:rsidRPr="00487162">
              <w:rPr>
                <w:i/>
              </w:rPr>
              <w:lastRenderedPageBreak/>
              <w:t>Dosage:</w:t>
            </w:r>
          </w:p>
        </w:tc>
        <w:tc>
          <w:tcPr>
            <w:tcW w:w="6307" w:type="dxa"/>
          </w:tcPr>
          <w:p w14:paraId="1B773BB0" w14:textId="77777777" w:rsidR="00F1729D" w:rsidRDefault="00F1729D" w:rsidP="00F1729D">
            <w:r w:rsidRPr="00760E85">
              <w:t xml:space="preserve">The recommended dose of </w:t>
            </w:r>
            <w:proofErr w:type="spellStart"/>
            <w:r w:rsidRPr="00760E85">
              <w:t>Enhertu</w:t>
            </w:r>
            <w:proofErr w:type="spellEnd"/>
            <w:r w:rsidRPr="00760E85">
              <w:t xml:space="preserve"> is 5.4</w:t>
            </w:r>
            <w:r>
              <w:t> </w:t>
            </w:r>
            <w:r w:rsidRPr="00760E85">
              <w:t>mg/kg given as an intravenous infusion once every</w:t>
            </w:r>
            <w:r>
              <w:t xml:space="preserve"> 3</w:t>
            </w:r>
            <w:r w:rsidRPr="00760E85">
              <w:t xml:space="preserve"> weeks (</w:t>
            </w:r>
            <w:proofErr w:type="gramStart"/>
            <w:r w:rsidRPr="00760E85">
              <w:t>21</w:t>
            </w:r>
            <w:r>
              <w:t xml:space="preserve"> </w:t>
            </w:r>
            <w:r w:rsidRPr="00760E85">
              <w:t>day</w:t>
            </w:r>
            <w:proofErr w:type="gramEnd"/>
            <w:r w:rsidRPr="00760E85">
              <w:t xml:space="preserve"> cycle) until disease progression or unacceptable toxicity.</w:t>
            </w:r>
          </w:p>
          <w:p w14:paraId="2FF8A48A" w14:textId="0D2CD551" w:rsidR="008E7846" w:rsidRDefault="00F1729D" w:rsidP="00E45619">
            <w:r>
              <w:t xml:space="preserve">Management of adverse reactions may require temporary interruption, dose reduction, or treatment discontinuation of </w:t>
            </w:r>
            <w:proofErr w:type="spellStart"/>
            <w:r>
              <w:t>Enhertu</w:t>
            </w:r>
            <w:proofErr w:type="spellEnd"/>
            <w:r>
              <w:t xml:space="preserve"> per guidelines provided in the Product Information.</w:t>
            </w:r>
          </w:p>
          <w:p w14:paraId="70CD08A3" w14:textId="77777777" w:rsidR="00460036" w:rsidRPr="00487162" w:rsidRDefault="00460036" w:rsidP="00E45619">
            <w:r w:rsidRPr="00460036">
              <w:t>For further information regarding dosage, refer to the Product Information.</w:t>
            </w:r>
          </w:p>
        </w:tc>
      </w:tr>
      <w:tr w:rsidR="00460036" w:rsidRPr="00487162" w14:paraId="4ED68AEB" w14:textId="77777777" w:rsidTr="00BF1190">
        <w:tc>
          <w:tcPr>
            <w:tcW w:w="2907" w:type="dxa"/>
          </w:tcPr>
          <w:p w14:paraId="6D56A096" w14:textId="77777777" w:rsidR="00460036" w:rsidRPr="00487162" w:rsidRDefault="00460036" w:rsidP="00E45619">
            <w:pPr>
              <w:rPr>
                <w:i/>
              </w:rPr>
            </w:pPr>
            <w:r w:rsidRPr="00460036">
              <w:rPr>
                <w:i/>
              </w:rPr>
              <w:t>Pregnancy category</w:t>
            </w:r>
            <w:r>
              <w:rPr>
                <w:i/>
              </w:rPr>
              <w:t>:</w:t>
            </w:r>
          </w:p>
        </w:tc>
        <w:tc>
          <w:tcPr>
            <w:tcW w:w="6307" w:type="dxa"/>
          </w:tcPr>
          <w:p w14:paraId="583A6875" w14:textId="77777777" w:rsidR="00F1729D" w:rsidRPr="000D365C" w:rsidRDefault="00F1729D" w:rsidP="00F1729D">
            <w:r w:rsidRPr="000D365C">
              <w:t>D</w:t>
            </w:r>
          </w:p>
          <w:p w14:paraId="1EF92CDA" w14:textId="318E5504" w:rsidR="00F1729D" w:rsidRDefault="00F1729D" w:rsidP="00460036">
            <w:r w:rsidRPr="000D365C">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24B1AA14" w14:textId="7B6CFB7F" w:rsidR="00460036" w:rsidRPr="00487162" w:rsidRDefault="00460036" w:rsidP="00460036">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179C486B" w14:textId="77777777" w:rsidR="008E7846" w:rsidRPr="006A00DA" w:rsidRDefault="008E7846" w:rsidP="00D05EC9">
      <w:pPr>
        <w:pStyle w:val="Heading3"/>
      </w:pPr>
      <w:bookmarkStart w:id="16" w:name="_Toc247691503"/>
      <w:bookmarkStart w:id="17" w:name="_Toc314842484"/>
      <w:bookmarkStart w:id="18" w:name="_Toc103589837"/>
      <w:r w:rsidRPr="006A00DA">
        <w:t>Product background</w:t>
      </w:r>
      <w:bookmarkEnd w:id="16"/>
      <w:bookmarkEnd w:id="17"/>
      <w:bookmarkEnd w:id="18"/>
    </w:p>
    <w:p w14:paraId="6192EBB0" w14:textId="234D0DD0" w:rsidR="008E7846" w:rsidRPr="006A00DA" w:rsidRDefault="00250271" w:rsidP="00940A89">
      <w:r w:rsidRPr="006A00DA">
        <w:t xml:space="preserve">This AusPAR describes the application by </w:t>
      </w:r>
      <w:r w:rsidR="00F1729D" w:rsidRPr="006A00DA">
        <w:t>Astra</w:t>
      </w:r>
      <w:r w:rsidR="008750AC" w:rsidRPr="006A00DA">
        <w:t>Zeneca Pty Ltd</w:t>
      </w:r>
      <w:r w:rsidRPr="006A00DA">
        <w:t xml:space="preserve"> (the sponsor) to register </w:t>
      </w:r>
      <w:proofErr w:type="spellStart"/>
      <w:r w:rsidR="008750AC" w:rsidRPr="006A00DA">
        <w:t>Enhertu</w:t>
      </w:r>
      <w:proofErr w:type="spellEnd"/>
      <w:r w:rsidRPr="006A00DA">
        <w:t xml:space="preserve"> (</w:t>
      </w:r>
      <w:r w:rsidR="004B453F">
        <w:t>Trastuzumab</w:t>
      </w:r>
      <w:r w:rsidR="008750AC" w:rsidRPr="006A00DA">
        <w:t xml:space="preserve"> </w:t>
      </w:r>
      <w:proofErr w:type="spellStart"/>
      <w:r w:rsidR="008750AC" w:rsidRPr="006A00DA">
        <w:t>deruxtecan</w:t>
      </w:r>
      <w:proofErr w:type="spellEnd"/>
      <w:r w:rsidRPr="006A00DA">
        <w:t xml:space="preserve">) </w:t>
      </w:r>
      <w:r w:rsidR="008750AC" w:rsidRPr="006A00DA">
        <w:t>100 mg</w:t>
      </w:r>
      <w:r w:rsidRPr="006A00DA">
        <w:t xml:space="preserve">, </w:t>
      </w:r>
      <w:r w:rsidR="008750AC" w:rsidRPr="006A00DA">
        <w:t>powder for injection,</w:t>
      </w:r>
      <w:r w:rsidRPr="006A00DA">
        <w:t xml:space="preserve"> for the following proposed indicatio</w:t>
      </w:r>
      <w:r w:rsidR="008750AC" w:rsidRPr="006A00DA">
        <w:t>n:</w:t>
      </w:r>
    </w:p>
    <w:p w14:paraId="0B00D1A8" w14:textId="50AC7822" w:rsidR="008750AC" w:rsidRPr="006A00DA" w:rsidRDefault="008750AC" w:rsidP="008750AC">
      <w:pPr>
        <w:ind w:left="720"/>
        <w:rPr>
          <w:i/>
          <w:iCs/>
        </w:rPr>
      </w:pPr>
      <w:proofErr w:type="spellStart"/>
      <w:r w:rsidRPr="006A00DA">
        <w:rPr>
          <w:i/>
          <w:iCs/>
        </w:rPr>
        <w:t>Enhertu</w:t>
      </w:r>
      <w:proofErr w:type="spellEnd"/>
      <w:r w:rsidRPr="006A00DA">
        <w:rPr>
          <w:i/>
          <w:iCs/>
        </w:rPr>
        <w:t xml:space="preserve"> is indicated for the treatment of adult patients with unresectable or metastatic HER2-positive breast cancer who have received two or more prior anti</w:t>
      </w:r>
      <w:r w:rsidRPr="006A00DA">
        <w:rPr>
          <w:i/>
          <w:iCs/>
        </w:rPr>
        <w:noBreakHyphen/>
        <w:t>HER2-based regimens.</w:t>
      </w:r>
    </w:p>
    <w:p w14:paraId="5A31AB15" w14:textId="13D79A65" w:rsidR="008750AC" w:rsidRPr="006A00DA" w:rsidRDefault="008750AC" w:rsidP="008750AC">
      <w:r w:rsidRPr="006A00DA">
        <w:t>Breast cancer is the most commonly diagnosed female cancer and the second most leading cause of cancer death in women.</w:t>
      </w:r>
      <w:bookmarkStart w:id="19" w:name="_Ref106046501"/>
      <w:r w:rsidR="005E11EB">
        <w:rPr>
          <w:rStyle w:val="FootnoteReference"/>
        </w:rPr>
        <w:footnoteReference w:id="3"/>
      </w:r>
      <w:bookmarkEnd w:id="19"/>
      <w:r w:rsidR="00D4139B">
        <w:rPr>
          <w:vertAlign w:val="superscript"/>
        </w:rPr>
        <w:t>,</w:t>
      </w:r>
      <w:bookmarkStart w:id="20" w:name="_Ref106046504"/>
      <w:r w:rsidR="00D4139B">
        <w:rPr>
          <w:rStyle w:val="FootnoteReference"/>
        </w:rPr>
        <w:footnoteReference w:id="4"/>
      </w:r>
      <w:bookmarkEnd w:id="20"/>
      <w:r w:rsidR="00733847" w:rsidRPr="006A00DA">
        <w:t xml:space="preserve"> </w:t>
      </w:r>
      <w:r w:rsidRPr="006A00DA">
        <w:t>Breast cancer is mainly a female disease, with only 1% of cases occurring in males worldwide, and occurs more frequently in women over 40 years of age.</w:t>
      </w:r>
      <w:r w:rsidR="00D4139B" w:rsidRPr="00021980">
        <w:rPr>
          <w:vertAlign w:val="superscript"/>
        </w:rPr>
        <w:fldChar w:fldCharType="begin"/>
      </w:r>
      <w:r w:rsidR="00D4139B" w:rsidRPr="00021980">
        <w:rPr>
          <w:vertAlign w:val="superscript"/>
        </w:rPr>
        <w:instrText xml:space="preserve"> NOTEREF _Ref106046501 \h </w:instrText>
      </w:r>
      <w:r w:rsidR="00D4139B">
        <w:rPr>
          <w:vertAlign w:val="superscript"/>
        </w:rPr>
        <w:instrText xml:space="preserve"> \* MERGEFORMAT </w:instrText>
      </w:r>
      <w:r w:rsidR="00D4139B" w:rsidRPr="00021980">
        <w:rPr>
          <w:vertAlign w:val="superscript"/>
        </w:rPr>
      </w:r>
      <w:r w:rsidR="00D4139B" w:rsidRPr="00021980">
        <w:rPr>
          <w:vertAlign w:val="superscript"/>
        </w:rPr>
        <w:fldChar w:fldCharType="separate"/>
      </w:r>
      <w:r w:rsidR="00D4139B" w:rsidRPr="00021980">
        <w:rPr>
          <w:vertAlign w:val="superscript"/>
        </w:rPr>
        <w:t>2</w:t>
      </w:r>
      <w:r w:rsidR="00D4139B" w:rsidRPr="00021980">
        <w:rPr>
          <w:vertAlign w:val="superscript"/>
        </w:rPr>
        <w:fldChar w:fldCharType="end"/>
      </w:r>
      <w:r w:rsidR="00D4139B">
        <w:rPr>
          <w:vertAlign w:val="superscript"/>
        </w:rPr>
        <w:t>,</w:t>
      </w:r>
      <w:r w:rsidR="00D4139B" w:rsidRPr="00021980">
        <w:rPr>
          <w:vertAlign w:val="superscript"/>
        </w:rPr>
        <w:fldChar w:fldCharType="begin"/>
      </w:r>
      <w:r w:rsidR="00D4139B" w:rsidRPr="00021980">
        <w:rPr>
          <w:vertAlign w:val="superscript"/>
        </w:rPr>
        <w:instrText xml:space="preserve"> NOTEREF _Ref106046504 \h </w:instrText>
      </w:r>
      <w:r w:rsidR="00D4139B">
        <w:rPr>
          <w:vertAlign w:val="superscript"/>
        </w:rPr>
        <w:instrText xml:space="preserve"> \* MERGEFORMAT </w:instrText>
      </w:r>
      <w:r w:rsidR="00D4139B" w:rsidRPr="00021980">
        <w:rPr>
          <w:vertAlign w:val="superscript"/>
        </w:rPr>
      </w:r>
      <w:r w:rsidR="00D4139B" w:rsidRPr="00021980">
        <w:rPr>
          <w:vertAlign w:val="superscript"/>
        </w:rPr>
        <w:fldChar w:fldCharType="separate"/>
      </w:r>
      <w:r w:rsidR="00D4139B" w:rsidRPr="00021980">
        <w:rPr>
          <w:vertAlign w:val="superscript"/>
        </w:rPr>
        <w:t>3</w:t>
      </w:r>
      <w:r w:rsidR="00D4139B" w:rsidRPr="00021980">
        <w:rPr>
          <w:vertAlign w:val="superscript"/>
        </w:rPr>
        <w:fldChar w:fldCharType="end"/>
      </w:r>
      <w:r w:rsidRPr="006A00DA">
        <w:t xml:space="preserve"> Known risk factors for breast cancer include older age, family history, genetic alterations, hormone therapy, and obesity.</w:t>
      </w:r>
      <w:bookmarkStart w:id="21" w:name="_Ref106048052"/>
      <w:r w:rsidR="007A5CD8">
        <w:rPr>
          <w:rStyle w:val="FootnoteReference"/>
        </w:rPr>
        <w:footnoteReference w:id="5"/>
      </w:r>
      <w:bookmarkEnd w:id="21"/>
    </w:p>
    <w:p w14:paraId="3E7D2091" w14:textId="72B7B530" w:rsidR="008750AC" w:rsidRPr="006A00DA" w:rsidRDefault="008750AC" w:rsidP="008750AC">
      <w:r w:rsidRPr="006A00DA">
        <w:t>Approximately 20% of patients with breast cancer have human epidermal growth factor receptor 2 (HER2)</w:t>
      </w:r>
      <w:r w:rsidR="00733847" w:rsidRPr="006A00DA">
        <w:t>-</w:t>
      </w:r>
      <w:r w:rsidRPr="006A00DA">
        <w:t xml:space="preserve">positive tumours (that is tumours scored as 3 + by immunohistochemistry or that demonstrate gene amplification by </w:t>
      </w:r>
      <w:r w:rsidRPr="006A00DA">
        <w:rPr>
          <w:i/>
          <w:iCs/>
        </w:rPr>
        <w:t>in situ</w:t>
      </w:r>
      <w:r w:rsidRPr="006A00DA">
        <w:t xml:space="preserve"> hybridisation).</w:t>
      </w:r>
      <w:r w:rsidR="007A5CD8">
        <w:rPr>
          <w:rStyle w:val="FootnoteReference"/>
        </w:rPr>
        <w:footnoteReference w:id="6"/>
      </w:r>
      <w:r w:rsidRPr="006A00DA">
        <w:t xml:space="preserve"> HER2 positivity is associated with a more aggressive disease and a younger patient </w:t>
      </w:r>
      <w:r w:rsidRPr="006A00DA">
        <w:lastRenderedPageBreak/>
        <w:t xml:space="preserve">population. Based on 2010 </w:t>
      </w:r>
      <w:r w:rsidR="00733847" w:rsidRPr="006A00DA">
        <w:t>S</w:t>
      </w:r>
      <w:r w:rsidRPr="006A00DA">
        <w:t xml:space="preserve">urveillance, </w:t>
      </w:r>
      <w:r w:rsidR="00733847" w:rsidRPr="006A00DA">
        <w:t>E</w:t>
      </w:r>
      <w:r w:rsidRPr="006A00DA">
        <w:t xml:space="preserve">pidemiology, and </w:t>
      </w:r>
      <w:r w:rsidR="00733847" w:rsidRPr="006A00DA">
        <w:t>E</w:t>
      </w:r>
      <w:r w:rsidRPr="006A00DA">
        <w:t>nd results (SEER-</w:t>
      </w:r>
      <w:proofErr w:type="spellStart"/>
      <w:r w:rsidRPr="006A00DA">
        <w:t>medicare</w:t>
      </w:r>
      <w:proofErr w:type="spellEnd"/>
      <w:r w:rsidRPr="006A00DA">
        <w:t>)</w:t>
      </w:r>
      <w:r w:rsidR="00733847" w:rsidRPr="006A00DA">
        <w:t>;</w:t>
      </w:r>
      <w:bookmarkStart w:id="22" w:name="_Ref106047961"/>
      <w:r w:rsidR="00733847" w:rsidRPr="006A00DA">
        <w:rPr>
          <w:rStyle w:val="FootnoteReference"/>
        </w:rPr>
        <w:footnoteReference w:id="7"/>
      </w:r>
      <w:bookmarkEnd w:id="22"/>
      <w:r w:rsidRPr="006A00DA">
        <w:t xml:space="preserve"> data collected in the United States of America (USA), at diagnosis, patients with HER2</w:t>
      </w:r>
      <w:r w:rsidR="00BF4524">
        <w:noBreakHyphen/>
      </w:r>
      <w:r w:rsidRPr="006A00DA">
        <w:t>positive breast cancer are less likely to be above 65 years old, and more likely to present at Stage III or IV</w:t>
      </w:r>
      <w:r w:rsidR="00BF4524">
        <w:t>;</w:t>
      </w:r>
      <w:r w:rsidR="00BF4524">
        <w:rPr>
          <w:rStyle w:val="FootnoteReference"/>
        </w:rPr>
        <w:footnoteReference w:id="8"/>
      </w:r>
      <w:r w:rsidRPr="006A00DA">
        <w:t xml:space="preserve"> than either hormone receptor positive/HER2</w:t>
      </w:r>
      <w:r w:rsidR="007510EC" w:rsidRPr="006A00DA">
        <w:noBreakHyphen/>
      </w:r>
      <w:r w:rsidRPr="006A00DA">
        <w:t>negative or triple negative breast cancer, with tumours that are 6.4</w:t>
      </w:r>
      <w:r w:rsidR="00BF4524">
        <w:t>-</w:t>
      </w:r>
      <w:r w:rsidRPr="006A00DA">
        <w:t>fold to 16.8</w:t>
      </w:r>
      <w:r w:rsidR="00BF4524">
        <w:t>-</w:t>
      </w:r>
      <w:r w:rsidRPr="006A00DA">
        <w:t>fold more likely to be high grade compared to hormone receptor-positive/HER2-negative tumours.</w:t>
      </w:r>
      <w:r w:rsidR="00BF4524" w:rsidRPr="00021980">
        <w:rPr>
          <w:vertAlign w:val="superscript"/>
        </w:rPr>
        <w:fldChar w:fldCharType="begin"/>
      </w:r>
      <w:r w:rsidR="00BF4524" w:rsidRPr="00021980">
        <w:rPr>
          <w:vertAlign w:val="superscript"/>
        </w:rPr>
        <w:instrText xml:space="preserve"> NOTEREF _Ref106047961 \h </w:instrText>
      </w:r>
      <w:r w:rsidR="00BF4524">
        <w:rPr>
          <w:vertAlign w:val="superscript"/>
        </w:rPr>
        <w:instrText xml:space="preserve"> \* MERGEFORMAT </w:instrText>
      </w:r>
      <w:r w:rsidR="00BF4524" w:rsidRPr="00021980">
        <w:rPr>
          <w:vertAlign w:val="superscript"/>
        </w:rPr>
      </w:r>
      <w:r w:rsidR="00BF4524" w:rsidRPr="00021980">
        <w:rPr>
          <w:vertAlign w:val="superscript"/>
        </w:rPr>
        <w:fldChar w:fldCharType="separate"/>
      </w:r>
      <w:r w:rsidR="00BF4524" w:rsidRPr="00021980">
        <w:rPr>
          <w:vertAlign w:val="superscript"/>
        </w:rPr>
        <w:t>6</w:t>
      </w:r>
      <w:r w:rsidR="00BF4524" w:rsidRPr="00021980">
        <w:rPr>
          <w:vertAlign w:val="superscript"/>
        </w:rPr>
        <w:fldChar w:fldCharType="end"/>
      </w:r>
    </w:p>
    <w:p w14:paraId="61572FA5" w14:textId="51AA7FF3" w:rsidR="008750AC" w:rsidRPr="006A00DA" w:rsidRDefault="008750AC" w:rsidP="008750AC">
      <w:r w:rsidRPr="006A00DA">
        <w:t>Metastatic HER2</w:t>
      </w:r>
      <w:r w:rsidR="00733847" w:rsidRPr="006A00DA">
        <w:t>-</w:t>
      </w:r>
      <w:r w:rsidRPr="006A00DA">
        <w:t>positive breast cancer remains a fatal disease. Although treatment with anti-HER2 therapies has improved the disease outcomes for patients with unresectable or metastatic HER2-positive breast cancer, patients invariably progress.</w:t>
      </w:r>
      <w:r w:rsidR="00BF4524" w:rsidRPr="00021980">
        <w:rPr>
          <w:vertAlign w:val="superscript"/>
        </w:rPr>
        <w:fldChar w:fldCharType="begin"/>
      </w:r>
      <w:r w:rsidR="00BF4524" w:rsidRPr="00021980">
        <w:rPr>
          <w:vertAlign w:val="superscript"/>
        </w:rPr>
        <w:instrText xml:space="preserve"> NOTEREF _Ref106048052 \h </w:instrText>
      </w:r>
      <w:r w:rsidR="00BF4524">
        <w:rPr>
          <w:vertAlign w:val="superscript"/>
        </w:rPr>
        <w:instrText xml:space="preserve"> \* MERGEFORMAT </w:instrText>
      </w:r>
      <w:r w:rsidR="00BF4524" w:rsidRPr="00021980">
        <w:rPr>
          <w:vertAlign w:val="superscript"/>
        </w:rPr>
      </w:r>
      <w:r w:rsidR="00BF4524" w:rsidRPr="00021980">
        <w:rPr>
          <w:vertAlign w:val="superscript"/>
        </w:rPr>
        <w:fldChar w:fldCharType="separate"/>
      </w:r>
      <w:r w:rsidR="00BF4524" w:rsidRPr="00021980">
        <w:rPr>
          <w:vertAlign w:val="superscript"/>
        </w:rPr>
        <w:t>4</w:t>
      </w:r>
      <w:r w:rsidR="00BF4524" w:rsidRPr="00021980">
        <w:rPr>
          <w:vertAlign w:val="superscript"/>
        </w:rPr>
        <w:fldChar w:fldCharType="end"/>
      </w:r>
    </w:p>
    <w:p w14:paraId="67AD599F" w14:textId="37FC14D6" w:rsidR="008750AC" w:rsidRPr="006A00DA" w:rsidRDefault="008750AC" w:rsidP="008750AC">
      <w:r w:rsidRPr="006A00DA">
        <w:t>There is no standard treatment regimen for patients with unresectable or metastatic HER2-positive breast cancer who have received two or more prior anti-HER2 based regimens. The following HER2</w:t>
      </w:r>
      <w:r w:rsidR="00733847" w:rsidRPr="006A00DA">
        <w:t>-</w:t>
      </w:r>
      <w:r w:rsidRPr="006A00DA">
        <w:t xml:space="preserve">directed therapies are registered in Australia for use in combination with other chemotherapeutic agents in the neoadjuvant, adjuvant and/or </w:t>
      </w:r>
      <w:proofErr w:type="gramStart"/>
      <w:r w:rsidRPr="006A00DA">
        <w:t>follow on</w:t>
      </w:r>
      <w:proofErr w:type="gramEnd"/>
      <w:r w:rsidRPr="006A00DA">
        <w:t xml:space="preserve"> treatment of HER2</w:t>
      </w:r>
      <w:r w:rsidR="00733847" w:rsidRPr="006A00DA">
        <w:t>-</w:t>
      </w:r>
      <w:r w:rsidRPr="006A00DA">
        <w:t>positive breast cancer:</w:t>
      </w:r>
    </w:p>
    <w:p w14:paraId="59E03C75" w14:textId="0CAEEAB3" w:rsidR="008750AC" w:rsidRPr="006A00DA" w:rsidRDefault="008750AC" w:rsidP="008750AC">
      <w:pPr>
        <w:pStyle w:val="ListBullet"/>
      </w:pPr>
      <w:r w:rsidRPr="006A00DA">
        <w:t>Monoclonal antibodies</w:t>
      </w:r>
    </w:p>
    <w:p w14:paraId="00540501" w14:textId="5375395D" w:rsidR="008750AC" w:rsidRPr="006A00DA" w:rsidRDefault="004B453F" w:rsidP="008750AC">
      <w:pPr>
        <w:pStyle w:val="ListBullet2"/>
      </w:pPr>
      <w:r>
        <w:t>Trastuzumab</w:t>
      </w:r>
      <w:r w:rsidR="00733847" w:rsidRPr="006A00DA">
        <w:t>;</w:t>
      </w:r>
      <w:r w:rsidR="00733847" w:rsidRPr="006A00DA">
        <w:rPr>
          <w:rStyle w:val="FootnoteReference"/>
        </w:rPr>
        <w:footnoteReference w:id="9"/>
      </w:r>
      <w:r w:rsidR="008750AC" w:rsidRPr="006A00DA">
        <w:t xml:space="preserve"> </w:t>
      </w:r>
      <w:proofErr w:type="spellStart"/>
      <w:r w:rsidR="008750AC" w:rsidRPr="006A00DA">
        <w:t>pertuzumab</w:t>
      </w:r>
      <w:proofErr w:type="spellEnd"/>
      <w:r w:rsidR="008750AC" w:rsidRPr="006A00DA">
        <w:t>;</w:t>
      </w:r>
      <w:bookmarkStart w:id="23" w:name="_Ref103243389"/>
      <w:r w:rsidR="00733847" w:rsidRPr="006A00DA">
        <w:rPr>
          <w:rStyle w:val="FootnoteReference"/>
        </w:rPr>
        <w:footnoteReference w:id="10"/>
      </w:r>
      <w:bookmarkEnd w:id="23"/>
      <w:r w:rsidR="009962DB">
        <w:rPr>
          <w:vertAlign w:val="superscript"/>
        </w:rPr>
        <w:t>,</w:t>
      </w:r>
      <w:bookmarkStart w:id="24" w:name="_Ref106051065"/>
      <w:r w:rsidR="009962DB">
        <w:rPr>
          <w:rStyle w:val="FootnoteReference"/>
        </w:rPr>
        <w:footnoteReference w:id="11"/>
      </w:r>
      <w:bookmarkEnd w:id="24"/>
      <w:r w:rsidR="009962DB">
        <w:rPr>
          <w:vertAlign w:val="superscript"/>
        </w:rPr>
        <w:t xml:space="preserve"> </w:t>
      </w:r>
      <w:r w:rsidR="009962DB">
        <w:t xml:space="preserve">and a combination of </w:t>
      </w:r>
      <w:r>
        <w:t>Trastuzumab</w:t>
      </w:r>
      <w:r w:rsidR="009962DB">
        <w:t>/</w:t>
      </w:r>
      <w:proofErr w:type="spellStart"/>
      <w:r w:rsidR="009962DB">
        <w:t>pertuzumab</w:t>
      </w:r>
      <w:proofErr w:type="spellEnd"/>
      <w:r w:rsidR="009962DB">
        <w:t>;</w:t>
      </w:r>
      <w:r w:rsidR="009A22C9">
        <w:rPr>
          <w:rStyle w:val="FootnoteReference"/>
        </w:rPr>
        <w:footnoteReference w:id="12"/>
      </w:r>
      <w:r w:rsidR="009A22C9">
        <w:rPr>
          <w:vertAlign w:val="superscript"/>
        </w:rPr>
        <w:t>,</w:t>
      </w:r>
      <w:r w:rsidR="009962DB">
        <w:rPr>
          <w:rStyle w:val="FootnoteReference"/>
        </w:rPr>
        <w:footnoteReference w:id="13"/>
      </w:r>
    </w:p>
    <w:p w14:paraId="65047C5A" w14:textId="73F7779B" w:rsidR="008750AC" w:rsidRPr="006A00DA" w:rsidRDefault="0093533F" w:rsidP="008750AC">
      <w:pPr>
        <w:pStyle w:val="ListBullet"/>
      </w:pPr>
      <w:r>
        <w:t>Monoclonal antibody</w:t>
      </w:r>
      <w:r w:rsidR="008750AC" w:rsidRPr="006A00DA">
        <w:t xml:space="preserve"> drug conjugates</w:t>
      </w:r>
    </w:p>
    <w:p w14:paraId="32509B7B" w14:textId="063958C9" w:rsidR="008750AC" w:rsidRPr="006A00DA" w:rsidRDefault="004B453F" w:rsidP="008750AC">
      <w:pPr>
        <w:pStyle w:val="ListBullet2"/>
      </w:pPr>
      <w:r>
        <w:t>Trastuzumab</w:t>
      </w:r>
      <w:r w:rsidR="008750AC" w:rsidRPr="006A00DA">
        <w:t xml:space="preserve"> emtan</w:t>
      </w:r>
      <w:r w:rsidR="00D971A1" w:rsidRPr="006A00DA">
        <w:t>s</w:t>
      </w:r>
      <w:r w:rsidR="008750AC" w:rsidRPr="006A00DA">
        <w:t>ine;</w:t>
      </w:r>
      <w:bookmarkStart w:id="25" w:name="_Ref103242244"/>
      <w:r w:rsidR="00D971A1" w:rsidRPr="006A00DA">
        <w:rPr>
          <w:rStyle w:val="FootnoteReference"/>
        </w:rPr>
        <w:footnoteReference w:id="14"/>
      </w:r>
      <w:bookmarkEnd w:id="25"/>
      <w:r w:rsidR="009962DB">
        <w:rPr>
          <w:vertAlign w:val="superscript"/>
        </w:rPr>
        <w:t>,</w:t>
      </w:r>
      <w:bookmarkStart w:id="26" w:name="_Ref106050689"/>
      <w:r w:rsidR="009962DB">
        <w:rPr>
          <w:rStyle w:val="FootnoteReference"/>
        </w:rPr>
        <w:footnoteReference w:id="15"/>
      </w:r>
      <w:bookmarkEnd w:id="26"/>
    </w:p>
    <w:p w14:paraId="021036BC" w14:textId="77777777" w:rsidR="008750AC" w:rsidRPr="006A00DA" w:rsidRDefault="008750AC" w:rsidP="008750AC">
      <w:pPr>
        <w:pStyle w:val="ListBullet"/>
      </w:pPr>
      <w:r w:rsidRPr="006A00DA">
        <w:t xml:space="preserve">Tyrosine kinase inhibitors </w:t>
      </w:r>
    </w:p>
    <w:p w14:paraId="5969864A" w14:textId="47CBB9BF" w:rsidR="008750AC" w:rsidRPr="006A00DA" w:rsidRDefault="008750AC" w:rsidP="008750AC">
      <w:pPr>
        <w:pStyle w:val="ListBullet2"/>
      </w:pPr>
      <w:r w:rsidRPr="006A00DA">
        <w:t>neratinib;</w:t>
      </w:r>
      <w:r w:rsidR="00D971A1" w:rsidRPr="006A00DA">
        <w:rPr>
          <w:rStyle w:val="FootnoteReference"/>
        </w:rPr>
        <w:footnoteReference w:id="16"/>
      </w:r>
      <w:r w:rsidR="009A22C9">
        <w:rPr>
          <w:vertAlign w:val="superscript"/>
        </w:rPr>
        <w:t>,</w:t>
      </w:r>
      <w:r w:rsidR="009A22C9">
        <w:rPr>
          <w:rStyle w:val="FootnoteReference"/>
        </w:rPr>
        <w:footnoteReference w:id="17"/>
      </w:r>
      <w:r w:rsidRPr="006A00DA">
        <w:t xml:space="preserve"> tucatinib</w:t>
      </w:r>
      <w:r w:rsidR="00D971A1" w:rsidRPr="006A00DA">
        <w:t>;</w:t>
      </w:r>
      <w:r w:rsidR="00D971A1" w:rsidRPr="006A00DA">
        <w:rPr>
          <w:rStyle w:val="FootnoteReference"/>
        </w:rPr>
        <w:footnoteReference w:id="18"/>
      </w:r>
      <w:r w:rsidR="009A22C9">
        <w:rPr>
          <w:rStyle w:val="FootnoteReference"/>
        </w:rPr>
        <w:footnoteReference w:id="19"/>
      </w:r>
      <w:r w:rsidRPr="006A00DA">
        <w:t xml:space="preserve"> and lapatinib.</w:t>
      </w:r>
      <w:r w:rsidR="00D971A1" w:rsidRPr="006A00DA">
        <w:rPr>
          <w:rStyle w:val="FootnoteReference"/>
        </w:rPr>
        <w:footnoteReference w:id="20"/>
      </w:r>
    </w:p>
    <w:p w14:paraId="4051AD7C" w14:textId="34A1C9C7" w:rsidR="008750AC" w:rsidRPr="006A00DA" w:rsidRDefault="008750AC" w:rsidP="00EF45B6">
      <w:r w:rsidRPr="006A00DA">
        <w:t xml:space="preserve">The standard of care for first line metastatic HER2 positive breast cancer in the USA is the combination of </w:t>
      </w:r>
      <w:r w:rsidR="004B453F">
        <w:t>Trastuzumab</w:t>
      </w:r>
      <w:r w:rsidRPr="006A00DA">
        <w:t xml:space="preserve">, </w:t>
      </w:r>
      <w:proofErr w:type="spellStart"/>
      <w:r w:rsidRPr="006A00DA">
        <w:t>pertuzumab</w:t>
      </w:r>
      <w:proofErr w:type="spellEnd"/>
      <w:r w:rsidRPr="006A00DA">
        <w:t xml:space="preserve">, and </w:t>
      </w:r>
      <w:proofErr w:type="spellStart"/>
      <w:r w:rsidRPr="006A00DA">
        <w:t>taxane</w:t>
      </w:r>
      <w:proofErr w:type="spellEnd"/>
      <w:r w:rsidRPr="006A00DA">
        <w:t>.</w:t>
      </w:r>
      <w:r w:rsidR="005F41FF">
        <w:rPr>
          <w:rStyle w:val="FootnoteReference"/>
        </w:rPr>
        <w:footnoteReference w:id="21"/>
      </w:r>
    </w:p>
    <w:p w14:paraId="7D4F3D96" w14:textId="2C0A5958" w:rsidR="008750AC" w:rsidRPr="006A00DA" w:rsidRDefault="008750AC" w:rsidP="00EF45B6">
      <w:r w:rsidRPr="006A00DA">
        <w:t xml:space="preserve">To date there is only one other </w:t>
      </w:r>
      <w:r w:rsidR="005F41FF">
        <w:t>monoclonal antibody</w:t>
      </w:r>
      <w:r w:rsidR="005F41FF" w:rsidRPr="006A00DA">
        <w:t xml:space="preserve"> </w:t>
      </w:r>
      <w:r w:rsidRPr="006A00DA">
        <w:t>drug conjugate approved for use in the treatment of HER2</w:t>
      </w:r>
      <w:r w:rsidR="007510EC" w:rsidRPr="006A00DA">
        <w:noBreakHyphen/>
      </w:r>
      <w:r w:rsidRPr="006A00DA">
        <w:t xml:space="preserve">positive breast cancer in Australia. </w:t>
      </w:r>
      <w:r w:rsidR="004B453F">
        <w:t>Trastuzumab</w:t>
      </w:r>
      <w:r w:rsidRPr="006A00DA">
        <w:t xml:space="preserve"> emtansine (</w:t>
      </w:r>
      <w:proofErr w:type="spellStart"/>
      <w:r w:rsidRPr="006A00DA">
        <w:t>Kadcyla</w:t>
      </w:r>
      <w:proofErr w:type="spellEnd"/>
      <w:r w:rsidRPr="006A00DA">
        <w:t>)</w:t>
      </w:r>
      <w:r w:rsidR="00636D55" w:rsidRPr="00021980">
        <w:rPr>
          <w:vertAlign w:val="superscript"/>
        </w:rPr>
        <w:fldChar w:fldCharType="begin"/>
      </w:r>
      <w:r w:rsidR="00636D55" w:rsidRPr="00021980">
        <w:rPr>
          <w:vertAlign w:val="superscript"/>
        </w:rPr>
        <w:instrText xml:space="preserve"> NOTEREF _Ref103242244 \h </w:instrText>
      </w:r>
      <w:r w:rsidR="00636D55">
        <w:rPr>
          <w:vertAlign w:val="superscript"/>
        </w:rPr>
        <w:instrText xml:space="preserve"> \* MERGEFORMAT </w:instrText>
      </w:r>
      <w:r w:rsidR="00636D55" w:rsidRPr="00021980">
        <w:rPr>
          <w:vertAlign w:val="superscript"/>
        </w:rPr>
      </w:r>
      <w:r w:rsidR="00636D55" w:rsidRPr="00021980">
        <w:rPr>
          <w:vertAlign w:val="superscript"/>
        </w:rPr>
        <w:fldChar w:fldCharType="separate"/>
      </w:r>
      <w:r w:rsidR="00636D55" w:rsidRPr="00021980">
        <w:rPr>
          <w:vertAlign w:val="superscript"/>
        </w:rPr>
        <w:t>13</w:t>
      </w:r>
      <w:r w:rsidR="00636D55" w:rsidRPr="00021980">
        <w:rPr>
          <w:vertAlign w:val="superscript"/>
        </w:rPr>
        <w:fldChar w:fldCharType="end"/>
      </w:r>
      <w:r w:rsidR="00636D55" w:rsidRPr="00021980">
        <w:rPr>
          <w:vertAlign w:val="superscript"/>
        </w:rPr>
        <w:t>,</w:t>
      </w:r>
      <w:r w:rsidR="00636D55" w:rsidRPr="00021980">
        <w:rPr>
          <w:vertAlign w:val="superscript"/>
        </w:rPr>
        <w:fldChar w:fldCharType="begin"/>
      </w:r>
      <w:r w:rsidR="00636D55" w:rsidRPr="00021980">
        <w:rPr>
          <w:vertAlign w:val="superscript"/>
        </w:rPr>
        <w:instrText xml:space="preserve"> NOTEREF _Ref106050689 \h </w:instrText>
      </w:r>
      <w:r w:rsidR="00636D55">
        <w:rPr>
          <w:vertAlign w:val="superscript"/>
        </w:rPr>
        <w:instrText xml:space="preserve"> \* MERGEFORMAT </w:instrText>
      </w:r>
      <w:r w:rsidR="00636D55" w:rsidRPr="00021980">
        <w:rPr>
          <w:vertAlign w:val="superscript"/>
        </w:rPr>
      </w:r>
      <w:r w:rsidR="00636D55" w:rsidRPr="00021980">
        <w:rPr>
          <w:vertAlign w:val="superscript"/>
        </w:rPr>
        <w:fldChar w:fldCharType="separate"/>
      </w:r>
      <w:r w:rsidR="00636D55" w:rsidRPr="00021980">
        <w:rPr>
          <w:vertAlign w:val="superscript"/>
        </w:rPr>
        <w:t>14</w:t>
      </w:r>
      <w:r w:rsidR="00636D55" w:rsidRPr="00021980">
        <w:rPr>
          <w:vertAlign w:val="superscript"/>
        </w:rPr>
        <w:fldChar w:fldCharType="end"/>
      </w:r>
      <w:r w:rsidRPr="006A00DA">
        <w:t xml:space="preserve"> contains the humanised anti-HER2 </w:t>
      </w:r>
      <w:r w:rsidR="009207BC" w:rsidRPr="006A00DA">
        <w:t>immunoglobulin G subclass 1 (</w:t>
      </w:r>
      <w:r w:rsidRPr="006A00DA">
        <w:t>IgG1</w:t>
      </w:r>
      <w:r w:rsidR="009207BC" w:rsidRPr="006A00DA">
        <w:t>)</w:t>
      </w:r>
      <w:r w:rsidRPr="006A00DA">
        <w:t xml:space="preserve"> </w:t>
      </w:r>
      <w:r w:rsidRPr="006A00DA">
        <w:lastRenderedPageBreak/>
        <w:t xml:space="preserve">antibody </w:t>
      </w:r>
      <w:r w:rsidR="004B453F">
        <w:t>Trastuzumab</w:t>
      </w:r>
      <w:r w:rsidRPr="006A00DA">
        <w:t>, covalently linked to the small molecule cytotoxin, DM1. It is the preferred second line treatment option in the USA and is also indicated as a single agent for the treatment of patients with HER2</w:t>
      </w:r>
      <w:r w:rsidR="009207BC" w:rsidRPr="006A00DA">
        <w:t>-</w:t>
      </w:r>
      <w:r w:rsidRPr="006A00DA">
        <w:t xml:space="preserve">positive metastatic (Stage IV) breast cancer who have previously received </w:t>
      </w:r>
      <w:r w:rsidR="004B453F">
        <w:t>Trastuzumab</w:t>
      </w:r>
      <w:r w:rsidRPr="006A00DA">
        <w:t xml:space="preserve"> and a </w:t>
      </w:r>
      <w:proofErr w:type="spellStart"/>
      <w:r w:rsidRPr="006A00DA">
        <w:t>taxane</w:t>
      </w:r>
      <w:proofErr w:type="spellEnd"/>
      <w:r w:rsidRPr="006A00DA">
        <w:t xml:space="preserve">, separately or in combination. Beyond the second line, treatment options are more limited and include lapatinib and capecitabine, or </w:t>
      </w:r>
      <w:r w:rsidR="004B453F">
        <w:t>Trastuzumab</w:t>
      </w:r>
      <w:r w:rsidRPr="006A00DA">
        <w:t xml:space="preserve"> combined with a chemotherapeutic agent.</w:t>
      </w:r>
    </w:p>
    <w:p w14:paraId="68BAB375" w14:textId="5D4CB072" w:rsidR="008750AC" w:rsidRPr="006A00DA" w:rsidRDefault="008750AC" w:rsidP="00EF45B6">
      <w:r w:rsidRPr="006A00DA">
        <w:t>Recently, results from two studies evaluating combination therapies in patients with metastatic</w:t>
      </w:r>
      <w:r w:rsidR="001B3BA6" w:rsidRPr="006A00DA">
        <w:t xml:space="preserve"> </w:t>
      </w:r>
      <w:r w:rsidRPr="006A00DA">
        <w:t xml:space="preserve">HER2-positive breast cancer who had received </w:t>
      </w:r>
      <w:r w:rsidR="00364A02" w:rsidRPr="006A00DA">
        <w:t>two</w:t>
      </w:r>
      <w:r w:rsidRPr="006A00DA">
        <w:t xml:space="preserve"> or more prior regimens of anti-HER2 therapy underlined the poor disease outcomes for this patient population. The SOPHIA </w:t>
      </w:r>
      <w:r w:rsidR="00364A02" w:rsidRPr="006A00DA">
        <w:t>trial</w:t>
      </w:r>
      <w:r w:rsidR="00E11402" w:rsidRPr="006A00DA">
        <w:t>;</w:t>
      </w:r>
      <w:r w:rsidR="00E11402" w:rsidRPr="006A00DA">
        <w:rPr>
          <w:rStyle w:val="FootnoteReference"/>
        </w:rPr>
        <w:footnoteReference w:id="22"/>
      </w:r>
      <w:r w:rsidRPr="006A00DA">
        <w:t xml:space="preserve"> was a randomised (1:1), open</w:t>
      </w:r>
      <w:r w:rsidR="00364A02" w:rsidRPr="006A00DA">
        <w:t xml:space="preserve"> </w:t>
      </w:r>
      <w:r w:rsidRPr="006A00DA">
        <w:t xml:space="preserve">label, Phase </w:t>
      </w:r>
      <w:r w:rsidR="00364A02" w:rsidRPr="006A00DA">
        <w:t>III</w:t>
      </w:r>
      <w:r w:rsidRPr="006A00DA">
        <w:t xml:space="preserve"> study comparing </w:t>
      </w:r>
      <w:proofErr w:type="spellStart"/>
      <w:r w:rsidRPr="006A00DA">
        <w:t>margetuximab</w:t>
      </w:r>
      <w:proofErr w:type="spellEnd"/>
      <w:r w:rsidRPr="006A00DA">
        <w:t xml:space="preserve"> plus chemotherapy (</w:t>
      </w:r>
      <w:r w:rsidR="00E11402" w:rsidRPr="006A00DA">
        <w:t>n</w:t>
      </w:r>
      <w:r w:rsidRPr="006A00DA">
        <w:t xml:space="preserve"> = 266) versus </w:t>
      </w:r>
      <w:r w:rsidR="004B453F">
        <w:t>Trastuzumab</w:t>
      </w:r>
      <w:r w:rsidRPr="006A00DA">
        <w:t xml:space="preserve"> plus chemotherapy (</w:t>
      </w:r>
      <w:r w:rsidR="00E11402" w:rsidRPr="006A00DA">
        <w:t>n</w:t>
      </w:r>
      <w:r w:rsidR="007510EC" w:rsidRPr="006A00DA">
        <w:t> </w:t>
      </w:r>
      <w:r w:rsidRPr="006A00DA">
        <w:t>=</w:t>
      </w:r>
      <w:r w:rsidR="007510EC" w:rsidRPr="006A00DA">
        <w:t> </w:t>
      </w:r>
      <w:r w:rsidRPr="006A00DA">
        <w:t xml:space="preserve">270) in patients with metastatic HER2-positive breast cancer who had received </w:t>
      </w:r>
      <w:proofErr w:type="spellStart"/>
      <w:r w:rsidRPr="006A00DA">
        <w:t>pertuzumab</w:t>
      </w:r>
      <w:proofErr w:type="spellEnd"/>
      <w:r w:rsidRPr="006A00DA">
        <w:t xml:space="preserve"> and 1 to 3 prior lines of therapy. </w:t>
      </w:r>
      <w:r w:rsidR="00636D55" w:rsidRPr="006A00DA">
        <w:t>Ninety-one</w:t>
      </w:r>
      <w:r w:rsidRPr="006A00DA">
        <w:t xml:space="preserve"> percent of patients randomised to the </w:t>
      </w:r>
      <w:proofErr w:type="spellStart"/>
      <w:r w:rsidRPr="006A00DA">
        <w:t>margetuximab</w:t>
      </w:r>
      <w:proofErr w:type="spellEnd"/>
      <w:r w:rsidRPr="006A00DA">
        <w:t xml:space="preserve"> plus chemotherapy arm and 92% of patients randomised to the </w:t>
      </w:r>
      <w:r w:rsidR="004B453F">
        <w:t>Trastuzumab</w:t>
      </w:r>
      <w:r w:rsidRPr="006A00DA">
        <w:t xml:space="preserve"> plus chemotherapy arm had received prior </w:t>
      </w:r>
      <w:r w:rsidR="004B453F">
        <w:t>Trastuzumab</w:t>
      </w:r>
      <w:r w:rsidR="00E11402" w:rsidRPr="006A00DA">
        <w:t xml:space="preserve"> emtansine</w:t>
      </w:r>
      <w:r w:rsidRPr="006A00DA">
        <w:t xml:space="preserve">. The NALA </w:t>
      </w:r>
      <w:r w:rsidR="00387B9B" w:rsidRPr="006A00DA">
        <w:t>trial</w:t>
      </w:r>
      <w:r w:rsidR="00E11402" w:rsidRPr="006A00DA">
        <w:t>;</w:t>
      </w:r>
      <w:r w:rsidR="00E11402" w:rsidRPr="006A00DA">
        <w:rPr>
          <w:rStyle w:val="FootnoteReference"/>
        </w:rPr>
        <w:footnoteReference w:id="23"/>
      </w:r>
      <w:r w:rsidRPr="006A00DA">
        <w:t xml:space="preserve"> was a randomised (1:1), open</w:t>
      </w:r>
      <w:r w:rsidR="00364A02" w:rsidRPr="006A00DA">
        <w:t xml:space="preserve"> </w:t>
      </w:r>
      <w:r w:rsidRPr="006A00DA">
        <w:t xml:space="preserve">label, Phase </w:t>
      </w:r>
      <w:r w:rsidR="00364A02" w:rsidRPr="006A00DA">
        <w:t>III</w:t>
      </w:r>
      <w:r w:rsidRPr="006A00DA">
        <w:t xml:space="preserve"> study comparing neratinib plus capecitabine (</w:t>
      </w:r>
      <w:r w:rsidR="00387B9B" w:rsidRPr="006A00DA">
        <w:t>n</w:t>
      </w:r>
      <w:r w:rsidRPr="006A00DA">
        <w:t xml:space="preserve"> = 307) v</w:t>
      </w:r>
      <w:r w:rsidR="00EF45B6" w:rsidRPr="006A00DA">
        <w:t>ersus</w:t>
      </w:r>
      <w:r w:rsidRPr="006A00DA">
        <w:t>. lapatinib plus capecitabine (</w:t>
      </w:r>
      <w:r w:rsidR="00387B9B" w:rsidRPr="006A00DA">
        <w:t>n</w:t>
      </w:r>
      <w:r w:rsidRPr="006A00DA">
        <w:t xml:space="preserve"> = 314) in patients with metastatic HER2</w:t>
      </w:r>
      <w:r w:rsidR="00EF45B6" w:rsidRPr="006A00DA">
        <w:t xml:space="preserve"> </w:t>
      </w:r>
      <w:r w:rsidRPr="006A00DA">
        <w:t xml:space="preserve">positive breast cancer who had received </w:t>
      </w:r>
      <w:r w:rsidR="00EF45B6" w:rsidRPr="006A00DA">
        <w:t xml:space="preserve">two </w:t>
      </w:r>
      <w:r w:rsidRPr="006A00DA">
        <w:t>or more prior lines of anti</w:t>
      </w:r>
      <w:r w:rsidR="00387B9B" w:rsidRPr="006A00DA">
        <w:noBreakHyphen/>
      </w:r>
      <w:r w:rsidRPr="006A00DA">
        <w:t xml:space="preserve">HER2 therapy. In the SOPHIA </w:t>
      </w:r>
      <w:r w:rsidR="00EF45B6" w:rsidRPr="006A00DA">
        <w:t>trial</w:t>
      </w:r>
      <w:r w:rsidRPr="006A00DA">
        <w:t xml:space="preserve">, the </w:t>
      </w:r>
      <w:r w:rsidR="00A84244" w:rsidRPr="006A00DA">
        <w:t xml:space="preserve">objective response rate </w:t>
      </w:r>
      <w:r w:rsidRPr="006A00DA">
        <w:t xml:space="preserve">was 22% (95% </w:t>
      </w:r>
      <w:r w:rsidR="00EF45B6" w:rsidRPr="006A00DA">
        <w:t>confidence interval (</w:t>
      </w:r>
      <w:r w:rsidRPr="006A00DA">
        <w:t>CI</w:t>
      </w:r>
      <w:r w:rsidR="00EF45B6" w:rsidRPr="006A00DA">
        <w:t>)</w:t>
      </w:r>
      <w:r w:rsidRPr="006A00DA">
        <w:t xml:space="preserve">: 17.3, 27.7) for the </w:t>
      </w:r>
      <w:proofErr w:type="spellStart"/>
      <w:r w:rsidRPr="006A00DA">
        <w:t>margetuximab</w:t>
      </w:r>
      <w:proofErr w:type="spellEnd"/>
      <w:r w:rsidRPr="006A00DA">
        <w:t xml:space="preserve"> plus chemotherapy arm and 16% (95% CI: 11.8, 21) for the </w:t>
      </w:r>
      <w:r w:rsidR="004B453F">
        <w:t>Trastuzumab</w:t>
      </w:r>
      <w:r w:rsidRPr="006A00DA">
        <w:t xml:space="preserve"> plus chemotherapy arm. In the NALA </w:t>
      </w:r>
      <w:r w:rsidR="00EF45B6" w:rsidRPr="006A00DA">
        <w:t>trial</w:t>
      </w:r>
      <w:r w:rsidRPr="006A00DA">
        <w:t xml:space="preserve">, the </w:t>
      </w:r>
      <w:r w:rsidR="00636D55">
        <w:t>objective response rate</w:t>
      </w:r>
      <w:r w:rsidR="00636D55" w:rsidRPr="006A00DA">
        <w:t xml:space="preserve"> </w:t>
      </w:r>
      <w:r w:rsidRPr="006A00DA">
        <w:t>was 32.8% (95% CI: 27.6, 38.1) for the neratinib plus capecitabine arm and 26.7% (95% CI: 21.8, 31.6) for the lapatinib plus</w:t>
      </w:r>
      <w:r w:rsidR="001B3BA6" w:rsidRPr="006A00DA">
        <w:t xml:space="preserve"> </w:t>
      </w:r>
      <w:r w:rsidRPr="006A00DA">
        <w:t>capecitabine arm.</w:t>
      </w:r>
      <w:r w:rsidR="007510EC" w:rsidRPr="006A00DA">
        <w:rPr>
          <w:rStyle w:val="FootnoteReference"/>
        </w:rPr>
        <w:footnoteReference w:id="24"/>
      </w:r>
      <w:r w:rsidRPr="006A00DA">
        <w:t xml:space="preserve"> Across the </w:t>
      </w:r>
      <w:r w:rsidR="00EF45B6" w:rsidRPr="006A00DA">
        <w:t>four</w:t>
      </w:r>
      <w:r w:rsidRPr="006A00DA">
        <w:t xml:space="preserve"> arms in these </w:t>
      </w:r>
      <w:r w:rsidR="00EF45B6" w:rsidRPr="006A00DA">
        <w:t>two</w:t>
      </w:r>
      <w:r w:rsidRPr="006A00DA">
        <w:t xml:space="preserve"> trials, the median </w:t>
      </w:r>
      <w:r w:rsidR="00EF45B6" w:rsidRPr="006A00DA">
        <w:t>progression free survival</w:t>
      </w:r>
      <w:r w:rsidRPr="006A00DA">
        <w:t xml:space="preserve"> was &lt;</w:t>
      </w:r>
      <w:r w:rsidR="001B3BA6" w:rsidRPr="006A00DA">
        <w:t> </w:t>
      </w:r>
      <w:r w:rsidRPr="006A00DA">
        <w:t>6 months.</w:t>
      </w:r>
    </w:p>
    <w:p w14:paraId="5D838E48" w14:textId="16122CBA" w:rsidR="008750AC" w:rsidRPr="006A00DA" w:rsidRDefault="008750AC" w:rsidP="00EF45B6">
      <w:r w:rsidRPr="006A00DA">
        <w:t xml:space="preserve">For </w:t>
      </w:r>
      <w:proofErr w:type="spellStart"/>
      <w:r w:rsidRPr="006A00DA">
        <w:t>K</w:t>
      </w:r>
      <w:r w:rsidR="00EF45B6" w:rsidRPr="006A00DA">
        <w:t>adcyla</w:t>
      </w:r>
      <w:proofErr w:type="spellEnd"/>
      <w:r w:rsidRPr="006A00DA">
        <w:t xml:space="preserve"> (</w:t>
      </w:r>
      <w:r w:rsidR="004B453F">
        <w:t>Trastuzumab</w:t>
      </w:r>
      <w:r w:rsidRPr="006A00DA">
        <w:t xml:space="preserve"> emtansine)</w:t>
      </w:r>
      <w:r w:rsidR="00387B9B" w:rsidRPr="006A00DA">
        <w:t>;</w:t>
      </w:r>
      <w:r w:rsidR="00387B9B" w:rsidRPr="006A00DA">
        <w:fldChar w:fldCharType="begin"/>
      </w:r>
      <w:r w:rsidR="00387B9B" w:rsidRPr="006A00DA">
        <w:instrText xml:space="preserve"> NOTEREF _Ref103242244 \f \h </w:instrText>
      </w:r>
      <w:r w:rsidR="002C4057" w:rsidRPr="006A00DA">
        <w:instrText xml:space="preserve"> \* MERGEFORMAT </w:instrText>
      </w:r>
      <w:r w:rsidR="00387B9B" w:rsidRPr="006A00DA">
        <w:fldChar w:fldCharType="separate"/>
      </w:r>
      <w:r w:rsidR="00636D55" w:rsidRPr="00021980">
        <w:rPr>
          <w:rStyle w:val="FootnoteReference"/>
        </w:rPr>
        <w:t>13</w:t>
      </w:r>
      <w:r w:rsidR="00387B9B" w:rsidRPr="006A00DA">
        <w:fldChar w:fldCharType="end"/>
      </w:r>
      <w:r w:rsidRPr="006A00DA">
        <w:t xml:space="preserve"> the indication referring to metastatic breast cancer is:</w:t>
      </w:r>
    </w:p>
    <w:p w14:paraId="21897E49" w14:textId="137DD897" w:rsidR="008750AC" w:rsidRPr="006A00DA" w:rsidRDefault="008750AC" w:rsidP="00EF45B6">
      <w:pPr>
        <w:ind w:left="720"/>
        <w:rPr>
          <w:i/>
          <w:iCs/>
        </w:rPr>
      </w:pPr>
      <w:proofErr w:type="spellStart"/>
      <w:r w:rsidRPr="006A00DA">
        <w:rPr>
          <w:i/>
          <w:iCs/>
        </w:rPr>
        <w:t>Kadcyla</w:t>
      </w:r>
      <w:proofErr w:type="spellEnd"/>
      <w:r w:rsidRPr="006A00DA">
        <w:rPr>
          <w:i/>
          <w:iCs/>
        </w:rPr>
        <w:t>, as a single agent, is indicated for the treatment of patients with HER2-positive</w:t>
      </w:r>
      <w:r w:rsidR="00EF45B6" w:rsidRPr="006A00DA">
        <w:rPr>
          <w:i/>
          <w:iCs/>
        </w:rPr>
        <w:t xml:space="preserve"> </w:t>
      </w:r>
      <w:r w:rsidRPr="006A00DA">
        <w:rPr>
          <w:i/>
          <w:iCs/>
        </w:rPr>
        <w:t xml:space="preserve">metastatic (Stage IV) breast cancer who previously received </w:t>
      </w:r>
      <w:r w:rsidR="004B453F">
        <w:rPr>
          <w:i/>
          <w:iCs/>
        </w:rPr>
        <w:t>Trastuzumab</w:t>
      </w:r>
      <w:r w:rsidRPr="006A00DA">
        <w:rPr>
          <w:i/>
          <w:iCs/>
        </w:rPr>
        <w:t xml:space="preserve"> and a </w:t>
      </w:r>
      <w:proofErr w:type="spellStart"/>
      <w:r w:rsidRPr="006A00DA">
        <w:rPr>
          <w:i/>
          <w:iCs/>
        </w:rPr>
        <w:t>taxane</w:t>
      </w:r>
      <w:proofErr w:type="spellEnd"/>
      <w:r w:rsidRPr="006A00DA">
        <w:rPr>
          <w:i/>
          <w:iCs/>
        </w:rPr>
        <w:t>,</w:t>
      </w:r>
      <w:r w:rsidR="00EF45B6" w:rsidRPr="006A00DA">
        <w:rPr>
          <w:i/>
          <w:iCs/>
        </w:rPr>
        <w:t xml:space="preserve"> </w:t>
      </w:r>
      <w:r w:rsidRPr="006A00DA">
        <w:rPr>
          <w:i/>
          <w:iCs/>
        </w:rPr>
        <w:t>separately or in combination. Patients should have either:</w:t>
      </w:r>
    </w:p>
    <w:p w14:paraId="32BE7888" w14:textId="233B74F4" w:rsidR="008750AC" w:rsidRPr="006A00DA" w:rsidRDefault="008750AC" w:rsidP="00EF45B6">
      <w:pPr>
        <w:pStyle w:val="ListBullet3"/>
        <w:rPr>
          <w:i/>
          <w:iCs/>
        </w:rPr>
      </w:pPr>
      <w:r w:rsidRPr="006A00DA">
        <w:rPr>
          <w:i/>
          <w:iCs/>
        </w:rPr>
        <w:t>Received prior therapy for metastatic disease, or</w:t>
      </w:r>
    </w:p>
    <w:p w14:paraId="633447E0" w14:textId="227401EF" w:rsidR="008750AC" w:rsidRPr="006A00DA" w:rsidRDefault="008750AC" w:rsidP="00EF45B6">
      <w:pPr>
        <w:pStyle w:val="ListBullet3"/>
        <w:rPr>
          <w:i/>
          <w:iCs/>
        </w:rPr>
      </w:pPr>
      <w:r w:rsidRPr="006A00DA">
        <w:rPr>
          <w:i/>
          <w:iCs/>
        </w:rPr>
        <w:t>Developed disease recurrence during or within six months of completing adjuvant</w:t>
      </w:r>
      <w:r w:rsidR="00EF45B6" w:rsidRPr="006A00DA">
        <w:rPr>
          <w:i/>
          <w:iCs/>
        </w:rPr>
        <w:t xml:space="preserve"> </w:t>
      </w:r>
      <w:r w:rsidRPr="006A00DA">
        <w:rPr>
          <w:i/>
          <w:iCs/>
        </w:rPr>
        <w:t>therapy.</w:t>
      </w:r>
    </w:p>
    <w:p w14:paraId="57B1A677" w14:textId="0716986F" w:rsidR="008750AC" w:rsidRPr="006A00DA" w:rsidRDefault="008750AC" w:rsidP="00EF45B6">
      <w:r w:rsidRPr="006A00DA">
        <w:t xml:space="preserve">The above indication was supported primarily by results from the EMILIA </w:t>
      </w:r>
      <w:r w:rsidR="00EF45B6" w:rsidRPr="006A00DA">
        <w:t>trial</w:t>
      </w:r>
      <w:r w:rsidR="00387B9B" w:rsidRPr="006A00DA">
        <w:t>;</w:t>
      </w:r>
      <w:r w:rsidR="00387B9B" w:rsidRPr="006A00DA">
        <w:rPr>
          <w:rStyle w:val="FootnoteReference"/>
        </w:rPr>
        <w:footnoteReference w:id="25"/>
      </w:r>
      <w:r w:rsidRPr="006A00DA">
        <w:t xml:space="preserve"> in patients with HER2</w:t>
      </w:r>
      <w:r w:rsidR="00EF45B6" w:rsidRPr="006A00DA">
        <w:t xml:space="preserve"> </w:t>
      </w:r>
      <w:r w:rsidRPr="006A00DA">
        <w:t xml:space="preserve">positive unresectable, locally advanced breast cancer or metastatic breast cancer who had received prior </w:t>
      </w:r>
      <w:proofErr w:type="spellStart"/>
      <w:r w:rsidRPr="006A00DA">
        <w:t>taxane</w:t>
      </w:r>
      <w:proofErr w:type="spellEnd"/>
      <w:r w:rsidRPr="006A00DA">
        <w:t xml:space="preserve"> and </w:t>
      </w:r>
      <w:r w:rsidR="004B453F">
        <w:t>Trastuzumab</w:t>
      </w:r>
      <w:r w:rsidR="00EF45B6" w:rsidRPr="006A00DA">
        <w:t xml:space="preserve"> </w:t>
      </w:r>
      <w:r w:rsidRPr="006A00DA">
        <w:t xml:space="preserve">based therapy, including patients who received prior therapy with </w:t>
      </w:r>
      <w:r w:rsidR="004B453F">
        <w:t>Trastuzumab</w:t>
      </w:r>
      <w:r w:rsidRPr="006A00DA">
        <w:t xml:space="preserve"> and a </w:t>
      </w:r>
      <w:proofErr w:type="spellStart"/>
      <w:r w:rsidRPr="006A00DA">
        <w:t>taxane</w:t>
      </w:r>
      <w:proofErr w:type="spellEnd"/>
      <w:r w:rsidRPr="006A00DA">
        <w:t xml:space="preserve"> in the adjuvant setting and who relapsed within six months of completing adjuvant therapy. Patients received </w:t>
      </w:r>
      <w:proofErr w:type="spellStart"/>
      <w:r w:rsidRPr="006A00DA">
        <w:t>Kadcyla</w:t>
      </w:r>
      <w:proofErr w:type="spellEnd"/>
      <w:r w:rsidRPr="006A00DA">
        <w:t xml:space="preserve"> or </w:t>
      </w:r>
      <w:r w:rsidR="00EF45B6" w:rsidRPr="006A00DA">
        <w:t>l</w:t>
      </w:r>
      <w:r w:rsidRPr="006A00DA">
        <w:t xml:space="preserve">apatinib </w:t>
      </w:r>
      <w:r w:rsidR="00EF45B6" w:rsidRPr="006A00DA">
        <w:t>plus</w:t>
      </w:r>
      <w:r w:rsidRPr="006A00DA">
        <w:t xml:space="preserve"> capecitabine. The </w:t>
      </w:r>
      <w:r w:rsidR="00636D55">
        <w:t>progression-free survival</w:t>
      </w:r>
      <w:r w:rsidR="00636D55" w:rsidRPr="006A00DA">
        <w:t xml:space="preserve"> </w:t>
      </w:r>
      <w:r w:rsidRPr="006A00DA">
        <w:t xml:space="preserve">rate in the </w:t>
      </w:r>
      <w:proofErr w:type="spellStart"/>
      <w:r w:rsidRPr="006A00DA">
        <w:t>Kadcyla</w:t>
      </w:r>
      <w:proofErr w:type="spellEnd"/>
      <w:r w:rsidRPr="006A00DA">
        <w:t xml:space="preserve"> arm was 46.5% with a median duration of PFS of 9.6 months. The </w:t>
      </w:r>
      <w:r w:rsidR="00EF45B6" w:rsidRPr="006A00DA">
        <w:t>o</w:t>
      </w:r>
      <w:r w:rsidRPr="006A00DA">
        <w:t xml:space="preserve">verall </w:t>
      </w:r>
      <w:r w:rsidR="00EF45B6" w:rsidRPr="006A00DA">
        <w:lastRenderedPageBreak/>
        <w:t>r</w:t>
      </w:r>
      <w:r w:rsidRPr="006A00DA">
        <w:t xml:space="preserve">esponse rate for patients given </w:t>
      </w:r>
      <w:proofErr w:type="spellStart"/>
      <w:r w:rsidR="00EF45B6" w:rsidRPr="006A00DA">
        <w:t>Kadcyla</w:t>
      </w:r>
      <w:proofErr w:type="spellEnd"/>
      <w:r w:rsidRPr="006A00DA">
        <w:t xml:space="preserve"> was determined from patients with detectable disease and was 43.6% with a median duration of </w:t>
      </w:r>
      <w:r w:rsidR="00636D55">
        <w:t>overall response</w:t>
      </w:r>
      <w:r w:rsidR="00636D55" w:rsidRPr="006A00DA">
        <w:t xml:space="preserve"> </w:t>
      </w:r>
      <w:r w:rsidRPr="006A00DA">
        <w:t>of 12.6 months.</w:t>
      </w:r>
    </w:p>
    <w:p w14:paraId="554C0DED" w14:textId="54916790" w:rsidR="008750AC" w:rsidRPr="006A00DA" w:rsidRDefault="008750AC" w:rsidP="00EF45B6">
      <w:r w:rsidRPr="006A00DA">
        <w:t xml:space="preserve">For </w:t>
      </w:r>
      <w:r w:rsidR="00EF45B6" w:rsidRPr="006A00DA">
        <w:t xml:space="preserve">Perjeta </w:t>
      </w:r>
      <w:r w:rsidRPr="006A00DA">
        <w:t>(</w:t>
      </w:r>
      <w:proofErr w:type="spellStart"/>
      <w:r w:rsidRPr="006A00DA">
        <w:t>pertu</w:t>
      </w:r>
      <w:r w:rsidR="00E23D49" w:rsidRPr="006A00DA">
        <w:t>zu</w:t>
      </w:r>
      <w:r w:rsidRPr="006A00DA">
        <w:t>mab</w:t>
      </w:r>
      <w:proofErr w:type="spellEnd"/>
      <w:r w:rsidRPr="006A00DA">
        <w:t>)</w:t>
      </w:r>
      <w:r w:rsidR="00E23D49" w:rsidRPr="006A00DA">
        <w:t>;</w:t>
      </w:r>
      <w:r w:rsidR="00E23D49" w:rsidRPr="006A00DA">
        <w:fldChar w:fldCharType="begin"/>
      </w:r>
      <w:r w:rsidR="00E23D49" w:rsidRPr="006A00DA">
        <w:instrText xml:space="preserve"> NOTEREF _Ref103243389 \f \h </w:instrText>
      </w:r>
      <w:r w:rsidR="002C4057" w:rsidRPr="006A00DA">
        <w:instrText xml:space="preserve"> \* MERGEFORMAT </w:instrText>
      </w:r>
      <w:r w:rsidR="00E23D49" w:rsidRPr="006A00DA">
        <w:fldChar w:fldCharType="separate"/>
      </w:r>
      <w:r w:rsidR="00636D55" w:rsidRPr="00021980">
        <w:rPr>
          <w:rStyle w:val="FootnoteReference"/>
        </w:rPr>
        <w:t>9</w:t>
      </w:r>
      <w:r w:rsidR="00E23D49" w:rsidRPr="006A00DA">
        <w:fldChar w:fldCharType="end"/>
      </w:r>
      <w:r w:rsidR="00636D55">
        <w:rPr>
          <w:vertAlign w:val="superscript"/>
        </w:rPr>
        <w:t>,</w:t>
      </w:r>
      <w:r w:rsidR="00636D55">
        <w:rPr>
          <w:vertAlign w:val="superscript"/>
        </w:rPr>
        <w:fldChar w:fldCharType="begin"/>
      </w:r>
      <w:r w:rsidR="00636D55">
        <w:rPr>
          <w:vertAlign w:val="superscript"/>
        </w:rPr>
        <w:instrText xml:space="preserve"> NOTEREF _Ref106051065 \h </w:instrText>
      </w:r>
      <w:r w:rsidR="00636D55">
        <w:rPr>
          <w:vertAlign w:val="superscript"/>
        </w:rPr>
      </w:r>
      <w:r w:rsidR="00636D55">
        <w:rPr>
          <w:vertAlign w:val="superscript"/>
        </w:rPr>
        <w:fldChar w:fldCharType="separate"/>
      </w:r>
      <w:r w:rsidR="00636D55">
        <w:rPr>
          <w:vertAlign w:val="superscript"/>
        </w:rPr>
        <w:t>10</w:t>
      </w:r>
      <w:r w:rsidR="00636D55">
        <w:rPr>
          <w:vertAlign w:val="superscript"/>
        </w:rPr>
        <w:fldChar w:fldCharType="end"/>
      </w:r>
      <w:r w:rsidRPr="006A00DA">
        <w:t xml:space="preserve"> the indication referring to metastatic breast cancer is:</w:t>
      </w:r>
    </w:p>
    <w:p w14:paraId="7EA59B67" w14:textId="78C547DB" w:rsidR="008750AC" w:rsidRPr="006A00DA" w:rsidRDefault="008750AC" w:rsidP="00EF45B6">
      <w:pPr>
        <w:ind w:left="720"/>
        <w:rPr>
          <w:i/>
          <w:iCs/>
        </w:rPr>
      </w:pPr>
      <w:r w:rsidRPr="006A00DA">
        <w:rPr>
          <w:i/>
          <w:iCs/>
        </w:rPr>
        <w:t xml:space="preserve">Perjeta is indicated in combination with </w:t>
      </w:r>
      <w:r w:rsidR="004B453F">
        <w:rPr>
          <w:i/>
          <w:iCs/>
        </w:rPr>
        <w:t>Trastuzumab</w:t>
      </w:r>
      <w:r w:rsidRPr="006A00DA">
        <w:rPr>
          <w:i/>
          <w:iCs/>
        </w:rPr>
        <w:t xml:space="preserve"> and docetaxel for patients with metastatic HER2-positive breast cancer who have not received prior anti-HER2 therapy or chemotherapy for their metastatic disease.</w:t>
      </w:r>
    </w:p>
    <w:p w14:paraId="3247BA93" w14:textId="11DAED0D" w:rsidR="008750AC" w:rsidRPr="001D0416" w:rsidRDefault="008750AC" w:rsidP="00EF45B6">
      <w:r w:rsidRPr="006A00DA">
        <w:t xml:space="preserve">The above indication was supported by results from the CLEOPATRA </w:t>
      </w:r>
      <w:r w:rsidR="00EF45B6" w:rsidRPr="006A00DA">
        <w:t>trial</w:t>
      </w:r>
      <w:r w:rsidR="00E23D49" w:rsidRPr="006A00DA">
        <w:t>;</w:t>
      </w:r>
      <w:r w:rsidR="00E23D49" w:rsidRPr="006A00DA">
        <w:rPr>
          <w:rStyle w:val="FootnoteReference"/>
        </w:rPr>
        <w:footnoteReference w:id="26"/>
      </w:r>
      <w:r w:rsidRPr="006A00DA">
        <w:t xml:space="preserve"> in patients with HER2</w:t>
      </w:r>
      <w:r w:rsidR="00E23D49" w:rsidRPr="006A00DA">
        <w:t>-</w:t>
      </w:r>
      <w:r w:rsidRPr="006A00DA">
        <w:t>positive metastatic (</w:t>
      </w:r>
      <w:r w:rsidR="00E23D49" w:rsidRPr="006A00DA">
        <w:t>n</w:t>
      </w:r>
      <w:r w:rsidR="00EF45B6" w:rsidRPr="006A00DA">
        <w:t xml:space="preserve"> </w:t>
      </w:r>
      <w:r w:rsidRPr="006A00DA">
        <w:t>=</w:t>
      </w:r>
      <w:r w:rsidR="00EF45B6" w:rsidRPr="006A00DA">
        <w:t xml:space="preserve"> </w:t>
      </w:r>
      <w:r w:rsidRPr="006A00DA">
        <w:t>789) or locally recurrent unresectable breast cancer (</w:t>
      </w:r>
      <w:r w:rsidR="00E23D49" w:rsidRPr="006A00DA">
        <w:t>n</w:t>
      </w:r>
      <w:r w:rsidR="00EF45B6" w:rsidRPr="006A00DA">
        <w:t> </w:t>
      </w:r>
      <w:r w:rsidRPr="006A00DA">
        <w:t>=</w:t>
      </w:r>
      <w:r w:rsidR="00EF45B6" w:rsidRPr="006A00DA">
        <w:t> </w:t>
      </w:r>
      <w:r w:rsidRPr="006A00DA">
        <w:t xml:space="preserve">19) and who had not received previous anti-HER2 therapy or chemotherapy for their metastatic disease. Patients received placebo </w:t>
      </w:r>
      <w:r w:rsidR="00EF45B6" w:rsidRPr="006A00DA">
        <w:t>plus</w:t>
      </w:r>
      <w:r w:rsidRPr="006A00DA">
        <w:t xml:space="preserve"> </w:t>
      </w:r>
      <w:r w:rsidR="004B453F">
        <w:t>Trastuzumab</w:t>
      </w:r>
      <w:r w:rsidRPr="006A00DA">
        <w:t xml:space="preserve"> and docetaxel (placebo group) or </w:t>
      </w:r>
      <w:r w:rsidR="00EF45B6" w:rsidRPr="006A00DA">
        <w:t>P</w:t>
      </w:r>
      <w:r w:rsidRPr="006A00DA">
        <w:t xml:space="preserve">erjeta </w:t>
      </w:r>
      <w:r w:rsidR="00EF45B6" w:rsidRPr="006A00DA">
        <w:t>plus</w:t>
      </w:r>
      <w:r w:rsidRPr="006A00DA">
        <w:t xml:space="preserve"> </w:t>
      </w:r>
      <w:r w:rsidR="004B453F">
        <w:t>Trastuzumab</w:t>
      </w:r>
      <w:r w:rsidRPr="006A00DA">
        <w:t xml:space="preserve"> and docetaxel. At the time of the primary </w:t>
      </w:r>
      <w:r w:rsidR="00636D55">
        <w:t>progression-free survival</w:t>
      </w:r>
      <w:r w:rsidR="00636D55" w:rsidRPr="006A00DA">
        <w:t xml:space="preserve"> </w:t>
      </w:r>
      <w:r w:rsidRPr="006A00DA">
        <w:t xml:space="preserve">analysis, which was after a mean of 16.2 </w:t>
      </w:r>
      <w:r w:rsidR="00EF45B6" w:rsidRPr="006A00DA">
        <w:t>times</w:t>
      </w:r>
      <w:r w:rsidRPr="006A00DA">
        <w:t xml:space="preserve"> 3</w:t>
      </w:r>
      <w:r w:rsidR="00636D55">
        <w:noBreakHyphen/>
      </w:r>
      <w:r w:rsidRPr="006A00DA">
        <w:t xml:space="preserve">week cycles for the placebo group and 19.9 cycles for the placebo group the </w:t>
      </w:r>
      <w:r w:rsidR="00636D55">
        <w:t>progression-free survival</w:t>
      </w:r>
      <w:r w:rsidR="00636D55" w:rsidRPr="006A00DA">
        <w:t xml:space="preserve"> </w:t>
      </w:r>
      <w:r w:rsidRPr="006A00DA">
        <w:t xml:space="preserve">rate was 61% in the placebo group and 52.5% in the Perjeta group. Median </w:t>
      </w:r>
      <w:r w:rsidR="00636D55">
        <w:t>progression-free survival</w:t>
      </w:r>
      <w:r w:rsidR="00636D55" w:rsidRPr="006A00DA">
        <w:t xml:space="preserve"> </w:t>
      </w:r>
      <w:r w:rsidRPr="006A00DA">
        <w:t>was 12.4 months in the placebo treated group v</w:t>
      </w:r>
      <w:r w:rsidR="00EF45B6" w:rsidRPr="006A00DA">
        <w:t>ersus</w:t>
      </w:r>
      <w:r w:rsidRPr="006A00DA">
        <w:t xml:space="preserve"> 18.5 months in the Perjeta treated group. The </w:t>
      </w:r>
      <w:r w:rsidR="00636D55">
        <w:t>overall response</w:t>
      </w:r>
      <w:r w:rsidR="00636D55" w:rsidRPr="006A00DA">
        <w:t xml:space="preserve"> </w:t>
      </w:r>
      <w:r w:rsidRPr="006A00DA">
        <w:t>rate was 69.3% in the placebo group and 80.2% in the Perjeta group with median response durations of 54.5 weeks and 87.6 weeks respectively.</w:t>
      </w:r>
      <w:r w:rsidR="00EF45B6" w:rsidRPr="006A00DA">
        <w:rPr>
          <w:rStyle w:val="FootnoteReference"/>
        </w:rPr>
        <w:footnoteReference w:id="27"/>
      </w:r>
    </w:p>
    <w:p w14:paraId="4945199C" w14:textId="473DB725" w:rsidR="00250271" w:rsidRPr="006A00DA" w:rsidRDefault="00250271" w:rsidP="00EF45B6">
      <w:r w:rsidRPr="006A00DA">
        <w:t>This evaluation was facilitated through Project Orbis,</w:t>
      </w:r>
      <w:r w:rsidR="00253B70" w:rsidRPr="001D0416">
        <w:rPr>
          <w:rStyle w:val="FootnoteReference"/>
        </w:rPr>
        <w:footnoteReference w:id="28"/>
      </w:r>
      <w:r w:rsidRPr="001D0416">
        <w:t xml:space="preserve"> an initiative of the United States Food and Drug Administration (FDA) Oncology </w:t>
      </w:r>
      <w:proofErr w:type="spellStart"/>
      <w:r w:rsidRPr="001D0416">
        <w:t>Center</w:t>
      </w:r>
      <w:proofErr w:type="spellEnd"/>
      <w:r w:rsidRPr="001D0416">
        <w:t xml:space="preserve"> of Excellence (OCE). Under this project, the FDA</w:t>
      </w:r>
      <w:r w:rsidR="008750AC" w:rsidRPr="006A00DA">
        <w:t xml:space="preserve"> </w:t>
      </w:r>
      <w:r w:rsidRPr="006A00DA">
        <w:t>and the TGA</w:t>
      </w:r>
      <w:r w:rsidR="008750AC" w:rsidRPr="006A00DA">
        <w:t xml:space="preserve"> </w:t>
      </w:r>
      <w:r w:rsidRPr="006A00DA">
        <w:t>collaboratively reviewed the application. This innovative evaluation process provided a framework for process alignment and management of evaluation issues in real-time across jurisdictions.</w:t>
      </w:r>
    </w:p>
    <w:p w14:paraId="7AF45760" w14:textId="77777777" w:rsidR="00250271" w:rsidRPr="006A00DA" w:rsidRDefault="00250271" w:rsidP="00EF45B6">
      <w:r w:rsidRPr="006A00DA">
        <w:t>Each regulator agency maintained its regulatory process to make independent decisions about the approval (market authorisation).</w:t>
      </w:r>
    </w:p>
    <w:p w14:paraId="2259E652" w14:textId="77777777" w:rsidR="008E7846" w:rsidRPr="001D0416" w:rsidRDefault="00386150" w:rsidP="008E7846">
      <w:pPr>
        <w:pStyle w:val="Heading3"/>
      </w:pPr>
      <w:bookmarkStart w:id="27" w:name="_Toc314842485"/>
      <w:bookmarkStart w:id="28" w:name="_Toc247691504"/>
      <w:bookmarkStart w:id="29" w:name="_Toc103589838"/>
      <w:r w:rsidRPr="006A00DA">
        <w:t>Regulatory s</w:t>
      </w:r>
      <w:r w:rsidR="008E7846" w:rsidRPr="006A00DA">
        <w:t>tatus</w:t>
      </w:r>
      <w:bookmarkEnd w:id="27"/>
      <w:bookmarkEnd w:id="28"/>
      <w:bookmarkEnd w:id="29"/>
    </w:p>
    <w:p w14:paraId="6DE5AD48" w14:textId="24B3B480" w:rsidR="00940A89" w:rsidRPr="006A00DA" w:rsidRDefault="00006FAB" w:rsidP="00940A89">
      <w:bookmarkStart w:id="30" w:name="_Toc247691505"/>
      <w:bookmarkStart w:id="31" w:name="_Toc314842486"/>
      <w:r w:rsidRPr="006A00DA">
        <w:t>This product is considered a new biological entity for Australian regulatory purposes.</w:t>
      </w:r>
    </w:p>
    <w:p w14:paraId="5F814EBC" w14:textId="3F0ADC8D" w:rsidR="00006FAB" w:rsidRPr="006A00DA" w:rsidRDefault="00006FAB" w:rsidP="00006FAB">
      <w:r w:rsidRPr="006A00DA">
        <w:t xml:space="preserve">At the time the TGA considered this application, a similar application had been approved </w:t>
      </w:r>
      <w:r w:rsidR="00C90889" w:rsidRPr="006A00DA">
        <w:t>European Union (EU) on 18 January 2021, USA on 20 December 2019, Japan on 25 March 2020, Canada on 15 April 2021 and in United Kingdom on 12 February 2021. It</w:t>
      </w:r>
      <w:r w:rsidRPr="006A00DA">
        <w:t xml:space="preserve"> was under consideration in </w:t>
      </w:r>
      <w:r w:rsidR="007423C0" w:rsidRPr="006A00DA">
        <w:t xml:space="preserve">Switzerland </w:t>
      </w:r>
      <w:r w:rsidR="00C90889" w:rsidRPr="006A00DA">
        <w:t>and Singapore.</w:t>
      </w:r>
      <w:r w:rsidR="00F82AC0">
        <w:t xml:space="preserve"> A summary of the international regulatory status and the wording of indications overseas is available in </w:t>
      </w:r>
      <w:r w:rsidR="00F82AC0">
        <w:fldChar w:fldCharType="begin"/>
      </w:r>
      <w:r w:rsidR="00F82AC0">
        <w:instrText xml:space="preserve"> REF _Ref106051246 \h </w:instrText>
      </w:r>
      <w:r w:rsidR="00F82AC0">
        <w:fldChar w:fldCharType="separate"/>
      </w:r>
      <w:r w:rsidR="00F82AC0" w:rsidRPr="006A00DA">
        <w:t xml:space="preserve">Table </w:t>
      </w:r>
      <w:r w:rsidR="00F82AC0" w:rsidRPr="006A00DA">
        <w:rPr>
          <w:noProof/>
        </w:rPr>
        <w:t>1</w:t>
      </w:r>
      <w:r w:rsidR="00F82AC0">
        <w:fldChar w:fldCharType="end"/>
      </w:r>
      <w:r w:rsidR="00F82AC0">
        <w:t xml:space="preserve"> below.</w:t>
      </w:r>
    </w:p>
    <w:p w14:paraId="3985A803" w14:textId="5A0E1585" w:rsidR="00324E45" w:rsidRPr="006A00DA" w:rsidRDefault="00324E45">
      <w:pPr>
        <w:pStyle w:val="TableTitle"/>
      </w:pPr>
      <w:bookmarkStart w:id="32" w:name="_Ref106051246"/>
      <w:r w:rsidRPr="006A00DA">
        <w:lastRenderedPageBreak/>
        <w:t xml:space="preserve">Table </w:t>
      </w:r>
      <w:r>
        <w:fldChar w:fldCharType="begin"/>
      </w:r>
      <w:r>
        <w:instrText>SEQ Table \* ARABIC</w:instrText>
      </w:r>
      <w:r>
        <w:fldChar w:fldCharType="separate"/>
      </w:r>
      <w:r w:rsidR="006922A4" w:rsidRPr="006A00DA">
        <w:rPr>
          <w:noProof/>
        </w:rPr>
        <w:t>1</w:t>
      </w:r>
      <w:r>
        <w:fldChar w:fldCharType="end"/>
      </w:r>
      <w:r w:rsidRPr="001D0416">
        <w:t>: International regulatory stat</w:t>
      </w:r>
      <w:r w:rsidRPr="006A00DA">
        <w:t>us</w:t>
      </w:r>
      <w:bookmarkEnd w:id="32"/>
    </w:p>
    <w:tbl>
      <w:tblPr>
        <w:tblStyle w:val="TableTGAblue"/>
        <w:tblW w:w="8815" w:type="dxa"/>
        <w:tblLayout w:type="fixed"/>
        <w:tblLook w:val="04A0" w:firstRow="1" w:lastRow="0" w:firstColumn="1" w:lastColumn="0" w:noHBand="0" w:noVBand="1"/>
      </w:tblPr>
      <w:tblGrid>
        <w:gridCol w:w="1905"/>
        <w:gridCol w:w="2121"/>
        <w:gridCol w:w="2179"/>
        <w:gridCol w:w="2610"/>
      </w:tblGrid>
      <w:tr w:rsidR="00C90889" w:rsidRPr="006A00DA" w14:paraId="37224D97" w14:textId="77777777" w:rsidTr="00021980">
        <w:trPr>
          <w:cnfStyle w:val="100000000000" w:firstRow="1" w:lastRow="0" w:firstColumn="0" w:lastColumn="0" w:oddVBand="0" w:evenVBand="0" w:oddHBand="0" w:evenHBand="0" w:firstRowFirstColumn="0" w:firstRowLastColumn="0" w:lastRowFirstColumn="0" w:lastRowLastColumn="0"/>
        </w:trPr>
        <w:tc>
          <w:tcPr>
            <w:tcW w:w="1905" w:type="dxa"/>
            <w:tcBorders>
              <w:top w:val="single" w:sz="4" w:space="0" w:color="auto"/>
              <w:left w:val="single" w:sz="4" w:space="0" w:color="auto"/>
              <w:bottom w:val="single" w:sz="4" w:space="0" w:color="auto"/>
              <w:right w:val="single" w:sz="4" w:space="0" w:color="auto"/>
            </w:tcBorders>
          </w:tcPr>
          <w:p w14:paraId="578B4126" w14:textId="77777777" w:rsidR="00006FAB" w:rsidRPr="006A00DA" w:rsidRDefault="00006FAB">
            <w:pPr>
              <w:ind w:left="0" w:right="0"/>
            </w:pPr>
            <w:r w:rsidRPr="006A00DA">
              <w:t>Region</w:t>
            </w:r>
          </w:p>
        </w:tc>
        <w:tc>
          <w:tcPr>
            <w:tcW w:w="2121" w:type="dxa"/>
            <w:tcBorders>
              <w:top w:val="single" w:sz="4" w:space="0" w:color="auto"/>
              <w:left w:val="single" w:sz="4" w:space="0" w:color="auto"/>
              <w:bottom w:val="single" w:sz="4" w:space="0" w:color="auto"/>
              <w:right w:val="single" w:sz="4" w:space="0" w:color="auto"/>
            </w:tcBorders>
          </w:tcPr>
          <w:p w14:paraId="144F2247" w14:textId="77777777" w:rsidR="00006FAB" w:rsidRPr="006A00DA" w:rsidRDefault="00006FAB">
            <w:pPr>
              <w:ind w:left="0" w:right="0"/>
            </w:pPr>
            <w:r w:rsidRPr="006A00DA">
              <w:t>Submission date</w:t>
            </w:r>
          </w:p>
        </w:tc>
        <w:tc>
          <w:tcPr>
            <w:tcW w:w="2179" w:type="dxa"/>
            <w:tcBorders>
              <w:top w:val="single" w:sz="4" w:space="0" w:color="auto"/>
              <w:left w:val="single" w:sz="4" w:space="0" w:color="auto"/>
              <w:bottom w:val="single" w:sz="4" w:space="0" w:color="auto"/>
              <w:right w:val="single" w:sz="4" w:space="0" w:color="auto"/>
            </w:tcBorders>
          </w:tcPr>
          <w:p w14:paraId="3AE2BE9B" w14:textId="77777777" w:rsidR="00006FAB" w:rsidRPr="006A00DA" w:rsidRDefault="00006FAB">
            <w:pPr>
              <w:ind w:left="0" w:right="0"/>
            </w:pPr>
            <w:r w:rsidRPr="006A00DA">
              <w:t>Status</w:t>
            </w:r>
          </w:p>
        </w:tc>
        <w:tc>
          <w:tcPr>
            <w:tcW w:w="2610" w:type="dxa"/>
            <w:tcBorders>
              <w:top w:val="single" w:sz="4" w:space="0" w:color="auto"/>
              <w:left w:val="single" w:sz="4" w:space="0" w:color="auto"/>
              <w:bottom w:val="single" w:sz="4" w:space="0" w:color="auto"/>
              <w:right w:val="single" w:sz="4" w:space="0" w:color="auto"/>
            </w:tcBorders>
          </w:tcPr>
          <w:p w14:paraId="27B71EB8" w14:textId="77777777" w:rsidR="00006FAB" w:rsidRPr="006A00DA" w:rsidRDefault="00006FAB">
            <w:pPr>
              <w:ind w:left="0" w:right="0"/>
            </w:pPr>
            <w:r w:rsidRPr="006A00DA">
              <w:t>Approved indications</w:t>
            </w:r>
          </w:p>
        </w:tc>
      </w:tr>
      <w:tr w:rsidR="00C90889" w:rsidRPr="006A00DA" w14:paraId="03A33F62" w14:textId="77777777" w:rsidTr="00021980">
        <w:tc>
          <w:tcPr>
            <w:tcW w:w="1905" w:type="dxa"/>
            <w:tcBorders>
              <w:top w:val="single" w:sz="4" w:space="0" w:color="auto"/>
            </w:tcBorders>
          </w:tcPr>
          <w:p w14:paraId="3A075E0A" w14:textId="52989FD1" w:rsidR="00006FAB" w:rsidRPr="006A00DA" w:rsidRDefault="007134DA" w:rsidP="00021980">
            <w:pPr>
              <w:keepNext/>
              <w:ind w:left="0" w:right="0"/>
            </w:pPr>
            <w:r w:rsidRPr="006A00DA">
              <w:t>European Union via centralised procedure</w:t>
            </w:r>
          </w:p>
        </w:tc>
        <w:tc>
          <w:tcPr>
            <w:tcW w:w="2121" w:type="dxa"/>
            <w:tcBorders>
              <w:top w:val="single" w:sz="4" w:space="0" w:color="auto"/>
            </w:tcBorders>
          </w:tcPr>
          <w:p w14:paraId="47AF8AB6" w14:textId="0FB6E2F7" w:rsidR="00006FAB" w:rsidRPr="006A00DA" w:rsidRDefault="007134DA" w:rsidP="00021980">
            <w:pPr>
              <w:keepNext/>
              <w:ind w:left="0" w:right="0"/>
            </w:pPr>
            <w:r w:rsidRPr="006A00DA">
              <w:t>22 May 2020</w:t>
            </w:r>
          </w:p>
        </w:tc>
        <w:tc>
          <w:tcPr>
            <w:tcW w:w="2179" w:type="dxa"/>
            <w:tcBorders>
              <w:top w:val="single" w:sz="4" w:space="0" w:color="auto"/>
            </w:tcBorders>
          </w:tcPr>
          <w:p w14:paraId="3469433B" w14:textId="3D1BE7DD" w:rsidR="00006FAB" w:rsidRPr="006A00DA" w:rsidRDefault="00006FAB" w:rsidP="00021980">
            <w:pPr>
              <w:keepNext/>
              <w:ind w:left="0" w:right="0"/>
            </w:pPr>
            <w:r w:rsidRPr="006A00DA">
              <w:t xml:space="preserve">Approved on </w:t>
            </w:r>
            <w:r w:rsidR="007134DA" w:rsidRPr="006A00DA">
              <w:t>18</w:t>
            </w:r>
            <w:r w:rsidR="00F82AC0">
              <w:t> </w:t>
            </w:r>
            <w:r w:rsidR="007134DA" w:rsidRPr="006A00DA">
              <w:t>January 2021</w:t>
            </w:r>
          </w:p>
        </w:tc>
        <w:tc>
          <w:tcPr>
            <w:tcW w:w="2610" w:type="dxa"/>
            <w:tcBorders>
              <w:top w:val="single" w:sz="4" w:space="0" w:color="auto"/>
            </w:tcBorders>
          </w:tcPr>
          <w:p w14:paraId="4545037A" w14:textId="1C68EE7C" w:rsidR="00006FAB" w:rsidRPr="006A00DA" w:rsidRDefault="007134DA" w:rsidP="00021980">
            <w:pPr>
              <w:keepNext/>
              <w:ind w:left="0"/>
              <w:rPr>
                <w:i/>
                <w:iCs/>
              </w:rPr>
            </w:pPr>
            <w:proofErr w:type="spellStart"/>
            <w:r w:rsidRPr="006A00DA">
              <w:rPr>
                <w:i/>
                <w:iCs/>
              </w:rPr>
              <w:t>Enhertu</w:t>
            </w:r>
            <w:proofErr w:type="spellEnd"/>
            <w:r w:rsidRPr="006A00DA">
              <w:rPr>
                <w:i/>
                <w:iCs/>
              </w:rPr>
              <w:t xml:space="preserve"> as monotherapy is indicated for the treatment of adult patients with unresectable or metastatic HER2-positive breast cancer who have received two or more prior anti-HER2-based regimens.</w:t>
            </w:r>
          </w:p>
        </w:tc>
      </w:tr>
      <w:tr w:rsidR="00C90889" w:rsidRPr="006A00DA" w14:paraId="5577AD32" w14:textId="77777777" w:rsidTr="00021980">
        <w:tc>
          <w:tcPr>
            <w:tcW w:w="1905" w:type="dxa"/>
          </w:tcPr>
          <w:p w14:paraId="28C340D6" w14:textId="22417F1C" w:rsidR="00006FAB" w:rsidRPr="006A00DA" w:rsidRDefault="00C90889" w:rsidP="00006FAB">
            <w:pPr>
              <w:ind w:left="0" w:right="0"/>
            </w:pPr>
            <w:r w:rsidRPr="006A00DA">
              <w:t>United States of America</w:t>
            </w:r>
          </w:p>
        </w:tc>
        <w:tc>
          <w:tcPr>
            <w:tcW w:w="2121" w:type="dxa"/>
          </w:tcPr>
          <w:p w14:paraId="659B07FD" w14:textId="6D432E49" w:rsidR="00006FAB" w:rsidRPr="006A00DA" w:rsidRDefault="00C90889" w:rsidP="00006FAB">
            <w:pPr>
              <w:ind w:left="0" w:right="0"/>
            </w:pPr>
            <w:r w:rsidRPr="006A00DA">
              <w:t>29 August 2019</w:t>
            </w:r>
          </w:p>
        </w:tc>
        <w:tc>
          <w:tcPr>
            <w:tcW w:w="2179" w:type="dxa"/>
          </w:tcPr>
          <w:p w14:paraId="078E623C" w14:textId="729AF0C2" w:rsidR="00006FAB" w:rsidRPr="006A00DA" w:rsidRDefault="00C90889" w:rsidP="00006FAB">
            <w:pPr>
              <w:ind w:left="0" w:right="0"/>
            </w:pPr>
            <w:r w:rsidRPr="006A00DA">
              <w:t>Approved on 20</w:t>
            </w:r>
            <w:r w:rsidR="00F82AC0">
              <w:t> </w:t>
            </w:r>
            <w:r w:rsidRPr="006A00DA">
              <w:t>December 2019</w:t>
            </w:r>
          </w:p>
        </w:tc>
        <w:tc>
          <w:tcPr>
            <w:tcW w:w="2610" w:type="dxa"/>
          </w:tcPr>
          <w:p w14:paraId="6594990F" w14:textId="00C276CB" w:rsidR="00C90889" w:rsidRPr="006A00DA" w:rsidRDefault="00C90889" w:rsidP="00C90889">
            <w:pPr>
              <w:ind w:left="0"/>
              <w:rPr>
                <w:i/>
                <w:iCs/>
              </w:rPr>
            </w:pPr>
            <w:proofErr w:type="spellStart"/>
            <w:r w:rsidRPr="006A00DA">
              <w:rPr>
                <w:i/>
                <w:iCs/>
              </w:rPr>
              <w:t>Enhertu</w:t>
            </w:r>
            <w:proofErr w:type="spellEnd"/>
            <w:r w:rsidRPr="006A00DA">
              <w:rPr>
                <w:i/>
                <w:iCs/>
              </w:rPr>
              <w:t xml:space="preserve"> is a HER2-directed antibody and topoisomerase inhibitor conjugate indicated for the treatment of adult patients with unresectable or metastatic HER2-positive breast cancer who have received two or more prior anti-HER2-based regimens in the metastatic setting.</w:t>
            </w:r>
          </w:p>
          <w:p w14:paraId="7C5B4BCB" w14:textId="5406E973" w:rsidR="00006FAB" w:rsidRPr="006A00DA" w:rsidRDefault="00C90889" w:rsidP="00C90889">
            <w:pPr>
              <w:ind w:left="0"/>
            </w:pPr>
            <w:r w:rsidRPr="006A00DA">
              <w:rPr>
                <w:i/>
                <w:iCs/>
              </w:rPr>
              <w:t xml:space="preserve">This indication is approved under accelerated approval based on </w:t>
            </w:r>
            <w:proofErr w:type="spellStart"/>
            <w:r w:rsidRPr="006A00DA">
              <w:rPr>
                <w:i/>
                <w:iCs/>
              </w:rPr>
              <w:t>tumor</w:t>
            </w:r>
            <w:proofErr w:type="spellEnd"/>
            <w:r w:rsidRPr="006A00DA">
              <w:rPr>
                <w:i/>
                <w:iCs/>
              </w:rPr>
              <w:t xml:space="preserve"> response rate and duration of response. Continued approval for this indication may be contingent upon verification and description of clinical benefit in a confirmatory trial.</w:t>
            </w:r>
          </w:p>
        </w:tc>
      </w:tr>
      <w:tr w:rsidR="00C90889" w:rsidRPr="006A00DA" w14:paraId="4F1EAEC4" w14:textId="77777777" w:rsidTr="00021980">
        <w:tc>
          <w:tcPr>
            <w:tcW w:w="1905" w:type="dxa"/>
          </w:tcPr>
          <w:p w14:paraId="1DFC3686" w14:textId="79C1ADF2" w:rsidR="00C90889" w:rsidRPr="006A00DA" w:rsidRDefault="00C90889" w:rsidP="00C90889">
            <w:pPr>
              <w:ind w:left="0"/>
            </w:pPr>
            <w:r w:rsidRPr="006A00DA">
              <w:t>Japan</w:t>
            </w:r>
          </w:p>
        </w:tc>
        <w:tc>
          <w:tcPr>
            <w:tcW w:w="2121" w:type="dxa"/>
          </w:tcPr>
          <w:p w14:paraId="6FC461F5" w14:textId="22073A3E" w:rsidR="00C90889" w:rsidRPr="006A00DA" w:rsidRDefault="00C90889" w:rsidP="00C90889">
            <w:pPr>
              <w:ind w:left="0"/>
            </w:pPr>
            <w:r w:rsidRPr="006A00DA">
              <w:t>9 September 2019</w:t>
            </w:r>
          </w:p>
        </w:tc>
        <w:tc>
          <w:tcPr>
            <w:tcW w:w="2179" w:type="dxa"/>
          </w:tcPr>
          <w:p w14:paraId="5BEEE572" w14:textId="3D133CC3" w:rsidR="00C90889" w:rsidRPr="001D0416" w:rsidRDefault="00C90889" w:rsidP="00C90889">
            <w:pPr>
              <w:ind w:left="0"/>
            </w:pPr>
            <w:r w:rsidRPr="006A00DA">
              <w:t>Approved on 25</w:t>
            </w:r>
            <w:r w:rsidR="00F82AC0">
              <w:t> </w:t>
            </w:r>
            <w:r w:rsidRPr="006A00DA">
              <w:t>March 2020</w:t>
            </w:r>
          </w:p>
        </w:tc>
        <w:tc>
          <w:tcPr>
            <w:tcW w:w="2610" w:type="dxa"/>
          </w:tcPr>
          <w:p w14:paraId="76E5208D" w14:textId="4AE08789" w:rsidR="00C90889" w:rsidRPr="006A00DA" w:rsidRDefault="00CF313E" w:rsidP="00021980">
            <w:pPr>
              <w:ind w:left="0"/>
              <w:rPr>
                <w:i/>
                <w:iCs/>
              </w:rPr>
            </w:pPr>
            <w:r w:rsidRPr="0099676F">
              <w:rPr>
                <w:i/>
                <w:iCs/>
              </w:rPr>
              <w:t>HER2-positive unresectable or recurrent breast cancer after prior chemotherapy (limit the use to patients who are refractory or intolerant to standard treatments)</w:t>
            </w:r>
          </w:p>
        </w:tc>
      </w:tr>
      <w:tr w:rsidR="00C90889" w:rsidRPr="006A00DA" w14:paraId="7F39B3D0" w14:textId="77777777" w:rsidTr="00021980">
        <w:tc>
          <w:tcPr>
            <w:tcW w:w="1905" w:type="dxa"/>
          </w:tcPr>
          <w:p w14:paraId="4561E99D" w14:textId="3F951515" w:rsidR="00C90889" w:rsidRPr="006A00DA" w:rsidRDefault="00C90889" w:rsidP="00C90889">
            <w:pPr>
              <w:ind w:left="0"/>
            </w:pPr>
            <w:r w:rsidRPr="006A00DA">
              <w:lastRenderedPageBreak/>
              <w:t>Canada</w:t>
            </w:r>
          </w:p>
        </w:tc>
        <w:tc>
          <w:tcPr>
            <w:tcW w:w="2121" w:type="dxa"/>
          </w:tcPr>
          <w:p w14:paraId="584C0FC3" w14:textId="2BF22CB3" w:rsidR="00C90889" w:rsidRPr="006A00DA" w:rsidRDefault="00C90889" w:rsidP="00C90889">
            <w:pPr>
              <w:ind w:left="0"/>
            </w:pPr>
            <w:r w:rsidRPr="006A00DA">
              <w:t>23 July 2020</w:t>
            </w:r>
          </w:p>
        </w:tc>
        <w:tc>
          <w:tcPr>
            <w:tcW w:w="2179" w:type="dxa"/>
          </w:tcPr>
          <w:p w14:paraId="7905A2F9" w14:textId="06A97EE9" w:rsidR="00C90889" w:rsidRPr="006A00DA" w:rsidRDefault="00C90889" w:rsidP="00C90889">
            <w:pPr>
              <w:ind w:left="0"/>
            </w:pPr>
            <w:r w:rsidRPr="006A00DA">
              <w:t>Approved on 15 April 2021</w:t>
            </w:r>
          </w:p>
        </w:tc>
        <w:tc>
          <w:tcPr>
            <w:tcW w:w="2610" w:type="dxa"/>
          </w:tcPr>
          <w:p w14:paraId="2C9A24CF" w14:textId="17B39900" w:rsidR="00C90889" w:rsidRPr="006A00DA" w:rsidRDefault="00C90889" w:rsidP="00C90889">
            <w:pPr>
              <w:ind w:left="0"/>
              <w:rPr>
                <w:i/>
                <w:iCs/>
              </w:rPr>
            </w:pPr>
            <w:proofErr w:type="spellStart"/>
            <w:r w:rsidRPr="006A00DA">
              <w:rPr>
                <w:i/>
                <w:iCs/>
              </w:rPr>
              <w:t>Enhertu</w:t>
            </w:r>
            <w:proofErr w:type="spellEnd"/>
            <w:r w:rsidRPr="006A00DA">
              <w:rPr>
                <w:i/>
                <w:iCs/>
              </w:rPr>
              <w:t xml:space="preserve"> (</w:t>
            </w:r>
            <w:r w:rsidR="004B453F">
              <w:rPr>
                <w:i/>
                <w:iCs/>
              </w:rPr>
              <w:t>Trastuzumab</w:t>
            </w:r>
            <w:r w:rsidRPr="006A00DA">
              <w:rPr>
                <w:i/>
                <w:iCs/>
              </w:rPr>
              <w:t xml:space="preserve"> </w:t>
            </w:r>
            <w:proofErr w:type="spellStart"/>
            <w:r w:rsidRPr="006A00DA">
              <w:rPr>
                <w:i/>
                <w:iCs/>
              </w:rPr>
              <w:t>deruxtecan</w:t>
            </w:r>
            <w:proofErr w:type="spellEnd"/>
            <w:r w:rsidRPr="006A00DA">
              <w:rPr>
                <w:i/>
                <w:iCs/>
              </w:rPr>
              <w:t>) as monotherapy is indicated for:</w:t>
            </w:r>
          </w:p>
          <w:p w14:paraId="5FBC51C5" w14:textId="2DA7D216" w:rsidR="00C90889" w:rsidRPr="006A00DA" w:rsidRDefault="00C90889" w:rsidP="00C90889">
            <w:pPr>
              <w:pStyle w:val="ListBullet"/>
              <w:rPr>
                <w:i/>
                <w:iCs/>
              </w:rPr>
            </w:pPr>
            <w:r w:rsidRPr="006A00DA">
              <w:rPr>
                <w:i/>
                <w:iCs/>
              </w:rPr>
              <w:t xml:space="preserve">the treatment of adult patients with unresectable or metastatic HER2-positive breast cancer who have received prior treatment with </w:t>
            </w:r>
            <w:r w:rsidR="004B453F">
              <w:rPr>
                <w:i/>
                <w:iCs/>
              </w:rPr>
              <w:t>Trastuzumab</w:t>
            </w:r>
            <w:r w:rsidRPr="006A00DA">
              <w:rPr>
                <w:i/>
                <w:iCs/>
              </w:rPr>
              <w:t xml:space="preserve"> emtansine (TDM1).</w:t>
            </w:r>
          </w:p>
          <w:p w14:paraId="684A2350" w14:textId="08F9B27F" w:rsidR="00C90889" w:rsidRPr="006A00DA" w:rsidRDefault="00C90889" w:rsidP="00C90889">
            <w:pPr>
              <w:ind w:left="0"/>
              <w:rPr>
                <w:i/>
                <w:iCs/>
              </w:rPr>
            </w:pPr>
            <w:r w:rsidRPr="006A00DA">
              <w:rPr>
                <w:i/>
                <w:iCs/>
              </w:rPr>
              <w:t>The indication is authorized based on tumour response rate and durability of response. An improvement in survival has not been established. See Clinical trials</w:t>
            </w:r>
          </w:p>
        </w:tc>
      </w:tr>
      <w:tr w:rsidR="00C90889" w:rsidRPr="006A00DA" w14:paraId="716D8184" w14:textId="77777777" w:rsidTr="00021980">
        <w:tc>
          <w:tcPr>
            <w:tcW w:w="1905" w:type="dxa"/>
          </w:tcPr>
          <w:p w14:paraId="307C9307" w14:textId="52A9F7B2" w:rsidR="00C90889" w:rsidRPr="006A00DA" w:rsidRDefault="00C90889" w:rsidP="00C90889">
            <w:pPr>
              <w:ind w:left="0"/>
            </w:pPr>
            <w:r w:rsidRPr="006A00DA">
              <w:t>Switzerland</w:t>
            </w:r>
          </w:p>
        </w:tc>
        <w:tc>
          <w:tcPr>
            <w:tcW w:w="2121" w:type="dxa"/>
          </w:tcPr>
          <w:p w14:paraId="362142AB" w14:textId="3B0B8978" w:rsidR="00C90889" w:rsidRPr="006A00DA" w:rsidRDefault="00C90889" w:rsidP="00C90889">
            <w:pPr>
              <w:ind w:left="0"/>
            </w:pPr>
            <w:r w:rsidRPr="006A00DA">
              <w:t>14 August 2020</w:t>
            </w:r>
          </w:p>
        </w:tc>
        <w:tc>
          <w:tcPr>
            <w:tcW w:w="2179" w:type="dxa"/>
          </w:tcPr>
          <w:p w14:paraId="35076CC5" w14:textId="1641807C" w:rsidR="00C90889" w:rsidRPr="006A00DA" w:rsidRDefault="00DD39DB" w:rsidP="00021980">
            <w:pPr>
              <w:ind w:left="0"/>
            </w:pPr>
            <w:r w:rsidRPr="006A00DA">
              <w:t>Under consideration</w:t>
            </w:r>
          </w:p>
        </w:tc>
        <w:tc>
          <w:tcPr>
            <w:tcW w:w="2610" w:type="dxa"/>
          </w:tcPr>
          <w:p w14:paraId="78E48273" w14:textId="19939F21" w:rsidR="00C90889" w:rsidRPr="006A00DA" w:rsidRDefault="00A24B84" w:rsidP="00021980">
            <w:pPr>
              <w:ind w:left="0"/>
              <w:rPr>
                <w:i/>
                <w:iCs/>
              </w:rPr>
            </w:pPr>
            <w:r w:rsidRPr="006A00DA">
              <w:t>Under consideration</w:t>
            </w:r>
          </w:p>
        </w:tc>
      </w:tr>
      <w:tr w:rsidR="00C90889" w:rsidRPr="006A00DA" w14:paraId="00D3FB11" w14:textId="77777777" w:rsidTr="00021980">
        <w:tc>
          <w:tcPr>
            <w:tcW w:w="1905" w:type="dxa"/>
          </w:tcPr>
          <w:p w14:paraId="6A17A5A3" w14:textId="6701A5BB" w:rsidR="00C90889" w:rsidRPr="006A00DA" w:rsidRDefault="00C90889" w:rsidP="00C90889">
            <w:pPr>
              <w:ind w:left="0"/>
            </w:pPr>
            <w:r w:rsidRPr="006A00DA">
              <w:t>Singapore</w:t>
            </w:r>
          </w:p>
        </w:tc>
        <w:tc>
          <w:tcPr>
            <w:tcW w:w="2121" w:type="dxa"/>
          </w:tcPr>
          <w:p w14:paraId="283A5846" w14:textId="2658964F" w:rsidR="00C90889" w:rsidRPr="006A00DA" w:rsidRDefault="00C90889" w:rsidP="00C90889">
            <w:pPr>
              <w:ind w:left="0"/>
            </w:pPr>
            <w:r w:rsidRPr="006A00DA">
              <w:t>28 September 2020</w:t>
            </w:r>
          </w:p>
        </w:tc>
        <w:tc>
          <w:tcPr>
            <w:tcW w:w="2179" w:type="dxa"/>
          </w:tcPr>
          <w:p w14:paraId="61594B25" w14:textId="54D362AD" w:rsidR="00C90889" w:rsidRPr="006A00DA" w:rsidRDefault="00C90889" w:rsidP="00021980">
            <w:pPr>
              <w:ind w:left="0"/>
            </w:pPr>
            <w:r w:rsidRPr="006A00DA">
              <w:t>Under consideration</w:t>
            </w:r>
          </w:p>
        </w:tc>
        <w:tc>
          <w:tcPr>
            <w:tcW w:w="2610" w:type="dxa"/>
          </w:tcPr>
          <w:p w14:paraId="39A4C2DA" w14:textId="7A6FF816" w:rsidR="00C90889" w:rsidRPr="006A00DA" w:rsidRDefault="00C90889" w:rsidP="00021980">
            <w:pPr>
              <w:ind w:left="0"/>
              <w:rPr>
                <w:i/>
                <w:iCs/>
              </w:rPr>
            </w:pPr>
            <w:r w:rsidRPr="006A00DA">
              <w:t>Under consideration</w:t>
            </w:r>
          </w:p>
        </w:tc>
      </w:tr>
      <w:tr w:rsidR="00C90889" w:rsidRPr="006A00DA" w14:paraId="0E394BBE" w14:textId="77777777" w:rsidTr="00021980">
        <w:tc>
          <w:tcPr>
            <w:tcW w:w="1905" w:type="dxa"/>
          </w:tcPr>
          <w:p w14:paraId="6D159D65" w14:textId="7FDABBA7" w:rsidR="00C90889" w:rsidRPr="006A00DA" w:rsidRDefault="00C90889" w:rsidP="00C90889">
            <w:pPr>
              <w:ind w:left="0"/>
            </w:pPr>
            <w:r w:rsidRPr="006A00DA">
              <w:t>United Kingdom</w:t>
            </w:r>
          </w:p>
        </w:tc>
        <w:tc>
          <w:tcPr>
            <w:tcW w:w="2121" w:type="dxa"/>
          </w:tcPr>
          <w:p w14:paraId="71440BBF" w14:textId="452F6BC8" w:rsidR="00C90889" w:rsidRPr="006A00DA" w:rsidRDefault="00C90889" w:rsidP="00C90889">
            <w:pPr>
              <w:ind w:left="0"/>
            </w:pPr>
            <w:r w:rsidRPr="006A00DA">
              <w:t>8 January 2021</w:t>
            </w:r>
          </w:p>
        </w:tc>
        <w:tc>
          <w:tcPr>
            <w:tcW w:w="2179" w:type="dxa"/>
          </w:tcPr>
          <w:p w14:paraId="5A83997E" w14:textId="260EC91A" w:rsidR="00C90889" w:rsidRPr="001D0416" w:rsidRDefault="00C90889" w:rsidP="00021980">
            <w:pPr>
              <w:ind w:left="0"/>
            </w:pPr>
            <w:r w:rsidRPr="006A00DA">
              <w:t>Approved on 12</w:t>
            </w:r>
            <w:r w:rsidR="00F82AC0">
              <w:t> </w:t>
            </w:r>
            <w:r w:rsidRPr="006A00DA">
              <w:t>February 2021</w:t>
            </w:r>
          </w:p>
        </w:tc>
        <w:tc>
          <w:tcPr>
            <w:tcW w:w="2610" w:type="dxa"/>
          </w:tcPr>
          <w:p w14:paraId="05A46166" w14:textId="04B8C7F1" w:rsidR="00C90889" w:rsidRPr="006A00DA" w:rsidRDefault="002A2E3F" w:rsidP="00021980">
            <w:pPr>
              <w:ind w:left="0"/>
              <w:rPr>
                <w:i/>
                <w:iCs/>
              </w:rPr>
            </w:pPr>
            <w:proofErr w:type="spellStart"/>
            <w:r w:rsidRPr="00E62D75">
              <w:rPr>
                <w:i/>
                <w:iCs/>
              </w:rPr>
              <w:t>Enhertu</w:t>
            </w:r>
            <w:proofErr w:type="spellEnd"/>
            <w:r w:rsidRPr="00E62D75">
              <w:rPr>
                <w:i/>
                <w:iCs/>
              </w:rPr>
              <w:t xml:space="preserve"> as monotherapy is indicated for the treatment </w:t>
            </w:r>
            <w:proofErr w:type="gramStart"/>
            <w:r w:rsidRPr="00E62D75">
              <w:rPr>
                <w:i/>
                <w:iCs/>
              </w:rPr>
              <w:t>of  adult</w:t>
            </w:r>
            <w:proofErr w:type="gramEnd"/>
            <w:r w:rsidRPr="00E62D75">
              <w:rPr>
                <w:i/>
                <w:iCs/>
              </w:rPr>
              <w:t xml:space="preserve"> patients with unresectable or metastatic HER2-positive breast cancer who have received two or more prior anti-HER2-based regimens</w:t>
            </w:r>
          </w:p>
        </w:tc>
      </w:tr>
    </w:tbl>
    <w:p w14:paraId="6B3C3A24" w14:textId="77777777" w:rsidR="008E7846" w:rsidRPr="006A00DA" w:rsidRDefault="008E7846" w:rsidP="00D05EC9">
      <w:pPr>
        <w:pStyle w:val="Heading3"/>
      </w:pPr>
      <w:bookmarkStart w:id="33" w:name="_Toc103589839"/>
      <w:r w:rsidRPr="006A00DA">
        <w:t>Product Information</w:t>
      </w:r>
      <w:bookmarkEnd w:id="30"/>
      <w:bookmarkEnd w:id="31"/>
      <w:bookmarkEnd w:id="33"/>
    </w:p>
    <w:p w14:paraId="008F7543" w14:textId="695C6CAD" w:rsidR="00940A89" w:rsidRPr="006A00DA" w:rsidRDefault="006136D7" w:rsidP="00D05EC9">
      <w:bookmarkStart w:id="34" w:name="_Toc247691506"/>
      <w:bookmarkStart w:id="35" w:name="_Toc314842487"/>
      <w:r w:rsidRPr="006A00DA">
        <w:t xml:space="preserve">The Product Information (PI) approved with the submission which is described in this AusPAR can be found as Attachment 1. For the most recent PI, please refer to the TGA website at </w:t>
      </w:r>
      <w:r w:rsidR="00441C3F" w:rsidRPr="006A00DA">
        <w:t>&lt;</w:t>
      </w:r>
      <w:hyperlink r:id="rId17" w:history="1">
        <w:r w:rsidR="00441C3F" w:rsidRPr="006A00DA">
          <w:rPr>
            <w:rStyle w:val="Hyperlink"/>
          </w:rPr>
          <w:t>https://www.tga.gov.au/product-information-pi</w:t>
        </w:r>
      </w:hyperlink>
      <w:r w:rsidR="00441C3F" w:rsidRPr="001D0416">
        <w:t>&gt;</w:t>
      </w:r>
      <w:r w:rsidR="00940A89" w:rsidRPr="006A00DA">
        <w:t>.</w:t>
      </w:r>
    </w:p>
    <w:p w14:paraId="76D4315B" w14:textId="77777777" w:rsidR="00500337" w:rsidRPr="001D0416" w:rsidRDefault="00500337" w:rsidP="00500337">
      <w:pPr>
        <w:pStyle w:val="Heading2"/>
      </w:pPr>
      <w:bookmarkStart w:id="36" w:name="_Toc504480011"/>
      <w:bookmarkStart w:id="37" w:name="_Toc103589840"/>
      <w:r w:rsidRPr="006A00DA">
        <w:lastRenderedPageBreak/>
        <w:t>II. Registration timeline</w:t>
      </w:r>
      <w:bookmarkEnd w:id="36"/>
      <w:bookmarkEnd w:id="37"/>
    </w:p>
    <w:p w14:paraId="45766608" w14:textId="77777777" w:rsidR="00500337" w:rsidRPr="006A00DA" w:rsidRDefault="00500337" w:rsidP="00500337">
      <w:r w:rsidRPr="006A00DA">
        <w:t xml:space="preserve">The following table captures the key steps and dates for this </w:t>
      </w:r>
      <w:proofErr w:type="gramStart"/>
      <w:r w:rsidRPr="006A00DA">
        <w:t>application</w:t>
      </w:r>
      <w:proofErr w:type="gramEnd"/>
      <w:r w:rsidRPr="006A00DA">
        <w:t xml:space="preserve"> and which are detailed and discussed in this AusPAR.</w:t>
      </w:r>
    </w:p>
    <w:p w14:paraId="746A6F5F" w14:textId="71FACDFC" w:rsidR="00500337" w:rsidRPr="006A00DA" w:rsidRDefault="006A58A8" w:rsidP="00D05EC9">
      <w:pPr>
        <w:pStyle w:val="TableTitle"/>
      </w:pPr>
      <w:r w:rsidRPr="006A00DA">
        <w:t xml:space="preserve">Table </w:t>
      </w:r>
      <w:r w:rsidR="00324E45" w:rsidRPr="006A00DA">
        <w:t>2</w:t>
      </w:r>
      <w:r w:rsidR="00006FAB" w:rsidRPr="006A00DA">
        <w:t>:</w:t>
      </w:r>
      <w:r w:rsidRPr="006A00DA">
        <w:t xml:space="preserve"> Timeline for Submission PM-20</w:t>
      </w:r>
      <w:r w:rsidR="00324E45" w:rsidRPr="006A00DA">
        <w:t>2</w:t>
      </w:r>
      <w:r w:rsidR="00614F90" w:rsidRPr="006A00DA">
        <w:t>0</w:t>
      </w:r>
      <w:r w:rsidRPr="006A00DA">
        <w:t>-</w:t>
      </w:r>
      <w:r w:rsidR="00614F90" w:rsidRPr="006A00DA">
        <w:t>046</w:t>
      </w:r>
      <w:r w:rsidR="00253B70" w:rsidRPr="006A00DA">
        <w:t>59</w:t>
      </w:r>
      <w:r w:rsidRPr="006A00DA">
        <w:t>-1-</w:t>
      </w:r>
      <w:r w:rsidR="00253B70" w:rsidRPr="006A00DA">
        <w:t>4</w:t>
      </w:r>
    </w:p>
    <w:tbl>
      <w:tblPr>
        <w:tblStyle w:val="TableTGAblue"/>
        <w:tblW w:w="0" w:type="auto"/>
        <w:tblLook w:val="04A0" w:firstRow="1" w:lastRow="0" w:firstColumn="1" w:lastColumn="0" w:noHBand="0" w:noVBand="1"/>
      </w:tblPr>
      <w:tblGrid>
        <w:gridCol w:w="4255"/>
        <w:gridCol w:w="4239"/>
      </w:tblGrid>
      <w:tr w:rsidR="00500337" w:rsidRPr="006A00DA" w14:paraId="01B9B495" w14:textId="77777777" w:rsidTr="00E23D49">
        <w:trPr>
          <w:cnfStyle w:val="100000000000" w:firstRow="1" w:lastRow="0" w:firstColumn="0" w:lastColumn="0" w:oddVBand="0" w:evenVBand="0" w:oddHBand="0" w:evenHBand="0" w:firstRowFirstColumn="0" w:firstRowLastColumn="0" w:lastRowFirstColumn="0" w:lastRowLastColumn="0"/>
          <w:cantSplit/>
        </w:trPr>
        <w:tc>
          <w:tcPr>
            <w:tcW w:w="4255" w:type="dxa"/>
            <w:tcBorders>
              <w:top w:val="single" w:sz="4" w:space="0" w:color="auto"/>
              <w:left w:val="single" w:sz="4" w:space="0" w:color="auto"/>
              <w:bottom w:val="single" w:sz="4" w:space="0" w:color="auto"/>
              <w:right w:val="single" w:sz="4" w:space="0" w:color="auto"/>
            </w:tcBorders>
          </w:tcPr>
          <w:p w14:paraId="323F8347" w14:textId="77777777" w:rsidR="00500337" w:rsidRPr="006A00DA" w:rsidRDefault="00500337" w:rsidP="00500337">
            <w:pPr>
              <w:ind w:left="0" w:right="0"/>
            </w:pPr>
            <w:r w:rsidRPr="006A00DA">
              <w:t>Description</w:t>
            </w:r>
          </w:p>
        </w:tc>
        <w:tc>
          <w:tcPr>
            <w:tcW w:w="4239" w:type="dxa"/>
            <w:tcBorders>
              <w:top w:val="single" w:sz="4" w:space="0" w:color="auto"/>
              <w:left w:val="single" w:sz="4" w:space="0" w:color="auto"/>
              <w:bottom w:val="single" w:sz="4" w:space="0" w:color="auto"/>
              <w:right w:val="single" w:sz="4" w:space="0" w:color="auto"/>
            </w:tcBorders>
          </w:tcPr>
          <w:p w14:paraId="499C06B2" w14:textId="77777777" w:rsidR="00500337" w:rsidRPr="006A00DA" w:rsidRDefault="00500337" w:rsidP="00500337">
            <w:pPr>
              <w:ind w:left="0" w:right="0"/>
            </w:pPr>
            <w:r w:rsidRPr="006A00DA">
              <w:t>Date</w:t>
            </w:r>
          </w:p>
        </w:tc>
      </w:tr>
      <w:tr w:rsidR="00500337" w:rsidRPr="006A00DA" w14:paraId="4971F153" w14:textId="77777777" w:rsidTr="00E23D49">
        <w:tc>
          <w:tcPr>
            <w:tcW w:w="4255" w:type="dxa"/>
            <w:tcBorders>
              <w:top w:val="single" w:sz="4" w:space="0" w:color="auto"/>
            </w:tcBorders>
          </w:tcPr>
          <w:p w14:paraId="4C516A68" w14:textId="3DBD3AF4" w:rsidR="00500337" w:rsidRPr="001D0416" w:rsidRDefault="00500337" w:rsidP="00500337">
            <w:pPr>
              <w:ind w:left="0" w:right="0"/>
            </w:pPr>
            <w:r w:rsidRPr="006A00DA">
              <w:t>Designation (Provisiona</w:t>
            </w:r>
            <w:r w:rsidR="00614F90" w:rsidRPr="006A00DA">
              <w:t>l</w:t>
            </w:r>
            <w:r w:rsidRPr="006A00DA">
              <w:t>)</w:t>
            </w:r>
            <w:r w:rsidR="00253B70" w:rsidRPr="001D0416">
              <w:rPr>
                <w:rStyle w:val="FootnoteReference"/>
              </w:rPr>
              <w:footnoteReference w:id="29"/>
            </w:r>
          </w:p>
        </w:tc>
        <w:tc>
          <w:tcPr>
            <w:tcW w:w="4239" w:type="dxa"/>
            <w:tcBorders>
              <w:top w:val="single" w:sz="4" w:space="0" w:color="auto"/>
            </w:tcBorders>
          </w:tcPr>
          <w:p w14:paraId="6A6BED0D" w14:textId="412BD80F" w:rsidR="00500337" w:rsidRPr="006A00DA" w:rsidRDefault="00614F90" w:rsidP="00500337">
            <w:pPr>
              <w:ind w:left="0" w:right="0"/>
            </w:pPr>
            <w:r w:rsidRPr="006A00DA">
              <w:t>22 July 2020</w:t>
            </w:r>
          </w:p>
        </w:tc>
      </w:tr>
      <w:tr w:rsidR="00500337" w:rsidRPr="006A00DA" w14:paraId="3C3C673F" w14:textId="77777777" w:rsidTr="00E23D49">
        <w:tc>
          <w:tcPr>
            <w:tcW w:w="4255" w:type="dxa"/>
          </w:tcPr>
          <w:p w14:paraId="3343E2AE" w14:textId="77777777" w:rsidR="00500337" w:rsidRPr="006A00DA" w:rsidRDefault="00500337" w:rsidP="00500337">
            <w:pPr>
              <w:ind w:left="0" w:right="0"/>
            </w:pPr>
            <w:r w:rsidRPr="006A00DA">
              <w:t>Submission dossier accepted and first round evaluation commenced</w:t>
            </w:r>
          </w:p>
        </w:tc>
        <w:tc>
          <w:tcPr>
            <w:tcW w:w="4239" w:type="dxa"/>
          </w:tcPr>
          <w:p w14:paraId="4E5C0BC5" w14:textId="1E1EAFFD" w:rsidR="00500337" w:rsidRPr="006A00DA" w:rsidRDefault="00614F90" w:rsidP="00500337">
            <w:pPr>
              <w:ind w:left="0" w:right="0"/>
            </w:pPr>
            <w:r w:rsidRPr="006A00DA">
              <w:t>2 November 2020</w:t>
            </w:r>
          </w:p>
        </w:tc>
      </w:tr>
      <w:tr w:rsidR="00500337" w:rsidRPr="006A00DA" w14:paraId="62014BA2" w14:textId="77777777" w:rsidTr="00E23D49">
        <w:tc>
          <w:tcPr>
            <w:tcW w:w="4255" w:type="dxa"/>
          </w:tcPr>
          <w:p w14:paraId="7451BE31" w14:textId="77777777" w:rsidR="00500337" w:rsidRPr="006A00DA" w:rsidRDefault="00500337" w:rsidP="00500337">
            <w:pPr>
              <w:ind w:left="0" w:right="0"/>
            </w:pPr>
            <w:r w:rsidRPr="006A00DA">
              <w:t>First round evaluation completed</w:t>
            </w:r>
          </w:p>
        </w:tc>
        <w:tc>
          <w:tcPr>
            <w:tcW w:w="4239" w:type="dxa"/>
          </w:tcPr>
          <w:p w14:paraId="7EFA43A0" w14:textId="21EAD009" w:rsidR="00500337" w:rsidRPr="006A00DA" w:rsidRDefault="00614F90" w:rsidP="00500337">
            <w:pPr>
              <w:ind w:left="0" w:right="0"/>
            </w:pPr>
            <w:r w:rsidRPr="006A00DA">
              <w:t>30 April 2021</w:t>
            </w:r>
          </w:p>
        </w:tc>
      </w:tr>
      <w:tr w:rsidR="00500337" w:rsidRPr="006A00DA" w14:paraId="33980CB9" w14:textId="77777777" w:rsidTr="00E23D49">
        <w:tc>
          <w:tcPr>
            <w:tcW w:w="4255" w:type="dxa"/>
          </w:tcPr>
          <w:p w14:paraId="66BF5F17" w14:textId="77777777" w:rsidR="00500337" w:rsidRPr="006A00DA" w:rsidRDefault="00500337" w:rsidP="00500337">
            <w:pPr>
              <w:ind w:left="0" w:right="0"/>
            </w:pPr>
            <w:r w:rsidRPr="006A00DA">
              <w:t>Sponsor provides responses on questions raised in first round evaluation</w:t>
            </w:r>
          </w:p>
        </w:tc>
        <w:tc>
          <w:tcPr>
            <w:tcW w:w="4239" w:type="dxa"/>
          </w:tcPr>
          <w:p w14:paraId="56AFDC02" w14:textId="4A85DF89" w:rsidR="00500337" w:rsidRPr="006A00DA" w:rsidRDefault="00614F90" w:rsidP="00500337">
            <w:pPr>
              <w:ind w:left="0" w:right="0"/>
            </w:pPr>
            <w:r w:rsidRPr="006A00DA">
              <w:t>1 June 2021</w:t>
            </w:r>
          </w:p>
        </w:tc>
      </w:tr>
      <w:tr w:rsidR="00500337" w:rsidRPr="006A00DA" w14:paraId="3EE970B1" w14:textId="77777777" w:rsidTr="00E23D49">
        <w:tc>
          <w:tcPr>
            <w:tcW w:w="4255" w:type="dxa"/>
          </w:tcPr>
          <w:p w14:paraId="6B2CE06F" w14:textId="77777777" w:rsidR="00500337" w:rsidRPr="006A00DA" w:rsidRDefault="00500337" w:rsidP="00500337">
            <w:pPr>
              <w:ind w:left="0" w:right="0"/>
            </w:pPr>
            <w:r w:rsidRPr="006A00DA">
              <w:t>Second round evaluation completed</w:t>
            </w:r>
          </w:p>
        </w:tc>
        <w:tc>
          <w:tcPr>
            <w:tcW w:w="4239" w:type="dxa"/>
          </w:tcPr>
          <w:p w14:paraId="33AAEA40" w14:textId="71B4A4FA" w:rsidR="00500337" w:rsidRPr="006A00DA" w:rsidRDefault="00614F90" w:rsidP="00500337">
            <w:pPr>
              <w:ind w:left="0" w:right="0"/>
            </w:pPr>
            <w:r w:rsidRPr="006A00DA">
              <w:t>12 July 2021</w:t>
            </w:r>
          </w:p>
        </w:tc>
      </w:tr>
      <w:tr w:rsidR="00500337" w:rsidRPr="006A00DA" w14:paraId="79116C8F" w14:textId="77777777" w:rsidTr="00E23D49">
        <w:tc>
          <w:tcPr>
            <w:tcW w:w="4255" w:type="dxa"/>
          </w:tcPr>
          <w:p w14:paraId="1C950F2B" w14:textId="1354BC53" w:rsidR="00500337" w:rsidRPr="006A00DA" w:rsidRDefault="00324E45" w:rsidP="00500337">
            <w:pPr>
              <w:ind w:left="0" w:right="0"/>
            </w:pPr>
            <w:r w:rsidRPr="006A00DA">
              <w:t>Delegate’s Overall benefit-risk assessment</w:t>
            </w:r>
          </w:p>
        </w:tc>
        <w:tc>
          <w:tcPr>
            <w:tcW w:w="4239" w:type="dxa"/>
          </w:tcPr>
          <w:p w14:paraId="1D73A86F" w14:textId="4AABA7C0" w:rsidR="00500337" w:rsidRPr="006A00DA" w:rsidRDefault="00614F90" w:rsidP="00500337">
            <w:pPr>
              <w:ind w:left="0" w:right="0"/>
            </w:pPr>
            <w:r w:rsidRPr="006A00DA">
              <w:t>27 August 2021</w:t>
            </w:r>
          </w:p>
        </w:tc>
      </w:tr>
      <w:tr w:rsidR="00500337" w:rsidRPr="006A00DA" w14:paraId="0513A02C" w14:textId="77777777" w:rsidTr="00E23D49">
        <w:tc>
          <w:tcPr>
            <w:tcW w:w="4255" w:type="dxa"/>
          </w:tcPr>
          <w:p w14:paraId="6B4576FA" w14:textId="77777777" w:rsidR="00500337" w:rsidRPr="006A00DA" w:rsidRDefault="00500337" w:rsidP="00500337">
            <w:pPr>
              <w:ind w:left="0" w:right="0"/>
            </w:pPr>
            <w:r w:rsidRPr="006A00DA">
              <w:t>Registration decision (Outcome)</w:t>
            </w:r>
          </w:p>
        </w:tc>
        <w:tc>
          <w:tcPr>
            <w:tcW w:w="4239" w:type="dxa"/>
          </w:tcPr>
          <w:p w14:paraId="62F250D3" w14:textId="27FDB2E2" w:rsidR="00500337" w:rsidRPr="006A00DA" w:rsidRDefault="00614F90" w:rsidP="00500337">
            <w:pPr>
              <w:ind w:left="0" w:right="0"/>
            </w:pPr>
            <w:r w:rsidRPr="006A00DA">
              <w:t>5 October 2021</w:t>
            </w:r>
          </w:p>
        </w:tc>
      </w:tr>
      <w:tr w:rsidR="00500337" w:rsidRPr="006A00DA" w14:paraId="2C3E5623" w14:textId="77777777" w:rsidTr="00E23D49">
        <w:tc>
          <w:tcPr>
            <w:tcW w:w="4255" w:type="dxa"/>
          </w:tcPr>
          <w:p w14:paraId="5CF47294" w14:textId="77777777" w:rsidR="00500337" w:rsidRPr="006A00DA" w:rsidRDefault="00500337" w:rsidP="00500337">
            <w:pPr>
              <w:ind w:left="0" w:right="0"/>
            </w:pPr>
            <w:r w:rsidRPr="006A00DA">
              <w:t xml:space="preserve">Completion of administrative activities and registration on </w:t>
            </w:r>
            <w:r w:rsidR="00006FAB" w:rsidRPr="006A00DA">
              <w:t xml:space="preserve">the </w:t>
            </w:r>
            <w:r w:rsidRPr="006A00DA">
              <w:t>ARTG</w:t>
            </w:r>
          </w:p>
        </w:tc>
        <w:tc>
          <w:tcPr>
            <w:tcW w:w="4239" w:type="dxa"/>
          </w:tcPr>
          <w:p w14:paraId="28DC7341" w14:textId="12E00BCB" w:rsidR="00500337" w:rsidRPr="006A00DA" w:rsidRDefault="00614F90" w:rsidP="00500337">
            <w:pPr>
              <w:ind w:left="0" w:right="0"/>
            </w:pPr>
            <w:r w:rsidRPr="006A00DA">
              <w:t>8 October 2021</w:t>
            </w:r>
          </w:p>
        </w:tc>
      </w:tr>
      <w:tr w:rsidR="00500337" w:rsidRPr="006A00DA" w14:paraId="48B4ED82" w14:textId="77777777" w:rsidTr="00E23D49">
        <w:tc>
          <w:tcPr>
            <w:tcW w:w="4255" w:type="dxa"/>
          </w:tcPr>
          <w:p w14:paraId="6E7B482A" w14:textId="77777777" w:rsidR="00500337" w:rsidRPr="006A00DA" w:rsidRDefault="00500337" w:rsidP="00500337">
            <w:pPr>
              <w:ind w:left="0" w:right="0"/>
            </w:pPr>
            <w:r w:rsidRPr="006A00DA">
              <w:t>Number of working days from submission dossier acceptance to registration decision*</w:t>
            </w:r>
          </w:p>
        </w:tc>
        <w:tc>
          <w:tcPr>
            <w:tcW w:w="4239" w:type="dxa"/>
          </w:tcPr>
          <w:p w14:paraId="0A8C7018" w14:textId="27B5310B" w:rsidR="00500337" w:rsidRPr="006A00DA" w:rsidRDefault="00614F90" w:rsidP="00500337">
            <w:pPr>
              <w:ind w:left="0" w:right="0"/>
            </w:pPr>
            <w:r w:rsidRPr="006A00DA">
              <w:t>190</w:t>
            </w:r>
          </w:p>
        </w:tc>
      </w:tr>
    </w:tbl>
    <w:p w14:paraId="6008752F" w14:textId="77777777" w:rsidR="00500337" w:rsidRPr="006A00DA" w:rsidRDefault="00500337" w:rsidP="00D05EC9">
      <w:pPr>
        <w:pStyle w:val="TableDescription"/>
      </w:pPr>
      <w:r w:rsidRPr="006A00DA">
        <w:t>*</w:t>
      </w:r>
      <w:r w:rsidR="006603BC" w:rsidRPr="006A00DA">
        <w:t>Statutory timeframe for standard applications is 255 working days</w:t>
      </w:r>
    </w:p>
    <w:p w14:paraId="00CD767C" w14:textId="77777777" w:rsidR="008E7846" w:rsidRPr="006A00DA" w:rsidRDefault="00456765" w:rsidP="008E7846">
      <w:pPr>
        <w:pStyle w:val="Heading2"/>
      </w:pPr>
      <w:bookmarkStart w:id="38" w:name="_Toc196046504"/>
      <w:bookmarkStart w:id="39" w:name="_Toc247691527"/>
      <w:bookmarkStart w:id="40" w:name="_Toc314842510"/>
      <w:bookmarkStart w:id="41" w:name="_Toc103589841"/>
      <w:bookmarkStart w:id="42" w:name="_Toc163441390"/>
      <w:bookmarkEnd w:id="4"/>
      <w:bookmarkEnd w:id="34"/>
      <w:bookmarkEnd w:id="35"/>
      <w:r w:rsidRPr="006A00DA">
        <w:t>I</w:t>
      </w:r>
      <w:r w:rsidR="00DA64CB" w:rsidRPr="006A00DA">
        <w:t>I</w:t>
      </w:r>
      <w:r w:rsidR="008E7846" w:rsidRPr="006A00DA">
        <w:t xml:space="preserve">I. </w:t>
      </w:r>
      <w:r w:rsidR="00006FAB" w:rsidRPr="006A00DA">
        <w:t xml:space="preserve">Submission overview </w:t>
      </w:r>
      <w:r w:rsidR="008E7846" w:rsidRPr="006A00DA">
        <w:t>and risk/benefit assessment</w:t>
      </w:r>
      <w:bookmarkEnd w:id="38"/>
      <w:bookmarkEnd w:id="39"/>
      <w:bookmarkEnd w:id="40"/>
      <w:bookmarkEnd w:id="41"/>
    </w:p>
    <w:p w14:paraId="05415834" w14:textId="77777777" w:rsidR="00006FAB" w:rsidRPr="006A00DA" w:rsidRDefault="00006FAB" w:rsidP="00006FAB">
      <w:bookmarkStart w:id="43" w:name="_Toc247691528"/>
      <w:r w:rsidRPr="006A00DA">
        <w:t>This section is a TGA summary of wording used in TGA’s evaluation report, which discussed numerous aspects of overseas evaluation reports and included some information that was commercial-in-confidence.</w:t>
      </w:r>
    </w:p>
    <w:p w14:paraId="24980A0B" w14:textId="79228B05" w:rsidR="00E45619" w:rsidRPr="006A00DA" w:rsidRDefault="008E7846" w:rsidP="00D05EC9">
      <w:pPr>
        <w:pStyle w:val="Heading3"/>
      </w:pPr>
      <w:bookmarkStart w:id="44" w:name="_Toc314842511"/>
      <w:bookmarkStart w:id="45" w:name="_Toc103589842"/>
      <w:r w:rsidRPr="006A00DA">
        <w:t>Quality</w:t>
      </w:r>
      <w:bookmarkEnd w:id="43"/>
      <w:bookmarkEnd w:id="44"/>
      <w:bookmarkEnd w:id="45"/>
    </w:p>
    <w:p w14:paraId="3D76F857" w14:textId="267E446E" w:rsidR="00253B70" w:rsidRPr="001D0416" w:rsidRDefault="00253B70" w:rsidP="00253B70">
      <w:r w:rsidRPr="006A00DA">
        <w:t xml:space="preserve">The quality evaluation was based on the quality reports provided by the </w:t>
      </w:r>
      <w:r w:rsidR="00F82AC0">
        <w:t xml:space="preserve">US </w:t>
      </w:r>
      <w:r w:rsidRPr="006A00DA">
        <w:t>FDA under the auspices of Project Orbis.</w:t>
      </w:r>
    </w:p>
    <w:p w14:paraId="1821F0CF" w14:textId="410B7EEC" w:rsidR="00253B70" w:rsidRPr="006A00DA" w:rsidRDefault="004B453F" w:rsidP="00253B70">
      <w:r>
        <w:lastRenderedPageBreak/>
        <w:t>Trastuzumab</w:t>
      </w:r>
      <w:r w:rsidR="00253B70" w:rsidRPr="006A00DA">
        <w:t xml:space="preserve"> </w:t>
      </w:r>
      <w:proofErr w:type="spellStart"/>
      <w:r w:rsidR="00253B70" w:rsidRPr="006A00DA">
        <w:t>deruxtecan</w:t>
      </w:r>
      <w:proofErr w:type="spellEnd"/>
      <w:r w:rsidR="00253B70" w:rsidRPr="006A00DA">
        <w:t xml:space="preserve"> is a HER2</w:t>
      </w:r>
      <w:r w:rsidR="00E23D49" w:rsidRPr="006A00DA">
        <w:t>-</w:t>
      </w:r>
      <w:r w:rsidR="00253B70" w:rsidRPr="006A00DA">
        <w:t>targeted antibody and topoisomerase I inhibitor conjugate</w:t>
      </w:r>
      <w:r w:rsidR="007457C9" w:rsidRPr="006A00DA">
        <w:t xml:space="preserve"> </w:t>
      </w:r>
      <w:r w:rsidR="00910870">
        <w:t>(DS-8201a)</w:t>
      </w:r>
      <w:r w:rsidR="00253B70" w:rsidRPr="006A00DA">
        <w:t>.</w:t>
      </w:r>
      <w:r w:rsidR="00F82AC0">
        <w:rPr>
          <w:rStyle w:val="FootnoteReference"/>
        </w:rPr>
        <w:footnoteReference w:id="30"/>
      </w:r>
      <w:r w:rsidR="00253B70" w:rsidRPr="006A00DA">
        <w:t xml:space="preserve"> The antibody-drug conjugate </w:t>
      </w:r>
      <w:r w:rsidR="00805751">
        <w:t xml:space="preserve">drug substance </w:t>
      </w:r>
      <w:r w:rsidR="00253B70" w:rsidRPr="006A00DA">
        <w:t>consists of a humanised anti-HER2 IgG1 monoclonal antibody covalently linked to</w:t>
      </w:r>
      <w:r w:rsidR="00B57645">
        <w:t xml:space="preserve"> </w:t>
      </w:r>
      <w:r w:rsidR="00253B70" w:rsidRPr="006A00DA">
        <w:t>a</w:t>
      </w:r>
      <w:r w:rsidR="00B57645">
        <w:t>n active metabolite,</w:t>
      </w:r>
      <w:r w:rsidR="00253B70" w:rsidRPr="006A00DA">
        <w:t xml:space="preserve"> topoisomerase </w:t>
      </w:r>
      <w:r w:rsidR="00715B3B">
        <w:t xml:space="preserve">I </w:t>
      </w:r>
      <w:r w:rsidR="00253B70" w:rsidRPr="006A00DA">
        <w:t xml:space="preserve">inhibitor </w:t>
      </w:r>
      <w:r w:rsidR="00BA0285" w:rsidRPr="006A00DA">
        <w:t>(MAAA-1181a)</w:t>
      </w:r>
      <w:r w:rsidR="00BA0285">
        <w:t xml:space="preserve"> </w:t>
      </w:r>
      <w:r w:rsidR="00253B70" w:rsidRPr="006A00DA">
        <w:t>via a tetrapeptide-based cleavable linker.</w:t>
      </w:r>
      <w:r w:rsidR="00F82AC0">
        <w:rPr>
          <w:rStyle w:val="FootnoteReference"/>
        </w:rPr>
        <w:footnoteReference w:id="31"/>
      </w:r>
    </w:p>
    <w:p w14:paraId="082566E9" w14:textId="35D3CB71" w:rsidR="00253B70" w:rsidRPr="006A00DA" w:rsidRDefault="00253B70" w:rsidP="00253B70">
      <w:r w:rsidRPr="006A00DA">
        <w:t xml:space="preserve">The </w:t>
      </w:r>
      <w:r w:rsidR="004A7542">
        <w:t>anti</w:t>
      </w:r>
      <w:r w:rsidR="006C3195">
        <w:t xml:space="preserve">body portion of the </w:t>
      </w:r>
      <w:r w:rsidR="005D04AA">
        <w:t xml:space="preserve">drug </w:t>
      </w:r>
      <w:proofErr w:type="gramStart"/>
      <w:r w:rsidR="005D04AA">
        <w:t xml:space="preserve">substance </w:t>
      </w:r>
      <w:r w:rsidRPr="006A00DA">
        <w:t xml:space="preserve"> consists</w:t>
      </w:r>
      <w:proofErr w:type="gramEnd"/>
      <w:r w:rsidRPr="006A00DA">
        <w:t xml:space="preserve"> of a recombinant humanised </w:t>
      </w:r>
      <w:r w:rsidR="00936209" w:rsidRPr="006A00DA">
        <w:t>IgG1</w:t>
      </w:r>
      <w:r w:rsidRPr="006A00DA">
        <w:t xml:space="preserve"> kappa monoclonal antibody identical to </w:t>
      </w:r>
      <w:r w:rsidR="004B453F">
        <w:t>Trastuzumab</w:t>
      </w:r>
      <w:r w:rsidRPr="006A00DA">
        <w:t xml:space="preserve"> that binds specifically to the HER2</w:t>
      </w:r>
      <w:r w:rsidR="00B57645">
        <w:t xml:space="preserve"> </w:t>
      </w:r>
      <w:r w:rsidRPr="006A00DA">
        <w:t xml:space="preserve">extracellular domain. </w:t>
      </w:r>
      <w:r w:rsidR="008A28A2" w:rsidRPr="006A00DA">
        <w:t xml:space="preserve">The drug </w:t>
      </w:r>
      <w:r w:rsidR="00936209" w:rsidRPr="006A00DA">
        <w:t>substance</w:t>
      </w:r>
      <w:r w:rsidRPr="006A00DA">
        <w:t xml:space="preserve"> has HER2-mediated Akt phosphorylation inhibition and antibody dependent cellular cytotoxic (ADCC) activity.</w:t>
      </w:r>
    </w:p>
    <w:p w14:paraId="5A3C58D4" w14:textId="76F3BAD3" w:rsidR="00253B70" w:rsidRPr="006A00DA" w:rsidRDefault="008A28A2" w:rsidP="00D05EC9">
      <w:pPr>
        <w:pStyle w:val="FigureTitle"/>
      </w:pPr>
      <w:r w:rsidRPr="006A00DA">
        <w:t xml:space="preserve">Figure </w:t>
      </w:r>
      <w:r>
        <w:fldChar w:fldCharType="begin"/>
      </w:r>
      <w:r>
        <w:instrText>SEQ Figure \* ARABIC</w:instrText>
      </w:r>
      <w:r>
        <w:fldChar w:fldCharType="separate"/>
      </w:r>
      <w:r w:rsidR="006922A4" w:rsidRPr="006A00DA">
        <w:rPr>
          <w:noProof/>
        </w:rPr>
        <w:t>1</w:t>
      </w:r>
      <w:r>
        <w:fldChar w:fldCharType="end"/>
      </w:r>
      <w:r w:rsidRPr="006A00DA">
        <w:t xml:space="preserve">: </w:t>
      </w:r>
      <w:r w:rsidR="00253B70" w:rsidRPr="006A00DA">
        <w:t xml:space="preserve">Schematic </w:t>
      </w:r>
      <w:r w:rsidRPr="006A00DA">
        <w:t>s</w:t>
      </w:r>
      <w:r w:rsidR="00253B70" w:rsidRPr="006A00DA">
        <w:t xml:space="preserve">tructure of </w:t>
      </w:r>
      <w:r w:rsidR="004B453F">
        <w:t>Trastuzumab</w:t>
      </w:r>
      <w:r w:rsidR="00253B70" w:rsidRPr="006A00DA">
        <w:t xml:space="preserve"> </w:t>
      </w:r>
      <w:proofErr w:type="spellStart"/>
      <w:r w:rsidRPr="006A00DA">
        <w:t>d</w:t>
      </w:r>
      <w:r w:rsidR="00253B70" w:rsidRPr="006A00DA">
        <w:t>eruxtecan</w:t>
      </w:r>
      <w:proofErr w:type="spellEnd"/>
    </w:p>
    <w:p w14:paraId="7C26135B" w14:textId="1349420F" w:rsidR="001B0EA8" w:rsidRPr="006A00DA" w:rsidRDefault="001B0EA8" w:rsidP="00253B70">
      <w:r w:rsidRPr="006A00DA">
        <w:rPr>
          <w:noProof/>
          <w:lang w:val="en-GB" w:eastAsia="en-GB"/>
        </w:rPr>
        <w:drawing>
          <wp:inline distT="0" distB="0" distL="0" distR="0" wp14:anchorId="7C77E940" wp14:editId="7E9AC74F">
            <wp:extent cx="2857647" cy="1784442"/>
            <wp:effectExtent l="0" t="0" r="0" b="6350"/>
            <wp:docPr id="14" name="Picture 14" descr="Schematic structure of trastuzumab deruxte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hematic structure of trastuzumab deruxtecan"/>
                    <pic:cNvPicPr/>
                  </pic:nvPicPr>
                  <pic:blipFill>
                    <a:blip r:embed="rId18"/>
                    <a:stretch>
                      <a:fillRect/>
                    </a:stretch>
                  </pic:blipFill>
                  <pic:spPr>
                    <a:xfrm>
                      <a:off x="0" y="0"/>
                      <a:ext cx="2857647" cy="1784442"/>
                    </a:xfrm>
                    <a:prstGeom prst="rect">
                      <a:avLst/>
                    </a:prstGeom>
                  </pic:spPr>
                </pic:pic>
              </a:graphicData>
            </a:graphic>
          </wp:inline>
        </w:drawing>
      </w:r>
    </w:p>
    <w:p w14:paraId="5828A072" w14:textId="6A284C1B" w:rsidR="00253B70" w:rsidRPr="006A00DA" w:rsidRDefault="00253B70" w:rsidP="00253B70">
      <w:r w:rsidRPr="006A00DA">
        <w:t xml:space="preserve">The </w:t>
      </w:r>
      <w:r w:rsidR="008A28A2" w:rsidRPr="006A00DA">
        <w:t>drug product</w:t>
      </w:r>
      <w:r w:rsidRPr="006A00DA">
        <w:t xml:space="preserve"> is supplied as a 100 mg single</w:t>
      </w:r>
      <w:r w:rsidR="008A28A2" w:rsidRPr="006A00DA">
        <w:t xml:space="preserve"> </w:t>
      </w:r>
      <w:r w:rsidRPr="006A00DA">
        <w:t>dose sterile lyophilised powder in a glass vial sealed with a rubber stopper and flip</w:t>
      </w:r>
      <w:r w:rsidR="00D27078" w:rsidRPr="006A00DA">
        <w:t xml:space="preserve"> </w:t>
      </w:r>
      <w:r w:rsidRPr="006A00DA">
        <w:t xml:space="preserve">off crimp cap. Prior to use, </w:t>
      </w:r>
      <w:r w:rsidR="008A28A2" w:rsidRPr="006A00DA">
        <w:t>drug product</w:t>
      </w:r>
      <w:r w:rsidRPr="006A00DA">
        <w:t xml:space="preserve"> is reconstituted with 5 mL of water for injection to provide a solution with a </w:t>
      </w:r>
      <w:r w:rsidR="008A28A2" w:rsidRPr="006A00DA">
        <w:t>drug substance of</w:t>
      </w:r>
      <w:r w:rsidRPr="006A00DA">
        <w:t xml:space="preserve"> concentration of 20 mg/mL in 25mM histidine </w:t>
      </w:r>
      <w:r w:rsidR="007510EC" w:rsidRPr="006A00DA">
        <w:t>buffer.</w:t>
      </w:r>
    </w:p>
    <w:p w14:paraId="29A010AE" w14:textId="75D045B7" w:rsidR="00253B70" w:rsidRPr="006A00DA" w:rsidRDefault="00253B70" w:rsidP="00253B70">
      <w:r w:rsidRPr="006A00DA">
        <w:t xml:space="preserve">The submitted data support a shelf of 36 months at 5°C for the </w:t>
      </w:r>
      <w:r w:rsidR="00D27078" w:rsidRPr="006A00DA">
        <w:t>drug product</w:t>
      </w:r>
      <w:r w:rsidRPr="006A00DA">
        <w:t>.</w:t>
      </w:r>
    </w:p>
    <w:p w14:paraId="520F65A1" w14:textId="33BABDE9" w:rsidR="00936209" w:rsidRPr="001D0416" w:rsidRDefault="00936209" w:rsidP="00253B70">
      <w:r w:rsidRPr="006A00DA">
        <w:t xml:space="preserve">There are no objections on quality grounds to the approval of </w:t>
      </w:r>
      <w:proofErr w:type="spellStart"/>
      <w:r w:rsidRPr="006A00DA">
        <w:t>Enhertu</w:t>
      </w:r>
      <w:proofErr w:type="spellEnd"/>
      <w:r w:rsidRPr="006A00DA">
        <w:t>.</w:t>
      </w:r>
    </w:p>
    <w:p w14:paraId="7CAC9FD3" w14:textId="69C18DF2" w:rsidR="00253B70" w:rsidRDefault="008A28A2" w:rsidP="008A28A2">
      <w:pPr>
        <w:pStyle w:val="Heading4"/>
      </w:pPr>
      <w:r w:rsidRPr="006A00DA">
        <w:t>P</w:t>
      </w:r>
      <w:r w:rsidR="00253B70" w:rsidRPr="006A00DA">
        <w:t>roposed conditions of registration</w:t>
      </w:r>
    </w:p>
    <w:p w14:paraId="416F613E" w14:textId="0E8AB8BF" w:rsidR="00CD0AA7" w:rsidRPr="00BB5E50" w:rsidRDefault="00CD0AA7" w:rsidP="00021980">
      <w:r>
        <w:t>The quality evaluation proposed the following conditions of registration:</w:t>
      </w:r>
    </w:p>
    <w:p w14:paraId="057C5FD6" w14:textId="77777777" w:rsidR="00253B70" w:rsidRPr="006A00DA" w:rsidRDefault="00253B70" w:rsidP="00021980">
      <w:pPr>
        <w:pStyle w:val="ListBullet"/>
      </w:pPr>
      <w:r w:rsidRPr="006A00DA">
        <w:t>Laboratory testing &amp; compliance with Certified Product Details (CPD)</w:t>
      </w:r>
    </w:p>
    <w:p w14:paraId="0F7543BA" w14:textId="2FB2FFB6" w:rsidR="00253B70" w:rsidRPr="006A00DA" w:rsidRDefault="00253B70" w:rsidP="00021980">
      <w:pPr>
        <w:pStyle w:val="ListBullet2"/>
      </w:pPr>
      <w:r w:rsidRPr="006A00DA">
        <w:t xml:space="preserve">All batches of </w:t>
      </w:r>
      <w:proofErr w:type="spellStart"/>
      <w:r w:rsidRPr="006A00DA">
        <w:t>E</w:t>
      </w:r>
      <w:r w:rsidR="00D27078" w:rsidRPr="006A00DA">
        <w:t>nhertu</w:t>
      </w:r>
      <w:proofErr w:type="spellEnd"/>
      <w:r w:rsidRPr="006A00DA">
        <w:t xml:space="preserve"> supplied in Australia must comply with the product details and specifications approved during evaluation and detailed in the Certified Product Details (CPD).</w:t>
      </w:r>
    </w:p>
    <w:p w14:paraId="4BBFA819" w14:textId="0108C668" w:rsidR="00253B70" w:rsidRPr="006A00DA" w:rsidRDefault="00253B70" w:rsidP="00021980">
      <w:pPr>
        <w:pStyle w:val="ListBullet2"/>
      </w:pPr>
      <w:r w:rsidRPr="006A00DA">
        <w:t xml:space="preserve">When requested by the TGA, the </w:t>
      </w:r>
      <w:r w:rsidR="00D27078" w:rsidRPr="006A00DA">
        <w:t>s</w:t>
      </w:r>
      <w:r w:rsidRPr="006A00DA">
        <w:t xml:space="preserve">ponsor should be prepared to provide product samples, specified reference materials and documentary evidence to enable the TGA to conduct laboratory testing on the </w:t>
      </w:r>
      <w:r w:rsidR="00D27078" w:rsidRPr="006A00DA">
        <w:t>p</w:t>
      </w:r>
      <w:r w:rsidRPr="006A00DA">
        <w:t>roduct. Outcomes of laboratory testing are published biannually in the TGA Database of Laboratory Testing Results http://www.tga.gov.au/ws-labs-index and periodically in testing reports on the TGA website.</w:t>
      </w:r>
    </w:p>
    <w:p w14:paraId="77C61AF0" w14:textId="77777777" w:rsidR="008E7846" w:rsidRPr="006A00DA" w:rsidRDefault="008E7846" w:rsidP="008E7846">
      <w:pPr>
        <w:pStyle w:val="Heading3"/>
      </w:pPr>
      <w:bookmarkStart w:id="46" w:name="_Toc314842512"/>
      <w:bookmarkStart w:id="47" w:name="_Toc103589843"/>
      <w:r w:rsidRPr="006A00DA">
        <w:t>Nonclinical</w:t>
      </w:r>
      <w:bookmarkEnd w:id="46"/>
      <w:bookmarkEnd w:id="47"/>
    </w:p>
    <w:p w14:paraId="50C99C84" w14:textId="79FB58AE" w:rsidR="008A28A2" w:rsidRPr="006A00DA" w:rsidRDefault="00936209" w:rsidP="00936209">
      <w:r w:rsidRPr="006A00DA">
        <w:t>The nonclinical evaluator noted that there was n</w:t>
      </w:r>
      <w:r w:rsidR="008A28A2" w:rsidRPr="006A00DA">
        <w:t>o major deficienc</w:t>
      </w:r>
      <w:r w:rsidRPr="006A00DA">
        <w:t xml:space="preserve">y </w:t>
      </w:r>
      <w:r w:rsidR="008A28A2" w:rsidRPr="006A00DA">
        <w:t>identified in</w:t>
      </w:r>
      <w:r w:rsidRPr="006A00DA">
        <w:t xml:space="preserve"> </w:t>
      </w:r>
      <w:r w:rsidR="008A28A2" w:rsidRPr="006A00DA">
        <w:t xml:space="preserve">nonclinical </w:t>
      </w:r>
      <w:r w:rsidR="00D27078" w:rsidRPr="006A00DA">
        <w:t>evaluation</w:t>
      </w:r>
      <w:r w:rsidR="00155E5D" w:rsidRPr="006A00DA">
        <w:t>.</w:t>
      </w:r>
    </w:p>
    <w:p w14:paraId="79070F0B" w14:textId="326CB700" w:rsidR="008A28A2" w:rsidRPr="006A00DA" w:rsidRDefault="008A28A2" w:rsidP="00936209">
      <w:r w:rsidRPr="006A00DA">
        <w:lastRenderedPageBreak/>
        <w:t xml:space="preserve">Primary pharmacology studies support the use of </w:t>
      </w:r>
      <w:r w:rsidR="004B453F">
        <w:t>Trastuzumab</w:t>
      </w:r>
      <w:r w:rsidRPr="006A00DA">
        <w:t xml:space="preserve"> </w:t>
      </w:r>
      <w:proofErr w:type="spellStart"/>
      <w:r w:rsidRPr="006A00DA">
        <w:t>deruxtecan</w:t>
      </w:r>
      <w:proofErr w:type="spellEnd"/>
      <w:r w:rsidRPr="006A00DA">
        <w:t xml:space="preserve"> for the proposed indication, having adequately shown </w:t>
      </w:r>
      <w:r w:rsidRPr="006A00DA">
        <w:rPr>
          <w:i/>
          <w:iCs/>
        </w:rPr>
        <w:t>in vitro</w:t>
      </w:r>
      <w:r w:rsidRPr="006A00DA">
        <w:t xml:space="preserve"> and </w:t>
      </w:r>
      <w:r w:rsidRPr="006A00DA">
        <w:rPr>
          <w:i/>
          <w:iCs/>
        </w:rPr>
        <w:t>in vivo</w:t>
      </w:r>
      <w:r w:rsidRPr="006A00DA">
        <w:t xml:space="preserve"> anti-tumour activity.</w:t>
      </w:r>
      <w:r w:rsidR="00936209" w:rsidRPr="006A00DA">
        <w:t xml:space="preserve"> </w:t>
      </w:r>
      <w:r w:rsidRPr="006A00DA">
        <w:t>Safety pharmacology studies did not identify any clinically relevant hazards.</w:t>
      </w:r>
    </w:p>
    <w:p w14:paraId="1ED91408" w14:textId="231620B3" w:rsidR="008A28A2" w:rsidRPr="006A00DA" w:rsidRDefault="008A28A2" w:rsidP="00936209">
      <w:r w:rsidRPr="006A00DA">
        <w:t xml:space="preserve">Drug active </w:t>
      </w:r>
      <w:r w:rsidR="00936209" w:rsidRPr="006A00DA">
        <w:t xml:space="preserve">MAAA-1181a </w:t>
      </w:r>
      <w:r w:rsidRPr="006A00DA">
        <w:t xml:space="preserve">is a substrate of </w:t>
      </w:r>
      <w:proofErr w:type="gramStart"/>
      <w:r w:rsidRPr="006A00DA">
        <w:t>a number of</w:t>
      </w:r>
      <w:proofErr w:type="gramEnd"/>
      <w:r w:rsidRPr="006A00DA">
        <w:t xml:space="preserve"> efflux and uptake transporters (OATP1B1, OATP1B3, MATE2-K, MRP1, P-</w:t>
      </w:r>
      <w:proofErr w:type="spellStart"/>
      <w:r w:rsidRPr="006A00DA">
        <w:t>gp</w:t>
      </w:r>
      <w:proofErr w:type="spellEnd"/>
      <w:r w:rsidRPr="006A00DA">
        <w:t xml:space="preserve"> and BCRP) and therefore systemic exposures to MAAA-1181a may be affected by drugs that inhibit these transporters.</w:t>
      </w:r>
    </w:p>
    <w:p w14:paraId="08E23447" w14:textId="0420B4F6" w:rsidR="008A28A2" w:rsidRPr="006A00DA" w:rsidRDefault="008A28A2" w:rsidP="00936209">
      <w:r w:rsidRPr="006A00DA">
        <w:t xml:space="preserve">Target organs of toxicity were </w:t>
      </w:r>
      <w:r w:rsidR="00155E5D" w:rsidRPr="006A00DA">
        <w:t>gastrointestinal</w:t>
      </w:r>
      <w:r w:rsidRPr="006A00DA">
        <w:t xml:space="preserve"> crypt epithelium, haematopoietic system (bone marrow), kidney, lungs, liver, heart, male reproductive </w:t>
      </w:r>
      <w:proofErr w:type="gramStart"/>
      <w:r w:rsidRPr="006A00DA">
        <w:t>system</w:t>
      </w:r>
      <w:proofErr w:type="gramEnd"/>
      <w:r w:rsidRPr="006A00DA">
        <w:t xml:space="preserve"> and skin in monkeys. Adverse effects on dental tissue observed in rats are not considered clinically relevant. </w:t>
      </w:r>
    </w:p>
    <w:p w14:paraId="68FC3233" w14:textId="16C69E2A" w:rsidR="008A28A2" w:rsidRPr="006A00DA" w:rsidRDefault="008A28A2" w:rsidP="00936209">
      <w:r w:rsidRPr="006A00DA">
        <w:t xml:space="preserve">Drug active MAAA-1181a was shown to be clastogenic under </w:t>
      </w:r>
      <w:r w:rsidRPr="006A00DA">
        <w:rPr>
          <w:i/>
          <w:iCs/>
        </w:rPr>
        <w:t>in vitro</w:t>
      </w:r>
      <w:r w:rsidRPr="006A00DA">
        <w:t xml:space="preserve"> and </w:t>
      </w:r>
      <w:r w:rsidRPr="006A00DA">
        <w:rPr>
          <w:i/>
          <w:iCs/>
        </w:rPr>
        <w:t>in vivo</w:t>
      </w:r>
      <w:r w:rsidRPr="006A00DA">
        <w:t xml:space="preserve"> conditions.</w:t>
      </w:r>
    </w:p>
    <w:p w14:paraId="6DD3FA47" w14:textId="397C19AD" w:rsidR="008A28A2" w:rsidRPr="006A00DA" w:rsidRDefault="008A28A2" w:rsidP="00936209">
      <w:r w:rsidRPr="006A00DA">
        <w:t xml:space="preserve">Pregnancy category </w:t>
      </w:r>
      <w:proofErr w:type="gramStart"/>
      <w:r w:rsidRPr="006A00DA">
        <w:t>D</w:t>
      </w:r>
      <w:r w:rsidR="00155E5D" w:rsidRPr="006A00DA">
        <w:t>;</w:t>
      </w:r>
      <w:proofErr w:type="gramEnd"/>
      <w:r w:rsidR="00155E5D" w:rsidRPr="006A00DA">
        <w:rPr>
          <w:rStyle w:val="FootnoteReference"/>
        </w:rPr>
        <w:footnoteReference w:id="32"/>
      </w:r>
      <w:r w:rsidRPr="006A00DA">
        <w:t xml:space="preserve"> proposed by the </w:t>
      </w:r>
      <w:r w:rsidR="00155E5D" w:rsidRPr="006A00DA">
        <w:t>s</w:t>
      </w:r>
      <w:r w:rsidRPr="006A00DA">
        <w:t xml:space="preserve">ponsor is considered appropriate based on existing understanding of the effects of </w:t>
      </w:r>
      <w:r w:rsidR="004B453F">
        <w:t>Trastuzumab</w:t>
      </w:r>
      <w:r w:rsidRPr="006A00DA">
        <w:t xml:space="preserve"> and toxicity profile of other topoisomerase I inhibitors.</w:t>
      </w:r>
    </w:p>
    <w:p w14:paraId="78356369" w14:textId="75E40437" w:rsidR="008A28A2" w:rsidRPr="006A00DA" w:rsidRDefault="008A28A2" w:rsidP="00155E5D">
      <w:r w:rsidRPr="006A00DA">
        <w:rPr>
          <w:i/>
          <w:iCs/>
        </w:rPr>
        <w:t>In vitro</w:t>
      </w:r>
      <w:r w:rsidRPr="006A00DA">
        <w:t xml:space="preserve">, </w:t>
      </w:r>
      <w:r w:rsidR="004B453F">
        <w:t>Trastuzumab</w:t>
      </w:r>
      <w:r w:rsidRPr="006A00DA">
        <w:t xml:space="preserve"> </w:t>
      </w:r>
      <w:proofErr w:type="spellStart"/>
      <w:r w:rsidRPr="006A00DA">
        <w:t>deruxtecan</w:t>
      </w:r>
      <w:proofErr w:type="spellEnd"/>
      <w:r w:rsidRPr="006A00DA">
        <w:t xml:space="preserve"> bound to its primary pharmacological target, the extracellular domain of HER2, with a similar affinity as unconjugated </w:t>
      </w:r>
      <w:r w:rsidR="004B453F">
        <w:t>Trastuzumab</w:t>
      </w:r>
      <w:r w:rsidRPr="006A00DA">
        <w:t xml:space="preserve">. The drug conjugate of </w:t>
      </w:r>
      <w:r w:rsidR="004B453F">
        <w:t>Trastuzumab</w:t>
      </w:r>
      <w:r w:rsidRPr="006A00DA">
        <w:t xml:space="preserve"> </w:t>
      </w:r>
      <w:proofErr w:type="spellStart"/>
      <w:r w:rsidRPr="006A00DA">
        <w:t>deruxtecan</w:t>
      </w:r>
      <w:proofErr w:type="spellEnd"/>
      <w:r w:rsidRPr="006A00DA">
        <w:t xml:space="preserve">, MAAA-1181a, showed inhibitory effects of the intended intracellular target, topoisomerase I. Anti-tumour activity of </w:t>
      </w:r>
      <w:r w:rsidR="004B453F">
        <w:t>Trastuzumab</w:t>
      </w:r>
      <w:r w:rsidRPr="006A00DA">
        <w:t xml:space="preserve"> </w:t>
      </w:r>
      <w:proofErr w:type="spellStart"/>
      <w:r w:rsidRPr="006A00DA">
        <w:t>deruxtecan</w:t>
      </w:r>
      <w:proofErr w:type="spellEnd"/>
      <w:r w:rsidRPr="006A00DA">
        <w:t xml:space="preserve"> was selective for HER2</w:t>
      </w:r>
      <w:r w:rsidR="00CD0AA7">
        <w:t>-</w:t>
      </w:r>
      <w:r w:rsidRPr="006A00DA">
        <w:t xml:space="preserve">positive cancer cell types, with </w:t>
      </w:r>
      <w:r w:rsidR="00CD0AA7">
        <w:t xml:space="preserve">half maximal (50%) </w:t>
      </w:r>
      <w:r w:rsidR="007457C9" w:rsidRPr="006A00DA">
        <w:t>inhibitory concentration (</w:t>
      </w:r>
      <w:r w:rsidRPr="006A00DA">
        <w:t>IC</w:t>
      </w:r>
      <w:r w:rsidRPr="006A00DA">
        <w:rPr>
          <w:vertAlign w:val="subscript"/>
        </w:rPr>
        <w:t>50</w:t>
      </w:r>
      <w:r w:rsidR="007457C9" w:rsidRPr="006A00DA">
        <w:t xml:space="preserve">) </w:t>
      </w:r>
      <w:r w:rsidRPr="006A00DA">
        <w:t>values ranging between 6.65</w:t>
      </w:r>
      <w:r w:rsidR="00155E5D" w:rsidRPr="006A00DA">
        <w:t xml:space="preserve"> to </w:t>
      </w:r>
      <w:r w:rsidRPr="006A00DA">
        <w:t>26.8 ng/mL (9</w:t>
      </w:r>
      <w:r w:rsidR="00CD0AA7">
        <w:t>-</w:t>
      </w:r>
      <w:r w:rsidR="00D27078" w:rsidRPr="006A00DA">
        <w:t xml:space="preserve"> to </w:t>
      </w:r>
      <w:r w:rsidRPr="006A00DA">
        <w:t>37</w:t>
      </w:r>
      <w:r w:rsidR="00CD0AA7">
        <w:t>-</w:t>
      </w:r>
      <w:r w:rsidR="007457C9" w:rsidRPr="006A00DA">
        <w:t>times</w:t>
      </w:r>
      <w:r w:rsidRPr="006A00DA">
        <w:t xml:space="preserve"> unbound clinical</w:t>
      </w:r>
      <w:r w:rsidR="007457C9" w:rsidRPr="006A00DA">
        <w:t xml:space="preserve"> minimum concentration (</w:t>
      </w:r>
      <w:proofErr w:type="spellStart"/>
      <w:r w:rsidRPr="006A00DA">
        <w:t>C</w:t>
      </w:r>
      <w:r w:rsidRPr="006A00DA">
        <w:rPr>
          <w:vertAlign w:val="subscript"/>
        </w:rPr>
        <w:t>min</w:t>
      </w:r>
      <w:proofErr w:type="spellEnd"/>
      <w:r w:rsidRPr="006A00DA">
        <w:t>)</w:t>
      </w:r>
      <w:r w:rsidR="007457C9" w:rsidRPr="006A00DA">
        <w:t>)</w:t>
      </w:r>
      <w:r w:rsidRPr="006A00DA">
        <w:t xml:space="preserve">. As an IgG1 subtype immunoglobulin, </w:t>
      </w:r>
      <w:r w:rsidR="004B453F">
        <w:t>Trastuzumab</w:t>
      </w:r>
      <w:r w:rsidRPr="006A00DA">
        <w:t xml:space="preserve"> </w:t>
      </w:r>
      <w:proofErr w:type="spellStart"/>
      <w:r w:rsidRPr="006A00DA">
        <w:t>deruxtecan</w:t>
      </w:r>
      <w:proofErr w:type="spellEnd"/>
      <w:r w:rsidRPr="006A00DA">
        <w:t xml:space="preserve"> was shown to elicit moderate ADCC activity under </w:t>
      </w:r>
      <w:r w:rsidRPr="006A00DA">
        <w:rPr>
          <w:i/>
          <w:iCs/>
        </w:rPr>
        <w:t>in vitro</w:t>
      </w:r>
      <w:r w:rsidRPr="006A00DA">
        <w:t xml:space="preserve"> conditions. </w:t>
      </w:r>
      <w:r w:rsidRPr="006A00DA">
        <w:rPr>
          <w:i/>
          <w:iCs/>
        </w:rPr>
        <w:t>In vivo</w:t>
      </w:r>
      <w:r w:rsidRPr="006A00DA">
        <w:t xml:space="preserve">, a single dose of </w:t>
      </w:r>
      <w:r w:rsidR="004B453F">
        <w:t>Trastuzumab</w:t>
      </w:r>
      <w:r w:rsidRPr="006A00DA">
        <w:t xml:space="preserve"> </w:t>
      </w:r>
      <w:proofErr w:type="spellStart"/>
      <w:r w:rsidRPr="006A00DA">
        <w:t>deruxtecan</w:t>
      </w:r>
      <w:proofErr w:type="spellEnd"/>
      <w:r w:rsidRPr="006A00DA">
        <w:t xml:space="preserve"> demonstrated anti-tumour activity in mouse models of HER2-positive cancer types (breast or gastric), and adequately support the proposed indication.</w:t>
      </w:r>
    </w:p>
    <w:p w14:paraId="7AB1BE93" w14:textId="3D5CEBF1" w:rsidR="008A28A2" w:rsidRPr="006A00DA" w:rsidRDefault="008A28A2" w:rsidP="00155E5D">
      <w:r w:rsidRPr="006A00DA">
        <w:t>The ratio of the concentration of MAAA-1181a in blood to that in plasma was 0.82 to 0.85 in mice, 0.81 to 0.87 in rats, 0.92 to 0.95 in monkeys, and 0.59 to 0.62 in humans, suggesting that MAAA-1181a distributes into red blood cells.</w:t>
      </w:r>
    </w:p>
    <w:p w14:paraId="30D44D79" w14:textId="7A14BCC0" w:rsidR="00936209" w:rsidRPr="001D0416" w:rsidRDefault="00936209" w:rsidP="00155E5D">
      <w:r w:rsidRPr="006A00DA">
        <w:t xml:space="preserve">There are no nonclinical objections to registration of </w:t>
      </w:r>
      <w:r w:rsidR="004B453F">
        <w:t>Trastuzumab</w:t>
      </w:r>
      <w:r w:rsidRPr="006A00DA">
        <w:t xml:space="preserve"> </w:t>
      </w:r>
      <w:proofErr w:type="spellStart"/>
      <w:r w:rsidRPr="006A00DA">
        <w:t>deruxtecan</w:t>
      </w:r>
      <w:proofErr w:type="spellEnd"/>
      <w:r w:rsidRPr="006A00DA">
        <w:t>.</w:t>
      </w:r>
    </w:p>
    <w:p w14:paraId="51327664" w14:textId="77777777" w:rsidR="008E7846" w:rsidRPr="006A00DA" w:rsidRDefault="008E7846" w:rsidP="008E7846">
      <w:pPr>
        <w:pStyle w:val="Heading3"/>
      </w:pPr>
      <w:bookmarkStart w:id="48" w:name="_Toc247691530"/>
      <w:bookmarkStart w:id="49" w:name="_Toc314842513"/>
      <w:bookmarkStart w:id="50" w:name="_Toc103589844"/>
      <w:r w:rsidRPr="006A00DA">
        <w:t>Clinical</w:t>
      </w:r>
      <w:bookmarkEnd w:id="48"/>
      <w:bookmarkEnd w:id="49"/>
      <w:bookmarkEnd w:id="50"/>
    </w:p>
    <w:p w14:paraId="39AF9E1A" w14:textId="00784710" w:rsidR="00155E5D" w:rsidRPr="006A00DA" w:rsidRDefault="00155E5D" w:rsidP="00155E5D">
      <w:bookmarkStart w:id="51" w:name="_Toc314842514"/>
      <w:r w:rsidRPr="006A00DA">
        <w:t>The</w:t>
      </w:r>
      <w:r w:rsidR="00006FAB" w:rsidRPr="006A00DA">
        <w:t xml:space="preserve"> clinical dossier consisted of </w:t>
      </w:r>
      <w:r w:rsidR="00D27078" w:rsidRPr="006A00DA">
        <w:t>five</w:t>
      </w:r>
      <w:r w:rsidRPr="006A00DA">
        <w:t xml:space="preserve"> clinical studies:</w:t>
      </w:r>
    </w:p>
    <w:p w14:paraId="2151315A" w14:textId="639FACF0" w:rsidR="00155E5D" w:rsidRPr="006A00DA" w:rsidRDefault="005D32D2" w:rsidP="00D05EC9">
      <w:pPr>
        <w:pStyle w:val="ListBullet"/>
      </w:pPr>
      <w:r>
        <w:t>F</w:t>
      </w:r>
      <w:r w:rsidR="00155E5D" w:rsidRPr="006A00DA">
        <w:t>our Phase I studies (</w:t>
      </w:r>
      <w:r>
        <w:t xml:space="preserve">Studies </w:t>
      </w:r>
      <w:r w:rsidR="005A74A3">
        <w:t>DS8201-A-</w:t>
      </w:r>
      <w:r w:rsidR="00DC0288">
        <w:t xml:space="preserve">J101, </w:t>
      </w:r>
      <w:r w:rsidR="00155E5D" w:rsidRPr="006A00DA">
        <w:t>DS8201-A-J102, DS8201-A-A103, and DS8201</w:t>
      </w:r>
      <w:r>
        <w:noBreakHyphen/>
      </w:r>
      <w:r w:rsidR="00155E5D" w:rsidRPr="006A00DA">
        <w:t xml:space="preserve">A-A104) that provided supportive </w:t>
      </w:r>
      <w:r w:rsidR="007457C9" w:rsidRPr="006A00DA">
        <w:t>pharmacokinetics (</w:t>
      </w:r>
      <w:r w:rsidR="00155E5D" w:rsidRPr="006A00DA">
        <w:t>PK</w:t>
      </w:r>
      <w:r w:rsidR="007457C9" w:rsidRPr="006A00DA">
        <w:t>)</w:t>
      </w:r>
      <w:r w:rsidR="00155E5D" w:rsidRPr="006A00DA">
        <w:t xml:space="preserve"> and safety assessments.</w:t>
      </w:r>
    </w:p>
    <w:p w14:paraId="42DEFE5F" w14:textId="16D8502F" w:rsidR="00155E5D" w:rsidRPr="006A00DA" w:rsidRDefault="00155E5D" w:rsidP="00D05EC9">
      <w:pPr>
        <w:pStyle w:val="ListBullet2"/>
      </w:pPr>
      <w:r w:rsidRPr="006A00DA">
        <w:t>Study DS8201-AJ102 assessed the effect on the QT interval</w:t>
      </w:r>
      <w:r w:rsidR="007457C9" w:rsidRPr="006A00DA">
        <w:t>;</w:t>
      </w:r>
      <w:bookmarkStart w:id="52" w:name="_Ref103261366"/>
      <w:r w:rsidR="007457C9" w:rsidRPr="006A00DA">
        <w:rPr>
          <w:rStyle w:val="FootnoteReference"/>
        </w:rPr>
        <w:footnoteReference w:id="33"/>
      </w:r>
      <w:bookmarkEnd w:id="52"/>
      <w:r w:rsidRPr="006A00DA">
        <w:t xml:space="preserve"> in HER2</w:t>
      </w:r>
      <w:r w:rsidR="008F4787" w:rsidRPr="006A00DA">
        <w:t>-</w:t>
      </w:r>
      <w:r w:rsidRPr="006A00DA">
        <w:t xml:space="preserve">positive breast cancer in which </w:t>
      </w:r>
      <w:r w:rsidR="004B453F">
        <w:t>Trastuzumab</w:t>
      </w:r>
      <w:r w:rsidRPr="006A00DA">
        <w:t xml:space="preserve"> was dosed at 6.4 mg/kg.</w:t>
      </w:r>
    </w:p>
    <w:p w14:paraId="7FD15095" w14:textId="3F4F2D9C" w:rsidR="00155E5D" w:rsidRPr="006A00DA" w:rsidRDefault="00155E5D" w:rsidP="00155E5D">
      <w:pPr>
        <w:pStyle w:val="ListBullet2"/>
      </w:pPr>
      <w:r w:rsidRPr="006A00DA">
        <w:t>Study DS8201-A-A103 was PK study in HER2</w:t>
      </w:r>
      <w:r w:rsidR="008F4787" w:rsidRPr="006A00DA">
        <w:t>-</w:t>
      </w:r>
      <w:r w:rsidRPr="006A00DA">
        <w:t xml:space="preserve">positive gastric, </w:t>
      </w:r>
      <w:r w:rsidR="008F4787" w:rsidRPr="006A00DA">
        <w:t>gastroesophageal junction</w:t>
      </w:r>
      <w:r w:rsidRPr="006A00DA">
        <w:t xml:space="preserve"> adenocarcinoma, and breast cancer also at a dose of 6.4 mg/kg </w:t>
      </w:r>
    </w:p>
    <w:p w14:paraId="1C0D6EAD" w14:textId="3573C5D9" w:rsidR="00155E5D" w:rsidRPr="006A00DA" w:rsidRDefault="00155E5D" w:rsidP="00155E5D">
      <w:pPr>
        <w:pStyle w:val="ListBullet2"/>
      </w:pPr>
      <w:r w:rsidRPr="006A00DA">
        <w:lastRenderedPageBreak/>
        <w:t xml:space="preserve">Study DS8201-AA104 was a drug-drug interaction study of OATP1B/CYP3A inhibitor on the PK of </w:t>
      </w:r>
      <w:r w:rsidR="004B453F">
        <w:t>Trastuzumab</w:t>
      </w:r>
      <w:r w:rsidRPr="006A00DA">
        <w:t xml:space="preserve"> in patients with HER2-expressing solid tumours.</w:t>
      </w:r>
    </w:p>
    <w:p w14:paraId="35CE0965" w14:textId="2AD07B35" w:rsidR="00155E5D" w:rsidRPr="006A00DA" w:rsidRDefault="00155E5D" w:rsidP="00155E5D">
      <w:pPr>
        <w:pStyle w:val="ListBullet2"/>
      </w:pPr>
      <w:r w:rsidRPr="006A00DA">
        <w:t>Study DS8201-A-J101</w:t>
      </w:r>
      <w:r w:rsidR="005D32D2">
        <w:t xml:space="preserve"> was a</w:t>
      </w:r>
      <w:r w:rsidRPr="006A00DA">
        <w:t xml:space="preserve"> dose escalation </w:t>
      </w:r>
      <w:r w:rsidR="005D32D2">
        <w:t xml:space="preserve">study </w:t>
      </w:r>
      <w:r w:rsidRPr="006A00DA">
        <w:t>followed by dose expansion.</w:t>
      </w:r>
    </w:p>
    <w:p w14:paraId="3C4B3F22" w14:textId="6BAADBE7" w:rsidR="00155E5D" w:rsidRPr="006A00DA" w:rsidRDefault="005D32D2" w:rsidP="00155E5D">
      <w:pPr>
        <w:pStyle w:val="ListBullet"/>
      </w:pPr>
      <w:r>
        <w:t>One</w:t>
      </w:r>
      <w:r w:rsidR="00155E5D" w:rsidRPr="006A00DA">
        <w:t xml:space="preserve"> Phase II </w:t>
      </w:r>
      <w:r>
        <w:t>s</w:t>
      </w:r>
      <w:r w:rsidR="00155E5D" w:rsidRPr="006A00DA">
        <w:t xml:space="preserve">tudy </w:t>
      </w:r>
      <w:r>
        <w:t xml:space="preserve">(Study </w:t>
      </w:r>
      <w:r w:rsidR="00155E5D" w:rsidRPr="006A00DA">
        <w:t>DS8201-A-U201</w:t>
      </w:r>
      <w:r>
        <w:t>); a</w:t>
      </w:r>
      <w:r w:rsidR="00155E5D" w:rsidRPr="006A00DA">
        <w:t xml:space="preserve"> multicentre, open</w:t>
      </w:r>
      <w:r w:rsidR="00D27078" w:rsidRPr="006A00DA">
        <w:t xml:space="preserve"> </w:t>
      </w:r>
      <w:r w:rsidR="00155E5D" w:rsidRPr="006A00DA">
        <w:t xml:space="preserve">label, multiple </w:t>
      </w:r>
      <w:proofErr w:type="gramStart"/>
      <w:r w:rsidR="00155E5D" w:rsidRPr="006A00DA">
        <w:t>dose</w:t>
      </w:r>
      <w:proofErr w:type="gramEnd"/>
      <w:r w:rsidR="00155E5D" w:rsidRPr="006A00DA">
        <w:t>, two part study.</w:t>
      </w:r>
    </w:p>
    <w:p w14:paraId="5C5ABDB6" w14:textId="14C31A04" w:rsidR="00155E5D" w:rsidRPr="006A00DA" w:rsidRDefault="00155E5D" w:rsidP="00155E5D">
      <w:pPr>
        <w:pStyle w:val="ListBullet"/>
      </w:pPr>
      <w:r w:rsidRPr="006A00DA">
        <w:t>Efficacy and safety updates for the pivotal efficacy study providing results to 19</w:t>
      </w:r>
      <w:r w:rsidR="005D32D2">
        <w:t> </w:t>
      </w:r>
      <w:r w:rsidRPr="006A00DA">
        <w:t>August 2019 were also included in the submission.</w:t>
      </w:r>
    </w:p>
    <w:p w14:paraId="2ADDEE10" w14:textId="0882841F" w:rsidR="00155E5D" w:rsidRPr="006A00DA" w:rsidRDefault="00155E5D" w:rsidP="00155E5D">
      <w:pPr>
        <w:pStyle w:val="Heading4"/>
      </w:pPr>
      <w:r w:rsidRPr="001D0416">
        <w:t>Pharmacology</w:t>
      </w:r>
    </w:p>
    <w:p w14:paraId="1F02B62E" w14:textId="4AA1C333" w:rsidR="00155E5D" w:rsidRPr="006A00DA" w:rsidRDefault="00155E5D" w:rsidP="00155E5D">
      <w:pPr>
        <w:pStyle w:val="Heading5"/>
      </w:pPr>
      <w:r w:rsidRPr="006A00DA">
        <w:t>Pharmacokinetics</w:t>
      </w:r>
    </w:p>
    <w:p w14:paraId="4613B86F" w14:textId="21B28103" w:rsidR="00155E5D" w:rsidRPr="006A00DA" w:rsidRDefault="00155E5D" w:rsidP="00D42581">
      <w:r w:rsidRPr="006A00DA">
        <w:t>Five studies contained clinical pharmacology data: four Phase I studies in subjects with breast cancer and other solid malignant tumours and one Phase II study in breast cancer subjects. A population</w:t>
      </w:r>
      <w:r w:rsidR="008F4787" w:rsidRPr="006A00DA">
        <w:t xml:space="preserve"> pharmacokinetics (</w:t>
      </w:r>
      <w:proofErr w:type="spellStart"/>
      <w:r w:rsidR="008F4787" w:rsidRPr="006A00DA">
        <w:t>popPK</w:t>
      </w:r>
      <w:proofErr w:type="spellEnd"/>
      <w:r w:rsidR="008F4787" w:rsidRPr="006A00DA">
        <w:t>)</w:t>
      </w:r>
      <w:r w:rsidRPr="006A00DA">
        <w:t xml:space="preserve"> analysis and exposure response analysis from these studies were also provided.</w:t>
      </w:r>
    </w:p>
    <w:p w14:paraId="7D975D3A" w14:textId="470B5C5C" w:rsidR="00155E5D" w:rsidRPr="006A00DA" w:rsidRDefault="004B453F" w:rsidP="00D42581">
      <w:r>
        <w:t>Trastuzumab</w:t>
      </w:r>
      <w:r w:rsidR="00155E5D" w:rsidRPr="006A00DA">
        <w:t xml:space="preserve"> </w:t>
      </w:r>
      <w:proofErr w:type="spellStart"/>
      <w:r w:rsidR="00155E5D" w:rsidRPr="006A00DA">
        <w:t>deruxtecan</w:t>
      </w:r>
      <w:proofErr w:type="spellEnd"/>
      <w:r w:rsidR="00155E5D" w:rsidRPr="006A00DA">
        <w:t xml:space="preserve"> undergoes intracellular cleavage by lysosomal enzymes to release the active topoisomerase I inhibitor (MAAA-1181</w:t>
      </w:r>
      <w:r w:rsidR="008F4787" w:rsidRPr="006A00DA">
        <w:t>a</w:t>
      </w:r>
      <w:r w:rsidR="00155E5D" w:rsidRPr="006A00DA">
        <w:t xml:space="preserve">). Bioanalysis was conducted to determine the serum concentrations of three moieties associated with </w:t>
      </w:r>
      <w:r>
        <w:t>Trastuzumab</w:t>
      </w:r>
      <w:r w:rsidR="00155E5D" w:rsidRPr="006A00DA">
        <w:t xml:space="preserve"> </w:t>
      </w:r>
      <w:proofErr w:type="spellStart"/>
      <w:r w:rsidR="00155E5D" w:rsidRPr="006A00DA">
        <w:t>deruxtecan</w:t>
      </w:r>
      <w:proofErr w:type="spellEnd"/>
      <w:r w:rsidR="00155E5D" w:rsidRPr="006A00DA">
        <w:t xml:space="preserve">: concentrations of the intact drug, </w:t>
      </w:r>
      <w:r>
        <w:t>Trastuzumab</w:t>
      </w:r>
      <w:r w:rsidR="00155E5D" w:rsidRPr="006A00DA">
        <w:t xml:space="preserve"> </w:t>
      </w:r>
      <w:proofErr w:type="spellStart"/>
      <w:r w:rsidR="00155E5D" w:rsidRPr="006A00DA">
        <w:t>deruxtecan</w:t>
      </w:r>
      <w:proofErr w:type="spellEnd"/>
      <w:r w:rsidR="00155E5D" w:rsidRPr="006A00DA">
        <w:t xml:space="preserve">; concentrations of total anti-HER2 antibody were determined in an assay that detected the sum </w:t>
      </w:r>
      <w:r w:rsidR="00FD406C" w:rsidRPr="006A00DA">
        <w:t>of concentration of recombinant humanised IgG1 kappa monoclonal antibody,</w:t>
      </w:r>
      <w:r w:rsidR="00155E5D" w:rsidRPr="006A00DA">
        <w:t xml:space="preserve"> </w:t>
      </w:r>
      <w:r>
        <w:t>Trastuzumab</w:t>
      </w:r>
      <w:r w:rsidR="00155E5D" w:rsidRPr="006A00DA">
        <w:t xml:space="preserve"> </w:t>
      </w:r>
      <w:proofErr w:type="spellStart"/>
      <w:r w:rsidR="00155E5D" w:rsidRPr="006A00DA">
        <w:t>deruxtecan</w:t>
      </w:r>
      <w:proofErr w:type="spellEnd"/>
      <w:r w:rsidR="00155E5D" w:rsidRPr="006A00DA">
        <w:t>; and the released payload, MAAA-1181a.</w:t>
      </w:r>
    </w:p>
    <w:p w14:paraId="32E07148" w14:textId="6D4BAC9E" w:rsidR="00155E5D" w:rsidRPr="006A00DA" w:rsidRDefault="00155E5D" w:rsidP="00D42581">
      <w:r w:rsidRPr="006A00DA">
        <w:t xml:space="preserve">The exposure of </w:t>
      </w:r>
      <w:r w:rsidR="004B453F">
        <w:t>Trastuzumab</w:t>
      </w:r>
      <w:r w:rsidRPr="006A00DA">
        <w:t xml:space="preserve"> </w:t>
      </w:r>
      <w:proofErr w:type="spellStart"/>
      <w:r w:rsidRPr="006A00DA">
        <w:t>deruxtecan</w:t>
      </w:r>
      <w:proofErr w:type="spellEnd"/>
      <w:r w:rsidRPr="006A00DA">
        <w:t xml:space="preserve">, total anti-HER2 </w:t>
      </w:r>
      <w:proofErr w:type="spellStart"/>
      <w:r w:rsidRPr="006A00DA">
        <w:t>antibod</w:t>
      </w:r>
      <w:r w:rsidR="00DF3A6C">
        <w:t>iees</w:t>
      </w:r>
      <w:proofErr w:type="spellEnd"/>
      <w:r w:rsidRPr="006A00DA">
        <w:t>, and MAAA-1181a increased in a dose</w:t>
      </w:r>
      <w:r w:rsidR="00FD406C" w:rsidRPr="006A00DA">
        <w:t xml:space="preserve"> </w:t>
      </w:r>
      <w:r w:rsidRPr="006A00DA">
        <w:t xml:space="preserve">related manner, with </w:t>
      </w:r>
      <w:r w:rsidR="004B453F">
        <w:t>Trastuzumab</w:t>
      </w:r>
      <w:r w:rsidRPr="006A00DA">
        <w:t xml:space="preserve"> </w:t>
      </w:r>
      <w:proofErr w:type="spellStart"/>
      <w:r w:rsidRPr="006A00DA">
        <w:t>deruxtecan</w:t>
      </w:r>
      <w:proofErr w:type="spellEnd"/>
      <w:r w:rsidRPr="006A00DA">
        <w:t xml:space="preserve"> exposure proportional to dose in the 3.2 mg/kg to 8 mg/kg dose range. Exposures (</w:t>
      </w:r>
      <w:r w:rsidR="00FD406C" w:rsidRPr="006A00DA">
        <w:t>maximum concentration (</w:t>
      </w:r>
      <w:r w:rsidRPr="006A00DA">
        <w:t>C</w:t>
      </w:r>
      <w:r w:rsidRPr="006A00DA">
        <w:rPr>
          <w:vertAlign w:val="subscript"/>
        </w:rPr>
        <w:t>max</w:t>
      </w:r>
      <w:r w:rsidR="00FD406C" w:rsidRPr="006A00DA">
        <w:t xml:space="preserve">) </w:t>
      </w:r>
      <w:r w:rsidRPr="006A00DA">
        <w:t xml:space="preserve">and </w:t>
      </w:r>
      <w:r w:rsidR="00FD406C" w:rsidRPr="006A00DA">
        <w:rPr>
          <w:rFonts w:cs="Calibri"/>
          <w:color w:val="000000"/>
        </w:rPr>
        <w:t>area under the concentration time curve</w:t>
      </w:r>
      <w:r w:rsidR="00FD406C" w:rsidRPr="006A00DA">
        <w:t xml:space="preserve"> (</w:t>
      </w:r>
      <w:r w:rsidRPr="006A00DA">
        <w:t>AUC</w:t>
      </w:r>
      <w:r w:rsidR="00FD406C" w:rsidRPr="006A00DA">
        <w:t>)</w:t>
      </w:r>
      <w:r w:rsidRPr="006A00DA">
        <w:t>) for MAAA</w:t>
      </w:r>
      <w:r w:rsidR="00D27078" w:rsidRPr="006A00DA">
        <w:noBreakHyphen/>
      </w:r>
      <w:r w:rsidRPr="006A00DA">
        <w:t>1181a increased proportional to dose in the 0.8 mg/kg to 8 mg/kg dose range. The area under the concentratio</w:t>
      </w:r>
      <w:r w:rsidR="00FD406C" w:rsidRPr="006A00DA">
        <w:t xml:space="preserve">n </w:t>
      </w:r>
      <w:r w:rsidRPr="006A00DA">
        <w:t>time curve during the dosing interval (AUC</w:t>
      </w:r>
      <w:r w:rsidRPr="006A00DA">
        <w:rPr>
          <w:vertAlign w:val="subscript"/>
        </w:rPr>
        <w:t>tau</w:t>
      </w:r>
      <w:r w:rsidRPr="006A00DA">
        <w:t xml:space="preserve">) of </w:t>
      </w:r>
      <w:r w:rsidR="004B453F">
        <w:t>Trastuzumab</w:t>
      </w:r>
      <w:r w:rsidRPr="006A00DA">
        <w:t xml:space="preserve"> </w:t>
      </w:r>
      <w:proofErr w:type="spellStart"/>
      <w:r w:rsidRPr="006A00DA">
        <w:t>deruxtecan</w:t>
      </w:r>
      <w:proofErr w:type="spellEnd"/>
      <w:r w:rsidRPr="006A00DA">
        <w:t xml:space="preserve"> in Cycle 3 after multiple dosing of </w:t>
      </w:r>
      <w:r w:rsidR="004B453F">
        <w:t>Trastuzumab</w:t>
      </w:r>
      <w:r w:rsidRPr="006A00DA">
        <w:t xml:space="preserve"> </w:t>
      </w:r>
      <w:proofErr w:type="spellStart"/>
      <w:r w:rsidRPr="006A00DA">
        <w:t>deruxtecan</w:t>
      </w:r>
      <w:proofErr w:type="spellEnd"/>
      <w:r w:rsidRPr="006A00DA">
        <w:t xml:space="preserve"> at 6.4</w:t>
      </w:r>
      <w:r w:rsidR="00AD7C9C" w:rsidRPr="006A00DA">
        <w:t> </w:t>
      </w:r>
      <w:r w:rsidRPr="006A00DA">
        <w:t>mg/kg was approximately 35% higher than that in Cycle 1, suggesting there was some accumulation.</w:t>
      </w:r>
    </w:p>
    <w:p w14:paraId="6766B0B2" w14:textId="69ADA028" w:rsidR="00155E5D" w:rsidRPr="006A00DA" w:rsidRDefault="00155E5D" w:rsidP="00D42581">
      <w:r w:rsidRPr="006A00DA">
        <w:t xml:space="preserve">Three drug products of </w:t>
      </w:r>
      <w:r w:rsidR="004B453F">
        <w:t>Trastuzumab</w:t>
      </w:r>
      <w:r w:rsidRPr="006A00DA">
        <w:t xml:space="preserve"> </w:t>
      </w:r>
      <w:proofErr w:type="spellStart"/>
      <w:r w:rsidRPr="006A00DA">
        <w:t>deruxtecan</w:t>
      </w:r>
      <w:proofErr w:type="spellEnd"/>
      <w:r w:rsidRPr="006A00DA">
        <w:t>, FL-DP1, FL-DP2 (frozen liquid drug product</w:t>
      </w:r>
      <w:r w:rsidR="005D32D2">
        <w:t xml:space="preserve">s 1 and </w:t>
      </w:r>
      <w:r w:rsidRPr="006A00DA">
        <w:t>2), and lyophil</w:t>
      </w:r>
      <w:r w:rsidR="0095510B" w:rsidRPr="006A00DA">
        <w:t>is</w:t>
      </w:r>
      <w:r w:rsidRPr="006A00DA">
        <w:t>ed powder</w:t>
      </w:r>
      <w:r w:rsidR="007265DA" w:rsidRPr="006A00DA">
        <w:t xml:space="preserve"> </w:t>
      </w:r>
      <w:r w:rsidRPr="006A00DA">
        <w:t>drug product (</w:t>
      </w:r>
      <w:proofErr w:type="spellStart"/>
      <w:r w:rsidRPr="006A00DA">
        <w:t>Lyo</w:t>
      </w:r>
      <w:proofErr w:type="spellEnd"/>
      <w:r w:rsidRPr="006A00DA">
        <w:t>-DP, the to</w:t>
      </w:r>
      <w:r w:rsidR="007265DA" w:rsidRPr="006A00DA">
        <w:t xml:space="preserve"> </w:t>
      </w:r>
      <w:r w:rsidRPr="006A00DA">
        <w:t>be</w:t>
      </w:r>
      <w:r w:rsidR="007265DA" w:rsidRPr="006A00DA">
        <w:t xml:space="preserve"> </w:t>
      </w:r>
      <w:r w:rsidRPr="006A00DA">
        <w:t xml:space="preserve">marketed formulation), have been administered across the clinical development program. Between FL-DP1 and FL-DP2, there was a change in the </w:t>
      </w:r>
      <w:r w:rsidR="005D32D2">
        <w:t>monoclonal antibody</w:t>
      </w:r>
      <w:r w:rsidR="005D32D2" w:rsidRPr="006A00DA">
        <w:t xml:space="preserve"> </w:t>
      </w:r>
      <w:r w:rsidRPr="006A00DA">
        <w:t xml:space="preserve">manufacturing process that included a change in cell line; this also resulted in differences in </w:t>
      </w:r>
      <w:r w:rsidR="005D32D2">
        <w:t>monoclonal antibody</w:t>
      </w:r>
      <w:r w:rsidR="005D32D2" w:rsidRPr="006A00DA">
        <w:t xml:space="preserve"> </w:t>
      </w:r>
      <w:r w:rsidRPr="006A00DA">
        <w:t xml:space="preserve">glycosylation. Between FL-DP2 and </w:t>
      </w:r>
      <w:proofErr w:type="spellStart"/>
      <w:r w:rsidRPr="006A00DA">
        <w:t>Lyo</w:t>
      </w:r>
      <w:proofErr w:type="spellEnd"/>
      <w:r w:rsidRPr="006A00DA">
        <w:t>-DP, there was only a change in product presentation: from frozen liquid to lyophil</w:t>
      </w:r>
      <w:r w:rsidR="0095510B" w:rsidRPr="006A00DA">
        <w:t>is</w:t>
      </w:r>
      <w:r w:rsidRPr="006A00DA">
        <w:t>ed powder.</w:t>
      </w:r>
    </w:p>
    <w:p w14:paraId="699578D3" w14:textId="495C63C0" w:rsidR="00155E5D" w:rsidRPr="006A00DA" w:rsidRDefault="00155E5D" w:rsidP="00D42581">
      <w:r w:rsidRPr="006A00DA">
        <w:t xml:space="preserve">The exposures to </w:t>
      </w:r>
      <w:r w:rsidR="004B453F">
        <w:t>Trastuzumab</w:t>
      </w:r>
      <w:r w:rsidRPr="006A00DA">
        <w:t xml:space="preserve"> </w:t>
      </w:r>
      <w:proofErr w:type="spellStart"/>
      <w:r w:rsidRPr="006A00DA">
        <w:t>deruxtecan</w:t>
      </w:r>
      <w:proofErr w:type="spellEnd"/>
      <w:r w:rsidRPr="006A00DA">
        <w:t>, total anti-HER2 antibod</w:t>
      </w:r>
      <w:r w:rsidR="00DF3A6C">
        <w:t>ies</w:t>
      </w:r>
      <w:r w:rsidRPr="006A00DA">
        <w:t xml:space="preserve">, and MAAA-1181a were similar across clinical studies irrespective of the </w:t>
      </w:r>
      <w:r w:rsidR="004B453F">
        <w:t>Trastuzumab</w:t>
      </w:r>
      <w:r w:rsidRPr="006A00DA">
        <w:t xml:space="preserve"> </w:t>
      </w:r>
      <w:proofErr w:type="spellStart"/>
      <w:r w:rsidRPr="006A00DA">
        <w:t>deruxtecan</w:t>
      </w:r>
      <w:proofErr w:type="spellEnd"/>
      <w:r w:rsidRPr="006A00DA">
        <w:t xml:space="preserve"> product based on within</w:t>
      </w:r>
      <w:r w:rsidR="007265DA" w:rsidRPr="006A00DA">
        <w:t xml:space="preserve"> </w:t>
      </w:r>
      <w:r w:rsidRPr="006A00DA">
        <w:t xml:space="preserve">study PK comparison as well as integrated PK analysis across studies. These observations were supported by the </w:t>
      </w:r>
      <w:proofErr w:type="spellStart"/>
      <w:r w:rsidR="00D27078" w:rsidRPr="006A00DA">
        <w:t>p</w:t>
      </w:r>
      <w:r w:rsidRPr="006A00DA">
        <w:t>opPK</w:t>
      </w:r>
      <w:proofErr w:type="spellEnd"/>
      <w:r w:rsidRPr="006A00DA">
        <w:t xml:space="preserve"> analysis, where </w:t>
      </w:r>
      <w:r w:rsidR="004B453F">
        <w:t>Trastuzumab</w:t>
      </w:r>
      <w:r w:rsidRPr="006A00DA">
        <w:t xml:space="preserve"> </w:t>
      </w:r>
      <w:proofErr w:type="spellStart"/>
      <w:r w:rsidRPr="006A00DA">
        <w:t>deruxtecan</w:t>
      </w:r>
      <w:proofErr w:type="spellEnd"/>
      <w:r w:rsidRPr="006A00DA">
        <w:t xml:space="preserve"> product was not a significant covariate on human exposure. The rate of </w:t>
      </w:r>
      <w:r w:rsidR="00D27078" w:rsidRPr="006A00DA">
        <w:t>anti</w:t>
      </w:r>
      <w:r w:rsidR="00DF3A6C">
        <w:noBreakHyphen/>
      </w:r>
      <w:r w:rsidR="00D27078" w:rsidRPr="006A00DA">
        <w:t>drug antibodies (</w:t>
      </w:r>
      <w:r w:rsidRPr="006A00DA">
        <w:t>ADA</w:t>
      </w:r>
      <w:r w:rsidR="00D27078" w:rsidRPr="006A00DA">
        <w:t>)</w:t>
      </w:r>
      <w:r w:rsidRPr="006A00DA">
        <w:t xml:space="preserve"> was low, with no apparent difference in the rate of ADAs between FL-DP2 and </w:t>
      </w:r>
      <w:proofErr w:type="spellStart"/>
      <w:r w:rsidRPr="006A00DA">
        <w:t>Lyo</w:t>
      </w:r>
      <w:proofErr w:type="spellEnd"/>
      <w:r w:rsidRPr="006A00DA">
        <w:t xml:space="preserve">-DP. Based on similar PK and low rate of ADA generation, it was determined that the </w:t>
      </w:r>
      <w:r w:rsidR="00D27078" w:rsidRPr="006A00DA">
        <w:t>three</w:t>
      </w:r>
      <w:r w:rsidRPr="006A00DA">
        <w:t xml:space="preserve"> drug products used in the </w:t>
      </w:r>
      <w:r w:rsidR="004B453F">
        <w:t>Trastuzumab</w:t>
      </w:r>
      <w:r w:rsidRPr="006A00DA">
        <w:t xml:space="preserve"> </w:t>
      </w:r>
      <w:proofErr w:type="spellStart"/>
      <w:r w:rsidRPr="006A00DA">
        <w:t>deruxtecan</w:t>
      </w:r>
      <w:proofErr w:type="spellEnd"/>
      <w:r w:rsidRPr="006A00DA">
        <w:t xml:space="preserve"> development program are comparable, allowing generalisation of the PK results.</w:t>
      </w:r>
    </w:p>
    <w:p w14:paraId="26492087" w14:textId="4AB1E9B6" w:rsidR="00155E5D" w:rsidRPr="006A00DA" w:rsidRDefault="00155E5D" w:rsidP="00D42581">
      <w:r w:rsidRPr="006A00DA">
        <w:t>In adult patients with HER2</w:t>
      </w:r>
      <w:r w:rsidR="007265DA" w:rsidRPr="006A00DA">
        <w:t>-positive</w:t>
      </w:r>
      <w:r w:rsidRPr="006A00DA">
        <w:t xml:space="preserve"> expressing breast cancer who received </w:t>
      </w:r>
      <w:r w:rsidR="004B453F">
        <w:t>Trastuzumab</w:t>
      </w:r>
      <w:r w:rsidRPr="006A00DA">
        <w:t xml:space="preserve"> </w:t>
      </w:r>
      <w:proofErr w:type="spellStart"/>
      <w:r w:rsidRPr="006A00DA">
        <w:t>deruxtecan</w:t>
      </w:r>
      <w:proofErr w:type="spellEnd"/>
      <w:r w:rsidRPr="006A00DA">
        <w:t xml:space="preserve"> 5.4 mg/kg</w:t>
      </w:r>
      <w:r w:rsidR="007265DA" w:rsidRPr="006A00DA">
        <w:t xml:space="preserve"> once</w:t>
      </w:r>
      <w:r w:rsidRPr="006A00DA">
        <w:t xml:space="preserve"> </w:t>
      </w:r>
      <w:r w:rsidR="00D27078" w:rsidRPr="006A00DA">
        <w:t>every three weeks</w:t>
      </w:r>
      <w:r w:rsidRPr="006A00DA">
        <w:t xml:space="preserve">, the </w:t>
      </w:r>
      <w:proofErr w:type="spellStart"/>
      <w:r w:rsidRPr="006A00DA">
        <w:t>popPK</w:t>
      </w:r>
      <w:proofErr w:type="spellEnd"/>
      <w:r w:rsidRPr="006A00DA">
        <w:t xml:space="preserve"> approach derived geometric steady</w:t>
      </w:r>
      <w:r w:rsidR="00D27078" w:rsidRPr="006A00DA">
        <w:t xml:space="preserve"> </w:t>
      </w:r>
      <w:r w:rsidRPr="006A00DA">
        <w:t>state (</w:t>
      </w:r>
      <w:r w:rsidR="007265DA" w:rsidRPr="006A00DA">
        <w:t xml:space="preserve">coefficient of variation, </w:t>
      </w:r>
      <w:r w:rsidRPr="006A00DA">
        <w:t>CV%) C</w:t>
      </w:r>
      <w:r w:rsidRPr="006A00DA">
        <w:rPr>
          <w:vertAlign w:val="subscript"/>
        </w:rPr>
        <w:t>max</w:t>
      </w:r>
      <w:r w:rsidRPr="006A00DA">
        <w:t xml:space="preserve"> was 122 (20%) </w:t>
      </w:r>
      <w:proofErr w:type="spellStart"/>
      <w:r w:rsidRPr="006A00DA">
        <w:t>μg</w:t>
      </w:r>
      <w:proofErr w:type="spellEnd"/>
      <w:r w:rsidRPr="006A00DA">
        <w:t xml:space="preserve">/mL and </w:t>
      </w:r>
      <w:r w:rsidR="007265DA" w:rsidRPr="006A00DA">
        <w:rPr>
          <w:rFonts w:cs="Calibri"/>
          <w:color w:val="000000"/>
        </w:rPr>
        <w:t xml:space="preserve">area under the </w:t>
      </w:r>
      <w:r w:rsidR="007265DA" w:rsidRPr="006A00DA">
        <w:rPr>
          <w:rFonts w:cs="Calibri"/>
          <w:color w:val="000000"/>
        </w:rPr>
        <w:lastRenderedPageBreak/>
        <w:t>concentration time curve from time zero to 21 days</w:t>
      </w:r>
      <w:r w:rsidR="007265DA" w:rsidRPr="006A00DA">
        <w:t xml:space="preserve"> (</w:t>
      </w:r>
      <w:r w:rsidRPr="006A00DA">
        <w:t>AUC</w:t>
      </w:r>
      <w:r w:rsidRPr="006A00DA">
        <w:rPr>
          <w:vertAlign w:val="subscript"/>
        </w:rPr>
        <w:t>0-21days</w:t>
      </w:r>
      <w:r w:rsidR="007265DA" w:rsidRPr="006A00DA">
        <w:t xml:space="preserve">) </w:t>
      </w:r>
      <w:r w:rsidRPr="006A00DA">
        <w:t xml:space="preserve">was 735 </w:t>
      </w:r>
      <w:proofErr w:type="spellStart"/>
      <w:r w:rsidR="007265DA" w:rsidRPr="006A00DA">
        <w:t>μg</w:t>
      </w:r>
      <w:proofErr w:type="spellEnd"/>
      <w:r w:rsidR="007265DA" w:rsidRPr="006A00DA">
        <w:t xml:space="preserve">*h/mL </w:t>
      </w:r>
      <w:r w:rsidRPr="006A00DA">
        <w:t xml:space="preserve">(31%) for </w:t>
      </w:r>
      <w:r w:rsidR="004B453F">
        <w:t>Trastuzumab</w:t>
      </w:r>
      <w:r w:rsidRPr="006A00DA">
        <w:t xml:space="preserve"> </w:t>
      </w:r>
      <w:proofErr w:type="spellStart"/>
      <w:r w:rsidRPr="006A00DA">
        <w:t>deruxtecan</w:t>
      </w:r>
      <w:proofErr w:type="spellEnd"/>
      <w:r w:rsidRPr="006A00DA">
        <w:t xml:space="preserve"> and geometric steady-state (CV%) C</w:t>
      </w:r>
      <w:r w:rsidRPr="006A00DA">
        <w:rPr>
          <w:vertAlign w:val="subscript"/>
        </w:rPr>
        <w:t>max</w:t>
      </w:r>
      <w:r w:rsidRPr="006A00DA">
        <w:t xml:space="preserve"> was 4.4 (40%) ng/mL and AUC</w:t>
      </w:r>
      <w:r w:rsidRPr="006A00DA">
        <w:rPr>
          <w:vertAlign w:val="subscript"/>
        </w:rPr>
        <w:t>0-21days</w:t>
      </w:r>
      <w:r w:rsidRPr="006A00DA">
        <w:t xml:space="preserve"> was 28 (37%) ng*h/mL for MAAA-1181a.</w:t>
      </w:r>
    </w:p>
    <w:p w14:paraId="5E71A7C5" w14:textId="426D042D" w:rsidR="00155E5D" w:rsidRPr="006A00DA" w:rsidRDefault="00155E5D" w:rsidP="00D42581">
      <w:r w:rsidRPr="006A00DA">
        <w:t xml:space="preserve">The </w:t>
      </w:r>
      <w:proofErr w:type="spellStart"/>
      <w:r w:rsidRPr="006A00DA">
        <w:t>popPK</w:t>
      </w:r>
      <w:proofErr w:type="spellEnd"/>
      <w:r w:rsidRPr="006A00DA">
        <w:t xml:space="preserve"> approach derived mean (%CV) apparent central volume of distribution of </w:t>
      </w:r>
      <w:r w:rsidR="004B453F">
        <w:t>Trastuzumab</w:t>
      </w:r>
      <w:r w:rsidRPr="006A00DA">
        <w:t xml:space="preserve"> </w:t>
      </w:r>
      <w:proofErr w:type="spellStart"/>
      <w:r w:rsidRPr="006A00DA">
        <w:t>deruxtecan</w:t>
      </w:r>
      <w:proofErr w:type="spellEnd"/>
      <w:r w:rsidRPr="006A00DA">
        <w:t xml:space="preserve"> at steady</w:t>
      </w:r>
      <w:r w:rsidR="00D27078" w:rsidRPr="006A00DA">
        <w:t xml:space="preserve"> </w:t>
      </w:r>
      <w:r w:rsidRPr="006A00DA">
        <w:t xml:space="preserve">state is 2.77 L. </w:t>
      </w:r>
      <w:r w:rsidRPr="006A00DA">
        <w:rPr>
          <w:i/>
          <w:iCs/>
        </w:rPr>
        <w:t>In vitro</w:t>
      </w:r>
      <w:r w:rsidRPr="006A00DA">
        <w:t>, protein binding of MAAA-1181a is 97%. The ratio of the concentration of MAAA-1181a in blood to that in plasma was 0.82 to 0.85 in mice, 0.81 to 0.87 in rats, 0.92 to 0.95 in monkeys, and 0.59 to 0.62 in humans, suggesting that MAAA-1181a distributes into red blood cells.</w:t>
      </w:r>
    </w:p>
    <w:p w14:paraId="493E0A68" w14:textId="7ABB01E9" w:rsidR="00155E5D" w:rsidRPr="006A00DA" w:rsidRDefault="00155E5D" w:rsidP="00D42581">
      <w:r w:rsidRPr="006A00DA">
        <w:t xml:space="preserve">Following a single 5.4 mg/kg dose of </w:t>
      </w:r>
      <w:r w:rsidR="004B453F">
        <w:t>Trastuzumab</w:t>
      </w:r>
      <w:r w:rsidRPr="006A00DA">
        <w:t xml:space="preserve"> </w:t>
      </w:r>
      <w:proofErr w:type="spellStart"/>
      <w:r w:rsidRPr="006A00DA">
        <w:t>deruxtecan</w:t>
      </w:r>
      <w:proofErr w:type="spellEnd"/>
      <w:r w:rsidRPr="006A00DA">
        <w:t>, the median elimination half</w:t>
      </w:r>
      <w:r w:rsidR="00DF3A6C">
        <w:noBreakHyphen/>
      </w:r>
      <w:r w:rsidRPr="006A00DA">
        <w:t>life (t</w:t>
      </w:r>
      <w:r w:rsidRPr="006A00DA">
        <w:rPr>
          <w:vertAlign w:val="subscript"/>
        </w:rPr>
        <w:t>½</w:t>
      </w:r>
      <w:r w:rsidRPr="006A00DA">
        <w:t xml:space="preserve">) of </w:t>
      </w:r>
      <w:r w:rsidR="004B453F">
        <w:t>Trastuzumab</w:t>
      </w:r>
      <w:r w:rsidRPr="006A00DA">
        <w:t xml:space="preserve"> </w:t>
      </w:r>
      <w:proofErr w:type="spellStart"/>
      <w:r w:rsidRPr="006A00DA">
        <w:t>deruxtecan</w:t>
      </w:r>
      <w:proofErr w:type="spellEnd"/>
      <w:r w:rsidRPr="006A00DA">
        <w:t xml:space="preserve"> was approximately 5.7 days based on non</w:t>
      </w:r>
      <w:r w:rsidR="00D27078" w:rsidRPr="006A00DA">
        <w:noBreakHyphen/>
      </w:r>
      <w:r w:rsidRPr="006A00DA">
        <w:t xml:space="preserve">compartmental analysis. Following a single 5.4 mg/kg dose of </w:t>
      </w:r>
      <w:r w:rsidR="004B453F">
        <w:t>Trastuzumab</w:t>
      </w:r>
      <w:r w:rsidRPr="006A00DA">
        <w:t xml:space="preserve"> </w:t>
      </w:r>
      <w:proofErr w:type="spellStart"/>
      <w:r w:rsidRPr="006A00DA">
        <w:t>deruxtecan</w:t>
      </w:r>
      <w:proofErr w:type="spellEnd"/>
      <w:r w:rsidRPr="006A00DA">
        <w:t>, the median apparent elimination t</w:t>
      </w:r>
      <w:r w:rsidRPr="006A00DA">
        <w:rPr>
          <w:vertAlign w:val="subscript"/>
        </w:rPr>
        <w:t>½</w:t>
      </w:r>
      <w:r w:rsidRPr="006A00DA">
        <w:t xml:space="preserve"> of MAAA-1181a was approximately 5.8</w:t>
      </w:r>
      <w:r w:rsidR="00DF3A6C">
        <w:t> </w:t>
      </w:r>
      <w:r w:rsidRPr="006A00DA">
        <w:t>days based on non</w:t>
      </w:r>
      <w:r w:rsidR="00886248" w:rsidRPr="006A00DA">
        <w:t>-</w:t>
      </w:r>
      <w:r w:rsidRPr="006A00DA">
        <w:t xml:space="preserve">compartmental analysis. The </w:t>
      </w:r>
      <w:proofErr w:type="spellStart"/>
      <w:r w:rsidRPr="006A00DA">
        <w:t>popPK</w:t>
      </w:r>
      <w:proofErr w:type="spellEnd"/>
      <w:r w:rsidRPr="006A00DA">
        <w:t xml:space="preserve"> approach derived mean (%CV) clearance of </w:t>
      </w:r>
      <w:r w:rsidR="004B453F">
        <w:t>Trastuzumab</w:t>
      </w:r>
      <w:r w:rsidRPr="006A00DA">
        <w:t xml:space="preserve"> </w:t>
      </w:r>
      <w:proofErr w:type="spellStart"/>
      <w:r w:rsidRPr="006A00DA">
        <w:t>deruxtecan</w:t>
      </w:r>
      <w:proofErr w:type="spellEnd"/>
      <w:r w:rsidRPr="006A00DA">
        <w:t xml:space="preserve"> is 0.42 L/day.</w:t>
      </w:r>
      <w:r w:rsidR="00DF3A6C" w:rsidRPr="00DF3A6C">
        <w:t xml:space="preserve"> </w:t>
      </w:r>
    </w:p>
    <w:p w14:paraId="6C220973" w14:textId="59622E24" w:rsidR="00155E5D" w:rsidRPr="006A00DA" w:rsidRDefault="00155E5D" w:rsidP="00155E5D">
      <w:r w:rsidRPr="006A00DA">
        <w:rPr>
          <w:i/>
          <w:iCs/>
        </w:rPr>
        <w:t>In vitro</w:t>
      </w:r>
      <w:r w:rsidRPr="006A00DA">
        <w:t>, MAAA-1181a is primarily metabol</w:t>
      </w:r>
      <w:r w:rsidR="0095510B" w:rsidRPr="006A00DA">
        <w:t>is</w:t>
      </w:r>
      <w:r w:rsidRPr="006A00DA">
        <w:t xml:space="preserve">ed by </w:t>
      </w:r>
      <w:r w:rsidR="00D42581" w:rsidRPr="006A00DA">
        <w:t>cytochrome P450 enzyme</w:t>
      </w:r>
      <w:r w:rsidR="00DF3A6C" w:rsidRPr="00021980">
        <w:rPr>
          <w:vertAlign w:val="superscript"/>
        </w:rPr>
        <w:footnoteReference w:id="34"/>
      </w:r>
      <w:r w:rsidR="00D42581" w:rsidRPr="006A00DA">
        <w:t xml:space="preserve"> </w:t>
      </w:r>
      <w:r w:rsidRPr="006A00DA">
        <w:t>CYP3A4.</w:t>
      </w:r>
      <w:r w:rsidRPr="001D0416">
        <w:t xml:space="preserve"> </w:t>
      </w:r>
      <w:r w:rsidRPr="006A00DA">
        <w:rPr>
          <w:i/>
          <w:iCs/>
        </w:rPr>
        <w:t>In</w:t>
      </w:r>
      <w:r w:rsidR="00DF3A6C">
        <w:rPr>
          <w:i/>
          <w:iCs/>
        </w:rPr>
        <w:t> </w:t>
      </w:r>
      <w:r w:rsidRPr="006A00DA">
        <w:rPr>
          <w:i/>
          <w:iCs/>
        </w:rPr>
        <w:t>vitro</w:t>
      </w:r>
      <w:r w:rsidRPr="006A00DA">
        <w:t>, MAAA-1181a does not inhibit CYP1A2, CYP2B6, CYP2C8, CYP2C9, CYP2C19, CYP2D6 and CYP3A nor induce CYP1A2, CYP2B6, or CYP3A. At clinically relevant concentrations (steady</w:t>
      </w:r>
      <w:r w:rsidR="00D42581" w:rsidRPr="006A00DA">
        <w:t xml:space="preserve"> </w:t>
      </w:r>
      <w:r w:rsidRPr="006A00DA">
        <w:t>state C</w:t>
      </w:r>
      <w:r w:rsidRPr="006A00DA">
        <w:rPr>
          <w:vertAlign w:val="subscript"/>
        </w:rPr>
        <w:t>max</w:t>
      </w:r>
      <w:r w:rsidRPr="006A00DA">
        <w:t xml:space="preserve"> of </w:t>
      </w:r>
      <w:r w:rsidR="008A6998" w:rsidRPr="006A00DA">
        <w:t xml:space="preserve">about </w:t>
      </w:r>
      <w:r w:rsidRPr="006A00DA">
        <w:t xml:space="preserve">0.2 </w:t>
      </w:r>
      <w:proofErr w:type="spellStart"/>
      <w:r w:rsidRPr="006A00DA">
        <w:t>μmol</w:t>
      </w:r>
      <w:proofErr w:type="spellEnd"/>
      <w:r w:rsidRPr="006A00DA">
        <w:t>/L), MAAA-1181a has a low potential to inhibit OAT1 (IC</w:t>
      </w:r>
      <w:r w:rsidRPr="006A00DA">
        <w:rPr>
          <w:vertAlign w:val="subscript"/>
        </w:rPr>
        <w:t>50</w:t>
      </w:r>
      <w:r w:rsidRPr="006A00DA">
        <w:t xml:space="preserve"> value of 12.7</w:t>
      </w:r>
      <w:r w:rsidR="008A6998" w:rsidRPr="006A00DA">
        <w:t> </w:t>
      </w:r>
      <w:proofErr w:type="spellStart"/>
      <w:r w:rsidRPr="006A00DA">
        <w:t>μmol</w:t>
      </w:r>
      <w:proofErr w:type="spellEnd"/>
      <w:r w:rsidRPr="006A00DA">
        <w:t>/L), OAT3, OCT1, OCT2, OATP1B1 (IC</w:t>
      </w:r>
      <w:r w:rsidRPr="006A00DA">
        <w:rPr>
          <w:vertAlign w:val="subscript"/>
        </w:rPr>
        <w:t>50</w:t>
      </w:r>
      <w:r w:rsidRPr="006A00DA">
        <w:t xml:space="preserve"> value of 14.4</w:t>
      </w:r>
      <w:r w:rsidR="00D42581" w:rsidRPr="006A00DA">
        <w:t> </w:t>
      </w:r>
      <w:proofErr w:type="spellStart"/>
      <w:r w:rsidRPr="006A00DA">
        <w:t>μmol</w:t>
      </w:r>
      <w:proofErr w:type="spellEnd"/>
      <w:r w:rsidRPr="006A00DA">
        <w:t>/L), OATP1B3, MATE1, MATE2-K, P-</w:t>
      </w:r>
      <w:proofErr w:type="spellStart"/>
      <w:r w:rsidRPr="006A00DA">
        <w:t>gp</w:t>
      </w:r>
      <w:proofErr w:type="spellEnd"/>
      <w:r w:rsidRPr="006A00DA">
        <w:t>, BCRP, or BSEP transporters.</w:t>
      </w:r>
    </w:p>
    <w:p w14:paraId="70D18087" w14:textId="77777777" w:rsidR="00155E5D" w:rsidRPr="006A00DA" w:rsidRDefault="00155E5D" w:rsidP="00D42581">
      <w:r w:rsidRPr="006A00DA">
        <w:t xml:space="preserve">No human mass balance study was conducted. </w:t>
      </w:r>
      <w:r w:rsidRPr="006A00DA">
        <w:rPr>
          <w:i/>
          <w:iCs/>
        </w:rPr>
        <w:t>In vitro</w:t>
      </w:r>
      <w:r w:rsidRPr="006A00DA">
        <w:t>, MAAA-1181a is a substrate of OATP1B1, OATP1B3, MATE2-K, P-</w:t>
      </w:r>
      <w:proofErr w:type="spellStart"/>
      <w:r w:rsidRPr="006A00DA">
        <w:t>gp</w:t>
      </w:r>
      <w:proofErr w:type="spellEnd"/>
      <w:r w:rsidRPr="006A00DA">
        <w:t>, MRP1 and BCRP.</w:t>
      </w:r>
    </w:p>
    <w:p w14:paraId="303CAFB5" w14:textId="269104A5" w:rsidR="00155E5D" w:rsidRPr="006A00DA" w:rsidRDefault="00155E5D" w:rsidP="00D42581">
      <w:r w:rsidRPr="006A00DA">
        <w:t xml:space="preserve">No dedicated renal impairment or hepatic impairment studies were conducted. Based on the </w:t>
      </w:r>
      <w:proofErr w:type="spellStart"/>
      <w:r w:rsidRPr="006A00DA">
        <w:t>PopPK</w:t>
      </w:r>
      <w:proofErr w:type="spellEnd"/>
      <w:r w:rsidRPr="006A00DA">
        <w:t xml:space="preserve"> analysis the pharmacokinetics of MAAA-1181a was not affected by mild to moderate renal impairment. Higher levels of </w:t>
      </w:r>
      <w:r w:rsidR="00DF3A6C">
        <w:t>aspartate transaminase</w:t>
      </w:r>
      <w:r w:rsidR="00DF3A6C" w:rsidRPr="006A00DA">
        <w:t xml:space="preserve"> </w:t>
      </w:r>
      <w:r w:rsidRPr="006A00DA">
        <w:t xml:space="preserve">and total bilirubin resulted in lower clearance of MAAA-1181a. The steady state </w:t>
      </w:r>
      <w:proofErr w:type="spellStart"/>
      <w:r w:rsidRPr="006A00DA">
        <w:t>C</w:t>
      </w:r>
      <w:r w:rsidRPr="006A00DA">
        <w:rPr>
          <w:vertAlign w:val="subscript"/>
        </w:rPr>
        <w:t>min</w:t>
      </w:r>
      <w:proofErr w:type="spellEnd"/>
      <w:r w:rsidRPr="006A00DA">
        <w:t xml:space="preserve">, </w:t>
      </w:r>
      <w:proofErr w:type="spellStart"/>
      <w:r w:rsidRPr="006A00DA">
        <w:t>C</w:t>
      </w:r>
      <w:r w:rsidRPr="006A00DA">
        <w:rPr>
          <w:vertAlign w:val="subscript"/>
        </w:rPr>
        <w:t>max</w:t>
      </w:r>
      <w:proofErr w:type="spellEnd"/>
      <w:r w:rsidRPr="006A00DA">
        <w:t xml:space="preserve">, and AUC ratios between subjects with mild hepatic impairment and normal hepatic function are 1.11, 1.03, and 1.07, respectively, and the steady state </w:t>
      </w:r>
      <w:proofErr w:type="spellStart"/>
      <w:r w:rsidRPr="006A00DA">
        <w:t>C</w:t>
      </w:r>
      <w:r w:rsidRPr="006A00DA">
        <w:rPr>
          <w:vertAlign w:val="subscript"/>
        </w:rPr>
        <w:t>min</w:t>
      </w:r>
      <w:proofErr w:type="spellEnd"/>
      <w:r w:rsidRPr="006A00DA">
        <w:t xml:space="preserve">, </w:t>
      </w:r>
      <w:proofErr w:type="spellStart"/>
      <w:r w:rsidRPr="006A00DA">
        <w:t>C</w:t>
      </w:r>
      <w:r w:rsidRPr="006A00DA">
        <w:rPr>
          <w:vertAlign w:val="subscript"/>
        </w:rPr>
        <w:t>max</w:t>
      </w:r>
      <w:proofErr w:type="spellEnd"/>
      <w:r w:rsidRPr="006A00DA">
        <w:t>, and AUC ratios between subjects with mild renal impairment and normal renal function are 0.953, 0.911, 0.921, respectively. There are no data available for patients with severe renal impairment or with severe hepatic impairment.</w:t>
      </w:r>
    </w:p>
    <w:p w14:paraId="232D858D" w14:textId="5ABD64B8" w:rsidR="00155E5D" w:rsidRPr="006A00DA" w:rsidRDefault="00155E5D" w:rsidP="002C414F">
      <w:pPr>
        <w:pStyle w:val="Heading5"/>
      </w:pPr>
      <w:r w:rsidRPr="006A00DA">
        <w:t>Pharmacodynamics</w:t>
      </w:r>
    </w:p>
    <w:p w14:paraId="2469410D" w14:textId="41FC5783" w:rsidR="00155E5D" w:rsidRPr="006A00DA" w:rsidRDefault="004B453F" w:rsidP="00D42581">
      <w:r>
        <w:t>Trastuzumab</w:t>
      </w:r>
      <w:r w:rsidR="00155E5D" w:rsidRPr="006A00DA">
        <w:t xml:space="preserve"> </w:t>
      </w:r>
      <w:proofErr w:type="spellStart"/>
      <w:r w:rsidR="00155E5D" w:rsidRPr="006A00DA">
        <w:t>deruxtecan</w:t>
      </w:r>
      <w:proofErr w:type="spellEnd"/>
      <w:r w:rsidR="00155E5D" w:rsidRPr="006A00DA">
        <w:t xml:space="preserve"> is an antibody drug conjugate targeting HER-2 positive expressing cells. The mechanism of action involves the </w:t>
      </w:r>
      <w:r w:rsidR="00D42581" w:rsidRPr="006A00DA">
        <w:t xml:space="preserve">recombinant </w:t>
      </w:r>
      <w:r w:rsidR="00155E5D" w:rsidRPr="006A00DA">
        <w:t xml:space="preserve">antibody binding to HER2 receptors on the tumour target cell membrane, and where the </w:t>
      </w:r>
      <w:r w:rsidR="00D42581" w:rsidRPr="006A00DA">
        <w:t>a</w:t>
      </w:r>
      <w:r w:rsidR="00155E5D" w:rsidRPr="006A00DA">
        <w:t>ntibody drug conjugate gets internalised into the target cells.</w:t>
      </w:r>
      <w:r w:rsidR="00D42581" w:rsidRPr="006A00DA">
        <w:t xml:space="preserve"> D</w:t>
      </w:r>
      <w:r w:rsidR="00155E5D" w:rsidRPr="006A00DA">
        <w:t>rug linker between antibody and MAAA</w:t>
      </w:r>
      <w:r w:rsidR="00DF3A6C">
        <w:noBreakHyphen/>
      </w:r>
      <w:r w:rsidR="00155E5D" w:rsidRPr="006A00DA">
        <w:t>1181a is metaboli</w:t>
      </w:r>
      <w:r w:rsidR="00D42581" w:rsidRPr="006A00DA">
        <w:t>s</w:t>
      </w:r>
      <w:r w:rsidR="00155E5D" w:rsidRPr="006A00DA">
        <w:t>ed by lysosomal enzymes where it will release the MAAA-1181a, which inhibits the DNA topoisomerase I enzyme.</w:t>
      </w:r>
    </w:p>
    <w:p w14:paraId="74F1467E" w14:textId="49B2EC39" w:rsidR="00155E5D" w:rsidRPr="006A00DA" w:rsidRDefault="00155E5D" w:rsidP="00D42581">
      <w:r w:rsidRPr="006A00DA">
        <w:lastRenderedPageBreak/>
        <w:t xml:space="preserve">In Study J101, the maximum tolerated dose (MTD) of </w:t>
      </w:r>
      <w:r w:rsidR="004B453F">
        <w:t>Trastuzumab</w:t>
      </w:r>
      <w:r w:rsidRPr="006A00DA">
        <w:t xml:space="preserve"> </w:t>
      </w:r>
      <w:proofErr w:type="spellStart"/>
      <w:r w:rsidRPr="006A00DA">
        <w:t>deruxtecan</w:t>
      </w:r>
      <w:proofErr w:type="spellEnd"/>
      <w:r w:rsidRPr="006A00DA">
        <w:t xml:space="preserve"> as a single</w:t>
      </w:r>
      <w:r w:rsidR="00D42581" w:rsidRPr="006A00DA">
        <w:t xml:space="preserve"> </w:t>
      </w:r>
      <w:r w:rsidRPr="006A00DA">
        <w:t>agent treatment in patients with HER2</w:t>
      </w:r>
      <w:r w:rsidR="00D42581" w:rsidRPr="006A00DA">
        <w:t xml:space="preserve">-postive </w:t>
      </w:r>
      <w:r w:rsidRPr="006A00DA">
        <w:t xml:space="preserve">expressing </w:t>
      </w:r>
      <w:r w:rsidR="008A6998" w:rsidRPr="006A00DA">
        <w:t xml:space="preserve">breast cancer </w:t>
      </w:r>
      <w:r w:rsidRPr="006A00DA">
        <w:t xml:space="preserve">was not reached at the dose range of 0.8 to 8 mg/kg </w:t>
      </w:r>
      <w:r w:rsidR="00D42581" w:rsidRPr="006A00DA">
        <w:t xml:space="preserve">once </w:t>
      </w:r>
      <w:r w:rsidR="008A6998" w:rsidRPr="006A00DA">
        <w:t>every three weeks</w:t>
      </w:r>
      <w:r w:rsidRPr="006A00DA">
        <w:t>.</w:t>
      </w:r>
    </w:p>
    <w:p w14:paraId="672A4782" w14:textId="42F4AE80" w:rsidR="00155E5D" w:rsidRPr="006A00DA" w:rsidRDefault="00155E5D" w:rsidP="00D42581">
      <w:r w:rsidRPr="006A00DA">
        <w:t>The incidence of immunogenicity was low with 3.5% and 1.1% of subjects demonstrating ADA</w:t>
      </w:r>
      <w:r w:rsidR="008A6998" w:rsidRPr="006A00DA">
        <w:t xml:space="preserve"> </w:t>
      </w:r>
      <w:r w:rsidRPr="006A00DA">
        <w:t xml:space="preserve">positive results at </w:t>
      </w:r>
      <w:r w:rsidR="008A6998" w:rsidRPr="006A00DA">
        <w:t>B</w:t>
      </w:r>
      <w:r w:rsidRPr="006A00DA">
        <w:t>aseline and post-</w:t>
      </w:r>
      <w:r w:rsidR="00D42581" w:rsidRPr="006A00DA">
        <w:t>b</w:t>
      </w:r>
      <w:r w:rsidRPr="006A00DA">
        <w:t>aseline, respectively. Overall, 4</w:t>
      </w:r>
      <w:r w:rsidR="002C414F" w:rsidRPr="006A00DA">
        <w:t xml:space="preserve"> out of </w:t>
      </w:r>
      <w:r w:rsidRPr="006A00DA">
        <w:t>640 (0.6%) subjects were identified as having treatment</w:t>
      </w:r>
      <w:r w:rsidR="008A6998" w:rsidRPr="006A00DA">
        <w:t xml:space="preserve"> </w:t>
      </w:r>
      <w:r w:rsidRPr="006A00DA">
        <w:t>emergent ADA. No relationship was identified between the rate of infusion</w:t>
      </w:r>
      <w:r w:rsidR="00D42581" w:rsidRPr="006A00DA">
        <w:t xml:space="preserve"> </w:t>
      </w:r>
      <w:r w:rsidRPr="006A00DA">
        <w:t>site reactions (as a measure of safety) and the incidence of ADA.</w:t>
      </w:r>
    </w:p>
    <w:p w14:paraId="5C062A41" w14:textId="0E81A46C" w:rsidR="00155E5D" w:rsidRPr="001D0416" w:rsidRDefault="00155E5D" w:rsidP="00D42581">
      <w:r w:rsidRPr="006A00DA">
        <w:t xml:space="preserve">Study DS8201-A-J102 evaluated the effect of </w:t>
      </w:r>
      <w:r w:rsidR="004B453F">
        <w:t>Trastuzumab</w:t>
      </w:r>
      <w:r w:rsidRPr="006A00DA">
        <w:t xml:space="preserve"> </w:t>
      </w:r>
      <w:proofErr w:type="spellStart"/>
      <w:r w:rsidRPr="006A00DA">
        <w:t>deruxtecan</w:t>
      </w:r>
      <w:proofErr w:type="spellEnd"/>
      <w:r w:rsidRPr="006A00DA">
        <w:t xml:space="preserve"> on human cardiac parameters. Results from the study indicated that </w:t>
      </w:r>
      <w:r w:rsidR="004B453F">
        <w:t>Trastuzumab</w:t>
      </w:r>
      <w:r w:rsidRPr="006A00DA">
        <w:t xml:space="preserve"> </w:t>
      </w:r>
      <w:proofErr w:type="spellStart"/>
      <w:r w:rsidRPr="006A00DA">
        <w:t>deruxtecan</w:t>
      </w:r>
      <w:proofErr w:type="spellEnd"/>
      <w:r w:rsidRPr="006A00DA">
        <w:t xml:space="preserve"> 6.4 mg/kg administration was not associated with a clinically meaningful (defined as change from </w:t>
      </w:r>
      <w:r w:rsidR="002C414F" w:rsidRPr="006A00DA">
        <w:t>B</w:t>
      </w:r>
      <w:r w:rsidRPr="006A00DA">
        <w:t>aseline &gt;</w:t>
      </w:r>
      <w:r w:rsidR="002C414F" w:rsidRPr="006A00DA">
        <w:t> </w:t>
      </w:r>
      <w:r w:rsidRPr="006A00DA">
        <w:t>10 milliseconds) prolongation of QT interval corrected for heart rate using Frederica’s formula (</w:t>
      </w:r>
      <w:proofErr w:type="spellStart"/>
      <w:r w:rsidRPr="006A00DA">
        <w:t>QTcF</w:t>
      </w:r>
      <w:proofErr w:type="spellEnd"/>
      <w:r w:rsidRPr="006A00DA">
        <w:t>).</w:t>
      </w:r>
      <w:bookmarkStart w:id="53" w:name="_Ref103261355"/>
      <w:r w:rsidR="00D42581" w:rsidRPr="001D0416">
        <w:rPr>
          <w:rStyle w:val="FootnoteReference"/>
        </w:rPr>
        <w:footnoteReference w:id="35"/>
      </w:r>
      <w:bookmarkEnd w:id="53"/>
    </w:p>
    <w:p w14:paraId="738FEC42" w14:textId="77777777" w:rsidR="00155E5D" w:rsidRPr="006A00DA" w:rsidRDefault="00155E5D" w:rsidP="002C414F">
      <w:pPr>
        <w:pStyle w:val="Heading5"/>
      </w:pPr>
      <w:r w:rsidRPr="006A00DA">
        <w:t>Efficacy</w:t>
      </w:r>
    </w:p>
    <w:p w14:paraId="73678859" w14:textId="66704F4C" w:rsidR="00155E5D" w:rsidRPr="006A00DA" w:rsidRDefault="00155E5D" w:rsidP="002C414F">
      <w:r w:rsidRPr="006A00DA">
        <w:t xml:space="preserve">The recommended dose of </w:t>
      </w:r>
      <w:r w:rsidR="004B453F">
        <w:t>Trastuzumab</w:t>
      </w:r>
      <w:r w:rsidRPr="006A00DA">
        <w:t xml:space="preserve"> </w:t>
      </w:r>
      <w:proofErr w:type="spellStart"/>
      <w:r w:rsidRPr="006A00DA">
        <w:t>deruxtecan</w:t>
      </w:r>
      <w:proofErr w:type="spellEnd"/>
      <w:r w:rsidRPr="006A00DA">
        <w:t xml:space="preserve"> is 5.4 mg/kg given as an intravenous infusion once every 3 weeks (21-day cycle) until disease progression or unacceptable toxicity. The final dose selection was based on exposure</w:t>
      </w:r>
      <w:r w:rsidR="00D42581" w:rsidRPr="006A00DA">
        <w:t xml:space="preserve"> </w:t>
      </w:r>
      <w:r w:rsidRPr="006A00DA">
        <w:t xml:space="preserve">response analyses for efficacy and safety. The efficacy </w:t>
      </w:r>
      <w:r w:rsidR="00D42581" w:rsidRPr="006A00DA">
        <w:t>exposure response</w:t>
      </w:r>
      <w:r w:rsidRPr="006A00DA">
        <w:t xml:space="preserve"> analyses were conducted using logistic regression modelling for efficacy (</w:t>
      </w:r>
      <w:r w:rsidR="00DF3A6C">
        <w:t xml:space="preserve">objective response </w:t>
      </w:r>
      <w:r w:rsidR="00653649">
        <w:t>rate (</w:t>
      </w:r>
      <w:r w:rsidRPr="006A00DA">
        <w:t>ORR</w:t>
      </w:r>
      <w:r w:rsidR="00653649">
        <w:t>)</w:t>
      </w:r>
      <w:r w:rsidRPr="006A00DA">
        <w:t xml:space="preserve">, </w:t>
      </w:r>
      <w:r w:rsidR="00A84244" w:rsidRPr="006A00DA">
        <w:t>d</w:t>
      </w:r>
      <w:r w:rsidRPr="006A00DA">
        <w:t xml:space="preserve">uration of </w:t>
      </w:r>
      <w:r w:rsidR="00A84244" w:rsidRPr="006A00DA">
        <w:t>r</w:t>
      </w:r>
      <w:r w:rsidRPr="006A00DA">
        <w:t xml:space="preserve">esponse </w:t>
      </w:r>
      <w:r w:rsidR="002C414F" w:rsidRPr="006A00DA">
        <w:t>(</w:t>
      </w:r>
      <w:r w:rsidRPr="006A00DA">
        <w:t>D</w:t>
      </w:r>
      <w:r w:rsidR="00A84244" w:rsidRPr="006A00DA">
        <w:t>O</w:t>
      </w:r>
      <w:r w:rsidRPr="006A00DA">
        <w:t>R</w:t>
      </w:r>
      <w:r w:rsidR="002C414F" w:rsidRPr="006A00DA">
        <w:t>)</w:t>
      </w:r>
      <w:r w:rsidRPr="006A00DA">
        <w:t>, and</w:t>
      </w:r>
      <w:r w:rsidR="00653649">
        <w:t xml:space="preserve"> progression</w:t>
      </w:r>
      <w:r w:rsidR="00653649">
        <w:noBreakHyphen/>
        <w:t>free survival (</w:t>
      </w:r>
      <w:r w:rsidRPr="006A00DA">
        <w:t>PFS)</w:t>
      </w:r>
      <w:r w:rsidR="00653649">
        <w:t>)</w:t>
      </w:r>
      <w:r w:rsidRPr="006A00DA">
        <w:t xml:space="preserve"> using data from </w:t>
      </w:r>
      <w:r w:rsidR="00653649">
        <w:t>Study</w:t>
      </w:r>
      <w:r w:rsidR="00653649" w:rsidRPr="006A00DA">
        <w:t xml:space="preserve"> </w:t>
      </w:r>
      <w:r w:rsidRPr="006A00DA">
        <w:t xml:space="preserve">DS8201-A-J101 and </w:t>
      </w:r>
      <w:r w:rsidR="00653649">
        <w:t>Study </w:t>
      </w:r>
      <w:r w:rsidRPr="006A00DA">
        <w:t>DS8201</w:t>
      </w:r>
      <w:r w:rsidR="00653649">
        <w:noBreakHyphen/>
      </w:r>
      <w:r w:rsidRPr="006A00DA">
        <w:t xml:space="preserve">A-U201. The relationship between </w:t>
      </w:r>
      <w:r w:rsidR="004B453F">
        <w:t>Trastuzumab</w:t>
      </w:r>
      <w:r w:rsidRPr="006A00DA">
        <w:t xml:space="preserve"> </w:t>
      </w:r>
      <w:proofErr w:type="spellStart"/>
      <w:r w:rsidRPr="006A00DA">
        <w:t>deruxtecan</w:t>
      </w:r>
      <w:proofErr w:type="spellEnd"/>
      <w:r w:rsidRPr="006A00DA">
        <w:t xml:space="preserve"> average concentration (</w:t>
      </w:r>
      <w:proofErr w:type="spellStart"/>
      <w:r w:rsidRPr="006A00DA">
        <w:t>C</w:t>
      </w:r>
      <w:r w:rsidRPr="006A00DA">
        <w:rPr>
          <w:vertAlign w:val="subscript"/>
        </w:rPr>
        <w:t>avg</w:t>
      </w:r>
      <w:proofErr w:type="spellEnd"/>
      <w:r w:rsidRPr="006A00DA">
        <w:t>) from beginning of treatment to the time of ORR was positive and statistically significant (</w:t>
      </w:r>
      <w:r w:rsidR="00A84244" w:rsidRPr="006A00DA">
        <w:t xml:space="preserve">p </w:t>
      </w:r>
      <w:r w:rsidRPr="006A00DA">
        <w:t xml:space="preserve">value = 0.028) and best described by a linear logistic regression model. There was a trend of improved PFS with higher </w:t>
      </w:r>
      <w:r w:rsidR="004B453F">
        <w:t>Trastuzumab</w:t>
      </w:r>
      <w:r w:rsidRPr="006A00DA">
        <w:t xml:space="preserve"> </w:t>
      </w:r>
      <w:proofErr w:type="spellStart"/>
      <w:r w:rsidRPr="006A00DA">
        <w:t>deruxtecan</w:t>
      </w:r>
      <w:proofErr w:type="spellEnd"/>
      <w:r w:rsidRPr="006A00DA">
        <w:t xml:space="preserve"> exposures (both </w:t>
      </w:r>
      <w:proofErr w:type="spellStart"/>
      <w:r w:rsidRPr="006A00DA">
        <w:t>C</w:t>
      </w:r>
      <w:r w:rsidRPr="006A00DA">
        <w:rPr>
          <w:vertAlign w:val="subscript"/>
        </w:rPr>
        <w:t>avg</w:t>
      </w:r>
      <w:proofErr w:type="spellEnd"/>
      <w:r w:rsidRPr="006A00DA">
        <w:t xml:space="preserve"> at PFS and minimum observed serum concentration at </w:t>
      </w:r>
      <w:proofErr w:type="gramStart"/>
      <w:r w:rsidRPr="006A00DA">
        <w:t>steady-state</w:t>
      </w:r>
      <w:proofErr w:type="gramEnd"/>
      <w:r w:rsidRPr="006A00DA">
        <w:t>), which was not statistically significant (</w:t>
      </w:r>
      <w:r w:rsidR="00A84244" w:rsidRPr="006A00DA">
        <w:t xml:space="preserve">p </w:t>
      </w:r>
      <w:r w:rsidRPr="006A00DA">
        <w:t>value &gt;</w:t>
      </w:r>
      <w:r w:rsidR="00A84244" w:rsidRPr="006A00DA">
        <w:t> </w:t>
      </w:r>
      <w:r w:rsidRPr="006A00DA">
        <w:t>0.05).</w:t>
      </w:r>
    </w:p>
    <w:p w14:paraId="60509DB4" w14:textId="3D38D4E0" w:rsidR="00155E5D" w:rsidRPr="006A00DA" w:rsidRDefault="00155E5D" w:rsidP="002C414F">
      <w:r w:rsidRPr="006A00DA">
        <w:t>Based on the exposure</w:t>
      </w:r>
      <w:r w:rsidR="008A6998" w:rsidRPr="006A00DA">
        <w:t xml:space="preserve"> </w:t>
      </w:r>
      <w:r w:rsidRPr="006A00DA">
        <w:t>efficacy models, the mean probability of ORR was predicted to be 0.63 (90% CI: 0.55, 0.70) for the 5.4 mg/kg dose and 0.68 (95% CI: 0.58, 0.76) for the 6.4</w:t>
      </w:r>
      <w:r w:rsidR="002C414F" w:rsidRPr="006A00DA">
        <w:t> </w:t>
      </w:r>
      <w:r w:rsidRPr="006A00DA">
        <w:t>mg/kg dose, which agrees with observed data. Results of a covariate search (including baseline demographics, country, and disease status factors) demonstrated that no covariates were significant for exposure</w:t>
      </w:r>
      <w:r w:rsidR="00A84244" w:rsidRPr="006A00DA">
        <w:t xml:space="preserve"> </w:t>
      </w:r>
      <w:r w:rsidRPr="006A00DA">
        <w:t>ORR relationship.</w:t>
      </w:r>
    </w:p>
    <w:p w14:paraId="0FBEF5C9" w14:textId="4D5BE576" w:rsidR="00155E5D" w:rsidRPr="006A00DA" w:rsidRDefault="00155E5D" w:rsidP="002C414F">
      <w:pPr>
        <w:pStyle w:val="Heading5"/>
      </w:pPr>
      <w:r w:rsidRPr="006A00DA">
        <w:t>Study DS8201-A-U201 (DESTINY-Breast01</w:t>
      </w:r>
      <w:r w:rsidR="008A6998" w:rsidRPr="006A00DA">
        <w:t xml:space="preserve"> trial</w:t>
      </w:r>
      <w:r w:rsidRPr="006A00DA">
        <w:t>)</w:t>
      </w:r>
    </w:p>
    <w:p w14:paraId="2BE7C902" w14:textId="10C995D0" w:rsidR="00155E5D" w:rsidRPr="006A00DA" w:rsidRDefault="00155E5D" w:rsidP="00A84244">
      <w:r w:rsidRPr="006A00DA">
        <w:t xml:space="preserve">This was a Phase </w:t>
      </w:r>
      <w:r w:rsidR="002C414F" w:rsidRPr="006A00DA">
        <w:t>II</w:t>
      </w:r>
      <w:r w:rsidRPr="006A00DA">
        <w:t>, open</w:t>
      </w:r>
      <w:r w:rsidR="002C414F" w:rsidRPr="006A00DA">
        <w:t xml:space="preserve"> </w:t>
      </w:r>
      <w:r w:rsidRPr="006A00DA">
        <w:t xml:space="preserve">label, multicentre, </w:t>
      </w:r>
      <w:proofErr w:type="gramStart"/>
      <w:r w:rsidR="002C414F" w:rsidRPr="006A00DA">
        <w:t xml:space="preserve">two </w:t>
      </w:r>
      <w:r w:rsidRPr="006A00DA">
        <w:t>part</w:t>
      </w:r>
      <w:proofErr w:type="gramEnd"/>
      <w:r w:rsidRPr="006A00DA">
        <w:t xml:space="preserve"> study designed to justify the recommended dose of </w:t>
      </w:r>
      <w:r w:rsidR="004B453F">
        <w:t>Trastuzumab</w:t>
      </w:r>
      <w:r w:rsidRPr="006A00DA">
        <w:t xml:space="preserve"> </w:t>
      </w:r>
      <w:proofErr w:type="spellStart"/>
      <w:r w:rsidRPr="006A00DA">
        <w:t>deruxtecan</w:t>
      </w:r>
      <w:proofErr w:type="spellEnd"/>
      <w:r w:rsidRPr="006A00DA">
        <w:t xml:space="preserve"> and investigate its safety and efficacy in subjects with unresectable and/or metastatic HER2-positive breast cancer previously treated with ado-</w:t>
      </w:r>
      <w:r w:rsidR="004B453F">
        <w:t>Trastuzumab</w:t>
      </w:r>
      <w:r w:rsidRPr="006A00DA">
        <w:t xml:space="preserve"> emtansine, K</w:t>
      </w:r>
      <w:r w:rsidR="002C414F" w:rsidRPr="006A00DA">
        <w:t>adcyla</w:t>
      </w:r>
      <w:r w:rsidRPr="006A00DA">
        <w:t>.</w:t>
      </w:r>
      <w:r w:rsidR="00E11402" w:rsidRPr="001D0416">
        <w:fldChar w:fldCharType="begin"/>
      </w:r>
      <w:r w:rsidR="00E11402" w:rsidRPr="006A00DA">
        <w:instrText xml:space="preserve"> NOTEREF _Ref103242244 \f \h </w:instrText>
      </w:r>
      <w:r w:rsidR="00A84244" w:rsidRPr="006A00DA">
        <w:instrText xml:space="preserve"> \* MERGEFORMAT </w:instrText>
      </w:r>
      <w:r w:rsidR="00E11402" w:rsidRPr="001D0416">
        <w:fldChar w:fldCharType="separate"/>
      </w:r>
      <w:r w:rsidR="00653649" w:rsidRPr="00021980">
        <w:rPr>
          <w:rStyle w:val="FootnoteReference"/>
        </w:rPr>
        <w:t>13</w:t>
      </w:r>
      <w:r w:rsidR="00E11402" w:rsidRPr="001D0416">
        <w:fldChar w:fldCharType="end"/>
      </w:r>
      <w:r w:rsidRPr="001D0416">
        <w:t xml:space="preserve"> Enrolment commenced on 25</w:t>
      </w:r>
      <w:r w:rsidR="00653649">
        <w:t> </w:t>
      </w:r>
      <w:r w:rsidRPr="001D0416">
        <w:t>September 2017. Study sites were in the US</w:t>
      </w:r>
      <w:r w:rsidR="00A84244" w:rsidRPr="006A00DA">
        <w:t>A</w:t>
      </w:r>
      <w:r w:rsidRPr="006A00DA">
        <w:t>, Canada, Japan, South Korea, Belgium, France, Italy, Spain, and the United Kingdom.</w:t>
      </w:r>
    </w:p>
    <w:p w14:paraId="761712E9" w14:textId="6E0A0B4F" w:rsidR="00155E5D" w:rsidRPr="006A00DA" w:rsidRDefault="00155E5D" w:rsidP="00155E5D">
      <w:r w:rsidRPr="006A00DA">
        <w:t xml:space="preserve">The data </w:t>
      </w:r>
      <w:r w:rsidR="00653649" w:rsidRPr="006A00DA">
        <w:t>cut-off</w:t>
      </w:r>
      <w:r w:rsidRPr="006A00DA">
        <w:t xml:space="preserve"> date for the clinical study report in the submission was 21</w:t>
      </w:r>
      <w:r w:rsidR="002C414F" w:rsidRPr="006A00DA">
        <w:t> </w:t>
      </w:r>
      <w:r w:rsidRPr="006A00DA">
        <w:t xml:space="preserve">March 2019. At that </w:t>
      </w:r>
      <w:r w:rsidR="00A84244" w:rsidRPr="006A00DA">
        <w:t xml:space="preserve">data </w:t>
      </w:r>
      <w:r w:rsidR="00653649" w:rsidRPr="006A00DA">
        <w:t>cut-off</w:t>
      </w:r>
      <w:r w:rsidRPr="006A00DA">
        <w:t>, the median duration of follow</w:t>
      </w:r>
      <w:r w:rsidR="002C414F" w:rsidRPr="006A00DA">
        <w:t xml:space="preserve"> </w:t>
      </w:r>
      <w:r w:rsidRPr="006A00DA">
        <w:t>up was 7.8 months (range: 0.7</w:t>
      </w:r>
      <w:r w:rsidR="002C414F" w:rsidRPr="006A00DA">
        <w:t xml:space="preserve"> to </w:t>
      </w:r>
      <w:r w:rsidRPr="006A00DA">
        <w:t xml:space="preserve">17.2) across all doses. An update with the </w:t>
      </w:r>
      <w:r w:rsidR="00A84244" w:rsidRPr="006A00DA">
        <w:t xml:space="preserve">data </w:t>
      </w:r>
      <w:r w:rsidR="00653649" w:rsidRPr="006A00DA">
        <w:t>cut-off</w:t>
      </w:r>
      <w:r w:rsidRPr="006A00DA">
        <w:t xml:space="preserve"> of 1 August 2019 was included in the </w:t>
      </w:r>
      <w:r w:rsidR="002C414F" w:rsidRPr="006A00DA">
        <w:t>c</w:t>
      </w:r>
      <w:r w:rsidRPr="006A00DA">
        <w:t xml:space="preserve">linical </w:t>
      </w:r>
      <w:r w:rsidR="002C414F" w:rsidRPr="006A00DA">
        <w:t>s</w:t>
      </w:r>
      <w:r w:rsidRPr="006A00DA">
        <w:t xml:space="preserve">ummary of </w:t>
      </w:r>
      <w:r w:rsidR="002C414F" w:rsidRPr="006A00DA">
        <w:t>e</w:t>
      </w:r>
      <w:r w:rsidRPr="006A00DA">
        <w:t xml:space="preserve">fficacy. A subsequent efficacy update with a median of duration of </w:t>
      </w:r>
      <w:r w:rsidR="00653649" w:rsidRPr="006A00DA">
        <w:t>follow-up</w:t>
      </w:r>
      <w:r w:rsidRPr="006A00DA">
        <w:t xml:space="preserve"> of 20.5 months (</w:t>
      </w:r>
      <w:r w:rsidR="00653649">
        <w:t>r</w:t>
      </w:r>
      <w:r w:rsidRPr="006A00DA">
        <w:t xml:space="preserve">ange 0.7 </w:t>
      </w:r>
      <w:r w:rsidR="002C414F" w:rsidRPr="006A00DA">
        <w:t>to</w:t>
      </w:r>
      <w:r w:rsidRPr="006A00DA">
        <w:t xml:space="preserve"> 31.4 months) was available to the </w:t>
      </w:r>
      <w:r w:rsidR="00A84244" w:rsidRPr="006A00DA">
        <w:t>European Medicines Agency</w:t>
      </w:r>
      <w:r w:rsidRPr="006A00DA">
        <w:t xml:space="preserve"> and a subsequent efficacy update with a median of 26.5 months </w:t>
      </w:r>
      <w:r w:rsidR="00653649" w:rsidRPr="006A00DA">
        <w:t>follow-</w:t>
      </w:r>
      <w:r w:rsidR="00653649" w:rsidRPr="006A00DA">
        <w:lastRenderedPageBreak/>
        <w:t>up</w:t>
      </w:r>
      <w:r w:rsidRPr="006A00DA">
        <w:t xml:space="preserve"> (</w:t>
      </w:r>
      <w:r w:rsidR="00A84244" w:rsidRPr="006A00DA">
        <w:t xml:space="preserve">data </w:t>
      </w:r>
      <w:r w:rsidR="00653649" w:rsidRPr="006A00DA">
        <w:t>cut-off</w:t>
      </w:r>
      <w:r w:rsidRPr="006A00DA">
        <w:t xml:space="preserve">: 21 March 2021) was made available to the TGA. While not the primary efficacy analysis, that data, being the most recent and giving the most clinically useful information is proposed for inclusion in the PI of </w:t>
      </w:r>
      <w:proofErr w:type="spellStart"/>
      <w:r w:rsidRPr="006A00DA">
        <w:t>E</w:t>
      </w:r>
      <w:r w:rsidR="002C414F" w:rsidRPr="006A00DA">
        <w:t>nhertu</w:t>
      </w:r>
      <w:proofErr w:type="spellEnd"/>
      <w:r w:rsidRPr="006A00DA">
        <w:t>. The FDA conducted its own analysis using the primary data cut</w:t>
      </w:r>
      <w:r w:rsidR="00653649">
        <w:t>-</w:t>
      </w:r>
      <w:r w:rsidRPr="006A00DA">
        <w:t>off date.</w:t>
      </w:r>
    </w:p>
    <w:p w14:paraId="6E3D75E5" w14:textId="608D9D71" w:rsidR="00155E5D" w:rsidRPr="006A00DA" w:rsidRDefault="00155E5D" w:rsidP="00155E5D">
      <w:r w:rsidRPr="006A00DA">
        <w:t>Determination of tumour HER2 positivity was according to American Society of Clinical Oncology</w:t>
      </w:r>
      <w:r w:rsidR="008A6998" w:rsidRPr="006A00DA">
        <w:t>,</w:t>
      </w:r>
      <w:r w:rsidRPr="006A00DA">
        <w:t xml:space="preserve"> College of American Pathologists guidelines.</w:t>
      </w:r>
      <w:r w:rsidR="0084379A" w:rsidRPr="001D0416">
        <w:rPr>
          <w:rStyle w:val="FootnoteReference"/>
        </w:rPr>
        <w:footnoteReference w:id="36"/>
      </w:r>
      <w:r w:rsidRPr="001D0416">
        <w:t xml:space="preserve"> Expression was based on archival tissue tested at a central laboratory prior to enrolment. The study design is depicted below.</w:t>
      </w:r>
    </w:p>
    <w:p w14:paraId="51A7BBD6" w14:textId="0588BB89" w:rsidR="00155E5D" w:rsidRPr="006A00DA" w:rsidRDefault="008A6998" w:rsidP="00D05EC9">
      <w:pPr>
        <w:pStyle w:val="FigureTitle"/>
      </w:pPr>
      <w:r w:rsidRPr="006A00DA">
        <w:t xml:space="preserve">Figure </w:t>
      </w:r>
      <w:r w:rsidR="007E037A" w:rsidRPr="001D0416">
        <w:fldChar w:fldCharType="begin"/>
      </w:r>
      <w:r w:rsidR="007E037A" w:rsidRPr="006A00DA">
        <w:instrText xml:space="preserve"> SEQ Figure \* ARABIC </w:instrText>
      </w:r>
      <w:r w:rsidR="007E037A" w:rsidRPr="001D0416">
        <w:fldChar w:fldCharType="separate"/>
      </w:r>
      <w:r w:rsidR="006922A4" w:rsidRPr="001D0416">
        <w:rPr>
          <w:noProof/>
        </w:rPr>
        <w:t>2</w:t>
      </w:r>
      <w:r w:rsidR="007E037A" w:rsidRPr="001D0416">
        <w:rPr>
          <w:noProof/>
        </w:rPr>
        <w:fldChar w:fldCharType="end"/>
      </w:r>
      <w:r w:rsidRPr="001D0416">
        <w:t xml:space="preserve">: Study DS8201-A-U201 Study </w:t>
      </w:r>
      <w:r w:rsidRPr="00C80BE5">
        <w:t>design</w:t>
      </w:r>
    </w:p>
    <w:p w14:paraId="5DE7FB88" w14:textId="6DBCDBB7" w:rsidR="00653649" w:rsidRDefault="00653649" w:rsidP="008A6998">
      <w:r>
        <w:rPr>
          <w:noProof/>
          <w:lang w:val="en-GB" w:eastAsia="en-GB"/>
        </w:rPr>
        <w:drawing>
          <wp:inline distT="0" distB="0" distL="0" distR="0" wp14:anchorId="55E9FBFE" wp14:editId="49DA92BE">
            <wp:extent cx="5361543" cy="2006221"/>
            <wp:effectExtent l="0" t="0" r="0" b="0"/>
            <wp:docPr id="23" name="Picture 23" descr="Part 1 of the study consisted of two stages: a PK stage and a dose finding stage. In the PK stage subjects were randomised in a 1:1:1 ratio to three doses: 5.4 mg/kg, 6.4 mg/kg, and 7.4 mg/kg, designed to provide clinical data to bridge between two dosing formulations, FL-DP2 and Lyo-DP. The dose selection for each stage of the study was based on clinical data from the first in human Study DS8201-A-J101 and on the prespecified interim exposure response analysis during the conduct of Study DS8201-A-U201 itself. After review of the PK findings, subjects were randomised in a 1:1 ratio to 1 of 2 dose levels that were selected for further evaluation in the dose-finding stage: 6.4 mg/kg and 5.4 mg/kg.&#10;Study treatments were given via intravenous infusion once every 3 weeks, over 90 minutes for the first dose and 30 minutes for subsequent doses provided there was no infusion related reaction after the first dose.&#10;Part 2 of the study was not randomised, and all subjects received trastuzumab deruxtecan at the recommended 5.4 mg/kg dose. Part 2 was subdivided into two cohorts: Part 2a, the main study part, and Part 2b, which was designed to explore the efficacy of trastuzumab deruxtecan in subjects who discontinued trastuzumab emtansine for reasons other than progressive disease. The duration of enrolment in Part 2b was determined by the enrolment in Part 2a, with completion of enrolment in Part 2b when the target number of approximately 100 subjects was reached in Part 2a. Study treatment continued until disease progression, death, withdrawal of consent, or unacceptable toxicity.&#10;" title="Study DS8201-A-U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nhertu.png"/>
                    <pic:cNvPicPr/>
                  </pic:nvPicPr>
                  <pic:blipFill rotWithShape="1">
                    <a:blip r:embed="rId19">
                      <a:extLst>
                        <a:ext uri="{28A0092B-C50C-407E-A947-70E740481C1C}">
                          <a14:useLocalDpi xmlns:a14="http://schemas.microsoft.com/office/drawing/2010/main" val="0"/>
                        </a:ext>
                      </a:extLst>
                    </a:blip>
                    <a:srcRect l="6572" r="4947" b="9206"/>
                    <a:stretch/>
                  </pic:blipFill>
                  <pic:spPr bwMode="auto">
                    <a:xfrm>
                      <a:off x="0" y="0"/>
                      <a:ext cx="5373464" cy="2010682"/>
                    </a:xfrm>
                    <a:prstGeom prst="rect">
                      <a:avLst/>
                    </a:prstGeom>
                    <a:ln>
                      <a:noFill/>
                    </a:ln>
                    <a:extLst>
                      <a:ext uri="{53640926-AAD7-44D8-BBD7-CCE9431645EC}">
                        <a14:shadowObscured xmlns:a14="http://schemas.microsoft.com/office/drawing/2010/main"/>
                      </a:ext>
                    </a:extLst>
                  </pic:spPr>
                </pic:pic>
              </a:graphicData>
            </a:graphic>
          </wp:inline>
        </w:drawing>
      </w:r>
    </w:p>
    <w:p w14:paraId="27C719DA" w14:textId="29CC8C64" w:rsidR="00653649" w:rsidRPr="001D0416" w:rsidRDefault="00653649" w:rsidP="00021980">
      <w:pPr>
        <w:pStyle w:val="FigureDescription"/>
      </w:pPr>
      <w:r>
        <w:t xml:space="preserve">Abbreviations: </w:t>
      </w:r>
      <w:r w:rsidR="00C80BE5">
        <w:t xml:space="preserve">HER2 = </w:t>
      </w:r>
      <w:r w:rsidR="00C80BE5" w:rsidRPr="00C80BE5">
        <w:t>Human epidermal growth factor receptor 2</w:t>
      </w:r>
      <w:r w:rsidR="00C80BE5">
        <w:t>; PK = pharmacokinetic(s); T</w:t>
      </w:r>
      <w:r w:rsidR="00C80BE5">
        <w:noBreakHyphen/>
        <w:t>DM1 = </w:t>
      </w:r>
      <w:r w:rsidR="004B453F">
        <w:t>Trastuzumab</w:t>
      </w:r>
      <w:r w:rsidR="00C80BE5" w:rsidRPr="00C80BE5">
        <w:t xml:space="preserve"> emtansine</w:t>
      </w:r>
    </w:p>
    <w:p w14:paraId="276F8F2F" w14:textId="766B2E81" w:rsidR="008A6998" w:rsidRPr="006A00DA" w:rsidRDefault="008A6998">
      <w:pPr>
        <w:pStyle w:val="FigureDescription"/>
      </w:pPr>
      <w:r w:rsidRPr="006A00DA">
        <w:t>Note: for Part2b, ‘XX’ indicated the number of subjects was open-ended with no fixed enrolment target.</w:t>
      </w:r>
    </w:p>
    <w:p w14:paraId="7B7A809F" w14:textId="04F5485A" w:rsidR="008A6998" w:rsidRPr="006A00DA" w:rsidRDefault="008A6998" w:rsidP="00D05EC9">
      <w:r w:rsidRPr="006A00DA">
        <w:t xml:space="preserve">Part 1 of the study consisted of </w:t>
      </w:r>
      <w:r w:rsidR="00E12984" w:rsidRPr="006A00DA">
        <w:t>two</w:t>
      </w:r>
      <w:r w:rsidRPr="006A00DA">
        <w:t xml:space="preserve"> stages: a PK stage and a dose finding stage. In the PK</w:t>
      </w:r>
      <w:r w:rsidR="00C80BE5">
        <w:t> </w:t>
      </w:r>
      <w:r w:rsidRPr="006A00DA">
        <w:t xml:space="preserve">stage subjects were randomised in a 1:1:1 ratio to </w:t>
      </w:r>
      <w:r w:rsidR="00E12984" w:rsidRPr="006A00DA">
        <w:t>three</w:t>
      </w:r>
      <w:r w:rsidRPr="006A00DA">
        <w:t xml:space="preserve"> doses: 5.4 mg/kg, 6.4</w:t>
      </w:r>
      <w:r w:rsidR="00E12984" w:rsidRPr="006A00DA">
        <w:t> </w:t>
      </w:r>
      <w:r w:rsidRPr="006A00DA">
        <w:t>mg/kg, and 7.4</w:t>
      </w:r>
      <w:r w:rsidR="00E12984" w:rsidRPr="006A00DA">
        <w:t> </w:t>
      </w:r>
      <w:r w:rsidRPr="006A00DA">
        <w:t xml:space="preserve">mg/kg, designed to provide clinical data to bridge between </w:t>
      </w:r>
      <w:r w:rsidR="00E12984" w:rsidRPr="006A00DA">
        <w:t>two</w:t>
      </w:r>
      <w:r w:rsidRPr="006A00DA">
        <w:t xml:space="preserve"> dosing formulations, FL-DP2 and </w:t>
      </w:r>
      <w:proofErr w:type="spellStart"/>
      <w:r w:rsidRPr="006A00DA">
        <w:t>Lyo</w:t>
      </w:r>
      <w:proofErr w:type="spellEnd"/>
      <w:r w:rsidRPr="006A00DA">
        <w:t xml:space="preserve">-DP. The dose selection for each stage of the study was based on clinical data from the </w:t>
      </w:r>
      <w:r w:rsidR="00E12984" w:rsidRPr="006A00DA">
        <w:t>first in human</w:t>
      </w:r>
      <w:r w:rsidRPr="006A00DA">
        <w:t xml:space="preserve"> </w:t>
      </w:r>
      <w:r w:rsidR="00E12984" w:rsidRPr="006A00DA">
        <w:t>S</w:t>
      </w:r>
      <w:r w:rsidRPr="006A00DA">
        <w:t xml:space="preserve">tudy DS8201-A-J101 and on the prespecified interim </w:t>
      </w:r>
      <w:r w:rsidR="0084379A" w:rsidRPr="006A00DA">
        <w:t>exposure response</w:t>
      </w:r>
      <w:r w:rsidRPr="006A00DA">
        <w:t xml:space="preserve"> analysis during the conduct of Study DS8201-A-U201 itself. After review of the PK findings, subjects were randomised in a 1:1 ratio to 1 of 2 dose levels that were selected for further evaluation in the dose-finding stage: 6.4 mg/kg and 5.4</w:t>
      </w:r>
      <w:r w:rsidR="00E12984" w:rsidRPr="006A00DA">
        <w:t> </w:t>
      </w:r>
      <w:r w:rsidRPr="006A00DA">
        <w:t>mg/kg.</w:t>
      </w:r>
    </w:p>
    <w:p w14:paraId="52BB3AAA" w14:textId="50E564C2" w:rsidR="008A6998" w:rsidRPr="006A00DA" w:rsidRDefault="008A6998" w:rsidP="00E12984">
      <w:r w:rsidRPr="006A00DA">
        <w:t xml:space="preserve">Study treatments were given via </w:t>
      </w:r>
      <w:r w:rsidR="0084379A" w:rsidRPr="006A00DA">
        <w:t>intravenous</w:t>
      </w:r>
      <w:r w:rsidRPr="006A00DA">
        <w:t xml:space="preserve"> infusion</w:t>
      </w:r>
      <w:r w:rsidR="0084379A" w:rsidRPr="006A00DA">
        <w:t xml:space="preserve"> once</w:t>
      </w:r>
      <w:r w:rsidR="00E12984" w:rsidRPr="006A00DA">
        <w:t xml:space="preserve"> every 3 weeks</w:t>
      </w:r>
      <w:r w:rsidRPr="006A00DA">
        <w:t>, over 90</w:t>
      </w:r>
      <w:r w:rsidR="00C80BE5">
        <w:t> </w:t>
      </w:r>
      <w:r w:rsidRPr="006A00DA">
        <w:t>minutes for the first dose and 30 minutes for subsequent doses provided there was no infusion</w:t>
      </w:r>
      <w:r w:rsidR="00E12984" w:rsidRPr="006A00DA">
        <w:t xml:space="preserve"> </w:t>
      </w:r>
      <w:r w:rsidRPr="006A00DA">
        <w:t>related reaction after the first dose.</w:t>
      </w:r>
    </w:p>
    <w:p w14:paraId="73C67F25" w14:textId="532FEF61" w:rsidR="008A6998" w:rsidRPr="006A00DA" w:rsidRDefault="008A6998" w:rsidP="00E12984">
      <w:r w:rsidRPr="006A00DA">
        <w:t xml:space="preserve">Part 2 of the study was not randomised, and all subjects received </w:t>
      </w:r>
      <w:r w:rsidR="004B453F">
        <w:t>Trastuzumab</w:t>
      </w:r>
      <w:r w:rsidRPr="006A00DA">
        <w:t xml:space="preserve"> </w:t>
      </w:r>
      <w:proofErr w:type="spellStart"/>
      <w:r w:rsidRPr="006A00DA">
        <w:t>deruxtecan</w:t>
      </w:r>
      <w:proofErr w:type="spellEnd"/>
      <w:r w:rsidRPr="006A00DA">
        <w:t xml:space="preserve"> at the recommended 5.4 mg/kg dose. Part 2 was subdivided into </w:t>
      </w:r>
      <w:r w:rsidR="00D55813" w:rsidRPr="006A00DA">
        <w:t>two</w:t>
      </w:r>
      <w:r w:rsidRPr="006A00DA">
        <w:t xml:space="preserve"> cohorts: Part 2a, the main study part, and Part 2b, which was designed to explore the efficacy of </w:t>
      </w:r>
      <w:r w:rsidR="004B453F">
        <w:t>Trastuzumab</w:t>
      </w:r>
      <w:r w:rsidRPr="006A00DA">
        <w:t xml:space="preserve"> </w:t>
      </w:r>
      <w:proofErr w:type="spellStart"/>
      <w:r w:rsidRPr="006A00DA">
        <w:t>deruxtecan</w:t>
      </w:r>
      <w:proofErr w:type="spellEnd"/>
      <w:r w:rsidRPr="006A00DA">
        <w:t xml:space="preserve"> in subjects who discontinued </w:t>
      </w:r>
      <w:r w:rsidR="004B453F">
        <w:t>Trastuzumab</w:t>
      </w:r>
      <w:r w:rsidR="00E11402" w:rsidRPr="006A00DA">
        <w:t xml:space="preserve"> emtansine </w:t>
      </w:r>
      <w:r w:rsidRPr="006A00DA">
        <w:t>for reasons other than progressive disease. The duration of enrolment in Part 2b was determined by the enrolment in Part 2a, with completion of enrolment in Part 2b when the target number of approximately 100 subjects was reached in Part 2a. Study treatment continued until disease progression, death, withdrawal of consent, or unacceptable toxicity.</w:t>
      </w:r>
    </w:p>
    <w:p w14:paraId="638E53CB" w14:textId="77777777" w:rsidR="008A6998" w:rsidRPr="006A00DA" w:rsidRDefault="008A6998" w:rsidP="00021980">
      <w:pPr>
        <w:keepNext/>
      </w:pPr>
      <w:r w:rsidRPr="006A00DA">
        <w:lastRenderedPageBreak/>
        <w:t>Key inclusion criteria were:</w:t>
      </w:r>
    </w:p>
    <w:p w14:paraId="6631749A" w14:textId="493D9350" w:rsidR="008A6998" w:rsidRPr="006A00DA" w:rsidRDefault="008A6998" w:rsidP="00D05EC9">
      <w:pPr>
        <w:pStyle w:val="ListBullet"/>
      </w:pPr>
      <w:r w:rsidRPr="006A00DA">
        <w:t>Men or women ≥</w:t>
      </w:r>
      <w:r w:rsidR="00D55813" w:rsidRPr="006A00DA">
        <w:t> </w:t>
      </w:r>
      <w:r w:rsidRPr="006A00DA">
        <w:t>18 years old in the US</w:t>
      </w:r>
      <w:r w:rsidR="0084379A" w:rsidRPr="006A00DA">
        <w:t>A</w:t>
      </w:r>
      <w:r w:rsidRPr="006A00DA">
        <w:t>/Europe or ≥</w:t>
      </w:r>
      <w:r w:rsidR="00D55813" w:rsidRPr="006A00DA">
        <w:t> </w:t>
      </w:r>
      <w:r w:rsidRPr="006A00DA">
        <w:t>20 years old in Japan and South Korea with pathologically documented breast cancer that was unresectable or metastatic and had HER2</w:t>
      </w:r>
      <w:r w:rsidR="00D55813" w:rsidRPr="006A00DA">
        <w:t xml:space="preserve"> </w:t>
      </w:r>
      <w:r w:rsidRPr="006A00DA">
        <w:t>positive expression.</w:t>
      </w:r>
    </w:p>
    <w:p w14:paraId="1925CEF3" w14:textId="5AA0E5B1" w:rsidR="008A6998" w:rsidRPr="006A00DA" w:rsidRDefault="008A6998" w:rsidP="00D55813">
      <w:pPr>
        <w:pStyle w:val="ListBullet"/>
      </w:pPr>
      <w:r w:rsidRPr="006A00DA">
        <w:t xml:space="preserve">Breast cancer resistant or refractory to </w:t>
      </w:r>
      <w:r w:rsidR="004B453F">
        <w:t>Trastuzumab</w:t>
      </w:r>
      <w:r w:rsidR="00E11402" w:rsidRPr="006A00DA">
        <w:t xml:space="preserve"> emtansine</w:t>
      </w:r>
      <w:r w:rsidRPr="006A00DA">
        <w:t xml:space="preserve"> with documentation of progression during or after </w:t>
      </w:r>
      <w:r w:rsidR="004B453F">
        <w:t>Trastuzumab</w:t>
      </w:r>
      <w:r w:rsidR="00E11402" w:rsidRPr="006A00DA">
        <w:t xml:space="preserve"> emtansine</w:t>
      </w:r>
      <w:r w:rsidRPr="006A00DA">
        <w:t xml:space="preserve"> (for Part 2b, subjects were to have discontinued </w:t>
      </w:r>
      <w:r w:rsidR="004B453F">
        <w:t>Trastuzumab</w:t>
      </w:r>
      <w:r w:rsidR="00E11402" w:rsidRPr="006A00DA">
        <w:t xml:space="preserve"> emtansine</w:t>
      </w:r>
      <w:r w:rsidRPr="006A00DA">
        <w:t xml:space="preserve"> for reasons other than progressive disease).</w:t>
      </w:r>
    </w:p>
    <w:p w14:paraId="5A811039" w14:textId="77777777" w:rsidR="008A6998" w:rsidRPr="006A00DA" w:rsidRDefault="008A6998" w:rsidP="00D55813">
      <w:r w:rsidRPr="006A00DA">
        <w:t>During the treatment period, the following medications, treatments, and procedures were prohibited: other anticancer therapies or investigational therapeutic agents; radiotherapy (except for palliative radiation to known metastatic sites); chronic systemic corticosteroids or other immunosuppressive medications; CYP3A4 strong inhibitors; and OATP1B inhibitors.</w:t>
      </w:r>
    </w:p>
    <w:p w14:paraId="6B8D9ADC" w14:textId="0B574BEF" w:rsidR="008A6998" w:rsidRPr="006A00DA" w:rsidRDefault="008A6998" w:rsidP="00D55813">
      <w:r w:rsidRPr="006A00DA">
        <w:t>H</w:t>
      </w:r>
      <w:r w:rsidR="00C80BE5">
        <w:t>a</w:t>
      </w:r>
      <w:r w:rsidRPr="006A00DA">
        <w:t>ematopoietic growth factors could be used for prophylaxis or treatment based on the clinical judgement of the investigator. Prophylactic or supportive treatment of study</w:t>
      </w:r>
      <w:r w:rsidR="0095510B" w:rsidRPr="006A00DA">
        <w:t xml:space="preserve"> </w:t>
      </w:r>
      <w:r w:rsidRPr="006A00DA">
        <w:t xml:space="preserve">drug induced </w:t>
      </w:r>
      <w:r w:rsidR="00C80BE5">
        <w:t>adverse events</w:t>
      </w:r>
      <w:r w:rsidR="00C80BE5" w:rsidRPr="006A00DA">
        <w:t xml:space="preserve"> </w:t>
      </w:r>
      <w:r w:rsidRPr="006A00DA">
        <w:t>were otherwise to be as per investigator’s discretion and institutional guidelines.</w:t>
      </w:r>
    </w:p>
    <w:p w14:paraId="2D0DA67C" w14:textId="3E163CCF" w:rsidR="008A6998" w:rsidRPr="006A00DA" w:rsidRDefault="008A6998" w:rsidP="00D55813">
      <w:r w:rsidRPr="006A00DA">
        <w:t xml:space="preserve">The primary efficacy endpoint was the ORR based on confirmed responses by </w:t>
      </w:r>
      <w:r w:rsidR="00D55813" w:rsidRPr="006A00DA">
        <w:t>i</w:t>
      </w:r>
      <w:r w:rsidRPr="006A00DA">
        <w:t xml:space="preserve">ndependent central review (ICR). </w:t>
      </w:r>
      <w:r w:rsidR="00C80BE5">
        <w:t>Objective response rate (</w:t>
      </w:r>
      <w:r w:rsidRPr="006A00DA">
        <w:t>ORR</w:t>
      </w:r>
      <w:r w:rsidR="00C80BE5">
        <w:t>)</w:t>
      </w:r>
      <w:r w:rsidRPr="006A00DA">
        <w:t xml:space="preserve"> was defined as the proportion of subjects who achieved a best overall response (BOR) of complete response (CR) or partial response (PR), with confirmation of response, based on RECIST 1.1.</w:t>
      </w:r>
      <w:bookmarkStart w:id="54" w:name="_Ref103260066"/>
      <w:r w:rsidR="00974E13" w:rsidRPr="001D0416">
        <w:rPr>
          <w:rStyle w:val="FootnoteReference"/>
        </w:rPr>
        <w:footnoteReference w:id="37"/>
      </w:r>
      <w:bookmarkEnd w:id="54"/>
      <w:r w:rsidRPr="001D0416">
        <w:t xml:space="preserve"> Tumour assessments were performed at screening and every 6 weeks thereafter.</w:t>
      </w:r>
    </w:p>
    <w:p w14:paraId="6A89E0C9" w14:textId="1B9E34C2" w:rsidR="008A6998" w:rsidRPr="006A00DA" w:rsidRDefault="008A6998" w:rsidP="00D55813">
      <w:r w:rsidRPr="006A00DA">
        <w:t>Assessments were conducted using computed tomography (CT) or magnetic resonance imaging (MRI) (spiral CT or MRI with ≤</w:t>
      </w:r>
      <w:r w:rsidR="00D55813" w:rsidRPr="006A00DA">
        <w:t> </w:t>
      </w:r>
      <w:r w:rsidRPr="006A00DA">
        <w:t xml:space="preserve">5 mm cuts). Imaging was assessed by the investigators and sent out for ICR assessment. Two trained radiologists read each study subject's images independently, according to the ICR </w:t>
      </w:r>
      <w:r w:rsidR="00974E13" w:rsidRPr="006A00DA">
        <w:t>c</w:t>
      </w:r>
      <w:r w:rsidRPr="006A00DA">
        <w:t>harter. In case of discordance, adjudication was performed by a third radiologist. The adjudication variables were best confirmed response and date of progression.</w:t>
      </w:r>
    </w:p>
    <w:p w14:paraId="46816A18" w14:textId="1F5AA4EF" w:rsidR="008A6998" w:rsidRPr="006A00DA" w:rsidRDefault="008A6998" w:rsidP="00D55813">
      <w:r w:rsidRPr="006A00DA">
        <w:t>Secondary efficacy endpoints included:</w:t>
      </w:r>
    </w:p>
    <w:p w14:paraId="6DCFE3D9" w14:textId="77D2A241" w:rsidR="008A6998" w:rsidRPr="006A00DA" w:rsidRDefault="00974E13" w:rsidP="00D55813">
      <w:pPr>
        <w:pStyle w:val="ListBullet"/>
      </w:pPr>
      <w:r w:rsidRPr="006A00DA">
        <w:t>I</w:t>
      </w:r>
      <w:r w:rsidR="008A6998" w:rsidRPr="006A00DA">
        <w:t>nvestigator</w:t>
      </w:r>
      <w:r w:rsidRPr="006A00DA">
        <w:t xml:space="preserve"> </w:t>
      </w:r>
      <w:r w:rsidR="008A6998" w:rsidRPr="006A00DA">
        <w:t xml:space="preserve">assessed </w:t>
      </w:r>
      <w:r w:rsidR="00C80BE5">
        <w:t>objective response rate (</w:t>
      </w:r>
      <w:r w:rsidR="008A6998" w:rsidRPr="006A00DA">
        <w:t>ORR</w:t>
      </w:r>
      <w:proofErr w:type="gramStart"/>
      <w:r w:rsidR="00C80BE5">
        <w:t>)</w:t>
      </w:r>
      <w:r w:rsidR="008A6998" w:rsidRPr="006A00DA">
        <w:t>;</w:t>
      </w:r>
      <w:proofErr w:type="gramEnd"/>
    </w:p>
    <w:p w14:paraId="5B64E076" w14:textId="436693D3" w:rsidR="008A6998" w:rsidRPr="006A00DA" w:rsidRDefault="008A6998" w:rsidP="00D55813">
      <w:pPr>
        <w:pStyle w:val="ListBullet"/>
      </w:pPr>
      <w:r w:rsidRPr="006A00DA">
        <w:t xml:space="preserve">disease control rate, defined as the proportion of subjects who achieved a </w:t>
      </w:r>
      <w:r w:rsidR="00C80BE5">
        <w:t>best overall response (</w:t>
      </w:r>
      <w:r w:rsidRPr="006A00DA">
        <w:t>BOR</w:t>
      </w:r>
      <w:r w:rsidR="00C80BE5">
        <w:t>)</w:t>
      </w:r>
      <w:r w:rsidRPr="006A00DA">
        <w:t xml:space="preserve"> of </w:t>
      </w:r>
      <w:r w:rsidR="00C80BE5">
        <w:t>complete response (</w:t>
      </w:r>
      <w:r w:rsidRPr="006A00DA">
        <w:t>CR</w:t>
      </w:r>
      <w:r w:rsidR="00C80BE5">
        <w:t>)</w:t>
      </w:r>
      <w:r w:rsidRPr="006A00DA">
        <w:t xml:space="preserve">, </w:t>
      </w:r>
      <w:r w:rsidR="00C80BE5">
        <w:t>partial response (</w:t>
      </w:r>
      <w:r w:rsidRPr="006A00DA">
        <w:t>PR</w:t>
      </w:r>
      <w:r w:rsidR="00C80BE5">
        <w:t>)</w:t>
      </w:r>
      <w:r w:rsidRPr="006A00DA">
        <w:t xml:space="preserve"> or </w:t>
      </w:r>
      <w:r w:rsidR="00D55813" w:rsidRPr="006A00DA">
        <w:t xml:space="preserve">stable </w:t>
      </w:r>
      <w:proofErr w:type="gramStart"/>
      <w:r w:rsidR="00D55813" w:rsidRPr="006A00DA">
        <w:t>disease</w:t>
      </w:r>
      <w:r w:rsidRPr="006A00DA">
        <w:t>;</w:t>
      </w:r>
      <w:proofErr w:type="gramEnd"/>
    </w:p>
    <w:p w14:paraId="4803E69C" w14:textId="70073971" w:rsidR="008A6998" w:rsidRPr="006A00DA" w:rsidRDefault="008A6998" w:rsidP="00D55813">
      <w:pPr>
        <w:pStyle w:val="ListBullet"/>
      </w:pPr>
      <w:r w:rsidRPr="006A00DA">
        <w:t xml:space="preserve">clinical benefit rate (CBR), defined as defined as CR </w:t>
      </w:r>
      <w:r w:rsidR="00D55813" w:rsidRPr="006A00DA">
        <w:t>plus</w:t>
      </w:r>
      <w:r w:rsidRPr="006A00DA">
        <w:t xml:space="preserve"> PR </w:t>
      </w:r>
      <w:r w:rsidR="00D55813" w:rsidRPr="006A00DA">
        <w:t>plus</w:t>
      </w:r>
      <w:r w:rsidRPr="006A00DA">
        <w:t xml:space="preserve"> at least </w:t>
      </w:r>
      <w:proofErr w:type="gramStart"/>
      <w:r w:rsidRPr="006A00DA">
        <w:t>6 month</w:t>
      </w:r>
      <w:proofErr w:type="gramEnd"/>
      <w:r w:rsidRPr="006A00DA">
        <w:t xml:space="preserve"> </w:t>
      </w:r>
      <w:r w:rsidR="00974E13" w:rsidRPr="006A00DA">
        <w:t>stable disease</w:t>
      </w:r>
      <w:r w:rsidRPr="006A00DA">
        <w:t>;</w:t>
      </w:r>
    </w:p>
    <w:p w14:paraId="58B2BD0C" w14:textId="4C8F1803" w:rsidR="008A6998" w:rsidRPr="006A00DA" w:rsidRDefault="00C80BE5" w:rsidP="00D55813">
      <w:pPr>
        <w:pStyle w:val="ListBullet"/>
      </w:pPr>
      <w:r>
        <w:t>duration of response (</w:t>
      </w:r>
      <w:r w:rsidR="008A6998" w:rsidRPr="006A00DA">
        <w:t>DOR</w:t>
      </w:r>
      <w:r>
        <w:t>)</w:t>
      </w:r>
      <w:r w:rsidR="008A6998" w:rsidRPr="006A00DA">
        <w:t xml:space="preserve">, defined as the time interval between the date of first documentation of objective response (CR or PR) and the date of the first objective documentation of disease progression or death due to any </w:t>
      </w:r>
      <w:proofErr w:type="gramStart"/>
      <w:r w:rsidR="008A6998" w:rsidRPr="006A00DA">
        <w:t>cause;</w:t>
      </w:r>
      <w:proofErr w:type="gramEnd"/>
    </w:p>
    <w:p w14:paraId="5C0B4F0C" w14:textId="14CF837F" w:rsidR="008A6998" w:rsidRPr="006A00DA" w:rsidRDefault="00C80BE5" w:rsidP="00D55813">
      <w:pPr>
        <w:pStyle w:val="ListBullet"/>
      </w:pPr>
      <w:proofErr w:type="spellStart"/>
      <w:r>
        <w:t>progressional</w:t>
      </w:r>
      <w:proofErr w:type="spellEnd"/>
      <w:r>
        <w:t>-free survival (</w:t>
      </w:r>
      <w:r w:rsidR="008A6998" w:rsidRPr="006A00DA">
        <w:t>PFS</w:t>
      </w:r>
      <w:r>
        <w:t>)</w:t>
      </w:r>
      <w:r w:rsidR="008A6998" w:rsidRPr="006A00DA">
        <w:t>, defined as the time interval between the date of randomisation/registration and the first documentation of disease progression or death due to any cause; and</w:t>
      </w:r>
    </w:p>
    <w:p w14:paraId="2DAE8F23" w14:textId="362ED4F2" w:rsidR="008A6998" w:rsidRPr="006A00DA" w:rsidRDefault="008A6998" w:rsidP="008A6998">
      <w:pPr>
        <w:pStyle w:val="ListBullet"/>
      </w:pPr>
      <w:r w:rsidRPr="006A00DA">
        <w:lastRenderedPageBreak/>
        <w:t xml:space="preserve">best percentage change in sum of diameters of tumour lesions, all based on ICR; and </w:t>
      </w:r>
      <w:r w:rsidR="00C80BE5">
        <w:t>overall survival (</w:t>
      </w:r>
      <w:r w:rsidRPr="006A00DA">
        <w:t>OS</w:t>
      </w:r>
      <w:r w:rsidR="00C80BE5">
        <w:t>)</w:t>
      </w:r>
      <w:r w:rsidRPr="006A00DA">
        <w:t xml:space="preserve">. Exploratory efficacy endpoints included time to response (for responders only) and duration of </w:t>
      </w:r>
      <w:r w:rsidR="00974E13" w:rsidRPr="006A00DA">
        <w:t>stable disease</w:t>
      </w:r>
      <w:r w:rsidRPr="006A00DA">
        <w:t>.</w:t>
      </w:r>
    </w:p>
    <w:p w14:paraId="1CB5FF31" w14:textId="7AA742D3" w:rsidR="008A6998" w:rsidRPr="006A00DA" w:rsidRDefault="008A6998" w:rsidP="00A85B95">
      <w:r w:rsidRPr="006A00DA">
        <w:t xml:space="preserve">Tumour assessments were performed at screening and every 6 weeks thereafter. Assessments were conducted using </w:t>
      </w:r>
      <w:r w:rsidR="00974E13" w:rsidRPr="006A00DA">
        <w:t>C</w:t>
      </w:r>
      <w:r w:rsidRPr="006A00DA">
        <w:t xml:space="preserve">T or </w:t>
      </w:r>
      <w:r w:rsidR="00974E13" w:rsidRPr="006A00DA">
        <w:t>MRI</w:t>
      </w:r>
      <w:r w:rsidRPr="006A00DA">
        <w:t xml:space="preserve"> (spiral CT or MRI with ≤</w:t>
      </w:r>
      <w:r w:rsidR="00A85B95" w:rsidRPr="006A00DA">
        <w:t> </w:t>
      </w:r>
      <w:r w:rsidRPr="006A00DA">
        <w:t xml:space="preserve">5 mm cuts). Imaging was assessed by the investigators and sent out for </w:t>
      </w:r>
      <w:r w:rsidR="00974E13" w:rsidRPr="006A00DA">
        <w:t>ICR</w:t>
      </w:r>
      <w:r w:rsidRPr="006A00DA">
        <w:t xml:space="preserve"> assessment. The primary efficacy analyses were based on ICR review of tumour scans of the </w:t>
      </w:r>
      <w:r w:rsidR="00A85B95" w:rsidRPr="006A00DA">
        <w:t>intent to treat</w:t>
      </w:r>
      <w:r w:rsidRPr="006A00DA">
        <w:t xml:space="preserve"> population.</w:t>
      </w:r>
      <w:r w:rsidR="00A85B95" w:rsidRPr="006A00DA">
        <w:t xml:space="preserve"> </w:t>
      </w:r>
      <w:r w:rsidRPr="006A00DA">
        <w:t>The ORR was summarised through descriptive statistics (</w:t>
      </w:r>
      <w:r w:rsidR="00974E13" w:rsidRPr="006A00DA">
        <w:t>n</w:t>
      </w:r>
      <w:r w:rsidRPr="006A00DA">
        <w:t>, %) and using exact binomial confidence intervals (Clopper-Pearson method). The efficacy evaluation was based on the magnitude of response rate and adequate duration of response. No statistical inference for the time to event endpoints of progression free survival and time to response can be made from a single-arm study and results presented are considered descriptive only. Subgroup analysis were performed to evaluate whether the treatment effect was consistent across subgroups and are considered as exploratory.</w:t>
      </w:r>
    </w:p>
    <w:p w14:paraId="0D0BCD9A" w14:textId="2F08C10E" w:rsidR="008A6998" w:rsidRPr="006A00DA" w:rsidRDefault="008A6998" w:rsidP="00A85B95">
      <w:r w:rsidRPr="006A00DA">
        <w:t>A total of 253 subjects across all doses were enrolled and treated in Study</w:t>
      </w:r>
      <w:r w:rsidR="00C80BE5">
        <w:t> </w:t>
      </w:r>
      <w:r w:rsidRPr="006A00DA">
        <w:t>DS8201</w:t>
      </w:r>
      <w:r w:rsidR="00A85B95" w:rsidRPr="006A00DA">
        <w:noBreakHyphen/>
      </w:r>
      <w:r w:rsidRPr="006A00DA">
        <w:t>A</w:t>
      </w:r>
      <w:r w:rsidR="00A85B95" w:rsidRPr="006A00DA">
        <w:noBreakHyphen/>
      </w:r>
      <w:r w:rsidRPr="006A00DA">
        <w:t>U201. Of these, 184 received the proposed dose of 5.4 mg/kg. Demographic characteristics for the total population and the population given 5.4 mg/kg are shown below.</w:t>
      </w:r>
    </w:p>
    <w:p w14:paraId="6D1121AB" w14:textId="540ECBB2" w:rsidR="008A6998" w:rsidRPr="006A00DA" w:rsidRDefault="00890402" w:rsidP="00D05EC9">
      <w:pPr>
        <w:pStyle w:val="TableTitle"/>
      </w:pPr>
      <w:r w:rsidRPr="006A00DA">
        <w:t xml:space="preserve">Table </w:t>
      </w:r>
      <w:r w:rsidR="007E037A" w:rsidRPr="001D0416">
        <w:fldChar w:fldCharType="begin"/>
      </w:r>
      <w:r w:rsidR="007E037A" w:rsidRPr="006A00DA">
        <w:instrText xml:space="preserve"> SEQ Table \* ARABIC </w:instrText>
      </w:r>
      <w:r w:rsidR="007E037A" w:rsidRPr="001D0416">
        <w:fldChar w:fldCharType="separate"/>
      </w:r>
      <w:r w:rsidR="006922A4" w:rsidRPr="001D0416">
        <w:rPr>
          <w:noProof/>
        </w:rPr>
        <w:t>2</w:t>
      </w:r>
      <w:r w:rsidR="007E037A" w:rsidRPr="001D0416">
        <w:rPr>
          <w:noProof/>
        </w:rPr>
        <w:fldChar w:fldCharType="end"/>
      </w:r>
      <w:r w:rsidRPr="001D0416">
        <w:t>: Study DS8201-A-U201</w:t>
      </w:r>
      <w:r w:rsidRPr="006A00DA">
        <w:t xml:space="preserve"> Demographic characteristic (enrolled analysis set)</w:t>
      </w:r>
    </w:p>
    <w:p w14:paraId="097FDBD1" w14:textId="57A5353D" w:rsidR="00890402" w:rsidRPr="001D0416" w:rsidRDefault="00890402" w:rsidP="00890402">
      <w:r w:rsidRPr="001D0416">
        <w:rPr>
          <w:noProof/>
          <w:lang w:val="en-GB" w:eastAsia="en-GB"/>
        </w:rPr>
        <w:drawing>
          <wp:inline distT="0" distB="0" distL="0" distR="0" wp14:anchorId="681C7429" wp14:editId="4DD77A9B">
            <wp:extent cx="5296673" cy="3340100"/>
            <wp:effectExtent l="0" t="0" r="0" b="0"/>
            <wp:docPr id="3" name="Picture 3" descr="Study DS8201-A-U201 Demographic characteristic (enrolled analysis set)"/>
            <wp:cNvGraphicFramePr/>
            <a:graphic xmlns:a="http://schemas.openxmlformats.org/drawingml/2006/main">
              <a:graphicData uri="http://schemas.openxmlformats.org/drawingml/2006/picture">
                <pic:pic xmlns:pic="http://schemas.openxmlformats.org/drawingml/2006/picture">
                  <pic:nvPicPr>
                    <pic:cNvPr id="3" name="Picture 3" descr="Study DS8201-A-U201 Demographic characteristic (enrolled analysis set)"/>
                    <pic:cNvPicPr/>
                  </pic:nvPicPr>
                  <pic:blipFill rotWithShape="1">
                    <a:blip r:embed="rId20">
                      <a:extLst>
                        <a:ext uri="{28A0092B-C50C-407E-A947-70E740481C1C}">
                          <a14:useLocalDpi xmlns:a14="http://schemas.microsoft.com/office/drawing/2010/main" val="0"/>
                        </a:ext>
                      </a:extLst>
                    </a:blip>
                    <a:srcRect l="1915"/>
                    <a:stretch/>
                  </pic:blipFill>
                  <pic:spPr bwMode="auto">
                    <a:xfrm>
                      <a:off x="0" y="0"/>
                      <a:ext cx="5296673" cy="3340100"/>
                    </a:xfrm>
                    <a:prstGeom prst="rect">
                      <a:avLst/>
                    </a:prstGeom>
                    <a:noFill/>
                    <a:ln>
                      <a:noFill/>
                    </a:ln>
                    <a:extLst>
                      <a:ext uri="{53640926-AAD7-44D8-BBD7-CCE9431645EC}">
                        <a14:shadowObscured xmlns:a14="http://schemas.microsoft.com/office/drawing/2010/main"/>
                      </a:ext>
                    </a:extLst>
                  </pic:spPr>
                </pic:pic>
              </a:graphicData>
            </a:graphic>
          </wp:inline>
        </w:drawing>
      </w:r>
    </w:p>
    <w:p w14:paraId="08A579D8" w14:textId="14CDB301" w:rsidR="00890402" w:rsidRPr="006A00DA" w:rsidRDefault="00890402" w:rsidP="00890402">
      <w:r w:rsidRPr="001D0416">
        <w:t xml:space="preserve">Nearly all patients were </w:t>
      </w:r>
      <w:r w:rsidR="00974E13" w:rsidRPr="001D0416">
        <w:t>E</w:t>
      </w:r>
      <w:r w:rsidRPr="001D0416">
        <w:t>astern Cooperative Oncology Group (ECOG) p</w:t>
      </w:r>
      <w:r w:rsidRPr="006A00DA">
        <w:t xml:space="preserve">erformance status </w:t>
      </w:r>
      <w:r w:rsidR="00C80BE5">
        <w:t>(</w:t>
      </w:r>
      <w:r w:rsidRPr="006A00DA">
        <w:t>ECOG PS</w:t>
      </w:r>
      <w:r w:rsidR="00C80BE5">
        <w:t>) of</w:t>
      </w:r>
      <w:r w:rsidRPr="006A00DA">
        <w:t xml:space="preserve"> 0 or 1,</w:t>
      </w:r>
      <w:r w:rsidR="007013D7">
        <w:rPr>
          <w:rStyle w:val="FootnoteReference"/>
        </w:rPr>
        <w:footnoteReference w:id="38"/>
      </w:r>
      <w:r w:rsidRPr="006A00DA">
        <w:t xml:space="preserve"> 127 (50.2%) were hormone receptor positive and 237 (93.7%) had metastases. All patients had received prior </w:t>
      </w:r>
      <w:r w:rsidR="004B453F">
        <w:t>Trastuzumab</w:t>
      </w:r>
      <w:r w:rsidRPr="006A00DA">
        <w:t xml:space="preserve">, </w:t>
      </w:r>
      <w:r w:rsidR="004B453F">
        <w:t>Trastuzumab</w:t>
      </w:r>
      <w:r w:rsidR="00E11402" w:rsidRPr="006A00DA">
        <w:t xml:space="preserve"> emtansine</w:t>
      </w:r>
      <w:r w:rsidRPr="006A00DA">
        <w:t xml:space="preserve"> and </w:t>
      </w:r>
      <w:proofErr w:type="spellStart"/>
      <w:r w:rsidRPr="006A00DA">
        <w:t>pertuzumab</w:t>
      </w:r>
      <w:proofErr w:type="spellEnd"/>
      <w:r w:rsidRPr="006A00DA">
        <w:t xml:space="preserve">. 152 (60.1%) had received &gt; 5 prior regimens of cancer systemic therapy. For the 184 patients enrolled at the 5.4 mg/kg dose, the median lines of prior systemic therapy </w:t>
      </w:r>
      <w:proofErr w:type="gramStart"/>
      <w:r w:rsidRPr="006A00DA">
        <w:t>was</w:t>
      </w:r>
      <w:proofErr w:type="gramEnd"/>
      <w:r w:rsidRPr="006A00DA">
        <w:t xml:space="preserve"> 5 (range 2 to 17); ECOG PS was 0 (55.4%) or 1 (44%); hormone receptor status (positive: 52.7%); presence of visceral disease (91.8%); median number of prior therapies in the metastatic setting: 5 (range: 2 to 17); and prior </w:t>
      </w:r>
      <w:proofErr w:type="spellStart"/>
      <w:r w:rsidRPr="006A00DA">
        <w:t>pertuzumab</w:t>
      </w:r>
      <w:proofErr w:type="spellEnd"/>
      <w:r w:rsidRPr="006A00DA">
        <w:t xml:space="preserve"> therapy </w:t>
      </w:r>
      <w:r w:rsidRPr="006A00DA">
        <w:lastRenderedPageBreak/>
        <w:t xml:space="preserve">(65.8%). The sum of diameters of target lesions was &lt; 5 cm for 42.4% and ≥ 5 cm for 50%. Prior cancer therapy (enrolled analysis set) </w:t>
      </w:r>
      <w:proofErr w:type="gramStart"/>
      <w:r w:rsidRPr="006A00DA">
        <w:t>are</w:t>
      </w:r>
      <w:proofErr w:type="gramEnd"/>
      <w:r w:rsidRPr="006A00DA">
        <w:t xml:space="preserve"> shown below.</w:t>
      </w:r>
    </w:p>
    <w:p w14:paraId="77F8576C" w14:textId="56BF93D4" w:rsidR="00890402" w:rsidRPr="006A00DA" w:rsidRDefault="00890402" w:rsidP="00D05EC9">
      <w:pPr>
        <w:pStyle w:val="TableTitle"/>
      </w:pPr>
      <w:r w:rsidRPr="006A00DA">
        <w:t xml:space="preserve">Table </w:t>
      </w:r>
      <w:r w:rsidR="007E037A" w:rsidRPr="001D0416">
        <w:fldChar w:fldCharType="begin"/>
      </w:r>
      <w:r w:rsidR="007E037A" w:rsidRPr="006A00DA">
        <w:instrText xml:space="preserve"> SEQ Table \* ARABIC </w:instrText>
      </w:r>
      <w:r w:rsidR="007E037A" w:rsidRPr="001D0416">
        <w:fldChar w:fldCharType="separate"/>
      </w:r>
      <w:r w:rsidR="006922A4" w:rsidRPr="001D0416">
        <w:rPr>
          <w:noProof/>
        </w:rPr>
        <w:t>3</w:t>
      </w:r>
      <w:r w:rsidR="007E037A" w:rsidRPr="001D0416">
        <w:rPr>
          <w:noProof/>
        </w:rPr>
        <w:fldChar w:fldCharType="end"/>
      </w:r>
      <w:r w:rsidRPr="001D0416">
        <w:t xml:space="preserve">: Study DS8201-A-U201 </w:t>
      </w:r>
      <w:r w:rsidRPr="006A00DA">
        <w:t>Prior cancer therapy (enrolled analysis set)</w:t>
      </w:r>
    </w:p>
    <w:p w14:paraId="2B92C756" w14:textId="72CB88A6" w:rsidR="00890402" w:rsidRPr="001D0416" w:rsidRDefault="00890402" w:rsidP="00890402">
      <w:r w:rsidRPr="001D0416">
        <w:rPr>
          <w:noProof/>
          <w:lang w:val="en-GB" w:eastAsia="en-GB"/>
        </w:rPr>
        <w:drawing>
          <wp:inline distT="0" distB="0" distL="0" distR="0" wp14:anchorId="05DDDDDA" wp14:editId="77F63339">
            <wp:extent cx="5128592" cy="6320790"/>
            <wp:effectExtent l="0" t="0" r="0" b="3810"/>
            <wp:docPr id="5" name="Picture 5" descr="Study DS8201-A-U201 Prior cancer therapy (enrolled analysis set)"/>
            <wp:cNvGraphicFramePr/>
            <a:graphic xmlns:a="http://schemas.openxmlformats.org/drawingml/2006/main">
              <a:graphicData uri="http://schemas.openxmlformats.org/drawingml/2006/picture">
                <pic:pic xmlns:pic="http://schemas.openxmlformats.org/drawingml/2006/picture">
                  <pic:nvPicPr>
                    <pic:cNvPr id="5" name="Picture 5" descr="Study DS8201-A-U201 Prior cancer therapy (enrolled analysis set)"/>
                    <pic:cNvPicPr/>
                  </pic:nvPicPr>
                  <pic:blipFill rotWithShape="1">
                    <a:blip r:embed="rId21">
                      <a:extLst>
                        <a:ext uri="{28A0092B-C50C-407E-A947-70E740481C1C}">
                          <a14:useLocalDpi xmlns:a14="http://schemas.microsoft.com/office/drawing/2010/main" val="0"/>
                        </a:ext>
                      </a:extLst>
                    </a:blip>
                    <a:srcRect l="3092" r="1918" b="1749"/>
                    <a:stretch/>
                  </pic:blipFill>
                  <pic:spPr bwMode="auto">
                    <a:xfrm>
                      <a:off x="0" y="0"/>
                      <a:ext cx="5128995" cy="6321287"/>
                    </a:xfrm>
                    <a:prstGeom prst="rect">
                      <a:avLst/>
                    </a:prstGeom>
                    <a:noFill/>
                    <a:ln>
                      <a:noFill/>
                    </a:ln>
                    <a:extLst>
                      <a:ext uri="{53640926-AAD7-44D8-BBD7-CCE9431645EC}">
                        <a14:shadowObscured xmlns:a14="http://schemas.microsoft.com/office/drawing/2010/main"/>
                      </a:ext>
                    </a:extLst>
                  </pic:spPr>
                </pic:pic>
              </a:graphicData>
            </a:graphic>
          </wp:inline>
        </w:drawing>
      </w:r>
    </w:p>
    <w:p w14:paraId="35AFF7A8" w14:textId="3B1815A8" w:rsidR="00890402" w:rsidRPr="001D0416" w:rsidRDefault="00890402" w:rsidP="00890402">
      <w:r w:rsidRPr="001D0416">
        <w:rPr>
          <w:noProof/>
          <w:lang w:val="en-GB" w:eastAsia="en-GB"/>
        </w:rPr>
        <w:drawing>
          <wp:inline distT="0" distB="0" distL="0" distR="0" wp14:anchorId="49709377" wp14:editId="13387369">
            <wp:extent cx="5128260" cy="572493"/>
            <wp:effectExtent l="0" t="0" r="0" b="0"/>
            <wp:docPr id="8" name="Picture 8" descr="Study DS8201-A-U201 Prior cancer therapy (enrolled analysis set). Mean, median, and range of data set."/>
            <wp:cNvGraphicFramePr/>
            <a:graphic xmlns:a="http://schemas.openxmlformats.org/drawingml/2006/main">
              <a:graphicData uri="http://schemas.openxmlformats.org/drawingml/2006/picture">
                <pic:pic xmlns:pic="http://schemas.openxmlformats.org/drawingml/2006/picture">
                  <pic:nvPicPr>
                    <pic:cNvPr id="8" name="Picture 8" descr="Study DS8201-A-U201 Prior cancer therapy (enrolled analysis set). Mean, median, and range of data set."/>
                    <pic:cNvPicPr/>
                  </pic:nvPicPr>
                  <pic:blipFill rotWithShape="1">
                    <a:blip r:embed="rId22">
                      <a:extLst>
                        <a:ext uri="{28A0092B-C50C-407E-A947-70E740481C1C}">
                          <a14:useLocalDpi xmlns:a14="http://schemas.microsoft.com/office/drawing/2010/main" val="0"/>
                        </a:ext>
                      </a:extLst>
                    </a:blip>
                    <a:srcRect l="1031" t="19869" r="1553" b="64314"/>
                    <a:stretch/>
                  </pic:blipFill>
                  <pic:spPr bwMode="auto">
                    <a:xfrm>
                      <a:off x="0" y="0"/>
                      <a:ext cx="5188494" cy="579217"/>
                    </a:xfrm>
                    <a:prstGeom prst="rect">
                      <a:avLst/>
                    </a:prstGeom>
                    <a:noFill/>
                    <a:ln>
                      <a:noFill/>
                    </a:ln>
                    <a:extLst>
                      <a:ext uri="{53640926-AAD7-44D8-BBD7-CCE9431645EC}">
                        <a14:shadowObscured xmlns:a14="http://schemas.microsoft.com/office/drawing/2010/main"/>
                      </a:ext>
                    </a:extLst>
                  </pic:spPr>
                </pic:pic>
              </a:graphicData>
            </a:graphic>
          </wp:inline>
        </w:drawing>
      </w:r>
    </w:p>
    <w:p w14:paraId="74BCECD2" w14:textId="60D7ABBE" w:rsidR="00890402" w:rsidRPr="006A00DA" w:rsidRDefault="00890402" w:rsidP="00D05EC9">
      <w:pPr>
        <w:pStyle w:val="TableTitle"/>
        <w:rPr>
          <w:noProof/>
        </w:rPr>
      </w:pPr>
      <w:r w:rsidRPr="001D0416">
        <w:rPr>
          <w:noProof/>
        </w:rPr>
        <w:lastRenderedPageBreak/>
        <w:t>Table 3: Study DS8201-A-U201 Prior cancer therapy (enrolled analysis set), continued’</w:t>
      </w:r>
    </w:p>
    <w:p w14:paraId="5DCFB845" w14:textId="4CE472C3" w:rsidR="00890402" w:rsidRPr="001D0416" w:rsidRDefault="00890402" w:rsidP="00890402">
      <w:r w:rsidRPr="001D0416">
        <w:rPr>
          <w:noProof/>
          <w:lang w:val="en-GB" w:eastAsia="en-GB"/>
        </w:rPr>
        <w:drawing>
          <wp:inline distT="0" distB="0" distL="0" distR="0" wp14:anchorId="230A5AC6" wp14:editId="0DDCB12F">
            <wp:extent cx="5269865" cy="1765189"/>
            <wp:effectExtent l="0" t="0" r="6985" b="6985"/>
            <wp:docPr id="6" name="Picture 6" descr="Study DS8201-A-U201 Prior cancer therapy (enrolled analysis set), continued’"/>
            <wp:cNvGraphicFramePr/>
            <a:graphic xmlns:a="http://schemas.openxmlformats.org/drawingml/2006/main">
              <a:graphicData uri="http://schemas.openxmlformats.org/drawingml/2006/picture">
                <pic:pic xmlns:pic="http://schemas.openxmlformats.org/drawingml/2006/picture">
                  <pic:nvPicPr>
                    <pic:cNvPr id="6" name="Picture 6" descr="Study DS8201-A-U201 Prior cancer therapy (enrolled analysis set), continued’"/>
                    <pic:cNvPicPr/>
                  </pic:nvPicPr>
                  <pic:blipFill rotWithShape="1">
                    <a:blip r:embed="rId22">
                      <a:extLst>
                        <a:ext uri="{28A0092B-C50C-407E-A947-70E740481C1C}">
                          <a14:useLocalDpi xmlns:a14="http://schemas.microsoft.com/office/drawing/2010/main" val="0"/>
                        </a:ext>
                      </a:extLst>
                    </a:blip>
                    <a:srcRect l="1031" t="34672" r="1322" b="20283"/>
                    <a:stretch/>
                  </pic:blipFill>
                  <pic:spPr bwMode="auto">
                    <a:xfrm>
                      <a:off x="0" y="0"/>
                      <a:ext cx="5272941" cy="1766219"/>
                    </a:xfrm>
                    <a:prstGeom prst="rect">
                      <a:avLst/>
                    </a:prstGeom>
                    <a:noFill/>
                    <a:ln>
                      <a:noFill/>
                    </a:ln>
                    <a:extLst>
                      <a:ext uri="{53640926-AAD7-44D8-BBD7-CCE9431645EC}">
                        <a14:shadowObscured xmlns:a14="http://schemas.microsoft.com/office/drawing/2010/main"/>
                      </a:ext>
                    </a:extLst>
                  </pic:spPr>
                </pic:pic>
              </a:graphicData>
            </a:graphic>
          </wp:inline>
        </w:drawing>
      </w:r>
    </w:p>
    <w:p w14:paraId="73137B67" w14:textId="761BC067" w:rsidR="00890402" w:rsidRPr="006A00DA" w:rsidRDefault="00890402" w:rsidP="00890402">
      <w:pPr>
        <w:pStyle w:val="TableDescription"/>
      </w:pPr>
      <w:r w:rsidRPr="006A00DA">
        <w:t xml:space="preserve">BC = breast cancer, CR = complete response; HER2 =epidermal growth factor receptor 2; IHC = immunohistochemistry; ISH = </w:t>
      </w:r>
      <w:r w:rsidRPr="006A00DA">
        <w:rPr>
          <w:i/>
          <w:iCs/>
        </w:rPr>
        <w:t>i</w:t>
      </w:r>
      <w:r w:rsidR="00733847" w:rsidRPr="006A00DA">
        <w:rPr>
          <w:i/>
          <w:iCs/>
        </w:rPr>
        <w:t>n</w:t>
      </w:r>
      <w:r w:rsidRPr="006A00DA">
        <w:rPr>
          <w:i/>
          <w:iCs/>
        </w:rPr>
        <w:t xml:space="preserve"> situ</w:t>
      </w:r>
      <w:r w:rsidRPr="006A00DA">
        <w:t xml:space="preserve"> hybridisation; PD = progressive disease; PK = pharmacokinetics; PR = partial response; SD = stable disease; Std Dev </w:t>
      </w:r>
      <w:r w:rsidR="00DF35DC" w:rsidRPr="006A00DA">
        <w:t>= standard deviation</w:t>
      </w:r>
    </w:p>
    <w:p w14:paraId="1E68EF29" w14:textId="16157106" w:rsidR="00DF35DC" w:rsidRPr="006A00DA" w:rsidRDefault="00DF35DC" w:rsidP="00890402">
      <w:pPr>
        <w:pStyle w:val="TableDescription"/>
      </w:pPr>
      <w:r w:rsidRPr="006A00DA">
        <w:t xml:space="preserve">The </w:t>
      </w:r>
      <w:r w:rsidR="00740F54" w:rsidRPr="006A00DA">
        <w:t>electronic case report form (</w:t>
      </w:r>
      <w:r w:rsidRPr="006A00DA">
        <w:t>eCRF</w:t>
      </w:r>
      <w:r w:rsidR="00740F54" w:rsidRPr="006A00DA">
        <w:t>)</w:t>
      </w:r>
      <w:r w:rsidRPr="006A00DA">
        <w:t xml:space="preserve"> entry did not specify whether the response to </w:t>
      </w:r>
      <w:r w:rsidR="004B453F">
        <w:t>Trastuzumab</w:t>
      </w:r>
      <w:r w:rsidR="00E11402" w:rsidRPr="006A00DA">
        <w:t xml:space="preserve"> emtansine</w:t>
      </w:r>
      <w:r w:rsidRPr="006A00DA">
        <w:t xml:space="preserve"> was confirmed or not</w:t>
      </w:r>
    </w:p>
    <w:p w14:paraId="6E31B344" w14:textId="0718549D" w:rsidR="00DF35DC" w:rsidRPr="006A00DA" w:rsidRDefault="007013D7" w:rsidP="00890402">
      <w:pPr>
        <w:pStyle w:val="TableDescription"/>
      </w:pPr>
      <w:r>
        <w:t>Data cut off</w:t>
      </w:r>
      <w:r w:rsidRPr="006A00DA">
        <w:t xml:space="preserve"> </w:t>
      </w:r>
      <w:r w:rsidR="00DF35DC" w:rsidRPr="006A00DA">
        <w:t>= 21 March 2019</w:t>
      </w:r>
    </w:p>
    <w:p w14:paraId="6F323C5D" w14:textId="0E595E5E" w:rsidR="00DF35DC" w:rsidRPr="006A00DA" w:rsidRDefault="00DF35DC" w:rsidP="00974E13">
      <w:r w:rsidRPr="006A00DA">
        <w:t xml:space="preserve">The primary endpoint for this study was confirmed </w:t>
      </w:r>
      <w:r w:rsidR="007013D7">
        <w:t>objective response rate (</w:t>
      </w:r>
      <w:r w:rsidRPr="006A00DA">
        <w:t>ORR</w:t>
      </w:r>
      <w:r w:rsidR="007013D7">
        <w:t>)</w:t>
      </w:r>
      <w:r w:rsidRPr="006A00DA">
        <w:t xml:space="preserve"> by ICR based on RECIST 1.1.</w:t>
      </w:r>
      <w:r w:rsidR="00974E13" w:rsidRPr="001D0416">
        <w:fldChar w:fldCharType="begin"/>
      </w:r>
      <w:r w:rsidR="00974E13" w:rsidRPr="006A00DA">
        <w:instrText xml:space="preserve"> NOTEREF _Ref103260066 \f \h </w:instrText>
      </w:r>
      <w:r w:rsidR="001D0416">
        <w:instrText xml:space="preserve"> \* MERGEFORMAT </w:instrText>
      </w:r>
      <w:r w:rsidR="00974E13" w:rsidRPr="001D0416">
        <w:fldChar w:fldCharType="separate"/>
      </w:r>
      <w:r w:rsidR="006922A4" w:rsidRPr="001D0416">
        <w:rPr>
          <w:rStyle w:val="FootnoteReference"/>
        </w:rPr>
        <w:t>24</w:t>
      </w:r>
      <w:r w:rsidR="00974E13" w:rsidRPr="001D0416">
        <w:fldChar w:fldCharType="end"/>
      </w:r>
      <w:r w:rsidRPr="001D0416">
        <w:t xml:space="preserve"> The sponsor reported the results of the confirmed ORR an</w:t>
      </w:r>
      <w:r w:rsidRPr="006A00DA">
        <w:t>d subgroup analyses primarily based on the patients enrolled in Part 1 and Part 2a (</w:t>
      </w:r>
      <w:r w:rsidR="00974E13" w:rsidRPr="006A00DA">
        <w:t>n</w:t>
      </w:r>
      <w:r w:rsidR="007013D7">
        <w:t> </w:t>
      </w:r>
      <w:r w:rsidRPr="006A00DA">
        <w:t>=</w:t>
      </w:r>
      <w:r w:rsidR="007013D7">
        <w:t> </w:t>
      </w:r>
      <w:r w:rsidRPr="006A00DA">
        <w:t>180).</w:t>
      </w:r>
    </w:p>
    <w:p w14:paraId="7542B158" w14:textId="45F58E3D" w:rsidR="00DF35DC" w:rsidRPr="006A00DA" w:rsidRDefault="007013D7" w:rsidP="00974E13">
      <w:r>
        <w:t xml:space="preserve">The US </w:t>
      </w:r>
      <w:r w:rsidR="00DF35DC" w:rsidRPr="006A00DA">
        <w:t>FDA’s efficacy analysis was based on the 184 patients who received 5.4 mg/kg dose in Part</w:t>
      </w:r>
      <w:r w:rsidR="00974E13" w:rsidRPr="006A00DA">
        <w:t> </w:t>
      </w:r>
      <w:r w:rsidR="00DF35DC" w:rsidRPr="006A00DA">
        <w:t>1, Parts 2a and 2b (</w:t>
      </w:r>
      <w:r w:rsidR="00974E13" w:rsidRPr="006A00DA">
        <w:t>n</w:t>
      </w:r>
      <w:r w:rsidR="00DF35DC" w:rsidRPr="006A00DA">
        <w:t xml:space="preserve"> = 184). That analysis included four additional patients from Part</w:t>
      </w:r>
      <w:r w:rsidR="00974E13" w:rsidRPr="006A00DA">
        <w:t> </w:t>
      </w:r>
      <w:r w:rsidR="00DF35DC" w:rsidRPr="006A00DA">
        <w:t xml:space="preserve">2b in the efficacy analysis as they had all received prior </w:t>
      </w:r>
      <w:r w:rsidR="004B453F">
        <w:t>Trastuzumab</w:t>
      </w:r>
      <w:r w:rsidR="00E11402" w:rsidRPr="006A00DA">
        <w:t xml:space="preserve"> emtansine</w:t>
      </w:r>
      <w:r w:rsidR="00DF35DC" w:rsidRPr="006A00DA">
        <w:t xml:space="preserve"> even though they had not progressed on </w:t>
      </w:r>
      <w:r w:rsidR="004B453F">
        <w:t>Trastuzumab</w:t>
      </w:r>
      <w:r w:rsidR="00E11402" w:rsidRPr="006A00DA">
        <w:t xml:space="preserve"> emtansine.</w:t>
      </w:r>
      <w:r w:rsidR="00DF35DC" w:rsidRPr="006A00DA">
        <w:t xml:space="preserve"> From a clinical perspective these four patients were anticipated to have similar clinical outcomes compared to patients who progressed on </w:t>
      </w:r>
      <w:r w:rsidR="004B453F">
        <w:t>Trastuzumab</w:t>
      </w:r>
      <w:r w:rsidR="00E11402" w:rsidRPr="006A00DA">
        <w:t xml:space="preserve"> emtansine</w:t>
      </w:r>
      <w:r w:rsidR="00DF35DC" w:rsidRPr="006A00DA">
        <w:t xml:space="preserve">. The sponsor’s confirmed ORR based on ICR in these 184 patients was 60.3% (95% CI: 52.9, 67.4). The median </w:t>
      </w:r>
      <w:r>
        <w:t>duration of response (</w:t>
      </w:r>
      <w:r w:rsidR="00DF35DC" w:rsidRPr="006A00DA">
        <w:t>DOR</w:t>
      </w:r>
      <w:r>
        <w:t>)</w:t>
      </w:r>
      <w:r w:rsidR="00DF35DC" w:rsidRPr="006A00DA">
        <w:t xml:space="preserve"> at that time was not evaluable.</w:t>
      </w:r>
    </w:p>
    <w:p w14:paraId="55E686E6" w14:textId="0A107A47" w:rsidR="00DF35DC" w:rsidRPr="006A00DA" w:rsidRDefault="00DF35DC" w:rsidP="00DF35DC">
      <w:pPr>
        <w:pStyle w:val="TableTitle"/>
        <w:rPr>
          <w:noProof/>
        </w:rPr>
      </w:pPr>
      <w:r w:rsidRPr="006A00DA">
        <w:t xml:space="preserve">Table </w:t>
      </w:r>
      <w:r w:rsidR="007E037A" w:rsidRPr="001D0416">
        <w:fldChar w:fldCharType="begin"/>
      </w:r>
      <w:r w:rsidR="007E037A" w:rsidRPr="006A00DA">
        <w:instrText xml:space="preserve"> SEQ Table \* ARABIC </w:instrText>
      </w:r>
      <w:r w:rsidR="007E037A" w:rsidRPr="001D0416">
        <w:fldChar w:fldCharType="separate"/>
      </w:r>
      <w:r w:rsidR="006922A4" w:rsidRPr="001D0416">
        <w:rPr>
          <w:noProof/>
        </w:rPr>
        <w:t>4</w:t>
      </w:r>
      <w:r w:rsidR="007E037A" w:rsidRPr="001D0416">
        <w:rPr>
          <w:noProof/>
        </w:rPr>
        <w:fldChar w:fldCharType="end"/>
      </w:r>
      <w:r w:rsidRPr="001D0416">
        <w:t xml:space="preserve">: </w:t>
      </w:r>
      <w:r w:rsidRPr="001D0416">
        <w:rPr>
          <w:noProof/>
        </w:rPr>
        <w:t>Study DS8201-A-U201</w:t>
      </w:r>
      <w:r w:rsidRPr="006A00DA">
        <w:rPr>
          <w:noProof/>
        </w:rPr>
        <w:t xml:space="preserve"> Objective response rate in the 5.4 mg/kg cohort (enrolled analysis set)</w:t>
      </w:r>
    </w:p>
    <w:p w14:paraId="3DBACF47" w14:textId="2BF03CAF" w:rsidR="00DF35DC" w:rsidRPr="001D0416" w:rsidRDefault="00DF35DC" w:rsidP="00DF35DC">
      <w:r w:rsidRPr="001D0416">
        <w:rPr>
          <w:noProof/>
          <w:lang w:val="en-GB" w:eastAsia="en-GB"/>
        </w:rPr>
        <w:drawing>
          <wp:inline distT="0" distB="0" distL="0" distR="0" wp14:anchorId="76A236D9" wp14:editId="3A814C85">
            <wp:extent cx="5120005" cy="1463040"/>
            <wp:effectExtent l="0" t="0" r="4445" b="3810"/>
            <wp:docPr id="7" name="Picture 7" descr="Study DS8201-A-U201 Objective response rate in the 5.4 mg/kg cohort (enrolled analysis set)"/>
            <wp:cNvGraphicFramePr/>
            <a:graphic xmlns:a="http://schemas.openxmlformats.org/drawingml/2006/main">
              <a:graphicData uri="http://schemas.openxmlformats.org/drawingml/2006/picture">
                <pic:pic xmlns:pic="http://schemas.openxmlformats.org/drawingml/2006/picture">
                  <pic:nvPicPr>
                    <pic:cNvPr id="7" name="Picture 7" descr="Study DS8201-A-U201 Objective response rate in the 5.4 mg/kg cohort (enrolled analysis set)"/>
                    <pic:cNvPicPr/>
                  </pic:nvPicPr>
                  <pic:blipFill rotWithShape="1">
                    <a:blip r:embed="rId23">
                      <a:extLst>
                        <a:ext uri="{28A0092B-C50C-407E-A947-70E740481C1C}">
                          <a14:useLocalDpi xmlns:a14="http://schemas.microsoft.com/office/drawing/2010/main" val="0"/>
                        </a:ext>
                      </a:extLst>
                    </a:blip>
                    <a:srcRect l="5155" t="17762" b="19370"/>
                    <a:stretch/>
                  </pic:blipFill>
                  <pic:spPr bwMode="auto">
                    <a:xfrm>
                      <a:off x="0" y="0"/>
                      <a:ext cx="5121664" cy="1463514"/>
                    </a:xfrm>
                    <a:prstGeom prst="rect">
                      <a:avLst/>
                    </a:prstGeom>
                    <a:noFill/>
                    <a:ln>
                      <a:noFill/>
                    </a:ln>
                    <a:extLst>
                      <a:ext uri="{53640926-AAD7-44D8-BBD7-CCE9431645EC}">
                        <a14:shadowObscured xmlns:a14="http://schemas.microsoft.com/office/drawing/2010/main"/>
                      </a:ext>
                    </a:extLst>
                  </pic:spPr>
                </pic:pic>
              </a:graphicData>
            </a:graphic>
          </wp:inline>
        </w:drawing>
      </w:r>
    </w:p>
    <w:p w14:paraId="3A54CA49" w14:textId="455583AE" w:rsidR="00DF35DC" w:rsidRPr="00D05EC9" w:rsidRDefault="00DF35DC" w:rsidP="00D05EC9">
      <w:pPr>
        <w:pStyle w:val="TableDescription"/>
      </w:pPr>
      <w:r w:rsidRPr="00D05EC9">
        <w:t xml:space="preserve">The </w:t>
      </w:r>
      <w:proofErr w:type="gramStart"/>
      <w:r w:rsidRPr="00D05EC9">
        <w:t>two sided</w:t>
      </w:r>
      <w:proofErr w:type="gramEnd"/>
      <w:r w:rsidRPr="00D05EC9">
        <w:t xml:space="preserve"> 95% CI were based on the exact (Clopper-Pearson) binomial distribution</w:t>
      </w:r>
    </w:p>
    <w:p w14:paraId="7CA97AD5" w14:textId="05D75A0E" w:rsidR="00DF35DC" w:rsidRPr="00D05EC9" w:rsidRDefault="00DF35DC" w:rsidP="00D05EC9">
      <w:pPr>
        <w:pStyle w:val="TableDescription"/>
      </w:pPr>
      <w:r w:rsidRPr="00D05EC9">
        <w:t>Percentages were based on the number of subjects in the enrolled analysis set,</w:t>
      </w:r>
    </w:p>
    <w:p w14:paraId="31A67725" w14:textId="71371B3C" w:rsidR="00DF35DC" w:rsidRPr="00D05EC9" w:rsidRDefault="00DF35DC" w:rsidP="00D05EC9">
      <w:pPr>
        <w:pStyle w:val="TableDescription"/>
      </w:pPr>
      <w:r w:rsidRPr="00D05EC9">
        <w:t xml:space="preserve">Data </w:t>
      </w:r>
      <w:proofErr w:type="spellStart"/>
      <w:r w:rsidRPr="00D05EC9">
        <w:t>cutoff</w:t>
      </w:r>
      <w:proofErr w:type="spellEnd"/>
      <w:r w:rsidRPr="00D05EC9">
        <w:t xml:space="preserve"> = 21 March 2019</w:t>
      </w:r>
    </w:p>
    <w:p w14:paraId="6A1CAFC6" w14:textId="1128ADEF" w:rsidR="00DF35DC" w:rsidRPr="006A00DA" w:rsidRDefault="00DF35DC" w:rsidP="00D05EC9">
      <w:pPr>
        <w:pStyle w:val="TableTitle"/>
        <w:rPr>
          <w:noProof/>
        </w:rPr>
      </w:pPr>
      <w:r w:rsidRPr="006A00DA">
        <w:lastRenderedPageBreak/>
        <w:t xml:space="preserve">Table </w:t>
      </w:r>
      <w:r w:rsidR="007E037A" w:rsidRPr="001D0416">
        <w:fldChar w:fldCharType="begin"/>
      </w:r>
      <w:r w:rsidR="007E037A" w:rsidRPr="006A00DA">
        <w:instrText xml:space="preserve"> SEQ Table \* ARABIC </w:instrText>
      </w:r>
      <w:r w:rsidR="007E037A" w:rsidRPr="001D0416">
        <w:fldChar w:fldCharType="separate"/>
      </w:r>
      <w:r w:rsidR="006922A4" w:rsidRPr="001D0416">
        <w:rPr>
          <w:noProof/>
        </w:rPr>
        <w:t>5</w:t>
      </w:r>
      <w:r w:rsidR="007E037A" w:rsidRPr="001D0416">
        <w:rPr>
          <w:noProof/>
        </w:rPr>
        <w:fldChar w:fldCharType="end"/>
      </w:r>
      <w:r w:rsidRPr="001D0416">
        <w:t xml:space="preserve">: </w:t>
      </w:r>
      <w:r w:rsidRPr="001D0416">
        <w:rPr>
          <w:noProof/>
        </w:rPr>
        <w:t>Study DS8201-A-U201 Best overall response (enrolled analysis se</w:t>
      </w:r>
      <w:r w:rsidRPr="006A00DA">
        <w:rPr>
          <w:noProof/>
        </w:rPr>
        <w:t>t)</w:t>
      </w:r>
    </w:p>
    <w:p w14:paraId="055632AE" w14:textId="5C352097" w:rsidR="00DF35DC" w:rsidRPr="001D0416" w:rsidRDefault="00DF35DC" w:rsidP="00DF35DC">
      <w:r w:rsidRPr="001D0416">
        <w:rPr>
          <w:noProof/>
          <w:lang w:val="en-GB" w:eastAsia="en-GB"/>
        </w:rPr>
        <w:drawing>
          <wp:inline distT="0" distB="0" distL="0" distR="0" wp14:anchorId="4393A9C8" wp14:editId="49F583EB">
            <wp:extent cx="4969566" cy="3418616"/>
            <wp:effectExtent l="0" t="0" r="2540" b="0"/>
            <wp:docPr id="9" name="Picture 9" descr="Study DS8201-A-U201 Best overall response (enrolled analysis set)"/>
            <wp:cNvGraphicFramePr/>
            <a:graphic xmlns:a="http://schemas.openxmlformats.org/drawingml/2006/main">
              <a:graphicData uri="http://schemas.openxmlformats.org/drawingml/2006/picture">
                <pic:pic xmlns:pic="http://schemas.openxmlformats.org/drawingml/2006/picture">
                  <pic:nvPicPr>
                    <pic:cNvPr id="9" name="Picture 9" descr="Study DS8201-A-U201 Best overall response (enrolled analysis set)"/>
                    <pic:cNvPicPr/>
                  </pic:nvPicPr>
                  <pic:blipFill rotWithShape="1">
                    <a:blip r:embed="rId24">
                      <a:extLst>
                        <a:ext uri="{28A0092B-C50C-407E-A947-70E740481C1C}">
                          <a14:useLocalDpi xmlns:a14="http://schemas.microsoft.com/office/drawing/2010/main" val="0"/>
                        </a:ext>
                      </a:extLst>
                    </a:blip>
                    <a:srcRect l="2798" r="5161" b="15961"/>
                    <a:stretch/>
                  </pic:blipFill>
                  <pic:spPr bwMode="auto">
                    <a:xfrm>
                      <a:off x="0" y="0"/>
                      <a:ext cx="4970211" cy="3419060"/>
                    </a:xfrm>
                    <a:prstGeom prst="rect">
                      <a:avLst/>
                    </a:prstGeom>
                    <a:noFill/>
                    <a:ln>
                      <a:noFill/>
                    </a:ln>
                    <a:extLst>
                      <a:ext uri="{53640926-AAD7-44D8-BBD7-CCE9431645EC}">
                        <a14:shadowObscured xmlns:a14="http://schemas.microsoft.com/office/drawing/2010/main"/>
                      </a:ext>
                    </a:extLst>
                  </pic:spPr>
                </pic:pic>
              </a:graphicData>
            </a:graphic>
          </wp:inline>
        </w:drawing>
      </w:r>
    </w:p>
    <w:p w14:paraId="7D30366A" w14:textId="5F3650F2" w:rsidR="00DF35DC" w:rsidRPr="006A00DA" w:rsidRDefault="00DF35DC" w:rsidP="00DF35DC">
      <w:pPr>
        <w:pStyle w:val="TableDescription"/>
      </w:pPr>
      <w:r w:rsidRPr="006A00DA">
        <w:t>BOR = best objective response; CR = complete response; ICR = independent central review; NE = not evaluable; PD = progressive disease; PK = pharmacokinetics; PR = partial response; SD = stable disease</w:t>
      </w:r>
    </w:p>
    <w:p w14:paraId="0D275328" w14:textId="0A371B0E" w:rsidR="00DF35DC" w:rsidRPr="006A00DA" w:rsidRDefault="00DF35DC" w:rsidP="00DF35DC">
      <w:pPr>
        <w:pStyle w:val="TableDescription"/>
      </w:pPr>
      <w:r w:rsidRPr="006A00DA">
        <w:t>Percentages were based on the number of subjects in the enrolled analysis set.</w:t>
      </w:r>
    </w:p>
    <w:p w14:paraId="7F15AB5E" w14:textId="0979AC20" w:rsidR="00DF35DC" w:rsidRPr="006A00DA" w:rsidRDefault="00DF35DC" w:rsidP="00DF35DC">
      <w:pPr>
        <w:pStyle w:val="TableDescription"/>
      </w:pPr>
      <w:r w:rsidRPr="006A00DA">
        <w:t>Data cut</w:t>
      </w:r>
      <w:r w:rsidR="007013D7">
        <w:t>-</w:t>
      </w:r>
      <w:r w:rsidRPr="006A00DA">
        <w:t>off = 21 March 2019</w:t>
      </w:r>
    </w:p>
    <w:p w14:paraId="6CECC014" w14:textId="22E6376F" w:rsidR="00DF35DC" w:rsidRPr="006A00DA" w:rsidRDefault="00DF35DC" w:rsidP="00DF35DC">
      <w:pPr>
        <w:rPr>
          <w:b/>
          <w:bCs/>
        </w:rPr>
      </w:pPr>
      <w:r w:rsidRPr="006A00DA">
        <w:t>Subgroup analyses by baseline disease characteristics and baseline demographics for the primary 5.4 mg/kg dose cohort showed a confirmed ORR by ICR of at least 50% in most subgroups including hormone receptor positive and negative patients and patients with and without brain metastases.</w:t>
      </w:r>
    </w:p>
    <w:p w14:paraId="142F1786" w14:textId="714FF61F" w:rsidR="00DF35DC" w:rsidRPr="006A00DA" w:rsidRDefault="004E6A71" w:rsidP="00D05EC9">
      <w:pPr>
        <w:pStyle w:val="FigureTitle"/>
      </w:pPr>
      <w:r w:rsidRPr="006A00DA">
        <w:lastRenderedPageBreak/>
        <w:t xml:space="preserve">Figure </w:t>
      </w:r>
      <w:r w:rsidR="007E037A" w:rsidRPr="001D0416">
        <w:fldChar w:fldCharType="begin"/>
      </w:r>
      <w:r w:rsidR="007E037A" w:rsidRPr="006A00DA">
        <w:instrText xml:space="preserve"> SEQ Figure \* ARABIC </w:instrText>
      </w:r>
      <w:r w:rsidR="007E037A" w:rsidRPr="001D0416">
        <w:fldChar w:fldCharType="separate"/>
      </w:r>
      <w:r w:rsidR="006922A4" w:rsidRPr="001D0416">
        <w:rPr>
          <w:noProof/>
        </w:rPr>
        <w:t>3</w:t>
      </w:r>
      <w:r w:rsidR="007E037A" w:rsidRPr="001D0416">
        <w:rPr>
          <w:noProof/>
        </w:rPr>
        <w:fldChar w:fldCharType="end"/>
      </w:r>
      <w:r w:rsidRPr="001D0416">
        <w:t xml:space="preserve">: Study DS8201-A-U201 Forest </w:t>
      </w:r>
      <w:r w:rsidRPr="006A00DA">
        <w:t>plot of objective response rate by independent central review for the primary 5.4 mg/kg dose cohort by subgroup (enrolled analysis set)</w:t>
      </w:r>
    </w:p>
    <w:p w14:paraId="4F45DE49" w14:textId="3CCD4BC6" w:rsidR="004E6A71" w:rsidRPr="001D0416" w:rsidRDefault="0056467B" w:rsidP="004E6A71">
      <w:r w:rsidRPr="001D0416">
        <w:rPr>
          <w:noProof/>
          <w:lang w:val="en-GB" w:eastAsia="en-GB"/>
        </w:rPr>
        <w:drawing>
          <wp:inline distT="0" distB="0" distL="0" distR="0" wp14:anchorId="2AE0C991" wp14:editId="1FD1F65F">
            <wp:extent cx="5400040" cy="3213100"/>
            <wp:effectExtent l="0" t="0" r="0" b="6350"/>
            <wp:docPr id="11" name="Picture 11" descr="Study DS8201-A-U201 Forest plot of objective response rate by independent central review for the primary 5.4 mg/kg dose cohort by subgroup (en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tudy DS8201-A-U201 Forest plot of objective response rate by independent central review for the primary 5.4 mg/kg dose cohort by subgroup (enrolled analysis set)"/>
                    <pic:cNvPicPr/>
                  </pic:nvPicPr>
                  <pic:blipFill>
                    <a:blip r:embed="rId25"/>
                    <a:stretch>
                      <a:fillRect/>
                    </a:stretch>
                  </pic:blipFill>
                  <pic:spPr>
                    <a:xfrm>
                      <a:off x="0" y="0"/>
                      <a:ext cx="5400040" cy="3213100"/>
                    </a:xfrm>
                    <a:prstGeom prst="rect">
                      <a:avLst/>
                    </a:prstGeom>
                  </pic:spPr>
                </pic:pic>
              </a:graphicData>
            </a:graphic>
          </wp:inline>
        </w:drawing>
      </w:r>
    </w:p>
    <w:p w14:paraId="0C688B89" w14:textId="51CA0EB2" w:rsidR="004E6A71" w:rsidRDefault="00836625" w:rsidP="004E6A71">
      <w:r w:rsidRPr="001D0416">
        <w:rPr>
          <w:noProof/>
          <w:lang w:val="en-GB" w:eastAsia="en-GB"/>
        </w:rPr>
        <w:drawing>
          <wp:inline distT="0" distB="0" distL="0" distR="0" wp14:anchorId="6E3A3C02" wp14:editId="00B91D5D">
            <wp:extent cx="5400040" cy="2751924"/>
            <wp:effectExtent l="0" t="0" r="0" b="0"/>
            <wp:docPr id="13" name="Picture 13" descr="Study DS8201-A-U201 Forest plot of objective response rate by independent central review for the primary 5.4 mg/kg dose cohort by subgroup (en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tudy DS8201-A-U201 Forest plot of objective response rate by independent central review for the primary 5.4 mg/kg dose cohort by subgroup (enrolled analysis set)"/>
                    <pic:cNvPicPr/>
                  </pic:nvPicPr>
                  <pic:blipFill rotWithShape="1">
                    <a:blip r:embed="rId26"/>
                    <a:srcRect t="14353"/>
                    <a:stretch/>
                  </pic:blipFill>
                  <pic:spPr bwMode="auto">
                    <a:xfrm>
                      <a:off x="0" y="0"/>
                      <a:ext cx="5400040" cy="2751924"/>
                    </a:xfrm>
                    <a:prstGeom prst="rect">
                      <a:avLst/>
                    </a:prstGeom>
                    <a:ln>
                      <a:noFill/>
                    </a:ln>
                    <a:extLst>
                      <a:ext uri="{53640926-AAD7-44D8-BBD7-CCE9431645EC}">
                        <a14:shadowObscured xmlns:a14="http://schemas.microsoft.com/office/drawing/2010/main"/>
                      </a:ext>
                    </a:extLst>
                  </pic:spPr>
                </pic:pic>
              </a:graphicData>
            </a:graphic>
          </wp:inline>
        </w:drawing>
      </w:r>
    </w:p>
    <w:p w14:paraId="5AFFE8ED" w14:textId="610CE267" w:rsidR="007013D7" w:rsidRPr="006A00DA" w:rsidRDefault="007013D7" w:rsidP="00021980">
      <w:pPr>
        <w:pStyle w:val="FigureDescription"/>
      </w:pPr>
      <w:r>
        <w:t xml:space="preserve">Abbreviations: </w:t>
      </w:r>
      <w:r w:rsidRPr="006A00DA">
        <w:t xml:space="preserve">BOR = best objective response; </w:t>
      </w:r>
      <w:r>
        <w:t xml:space="preserve">CI = confidence intervals; </w:t>
      </w:r>
      <w:r w:rsidRPr="006A00DA">
        <w:t xml:space="preserve">CR = complete response; ICR = independent central review; </w:t>
      </w:r>
      <w:r>
        <w:t>IHC = i</w:t>
      </w:r>
      <w:r w:rsidRPr="007013D7">
        <w:t>mmunohistochemistry</w:t>
      </w:r>
      <w:r>
        <w:t xml:space="preserve">; ISH = </w:t>
      </w:r>
      <w:r w:rsidRPr="00021980">
        <w:rPr>
          <w:i/>
        </w:rPr>
        <w:t>in situ</w:t>
      </w:r>
      <w:r>
        <w:t xml:space="preserve"> hybridisation; JPN = Japan; KOR = Korea; </w:t>
      </w:r>
      <w:r w:rsidRPr="006A00DA">
        <w:t xml:space="preserve">NE = not evaluable; </w:t>
      </w:r>
      <w:r>
        <w:t xml:space="preserve">ORR = objective response rate; </w:t>
      </w:r>
      <w:r w:rsidRPr="006A00DA">
        <w:t>PD = progressive disease; PK = pharmacokinetics; PR = partial response; SD = stable disease</w:t>
      </w:r>
      <w:r>
        <w:t xml:space="preserve">; T-DM1 = </w:t>
      </w:r>
      <w:r w:rsidR="004B453F">
        <w:t>Trastuzumab</w:t>
      </w:r>
      <w:r>
        <w:t xml:space="preserve"> </w:t>
      </w:r>
      <w:r w:rsidRPr="007013D7">
        <w:t>emtansine</w:t>
      </w:r>
      <w:r>
        <w:t>; USA = United States of America</w:t>
      </w:r>
      <w:r w:rsidR="00D05EC9">
        <w:t>.</w:t>
      </w:r>
    </w:p>
    <w:p w14:paraId="6C6FE359" w14:textId="7B13ADAE" w:rsidR="004E6A71" w:rsidRPr="006A00DA" w:rsidRDefault="004E6A71" w:rsidP="004E6A71">
      <w:pPr>
        <w:rPr>
          <w:b/>
          <w:bCs/>
        </w:rPr>
      </w:pPr>
      <w:r w:rsidRPr="006A00DA">
        <w:t xml:space="preserve">For the 184 subjects assigned to 5.4 mg/kg </w:t>
      </w:r>
      <w:r w:rsidR="004B453F">
        <w:t>Trastuzumab</w:t>
      </w:r>
      <w:r w:rsidRPr="006A00DA">
        <w:t xml:space="preserve"> </w:t>
      </w:r>
      <w:proofErr w:type="spellStart"/>
      <w:r w:rsidRPr="006A00DA">
        <w:t>deruxtecan</w:t>
      </w:r>
      <w:proofErr w:type="spellEnd"/>
      <w:r w:rsidRPr="006A00DA">
        <w:t xml:space="preserve"> the confirmed </w:t>
      </w:r>
      <w:r w:rsidR="00471292">
        <w:t>clinical benefit rate</w:t>
      </w:r>
      <w:r w:rsidR="00471292" w:rsidRPr="006A00DA">
        <w:t xml:space="preserve"> </w:t>
      </w:r>
      <w:r w:rsidRPr="006A00DA">
        <w:t>by ICR was 76.1% for the 184 subjects assigned to 5.4 mg/kg.</w:t>
      </w:r>
    </w:p>
    <w:p w14:paraId="1B71CE5C" w14:textId="4C3B7655" w:rsidR="004E6A71" w:rsidRPr="001D0416" w:rsidRDefault="004E6A71" w:rsidP="004E6A71">
      <w:r w:rsidRPr="006A00DA">
        <w:t xml:space="preserve">There have been three efficacy updates following the analysis in the </w:t>
      </w:r>
      <w:r w:rsidR="00A84244" w:rsidRPr="006A00DA">
        <w:t>clinical study report</w:t>
      </w:r>
      <w:r w:rsidRPr="006A00DA">
        <w:t xml:space="preserve">. There were performed with data </w:t>
      </w:r>
      <w:proofErr w:type="spellStart"/>
      <w:r w:rsidRPr="006A00DA">
        <w:t>cutoff</w:t>
      </w:r>
      <w:proofErr w:type="spellEnd"/>
      <w:r w:rsidRPr="006A00DA">
        <w:t xml:space="preserve"> dates of 21 March 2019, 1 August </w:t>
      </w:r>
      <w:proofErr w:type="gramStart"/>
      <w:r w:rsidRPr="006A00DA">
        <w:t>2019</w:t>
      </w:r>
      <w:proofErr w:type="gramEnd"/>
      <w:r w:rsidRPr="006A00DA">
        <w:t xml:space="preserve"> and 26</w:t>
      </w:r>
      <w:r w:rsidR="00471292">
        <w:t> </w:t>
      </w:r>
      <w:r w:rsidRPr="006A00DA">
        <w:t xml:space="preserve">March 2021. The median duration of </w:t>
      </w:r>
      <w:proofErr w:type="spellStart"/>
      <w:r w:rsidRPr="006A00DA">
        <w:t>followup</w:t>
      </w:r>
      <w:proofErr w:type="spellEnd"/>
      <w:r w:rsidRPr="006A00DA">
        <w:t xml:space="preserve"> for these analyses were 11.1 months, 20.5 </w:t>
      </w:r>
      <w:proofErr w:type="gramStart"/>
      <w:r w:rsidRPr="006A00DA">
        <w:t>months</w:t>
      </w:r>
      <w:proofErr w:type="gramEnd"/>
      <w:r w:rsidRPr="006A00DA">
        <w:t xml:space="preserve"> and 26.5 months respectively. </w:t>
      </w:r>
      <w:r w:rsidRPr="001D0416">
        <w:fldChar w:fldCharType="begin"/>
      </w:r>
      <w:r w:rsidRPr="006A00DA">
        <w:instrText xml:space="preserve"> REF _Ref103081202 \h </w:instrText>
      </w:r>
      <w:r w:rsidR="001D0416">
        <w:instrText xml:space="preserve"> \* MERGEFORMAT </w:instrText>
      </w:r>
      <w:r w:rsidRPr="001D0416">
        <w:fldChar w:fldCharType="separate"/>
      </w:r>
      <w:r w:rsidR="006922A4" w:rsidRPr="001D0416">
        <w:t xml:space="preserve">Table </w:t>
      </w:r>
      <w:r w:rsidR="006922A4" w:rsidRPr="006A00DA">
        <w:rPr>
          <w:noProof/>
        </w:rPr>
        <w:t>6</w:t>
      </w:r>
      <w:r w:rsidRPr="001D0416">
        <w:fldChar w:fldCharType="end"/>
      </w:r>
      <w:r w:rsidRPr="001D0416">
        <w:t xml:space="preserve"> shows results from these analyses.</w:t>
      </w:r>
    </w:p>
    <w:p w14:paraId="523802BC" w14:textId="6634AEBD" w:rsidR="004E6A71" w:rsidRPr="006A00DA" w:rsidRDefault="004E6A71" w:rsidP="004E6A71">
      <w:pPr>
        <w:pStyle w:val="TableTitle"/>
      </w:pPr>
      <w:bookmarkStart w:id="55" w:name="_Ref103081202"/>
      <w:r w:rsidRPr="001D0416">
        <w:lastRenderedPageBreak/>
        <w:t xml:space="preserve">Table </w:t>
      </w:r>
      <w:r w:rsidR="007E037A" w:rsidRPr="001D0416">
        <w:fldChar w:fldCharType="begin"/>
      </w:r>
      <w:r w:rsidR="007E037A" w:rsidRPr="006A00DA">
        <w:instrText xml:space="preserve"> SEQ Table \* ARABIC </w:instrText>
      </w:r>
      <w:r w:rsidR="007E037A" w:rsidRPr="001D0416">
        <w:fldChar w:fldCharType="separate"/>
      </w:r>
      <w:r w:rsidR="006922A4" w:rsidRPr="001D0416">
        <w:rPr>
          <w:noProof/>
        </w:rPr>
        <w:t>6</w:t>
      </w:r>
      <w:r w:rsidR="007E037A" w:rsidRPr="001D0416">
        <w:rPr>
          <w:noProof/>
        </w:rPr>
        <w:fldChar w:fldCharType="end"/>
      </w:r>
      <w:bookmarkEnd w:id="55"/>
      <w:r w:rsidRPr="001D0416">
        <w:t xml:space="preserve">: Study DS8201-A-U201 Best </w:t>
      </w:r>
      <w:r w:rsidRPr="006A00DA">
        <w:t xml:space="preserve">overall response, overall response rate, duration of response, progression free survival, and overall survival in by data </w:t>
      </w:r>
      <w:proofErr w:type="spellStart"/>
      <w:r w:rsidRPr="006A00DA">
        <w:t>cutoff</w:t>
      </w:r>
      <w:proofErr w:type="spellEnd"/>
      <w:r w:rsidRPr="006A00DA">
        <w:t xml:space="preserve"> (enrolled analysis set)</w:t>
      </w:r>
    </w:p>
    <w:p w14:paraId="7DE484FF" w14:textId="5D605B26" w:rsidR="004E6A71" w:rsidRPr="001D0416" w:rsidRDefault="004E6A71" w:rsidP="004E6A71">
      <w:r w:rsidRPr="001D0416">
        <w:rPr>
          <w:noProof/>
          <w:lang w:val="en-GB" w:eastAsia="en-GB"/>
        </w:rPr>
        <w:drawing>
          <wp:inline distT="0" distB="0" distL="0" distR="0" wp14:anchorId="6B999596" wp14:editId="25174BAB">
            <wp:extent cx="5262373" cy="4794984"/>
            <wp:effectExtent l="38100" t="38100" r="52705" b="43815"/>
            <wp:docPr id="17" name="Picture 17" descr="Study DS8201-A-U201 Best overall response, overall response rate, duration of response, progression free survival, and overall survival in by data cutoff (enrolled analysis set)"/>
            <wp:cNvGraphicFramePr/>
            <a:graphic xmlns:a="http://schemas.openxmlformats.org/drawingml/2006/main">
              <a:graphicData uri="http://schemas.openxmlformats.org/drawingml/2006/picture">
                <pic:pic xmlns:pic="http://schemas.openxmlformats.org/drawingml/2006/picture">
                  <pic:nvPicPr>
                    <pic:cNvPr id="17" name="Picture 17" descr="Study DS8201-A-U201 Best overall response, overall response rate, duration of response, progression free survival, and overall survival in by data cutoff (enrolled analysis set)"/>
                    <pic:cNvPicPr/>
                  </pic:nvPicPr>
                  <pic:blipFill rotWithShape="1">
                    <a:blip r:embed="rId27"/>
                    <a:srcRect l="1369" r="1131" b="478"/>
                    <a:stretch/>
                  </pic:blipFill>
                  <pic:spPr bwMode="auto">
                    <a:xfrm>
                      <a:off x="0" y="0"/>
                      <a:ext cx="5264980" cy="4797359"/>
                    </a:xfrm>
                    <a:prstGeom prst="rect">
                      <a:avLst/>
                    </a:prstGeom>
                    <a:noFill/>
                    <a:ln>
                      <a:noFill/>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A96EB4" w:rsidRPr="001D0416">
        <w:rPr>
          <w:noProof/>
          <w:lang w:val="en-GB" w:eastAsia="en-GB"/>
        </w:rPr>
        <w:drawing>
          <wp:inline distT="0" distB="0" distL="0" distR="0" wp14:anchorId="4F85C530" wp14:editId="076C247B">
            <wp:extent cx="5300345" cy="139382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8">
                      <a:extLst>
                        <a:ext uri="{28A0092B-C50C-407E-A947-70E740481C1C}">
                          <a14:useLocalDpi xmlns:a14="http://schemas.microsoft.com/office/drawing/2010/main" val="0"/>
                        </a:ext>
                      </a:extLst>
                    </a:blip>
                    <a:srcRect l="705" r="1141"/>
                    <a:stretch/>
                  </pic:blipFill>
                  <pic:spPr bwMode="auto">
                    <a:xfrm>
                      <a:off x="0" y="0"/>
                      <a:ext cx="5300345" cy="1393825"/>
                    </a:xfrm>
                    <a:prstGeom prst="rect">
                      <a:avLst/>
                    </a:prstGeom>
                    <a:noFill/>
                    <a:ln>
                      <a:noFill/>
                    </a:ln>
                    <a:extLst>
                      <a:ext uri="{53640926-AAD7-44D8-BBD7-CCE9431645EC}">
                        <a14:shadowObscured xmlns:a14="http://schemas.microsoft.com/office/drawing/2010/main"/>
                      </a:ext>
                    </a:extLst>
                  </pic:spPr>
                </pic:pic>
              </a:graphicData>
            </a:graphic>
          </wp:inline>
        </w:drawing>
      </w:r>
    </w:p>
    <w:p w14:paraId="1F8B2276" w14:textId="44FF080F" w:rsidR="00A96EB4" w:rsidRPr="006A00DA" w:rsidRDefault="00A96EB4" w:rsidP="00D05EC9">
      <w:pPr>
        <w:pStyle w:val="TableTitle"/>
      </w:pPr>
      <w:r w:rsidRPr="001D0416">
        <w:lastRenderedPageBreak/>
        <w:t>Table 6:</w:t>
      </w:r>
      <w:r w:rsidRPr="006A00DA">
        <w:t xml:space="preserve"> Study DS8201-A-U201 Best overall response, overall response rate, duration of response, progression free survival, and overall survival in by data </w:t>
      </w:r>
      <w:proofErr w:type="spellStart"/>
      <w:r w:rsidRPr="006A00DA">
        <w:t>cutoff</w:t>
      </w:r>
      <w:proofErr w:type="spellEnd"/>
      <w:r w:rsidRPr="006A00DA">
        <w:t xml:space="preserve"> (enrolled analysis set), continued</w:t>
      </w:r>
    </w:p>
    <w:p w14:paraId="5495BB50" w14:textId="5FAD89C5" w:rsidR="00A96EB4" w:rsidRPr="001D0416" w:rsidRDefault="00A96EB4" w:rsidP="004E6A71">
      <w:r w:rsidRPr="001D0416">
        <w:rPr>
          <w:noProof/>
          <w:lang w:val="en-GB" w:eastAsia="en-GB"/>
        </w:rPr>
        <w:drawing>
          <wp:inline distT="0" distB="0" distL="0" distR="0" wp14:anchorId="17309E0D" wp14:editId="3E62CBA0">
            <wp:extent cx="5400040" cy="3731597"/>
            <wp:effectExtent l="0" t="0" r="0" b="2540"/>
            <wp:docPr id="20" name="Picture 20" descr="Study DS8201-A-U201 Best overall response, overall response rate, duration of response, progression free survival, and overall survival in by data cutoff (enrolled analysis set), continued"/>
            <wp:cNvGraphicFramePr/>
            <a:graphic xmlns:a="http://schemas.openxmlformats.org/drawingml/2006/main">
              <a:graphicData uri="http://schemas.openxmlformats.org/drawingml/2006/picture">
                <pic:pic xmlns:pic="http://schemas.openxmlformats.org/drawingml/2006/picture">
                  <pic:nvPicPr>
                    <pic:cNvPr id="20" name="Picture 20" descr="Study DS8201-A-U201 Best overall response, overall response rate, duration of response, progression free survival, and overall survival in by data cutoff (enrolled analysis set), continued"/>
                    <pic:cNvPicPr/>
                  </pic:nvPicPr>
                  <pic:blipFill rotWithShape="1">
                    <a:blip r:embed="rId29">
                      <a:extLst>
                        <a:ext uri="{28A0092B-C50C-407E-A947-70E740481C1C}">
                          <a14:useLocalDpi xmlns:a14="http://schemas.microsoft.com/office/drawing/2010/main" val="0"/>
                        </a:ext>
                      </a:extLst>
                    </a:blip>
                    <a:srcRect b="21163"/>
                    <a:stretch/>
                  </pic:blipFill>
                  <pic:spPr bwMode="auto">
                    <a:xfrm>
                      <a:off x="0" y="0"/>
                      <a:ext cx="5400040" cy="3731597"/>
                    </a:xfrm>
                    <a:prstGeom prst="rect">
                      <a:avLst/>
                    </a:prstGeom>
                    <a:noFill/>
                    <a:ln>
                      <a:noFill/>
                    </a:ln>
                    <a:extLst>
                      <a:ext uri="{53640926-AAD7-44D8-BBD7-CCE9431645EC}">
                        <a14:shadowObscured xmlns:a14="http://schemas.microsoft.com/office/drawing/2010/main"/>
                      </a:ext>
                    </a:extLst>
                  </pic:spPr>
                </pic:pic>
              </a:graphicData>
            </a:graphic>
          </wp:inline>
        </w:drawing>
      </w:r>
    </w:p>
    <w:p w14:paraId="185B320E" w14:textId="7A07B7A8" w:rsidR="00A96EB4" w:rsidRPr="006A00DA" w:rsidRDefault="00A96EB4" w:rsidP="00A96EB4">
      <w:pPr>
        <w:pStyle w:val="TableDescription"/>
      </w:pPr>
      <w:r w:rsidRPr="006A00DA">
        <w:t xml:space="preserve">BOR = best overall response; CI = confidence interval; CR = complete response; DOC = data </w:t>
      </w:r>
      <w:proofErr w:type="spellStart"/>
      <w:r w:rsidRPr="006A00DA">
        <w:t>cutoff</w:t>
      </w:r>
      <w:proofErr w:type="spellEnd"/>
      <w:r w:rsidRPr="006A00DA">
        <w:t xml:space="preserve">; </w:t>
      </w:r>
      <w:proofErr w:type="spellStart"/>
      <w:r w:rsidRPr="006A00DA">
        <w:t>DoR</w:t>
      </w:r>
      <w:proofErr w:type="spellEnd"/>
      <w:r w:rsidRPr="006A00DA">
        <w:t>= duration of response; ICR = independent central review; NE = not evaluable or not estimable; ORR = objective response rate; OS = overall survival; PD = progressive disease; PFS = progression-free survival; PR = partial response; SD = stable disease.</w:t>
      </w:r>
    </w:p>
    <w:p w14:paraId="151DAA56" w14:textId="06E50B55" w:rsidR="00A96EB4" w:rsidRPr="006A00DA" w:rsidRDefault="00A96EB4" w:rsidP="00A96EB4">
      <w:pPr>
        <w:pStyle w:val="TableDescription"/>
      </w:pPr>
      <w:r w:rsidRPr="006A00DA">
        <w:t xml:space="preserve">a One subject had a PR prior to the 8 June 2020 </w:t>
      </w:r>
      <w:proofErr w:type="spellStart"/>
      <w:r w:rsidRPr="006A00DA">
        <w:t>cutoff</w:t>
      </w:r>
      <w:proofErr w:type="spellEnd"/>
      <w:r w:rsidRPr="006A00DA">
        <w:t xml:space="preserve"> date that was confirmed after the </w:t>
      </w:r>
      <w:proofErr w:type="spellStart"/>
      <w:r w:rsidRPr="006A00DA">
        <w:t>cutoff</w:t>
      </w:r>
      <w:proofErr w:type="spellEnd"/>
      <w:r w:rsidRPr="006A00DA">
        <w:t xml:space="preserve"> date. The subject has a confirmed COR of PR on the first PR date in the central data but was not included in the analysis of </w:t>
      </w:r>
      <w:proofErr w:type="spellStart"/>
      <w:r w:rsidRPr="006A00DA">
        <w:t>DoR.</w:t>
      </w:r>
      <w:proofErr w:type="spellEnd"/>
    </w:p>
    <w:p w14:paraId="1BF0743A" w14:textId="5EB8306A" w:rsidR="00A96EB4" w:rsidRPr="006A00DA" w:rsidRDefault="00A96EB4" w:rsidP="00A96EB4">
      <w:r w:rsidRPr="006A00DA">
        <w:t>The Delegate note</w:t>
      </w:r>
      <w:r w:rsidR="00471292">
        <w:t>d</w:t>
      </w:r>
      <w:r w:rsidRPr="006A00DA">
        <w:t xml:space="preserve"> that the results of progression-free survival and time to response are uninterpretable due to lack of a comparator arm in a single arm study.</w:t>
      </w:r>
    </w:p>
    <w:p w14:paraId="7EEA9963" w14:textId="741360B7" w:rsidR="00A96EB4" w:rsidRPr="006A00DA" w:rsidRDefault="00A96EB4" w:rsidP="00A96EB4">
      <w:pPr>
        <w:pStyle w:val="Heading5"/>
        <w:rPr>
          <w:rFonts w:eastAsia="Cambria"/>
        </w:rPr>
      </w:pPr>
      <w:r w:rsidRPr="006A00DA">
        <w:t>Study DS8201-A-J101</w:t>
      </w:r>
    </w:p>
    <w:p w14:paraId="090B6613" w14:textId="0D644748" w:rsidR="00A96EB4" w:rsidRPr="006A00DA" w:rsidRDefault="00A96EB4" w:rsidP="00A96EB4">
      <w:pPr>
        <w:rPr>
          <w:b/>
        </w:rPr>
      </w:pPr>
      <w:r w:rsidRPr="006A00DA">
        <w:t xml:space="preserve">This was a Phase I, </w:t>
      </w:r>
      <w:proofErr w:type="gramStart"/>
      <w:r w:rsidRPr="006A00DA">
        <w:t>two part</w:t>
      </w:r>
      <w:proofErr w:type="gramEnd"/>
      <w:r w:rsidRPr="006A00DA">
        <w:t xml:space="preserve">, multicentre, non-randomised, open label, multiple dose, </w:t>
      </w:r>
      <w:r w:rsidR="008D3B68" w:rsidRPr="006A00DA">
        <w:t xml:space="preserve">first in human </w:t>
      </w:r>
      <w:r w:rsidRPr="006A00DA">
        <w:t xml:space="preserve">study of </w:t>
      </w:r>
      <w:r w:rsidR="004B453F">
        <w:t>Trastuzumab</w:t>
      </w:r>
      <w:r w:rsidRPr="006A00DA">
        <w:t xml:space="preserve"> </w:t>
      </w:r>
      <w:proofErr w:type="spellStart"/>
      <w:r w:rsidRPr="006A00DA">
        <w:t>deruxtecan</w:t>
      </w:r>
      <w:proofErr w:type="spellEnd"/>
      <w:r w:rsidRPr="006A00DA">
        <w:t xml:space="preserve">. Part 1 (dose escalation) was intended to identify the </w:t>
      </w:r>
      <w:r w:rsidR="00471292">
        <w:t>maximum tolerated dose</w:t>
      </w:r>
      <w:r w:rsidR="00471292" w:rsidRPr="006A00DA">
        <w:t xml:space="preserve"> </w:t>
      </w:r>
      <w:r w:rsidRPr="006A00DA">
        <w:t xml:space="preserve">or the recommended dose of </w:t>
      </w:r>
      <w:r w:rsidR="004B453F">
        <w:t>Trastuzumab</w:t>
      </w:r>
      <w:r w:rsidRPr="006A00DA">
        <w:t xml:space="preserve"> </w:t>
      </w:r>
      <w:proofErr w:type="spellStart"/>
      <w:r w:rsidRPr="006A00DA">
        <w:t>deruxtecan</w:t>
      </w:r>
      <w:proofErr w:type="spellEnd"/>
      <w:r w:rsidRPr="006A00DA">
        <w:t xml:space="preserve"> and evaluated doses ranging from 0.8 mg/kg to 8 mg/kg. Part 2 (dose expansion) was intended to further assess the safety, tolerability, and efficacy of </w:t>
      </w:r>
      <w:r w:rsidR="004B453F">
        <w:t>Trastuzumab</w:t>
      </w:r>
      <w:r w:rsidRPr="006A00DA">
        <w:t xml:space="preserve"> </w:t>
      </w:r>
      <w:proofErr w:type="spellStart"/>
      <w:r w:rsidRPr="006A00DA">
        <w:t>deruxtecan</w:t>
      </w:r>
      <w:proofErr w:type="spellEnd"/>
      <w:r w:rsidRPr="006A00DA">
        <w:t xml:space="preserve"> at the </w:t>
      </w:r>
      <w:r w:rsidR="00471292">
        <w:t>maximum tolerated</w:t>
      </w:r>
      <w:r w:rsidRPr="006A00DA">
        <w:t>/recommended doses of 5.4 mg/kg and 6.4 mg/kg. Dose expansion was conducted in five cohorts of subjects with various tumour types (breast cancer, gastric or gastroesophageal junction adenocarcinoma) and levels of HER2 expression. The target population of subjects with unresectable or metastatic HER2</w:t>
      </w:r>
      <w:r w:rsidR="00471292">
        <w:noBreakHyphen/>
      </w:r>
      <w:r w:rsidRPr="006A00DA">
        <w:t xml:space="preserve">positive breast cancer was enrolled in Part 1 and Part 2a and all subjects in the target population were administered </w:t>
      </w:r>
      <w:r w:rsidR="004B453F">
        <w:t>Trastuzumab</w:t>
      </w:r>
      <w:r w:rsidRPr="006A00DA">
        <w:t xml:space="preserve"> </w:t>
      </w:r>
      <w:proofErr w:type="spellStart"/>
      <w:r w:rsidRPr="006A00DA">
        <w:t>deruxtecan</w:t>
      </w:r>
      <w:proofErr w:type="spellEnd"/>
      <w:r w:rsidRPr="006A00DA">
        <w:t xml:space="preserve"> as the FL-DP1 formulation.</w:t>
      </w:r>
    </w:p>
    <w:p w14:paraId="5F4E2FF1" w14:textId="39537A83" w:rsidR="00A96EB4" w:rsidRPr="006A00DA" w:rsidRDefault="00A96EB4" w:rsidP="00A96EB4">
      <w:r w:rsidRPr="006A00DA">
        <w:t>Unlike Study DS8201-A-U201, HER2</w:t>
      </w:r>
      <w:r w:rsidR="008D3B68" w:rsidRPr="006A00DA">
        <w:t xml:space="preserve"> </w:t>
      </w:r>
      <w:r w:rsidRPr="006A00DA">
        <w:t xml:space="preserve">expression status was based on local laboratory reports of archival tissue samples. Local </w:t>
      </w:r>
      <w:r w:rsidR="00733847" w:rsidRPr="006A00DA">
        <w:t>immunohistochemistry</w:t>
      </w:r>
      <w:r w:rsidRPr="006A00DA">
        <w:t xml:space="preserve"> score and </w:t>
      </w:r>
      <w:r w:rsidR="00733847" w:rsidRPr="006A00DA">
        <w:rPr>
          <w:i/>
          <w:iCs/>
        </w:rPr>
        <w:t>in situ</w:t>
      </w:r>
      <w:r w:rsidR="00733847" w:rsidRPr="006A00DA">
        <w:t xml:space="preserve"> hybridisation</w:t>
      </w:r>
      <w:r w:rsidRPr="006A00DA">
        <w:t xml:space="preserve"> positivity were based on investigator’s discretion and test method was not recorded on the </w:t>
      </w:r>
      <w:r w:rsidR="00740F54" w:rsidRPr="006A00DA">
        <w:t>electronic case report form</w:t>
      </w:r>
      <w:r w:rsidRPr="006A00DA">
        <w:t xml:space="preserve">. Otherwise, eligibility criteria for the </w:t>
      </w:r>
      <w:r w:rsidRPr="006A00DA">
        <w:lastRenderedPageBreak/>
        <w:t>HER2</w:t>
      </w:r>
      <w:r w:rsidR="008D3B68" w:rsidRPr="006A00DA">
        <w:noBreakHyphen/>
      </w:r>
      <w:r w:rsidRPr="006A00DA">
        <w:t xml:space="preserve">positive breast cancer patient population, study treatments, dose modifications, schedule of events, and overall study conduct were similar across the </w:t>
      </w:r>
      <w:r w:rsidR="00740F54" w:rsidRPr="006A00DA">
        <w:t>two</w:t>
      </w:r>
      <w:r w:rsidRPr="006A00DA">
        <w:t xml:space="preserve"> studies. </w:t>
      </w:r>
      <w:proofErr w:type="gramStart"/>
      <w:r w:rsidRPr="006A00DA">
        <w:t>Similar to</w:t>
      </w:r>
      <w:proofErr w:type="gramEnd"/>
      <w:r w:rsidRPr="006A00DA">
        <w:t xml:space="preserve"> Study DS8201-A-U201, ORR assessed by ICR and based on RECIST v1.1</w:t>
      </w:r>
      <w:r w:rsidR="008D3B68" w:rsidRPr="006A00DA">
        <w:t>;</w:t>
      </w:r>
      <w:r w:rsidR="008D3B68" w:rsidRPr="001D0416">
        <w:fldChar w:fldCharType="begin"/>
      </w:r>
      <w:r w:rsidR="008D3B68" w:rsidRPr="006A00DA">
        <w:instrText xml:space="preserve"> NOTEREF _Ref103260066 \f \h </w:instrText>
      </w:r>
      <w:r w:rsidR="001D0416">
        <w:instrText xml:space="preserve"> \* MERGEFORMAT </w:instrText>
      </w:r>
      <w:r w:rsidR="008D3B68" w:rsidRPr="001D0416">
        <w:fldChar w:fldCharType="separate"/>
      </w:r>
      <w:r w:rsidR="006922A4" w:rsidRPr="001D0416">
        <w:rPr>
          <w:rStyle w:val="FootnoteReference"/>
        </w:rPr>
        <w:t>24</w:t>
      </w:r>
      <w:r w:rsidR="008D3B68" w:rsidRPr="001D0416">
        <w:fldChar w:fldCharType="end"/>
      </w:r>
      <w:r w:rsidRPr="001D0416">
        <w:t xml:space="preserve"> was the primary efficacy endpoint.</w:t>
      </w:r>
    </w:p>
    <w:p w14:paraId="09FB1524" w14:textId="2C60BB29" w:rsidR="00A96EB4" w:rsidRPr="006A00DA" w:rsidRDefault="00A96EB4" w:rsidP="008D3B68">
      <w:r w:rsidRPr="006A00DA">
        <w:t xml:space="preserve">Efficacy analyses were to be performed on the </w:t>
      </w:r>
      <w:r w:rsidR="00740F54" w:rsidRPr="006A00DA">
        <w:t>e</w:t>
      </w:r>
      <w:r w:rsidRPr="006A00DA">
        <w:t xml:space="preserve">nrolled </w:t>
      </w:r>
      <w:r w:rsidR="00740F54" w:rsidRPr="006A00DA">
        <w:t>a</w:t>
      </w:r>
      <w:r w:rsidRPr="006A00DA">
        <w:t xml:space="preserve">nalysis </w:t>
      </w:r>
      <w:r w:rsidR="00740F54" w:rsidRPr="006A00DA">
        <w:t>s</w:t>
      </w:r>
      <w:r w:rsidRPr="006A00DA">
        <w:t>et, with analyses of ORR,</w:t>
      </w:r>
      <w:r w:rsidR="00740F54" w:rsidRPr="006A00DA">
        <w:t xml:space="preserve"> </w:t>
      </w:r>
      <w:r w:rsidR="00974E13" w:rsidRPr="006A00DA">
        <w:t>disease control rate</w:t>
      </w:r>
      <w:r w:rsidRPr="006A00DA">
        <w:t xml:space="preserve">, and </w:t>
      </w:r>
      <w:r w:rsidR="007238E2">
        <w:t>clinical benefit rate</w:t>
      </w:r>
      <w:r w:rsidR="007238E2" w:rsidRPr="006A00DA">
        <w:t xml:space="preserve"> </w:t>
      </w:r>
      <w:r w:rsidRPr="006A00DA">
        <w:t xml:space="preserve">also performed on the </w:t>
      </w:r>
      <w:r w:rsidR="00740F54" w:rsidRPr="006A00DA">
        <w:t>r</w:t>
      </w:r>
      <w:r w:rsidRPr="006A00DA">
        <w:t xml:space="preserve">esponse </w:t>
      </w:r>
      <w:r w:rsidR="00740F54" w:rsidRPr="006A00DA">
        <w:t>e</w:t>
      </w:r>
      <w:r w:rsidRPr="006A00DA">
        <w:t xml:space="preserve">valuable </w:t>
      </w:r>
      <w:r w:rsidR="00740F54" w:rsidRPr="006A00DA">
        <w:t>s</w:t>
      </w:r>
      <w:r w:rsidRPr="006A00DA">
        <w:t>et. The sample size in each of the</w:t>
      </w:r>
      <w:r w:rsidR="00740F54" w:rsidRPr="006A00DA">
        <w:t xml:space="preserve"> d</w:t>
      </w:r>
      <w:r w:rsidRPr="006A00DA">
        <w:t xml:space="preserve">ose </w:t>
      </w:r>
      <w:r w:rsidR="00740F54" w:rsidRPr="006A00DA">
        <w:t>e</w:t>
      </w:r>
      <w:r w:rsidRPr="006A00DA">
        <w:t>xpansion cohorts was based on hypothes</w:t>
      </w:r>
      <w:r w:rsidR="0095510B" w:rsidRPr="006A00DA">
        <w:t>is</w:t>
      </w:r>
      <w:r w:rsidRPr="006A00DA">
        <w:t>ed ORR for each cohort. Since it is important</w:t>
      </w:r>
      <w:r w:rsidR="00740F54" w:rsidRPr="006A00DA">
        <w:t xml:space="preserve"> </w:t>
      </w:r>
      <w:r w:rsidRPr="006A00DA">
        <w:t>to maxim</w:t>
      </w:r>
      <w:r w:rsidR="0095510B" w:rsidRPr="006A00DA">
        <w:t>is</w:t>
      </w:r>
      <w:r w:rsidRPr="006A00DA">
        <w:t xml:space="preserve">e the precision of the estimated treatment effect for a given tumour type at the </w:t>
      </w:r>
      <w:r w:rsidR="00740F54" w:rsidRPr="006A00DA">
        <w:t>recommended Phase II dose</w:t>
      </w:r>
      <w:r w:rsidRPr="006A00DA">
        <w:t>,</w:t>
      </w:r>
      <w:r w:rsidR="00740F54" w:rsidRPr="006A00DA">
        <w:t xml:space="preserve"> </w:t>
      </w:r>
      <w:r w:rsidRPr="006A00DA">
        <w:t xml:space="preserve">for data analysis purposes, efficacy data from subjects dosed at the </w:t>
      </w:r>
      <w:r w:rsidR="00740F54" w:rsidRPr="006A00DA">
        <w:t>recommended Phase II dose</w:t>
      </w:r>
      <w:r w:rsidRPr="006A00DA">
        <w:t xml:space="preserve"> in the </w:t>
      </w:r>
      <w:r w:rsidR="00740F54" w:rsidRPr="006A00DA">
        <w:t>d</w:t>
      </w:r>
      <w:r w:rsidRPr="006A00DA">
        <w:t xml:space="preserve">ose </w:t>
      </w:r>
      <w:r w:rsidR="00740F54" w:rsidRPr="006A00DA">
        <w:t>e</w:t>
      </w:r>
      <w:r w:rsidRPr="006A00DA">
        <w:t>scalation</w:t>
      </w:r>
      <w:r w:rsidR="00740F54" w:rsidRPr="006A00DA">
        <w:t xml:space="preserve"> </w:t>
      </w:r>
      <w:r w:rsidRPr="006A00DA">
        <w:t xml:space="preserve">phase was pooled with the efficacy data from the corresponding tumour type cohorts in the </w:t>
      </w:r>
      <w:r w:rsidR="00740F54" w:rsidRPr="006A00DA">
        <w:t>d</w:t>
      </w:r>
      <w:r w:rsidRPr="006A00DA">
        <w:t xml:space="preserve">ose </w:t>
      </w:r>
      <w:r w:rsidR="00740F54" w:rsidRPr="006A00DA">
        <w:t>e</w:t>
      </w:r>
      <w:r w:rsidRPr="006A00DA">
        <w:t>xpansion phase to calculate the overall efficacy estimates. Efficacy analyses were performed based on both ICR and investigator review, with ICR</w:t>
      </w:r>
      <w:r w:rsidR="00740F54" w:rsidRPr="006A00DA">
        <w:t xml:space="preserve"> </w:t>
      </w:r>
      <w:r w:rsidRPr="006A00DA">
        <w:t xml:space="preserve">based response rates in the </w:t>
      </w:r>
      <w:r w:rsidR="00740F54" w:rsidRPr="006A00DA">
        <w:t>e</w:t>
      </w:r>
      <w:r w:rsidRPr="006A00DA">
        <w:t xml:space="preserve">nrolled </w:t>
      </w:r>
      <w:r w:rsidR="00740F54" w:rsidRPr="006A00DA">
        <w:t>a</w:t>
      </w:r>
      <w:r w:rsidRPr="006A00DA">
        <w:t xml:space="preserve">nalysis </w:t>
      </w:r>
      <w:r w:rsidR="00740F54" w:rsidRPr="006A00DA">
        <w:t>s</w:t>
      </w:r>
      <w:r w:rsidRPr="006A00DA">
        <w:t>et considered to be the main efficacy variables of interest.</w:t>
      </w:r>
    </w:p>
    <w:p w14:paraId="0066C625" w14:textId="05BA4588" w:rsidR="00A96EB4" w:rsidRPr="006A00DA" w:rsidRDefault="00A96EB4" w:rsidP="008D3B68">
      <w:pPr>
        <w:rPr>
          <w:b/>
        </w:rPr>
      </w:pPr>
      <w:r w:rsidRPr="006A00DA">
        <w:t>A total of 51 subjects with unresectable or metastatic HER2</w:t>
      </w:r>
      <w:r w:rsidR="00740F54" w:rsidRPr="006A00DA">
        <w:t xml:space="preserve"> </w:t>
      </w:r>
      <w:r w:rsidRPr="006A00DA">
        <w:t xml:space="preserve">positive breast cancer were enrolled in the 5.4 mg/kg dose cohort in Part 1 or Part 2a of the study with 50 of these patients receiving study drug. At </w:t>
      </w:r>
      <w:r w:rsidR="00740F54" w:rsidRPr="006A00DA">
        <w:t>data cut</w:t>
      </w:r>
      <w:r w:rsidR="007238E2">
        <w:t>-</w:t>
      </w:r>
      <w:r w:rsidR="00740F54" w:rsidRPr="006A00DA">
        <w:t xml:space="preserve">off </w:t>
      </w:r>
      <w:r w:rsidRPr="006A00DA">
        <w:t xml:space="preserve">1 August 2019 the median duration of treatment for this cohort was 8.54 months. The median DOR of the 26 responders was 10.8 months (95% CI: 6.7, </w:t>
      </w:r>
      <w:r w:rsidR="00740F54" w:rsidRPr="006A00DA">
        <w:t>not estimable</w:t>
      </w:r>
      <w:r w:rsidRPr="006A00DA">
        <w:t>). The study report grouped the efficacy results for the HER2</w:t>
      </w:r>
      <w:r w:rsidR="007238E2">
        <w:t>-</w:t>
      </w:r>
      <w:r w:rsidRPr="006A00DA">
        <w:t>positive breast cancer groups given 5.4 mg/kg and 6.4 mg/kg. For these 118</w:t>
      </w:r>
      <w:r w:rsidR="007238E2">
        <w:t> </w:t>
      </w:r>
      <w:r w:rsidRPr="006A00DA">
        <w:t xml:space="preserve">patients the ORR by </w:t>
      </w:r>
      <w:r w:rsidR="00740F54" w:rsidRPr="006A00DA">
        <w:t>i</w:t>
      </w:r>
      <w:r w:rsidRPr="006A00DA">
        <w:t>nvestigator was 71 (60.2%) and by ICR was 62 (52.5%).</w:t>
      </w:r>
    </w:p>
    <w:p w14:paraId="01CC3889" w14:textId="77777777" w:rsidR="00A96EB4" w:rsidRPr="006A00DA" w:rsidRDefault="00A96EB4" w:rsidP="00740F54">
      <w:pPr>
        <w:pStyle w:val="Heading4"/>
      </w:pPr>
      <w:r w:rsidRPr="006A00DA">
        <w:t>Safety</w:t>
      </w:r>
    </w:p>
    <w:p w14:paraId="12A19101" w14:textId="757BA37A" w:rsidR="00A96EB4" w:rsidRPr="006A00DA" w:rsidRDefault="00A96EB4" w:rsidP="00A96EB4">
      <w:r w:rsidRPr="006A00DA">
        <w:t>Exposure</w:t>
      </w:r>
      <w:r w:rsidR="008D3B68" w:rsidRPr="006A00DA">
        <w:t xml:space="preserve"> </w:t>
      </w:r>
      <w:r w:rsidRPr="006A00DA">
        <w:t>response analyses for safety were conducted using data across all doses tested</w:t>
      </w:r>
      <w:r w:rsidR="00740F54" w:rsidRPr="006A00DA">
        <w:t xml:space="preserve"> </w:t>
      </w:r>
      <w:r w:rsidRPr="006A00DA">
        <w:t xml:space="preserve">(0.8 mg/kg to 8 mg/kg) across the </w:t>
      </w:r>
      <w:r w:rsidR="00740F54" w:rsidRPr="006A00DA">
        <w:t>five</w:t>
      </w:r>
      <w:r w:rsidRPr="006A00DA">
        <w:t xml:space="preserve"> clinical studies included in the submission. In these multivariate analyses, all evaluated safety endpoints showed a statistically significant (p</w:t>
      </w:r>
      <w:r w:rsidR="007238E2">
        <w:t> </w:t>
      </w:r>
      <w:r w:rsidRPr="006A00DA">
        <w:t>≤</w:t>
      </w:r>
      <w:r w:rsidR="00740F54" w:rsidRPr="006A00DA">
        <w:t> </w:t>
      </w:r>
      <w:r w:rsidRPr="006A00DA">
        <w:t xml:space="preserve">0.05) </w:t>
      </w:r>
      <w:r w:rsidR="008D3B68" w:rsidRPr="006A00DA">
        <w:t xml:space="preserve">exposure </w:t>
      </w:r>
      <w:proofErr w:type="spellStart"/>
      <w:r w:rsidR="008D3B68" w:rsidRPr="006A00DA">
        <w:t>resposne</w:t>
      </w:r>
      <w:proofErr w:type="spellEnd"/>
      <w:r w:rsidRPr="006A00DA">
        <w:t xml:space="preserve"> relationship with </w:t>
      </w:r>
      <w:r w:rsidR="008D3B68" w:rsidRPr="006A00DA">
        <w:t>one</w:t>
      </w:r>
      <w:r w:rsidRPr="006A00DA">
        <w:t xml:space="preserve"> or more of the exposure parameters evaluated for </w:t>
      </w:r>
      <w:r w:rsidR="004B453F">
        <w:t>Trastuzumab</w:t>
      </w:r>
      <w:r w:rsidRPr="006A00DA">
        <w:t xml:space="preserve"> </w:t>
      </w:r>
      <w:proofErr w:type="spellStart"/>
      <w:r w:rsidRPr="006A00DA">
        <w:t>deruxtecan</w:t>
      </w:r>
      <w:proofErr w:type="spellEnd"/>
      <w:r w:rsidRPr="006A00DA">
        <w:t xml:space="preserve"> or MAAA-1181a. </w:t>
      </w:r>
      <w:r w:rsidR="004B453F">
        <w:t>Trastuzumab</w:t>
      </w:r>
      <w:r w:rsidRPr="006A00DA">
        <w:t xml:space="preserve"> </w:t>
      </w:r>
      <w:proofErr w:type="spellStart"/>
      <w:r w:rsidRPr="006A00DA">
        <w:t>deruxtecan</w:t>
      </w:r>
      <w:proofErr w:type="spellEnd"/>
      <w:r w:rsidRPr="006A00DA">
        <w:t xml:space="preserve"> AU</w:t>
      </w:r>
      <w:r w:rsidR="008D3B68" w:rsidRPr="006A00DA">
        <w:t>C at steady state</w:t>
      </w:r>
      <w:r w:rsidRPr="006A00DA">
        <w:t xml:space="preserve"> was a statistically significant predictor for discontinuation associated with </w:t>
      </w:r>
      <w:r w:rsidR="007238E2">
        <w:t>adverse events</w:t>
      </w:r>
      <w:r w:rsidR="007238E2" w:rsidRPr="006A00DA">
        <w:t xml:space="preserve"> </w:t>
      </w:r>
      <w:r w:rsidRPr="006A00DA">
        <w:t>(p</w:t>
      </w:r>
      <w:r w:rsidR="008D3B68" w:rsidRPr="006A00DA">
        <w:t xml:space="preserve"> </w:t>
      </w:r>
      <w:r w:rsidRPr="006A00DA">
        <w:t>&lt;</w:t>
      </w:r>
      <w:r w:rsidR="00740F54" w:rsidRPr="006A00DA">
        <w:t> </w:t>
      </w:r>
      <w:r w:rsidRPr="006A00DA">
        <w:t>0.001) and interstitial lung disease of any grade (p</w:t>
      </w:r>
      <w:r w:rsidR="008D3B68" w:rsidRPr="006A00DA">
        <w:t xml:space="preserve"> </w:t>
      </w:r>
      <w:r w:rsidRPr="006A00DA">
        <w:t>value &lt;</w:t>
      </w:r>
      <w:r w:rsidR="00740F54" w:rsidRPr="006A00DA">
        <w:t> </w:t>
      </w:r>
      <w:r w:rsidRPr="006A00DA">
        <w:t xml:space="preserve">0.001); </w:t>
      </w:r>
      <w:r w:rsidR="004B453F">
        <w:t>Trastuzumab</w:t>
      </w:r>
      <w:r w:rsidRPr="006A00DA">
        <w:t xml:space="preserve"> </w:t>
      </w:r>
      <w:proofErr w:type="spellStart"/>
      <w:r w:rsidRPr="006A00DA">
        <w:t>deruxtecan</w:t>
      </w:r>
      <w:proofErr w:type="spellEnd"/>
      <w:r w:rsidRPr="006A00DA">
        <w:t xml:space="preserve"> </w:t>
      </w:r>
      <w:proofErr w:type="spellStart"/>
      <w:r w:rsidRPr="006A00DA">
        <w:t>C</w:t>
      </w:r>
      <w:r w:rsidRPr="006A00DA">
        <w:rPr>
          <w:vertAlign w:val="subscript"/>
        </w:rPr>
        <w:t>max</w:t>
      </w:r>
      <w:proofErr w:type="spellEnd"/>
      <w:r w:rsidRPr="006A00DA">
        <w:t xml:space="preserve"> at steady-state was a statistically significant predictor for </w:t>
      </w:r>
      <w:r w:rsidR="007238E2">
        <w:t>interstitial lung disease</w:t>
      </w:r>
      <w:r w:rsidR="007238E2" w:rsidRPr="006A00DA">
        <w:t xml:space="preserve"> </w:t>
      </w:r>
      <w:r w:rsidRPr="006A00DA">
        <w:t>≥</w:t>
      </w:r>
      <w:r w:rsidR="00740F54" w:rsidRPr="006A00DA">
        <w:t> </w:t>
      </w:r>
      <w:r w:rsidRPr="006A00DA">
        <w:t>Grade 3 (</w:t>
      </w:r>
      <w:r w:rsidR="00740F54" w:rsidRPr="006A00DA">
        <w:t>p</w:t>
      </w:r>
      <w:r w:rsidR="008D3B68" w:rsidRPr="006A00DA">
        <w:t xml:space="preserve"> </w:t>
      </w:r>
      <w:r w:rsidRPr="006A00DA">
        <w:t>&lt;</w:t>
      </w:r>
      <w:r w:rsidR="00740F54" w:rsidRPr="006A00DA">
        <w:t> </w:t>
      </w:r>
      <w:r w:rsidRPr="006A00DA">
        <w:t>0.001) and ≥</w:t>
      </w:r>
      <w:r w:rsidR="008D3B68" w:rsidRPr="006A00DA">
        <w:t> </w:t>
      </w:r>
      <w:r w:rsidRPr="006A00DA">
        <w:t>Grade 2</w:t>
      </w:r>
      <w:r w:rsidR="008D3B68" w:rsidRPr="006A00DA">
        <w:t xml:space="preserve"> left ventricular ejection fraction (</w:t>
      </w:r>
      <w:r w:rsidRPr="006A00DA">
        <w:t>LVEF</w:t>
      </w:r>
      <w:r w:rsidR="008D3B68" w:rsidRPr="006A00DA">
        <w:t>)</w:t>
      </w:r>
      <w:r w:rsidRPr="006A00DA">
        <w:t xml:space="preserve"> decrease (</w:t>
      </w:r>
      <w:r w:rsidR="00740F54" w:rsidRPr="006A00DA">
        <w:t>p</w:t>
      </w:r>
      <w:r w:rsidR="008D3B68" w:rsidRPr="006A00DA">
        <w:t xml:space="preserve"> </w:t>
      </w:r>
      <w:r w:rsidRPr="006A00DA">
        <w:t>value &lt;</w:t>
      </w:r>
      <w:r w:rsidR="00740F54" w:rsidRPr="006A00DA">
        <w:t> </w:t>
      </w:r>
      <w:r w:rsidRPr="006A00DA">
        <w:t xml:space="preserve">0.001), while </w:t>
      </w:r>
      <w:proofErr w:type="spellStart"/>
      <w:r w:rsidRPr="006A00DA">
        <w:t>C</w:t>
      </w:r>
      <w:r w:rsidRPr="006A00DA">
        <w:rPr>
          <w:vertAlign w:val="subscript"/>
        </w:rPr>
        <w:t>avg</w:t>
      </w:r>
      <w:proofErr w:type="spellEnd"/>
      <w:r w:rsidRPr="006A00DA">
        <w:t xml:space="preserve"> through the event cycle for MAAA</w:t>
      </w:r>
      <w:r w:rsidR="008D3B68" w:rsidRPr="006A00DA">
        <w:noBreakHyphen/>
      </w:r>
      <w:r w:rsidRPr="006A00DA">
        <w:t>1181a was a significant predictor for all other evaluated safety endpoints.</w:t>
      </w:r>
    </w:p>
    <w:p w14:paraId="5B447BD0" w14:textId="14D116E3" w:rsidR="00A96EB4" w:rsidRPr="006A00DA" w:rsidRDefault="00A96EB4" w:rsidP="00A96EB4">
      <w:r w:rsidRPr="006A00DA">
        <w:t xml:space="preserve">The integrated safety analyses focused primarily on safety data from the target indication of HER2-positive breast cancer and the target dosing regimen of 5.4 mg/kg </w:t>
      </w:r>
      <w:r w:rsidR="008D3B68" w:rsidRPr="006A00DA">
        <w:t xml:space="preserve">once </w:t>
      </w:r>
      <w:r w:rsidR="00740F54" w:rsidRPr="006A00DA">
        <w:t>every 3</w:t>
      </w:r>
      <w:r w:rsidR="007238E2">
        <w:t> </w:t>
      </w:r>
      <w:r w:rsidR="00740F54" w:rsidRPr="006A00DA">
        <w:t>weeks</w:t>
      </w:r>
      <w:r w:rsidRPr="006A00DA">
        <w:t>, derived from the pooled data in Study DS8201-A-J101 or DS8201-A-U201 (hereafter referred to as the HER2</w:t>
      </w:r>
      <w:r w:rsidR="008D3B68" w:rsidRPr="006A00DA">
        <w:t>-</w:t>
      </w:r>
      <w:r w:rsidRPr="006A00DA">
        <w:t xml:space="preserve">positive </w:t>
      </w:r>
      <w:r w:rsidR="00740F54" w:rsidRPr="006A00DA">
        <w:t>b</w:t>
      </w:r>
      <w:r w:rsidRPr="006A00DA">
        <w:t xml:space="preserve">reast </w:t>
      </w:r>
      <w:r w:rsidR="00740F54" w:rsidRPr="006A00DA">
        <w:t>c</w:t>
      </w:r>
      <w:r w:rsidRPr="006A00DA">
        <w:t xml:space="preserve">ancer 5.4 mg/kg </w:t>
      </w:r>
      <w:r w:rsidR="00740F54" w:rsidRPr="006A00DA">
        <w:t>p</w:t>
      </w:r>
      <w:r w:rsidRPr="006A00DA">
        <w:t xml:space="preserve">ool). Three additional completed studies were not included in the pooled safety analyses due to the heterogeneity of study design and study population, and relatively short duration of exposure (median 4.6 </w:t>
      </w:r>
      <w:r w:rsidR="00740F54" w:rsidRPr="006A00DA">
        <w:t>to</w:t>
      </w:r>
      <w:r w:rsidRPr="006A00DA">
        <w:t xml:space="preserve"> 5.5 months).</w:t>
      </w:r>
    </w:p>
    <w:p w14:paraId="6D4EB7CF" w14:textId="3A1FA5E1" w:rsidR="00A96EB4" w:rsidRPr="006A00DA" w:rsidRDefault="00A96EB4" w:rsidP="00A96EB4">
      <w:r w:rsidRPr="006A00DA">
        <w:t xml:space="preserve">The safety database for this submission included 645 subjects who received at least </w:t>
      </w:r>
      <w:r w:rsidR="00740F54" w:rsidRPr="006A00DA">
        <w:t>one</w:t>
      </w:r>
      <w:r w:rsidRPr="006A00DA">
        <w:t xml:space="preserve"> dose of </w:t>
      </w:r>
      <w:r w:rsidR="004B453F">
        <w:t>Trastuzumab</w:t>
      </w:r>
      <w:r w:rsidRPr="006A00DA">
        <w:t xml:space="preserve"> </w:t>
      </w:r>
      <w:proofErr w:type="spellStart"/>
      <w:r w:rsidRPr="006A00DA">
        <w:t>deruxtecan</w:t>
      </w:r>
      <w:proofErr w:type="spellEnd"/>
      <w:r w:rsidRPr="006A00DA">
        <w:t xml:space="preserve"> from the </w:t>
      </w:r>
      <w:r w:rsidR="00740F54" w:rsidRPr="006A00DA">
        <w:t>five</w:t>
      </w:r>
      <w:r w:rsidRPr="006A00DA">
        <w:t xml:space="preserve"> completed studies, including 234 subjects with HER2</w:t>
      </w:r>
      <w:r w:rsidR="008D3B68" w:rsidRPr="006A00DA">
        <w:t>-</w:t>
      </w:r>
      <w:r w:rsidRPr="006A00DA">
        <w:t>positive breast cancer who were treated with 5.4 mg/kg. The median duration of exposure to study drug was 6.96 months in the HER2</w:t>
      </w:r>
      <w:r w:rsidR="007238E2">
        <w:t>-</w:t>
      </w:r>
      <w:r w:rsidRPr="006A00DA">
        <w:t xml:space="preserve">positive </w:t>
      </w:r>
      <w:r w:rsidR="00740F54" w:rsidRPr="006A00DA">
        <w:t>b</w:t>
      </w:r>
      <w:r w:rsidRPr="006A00DA">
        <w:t xml:space="preserve">reast </w:t>
      </w:r>
      <w:r w:rsidR="00740F54" w:rsidRPr="006A00DA">
        <w:t>c</w:t>
      </w:r>
      <w:r w:rsidRPr="006A00DA">
        <w:t xml:space="preserve">ancer 5.4 mg/kg </w:t>
      </w:r>
      <w:r w:rsidR="00740F54" w:rsidRPr="006A00DA">
        <w:t>p</w:t>
      </w:r>
      <w:r w:rsidRPr="006A00DA">
        <w:t>ool, compared to 8.97 months in the HER2</w:t>
      </w:r>
      <w:r w:rsidR="007238E2">
        <w:t>-</w:t>
      </w:r>
      <w:r w:rsidRPr="006A00DA">
        <w:t xml:space="preserve">positive </w:t>
      </w:r>
      <w:r w:rsidR="00740F54" w:rsidRPr="006A00DA">
        <w:t>b</w:t>
      </w:r>
      <w:r w:rsidRPr="006A00DA">
        <w:t xml:space="preserve">reast </w:t>
      </w:r>
      <w:r w:rsidR="00740F54" w:rsidRPr="006A00DA">
        <w:t>c</w:t>
      </w:r>
      <w:r w:rsidRPr="006A00DA">
        <w:t>ancer ≥</w:t>
      </w:r>
      <w:r w:rsidR="00740F54" w:rsidRPr="006A00DA">
        <w:t> </w:t>
      </w:r>
      <w:r w:rsidRPr="006A00DA">
        <w:t xml:space="preserve">6.4 mg/kg </w:t>
      </w:r>
      <w:r w:rsidR="00740F54" w:rsidRPr="006A00DA">
        <w:t>p</w:t>
      </w:r>
      <w:r w:rsidRPr="006A00DA">
        <w:t>ool.</w:t>
      </w:r>
    </w:p>
    <w:p w14:paraId="7FEE6F3D" w14:textId="0C0A568D" w:rsidR="00A96EB4" w:rsidRPr="006A00DA" w:rsidRDefault="00A96EB4" w:rsidP="00A96EB4">
      <w:r w:rsidRPr="006A00DA">
        <w:t xml:space="preserve">In subjects in the HER2-positive </w:t>
      </w:r>
      <w:r w:rsidR="00740F54" w:rsidRPr="006A00DA">
        <w:t>b</w:t>
      </w:r>
      <w:r w:rsidRPr="006A00DA">
        <w:t xml:space="preserve">reast </w:t>
      </w:r>
      <w:r w:rsidR="00740F54" w:rsidRPr="006A00DA">
        <w:t>c</w:t>
      </w:r>
      <w:r w:rsidRPr="006A00DA">
        <w:t xml:space="preserve">ancer 5.4 mg/kg </w:t>
      </w:r>
      <w:r w:rsidR="00740F54" w:rsidRPr="006A00DA">
        <w:t>p</w:t>
      </w:r>
      <w:r w:rsidRPr="006A00DA">
        <w:t>ool the median age was 56</w:t>
      </w:r>
      <w:r w:rsidR="007238E2">
        <w:t> </w:t>
      </w:r>
      <w:r w:rsidRPr="006A00DA">
        <w:t xml:space="preserve">years (range: 28 to 96); 99.6% were female; 50.9% were White, 41.5% were Asian, 3% were Black or African American; and 57.7% had an ECOG PS of 0 and 41.9% had an ECOG PS of 1. There was only </w:t>
      </w:r>
      <w:r w:rsidR="00740F54" w:rsidRPr="006A00DA">
        <w:t>one</w:t>
      </w:r>
      <w:r w:rsidRPr="006A00DA">
        <w:t xml:space="preserve"> male in the 5.4 mg/kg pool. Patients with a history of treated </w:t>
      </w:r>
      <w:r w:rsidR="007238E2">
        <w:lastRenderedPageBreak/>
        <w:t>interstitial lung disease</w:t>
      </w:r>
      <w:r w:rsidR="007238E2" w:rsidRPr="006A00DA">
        <w:t xml:space="preserve"> </w:t>
      </w:r>
      <w:r w:rsidRPr="006A00DA">
        <w:t xml:space="preserve">or </w:t>
      </w:r>
      <w:r w:rsidR="007238E2">
        <w:t>disease</w:t>
      </w:r>
      <w:r w:rsidR="007238E2" w:rsidRPr="006A00DA">
        <w:t xml:space="preserve"> </w:t>
      </w:r>
      <w:r w:rsidRPr="006A00DA">
        <w:t>at screening and patients with a history of clinically significant cardiac disease were excluded from the studies.</w:t>
      </w:r>
    </w:p>
    <w:p w14:paraId="792E7EDA" w14:textId="7E1AE67F" w:rsidR="00A96EB4" w:rsidRPr="006A00DA" w:rsidRDefault="00A96EB4" w:rsidP="00A96EB4">
      <w:r w:rsidRPr="006A00DA">
        <w:t>The following safety assessment results are from the safety update of August 2019 for the HER2</w:t>
      </w:r>
      <w:r w:rsidR="00740F54" w:rsidRPr="006A00DA">
        <w:t xml:space="preserve"> positive</w:t>
      </w:r>
      <w:r w:rsidRPr="006A00DA">
        <w:t xml:space="preserve"> breast cancer pool given 5.4 mg/kg </w:t>
      </w:r>
      <w:r w:rsidR="004B453F">
        <w:t>Trastuzumab</w:t>
      </w:r>
      <w:r w:rsidRPr="006A00DA">
        <w:t xml:space="preserve"> </w:t>
      </w:r>
      <w:proofErr w:type="spellStart"/>
      <w:r w:rsidRPr="006A00DA">
        <w:t>deruxtecan</w:t>
      </w:r>
      <w:proofErr w:type="spellEnd"/>
      <w:r w:rsidRPr="006A00DA">
        <w:t>. The median duration of exposure was 9.82 months (</w:t>
      </w:r>
      <w:r w:rsidR="008D3B68" w:rsidRPr="006A00DA">
        <w:t>r</w:t>
      </w:r>
      <w:r w:rsidRPr="006A00DA">
        <w:t xml:space="preserve">ange 0.7 </w:t>
      </w:r>
      <w:r w:rsidR="00740F54" w:rsidRPr="006A00DA">
        <w:t>to</w:t>
      </w:r>
      <w:r w:rsidRPr="006A00DA">
        <w:t xml:space="preserve"> 37.1 months) for these 234 subjects. At that time 148 (63.2%) of these patients had discontinued treatment. The most frequent reasons for discontinuations were </w:t>
      </w:r>
      <w:r w:rsidR="00740F54" w:rsidRPr="006A00DA">
        <w:t>adverse event</w:t>
      </w:r>
      <w:r w:rsidR="007238E2">
        <w:t>s</w:t>
      </w:r>
      <w:r w:rsidR="00740F54" w:rsidRPr="006A00DA">
        <w:t xml:space="preserve"> (</w:t>
      </w:r>
      <w:r w:rsidRPr="006A00DA">
        <w:t>AE</w:t>
      </w:r>
      <w:r w:rsidR="00740F54" w:rsidRPr="006A00DA">
        <w:t>)</w:t>
      </w:r>
      <w:r w:rsidRPr="006A00DA">
        <w:t xml:space="preserve"> (16.2%), clinical progression (2.1%), death (3.4%) and progressive disease (32.1%).</w:t>
      </w:r>
    </w:p>
    <w:p w14:paraId="07C56F9A" w14:textId="6DDAB3E5" w:rsidR="00A96EB4" w:rsidRPr="006A00DA" w:rsidRDefault="00A96EB4" w:rsidP="00A96EB4">
      <w:r w:rsidRPr="006A00DA">
        <w:t>The most commonly reported (≥</w:t>
      </w:r>
      <w:r w:rsidR="00740F54" w:rsidRPr="006A00DA">
        <w:t> </w:t>
      </w:r>
      <w:r w:rsidRPr="006A00DA">
        <w:t>10% in the HER2</w:t>
      </w:r>
      <w:r w:rsidR="008D3B68" w:rsidRPr="006A00DA">
        <w:t>-</w:t>
      </w:r>
      <w:r w:rsidRPr="006A00DA">
        <w:t xml:space="preserve">positive </w:t>
      </w:r>
      <w:r w:rsidR="00740F54" w:rsidRPr="006A00DA">
        <w:t>b</w:t>
      </w:r>
      <w:r w:rsidRPr="006A00DA">
        <w:t xml:space="preserve">reast </w:t>
      </w:r>
      <w:r w:rsidR="00740F54" w:rsidRPr="006A00DA">
        <w:t>c</w:t>
      </w:r>
      <w:r w:rsidRPr="006A00DA">
        <w:t xml:space="preserve">ancer 5.4 mg/kg </w:t>
      </w:r>
      <w:r w:rsidR="00740F54" w:rsidRPr="006A00DA">
        <w:t>p</w:t>
      </w:r>
      <w:r w:rsidRPr="006A00DA">
        <w:t xml:space="preserve">ool) </w:t>
      </w:r>
      <w:r w:rsidR="00740F54" w:rsidRPr="006A00DA">
        <w:t>t</w:t>
      </w:r>
      <w:r w:rsidRPr="006A00DA">
        <w:t>reatment</w:t>
      </w:r>
      <w:r w:rsidR="00740F54" w:rsidRPr="006A00DA">
        <w:t xml:space="preserve"> e</w:t>
      </w:r>
      <w:r w:rsidRPr="006A00DA">
        <w:t xml:space="preserve">mergent </w:t>
      </w:r>
      <w:r w:rsidR="00740F54" w:rsidRPr="006A00DA">
        <w:t>a</w:t>
      </w:r>
      <w:r w:rsidRPr="006A00DA">
        <w:t xml:space="preserve">dverse </w:t>
      </w:r>
      <w:r w:rsidR="00740F54" w:rsidRPr="006A00DA">
        <w:t>ev</w:t>
      </w:r>
      <w:r w:rsidRPr="006A00DA">
        <w:t>ents</w:t>
      </w:r>
      <w:r w:rsidR="00740F54" w:rsidRPr="006A00DA">
        <w:t xml:space="preserve"> (TEAE)</w:t>
      </w:r>
      <w:r w:rsidRPr="006A00DA">
        <w:t xml:space="preserve"> are shown in </w:t>
      </w:r>
      <w:r w:rsidR="00740F54" w:rsidRPr="001D0416">
        <w:fldChar w:fldCharType="begin"/>
      </w:r>
      <w:r w:rsidR="00740F54" w:rsidRPr="006A00DA">
        <w:instrText xml:space="preserve"> REF _Ref103164117 \h </w:instrText>
      </w:r>
      <w:r w:rsidR="001D0416">
        <w:instrText xml:space="preserve"> \* MERGEFORMAT </w:instrText>
      </w:r>
      <w:r w:rsidR="00740F54" w:rsidRPr="001D0416">
        <w:fldChar w:fldCharType="separate"/>
      </w:r>
      <w:r w:rsidR="006922A4" w:rsidRPr="001D0416">
        <w:t xml:space="preserve">Table </w:t>
      </w:r>
      <w:r w:rsidR="006922A4" w:rsidRPr="001D0416">
        <w:rPr>
          <w:noProof/>
        </w:rPr>
        <w:t>7</w:t>
      </w:r>
      <w:r w:rsidR="00740F54" w:rsidRPr="001D0416">
        <w:fldChar w:fldCharType="end"/>
      </w:r>
      <w:r w:rsidR="005C713A" w:rsidRPr="001D0416">
        <w:t xml:space="preserve">, </w:t>
      </w:r>
      <w:r w:rsidR="005C713A" w:rsidRPr="001D0416">
        <w:fldChar w:fldCharType="begin"/>
      </w:r>
      <w:r w:rsidR="005C713A" w:rsidRPr="006A00DA">
        <w:instrText xml:space="preserve"> REF _Ref103164456 \h </w:instrText>
      </w:r>
      <w:r w:rsidR="001D0416">
        <w:instrText xml:space="preserve"> \* MERGEFORMAT </w:instrText>
      </w:r>
      <w:r w:rsidR="005C713A" w:rsidRPr="001D0416">
        <w:fldChar w:fldCharType="separate"/>
      </w:r>
      <w:r w:rsidR="006922A4" w:rsidRPr="001D0416">
        <w:t xml:space="preserve">Table </w:t>
      </w:r>
      <w:r w:rsidR="006922A4" w:rsidRPr="001D0416">
        <w:rPr>
          <w:noProof/>
        </w:rPr>
        <w:t>8</w:t>
      </w:r>
      <w:r w:rsidR="005C713A" w:rsidRPr="001D0416">
        <w:fldChar w:fldCharType="end"/>
      </w:r>
      <w:r w:rsidR="005C713A" w:rsidRPr="001D0416">
        <w:t xml:space="preserve"> and </w:t>
      </w:r>
      <w:r w:rsidR="005C713A" w:rsidRPr="001D0416">
        <w:fldChar w:fldCharType="begin"/>
      </w:r>
      <w:r w:rsidR="005C713A" w:rsidRPr="006A00DA">
        <w:instrText xml:space="preserve"> REF _Ref103164458 \h </w:instrText>
      </w:r>
      <w:r w:rsidR="005C713A" w:rsidRPr="001D0416">
        <w:fldChar w:fldCharType="separate"/>
      </w:r>
      <w:r w:rsidR="006922A4" w:rsidRPr="001D0416">
        <w:t xml:space="preserve">Table </w:t>
      </w:r>
      <w:r w:rsidR="006922A4" w:rsidRPr="001D0416">
        <w:rPr>
          <w:noProof/>
        </w:rPr>
        <w:t>9</w:t>
      </w:r>
      <w:r w:rsidR="005C713A" w:rsidRPr="001D0416">
        <w:fldChar w:fldCharType="end"/>
      </w:r>
      <w:r w:rsidR="00740F54" w:rsidRPr="001D0416">
        <w:t xml:space="preserve"> </w:t>
      </w:r>
      <w:r w:rsidRPr="006A00DA">
        <w:t>below with the initial safety analysis results from the clinical study report and the Data Safety Update results for 1 August 2019.</w:t>
      </w:r>
    </w:p>
    <w:p w14:paraId="396A4BD2" w14:textId="03A7066A" w:rsidR="00A96EB4" w:rsidRPr="006A00DA" w:rsidRDefault="00740F54" w:rsidP="00D05EC9">
      <w:pPr>
        <w:pStyle w:val="TableTitle"/>
      </w:pPr>
      <w:bookmarkStart w:id="56" w:name="_Ref103164117"/>
      <w:r w:rsidRPr="006A00DA">
        <w:t xml:space="preserve">Table </w:t>
      </w:r>
      <w:r w:rsidR="007E037A" w:rsidRPr="001D0416">
        <w:fldChar w:fldCharType="begin"/>
      </w:r>
      <w:r w:rsidR="007E037A" w:rsidRPr="006A00DA">
        <w:instrText xml:space="preserve"> SEQ Table \* ARABIC </w:instrText>
      </w:r>
      <w:r w:rsidR="007E037A" w:rsidRPr="001D0416">
        <w:fldChar w:fldCharType="separate"/>
      </w:r>
      <w:r w:rsidR="006922A4" w:rsidRPr="001D0416">
        <w:rPr>
          <w:noProof/>
        </w:rPr>
        <w:t>7</w:t>
      </w:r>
      <w:r w:rsidR="007E037A" w:rsidRPr="001D0416">
        <w:rPr>
          <w:noProof/>
        </w:rPr>
        <w:fldChar w:fldCharType="end"/>
      </w:r>
      <w:bookmarkEnd w:id="56"/>
      <w:r w:rsidRPr="001D0416">
        <w:t>: Treatment</w:t>
      </w:r>
      <w:r w:rsidR="007238E2">
        <w:t>-</w:t>
      </w:r>
      <w:r w:rsidRPr="001D0416">
        <w:t>emergent a</w:t>
      </w:r>
      <w:r w:rsidRPr="006A00DA">
        <w:t>dverse events (≥ 10% in the HER2</w:t>
      </w:r>
      <w:r w:rsidR="000E7FDD" w:rsidRPr="006A00DA">
        <w:t>-</w:t>
      </w:r>
      <w:r w:rsidRPr="006A00DA">
        <w:t>positive breast cancer pool)</w:t>
      </w:r>
    </w:p>
    <w:p w14:paraId="68E7DF38" w14:textId="536B8C72" w:rsidR="00575085" w:rsidRDefault="00740F54" w:rsidP="00740F54">
      <w:r w:rsidRPr="001D0416">
        <w:rPr>
          <w:noProof/>
          <w:lang w:val="en-GB" w:eastAsia="en-GB"/>
        </w:rPr>
        <w:drawing>
          <wp:inline distT="0" distB="0" distL="0" distR="0" wp14:anchorId="071A76B9" wp14:editId="3A1A2B38">
            <wp:extent cx="3643952" cy="4268176"/>
            <wp:effectExtent l="0" t="0" r="0" b="0"/>
            <wp:docPr id="15" name="Picture 15" descr="Treatment emergent adverse events (≥ 10% in the HER2 positive breast cancer pool)"/>
            <wp:cNvGraphicFramePr/>
            <a:graphic xmlns:a="http://schemas.openxmlformats.org/drawingml/2006/main">
              <a:graphicData uri="http://schemas.openxmlformats.org/drawingml/2006/picture">
                <pic:pic xmlns:pic="http://schemas.openxmlformats.org/drawingml/2006/picture">
                  <pic:nvPicPr>
                    <pic:cNvPr id="15" name="Picture 15" descr="Treatment emergent adverse events (≥ 10% in the HER2 positive breast cancer pool)"/>
                    <pic:cNvPicPr/>
                  </pic:nvPicPr>
                  <pic:blipFill rotWithShape="1">
                    <a:blip r:embed="rId30"/>
                    <a:srcRect l="6820"/>
                    <a:stretch/>
                  </pic:blipFill>
                  <pic:spPr bwMode="auto">
                    <a:xfrm>
                      <a:off x="0" y="0"/>
                      <a:ext cx="3662728" cy="4290168"/>
                    </a:xfrm>
                    <a:prstGeom prst="rect">
                      <a:avLst/>
                    </a:prstGeom>
                    <a:ln>
                      <a:noFill/>
                    </a:ln>
                    <a:extLst>
                      <a:ext uri="{53640926-AAD7-44D8-BBD7-CCE9431645EC}">
                        <a14:shadowObscured xmlns:a14="http://schemas.microsoft.com/office/drawing/2010/main"/>
                      </a:ext>
                    </a:extLst>
                  </pic:spPr>
                </pic:pic>
              </a:graphicData>
            </a:graphic>
          </wp:inline>
        </w:drawing>
      </w:r>
    </w:p>
    <w:p w14:paraId="0D20A9CB" w14:textId="3C889651" w:rsidR="00575085" w:rsidRDefault="00575085" w:rsidP="00021980">
      <w:pPr>
        <w:pStyle w:val="TableDescription"/>
      </w:pPr>
      <w:r>
        <w:t xml:space="preserve">Abbreviations: BC = breast cancer; CSR = clinical study report; DCO = data cut-off; HER2 = human epidermal growth factor receptor 2; </w:t>
      </w:r>
      <w:r w:rsidR="002D6AFB">
        <w:t xml:space="preserve">ILD = interstitial lung disease; </w:t>
      </w:r>
      <w:r>
        <w:t xml:space="preserve">MedDRA = Medical Dictionary for Regulatory Activities, v20.1; N = total number of subjects in the study or </w:t>
      </w:r>
      <w:r w:rsidR="00757650">
        <w:t>pool; PT = Preferred T</w:t>
      </w:r>
      <w:r w:rsidR="002D6AFB">
        <w:t>erm; TEAE </w:t>
      </w:r>
      <w:r>
        <w:t>= treatment-emergent adverse event</w:t>
      </w:r>
      <w:r w:rsidR="00D05EC9">
        <w:t>.</w:t>
      </w:r>
    </w:p>
    <w:p w14:paraId="5FF7D957" w14:textId="3CB93CFB" w:rsidR="00575085" w:rsidRPr="001D0416" w:rsidRDefault="00575085" w:rsidP="00021980">
      <w:pPr>
        <w:pStyle w:val="TableDescription"/>
      </w:pPr>
      <w:r>
        <w:t>Percentages were calculated using the number of subjects in the Safety A</w:t>
      </w:r>
      <w:r w:rsidR="002D6AFB">
        <w:t xml:space="preserve">nalysis Set as the denominator. CSR DCO = </w:t>
      </w:r>
      <w:r>
        <w:t>1 Feb</w:t>
      </w:r>
      <w:r w:rsidR="002D6AFB">
        <w:t>ruary</w:t>
      </w:r>
      <w:r>
        <w:t xml:space="preserve"> 2019 for Study J101 and 21 Mar</w:t>
      </w:r>
      <w:r w:rsidR="002D6AFB">
        <w:t>ch</w:t>
      </w:r>
      <w:r>
        <w:t xml:space="preserve"> 2019 for Study U201; Sa</w:t>
      </w:r>
      <w:r w:rsidR="002D6AFB">
        <w:t>fety Update DCO = 1 </w:t>
      </w:r>
      <w:r>
        <w:t>Aug</w:t>
      </w:r>
      <w:r w:rsidR="002D6AFB">
        <w:t xml:space="preserve">ust 2019 </w:t>
      </w:r>
      <w:r>
        <w:t>If a subject had multiple occurrences of the same preferred term, the subject was counted</w:t>
      </w:r>
      <w:r w:rsidR="002D6AFB">
        <w:t xml:space="preserve"> once for that preferred term.  </w:t>
      </w:r>
      <w:r>
        <w:t xml:space="preserve">The 2 pooled analysis groups were based on </w:t>
      </w:r>
      <w:r w:rsidR="002D6AFB">
        <w:t>tumour</w:t>
      </w:r>
      <w:r>
        <w:t xml:space="preserve"> type and assigned dose for subjects in Study J101 and Study U201. The individu</w:t>
      </w:r>
      <w:r w:rsidR="002D6AFB">
        <w:t xml:space="preserve">al studies include all treated </w:t>
      </w:r>
      <w:r>
        <w:t>subjects with HER2-positive BC who were assigned to receive 5.4 mg/kg in Study J101 or Study U201</w:t>
      </w:r>
      <w:r w:rsidR="002D6AFB">
        <w:t>.</w:t>
      </w:r>
      <w:r w:rsidR="002D6AFB">
        <w:br/>
        <w:t>a) </w:t>
      </w:r>
      <w:r>
        <w:t>Anaemia (grouped term) includes PTs of haemoglobin decreased, red blood cell count decreased, ana</w:t>
      </w:r>
      <w:r w:rsidR="002D6AFB">
        <w:t xml:space="preserve">emia, and haematocrit decreased. </w:t>
      </w:r>
      <w:r>
        <w:t>b</w:t>
      </w:r>
      <w:r w:rsidR="002D6AFB">
        <w:t>)</w:t>
      </w:r>
      <w:r>
        <w:t xml:space="preserve"> Neutrophil count decrease (grouped term) includes PTs of neutrophil </w:t>
      </w:r>
      <w:r w:rsidR="002D6AFB">
        <w:t xml:space="preserve">count decreased and neutropenia. </w:t>
      </w:r>
      <w:r>
        <w:t>c</w:t>
      </w:r>
      <w:r w:rsidR="002D6AFB">
        <w:t>)</w:t>
      </w:r>
      <w:r>
        <w:t xml:space="preserve"> Platelet count decrease (grouped term) includes PTs of </w:t>
      </w:r>
      <w:r>
        <w:lastRenderedPageBreak/>
        <w:t>platelet count decreased and thrombocytopenia</w:t>
      </w:r>
      <w:r w:rsidR="002D6AFB">
        <w:t>.</w:t>
      </w:r>
      <w:r>
        <w:t xml:space="preserve"> d</w:t>
      </w:r>
      <w:r w:rsidR="002D6AFB">
        <w:t>)</w:t>
      </w:r>
      <w:r>
        <w:t xml:space="preserve"> White blood cell count decrease (grouped term) includes PTs of white blood cell count decreased and leukopenia</w:t>
      </w:r>
      <w:r w:rsidR="00757650">
        <w:t>.</w:t>
      </w:r>
    </w:p>
    <w:p w14:paraId="1EDE3EE5" w14:textId="1FB20FD8" w:rsidR="00740F54" w:rsidRPr="006A00DA" w:rsidRDefault="00740F54" w:rsidP="00D05EC9">
      <w:pPr>
        <w:pStyle w:val="TableTitle"/>
      </w:pPr>
      <w:bookmarkStart w:id="57" w:name="_Ref103164456"/>
      <w:r w:rsidRPr="001D0416">
        <w:t xml:space="preserve">Table </w:t>
      </w:r>
      <w:r w:rsidR="007E037A" w:rsidRPr="001D0416">
        <w:fldChar w:fldCharType="begin"/>
      </w:r>
      <w:r w:rsidR="007E037A" w:rsidRPr="006A00DA">
        <w:instrText xml:space="preserve"> SEQ Table \* ARABIC </w:instrText>
      </w:r>
      <w:r w:rsidR="007E037A" w:rsidRPr="001D0416">
        <w:fldChar w:fldCharType="separate"/>
      </w:r>
      <w:r w:rsidR="006922A4" w:rsidRPr="001D0416">
        <w:rPr>
          <w:noProof/>
        </w:rPr>
        <w:t>8</w:t>
      </w:r>
      <w:r w:rsidR="007E037A" w:rsidRPr="001D0416">
        <w:rPr>
          <w:noProof/>
        </w:rPr>
        <w:fldChar w:fldCharType="end"/>
      </w:r>
      <w:bookmarkEnd w:id="57"/>
      <w:r w:rsidRPr="001D0416">
        <w:t xml:space="preserve">: </w:t>
      </w:r>
      <w:proofErr w:type="gramStart"/>
      <w:r w:rsidR="00757650">
        <w:t>M</w:t>
      </w:r>
      <w:r w:rsidRPr="001D0416">
        <w:t>ost commonly reported</w:t>
      </w:r>
      <w:proofErr w:type="gramEnd"/>
      <w:r w:rsidRPr="001D0416">
        <w:t xml:space="preserve"> t</w:t>
      </w:r>
      <w:r w:rsidRPr="006A00DA">
        <w:t>reatment</w:t>
      </w:r>
      <w:r w:rsidR="00757650">
        <w:t>-</w:t>
      </w:r>
      <w:r w:rsidRPr="006A00DA">
        <w:t>emergent adverse events frequent laboratory abnormalities (≥ 10% in the HER2</w:t>
      </w:r>
      <w:r w:rsidR="000E7FDD" w:rsidRPr="006A00DA">
        <w:t>-</w:t>
      </w:r>
      <w:r w:rsidRPr="006A00DA">
        <w:t>positive breast cancer 5.4 mg/kg pool)</w:t>
      </w:r>
    </w:p>
    <w:p w14:paraId="30B8593D" w14:textId="0DB81B8B" w:rsidR="00740F54" w:rsidRDefault="00740F54" w:rsidP="00740F54">
      <w:r w:rsidRPr="001D0416">
        <w:rPr>
          <w:noProof/>
          <w:lang w:val="en-GB" w:eastAsia="en-GB"/>
        </w:rPr>
        <w:drawing>
          <wp:inline distT="0" distB="0" distL="0" distR="0" wp14:anchorId="3938A92E" wp14:editId="46BEC217">
            <wp:extent cx="3102617" cy="1601522"/>
            <wp:effectExtent l="0" t="0" r="2540" b="0"/>
            <wp:docPr id="16" name="Picture 16" descr="The most commonly reported treatment emergent adverse events frequent laboratory abnormalities (≥ 10% in the HER2 positive breast cancer 5.4 mg/kg pool)"/>
            <wp:cNvGraphicFramePr/>
            <a:graphic xmlns:a="http://schemas.openxmlformats.org/drawingml/2006/main">
              <a:graphicData uri="http://schemas.openxmlformats.org/drawingml/2006/picture">
                <pic:pic xmlns:pic="http://schemas.openxmlformats.org/drawingml/2006/picture">
                  <pic:nvPicPr>
                    <pic:cNvPr id="16" name="Picture 16" descr="The most commonly reported treatment emergent adverse events frequent laboratory abnormalities (≥ 10% in the HER2 positive breast cancer 5.4 mg/kg pool)"/>
                    <pic:cNvPicPr/>
                  </pic:nvPicPr>
                  <pic:blipFill>
                    <a:blip r:embed="rId31"/>
                    <a:stretch>
                      <a:fillRect/>
                    </a:stretch>
                  </pic:blipFill>
                  <pic:spPr>
                    <a:xfrm>
                      <a:off x="0" y="0"/>
                      <a:ext cx="3155869" cy="1629010"/>
                    </a:xfrm>
                    <a:prstGeom prst="rect">
                      <a:avLst/>
                    </a:prstGeom>
                  </pic:spPr>
                </pic:pic>
              </a:graphicData>
            </a:graphic>
          </wp:inline>
        </w:drawing>
      </w:r>
    </w:p>
    <w:p w14:paraId="6B0553E6" w14:textId="3556C7E8" w:rsidR="00757650" w:rsidRPr="001D0416" w:rsidRDefault="00757650" w:rsidP="00021980">
      <w:pPr>
        <w:pStyle w:val="TableDescription"/>
      </w:pPr>
      <w:r>
        <w:t>Abbreviations: HER2 = human epidermal growth factor receptor 2; TEAE = treatment-emergent adverse event</w:t>
      </w:r>
    </w:p>
    <w:p w14:paraId="6B9E7459" w14:textId="23DF2BB4" w:rsidR="00740F54" w:rsidRPr="006A00DA" w:rsidRDefault="00740F54" w:rsidP="00D05EC9">
      <w:pPr>
        <w:pStyle w:val="TableTitle"/>
      </w:pPr>
      <w:bookmarkStart w:id="58" w:name="_Ref103164458"/>
      <w:r w:rsidRPr="001D0416">
        <w:t xml:space="preserve">Table </w:t>
      </w:r>
      <w:r w:rsidR="007E037A" w:rsidRPr="001D0416">
        <w:fldChar w:fldCharType="begin"/>
      </w:r>
      <w:r w:rsidR="007E037A" w:rsidRPr="006A00DA">
        <w:instrText xml:space="preserve"> SEQ Table \* ARABIC </w:instrText>
      </w:r>
      <w:r w:rsidR="007E037A" w:rsidRPr="001D0416">
        <w:fldChar w:fldCharType="separate"/>
      </w:r>
      <w:r w:rsidR="006922A4" w:rsidRPr="001D0416">
        <w:rPr>
          <w:noProof/>
        </w:rPr>
        <w:t>9</w:t>
      </w:r>
      <w:r w:rsidR="007E037A" w:rsidRPr="001D0416">
        <w:rPr>
          <w:noProof/>
        </w:rPr>
        <w:fldChar w:fldCharType="end"/>
      </w:r>
      <w:bookmarkEnd w:id="58"/>
      <w:r w:rsidRPr="001D0416">
        <w:t xml:space="preserve">: </w:t>
      </w:r>
      <w:proofErr w:type="gramStart"/>
      <w:r w:rsidR="00757650">
        <w:t>M</w:t>
      </w:r>
      <w:r w:rsidRPr="001D0416">
        <w:t>ost commonly reported</w:t>
      </w:r>
      <w:proofErr w:type="gramEnd"/>
      <w:r w:rsidRPr="001D0416">
        <w:t xml:space="preserve"> ≥ </w:t>
      </w:r>
      <w:r w:rsidRPr="006A00DA">
        <w:t>Grade 3 treatment</w:t>
      </w:r>
      <w:r w:rsidR="00757650">
        <w:t>-</w:t>
      </w:r>
      <w:r w:rsidRPr="006A00DA">
        <w:t>emergent adverse events (≥ 5% in the HER2</w:t>
      </w:r>
      <w:r w:rsidR="000E7FDD" w:rsidRPr="006A00DA">
        <w:t>-</w:t>
      </w:r>
      <w:r w:rsidRPr="006A00DA">
        <w:t>positive breast cancer 5.4 mg/kg pool)</w:t>
      </w:r>
    </w:p>
    <w:p w14:paraId="2AA89B0A" w14:textId="26571223" w:rsidR="00740F54" w:rsidRDefault="00740F54" w:rsidP="00740F54">
      <w:r w:rsidRPr="001D0416">
        <w:rPr>
          <w:noProof/>
          <w:lang w:val="en-GB" w:eastAsia="en-GB"/>
        </w:rPr>
        <w:drawing>
          <wp:inline distT="0" distB="0" distL="0" distR="0" wp14:anchorId="35530552" wp14:editId="52138D22">
            <wp:extent cx="3166044" cy="2172360"/>
            <wp:effectExtent l="0" t="0" r="0" b="0"/>
            <wp:docPr id="18" name="Picture 18" descr="The most commonly reported ≥ Grade 3 treatment emergent adverse events (≥ 5% in the HER2 positive breast cancer 5.4 mg/kg pool)"/>
            <wp:cNvGraphicFramePr/>
            <a:graphic xmlns:a="http://schemas.openxmlformats.org/drawingml/2006/main">
              <a:graphicData uri="http://schemas.openxmlformats.org/drawingml/2006/picture">
                <pic:pic xmlns:pic="http://schemas.openxmlformats.org/drawingml/2006/picture">
                  <pic:nvPicPr>
                    <pic:cNvPr id="18" name="Picture 18" descr="The most commonly reported ≥ Grade 3 treatment emergent adverse events (≥ 5% in the HER2 positive breast cancer 5.4 mg/kg pool)"/>
                    <pic:cNvPicPr/>
                  </pic:nvPicPr>
                  <pic:blipFill>
                    <a:blip r:embed="rId32"/>
                    <a:stretch>
                      <a:fillRect/>
                    </a:stretch>
                  </pic:blipFill>
                  <pic:spPr>
                    <a:xfrm>
                      <a:off x="0" y="0"/>
                      <a:ext cx="3197645" cy="2194043"/>
                    </a:xfrm>
                    <a:prstGeom prst="rect">
                      <a:avLst/>
                    </a:prstGeom>
                  </pic:spPr>
                </pic:pic>
              </a:graphicData>
            </a:graphic>
          </wp:inline>
        </w:drawing>
      </w:r>
    </w:p>
    <w:p w14:paraId="755F9BF5" w14:textId="59BBC33B" w:rsidR="00757650" w:rsidRDefault="00757650" w:rsidP="00021980">
      <w:pPr>
        <w:pStyle w:val="TableDescription"/>
      </w:pPr>
      <w:r>
        <w:t>Abbreviations: HER2 = human epidermal growth factor receptor 2; TEAE = treatment-emergent adverse event.</w:t>
      </w:r>
    </w:p>
    <w:p w14:paraId="42263AB2" w14:textId="3D44B8B1" w:rsidR="00757650" w:rsidRPr="001D0416" w:rsidRDefault="00757650" w:rsidP="00021980">
      <w:pPr>
        <w:pStyle w:val="TableDescription"/>
      </w:pPr>
      <w:r>
        <w:t>Platelet count decrease (grouped term) includes PTs of platelet count decreased and thrombocytopenia</w:t>
      </w:r>
    </w:p>
    <w:p w14:paraId="264CFB68" w14:textId="3F126207" w:rsidR="005C713A" w:rsidRPr="006A00DA" w:rsidRDefault="005C713A" w:rsidP="005C713A">
      <w:r w:rsidRPr="006A00DA">
        <w:t>Deaths were reported in 39 (16.7%) of subjects. There were 10 (4.3%) deaths that occurred on study. On study death is defined as any death that occurs from the date of first dose up to 47 days (for Study DS8201-A-U201) or 28 days (for Study DS8201-A-J101) after last dose of study drug. The following TEAEs associated with death.</w:t>
      </w:r>
    </w:p>
    <w:p w14:paraId="420B3914" w14:textId="7F7B7ED7" w:rsidR="00740F54" w:rsidRPr="006A00DA" w:rsidRDefault="005C713A" w:rsidP="00D05EC9">
      <w:pPr>
        <w:pStyle w:val="TableTitle"/>
      </w:pPr>
      <w:r w:rsidRPr="006A00DA">
        <w:lastRenderedPageBreak/>
        <w:t xml:space="preserve">Table </w:t>
      </w:r>
      <w:r w:rsidR="007E037A" w:rsidRPr="001D0416">
        <w:fldChar w:fldCharType="begin"/>
      </w:r>
      <w:r w:rsidR="007E037A" w:rsidRPr="006A00DA">
        <w:instrText xml:space="preserve"> SEQ Table \* ARABIC </w:instrText>
      </w:r>
      <w:r w:rsidR="007E037A" w:rsidRPr="001D0416">
        <w:fldChar w:fldCharType="separate"/>
      </w:r>
      <w:r w:rsidR="006922A4" w:rsidRPr="001D0416">
        <w:rPr>
          <w:noProof/>
        </w:rPr>
        <w:t>10</w:t>
      </w:r>
      <w:r w:rsidR="007E037A" w:rsidRPr="001D0416">
        <w:rPr>
          <w:noProof/>
        </w:rPr>
        <w:fldChar w:fldCharType="end"/>
      </w:r>
      <w:r w:rsidRPr="001D0416">
        <w:t>: Treatment-emergent a</w:t>
      </w:r>
      <w:r w:rsidRPr="006A00DA">
        <w:t>dverse events associated with death (HER2</w:t>
      </w:r>
      <w:r w:rsidR="000E7FDD" w:rsidRPr="006A00DA">
        <w:t>-</w:t>
      </w:r>
      <w:r w:rsidRPr="006A00DA">
        <w:t>positive breast cancer 5.4 mg/kg pool)</w:t>
      </w:r>
    </w:p>
    <w:p w14:paraId="56C50A04" w14:textId="7AFB9118" w:rsidR="005C713A" w:rsidRDefault="005C713A" w:rsidP="005C713A">
      <w:r w:rsidRPr="001D0416">
        <w:rPr>
          <w:noProof/>
          <w:lang w:val="en-GB" w:eastAsia="en-GB"/>
        </w:rPr>
        <w:drawing>
          <wp:inline distT="0" distB="0" distL="0" distR="0" wp14:anchorId="738B77B0" wp14:editId="177B4D33">
            <wp:extent cx="3012763" cy="2399639"/>
            <wp:effectExtent l="0" t="0" r="0" b="1270"/>
            <wp:docPr id="21" name="Picture 21" descr="Treatment-emergent adverse events associated with death (HER2 positive breast cancer 5.4 mg/kg pool)"/>
            <wp:cNvGraphicFramePr/>
            <a:graphic xmlns:a="http://schemas.openxmlformats.org/drawingml/2006/main">
              <a:graphicData uri="http://schemas.openxmlformats.org/drawingml/2006/picture">
                <pic:pic xmlns:pic="http://schemas.openxmlformats.org/drawingml/2006/picture">
                  <pic:nvPicPr>
                    <pic:cNvPr id="21" name="Picture 21" descr="Treatment-emergent adverse events associated with death (HER2 positive breast cancer 5.4 mg/kg pool)"/>
                    <pic:cNvPicPr/>
                  </pic:nvPicPr>
                  <pic:blipFill>
                    <a:blip r:embed="rId33"/>
                    <a:stretch>
                      <a:fillRect/>
                    </a:stretch>
                  </pic:blipFill>
                  <pic:spPr>
                    <a:xfrm>
                      <a:off x="0" y="0"/>
                      <a:ext cx="3027395" cy="2411293"/>
                    </a:xfrm>
                    <a:prstGeom prst="rect">
                      <a:avLst/>
                    </a:prstGeom>
                  </pic:spPr>
                </pic:pic>
              </a:graphicData>
            </a:graphic>
          </wp:inline>
        </w:drawing>
      </w:r>
    </w:p>
    <w:p w14:paraId="1FFA47F2" w14:textId="213C85AF" w:rsidR="00757650" w:rsidRPr="001D0416" w:rsidRDefault="00757650" w:rsidP="00021980">
      <w:pPr>
        <w:pStyle w:val="TableDescription"/>
      </w:pPr>
      <w:r>
        <w:t>Abbreviations: HER2 = human epidermal growth factor receptor 2; TEAE = treatment-emergent adverse event.</w:t>
      </w:r>
    </w:p>
    <w:p w14:paraId="4EED299A" w14:textId="2EEDA3F5" w:rsidR="005C713A" w:rsidRPr="006A00DA" w:rsidRDefault="005C713A" w:rsidP="005C713A">
      <w:r w:rsidRPr="006A00DA">
        <w:t xml:space="preserve">The AEs of special interest identified given the known effects of </w:t>
      </w:r>
      <w:r w:rsidR="004B453F">
        <w:t>Trastuzumab</w:t>
      </w:r>
      <w:r w:rsidRPr="006A00DA">
        <w:t xml:space="preserve">, the mechanism of action and nonclinical safety profile were initially identified as: Interstitial lung disease/pneumonitis, QT prolongation, </w:t>
      </w:r>
      <w:r w:rsidR="00757650">
        <w:t>left ventricular ejection fraction</w:t>
      </w:r>
      <w:r w:rsidR="00757650" w:rsidRPr="006A00DA">
        <w:t xml:space="preserve"> </w:t>
      </w:r>
      <w:r w:rsidRPr="006A00DA">
        <w:t>decrease, and infusion</w:t>
      </w:r>
      <w:r w:rsidR="008D3B68" w:rsidRPr="006A00DA">
        <w:t xml:space="preserve"> </w:t>
      </w:r>
      <w:r w:rsidRPr="006A00DA">
        <w:t xml:space="preserve">related reactions (IRR). Additional data on </w:t>
      </w:r>
      <w:r w:rsidR="00757650">
        <w:t>left ventricular ejection fraction</w:t>
      </w:r>
      <w:r w:rsidR="00757650" w:rsidRPr="006A00DA">
        <w:t xml:space="preserve"> </w:t>
      </w:r>
      <w:r w:rsidR="00757650">
        <w:t>(LVEF) decreased</w:t>
      </w:r>
      <w:r w:rsidRPr="006A00DA">
        <w:t>, QT</w:t>
      </w:r>
      <w:r w:rsidR="00757650">
        <w:t> interval</w:t>
      </w:r>
      <w:r w:rsidRPr="006A00DA">
        <w:t xml:space="preserve">, and </w:t>
      </w:r>
      <w:r w:rsidR="00757650">
        <w:t>interstitial lung disease</w:t>
      </w:r>
      <w:r w:rsidR="00757650" w:rsidRPr="006A00DA">
        <w:t xml:space="preserve"> </w:t>
      </w:r>
      <w:r w:rsidRPr="006A00DA">
        <w:t xml:space="preserve">were collected via targeted questionnaires built into the electronic data capture. An independent </w:t>
      </w:r>
      <w:r w:rsidR="00757650">
        <w:t>interstitial lung disease</w:t>
      </w:r>
      <w:r w:rsidR="00757650" w:rsidRPr="006A00DA" w:rsidDel="00757650">
        <w:t xml:space="preserve"> </w:t>
      </w:r>
      <w:r w:rsidRPr="006A00DA">
        <w:t>adjudication committee was established to adjudicate all potential</w:t>
      </w:r>
      <w:r w:rsidR="00757650">
        <w:t xml:space="preserve"> interstitial lung disease</w:t>
      </w:r>
      <w:r w:rsidRPr="006A00DA">
        <w:t xml:space="preserve"> cases which included an extensive list of 42 </w:t>
      </w:r>
      <w:r w:rsidR="00BC034D" w:rsidRPr="006A00DA">
        <w:t>Preferred Terms</w:t>
      </w:r>
      <w:r w:rsidRPr="006A00DA">
        <w:t xml:space="preserve"> </w:t>
      </w:r>
      <w:r w:rsidR="00BC034D" w:rsidRPr="006A00DA">
        <w:t xml:space="preserve">(PT) </w:t>
      </w:r>
      <w:r w:rsidRPr="006A00DA">
        <w:t xml:space="preserve">from the </w:t>
      </w:r>
      <w:r w:rsidR="00AC2AA0" w:rsidRPr="006A00DA">
        <w:t>Medical Dictionary for Regulatory Activities</w:t>
      </w:r>
      <w:r w:rsidRPr="006A00DA">
        <w:t xml:space="preserve"> </w:t>
      </w:r>
      <w:r w:rsidR="00757650">
        <w:t>interstitial lung disease</w:t>
      </w:r>
      <w:r w:rsidR="00757650" w:rsidRPr="006A00DA" w:rsidDel="00757650">
        <w:t xml:space="preserve"> </w:t>
      </w:r>
      <w:r w:rsidR="00AC2AA0" w:rsidRPr="006A00DA">
        <w:t>standardised MedDRA queries</w:t>
      </w:r>
      <w:r w:rsidRPr="006A00DA">
        <w:t xml:space="preserve"> plus the PTs of respiratory failure and acute respiratory failure. Among the 234 subjects in the HER2</w:t>
      </w:r>
      <w:r w:rsidR="00757650">
        <w:noBreakHyphen/>
      </w:r>
      <w:r w:rsidRPr="006A00DA">
        <w:t xml:space="preserve">positive </w:t>
      </w:r>
      <w:r w:rsidR="00BC034D" w:rsidRPr="006A00DA">
        <w:t>b</w:t>
      </w:r>
      <w:r w:rsidRPr="006A00DA">
        <w:t xml:space="preserve">reast </w:t>
      </w:r>
      <w:r w:rsidR="00BC034D" w:rsidRPr="006A00DA">
        <w:t>c</w:t>
      </w:r>
      <w:r w:rsidRPr="006A00DA">
        <w:t xml:space="preserve">ancer 5.4 mg/kg </w:t>
      </w:r>
      <w:r w:rsidR="00BC034D" w:rsidRPr="006A00DA">
        <w:t>p</w:t>
      </w:r>
      <w:r w:rsidRPr="006A00DA">
        <w:t>ool, 22 (9.4%) had events adjudicated as drug</w:t>
      </w:r>
      <w:r w:rsidR="00AC2AA0" w:rsidRPr="006A00DA">
        <w:t xml:space="preserve"> </w:t>
      </w:r>
      <w:r w:rsidRPr="006A00DA">
        <w:t xml:space="preserve">related </w:t>
      </w:r>
      <w:r w:rsidR="00757650">
        <w:t>interstitial lung disease</w:t>
      </w:r>
      <w:r w:rsidRPr="006A00DA">
        <w:t>; 16</w:t>
      </w:r>
      <w:r w:rsidR="00BC034D" w:rsidRPr="006A00DA">
        <w:t xml:space="preserve"> out of </w:t>
      </w:r>
      <w:r w:rsidRPr="006A00DA">
        <w:t>22 were Grade 1 or Grade 2, and 6 (2.6%) subjects had events associated with a fatal outcome.</w:t>
      </w:r>
    </w:p>
    <w:p w14:paraId="7B61D720" w14:textId="3E5ADC90" w:rsidR="005C713A" w:rsidRPr="006A00DA" w:rsidRDefault="00BC034D" w:rsidP="005C713A">
      <w:r w:rsidRPr="006A00DA">
        <w:t>Interstitial lung disease</w:t>
      </w:r>
      <w:r w:rsidR="008D3B68" w:rsidRPr="006A00DA">
        <w:t>/pneumonitis</w:t>
      </w:r>
      <w:r w:rsidRPr="006A00DA">
        <w:t xml:space="preserve"> </w:t>
      </w:r>
      <w:r w:rsidR="005C713A" w:rsidRPr="006A00DA">
        <w:t>was reported in 32 (13.7%) subjects in the HER2</w:t>
      </w:r>
      <w:r w:rsidR="00AC2AA0" w:rsidRPr="006A00DA">
        <w:noBreakHyphen/>
      </w:r>
      <w:r w:rsidR="005C713A" w:rsidRPr="006A00DA">
        <w:t xml:space="preserve">positive </w:t>
      </w:r>
      <w:r w:rsidRPr="006A00DA">
        <w:t>b</w:t>
      </w:r>
      <w:r w:rsidR="005C713A" w:rsidRPr="006A00DA">
        <w:t xml:space="preserve">reast </w:t>
      </w:r>
      <w:r w:rsidRPr="006A00DA">
        <w:t>c</w:t>
      </w:r>
      <w:r w:rsidR="005C713A" w:rsidRPr="006A00DA">
        <w:t xml:space="preserve">ancer 5.4 mg/kg </w:t>
      </w:r>
      <w:r w:rsidRPr="006A00DA">
        <w:t>p</w:t>
      </w:r>
      <w:r w:rsidR="005C713A" w:rsidRPr="006A00DA">
        <w:t>ool with 7 (3%) having ≥</w:t>
      </w:r>
      <w:r w:rsidRPr="006A00DA">
        <w:t> </w:t>
      </w:r>
      <w:r w:rsidR="005C713A" w:rsidRPr="006A00DA">
        <w:t xml:space="preserve">Grade 3 </w:t>
      </w:r>
      <w:r w:rsidR="00757650">
        <w:t>interstitial lung disease</w:t>
      </w:r>
      <w:r w:rsidR="00757650" w:rsidRPr="006A00DA" w:rsidDel="00757650">
        <w:t xml:space="preserve"> </w:t>
      </w:r>
      <w:r w:rsidR="005C713A" w:rsidRPr="006A00DA">
        <w:t xml:space="preserve">and </w:t>
      </w:r>
      <w:r w:rsidR="00757650">
        <w:t>interstitial lung disease</w:t>
      </w:r>
      <w:r w:rsidR="00757650" w:rsidRPr="006A00DA" w:rsidDel="00757650">
        <w:t xml:space="preserve"> </w:t>
      </w:r>
      <w:r w:rsidR="005C713A" w:rsidRPr="006A00DA">
        <w:t xml:space="preserve">occurred in association with subject’s death in </w:t>
      </w:r>
      <w:r w:rsidRPr="006A00DA">
        <w:t>six</w:t>
      </w:r>
      <w:r w:rsidR="005C713A" w:rsidRPr="006A00DA">
        <w:t xml:space="preserve"> cases. The frequency of ILD was higher in other dose groups with 32</w:t>
      </w:r>
      <w:r w:rsidRPr="006A00DA">
        <w:t xml:space="preserve"> out of </w:t>
      </w:r>
      <w:r w:rsidR="005C713A" w:rsidRPr="006A00DA">
        <w:t xml:space="preserve">137 (23.4%) subjects given </w:t>
      </w:r>
      <w:r w:rsidR="004B453F">
        <w:t>Trastuzumab</w:t>
      </w:r>
      <w:r w:rsidR="005C713A" w:rsidRPr="006A00DA">
        <w:t xml:space="preserve"> </w:t>
      </w:r>
      <w:proofErr w:type="spellStart"/>
      <w:r w:rsidR="005C713A" w:rsidRPr="006A00DA">
        <w:t>deruxtecan</w:t>
      </w:r>
      <w:proofErr w:type="spellEnd"/>
      <w:r w:rsidR="005C713A" w:rsidRPr="006A00DA">
        <w:t xml:space="preserve"> doses of 6.4 mg/ kg, 7.4mg/kg and 6 mg/kg having adjudicated cases of</w:t>
      </w:r>
      <w:r w:rsidR="00757650" w:rsidRPr="00757650">
        <w:t xml:space="preserve"> </w:t>
      </w:r>
      <w:r w:rsidR="00757650">
        <w:t>interstitial lung disease</w:t>
      </w:r>
      <w:r w:rsidR="005C713A" w:rsidRPr="006A00DA">
        <w:t>.</w:t>
      </w:r>
    </w:p>
    <w:p w14:paraId="7386F330" w14:textId="41A85076" w:rsidR="005C713A" w:rsidRPr="006A00DA" w:rsidRDefault="005C713A" w:rsidP="005C713A">
      <w:r w:rsidRPr="006A00DA">
        <w:t xml:space="preserve">Cardiotoxicity in association with </w:t>
      </w:r>
      <w:r w:rsidR="004B453F">
        <w:t>Trastuzumab</w:t>
      </w:r>
      <w:r w:rsidRPr="006A00DA">
        <w:t xml:space="preserve"> </w:t>
      </w:r>
      <w:proofErr w:type="spellStart"/>
      <w:r w:rsidRPr="006A00DA">
        <w:t>deruxtecan</w:t>
      </w:r>
      <w:proofErr w:type="spellEnd"/>
      <w:r w:rsidRPr="006A00DA">
        <w:t xml:space="preserve"> </w:t>
      </w:r>
      <w:proofErr w:type="gramStart"/>
      <w:r w:rsidRPr="006A00DA">
        <w:t>is considered to be</w:t>
      </w:r>
      <w:proofErr w:type="gramEnd"/>
      <w:r w:rsidRPr="006A00DA">
        <w:t xml:space="preserve"> an important potential risk based on the available nonclinical data, literature, and available safety information for drugs of similar class. Therefore, in addition to routine clinical safety assessment, troponin was measured after each infusion, and an echocardiogram (ECHO)/</w:t>
      </w:r>
      <w:proofErr w:type="spellStart"/>
      <w:r w:rsidRPr="006A00DA">
        <w:t>multigated</w:t>
      </w:r>
      <w:proofErr w:type="spellEnd"/>
      <w:r w:rsidRPr="006A00DA">
        <w:t xml:space="preserve"> acquisition (MUGA) scan was done to evaluate </w:t>
      </w:r>
      <w:r w:rsidR="00757650">
        <w:t>LVEF</w:t>
      </w:r>
      <w:r w:rsidR="00757650" w:rsidRPr="006A00DA">
        <w:t xml:space="preserve"> </w:t>
      </w:r>
      <w:r w:rsidRPr="006A00DA">
        <w:t xml:space="preserve">every </w:t>
      </w:r>
      <w:r w:rsidR="00BC034D" w:rsidRPr="006A00DA">
        <w:t>two</w:t>
      </w:r>
      <w:r w:rsidRPr="006A00DA">
        <w:t xml:space="preserve"> cycles in Study DS8201-A-J101 and every </w:t>
      </w:r>
      <w:r w:rsidR="00BC034D" w:rsidRPr="006A00DA">
        <w:t>four</w:t>
      </w:r>
      <w:r w:rsidRPr="006A00DA">
        <w:t xml:space="preserve"> cycles in Study DS8201-A-U201.</w:t>
      </w:r>
    </w:p>
    <w:p w14:paraId="1B2C6F5A" w14:textId="1EAF76BB" w:rsidR="005C713A" w:rsidRPr="006A00DA" w:rsidRDefault="005C713A" w:rsidP="005C713A">
      <w:r w:rsidRPr="006A00DA">
        <w:t xml:space="preserve">Events of </w:t>
      </w:r>
      <w:r w:rsidR="00AC2AA0" w:rsidRPr="006A00DA">
        <w:t>congestive heart failure</w:t>
      </w:r>
      <w:r w:rsidRPr="006A00DA">
        <w:t xml:space="preserve"> have been reported in clinical trials of </w:t>
      </w:r>
      <w:r w:rsidR="004B453F">
        <w:t>Trastuzumab</w:t>
      </w:r>
      <w:r w:rsidR="00E11402" w:rsidRPr="006A00DA">
        <w:t xml:space="preserve"> emtansine</w:t>
      </w:r>
      <w:r w:rsidRPr="006A00DA">
        <w:t xml:space="preserve">, with asymptomatic LVEF decline reported in 1.7% to 6.5% patients. Because of the differences in study population and duration of exposure, a direct comparison of these data to those for </w:t>
      </w:r>
      <w:r w:rsidR="004B453F">
        <w:t>Trastuzumab</w:t>
      </w:r>
      <w:r w:rsidRPr="006A00DA">
        <w:t xml:space="preserve"> </w:t>
      </w:r>
      <w:proofErr w:type="spellStart"/>
      <w:r w:rsidRPr="006A00DA">
        <w:t>deruxtecan</w:t>
      </w:r>
      <w:proofErr w:type="spellEnd"/>
      <w:r w:rsidRPr="006A00DA">
        <w:t xml:space="preserve"> was not feasible. Anthracycline therapies are known to cause cardiotoxicity and have been shown to have a synergistic effect of cardiotoxicity with </w:t>
      </w:r>
      <w:r w:rsidR="004B453F">
        <w:t>Trastuzumab</w:t>
      </w:r>
      <w:r w:rsidRPr="006A00DA">
        <w:t>. In the HER2</w:t>
      </w:r>
      <w:r w:rsidR="00AC2AA0" w:rsidRPr="006A00DA">
        <w:t>-</w:t>
      </w:r>
      <w:r w:rsidRPr="006A00DA">
        <w:t xml:space="preserve">positive </w:t>
      </w:r>
      <w:r w:rsidR="00BC034D" w:rsidRPr="006A00DA">
        <w:t>b</w:t>
      </w:r>
      <w:r w:rsidRPr="006A00DA">
        <w:t xml:space="preserve">reast </w:t>
      </w:r>
      <w:r w:rsidR="00BC034D" w:rsidRPr="006A00DA">
        <w:t>c</w:t>
      </w:r>
      <w:r w:rsidRPr="006A00DA">
        <w:t xml:space="preserve">ancer 5.4 mg/kg </w:t>
      </w:r>
      <w:r w:rsidR="00BC034D" w:rsidRPr="006A00DA">
        <w:t>p</w:t>
      </w:r>
      <w:r w:rsidRPr="006A00DA">
        <w:t xml:space="preserve">ool, 28.6% and 20.1% of subjects received prior therapy of doxorubicin and </w:t>
      </w:r>
      <w:proofErr w:type="spellStart"/>
      <w:r w:rsidRPr="006A00DA">
        <w:t>epirubicin</w:t>
      </w:r>
      <w:proofErr w:type="spellEnd"/>
      <w:r w:rsidRPr="006A00DA">
        <w:t>, respectively.</w:t>
      </w:r>
    </w:p>
    <w:p w14:paraId="12B88D5D" w14:textId="1D5582E9" w:rsidR="005C713A" w:rsidRPr="006A00DA" w:rsidRDefault="005C713A" w:rsidP="005C713A">
      <w:r w:rsidRPr="006A00DA">
        <w:lastRenderedPageBreak/>
        <w:t>Left ventricular ejection fraction decrease has been observed with anti-HER2 therapies. In the 234 patients in the HER2</w:t>
      </w:r>
      <w:r w:rsidR="00AC2AA0" w:rsidRPr="006A00DA">
        <w:t>-</w:t>
      </w:r>
      <w:r w:rsidRPr="006A00DA">
        <w:t xml:space="preserve">positive </w:t>
      </w:r>
      <w:r w:rsidR="00BC034D" w:rsidRPr="006A00DA">
        <w:t>b</w:t>
      </w:r>
      <w:r w:rsidRPr="006A00DA">
        <w:t xml:space="preserve">reast </w:t>
      </w:r>
      <w:r w:rsidR="00BC034D" w:rsidRPr="006A00DA">
        <w:t>c</w:t>
      </w:r>
      <w:r w:rsidRPr="006A00DA">
        <w:t xml:space="preserve">ancer 5.4 mg/kg three cases (1.3%) of asymptomatic LVEF decrease, of which </w:t>
      </w:r>
      <w:r w:rsidR="00AC2AA0" w:rsidRPr="006A00DA">
        <w:t>two</w:t>
      </w:r>
      <w:r w:rsidRPr="006A00DA">
        <w:t xml:space="preserve"> (0.9%) were Grade 2 and </w:t>
      </w:r>
      <w:r w:rsidR="00AC2AA0" w:rsidRPr="006A00DA">
        <w:t>one</w:t>
      </w:r>
      <w:r w:rsidRPr="006A00DA">
        <w:t xml:space="preserve"> (0.4%) was Grade 3, were reported. Observed frequency of LVEF decreased based on laboratory parameters (</w:t>
      </w:r>
      <w:r w:rsidR="00BC034D" w:rsidRPr="006A00DA">
        <w:t>ECHO</w:t>
      </w:r>
      <w:r w:rsidRPr="006A00DA">
        <w:t xml:space="preserve"> or MUGA scanning) was 37 (16.9%); all were Grade 2. No decreases of LVEF to less than 40% or absolute decrease from </w:t>
      </w:r>
      <w:r w:rsidR="006922A4" w:rsidRPr="006A00DA">
        <w:t>B</w:t>
      </w:r>
      <w:r w:rsidRPr="006A00DA">
        <w:t xml:space="preserve">aseline of greater than 20% were observed. Treatment with </w:t>
      </w:r>
      <w:proofErr w:type="spellStart"/>
      <w:r w:rsidRPr="006A00DA">
        <w:t>Enhertu</w:t>
      </w:r>
      <w:proofErr w:type="spellEnd"/>
      <w:r w:rsidRPr="006A00DA">
        <w:t xml:space="preserve"> has not been studied in patients with LVEF less than 50% prior to initiation of treatment.</w:t>
      </w:r>
    </w:p>
    <w:p w14:paraId="4D13EF11" w14:textId="00D00BA3" w:rsidR="005C713A" w:rsidRPr="006A00DA" w:rsidRDefault="005C713A" w:rsidP="005C713A">
      <w:r w:rsidRPr="006A00DA">
        <w:t xml:space="preserve">Based on </w:t>
      </w:r>
      <w:r w:rsidR="00AC2AA0" w:rsidRPr="006A00DA">
        <w:t>electrocardiogram</w:t>
      </w:r>
      <w:r w:rsidRPr="006A00DA">
        <w:t xml:space="preserve"> data, 8</w:t>
      </w:r>
      <w:r w:rsidR="00BC034D" w:rsidRPr="006A00DA">
        <w:t xml:space="preserve"> out of </w:t>
      </w:r>
      <w:r w:rsidRPr="006A00DA">
        <w:t>234 (3.4%) subjects in the HER2</w:t>
      </w:r>
      <w:r w:rsidR="00AC2AA0" w:rsidRPr="006A00DA">
        <w:t>-</w:t>
      </w:r>
      <w:r w:rsidRPr="006A00DA">
        <w:t>positive</w:t>
      </w:r>
      <w:r w:rsidR="00BC034D" w:rsidRPr="006A00DA">
        <w:t xml:space="preserve"> breast cancer</w:t>
      </w:r>
      <w:r w:rsidRPr="006A00DA">
        <w:t xml:space="preserve"> 5.4 mg/kg </w:t>
      </w:r>
      <w:r w:rsidR="00BC034D" w:rsidRPr="006A00DA">
        <w:t>p</w:t>
      </w:r>
      <w:r w:rsidRPr="006A00DA">
        <w:t xml:space="preserve">ool had a maximum change from </w:t>
      </w:r>
      <w:r w:rsidR="00AC2AA0" w:rsidRPr="006A00DA">
        <w:t>B</w:t>
      </w:r>
      <w:r w:rsidRPr="006A00DA">
        <w:t>aseline in QT interval</w:t>
      </w:r>
      <w:r w:rsidR="00AC2AA0" w:rsidRPr="006A00DA">
        <w:t>;</w:t>
      </w:r>
      <w:r w:rsidR="00AC2AA0" w:rsidRPr="001D0416">
        <w:fldChar w:fldCharType="begin"/>
      </w:r>
      <w:r w:rsidR="00AC2AA0" w:rsidRPr="006A00DA">
        <w:instrText xml:space="preserve"> NOTEREF _Ref103261366 \f \h </w:instrText>
      </w:r>
      <w:r w:rsidR="00AC2AA0" w:rsidRPr="001D0416">
        <w:fldChar w:fldCharType="separate"/>
      </w:r>
      <w:r w:rsidR="006922A4" w:rsidRPr="001D0416">
        <w:rPr>
          <w:rStyle w:val="FootnoteReference"/>
        </w:rPr>
        <w:t>20</w:t>
      </w:r>
      <w:r w:rsidR="00AC2AA0" w:rsidRPr="001D0416">
        <w:fldChar w:fldCharType="end"/>
      </w:r>
      <w:r w:rsidRPr="001D0416">
        <w:t xml:space="preserve"> corrected for heart rate by Fridericia’s formula (</w:t>
      </w:r>
      <w:proofErr w:type="spellStart"/>
      <w:r w:rsidRPr="001D0416">
        <w:t>QTcF</w:t>
      </w:r>
      <w:proofErr w:type="spellEnd"/>
      <w:r w:rsidRPr="001D0416">
        <w:t>)</w:t>
      </w:r>
      <w:r w:rsidR="00AC2AA0" w:rsidRPr="001D0416">
        <w:t>;</w:t>
      </w:r>
      <w:r w:rsidR="00AC2AA0" w:rsidRPr="001D0416">
        <w:fldChar w:fldCharType="begin"/>
      </w:r>
      <w:r w:rsidR="00AC2AA0" w:rsidRPr="006A00DA">
        <w:instrText xml:space="preserve"> NOTEREF _Ref103261355 \f \h </w:instrText>
      </w:r>
      <w:r w:rsidR="00AC2AA0" w:rsidRPr="001D0416">
        <w:fldChar w:fldCharType="separate"/>
      </w:r>
      <w:r w:rsidR="006922A4" w:rsidRPr="001D0416">
        <w:rPr>
          <w:rStyle w:val="FootnoteReference"/>
        </w:rPr>
        <w:t>22</w:t>
      </w:r>
      <w:r w:rsidR="00AC2AA0" w:rsidRPr="001D0416">
        <w:fldChar w:fldCharType="end"/>
      </w:r>
      <w:r w:rsidRPr="001D0416">
        <w:t xml:space="preserve"> &gt;</w:t>
      </w:r>
      <w:r w:rsidR="00BC034D" w:rsidRPr="001D0416">
        <w:t> </w:t>
      </w:r>
      <w:r w:rsidRPr="001D0416">
        <w:t xml:space="preserve">60 msec, which was unchanged from the results seen at the individual </w:t>
      </w:r>
      <w:r w:rsidR="00BC034D" w:rsidRPr="006A00DA">
        <w:t xml:space="preserve">data </w:t>
      </w:r>
      <w:r w:rsidR="00D05EC9" w:rsidRPr="006A00DA">
        <w:t>cut-off</w:t>
      </w:r>
      <w:r w:rsidR="00BC034D" w:rsidRPr="006A00DA">
        <w:t>.</w:t>
      </w:r>
    </w:p>
    <w:p w14:paraId="68AD82D4" w14:textId="4043545B" w:rsidR="005C713A" w:rsidRPr="006A00DA" w:rsidRDefault="005C713A" w:rsidP="005C713A">
      <w:r w:rsidRPr="006A00DA">
        <w:t>A total of 18</w:t>
      </w:r>
      <w:r w:rsidR="00BC034D" w:rsidRPr="006A00DA">
        <w:t xml:space="preserve"> out of </w:t>
      </w:r>
      <w:r w:rsidRPr="006A00DA">
        <w:t>234 (7.7%) subjects in the HER2</w:t>
      </w:r>
      <w:r w:rsidR="00AC2AA0" w:rsidRPr="006A00DA">
        <w:t>-</w:t>
      </w:r>
      <w:r w:rsidRPr="006A00DA">
        <w:t xml:space="preserve">positive </w:t>
      </w:r>
      <w:r w:rsidR="00BC034D" w:rsidRPr="006A00DA">
        <w:t>breast cancer</w:t>
      </w:r>
      <w:r w:rsidRPr="006A00DA">
        <w:t xml:space="preserve"> 5.4 mg/kg </w:t>
      </w:r>
      <w:r w:rsidR="00BC034D" w:rsidRPr="006A00DA">
        <w:t>p</w:t>
      </w:r>
      <w:r w:rsidRPr="006A00DA">
        <w:t xml:space="preserve">ool had events of potential IRR. After review, events of potential IRR in 12 of the 18 cases were considered not to be IRR, due to alternative </w:t>
      </w:r>
      <w:r w:rsidR="00D05EC9" w:rsidRPr="006A00DA">
        <w:t>aetiologies</w:t>
      </w:r>
      <w:r w:rsidRPr="006A00DA">
        <w:t xml:space="preserve">. Of the other </w:t>
      </w:r>
      <w:r w:rsidR="00BC034D" w:rsidRPr="006A00DA">
        <w:t>six</w:t>
      </w:r>
      <w:r w:rsidRPr="006A00DA">
        <w:t xml:space="preserve"> cases</w:t>
      </w:r>
      <w:r w:rsidR="00BC034D" w:rsidRPr="006A00DA">
        <w:t>,</w:t>
      </w:r>
      <w:r w:rsidRPr="006A00DA">
        <w:t xml:space="preserve"> one was attributed to hypersensitivity. </w:t>
      </w:r>
      <w:r w:rsidR="00BC034D" w:rsidRPr="006A00DA">
        <w:t>One</w:t>
      </w:r>
      <w:r w:rsidRPr="006A00DA">
        <w:t xml:space="preserve"> subject had dose interruption due to IRR.</w:t>
      </w:r>
    </w:p>
    <w:p w14:paraId="2EC5DEB9" w14:textId="31155F2F" w:rsidR="00BC034D" w:rsidRPr="006A00DA" w:rsidRDefault="00BC034D" w:rsidP="00D05EC9">
      <w:pPr>
        <w:pStyle w:val="TableTitle"/>
      </w:pPr>
      <w:r w:rsidRPr="006A00DA">
        <w:t xml:space="preserve">Table </w:t>
      </w:r>
      <w:r w:rsidR="007E037A" w:rsidRPr="001D0416">
        <w:fldChar w:fldCharType="begin"/>
      </w:r>
      <w:r w:rsidR="007E037A" w:rsidRPr="006A00DA">
        <w:instrText xml:space="preserve"> SEQ Table \* ARABIC </w:instrText>
      </w:r>
      <w:r w:rsidR="007E037A" w:rsidRPr="001D0416">
        <w:fldChar w:fldCharType="separate"/>
      </w:r>
      <w:r w:rsidR="006922A4" w:rsidRPr="001D0416">
        <w:rPr>
          <w:noProof/>
        </w:rPr>
        <w:t>11</w:t>
      </w:r>
      <w:r w:rsidR="007E037A" w:rsidRPr="001D0416">
        <w:rPr>
          <w:noProof/>
        </w:rPr>
        <w:fldChar w:fldCharType="end"/>
      </w:r>
      <w:r w:rsidRPr="001D0416">
        <w:t>: Laboratory a</w:t>
      </w:r>
      <w:r w:rsidRPr="006A00DA">
        <w:t>bnormality adverse drug reactions in the HER2</w:t>
      </w:r>
      <w:r w:rsidR="000E7FDD" w:rsidRPr="006A00DA">
        <w:t>-</w:t>
      </w:r>
      <w:r w:rsidRPr="006A00DA">
        <w:t>positive breast cancer 5.4 mg/kg pool (</w:t>
      </w:r>
      <w:r w:rsidR="000E7FDD" w:rsidRPr="006A00DA">
        <w:t>n</w:t>
      </w:r>
      <w:r w:rsidRPr="006A00DA">
        <w:t xml:space="preserve"> = 234)</w:t>
      </w:r>
    </w:p>
    <w:p w14:paraId="6ECA6801" w14:textId="77777777" w:rsidR="00CD5935" w:rsidRPr="001D0416" w:rsidRDefault="00BC034D" w:rsidP="00BC034D">
      <w:pPr>
        <w:pStyle w:val="TableDescription"/>
      </w:pPr>
      <w:r w:rsidRPr="001D0416">
        <w:rPr>
          <w:noProof/>
          <w:lang w:val="en-GB" w:eastAsia="en-GB"/>
        </w:rPr>
        <w:drawing>
          <wp:inline distT="0" distB="0" distL="0" distR="0" wp14:anchorId="10964446" wp14:editId="42EB4FEA">
            <wp:extent cx="5148125" cy="2589294"/>
            <wp:effectExtent l="0" t="0" r="0" b="1905"/>
            <wp:docPr id="22" name="Picture 22" descr="Laboratory abnormality adverse drug reactions in the HER2 positive breast cancer 5.4 mg/kg pool (N = 234)"/>
            <wp:cNvGraphicFramePr/>
            <a:graphic xmlns:a="http://schemas.openxmlformats.org/drawingml/2006/main">
              <a:graphicData uri="http://schemas.openxmlformats.org/drawingml/2006/picture">
                <pic:pic xmlns:pic="http://schemas.openxmlformats.org/drawingml/2006/picture">
                  <pic:nvPicPr>
                    <pic:cNvPr id="22" name="Picture 22" descr="Laboratory abnormality adverse drug reactions in the HER2 positive breast cancer 5.4 mg/kg pool (N = 234)"/>
                    <pic:cNvPicPr/>
                  </pic:nvPicPr>
                  <pic:blipFill rotWithShape="1">
                    <a:blip r:embed="rId34">
                      <a:extLst>
                        <a:ext uri="{28A0092B-C50C-407E-A947-70E740481C1C}">
                          <a14:useLocalDpi xmlns:a14="http://schemas.microsoft.com/office/drawing/2010/main" val="0"/>
                        </a:ext>
                      </a:extLst>
                    </a:blip>
                    <a:srcRect l="3622" r="1020" b="24568"/>
                    <a:stretch/>
                  </pic:blipFill>
                  <pic:spPr bwMode="auto">
                    <a:xfrm>
                      <a:off x="0" y="0"/>
                      <a:ext cx="5149368" cy="2589919"/>
                    </a:xfrm>
                    <a:prstGeom prst="rect">
                      <a:avLst/>
                    </a:prstGeom>
                    <a:noFill/>
                    <a:ln>
                      <a:noFill/>
                    </a:ln>
                    <a:extLst>
                      <a:ext uri="{53640926-AAD7-44D8-BBD7-CCE9431645EC}">
                        <a14:shadowObscured xmlns:a14="http://schemas.microsoft.com/office/drawing/2010/main"/>
                      </a:ext>
                    </a:extLst>
                  </pic:spPr>
                </pic:pic>
              </a:graphicData>
            </a:graphic>
          </wp:inline>
        </w:drawing>
      </w:r>
    </w:p>
    <w:p w14:paraId="55B20627" w14:textId="1A4396AA" w:rsidR="00BC034D" w:rsidRPr="006A00DA" w:rsidRDefault="00BC034D" w:rsidP="00BC034D">
      <w:pPr>
        <w:pStyle w:val="TableDescription"/>
      </w:pPr>
      <w:r w:rsidRPr="006A00DA">
        <w:t xml:space="preserve">BC = breast cancer; CSR = clinical study report; CTCAE = common terminology criteria for adverse events, version 4.03; DCO = data </w:t>
      </w:r>
      <w:r w:rsidR="00D05EC9" w:rsidRPr="006A00DA">
        <w:t>cut-off</w:t>
      </w:r>
      <w:r w:rsidRPr="006A00DA">
        <w:t>; HER2 = human epidermal growth factor receptor 2</w:t>
      </w:r>
    </w:p>
    <w:p w14:paraId="147C154B" w14:textId="4D256C36" w:rsidR="00BC034D" w:rsidRPr="006A00DA" w:rsidRDefault="00BC034D" w:rsidP="00BC034D">
      <w:pPr>
        <w:pStyle w:val="TableDescription"/>
      </w:pPr>
      <w:r w:rsidRPr="006A00DA">
        <w:t>Percentages were calculated using the number of subjects with both baseline and post-treatment measurement as the denominator, based on CTCAE version 4.03 grade-derived laboratory abnormalities</w:t>
      </w:r>
    </w:p>
    <w:p w14:paraId="2FB52331" w14:textId="6604DCE1" w:rsidR="00BC034D" w:rsidRPr="006A00DA" w:rsidRDefault="00BC034D" w:rsidP="00BC034D">
      <w:pPr>
        <w:pStyle w:val="TableDescription"/>
      </w:pPr>
      <w:r w:rsidRPr="006A00DA">
        <w:t xml:space="preserve">CSR DCO = 1 February 2019 for Study J101 and 21 March 2019 for Study </w:t>
      </w:r>
      <w:r w:rsidR="00CD5935" w:rsidRPr="006A00DA">
        <w:t>U201; Safety Update DCO = 1 August 2019</w:t>
      </w:r>
    </w:p>
    <w:p w14:paraId="3FDA3751" w14:textId="26B1480B" w:rsidR="00CD5935" w:rsidRPr="006A00DA" w:rsidRDefault="00CD5935" w:rsidP="00CD5935">
      <w:r w:rsidRPr="006A00DA">
        <w:t>In the initial safety report the incidence of haemoglobin decreased was dose related with higher incidences of anaemia in patients given 6.4 mg/kg compared with 5.4 mg/kg. In the HER2</w:t>
      </w:r>
      <w:r w:rsidR="00AC2AA0" w:rsidRPr="006A00DA">
        <w:t>-</w:t>
      </w:r>
      <w:r w:rsidRPr="006A00DA">
        <w:t xml:space="preserve">positive breast cancer 5.4 mg/kg pool, a shift of 1 grade (toward worsening </w:t>
      </w:r>
      <w:r w:rsidR="00AC2AA0" w:rsidRPr="006A00DA">
        <w:t xml:space="preserve">common terminology criteria for adverse events </w:t>
      </w:r>
      <w:r w:rsidRPr="006A00DA">
        <w:t>grade) for anaemia (haemoglobin decreased) was reported in 32 out of 232 (56.9%) patients, with 29 out of 232 (12.5%) shifting by 2 grades and 5 out of 232 (2.2%) shifting by 3 grades. Shifts of 1 grade were reported in 73 out of 136 (53.7%) patients in the HER2</w:t>
      </w:r>
      <w:r w:rsidR="00AC2AA0" w:rsidRPr="006A00DA">
        <w:t>-</w:t>
      </w:r>
      <w:r w:rsidRPr="006A00DA">
        <w:t>positive ≥ 6.4 mg/kg pool, with 29 out of 136 (21.3%) shifting 2 grades, and 9 out of 136 (6.6%) shifting 3 grades.</w:t>
      </w:r>
    </w:p>
    <w:p w14:paraId="3188FFC2" w14:textId="444FA469" w:rsidR="00CD5935" w:rsidRPr="006A00DA" w:rsidRDefault="00CD5935" w:rsidP="00CD5935">
      <w:r w:rsidRPr="006A00DA">
        <w:t>Similarly dose related reductions were seen in platelet counts. In the HER2</w:t>
      </w:r>
      <w:r w:rsidR="00757650">
        <w:t>-</w:t>
      </w:r>
      <w:r w:rsidRPr="006A00DA">
        <w:t xml:space="preserve">positive breast cancer 5.4 mg/kg pool, shifts of 1 grade (toward worsening </w:t>
      </w:r>
      <w:r w:rsidR="00AC2AA0" w:rsidRPr="006A00DA">
        <w:t>common terminology criteria for adverse events</w:t>
      </w:r>
      <w:r w:rsidRPr="006A00DA">
        <w:t xml:space="preserve"> grade) for platelet count (decrease) were reported in 79 out of </w:t>
      </w:r>
      <w:r w:rsidRPr="006A00DA">
        <w:lastRenderedPageBreak/>
        <w:t>231</w:t>
      </w:r>
      <w:r w:rsidR="00757650">
        <w:t> </w:t>
      </w:r>
      <w:r w:rsidRPr="006A00DA">
        <w:t>(34.2%) subjects, with 14 out of 231 (6.1%) shifting 2 grades, and 6 out of 231 (2.6%) shifting 3 grades. In contrast, shifts of 1 grade were reported in 59 out of 136 (43.4%) subjects in the HER2 positive ≥ 6.4 mg/kg pool, with 12 out of 136 (8.8%) shifting 2</w:t>
      </w:r>
      <w:r w:rsidR="00757650">
        <w:t> </w:t>
      </w:r>
      <w:r w:rsidRPr="006A00DA">
        <w:t>grades, 11 out of 136 (8.1%) shifting 3 grades, and 2 out of 136 (1.5%) shifting 4 grades.</w:t>
      </w:r>
    </w:p>
    <w:p w14:paraId="6FC88D71" w14:textId="77777777" w:rsidR="00CD5935" w:rsidRPr="006A00DA" w:rsidRDefault="00CD5935" w:rsidP="00CD5935">
      <w:r w:rsidRPr="006A00DA">
        <w:t>The most frequent shifts in blood chemistry parameters following treatment were in liver function tests.</w:t>
      </w:r>
    </w:p>
    <w:p w14:paraId="7BE70B54" w14:textId="3389A2ED" w:rsidR="00CD5935" w:rsidRPr="006A00DA" w:rsidRDefault="00CD5935" w:rsidP="00CD5935">
      <w:r w:rsidRPr="006A00DA">
        <w:t>The proportion of ADA positive subjects in the HER2</w:t>
      </w:r>
      <w:r w:rsidR="00CA21C6" w:rsidRPr="006A00DA">
        <w:t>-</w:t>
      </w:r>
      <w:r w:rsidRPr="006A00DA">
        <w:t xml:space="preserve">positive breast cancer 5.4 mg/kg pool was low, and there was no association between positive ADA and allergic type reactions. </w:t>
      </w:r>
      <w:r w:rsidR="004B453F">
        <w:t>Trastuzumab</w:t>
      </w:r>
      <w:r w:rsidRPr="006A00DA">
        <w:t xml:space="preserve"> </w:t>
      </w:r>
      <w:proofErr w:type="spellStart"/>
      <w:r w:rsidRPr="006A00DA">
        <w:t>deruxtecan</w:t>
      </w:r>
      <w:proofErr w:type="spellEnd"/>
      <w:r w:rsidRPr="006A00DA">
        <w:t xml:space="preserve"> was not associated with severe IRRs.</w:t>
      </w:r>
    </w:p>
    <w:p w14:paraId="5DA135A8" w14:textId="77777777" w:rsidR="008E7846" w:rsidRPr="006A00DA" w:rsidRDefault="00386150" w:rsidP="007B6132">
      <w:pPr>
        <w:pStyle w:val="Heading3"/>
        <w:rPr>
          <w:lang w:eastAsia="en-AU"/>
        </w:rPr>
      </w:pPr>
      <w:bookmarkStart w:id="59" w:name="_Toc103589845"/>
      <w:r w:rsidRPr="006A00DA">
        <w:rPr>
          <w:lang w:eastAsia="en-AU"/>
        </w:rPr>
        <w:t>Risk m</w:t>
      </w:r>
      <w:r w:rsidR="008E7846" w:rsidRPr="006A00DA">
        <w:rPr>
          <w:lang w:eastAsia="en-AU"/>
        </w:rPr>
        <w:t xml:space="preserve">anagement </w:t>
      </w:r>
      <w:r w:rsidRPr="006A00DA">
        <w:rPr>
          <w:lang w:eastAsia="en-AU"/>
        </w:rPr>
        <w:t>p</w:t>
      </w:r>
      <w:r w:rsidR="008E7846" w:rsidRPr="006A00DA">
        <w:rPr>
          <w:lang w:eastAsia="en-AU"/>
        </w:rPr>
        <w:t>lan</w:t>
      </w:r>
      <w:bookmarkEnd w:id="51"/>
      <w:bookmarkEnd w:id="59"/>
    </w:p>
    <w:p w14:paraId="2F59702E" w14:textId="6ECFC6C8" w:rsidR="00445AC5" w:rsidRPr="006A00DA" w:rsidRDefault="00445AC5" w:rsidP="00445AC5">
      <w:r w:rsidRPr="006A00DA">
        <w:t xml:space="preserve">AstraZeneca Pty Ltd has submitted EU-risk management plan (RMP) version 0.1 (date 4 May </w:t>
      </w:r>
      <w:proofErr w:type="gramStart"/>
      <w:r w:rsidRPr="006A00DA">
        <w:t>2020;</w:t>
      </w:r>
      <w:proofErr w:type="gramEnd"/>
      <w:r w:rsidRPr="006A00DA">
        <w:t xml:space="preserve"> data lock point (DLP) 1 August 2019) and Australia specific annex (ASA) version 1.0 (date 2 September 2020) in support of this application. In response to TGA’s questions, the sponsor submitted updated EU-RMP version 1.0 (date 22 January 2021; DLP 1 August 2019) and ASA version 1.0 succession 2 (date 17 May 2021). As requested by the RMP evaluator, the sponsor has submitted an updated ASA version 1.0 Succession 3 (dated 16 July 2021).</w:t>
      </w:r>
    </w:p>
    <w:p w14:paraId="30849CF3" w14:textId="40ADE793" w:rsidR="007D53B6" w:rsidRPr="001D0416" w:rsidRDefault="007D53B6" w:rsidP="007D53B6">
      <w:r w:rsidRPr="006A00DA">
        <w:t xml:space="preserve">The summary of safety concerns and their associated risk monitoring and mitigation strategies are summarised in </w:t>
      </w:r>
      <w:r w:rsidR="00C84525" w:rsidRPr="001D0416">
        <w:fldChar w:fldCharType="begin"/>
      </w:r>
      <w:r w:rsidR="00C84525" w:rsidRPr="006A00DA">
        <w:instrText xml:space="preserve"> REF _Ref103174023 \h </w:instrText>
      </w:r>
      <w:r w:rsidR="00C84525" w:rsidRPr="001D0416">
        <w:fldChar w:fldCharType="separate"/>
      </w:r>
      <w:r w:rsidR="006922A4" w:rsidRPr="001D0416">
        <w:t xml:space="preserve">Table </w:t>
      </w:r>
      <w:r w:rsidR="006922A4" w:rsidRPr="001D0416">
        <w:rPr>
          <w:noProof/>
        </w:rPr>
        <w:t>12</w:t>
      </w:r>
      <w:r w:rsidR="00C84525" w:rsidRPr="001D0416">
        <w:fldChar w:fldCharType="end"/>
      </w:r>
      <w:r w:rsidRPr="001D0416">
        <w:t>.</w:t>
      </w:r>
      <w:r w:rsidRPr="001D0416">
        <w:rPr>
          <w:rStyle w:val="FootnoteReference"/>
        </w:rPr>
        <w:footnoteReference w:id="39"/>
      </w:r>
    </w:p>
    <w:p w14:paraId="5225381F" w14:textId="0C1643B1" w:rsidR="00445AC5" w:rsidRDefault="00C84525" w:rsidP="00D05EC9">
      <w:pPr>
        <w:pStyle w:val="TableTitle"/>
      </w:pPr>
      <w:bookmarkStart w:id="60" w:name="_Ref103174023"/>
      <w:r w:rsidRPr="001D0416">
        <w:lastRenderedPageBreak/>
        <w:t xml:space="preserve">Table </w:t>
      </w:r>
      <w:r w:rsidR="007E037A" w:rsidRPr="001D0416">
        <w:fldChar w:fldCharType="begin"/>
      </w:r>
      <w:r w:rsidR="007E037A" w:rsidRPr="006A00DA">
        <w:instrText xml:space="preserve"> SEQ Table \* ARABIC </w:instrText>
      </w:r>
      <w:r w:rsidR="007E037A" w:rsidRPr="001D0416">
        <w:fldChar w:fldCharType="separate"/>
      </w:r>
      <w:r w:rsidR="006922A4" w:rsidRPr="001D0416">
        <w:rPr>
          <w:noProof/>
        </w:rPr>
        <w:t>12</w:t>
      </w:r>
      <w:r w:rsidR="007E037A" w:rsidRPr="001D0416">
        <w:rPr>
          <w:noProof/>
        </w:rPr>
        <w:fldChar w:fldCharType="end"/>
      </w:r>
      <w:bookmarkEnd w:id="60"/>
      <w:r w:rsidRPr="001D0416">
        <w:t>: Summary of safety concerns and their associated r</w:t>
      </w:r>
      <w:r>
        <w:t>isk monitoring and mitigation strategies</w:t>
      </w:r>
    </w:p>
    <w:tbl>
      <w:tblPr>
        <w:tblStyle w:val="TableTGAblue"/>
        <w:tblW w:w="5000" w:type="pct"/>
        <w:tblLook w:val="04A0" w:firstRow="1" w:lastRow="0" w:firstColumn="1" w:lastColumn="0" w:noHBand="0" w:noVBand="1"/>
      </w:tblPr>
      <w:tblGrid>
        <w:gridCol w:w="1618"/>
        <w:gridCol w:w="2189"/>
        <w:gridCol w:w="1123"/>
        <w:gridCol w:w="1261"/>
        <w:gridCol w:w="1042"/>
        <w:gridCol w:w="1261"/>
      </w:tblGrid>
      <w:tr w:rsidR="00445AC5" w:rsidRPr="00BF52F4" w14:paraId="3AB370EA" w14:textId="77777777" w:rsidTr="00445AC5">
        <w:trPr>
          <w:cnfStyle w:val="100000000000" w:firstRow="1" w:lastRow="0" w:firstColumn="0" w:lastColumn="0" w:oddVBand="0" w:evenVBand="0" w:oddHBand="0" w:evenHBand="0" w:firstRowFirstColumn="0" w:firstRowLastColumn="0" w:lastRowFirstColumn="0" w:lastRowLastColumn="0"/>
          <w:trHeight w:val="131"/>
        </w:trPr>
        <w:tc>
          <w:tcPr>
            <w:tcW w:w="2250" w:type="pct"/>
            <w:gridSpan w:val="2"/>
            <w:vMerge w:val="restart"/>
            <w:tcBorders>
              <w:top w:val="single" w:sz="4" w:space="0" w:color="auto"/>
              <w:left w:val="single" w:sz="4" w:space="0" w:color="auto"/>
              <w:bottom w:val="single" w:sz="4" w:space="0" w:color="auto"/>
              <w:right w:val="single" w:sz="4" w:space="0" w:color="auto"/>
            </w:tcBorders>
          </w:tcPr>
          <w:p w14:paraId="585AB78F" w14:textId="77777777" w:rsidR="00445AC5" w:rsidRPr="00BF52F4" w:rsidRDefault="00445AC5">
            <w:pPr>
              <w:pStyle w:val="Tabletext"/>
              <w:rPr>
                <w:b w:val="0"/>
              </w:rPr>
            </w:pPr>
            <w:r w:rsidRPr="00BF52F4">
              <w:t>Summary of safety concerns</w:t>
            </w:r>
          </w:p>
        </w:tc>
        <w:tc>
          <w:tcPr>
            <w:tcW w:w="1416" w:type="pct"/>
            <w:gridSpan w:val="2"/>
            <w:tcBorders>
              <w:top w:val="single" w:sz="4" w:space="0" w:color="auto"/>
              <w:left w:val="single" w:sz="4" w:space="0" w:color="auto"/>
              <w:bottom w:val="single" w:sz="4" w:space="0" w:color="auto"/>
              <w:right w:val="single" w:sz="4" w:space="0" w:color="auto"/>
            </w:tcBorders>
          </w:tcPr>
          <w:p w14:paraId="2B40C749" w14:textId="77777777" w:rsidR="00445AC5" w:rsidRPr="00BF52F4" w:rsidRDefault="00445AC5">
            <w:pPr>
              <w:pStyle w:val="Tabletext"/>
              <w:rPr>
                <w:b w:val="0"/>
                <w:sz w:val="18"/>
              </w:rPr>
            </w:pPr>
            <w:r w:rsidRPr="00BF52F4">
              <w:rPr>
                <w:sz w:val="18"/>
              </w:rPr>
              <w:t>Pharmacovigilance</w:t>
            </w:r>
          </w:p>
        </w:tc>
        <w:tc>
          <w:tcPr>
            <w:tcW w:w="1333" w:type="pct"/>
            <w:gridSpan w:val="2"/>
            <w:tcBorders>
              <w:top w:val="single" w:sz="4" w:space="0" w:color="auto"/>
              <w:left w:val="single" w:sz="4" w:space="0" w:color="auto"/>
              <w:bottom w:val="single" w:sz="4" w:space="0" w:color="auto"/>
              <w:right w:val="single" w:sz="4" w:space="0" w:color="auto"/>
            </w:tcBorders>
          </w:tcPr>
          <w:p w14:paraId="6F2A094B" w14:textId="77777777" w:rsidR="00445AC5" w:rsidRPr="00BF52F4" w:rsidRDefault="00445AC5">
            <w:pPr>
              <w:pStyle w:val="Tabletext"/>
              <w:rPr>
                <w:b w:val="0"/>
                <w:sz w:val="18"/>
              </w:rPr>
            </w:pPr>
            <w:r w:rsidRPr="00BF52F4">
              <w:rPr>
                <w:sz w:val="18"/>
              </w:rPr>
              <w:t>Risk Minimisation</w:t>
            </w:r>
          </w:p>
        </w:tc>
      </w:tr>
      <w:tr w:rsidR="00445AC5" w:rsidRPr="00BF52F4" w14:paraId="7285D43D" w14:textId="77777777" w:rsidTr="00445AC5">
        <w:trPr>
          <w:trHeight w:val="150"/>
        </w:trPr>
        <w:tc>
          <w:tcPr>
            <w:tcW w:w="2250" w:type="pct"/>
            <w:gridSpan w:val="2"/>
            <w:vMerge/>
            <w:tcBorders>
              <w:top w:val="single" w:sz="4" w:space="0" w:color="auto"/>
              <w:left w:val="single" w:sz="4" w:space="0" w:color="auto"/>
              <w:bottom w:val="single" w:sz="4" w:space="0" w:color="auto"/>
              <w:right w:val="single" w:sz="4" w:space="0" w:color="auto"/>
            </w:tcBorders>
          </w:tcPr>
          <w:p w14:paraId="10FFA5CA" w14:textId="77777777" w:rsidR="00445AC5" w:rsidRPr="00BF52F4" w:rsidRDefault="00445AC5" w:rsidP="00021980">
            <w:pPr>
              <w:pStyle w:val="Tabletext"/>
              <w:keepNext/>
              <w:rPr>
                <w:b/>
              </w:rPr>
            </w:pPr>
          </w:p>
        </w:tc>
        <w:tc>
          <w:tcPr>
            <w:tcW w:w="686" w:type="pct"/>
            <w:tcBorders>
              <w:top w:val="single" w:sz="4" w:space="0" w:color="auto"/>
              <w:left w:val="single" w:sz="4" w:space="0" w:color="auto"/>
              <w:bottom w:val="single" w:sz="4" w:space="0" w:color="auto"/>
              <w:right w:val="single" w:sz="4" w:space="0" w:color="auto"/>
            </w:tcBorders>
            <w:shd w:val="clear" w:color="auto" w:fill="006DA7"/>
          </w:tcPr>
          <w:p w14:paraId="3A87F59F" w14:textId="77777777" w:rsidR="00445AC5" w:rsidRPr="00445AC5" w:rsidRDefault="00445AC5" w:rsidP="00021980">
            <w:pPr>
              <w:pStyle w:val="Tabletext"/>
              <w:keepNext/>
              <w:ind w:left="0"/>
              <w:rPr>
                <w:b/>
                <w:bCs/>
                <w:color w:val="FFFFFF" w:themeColor="background1"/>
                <w:sz w:val="18"/>
              </w:rPr>
            </w:pPr>
            <w:r w:rsidRPr="00445AC5">
              <w:rPr>
                <w:b/>
                <w:bCs/>
                <w:color w:val="FFFFFF" w:themeColor="background1"/>
                <w:sz w:val="18"/>
              </w:rPr>
              <w:t>Routine</w:t>
            </w:r>
          </w:p>
        </w:tc>
        <w:tc>
          <w:tcPr>
            <w:tcW w:w="730" w:type="pct"/>
            <w:tcBorders>
              <w:top w:val="single" w:sz="4" w:space="0" w:color="auto"/>
              <w:left w:val="single" w:sz="4" w:space="0" w:color="auto"/>
              <w:bottom w:val="single" w:sz="4" w:space="0" w:color="auto"/>
              <w:right w:val="single" w:sz="4" w:space="0" w:color="auto"/>
            </w:tcBorders>
            <w:shd w:val="clear" w:color="auto" w:fill="006DA7"/>
          </w:tcPr>
          <w:p w14:paraId="0CE6BA4B" w14:textId="77777777" w:rsidR="00445AC5" w:rsidRPr="00445AC5" w:rsidRDefault="00445AC5" w:rsidP="00021980">
            <w:pPr>
              <w:pStyle w:val="Tabletext"/>
              <w:keepNext/>
              <w:ind w:left="0"/>
              <w:rPr>
                <w:b/>
                <w:bCs/>
                <w:color w:val="FFFFFF" w:themeColor="background1"/>
                <w:sz w:val="18"/>
              </w:rPr>
            </w:pPr>
            <w:r w:rsidRPr="00445AC5">
              <w:rPr>
                <w:b/>
                <w:bCs/>
                <w:color w:val="FFFFFF" w:themeColor="background1"/>
                <w:sz w:val="18"/>
              </w:rPr>
              <w:t>Additional</w:t>
            </w:r>
          </w:p>
        </w:tc>
        <w:tc>
          <w:tcPr>
            <w:tcW w:w="603" w:type="pct"/>
            <w:tcBorders>
              <w:top w:val="single" w:sz="4" w:space="0" w:color="auto"/>
              <w:left w:val="single" w:sz="4" w:space="0" w:color="auto"/>
              <w:bottom w:val="single" w:sz="4" w:space="0" w:color="auto"/>
              <w:right w:val="single" w:sz="4" w:space="0" w:color="auto"/>
            </w:tcBorders>
            <w:shd w:val="clear" w:color="auto" w:fill="006DA7"/>
          </w:tcPr>
          <w:p w14:paraId="0A858772" w14:textId="77777777" w:rsidR="00445AC5" w:rsidRPr="00445AC5" w:rsidRDefault="00445AC5" w:rsidP="00021980">
            <w:pPr>
              <w:pStyle w:val="Tabletext"/>
              <w:keepNext/>
              <w:ind w:left="0"/>
              <w:rPr>
                <w:b/>
                <w:bCs/>
                <w:color w:val="FFFFFF" w:themeColor="background1"/>
                <w:sz w:val="18"/>
              </w:rPr>
            </w:pPr>
            <w:r w:rsidRPr="00445AC5">
              <w:rPr>
                <w:b/>
                <w:bCs/>
                <w:color w:val="FFFFFF" w:themeColor="background1"/>
                <w:sz w:val="18"/>
              </w:rPr>
              <w:t>Routine</w:t>
            </w:r>
          </w:p>
        </w:tc>
        <w:tc>
          <w:tcPr>
            <w:tcW w:w="730" w:type="pct"/>
            <w:tcBorders>
              <w:top w:val="single" w:sz="4" w:space="0" w:color="auto"/>
              <w:left w:val="single" w:sz="4" w:space="0" w:color="auto"/>
              <w:bottom w:val="single" w:sz="4" w:space="0" w:color="auto"/>
              <w:right w:val="single" w:sz="4" w:space="0" w:color="auto"/>
            </w:tcBorders>
            <w:shd w:val="clear" w:color="auto" w:fill="006DA7"/>
          </w:tcPr>
          <w:p w14:paraId="3FA9DCBB" w14:textId="77777777" w:rsidR="00445AC5" w:rsidRPr="00445AC5" w:rsidRDefault="00445AC5" w:rsidP="00021980">
            <w:pPr>
              <w:pStyle w:val="Tabletext"/>
              <w:keepNext/>
              <w:ind w:left="0"/>
              <w:rPr>
                <w:b/>
                <w:bCs/>
                <w:color w:val="FFFFFF" w:themeColor="background1"/>
                <w:sz w:val="18"/>
              </w:rPr>
            </w:pPr>
            <w:r w:rsidRPr="00445AC5">
              <w:rPr>
                <w:b/>
                <w:bCs/>
                <w:color w:val="FFFFFF" w:themeColor="background1"/>
                <w:sz w:val="18"/>
              </w:rPr>
              <w:t>Additional</w:t>
            </w:r>
          </w:p>
        </w:tc>
      </w:tr>
      <w:tr w:rsidR="00445AC5" w:rsidRPr="00BF52F4" w14:paraId="0C1D95DE" w14:textId="77777777" w:rsidTr="00445AC5">
        <w:trPr>
          <w:trHeight w:val="137"/>
        </w:trPr>
        <w:tc>
          <w:tcPr>
            <w:tcW w:w="937" w:type="pct"/>
            <w:vMerge w:val="restart"/>
            <w:tcBorders>
              <w:top w:val="single" w:sz="4" w:space="0" w:color="auto"/>
            </w:tcBorders>
          </w:tcPr>
          <w:p w14:paraId="132C0DFE" w14:textId="77777777" w:rsidR="00445AC5" w:rsidRPr="000E7FDD" w:rsidRDefault="00445AC5" w:rsidP="00021980">
            <w:pPr>
              <w:pStyle w:val="Tabletext"/>
              <w:keepNext/>
              <w:rPr>
                <w:b/>
                <w:color w:val="auto"/>
              </w:rPr>
            </w:pPr>
            <w:r w:rsidRPr="000E7FDD">
              <w:rPr>
                <w:b/>
                <w:color w:val="auto"/>
              </w:rPr>
              <w:t>Important identified risks</w:t>
            </w:r>
          </w:p>
        </w:tc>
        <w:tc>
          <w:tcPr>
            <w:tcW w:w="1314" w:type="pct"/>
            <w:tcBorders>
              <w:top w:val="single" w:sz="4" w:space="0" w:color="auto"/>
            </w:tcBorders>
          </w:tcPr>
          <w:p w14:paraId="1C21770F" w14:textId="77777777" w:rsidR="00445AC5" w:rsidRPr="00DE40D1" w:rsidRDefault="00445AC5" w:rsidP="00021980">
            <w:pPr>
              <w:pStyle w:val="Tabletext"/>
              <w:keepNext/>
              <w:ind w:left="0"/>
              <w:rPr>
                <w:color w:val="auto"/>
              </w:rPr>
            </w:pPr>
            <w:r w:rsidRPr="00021980">
              <w:rPr>
                <w:bCs/>
              </w:rPr>
              <w:t>Interstitial lung disease/Pneumonitis</w:t>
            </w:r>
          </w:p>
        </w:tc>
        <w:tc>
          <w:tcPr>
            <w:tcW w:w="686" w:type="pct"/>
            <w:tcBorders>
              <w:top w:val="single" w:sz="4" w:space="0" w:color="auto"/>
            </w:tcBorders>
          </w:tcPr>
          <w:p w14:paraId="4AE12D40" w14:textId="77777777" w:rsidR="00445AC5" w:rsidRPr="000E7FDD" w:rsidRDefault="00445AC5" w:rsidP="00021980">
            <w:pPr>
              <w:pStyle w:val="Tabletext"/>
              <w:keepNext/>
              <w:jc w:val="center"/>
              <w:rPr>
                <w:color w:val="auto"/>
                <w:vertAlign w:val="superscript"/>
              </w:rPr>
            </w:pPr>
            <w:r w:rsidRPr="000E7FDD">
              <w:rPr>
                <w:rFonts w:ascii="Wingdings" w:eastAsia="Wingdings" w:hAnsi="Wingdings" w:cs="Wingdings"/>
                <w:color w:val="auto"/>
              </w:rPr>
              <w:t></w:t>
            </w:r>
            <w:r w:rsidRPr="000E7FDD">
              <w:rPr>
                <w:color w:val="auto"/>
                <w:vertAlign w:val="superscript"/>
              </w:rPr>
              <w:t>1</w:t>
            </w:r>
          </w:p>
        </w:tc>
        <w:tc>
          <w:tcPr>
            <w:tcW w:w="730" w:type="pct"/>
            <w:tcBorders>
              <w:top w:val="single" w:sz="4" w:space="0" w:color="auto"/>
            </w:tcBorders>
          </w:tcPr>
          <w:p w14:paraId="3B91CFEF" w14:textId="77777777" w:rsidR="00445AC5" w:rsidRPr="000E7FDD" w:rsidRDefault="00445AC5" w:rsidP="00021980">
            <w:pPr>
              <w:pStyle w:val="Tabletext"/>
              <w:keepNext/>
              <w:jc w:val="center"/>
              <w:rPr>
                <w:color w:val="auto"/>
              </w:rPr>
            </w:pPr>
            <w:r w:rsidRPr="000E7FDD">
              <w:rPr>
                <w:rFonts w:ascii="Wingdings" w:eastAsia="Wingdings" w:hAnsi="Wingdings" w:cs="Wingdings"/>
                <w:color w:val="auto"/>
              </w:rPr>
              <w:t></w:t>
            </w:r>
            <w:r w:rsidRPr="000E7FDD">
              <w:rPr>
                <w:color w:val="auto"/>
                <w:vertAlign w:val="superscript"/>
              </w:rPr>
              <w:t>2</w:t>
            </w:r>
          </w:p>
        </w:tc>
        <w:tc>
          <w:tcPr>
            <w:tcW w:w="603" w:type="pct"/>
            <w:tcBorders>
              <w:top w:val="single" w:sz="4" w:space="0" w:color="auto"/>
            </w:tcBorders>
          </w:tcPr>
          <w:p w14:paraId="63E2DBF0" w14:textId="77777777" w:rsidR="00445AC5" w:rsidRPr="000E7FDD" w:rsidRDefault="00445AC5" w:rsidP="00021980">
            <w:pPr>
              <w:pStyle w:val="Tabletext"/>
              <w:keepNext/>
              <w:jc w:val="center"/>
              <w:rPr>
                <w:color w:val="auto"/>
              </w:rPr>
            </w:pPr>
            <w:r w:rsidRPr="000E7FDD">
              <w:rPr>
                <w:rFonts w:ascii="Wingdings" w:eastAsia="Wingdings" w:hAnsi="Wingdings" w:cs="Wingdings"/>
                <w:color w:val="auto"/>
              </w:rPr>
              <w:t></w:t>
            </w:r>
          </w:p>
        </w:tc>
        <w:tc>
          <w:tcPr>
            <w:tcW w:w="730" w:type="pct"/>
            <w:tcBorders>
              <w:top w:val="single" w:sz="4" w:space="0" w:color="auto"/>
            </w:tcBorders>
          </w:tcPr>
          <w:p w14:paraId="111C7768" w14:textId="77777777" w:rsidR="00445AC5" w:rsidRPr="000E7FDD" w:rsidRDefault="00445AC5" w:rsidP="00021980">
            <w:pPr>
              <w:pStyle w:val="Tabletext"/>
              <w:keepNext/>
              <w:jc w:val="center"/>
              <w:rPr>
                <w:color w:val="auto"/>
              </w:rPr>
            </w:pPr>
            <w:r w:rsidRPr="000E7FDD">
              <w:rPr>
                <w:rFonts w:ascii="Wingdings" w:eastAsia="Wingdings" w:hAnsi="Wingdings" w:cs="Wingdings"/>
                <w:color w:val="auto"/>
              </w:rPr>
              <w:t></w:t>
            </w:r>
            <w:r w:rsidRPr="000E7FDD">
              <w:rPr>
                <w:color w:val="auto"/>
                <w:vertAlign w:val="superscript"/>
              </w:rPr>
              <w:t>3</w:t>
            </w:r>
          </w:p>
        </w:tc>
      </w:tr>
      <w:tr w:rsidR="00445AC5" w:rsidRPr="00BF52F4" w14:paraId="0E9021C1" w14:textId="77777777" w:rsidTr="00445AC5">
        <w:trPr>
          <w:trHeight w:val="137"/>
        </w:trPr>
        <w:tc>
          <w:tcPr>
            <w:tcW w:w="937" w:type="pct"/>
            <w:vMerge/>
          </w:tcPr>
          <w:p w14:paraId="660B2B41" w14:textId="77777777" w:rsidR="00445AC5" w:rsidRPr="000E7FDD" w:rsidRDefault="00445AC5" w:rsidP="00021980">
            <w:pPr>
              <w:pStyle w:val="Tabletext"/>
              <w:keepNext/>
              <w:rPr>
                <w:b/>
                <w:color w:val="auto"/>
              </w:rPr>
            </w:pPr>
          </w:p>
        </w:tc>
        <w:tc>
          <w:tcPr>
            <w:tcW w:w="1314" w:type="pct"/>
          </w:tcPr>
          <w:p w14:paraId="55875300" w14:textId="77777777" w:rsidR="00445AC5" w:rsidRPr="00021980" w:rsidRDefault="00445AC5" w:rsidP="00021980">
            <w:pPr>
              <w:pStyle w:val="Tabletext"/>
              <w:keepNext/>
              <w:ind w:left="0"/>
              <w:rPr>
                <w:bCs/>
                <w:color w:val="auto"/>
              </w:rPr>
            </w:pPr>
            <w:r w:rsidRPr="00021980">
              <w:rPr>
                <w:bCs/>
              </w:rPr>
              <w:t>Left ventricular dysfunction</w:t>
            </w:r>
          </w:p>
        </w:tc>
        <w:tc>
          <w:tcPr>
            <w:tcW w:w="686" w:type="pct"/>
          </w:tcPr>
          <w:p w14:paraId="4388008A" w14:textId="77777777" w:rsidR="00445AC5" w:rsidRPr="000E7FDD" w:rsidRDefault="00445AC5" w:rsidP="00021980">
            <w:pPr>
              <w:pStyle w:val="Tabletext"/>
              <w:keepNext/>
              <w:jc w:val="center"/>
              <w:rPr>
                <w:color w:val="auto"/>
              </w:rPr>
            </w:pPr>
            <w:r w:rsidRPr="000E7FDD">
              <w:rPr>
                <w:rFonts w:ascii="Wingdings" w:eastAsia="Wingdings" w:hAnsi="Wingdings" w:cs="Wingdings"/>
                <w:color w:val="auto"/>
              </w:rPr>
              <w:t></w:t>
            </w:r>
            <w:r w:rsidRPr="000E7FDD">
              <w:rPr>
                <w:color w:val="auto"/>
                <w:vertAlign w:val="superscript"/>
              </w:rPr>
              <w:t>1</w:t>
            </w:r>
          </w:p>
        </w:tc>
        <w:tc>
          <w:tcPr>
            <w:tcW w:w="730" w:type="pct"/>
          </w:tcPr>
          <w:p w14:paraId="53898A4B" w14:textId="77777777" w:rsidR="00445AC5" w:rsidRPr="000E7FDD" w:rsidRDefault="00445AC5" w:rsidP="00021980">
            <w:pPr>
              <w:pStyle w:val="Tabletext"/>
              <w:keepNext/>
              <w:jc w:val="center"/>
              <w:rPr>
                <w:color w:val="auto"/>
              </w:rPr>
            </w:pPr>
            <w:r w:rsidRPr="000E7FDD">
              <w:rPr>
                <w:color w:val="auto"/>
              </w:rPr>
              <w:t>–</w:t>
            </w:r>
          </w:p>
        </w:tc>
        <w:tc>
          <w:tcPr>
            <w:tcW w:w="603" w:type="pct"/>
          </w:tcPr>
          <w:p w14:paraId="5E8B491E" w14:textId="77777777" w:rsidR="00445AC5" w:rsidRPr="000E7FDD" w:rsidRDefault="00445AC5" w:rsidP="00021980">
            <w:pPr>
              <w:pStyle w:val="Tabletext"/>
              <w:keepNext/>
              <w:jc w:val="center"/>
              <w:rPr>
                <w:color w:val="auto"/>
              </w:rPr>
            </w:pPr>
            <w:r w:rsidRPr="000E7FDD">
              <w:rPr>
                <w:rFonts w:ascii="Wingdings" w:eastAsia="Wingdings" w:hAnsi="Wingdings" w:cs="Wingdings"/>
                <w:color w:val="auto"/>
              </w:rPr>
              <w:t></w:t>
            </w:r>
          </w:p>
        </w:tc>
        <w:tc>
          <w:tcPr>
            <w:tcW w:w="730" w:type="pct"/>
          </w:tcPr>
          <w:p w14:paraId="2080F6FE" w14:textId="77777777" w:rsidR="00445AC5" w:rsidRPr="000E7FDD" w:rsidRDefault="00445AC5" w:rsidP="00021980">
            <w:pPr>
              <w:pStyle w:val="Tabletext"/>
              <w:keepNext/>
              <w:jc w:val="center"/>
              <w:rPr>
                <w:color w:val="auto"/>
              </w:rPr>
            </w:pPr>
            <w:r w:rsidRPr="000E7FDD">
              <w:rPr>
                <w:color w:val="auto"/>
              </w:rPr>
              <w:t>–</w:t>
            </w:r>
          </w:p>
        </w:tc>
      </w:tr>
      <w:tr w:rsidR="00445AC5" w:rsidRPr="00BF52F4" w14:paraId="262D3228" w14:textId="77777777" w:rsidTr="00445AC5">
        <w:trPr>
          <w:trHeight w:val="789"/>
        </w:trPr>
        <w:tc>
          <w:tcPr>
            <w:tcW w:w="937" w:type="pct"/>
          </w:tcPr>
          <w:p w14:paraId="4A6B946C" w14:textId="77777777" w:rsidR="00445AC5" w:rsidRPr="000E7FDD" w:rsidRDefault="00445AC5" w:rsidP="00021980">
            <w:pPr>
              <w:pStyle w:val="Tabletext"/>
              <w:keepNext/>
              <w:rPr>
                <w:b/>
                <w:color w:val="auto"/>
              </w:rPr>
            </w:pPr>
            <w:r w:rsidRPr="000E7FDD">
              <w:rPr>
                <w:b/>
                <w:color w:val="auto"/>
              </w:rPr>
              <w:t>Important potential risks</w:t>
            </w:r>
          </w:p>
        </w:tc>
        <w:tc>
          <w:tcPr>
            <w:tcW w:w="1314" w:type="pct"/>
          </w:tcPr>
          <w:p w14:paraId="1C29CCA0" w14:textId="7AFE54DB" w:rsidR="00445AC5" w:rsidRPr="00021980" w:rsidRDefault="00445AC5" w:rsidP="00021980">
            <w:pPr>
              <w:pStyle w:val="Tabletext"/>
              <w:keepNext/>
              <w:ind w:left="0"/>
              <w:rPr>
                <w:bCs/>
                <w:color w:val="auto"/>
              </w:rPr>
            </w:pPr>
            <w:r w:rsidRPr="00021980">
              <w:rPr>
                <w:bCs/>
              </w:rPr>
              <w:t>Embryofetal toxicity</w:t>
            </w:r>
          </w:p>
        </w:tc>
        <w:tc>
          <w:tcPr>
            <w:tcW w:w="686" w:type="pct"/>
          </w:tcPr>
          <w:p w14:paraId="0A9BE45B" w14:textId="77777777" w:rsidR="00445AC5" w:rsidRPr="000E7FDD" w:rsidRDefault="00445AC5" w:rsidP="00021980">
            <w:pPr>
              <w:pStyle w:val="Tabletext"/>
              <w:keepNext/>
              <w:jc w:val="center"/>
              <w:rPr>
                <w:color w:val="auto"/>
                <w:vertAlign w:val="superscript"/>
              </w:rPr>
            </w:pPr>
            <w:r w:rsidRPr="000E7FDD">
              <w:rPr>
                <w:rFonts w:ascii="Wingdings" w:eastAsia="Wingdings" w:hAnsi="Wingdings" w:cs="Wingdings"/>
                <w:color w:val="auto"/>
              </w:rPr>
              <w:t></w:t>
            </w:r>
          </w:p>
        </w:tc>
        <w:tc>
          <w:tcPr>
            <w:tcW w:w="730" w:type="pct"/>
          </w:tcPr>
          <w:p w14:paraId="19941C73" w14:textId="77777777" w:rsidR="00445AC5" w:rsidRPr="000E7FDD" w:rsidRDefault="00445AC5" w:rsidP="00021980">
            <w:pPr>
              <w:pStyle w:val="Tabletext"/>
              <w:keepNext/>
              <w:jc w:val="center"/>
              <w:rPr>
                <w:color w:val="auto"/>
              </w:rPr>
            </w:pPr>
            <w:r w:rsidRPr="000E7FDD">
              <w:rPr>
                <w:color w:val="auto"/>
              </w:rPr>
              <w:t>–</w:t>
            </w:r>
          </w:p>
        </w:tc>
        <w:tc>
          <w:tcPr>
            <w:tcW w:w="603" w:type="pct"/>
          </w:tcPr>
          <w:p w14:paraId="621433C1" w14:textId="77777777" w:rsidR="00445AC5" w:rsidRPr="000E7FDD" w:rsidRDefault="00445AC5" w:rsidP="00021980">
            <w:pPr>
              <w:pStyle w:val="Tabletext"/>
              <w:keepNext/>
              <w:jc w:val="center"/>
              <w:rPr>
                <w:color w:val="auto"/>
              </w:rPr>
            </w:pPr>
            <w:r w:rsidRPr="000E7FDD">
              <w:rPr>
                <w:rFonts w:ascii="Wingdings" w:eastAsia="Wingdings" w:hAnsi="Wingdings" w:cs="Wingdings"/>
                <w:color w:val="auto"/>
              </w:rPr>
              <w:t></w:t>
            </w:r>
          </w:p>
        </w:tc>
        <w:tc>
          <w:tcPr>
            <w:tcW w:w="730" w:type="pct"/>
          </w:tcPr>
          <w:p w14:paraId="3C1253FF" w14:textId="77777777" w:rsidR="00445AC5" w:rsidRPr="000E7FDD" w:rsidRDefault="00445AC5" w:rsidP="00021980">
            <w:pPr>
              <w:pStyle w:val="Tabletext"/>
              <w:keepNext/>
              <w:jc w:val="center"/>
              <w:rPr>
                <w:color w:val="auto"/>
              </w:rPr>
            </w:pPr>
            <w:r w:rsidRPr="000E7FDD">
              <w:rPr>
                <w:color w:val="auto"/>
              </w:rPr>
              <w:t>–</w:t>
            </w:r>
          </w:p>
        </w:tc>
      </w:tr>
      <w:tr w:rsidR="00445AC5" w:rsidRPr="00BF52F4" w14:paraId="656B6ADF" w14:textId="77777777" w:rsidTr="00445AC5">
        <w:trPr>
          <w:trHeight w:val="112"/>
        </w:trPr>
        <w:tc>
          <w:tcPr>
            <w:tcW w:w="937" w:type="pct"/>
            <w:vMerge w:val="restart"/>
          </w:tcPr>
          <w:p w14:paraId="2EE9FE2D" w14:textId="77777777" w:rsidR="00445AC5" w:rsidRPr="000E7FDD" w:rsidRDefault="00445AC5" w:rsidP="00021980">
            <w:pPr>
              <w:pStyle w:val="Tabletext"/>
              <w:keepNext/>
              <w:rPr>
                <w:b/>
                <w:color w:val="auto"/>
              </w:rPr>
            </w:pPr>
            <w:r w:rsidRPr="000E7FDD">
              <w:rPr>
                <w:b/>
                <w:color w:val="auto"/>
              </w:rPr>
              <w:t xml:space="preserve">Missing Information </w:t>
            </w:r>
          </w:p>
        </w:tc>
        <w:tc>
          <w:tcPr>
            <w:tcW w:w="1314" w:type="pct"/>
          </w:tcPr>
          <w:p w14:paraId="61C8CF6D" w14:textId="77777777" w:rsidR="00445AC5" w:rsidRPr="00021980" w:rsidRDefault="00445AC5" w:rsidP="00021980">
            <w:pPr>
              <w:pStyle w:val="Tabletext"/>
              <w:keepNext/>
              <w:ind w:left="0"/>
              <w:rPr>
                <w:bCs/>
                <w:color w:val="auto"/>
              </w:rPr>
            </w:pPr>
            <w:r w:rsidRPr="00021980">
              <w:rPr>
                <w:bCs/>
              </w:rPr>
              <w:t>Use in patients with moderate or severe hepatic impairment</w:t>
            </w:r>
          </w:p>
        </w:tc>
        <w:tc>
          <w:tcPr>
            <w:tcW w:w="686" w:type="pct"/>
          </w:tcPr>
          <w:p w14:paraId="6FCA6295" w14:textId="77777777" w:rsidR="00445AC5" w:rsidRPr="000E7FDD" w:rsidRDefault="00445AC5" w:rsidP="00021980">
            <w:pPr>
              <w:pStyle w:val="Tabletext"/>
              <w:keepNext/>
              <w:jc w:val="center"/>
              <w:rPr>
                <w:color w:val="auto"/>
              </w:rPr>
            </w:pPr>
            <w:r w:rsidRPr="000E7FDD">
              <w:rPr>
                <w:rFonts w:ascii="Wingdings" w:eastAsia="Wingdings" w:hAnsi="Wingdings" w:cs="Wingdings"/>
                <w:color w:val="auto"/>
              </w:rPr>
              <w:t></w:t>
            </w:r>
          </w:p>
        </w:tc>
        <w:tc>
          <w:tcPr>
            <w:tcW w:w="730" w:type="pct"/>
          </w:tcPr>
          <w:p w14:paraId="4234F41A" w14:textId="77777777" w:rsidR="00445AC5" w:rsidRPr="000E7FDD" w:rsidRDefault="00445AC5" w:rsidP="00021980">
            <w:pPr>
              <w:pStyle w:val="Tabletext"/>
              <w:keepNext/>
              <w:jc w:val="center"/>
              <w:rPr>
                <w:color w:val="auto"/>
                <w:vertAlign w:val="superscript"/>
              </w:rPr>
            </w:pPr>
            <w:r w:rsidRPr="000E7FDD">
              <w:rPr>
                <w:rFonts w:ascii="Wingdings" w:eastAsia="Wingdings" w:hAnsi="Wingdings" w:cs="Wingdings"/>
                <w:color w:val="auto"/>
              </w:rPr>
              <w:t></w:t>
            </w:r>
            <w:r w:rsidRPr="000E7FDD">
              <w:rPr>
                <w:color w:val="auto"/>
                <w:vertAlign w:val="superscript"/>
              </w:rPr>
              <w:t>4</w:t>
            </w:r>
          </w:p>
        </w:tc>
        <w:tc>
          <w:tcPr>
            <w:tcW w:w="603" w:type="pct"/>
          </w:tcPr>
          <w:p w14:paraId="04855A99" w14:textId="77777777" w:rsidR="00445AC5" w:rsidRPr="000E7FDD" w:rsidRDefault="00445AC5" w:rsidP="00021980">
            <w:pPr>
              <w:pStyle w:val="Tabletext"/>
              <w:keepNext/>
              <w:jc w:val="center"/>
              <w:rPr>
                <w:color w:val="auto"/>
              </w:rPr>
            </w:pPr>
            <w:r w:rsidRPr="000E7FDD">
              <w:rPr>
                <w:rFonts w:ascii="Wingdings" w:eastAsia="Wingdings" w:hAnsi="Wingdings" w:cs="Wingdings"/>
                <w:color w:val="auto"/>
              </w:rPr>
              <w:t></w:t>
            </w:r>
          </w:p>
        </w:tc>
        <w:tc>
          <w:tcPr>
            <w:tcW w:w="730" w:type="pct"/>
          </w:tcPr>
          <w:p w14:paraId="0AF14832" w14:textId="77777777" w:rsidR="00445AC5" w:rsidRPr="000E7FDD" w:rsidRDefault="00445AC5" w:rsidP="00021980">
            <w:pPr>
              <w:pStyle w:val="Tabletext"/>
              <w:keepNext/>
              <w:jc w:val="center"/>
              <w:rPr>
                <w:color w:val="auto"/>
              </w:rPr>
            </w:pPr>
            <w:r w:rsidRPr="000E7FDD">
              <w:rPr>
                <w:color w:val="auto"/>
              </w:rPr>
              <w:t>–</w:t>
            </w:r>
          </w:p>
        </w:tc>
      </w:tr>
      <w:tr w:rsidR="00445AC5" w:rsidRPr="00BF52F4" w14:paraId="527D802C" w14:textId="77777777" w:rsidTr="00445AC5">
        <w:trPr>
          <w:trHeight w:val="112"/>
        </w:trPr>
        <w:tc>
          <w:tcPr>
            <w:tcW w:w="937" w:type="pct"/>
            <w:vMerge/>
          </w:tcPr>
          <w:p w14:paraId="64EFDC81" w14:textId="77777777" w:rsidR="00445AC5" w:rsidRPr="000E7FDD" w:rsidRDefault="00445AC5" w:rsidP="00021980">
            <w:pPr>
              <w:pStyle w:val="Tabletext"/>
              <w:keepNext/>
              <w:rPr>
                <w:b/>
                <w:color w:val="auto"/>
              </w:rPr>
            </w:pPr>
          </w:p>
        </w:tc>
        <w:tc>
          <w:tcPr>
            <w:tcW w:w="1314" w:type="pct"/>
          </w:tcPr>
          <w:p w14:paraId="60EB257E" w14:textId="77777777" w:rsidR="00445AC5" w:rsidRPr="00021980" w:rsidRDefault="00445AC5" w:rsidP="00021980">
            <w:pPr>
              <w:pStyle w:val="Tabletext"/>
              <w:keepNext/>
              <w:ind w:left="0"/>
              <w:rPr>
                <w:bCs/>
                <w:color w:val="auto"/>
              </w:rPr>
            </w:pPr>
            <w:r w:rsidRPr="00021980">
              <w:rPr>
                <w:bCs/>
              </w:rPr>
              <w:t xml:space="preserve">Long-term safety </w:t>
            </w:r>
          </w:p>
        </w:tc>
        <w:tc>
          <w:tcPr>
            <w:tcW w:w="686" w:type="pct"/>
          </w:tcPr>
          <w:p w14:paraId="380A2A71" w14:textId="77777777" w:rsidR="00445AC5" w:rsidRPr="000E7FDD" w:rsidRDefault="00445AC5" w:rsidP="00021980">
            <w:pPr>
              <w:pStyle w:val="Tabletext"/>
              <w:keepNext/>
              <w:jc w:val="center"/>
              <w:rPr>
                <w:color w:val="auto"/>
              </w:rPr>
            </w:pPr>
            <w:r w:rsidRPr="000E7FDD">
              <w:rPr>
                <w:rFonts w:ascii="Wingdings" w:eastAsia="Wingdings" w:hAnsi="Wingdings" w:cs="Wingdings"/>
                <w:color w:val="auto"/>
              </w:rPr>
              <w:t></w:t>
            </w:r>
          </w:p>
        </w:tc>
        <w:tc>
          <w:tcPr>
            <w:tcW w:w="730" w:type="pct"/>
          </w:tcPr>
          <w:p w14:paraId="790AF874" w14:textId="77777777" w:rsidR="00445AC5" w:rsidRPr="000E7FDD" w:rsidRDefault="00445AC5" w:rsidP="00021980">
            <w:pPr>
              <w:pStyle w:val="Tabletext"/>
              <w:keepNext/>
              <w:jc w:val="center"/>
              <w:rPr>
                <w:color w:val="auto"/>
              </w:rPr>
            </w:pPr>
            <w:r w:rsidRPr="000E7FDD">
              <w:rPr>
                <w:color w:val="auto"/>
              </w:rPr>
              <w:t>–</w:t>
            </w:r>
          </w:p>
        </w:tc>
        <w:tc>
          <w:tcPr>
            <w:tcW w:w="603" w:type="pct"/>
          </w:tcPr>
          <w:p w14:paraId="34EA7E51" w14:textId="77777777" w:rsidR="00445AC5" w:rsidRPr="000E7FDD" w:rsidRDefault="00445AC5" w:rsidP="00021980">
            <w:pPr>
              <w:pStyle w:val="Tabletext"/>
              <w:keepNext/>
              <w:jc w:val="center"/>
              <w:rPr>
                <w:color w:val="auto"/>
              </w:rPr>
            </w:pPr>
            <w:r w:rsidRPr="000E7FDD">
              <w:rPr>
                <w:color w:val="auto"/>
              </w:rPr>
              <w:t>–</w:t>
            </w:r>
          </w:p>
        </w:tc>
        <w:tc>
          <w:tcPr>
            <w:tcW w:w="730" w:type="pct"/>
          </w:tcPr>
          <w:p w14:paraId="22FCACCA" w14:textId="77777777" w:rsidR="00445AC5" w:rsidRPr="000E7FDD" w:rsidRDefault="00445AC5" w:rsidP="00021980">
            <w:pPr>
              <w:pStyle w:val="Tabletext"/>
              <w:keepNext/>
              <w:jc w:val="center"/>
              <w:rPr>
                <w:color w:val="auto"/>
              </w:rPr>
            </w:pPr>
            <w:r w:rsidRPr="000E7FDD">
              <w:rPr>
                <w:color w:val="auto"/>
              </w:rPr>
              <w:t>–</w:t>
            </w:r>
          </w:p>
        </w:tc>
      </w:tr>
    </w:tbl>
    <w:p w14:paraId="33AAFA11" w14:textId="6FA05D9D" w:rsidR="00445AC5" w:rsidRDefault="00445AC5" w:rsidP="00D05EC9">
      <w:pPr>
        <w:pStyle w:val="TableDescription"/>
      </w:pPr>
      <w:r>
        <w:rPr>
          <w:vertAlign w:val="superscript"/>
        </w:rPr>
        <w:t>1</w:t>
      </w:r>
      <w:r w:rsidR="00DE40D1">
        <w:rPr>
          <w:vertAlign w:val="superscript"/>
        </w:rPr>
        <w:t xml:space="preserve"> </w:t>
      </w:r>
      <w:r w:rsidRPr="00FC5AF4">
        <w:t>Targeted follow-up questionnaires</w:t>
      </w:r>
    </w:p>
    <w:p w14:paraId="41482F19" w14:textId="0A0A5A43" w:rsidR="00445AC5" w:rsidRPr="00EA3C55" w:rsidRDefault="00445AC5" w:rsidP="00445AC5">
      <w:pPr>
        <w:pStyle w:val="TableDescription"/>
      </w:pPr>
      <w:r w:rsidRPr="00EA3C55">
        <w:rPr>
          <w:vertAlign w:val="superscript"/>
        </w:rPr>
        <w:t>2</w:t>
      </w:r>
      <w:r w:rsidR="00DE40D1">
        <w:rPr>
          <w:vertAlign w:val="superscript"/>
        </w:rPr>
        <w:t xml:space="preserve"> </w:t>
      </w:r>
      <w:r w:rsidRPr="00EA3C55">
        <w:t xml:space="preserve">Prescriber survey (in the </w:t>
      </w:r>
      <w:r w:rsidR="00DE40D1">
        <w:t>European Union</w:t>
      </w:r>
      <w:r w:rsidRPr="00EA3C55">
        <w:t xml:space="preserve">) </w:t>
      </w:r>
    </w:p>
    <w:p w14:paraId="0943B285" w14:textId="23437678" w:rsidR="00445AC5" w:rsidRPr="00EA3C55" w:rsidRDefault="00445AC5" w:rsidP="00445AC5">
      <w:pPr>
        <w:pStyle w:val="TableDescription"/>
      </w:pPr>
      <w:r w:rsidRPr="00EA3C55">
        <w:rPr>
          <w:vertAlign w:val="superscript"/>
        </w:rPr>
        <w:t>3</w:t>
      </w:r>
      <w:r w:rsidR="00DE40D1">
        <w:t xml:space="preserve"> Healthcare Professional </w:t>
      </w:r>
      <w:r w:rsidRPr="00EA3C55">
        <w:t xml:space="preserve">Guide and Patient </w:t>
      </w:r>
      <w:r w:rsidR="00556A11">
        <w:t>Card</w:t>
      </w:r>
      <w:r w:rsidR="00556A11" w:rsidRPr="00EA3C55">
        <w:t xml:space="preserve"> </w:t>
      </w:r>
    </w:p>
    <w:p w14:paraId="05244308" w14:textId="7B5E3EEF" w:rsidR="00445AC5" w:rsidRPr="00EA3C55" w:rsidRDefault="00445AC5" w:rsidP="00445AC5">
      <w:pPr>
        <w:pStyle w:val="TableDescription"/>
      </w:pPr>
      <w:r w:rsidRPr="00EA3C55">
        <w:rPr>
          <w:vertAlign w:val="superscript"/>
        </w:rPr>
        <w:t>4</w:t>
      </w:r>
      <w:r w:rsidRPr="00EA3C55">
        <w:t>Phase II or II</w:t>
      </w:r>
      <w:r w:rsidR="00556A11">
        <w:t>I</w:t>
      </w:r>
      <w:r w:rsidRPr="00EA3C55">
        <w:t xml:space="preserve"> clinical trial (overseas) </w:t>
      </w:r>
    </w:p>
    <w:p w14:paraId="01DEC44A" w14:textId="43E15B58" w:rsidR="00C84525" w:rsidRDefault="00C84525" w:rsidP="00C84525">
      <w:r>
        <w:t xml:space="preserve">The sponsor has updated the ASA to reclassify ‘left ventricular dysfunction’ as an important identified risk. </w:t>
      </w:r>
    </w:p>
    <w:p w14:paraId="5A1D06D3" w14:textId="597670C9" w:rsidR="00C84525" w:rsidRDefault="00C84525" w:rsidP="00C84525">
      <w:r>
        <w:t xml:space="preserve">Data collection from ongoing </w:t>
      </w:r>
      <w:r w:rsidR="006922A4">
        <w:t>P</w:t>
      </w:r>
      <w:r>
        <w:t xml:space="preserve">hase </w:t>
      </w:r>
      <w:r w:rsidR="006922A4">
        <w:t>II</w:t>
      </w:r>
      <w:r>
        <w:t xml:space="preserve"> or </w:t>
      </w:r>
      <w:r w:rsidR="006922A4">
        <w:t>III</w:t>
      </w:r>
      <w:r>
        <w:t xml:space="preserve"> clinical trial is added to gather clinical evidence for ‘use in patients with moderate or severe hepatic impairment’. This activity does not include Australian patients. However, the study outcomes will be applicable to Australian patients. </w:t>
      </w:r>
    </w:p>
    <w:p w14:paraId="7A775CD7" w14:textId="0C0DF429" w:rsidR="00445AC5" w:rsidRDefault="00C84525" w:rsidP="00C84525">
      <w:r>
        <w:t xml:space="preserve">Additional risk minimisation materials, a Health Care Professional (HCP) Guide and Patient </w:t>
      </w:r>
      <w:r w:rsidR="00556A11">
        <w:t xml:space="preserve">Card </w:t>
      </w:r>
      <w:r>
        <w:t>have been proposed for the important identified risk ‘Interstitial lung disease/Pneumonitis’.</w:t>
      </w:r>
    </w:p>
    <w:p w14:paraId="74B38545" w14:textId="4736B242" w:rsidR="00C84525" w:rsidRDefault="00B55B62" w:rsidP="00CA21C6">
      <w:r>
        <w:t>During the evaluation</w:t>
      </w:r>
      <w:r w:rsidR="00C84525">
        <w:t xml:space="preserve">, the Delegate noted that the sponsor has not agreed to a boxed warning in the PI that is like the statement in place in the </w:t>
      </w:r>
      <w:proofErr w:type="spellStart"/>
      <w:r w:rsidR="00C84525">
        <w:t>Kadcyla</w:t>
      </w:r>
      <w:proofErr w:type="spellEnd"/>
      <w:r w:rsidR="00C84525">
        <w:t xml:space="preserve"> (</w:t>
      </w:r>
      <w:r w:rsidR="004B453F">
        <w:t>Trastuzumab</w:t>
      </w:r>
      <w:r w:rsidR="00C84525">
        <w:t xml:space="preserve"> emtansine) PI which states: ‘Do not substitute </w:t>
      </w:r>
      <w:proofErr w:type="spellStart"/>
      <w:r w:rsidR="00C84525">
        <w:t>Kadcyla</w:t>
      </w:r>
      <w:proofErr w:type="spellEnd"/>
      <w:r w:rsidR="00C84525">
        <w:t xml:space="preserve"> for or with </w:t>
      </w:r>
      <w:r w:rsidR="004B453F">
        <w:t>Trastuzumab</w:t>
      </w:r>
      <w:r w:rsidR="00C84525">
        <w:t xml:space="preserve">. </w:t>
      </w:r>
      <w:proofErr w:type="gramStart"/>
      <w:r w:rsidR="00C84525">
        <w:t>In order to</w:t>
      </w:r>
      <w:proofErr w:type="gramEnd"/>
      <w:r w:rsidR="00C84525">
        <w:t xml:space="preserve"> prevent medication errors, check the vial labels to ensure the medicine being prepared and administered is </w:t>
      </w:r>
      <w:proofErr w:type="spellStart"/>
      <w:r w:rsidR="00C84525">
        <w:t>Kadcyla</w:t>
      </w:r>
      <w:proofErr w:type="spellEnd"/>
      <w:r w:rsidR="00C84525">
        <w:t xml:space="preserve"> (</w:t>
      </w:r>
      <w:r w:rsidR="004B453F">
        <w:t>Trastuzumab</w:t>
      </w:r>
      <w:r w:rsidR="00C84525">
        <w:t xml:space="preserve"> emtansine) and not </w:t>
      </w:r>
      <w:r w:rsidR="004B453F">
        <w:t>Trastuzumab</w:t>
      </w:r>
      <w:r w:rsidR="00C84525">
        <w:t>.’</w:t>
      </w:r>
      <w:r>
        <w:rPr>
          <w:rStyle w:val="FootnoteReference"/>
        </w:rPr>
        <w:footnoteReference w:id="40"/>
      </w:r>
    </w:p>
    <w:p w14:paraId="43C05DC8" w14:textId="5AB16B24" w:rsidR="00C84525" w:rsidRDefault="00C84525" w:rsidP="00CA21C6">
      <w:r>
        <w:t xml:space="preserve">The sponsor has argued that the draft PI already contains warning ‘Do not substitute </w:t>
      </w:r>
      <w:proofErr w:type="spellStart"/>
      <w:r>
        <w:t>Enhertu</w:t>
      </w:r>
      <w:proofErr w:type="spellEnd"/>
      <w:r>
        <w:t xml:space="preserve"> for or with </w:t>
      </w:r>
      <w:r w:rsidR="004B453F">
        <w:t>Trastuzumab</w:t>
      </w:r>
      <w:r>
        <w:t xml:space="preserve"> or </w:t>
      </w:r>
      <w:r w:rsidR="004B453F">
        <w:t>Trastuzumab</w:t>
      </w:r>
      <w:r>
        <w:t xml:space="preserve"> emtansine’ under section 4.2 ‘Dose and method of administration’.</w:t>
      </w:r>
    </w:p>
    <w:p w14:paraId="6CFDEE23" w14:textId="77777777" w:rsidR="00C84525" w:rsidRPr="00645991" w:rsidRDefault="00C84525" w:rsidP="00C84525">
      <w:pPr>
        <w:pStyle w:val="Heading4"/>
      </w:pPr>
      <w:bookmarkStart w:id="61" w:name="_Toc67899651"/>
      <w:r w:rsidRPr="00645991">
        <w:lastRenderedPageBreak/>
        <w:t>Wording for conditions of registration</w:t>
      </w:r>
      <w:bookmarkEnd w:id="61"/>
    </w:p>
    <w:p w14:paraId="64A5A88D" w14:textId="57280A72" w:rsidR="00C84525" w:rsidRPr="00645991" w:rsidRDefault="00C84525" w:rsidP="00C84525">
      <w:r w:rsidRPr="00645991">
        <w:t xml:space="preserve">Any changes to which the sponsor has agreed should be included in a revised RMP and ASA. However, irrespective of </w:t>
      </w:r>
      <w:proofErr w:type="gramStart"/>
      <w:r w:rsidRPr="00645991">
        <w:t>whether or not</w:t>
      </w:r>
      <w:proofErr w:type="gramEnd"/>
      <w:r w:rsidRPr="00645991">
        <w:t xml:space="preserve"> they are included in the currently available version of the RMP document, the agreed changes become part of the risk management system.</w:t>
      </w:r>
    </w:p>
    <w:p w14:paraId="42402288" w14:textId="36258D82" w:rsidR="00C84525" w:rsidRPr="00645991" w:rsidRDefault="00C84525" w:rsidP="00C84525">
      <w:r w:rsidRPr="00645991">
        <w:t>The suggested wording is:</w:t>
      </w:r>
    </w:p>
    <w:p w14:paraId="3179982B" w14:textId="572EB2AF" w:rsidR="00C84525" w:rsidRPr="00C84525" w:rsidRDefault="00C84525" w:rsidP="00021980">
      <w:pPr>
        <w:ind w:left="720"/>
        <w:rPr>
          <w:i/>
          <w:iCs/>
        </w:rPr>
      </w:pPr>
      <w:r w:rsidRPr="00C84525">
        <w:rPr>
          <w:i/>
          <w:iCs/>
        </w:rPr>
        <w:t xml:space="preserve">The </w:t>
      </w:r>
      <w:proofErr w:type="spellStart"/>
      <w:r w:rsidRPr="00C84525">
        <w:rPr>
          <w:i/>
          <w:iCs/>
        </w:rPr>
        <w:t>Enhertu</w:t>
      </w:r>
      <w:proofErr w:type="spellEnd"/>
      <w:r w:rsidRPr="00C84525">
        <w:rPr>
          <w:i/>
          <w:iCs/>
        </w:rPr>
        <w:t xml:space="preserve"> EU-Risk Management Plan (RMP) (version 1.0, dated 22 January 2021, data lock point 1 August 2019), with Australian Specific Annex (version 1.0 Succession 3, dated 16 July 2021), included with submission PM-2020-04659-1-4, and any subsequent revisions, as agreed with the TGA will be implemented in Australia.</w:t>
      </w:r>
    </w:p>
    <w:p w14:paraId="20CF7E84" w14:textId="2C130421" w:rsidR="00C84525" w:rsidRPr="00645991" w:rsidRDefault="00C84525" w:rsidP="00C84525">
      <w:r w:rsidRPr="00645991">
        <w:t>The following wording is recommended for the PSUR requirement:</w:t>
      </w:r>
    </w:p>
    <w:p w14:paraId="53356013" w14:textId="77777777" w:rsidR="00C84525" w:rsidRPr="00C84525" w:rsidRDefault="00C84525" w:rsidP="00021980">
      <w:pPr>
        <w:ind w:left="720"/>
        <w:rPr>
          <w:i/>
          <w:iCs/>
        </w:rPr>
      </w:pPr>
      <w:r w:rsidRPr="00C84525">
        <w:rPr>
          <w:i/>
          <w:iCs/>
        </w:rPr>
        <w:t xml:space="preserve">An obligatory component of risk management plans is routine pharmacovigilance. Routine pharmacovigilance includes the submission of periodic safety update reports (PSURs). </w:t>
      </w:r>
    </w:p>
    <w:p w14:paraId="41B395BD" w14:textId="3AA94E69" w:rsidR="00C84525" w:rsidRPr="00C84525" w:rsidRDefault="00C84525" w:rsidP="00021980">
      <w:pPr>
        <w:ind w:left="720"/>
        <w:rPr>
          <w:i/>
          <w:iCs/>
        </w:rPr>
      </w:pPr>
      <w:r w:rsidRPr="00C84525">
        <w:rPr>
          <w:i/>
          <w:iCs/>
        </w:rPr>
        <w:t>Unless agreed separately between the supplier who is the recipient of the approval and the TGA, the first report must be submitted to TGA no later than 15 calendar months after the date of th</w:t>
      </w:r>
      <w:r>
        <w:rPr>
          <w:i/>
          <w:iCs/>
        </w:rPr>
        <w:t>e</w:t>
      </w:r>
      <w:r w:rsidRPr="00C84525">
        <w:rPr>
          <w:i/>
          <w:iCs/>
        </w:rPr>
        <w:t xml:space="preserve"> approval letter. The subsequent reports must be submitted no less frequently than annually from the date of the first submitted report until the period covered by such reports is not less than three years from the date of th</w:t>
      </w:r>
      <w:r>
        <w:rPr>
          <w:i/>
          <w:iCs/>
        </w:rPr>
        <w:t>e</w:t>
      </w:r>
      <w:r w:rsidRPr="00C84525">
        <w:rPr>
          <w:i/>
          <w:iCs/>
        </w:rPr>
        <w:t xml:space="preserve"> approval letter, or the entire period of provisional registration, whichever is longer. </w:t>
      </w:r>
    </w:p>
    <w:p w14:paraId="21844F86" w14:textId="77777777" w:rsidR="00C84525" w:rsidRPr="00C84525" w:rsidRDefault="00C84525" w:rsidP="00021980">
      <w:pPr>
        <w:ind w:left="720"/>
        <w:rPr>
          <w:i/>
          <w:iCs/>
          <w:lang w:eastAsia="en-AU"/>
        </w:rPr>
      </w:pPr>
      <w:r w:rsidRPr="00C84525">
        <w:rPr>
          <w:i/>
          <w:iCs/>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191F2BA0" w14:textId="77777777" w:rsidR="00C84525" w:rsidRDefault="00C84525" w:rsidP="00C84525">
      <w:r w:rsidRPr="00645991">
        <w:t xml:space="preserve">As </w:t>
      </w:r>
      <w:proofErr w:type="spellStart"/>
      <w:r w:rsidRPr="00645991">
        <w:t>E</w:t>
      </w:r>
      <w:r>
        <w:t>nhertu</w:t>
      </w:r>
      <w:proofErr w:type="spellEnd"/>
      <w:r w:rsidRPr="00645991">
        <w:t xml:space="preserve"> is being considered for a provisional registration it should be included in the Black Triangle Scheme as a condition of registration.</w:t>
      </w:r>
    </w:p>
    <w:p w14:paraId="6BEB95AD" w14:textId="70196406" w:rsidR="00C84525" w:rsidRPr="00645991" w:rsidRDefault="00C84525" w:rsidP="00C84525">
      <w:r w:rsidRPr="00645991">
        <w:t>The following wording is recommended for the condition of registration:</w:t>
      </w:r>
    </w:p>
    <w:p w14:paraId="47DA116C" w14:textId="304D0422" w:rsidR="00C84525" w:rsidRPr="00C84525" w:rsidRDefault="004B453F" w:rsidP="00021980">
      <w:pPr>
        <w:ind w:left="720"/>
        <w:rPr>
          <w:i/>
          <w:iCs/>
        </w:rPr>
      </w:pPr>
      <w:r>
        <w:rPr>
          <w:i/>
          <w:iCs/>
        </w:rPr>
        <w:t>Trastuzumab</w:t>
      </w:r>
      <w:r w:rsidR="00C84525" w:rsidRPr="00C84525">
        <w:rPr>
          <w:i/>
          <w:iCs/>
        </w:rPr>
        <w:t xml:space="preserve"> </w:t>
      </w:r>
      <w:proofErr w:type="spellStart"/>
      <w:r w:rsidR="00C84525" w:rsidRPr="00C84525">
        <w:rPr>
          <w:i/>
          <w:iCs/>
        </w:rPr>
        <w:t>deruxtecan</w:t>
      </w:r>
      <w:proofErr w:type="spellEnd"/>
      <w:r w:rsidR="00C84525" w:rsidRPr="00C84525">
        <w:rPr>
          <w:i/>
          <w:iCs/>
        </w:rPr>
        <w:t xml:space="preserve"> (</w:t>
      </w:r>
      <w:proofErr w:type="spellStart"/>
      <w:r w:rsidR="00C84525" w:rsidRPr="00C84525">
        <w:rPr>
          <w:i/>
          <w:iCs/>
        </w:rPr>
        <w:t>E</w:t>
      </w:r>
      <w:r w:rsidR="00C84525">
        <w:rPr>
          <w:i/>
          <w:iCs/>
        </w:rPr>
        <w:t>nhertu</w:t>
      </w:r>
      <w:proofErr w:type="spellEnd"/>
      <w:r w:rsidR="00C84525" w:rsidRPr="00C84525">
        <w:rPr>
          <w:i/>
          <w:iCs/>
        </w:rPr>
        <w:t xml:space="preserve">) is to be included in the Black Triangle Scheme. The PI and CMI for </w:t>
      </w:r>
      <w:proofErr w:type="spellStart"/>
      <w:r w:rsidR="00C84525" w:rsidRPr="00C84525">
        <w:rPr>
          <w:i/>
          <w:iCs/>
        </w:rPr>
        <w:t>E</w:t>
      </w:r>
      <w:r w:rsidR="00C84525">
        <w:rPr>
          <w:i/>
          <w:iCs/>
        </w:rPr>
        <w:t>nhertu</w:t>
      </w:r>
      <w:proofErr w:type="spellEnd"/>
      <w:r w:rsidR="00C84525" w:rsidRPr="00C84525">
        <w:rPr>
          <w:i/>
          <w:iCs/>
        </w:rPr>
        <w:t xml:space="preserve"> must include the black triangle symbol and mandatory accompanying text for the product’s entire period of provisional registration.</w:t>
      </w:r>
    </w:p>
    <w:p w14:paraId="13DB3494" w14:textId="543611C5" w:rsidR="00C84525" w:rsidRPr="005D7E05" w:rsidRDefault="00C84525" w:rsidP="00C84525">
      <w:r w:rsidRPr="005D7E05">
        <w:rPr>
          <w:iCs/>
        </w:rPr>
        <w:t xml:space="preserve">As </w:t>
      </w:r>
      <w:proofErr w:type="spellStart"/>
      <w:r w:rsidRPr="005D7E05">
        <w:rPr>
          <w:iCs/>
        </w:rPr>
        <w:t>E</w:t>
      </w:r>
      <w:r>
        <w:rPr>
          <w:iCs/>
        </w:rPr>
        <w:t>nhertu</w:t>
      </w:r>
      <w:proofErr w:type="spellEnd"/>
      <w:r w:rsidRPr="005D7E05">
        <w:rPr>
          <w:iCs/>
        </w:rPr>
        <w:t xml:space="preserve"> is being considered for a provisional registration, confirmatory trial data is recommended </w:t>
      </w:r>
      <w:r w:rsidRPr="005D7E05">
        <w:t xml:space="preserve">for the condition of registration. The following wording based on the proposed clinical study plan in the ASA version 1.0 Succession 3 is provided as a preliminary suggestion for the TGA </w:t>
      </w:r>
      <w:r w:rsidR="006922A4">
        <w:t>Delegate</w:t>
      </w:r>
      <w:r w:rsidRPr="005D7E05">
        <w:t xml:space="preserve"> to consider. The final condition of registration is to be determined by the TGA </w:t>
      </w:r>
      <w:r w:rsidR="006922A4">
        <w:t>Delegate</w:t>
      </w:r>
      <w:r w:rsidRPr="005D7E05">
        <w:t>:</w:t>
      </w:r>
    </w:p>
    <w:p w14:paraId="5B7CCB29" w14:textId="03C1431A" w:rsidR="00C84525" w:rsidRPr="00C84525" w:rsidRDefault="00C84525" w:rsidP="00021980">
      <w:pPr>
        <w:ind w:left="720"/>
        <w:rPr>
          <w:i/>
          <w:iCs/>
        </w:rPr>
      </w:pPr>
      <w:r w:rsidRPr="00C84525">
        <w:rPr>
          <w:i/>
          <w:iCs/>
        </w:rPr>
        <w:t>Confirmatory trial data (as identified in the sponsor’s plan to submit comprehensive clinical data on the safety and efficacy of the medicine before the end of the 6 years that would start on the day that registration would commence) must be provided.</w:t>
      </w:r>
    </w:p>
    <w:p w14:paraId="5D8AC2FA" w14:textId="2837ECDA" w:rsidR="00C84525" w:rsidRPr="00C84525" w:rsidRDefault="00C84525" w:rsidP="00021980">
      <w:pPr>
        <w:ind w:left="720"/>
        <w:rPr>
          <w:i/>
          <w:iCs/>
        </w:rPr>
      </w:pPr>
      <w:proofErr w:type="gramStart"/>
      <w:r w:rsidRPr="00C84525">
        <w:rPr>
          <w:i/>
          <w:iCs/>
        </w:rPr>
        <w:t>Specifically</w:t>
      </w:r>
      <w:proofErr w:type="gramEnd"/>
      <w:r w:rsidRPr="00C84525">
        <w:rPr>
          <w:i/>
          <w:iCs/>
        </w:rPr>
        <w:t xml:space="preserve"> the sponsor must conduct studies as described in the clinical study plan in version 1.0 Succession 3 dated 16 July 2021 of the Australia-Specific Annex. The following study report(s) should be submitted to TGA:</w:t>
      </w:r>
    </w:p>
    <w:p w14:paraId="2F66DDEB" w14:textId="77777777" w:rsidR="00C84525" w:rsidRPr="00C84525" w:rsidRDefault="00C84525" w:rsidP="00021980">
      <w:pPr>
        <w:pStyle w:val="ListBullet"/>
        <w:ind w:left="1080"/>
        <w:rPr>
          <w:i/>
          <w:iCs/>
        </w:rPr>
      </w:pPr>
      <w:r w:rsidRPr="00C84525">
        <w:rPr>
          <w:i/>
          <w:iCs/>
        </w:rPr>
        <w:t>DS8201-AU301, Study U301/DESTINY-Breast02, second half in 2022</w:t>
      </w:r>
    </w:p>
    <w:p w14:paraId="3214E59A" w14:textId="47B2DFEB" w:rsidR="00C84525" w:rsidRPr="00C84525" w:rsidRDefault="00C84525" w:rsidP="00021980">
      <w:pPr>
        <w:pStyle w:val="ListBullet"/>
        <w:ind w:left="1080"/>
        <w:rPr>
          <w:i/>
          <w:iCs/>
        </w:rPr>
      </w:pPr>
      <w:r w:rsidRPr="00C84525">
        <w:rPr>
          <w:i/>
          <w:iCs/>
        </w:rPr>
        <w:t xml:space="preserve">DS8201-AU302, Study U302/DESTINYBreast03, </w:t>
      </w:r>
      <w:r w:rsidR="00B849A8">
        <w:rPr>
          <w:i/>
          <w:iCs/>
        </w:rPr>
        <w:t>fourth</w:t>
      </w:r>
      <w:r w:rsidRPr="00C84525">
        <w:rPr>
          <w:i/>
          <w:iCs/>
        </w:rPr>
        <w:t xml:space="preserve"> quarter in 2021 </w:t>
      </w:r>
    </w:p>
    <w:p w14:paraId="5923F3B0" w14:textId="77777777" w:rsidR="008E7846" w:rsidRDefault="00AA0ED0" w:rsidP="008E7846">
      <w:pPr>
        <w:pStyle w:val="Heading3"/>
      </w:pPr>
      <w:bookmarkStart w:id="62" w:name="_Toc247691531"/>
      <w:bookmarkStart w:id="63" w:name="_Toc314842515"/>
      <w:bookmarkStart w:id="64" w:name="_Toc103589846"/>
      <w:bookmarkStart w:id="65" w:name="_Toc196046505"/>
      <w:bookmarkStart w:id="66" w:name="_Toc196046949"/>
      <w:r>
        <w:lastRenderedPageBreak/>
        <w:t>Risk-benefit a</w:t>
      </w:r>
      <w:r w:rsidR="008E7846">
        <w:t>nalysis</w:t>
      </w:r>
      <w:bookmarkEnd w:id="62"/>
      <w:bookmarkEnd w:id="63"/>
      <w:bookmarkEnd w:id="64"/>
    </w:p>
    <w:p w14:paraId="534889D8" w14:textId="77777777" w:rsidR="00D23139" w:rsidRDefault="007D53B6" w:rsidP="00D23139">
      <w:pPr>
        <w:pStyle w:val="Heading4"/>
      </w:pPr>
      <w:r>
        <w:t>Delegate’s considerations</w:t>
      </w:r>
    </w:p>
    <w:p w14:paraId="5C68C79F" w14:textId="5203F4CB" w:rsidR="00263669" w:rsidRDefault="00263669" w:rsidP="00263669">
      <w:r>
        <w:t xml:space="preserve">There are no data on use in patients with severe hepatic or renal impairment. Based on the </w:t>
      </w:r>
      <w:proofErr w:type="spellStart"/>
      <w:r>
        <w:t>PopPK</w:t>
      </w:r>
      <w:proofErr w:type="spellEnd"/>
      <w:r>
        <w:t xml:space="preserve"> analysis, no dose adjustment is required for intrinsic factors (age, sex, race/ethnicity, body weight, baseline albumin, baseline tumour size, and tumour type) and for patients with mild or moderate renal impairment and for patients with mild hepatic impairment. There was only </w:t>
      </w:r>
      <w:r w:rsidR="00CA21C6">
        <w:t>one</w:t>
      </w:r>
      <w:r>
        <w:t xml:space="preserve"> patient with moderate hepatic impairment in the </w:t>
      </w:r>
      <w:proofErr w:type="spellStart"/>
      <w:r>
        <w:t>PopPK</w:t>
      </w:r>
      <w:proofErr w:type="spellEnd"/>
      <w:r>
        <w:t xml:space="preserve"> dataset. This patient received </w:t>
      </w:r>
      <w:r w:rsidR="00CA21C6">
        <w:t>five</w:t>
      </w:r>
      <w:r>
        <w:t xml:space="preserve"> cycles of 5.4 mg/kg with one dose interruption and no dose adjustments. The FDA concluded that the proposed dose can be administered to patients with moderate hepatic impairment with closely safety monitoring, based on the following rationales: There is no human mass balance study to determine the main elimination pathway of MAAA-118a. However, based on rat study, over 70% of MAAA</w:t>
      </w:r>
      <w:r w:rsidR="00DE40D1">
        <w:noBreakHyphen/>
      </w:r>
      <w:r>
        <w:t xml:space="preserve">1181a is eliminated in the liver, suggesting that the liver is the main eliminating pathway. However, in the </w:t>
      </w:r>
      <w:r w:rsidR="00CA21C6">
        <w:t xml:space="preserve">drug </w:t>
      </w:r>
      <w:proofErr w:type="spellStart"/>
      <w:r w:rsidR="00CA21C6">
        <w:t>drug</w:t>
      </w:r>
      <w:proofErr w:type="spellEnd"/>
      <w:r w:rsidR="00CA21C6">
        <w:t xml:space="preserve"> interaction</w:t>
      </w:r>
      <w:r>
        <w:t xml:space="preserve"> study (Study A104), co</w:t>
      </w:r>
      <w:r w:rsidR="00DE40D1">
        <w:t>-</w:t>
      </w:r>
      <w:r>
        <w:t>administration of itraconazole (strong CYP3A inhibitor) or ritonavir (CYP3A and OATP1B inhibitor) did not increase the exposure of MAAA-1181a. The data indirectly suggests that the risk of increased MAAA-1181a exposure in patients with moderate hepatic impairment is low.</w:t>
      </w:r>
    </w:p>
    <w:p w14:paraId="3ABF0DCE" w14:textId="0AEBC0F0" w:rsidR="00263669" w:rsidRDefault="00263669" w:rsidP="00263669">
      <w:r>
        <w:t>The FDA recommended that the applicant collect safety data in at least 10 patients with moderate hepatic impairment in ongoing trials and submit the data in the final analysis reports. I concur with this recommendation. Limited data preclude a recommendation for patients with severe hepatic impairment and severe renal impairment.</w:t>
      </w:r>
    </w:p>
    <w:p w14:paraId="4E817904" w14:textId="7CD2F173" w:rsidR="00263669" w:rsidRDefault="00263669" w:rsidP="00263669">
      <w:r>
        <w:t>Human biomaterial studies indicated that released drug, MAAA-1181a, is a substrate of P</w:t>
      </w:r>
      <w:r w:rsidR="00DE40D1">
        <w:noBreakHyphen/>
      </w:r>
      <w:proofErr w:type="spellStart"/>
      <w:r>
        <w:t>gp</w:t>
      </w:r>
      <w:proofErr w:type="spellEnd"/>
      <w:r>
        <w:t xml:space="preserve">, MATE2-K, OATP1B1, OATP1B3, BCRP, MRP1, and CYP3A4. Based on </w:t>
      </w:r>
      <w:r w:rsidRPr="00CA21C6">
        <w:rPr>
          <w:i/>
          <w:iCs/>
        </w:rPr>
        <w:t>in vitro</w:t>
      </w:r>
      <w:r>
        <w:t xml:space="preserve"> data, MAAA-1181a is not a reversible or time</w:t>
      </w:r>
      <w:r w:rsidR="00CA21C6">
        <w:t xml:space="preserve"> </w:t>
      </w:r>
      <w:r>
        <w:t xml:space="preserve">dependent inhibitor of CYP isoforms, </w:t>
      </w:r>
      <w:proofErr w:type="gramStart"/>
      <w:r>
        <w:t>and also</w:t>
      </w:r>
      <w:proofErr w:type="gramEnd"/>
      <w:r>
        <w:t xml:space="preserve"> did not show induction potential on mRNA expression or metabolic activity of CYP isoforms.</w:t>
      </w:r>
    </w:p>
    <w:p w14:paraId="580C7ED8" w14:textId="5E19A12C" w:rsidR="00263669" w:rsidRDefault="00263669" w:rsidP="00263669">
      <w:r>
        <w:t xml:space="preserve">The DDI study indicated that there was no clinically meaningful effect of OATP1B/CYP3A inhibition (with ritonavir) or from strong inhibition of CYP3A (with itraconazole) on the exposures of </w:t>
      </w:r>
      <w:r w:rsidR="004B453F">
        <w:t>Trastuzumab</w:t>
      </w:r>
      <w:r>
        <w:t xml:space="preserve"> </w:t>
      </w:r>
      <w:proofErr w:type="spellStart"/>
      <w:r>
        <w:t>deruxtecan</w:t>
      </w:r>
      <w:proofErr w:type="spellEnd"/>
      <w:r>
        <w:t xml:space="preserve"> or MAAA-1181a. MAAA-1181a did not inhibit OAT3, OCT1, OCT2, OATP1B3, MATE1, MATE2-K, P-</w:t>
      </w:r>
      <w:proofErr w:type="spellStart"/>
      <w:r>
        <w:t>gp</w:t>
      </w:r>
      <w:proofErr w:type="spellEnd"/>
      <w:r>
        <w:t xml:space="preserve">, BCRP, or BSEP. Drug interaction assessments have adequately demonstrated that no dose adjustments </w:t>
      </w:r>
      <w:proofErr w:type="gramStart"/>
      <w:r>
        <w:t>is</w:t>
      </w:r>
      <w:proofErr w:type="gramEnd"/>
      <w:r>
        <w:t xml:space="preserve"> required for </w:t>
      </w:r>
      <w:r w:rsidR="004B453F">
        <w:t>Trastuzumab</w:t>
      </w:r>
      <w:r>
        <w:t xml:space="preserve"> </w:t>
      </w:r>
      <w:proofErr w:type="spellStart"/>
      <w:r>
        <w:t>deruxtecan</w:t>
      </w:r>
      <w:proofErr w:type="spellEnd"/>
      <w:r>
        <w:t xml:space="preserve"> with drugs that are inhibitors of P-</w:t>
      </w:r>
      <w:proofErr w:type="spellStart"/>
      <w:r>
        <w:t>gp</w:t>
      </w:r>
      <w:proofErr w:type="spellEnd"/>
      <w:r>
        <w:t>, OATP1B1, OATP1B3, BCRP, and CYP3A4.</w:t>
      </w:r>
    </w:p>
    <w:p w14:paraId="726B0FFD" w14:textId="42A35543" w:rsidR="00263669" w:rsidRDefault="00263669" w:rsidP="00263669">
      <w:r>
        <w:t>The optimal dose regimen has not been identified due to lack of assessment of efficacy and safety of doses &lt;</w:t>
      </w:r>
      <w:r w:rsidR="00CA21C6">
        <w:t> </w:t>
      </w:r>
      <w:r>
        <w:t xml:space="preserve">5.4 mg/kg </w:t>
      </w:r>
      <w:r w:rsidR="00CA21C6">
        <w:t>once every 3 weeks,</w:t>
      </w:r>
      <w:r>
        <w:t xml:space="preserve"> however the safety and efficacy of the proposed 5.4 mg/kg </w:t>
      </w:r>
      <w:r w:rsidR="00CA21C6">
        <w:t>once every 3 weeks</w:t>
      </w:r>
      <w:r>
        <w:t xml:space="preserve"> dose has been adequately demonstrated and the benefits are clinically significant for </w:t>
      </w:r>
      <w:proofErr w:type="gramStart"/>
      <w:r>
        <w:t>a majority of</w:t>
      </w:r>
      <w:proofErr w:type="gramEnd"/>
      <w:r>
        <w:t xml:space="preserve"> recipients.</w:t>
      </w:r>
    </w:p>
    <w:p w14:paraId="10514FDA" w14:textId="58929534" w:rsidR="00263669" w:rsidRDefault="00263669" w:rsidP="00263669">
      <w:r>
        <w:t>Due to differences in the determination of tumour HER2</w:t>
      </w:r>
      <w:r w:rsidR="00CA21C6">
        <w:t>-</w:t>
      </w:r>
      <w:r>
        <w:t xml:space="preserve">positivity between Study U201 (testing of archival tissue tested at a central laboratory prior to enrolment) and Study J101 (not centralised testing of archived tissue) pooling of results for the 5.4 mg/kg dose groups in these studies was not accepted by the FDA. Adequate numbers of patients were assessed in the pivotal trial such that pooling of efficacy data is not necessary to adequately assess the efficacy of </w:t>
      </w:r>
      <w:r w:rsidR="004B453F">
        <w:t>Trastuzumab</w:t>
      </w:r>
      <w:r>
        <w:t xml:space="preserve"> </w:t>
      </w:r>
      <w:proofErr w:type="spellStart"/>
      <w:r>
        <w:t>deruxtecan</w:t>
      </w:r>
      <w:proofErr w:type="spellEnd"/>
      <w:r>
        <w:t>.</w:t>
      </w:r>
    </w:p>
    <w:p w14:paraId="1A712A40" w14:textId="29C1F1F2" w:rsidR="00263669" w:rsidRDefault="00263669" w:rsidP="00263669">
      <w:r>
        <w:t>The primary efficacy analysis in the pivotal study was that of the independent review committee rather than the investigator. The discordance rate between the IRC and the investigators was 22.3%.</w:t>
      </w:r>
    </w:p>
    <w:p w14:paraId="026E9ABE" w14:textId="13643AD1" w:rsidR="00263669" w:rsidRDefault="00263669" w:rsidP="00263669">
      <w:r>
        <w:t>The pivotal study</w:t>
      </w:r>
      <w:r w:rsidR="0095510B">
        <w:t>. Study</w:t>
      </w:r>
      <w:r>
        <w:t xml:space="preserve"> DS8201</w:t>
      </w:r>
      <w:r w:rsidR="00CA21C6">
        <w:t>-</w:t>
      </w:r>
      <w:r>
        <w:t>A</w:t>
      </w:r>
      <w:r w:rsidR="00CA21C6">
        <w:t>-</w:t>
      </w:r>
      <w:r>
        <w:t>U201 was a single arm trial and because there was no comparator arm, time-to-event endpoints (</w:t>
      </w:r>
      <w:r w:rsidR="00CA21C6">
        <w:t>for example</w:t>
      </w:r>
      <w:r>
        <w:t xml:space="preserve">, </w:t>
      </w:r>
      <w:r w:rsidR="00DE40D1">
        <w:t>progression-free survival</w:t>
      </w:r>
      <w:r>
        <w:t xml:space="preserve">, stable disease, </w:t>
      </w:r>
      <w:r w:rsidR="00DE40D1">
        <w:t xml:space="preserve">overall survival, </w:t>
      </w:r>
      <w:r>
        <w:t xml:space="preserve">and time to response) results are not interpretable. The evaluation of efficacy has relied on the demonstration of an improvement over available </w:t>
      </w:r>
      <w:r>
        <w:lastRenderedPageBreak/>
        <w:t xml:space="preserve">therapy based on the magnitude of the response rate and an adequate duration of response. There were multiple efficacy updates for this study and a separate efficacy assessment on the initial efficacy report performed by the FDA. The most recently available efficacy update showed a median </w:t>
      </w:r>
      <w:r w:rsidR="00DE40D1">
        <w:t xml:space="preserve">duration of response </w:t>
      </w:r>
      <w:r>
        <w:t>in responders of 18.2 months after a median of 26.5 months follow</w:t>
      </w:r>
      <w:r w:rsidR="00CA21C6">
        <w:t xml:space="preserve"> </w:t>
      </w:r>
      <w:r>
        <w:t xml:space="preserve">up. That </w:t>
      </w:r>
      <w:r w:rsidR="00DE40D1">
        <w:t xml:space="preserve">duration of response </w:t>
      </w:r>
      <w:r>
        <w:t xml:space="preserve">is a substantial increase in the </w:t>
      </w:r>
      <w:r w:rsidR="00DE40D1">
        <w:t xml:space="preserve">duration of response </w:t>
      </w:r>
      <w:r>
        <w:t xml:space="preserve">reported in the </w:t>
      </w:r>
      <w:r w:rsidR="00A84244">
        <w:t>clinical study report</w:t>
      </w:r>
      <w:r>
        <w:t xml:space="preserve"> after shorter follow</w:t>
      </w:r>
      <w:r w:rsidR="00CA21C6">
        <w:t xml:space="preserve"> </w:t>
      </w:r>
      <w:r>
        <w:t xml:space="preserve">up periods and is a major improvement. While not statistically evaluable an additional 55 (29.9%) of patients had stable disease. As noted by the FDA, </w:t>
      </w:r>
      <w:r w:rsidR="00DE40D1">
        <w:t>progression-free survival</w:t>
      </w:r>
      <w:r>
        <w:t>, time</w:t>
      </w:r>
      <w:r w:rsidR="00CA21C6">
        <w:t xml:space="preserve"> </w:t>
      </w:r>
      <w:r>
        <w:t>to</w:t>
      </w:r>
      <w:r w:rsidR="00CA21C6">
        <w:t xml:space="preserve"> </w:t>
      </w:r>
      <w:r>
        <w:t xml:space="preserve">response and </w:t>
      </w:r>
      <w:r w:rsidR="00DE40D1">
        <w:t xml:space="preserve">overall survival </w:t>
      </w:r>
      <w:r>
        <w:t>are uninterpretable due to the lack of a comparator arm in a single</w:t>
      </w:r>
      <w:r w:rsidR="0095510B">
        <w:t xml:space="preserve"> </w:t>
      </w:r>
      <w:r>
        <w:t>arm study.</w:t>
      </w:r>
    </w:p>
    <w:p w14:paraId="6833150E" w14:textId="07310FEA" w:rsidR="00263669" w:rsidRDefault="00263669" w:rsidP="00263669">
      <w:r>
        <w:t xml:space="preserve">While 24 patients with brain metastases were included in the </w:t>
      </w:r>
      <w:r w:rsidR="00CA21C6">
        <w:t>intent to treat</w:t>
      </w:r>
      <w:r>
        <w:t xml:space="preserve"> analysis for efficacy there was no specific assessment of the response for brain metastases. The subgroup analysis suggests that patients with brain metastases have a similar </w:t>
      </w:r>
      <w:r w:rsidR="00DE40D1">
        <w:t xml:space="preserve">objective response rate </w:t>
      </w:r>
      <w:r>
        <w:t>to those without brain metastases. There was no information on a specific effect on brain metastases.</w:t>
      </w:r>
    </w:p>
    <w:p w14:paraId="0ABBB679" w14:textId="3EEBAED3" w:rsidR="00263669" w:rsidRDefault="00263669" w:rsidP="00263669">
      <w:r>
        <w:t>Cross</w:t>
      </w:r>
      <w:r w:rsidR="0095510B">
        <w:t xml:space="preserve"> </w:t>
      </w:r>
      <w:r>
        <w:t xml:space="preserve">study comparisons with available alternative treatments for metastatic HER2 positive </w:t>
      </w:r>
      <w:r w:rsidR="00CA21C6">
        <w:t>breast cancer</w:t>
      </w:r>
      <w:r>
        <w:t xml:space="preserve"> are limited due in large part to differences in patients’ exposure to prior treatments and to the number of prior lines of therapy. The population in the pivotal trial had a median of </w:t>
      </w:r>
      <w:r w:rsidR="00CA21C6">
        <w:t>six</w:t>
      </w:r>
      <w:r>
        <w:t xml:space="preserve"> prior lines of therapy and all patients had previous exposure to </w:t>
      </w:r>
      <w:r w:rsidR="004B453F">
        <w:t>Trastuzumab</w:t>
      </w:r>
      <w:r>
        <w:t xml:space="preserve"> emtansine. The best </w:t>
      </w:r>
      <w:r w:rsidR="00DE40D1">
        <w:t xml:space="preserve">objective response rate </w:t>
      </w:r>
      <w:r>
        <w:t xml:space="preserve">to previous </w:t>
      </w:r>
      <w:r w:rsidR="004B453F">
        <w:t>Trastuzumab</w:t>
      </w:r>
      <w:r w:rsidR="00CA21C6">
        <w:t xml:space="preserve"> </w:t>
      </w:r>
      <w:r>
        <w:t xml:space="preserve">emtansine was only 21.7% suggesting </w:t>
      </w:r>
      <w:proofErr w:type="spellStart"/>
      <w:r>
        <w:t>Enhertu</w:t>
      </w:r>
      <w:proofErr w:type="spellEnd"/>
      <w:r>
        <w:t xml:space="preserve"> would be effective in many patients who have a poor response to </w:t>
      </w:r>
      <w:r w:rsidR="004B453F">
        <w:t>Trastuzumab</w:t>
      </w:r>
      <w:r w:rsidR="00CA21C6">
        <w:t xml:space="preserve"> </w:t>
      </w:r>
      <w:r>
        <w:t xml:space="preserve">emtansine. </w:t>
      </w:r>
      <w:proofErr w:type="gramStart"/>
      <w:r>
        <w:t>Additionally</w:t>
      </w:r>
      <w:proofErr w:type="gramEnd"/>
      <w:r>
        <w:t xml:space="preserve"> 65.8% of patients were previously exposed to </w:t>
      </w:r>
      <w:proofErr w:type="spellStart"/>
      <w:r>
        <w:t>pertuzumab</w:t>
      </w:r>
      <w:proofErr w:type="spellEnd"/>
      <w:r>
        <w:t xml:space="preserve">. For those patients the exploratory subgroup analysis suggested that patients who received </w:t>
      </w:r>
      <w:proofErr w:type="spellStart"/>
      <w:r>
        <w:t>pertuzumab</w:t>
      </w:r>
      <w:proofErr w:type="spellEnd"/>
      <w:r>
        <w:t xml:space="preserve"> as </w:t>
      </w:r>
      <w:r w:rsidR="00CA21C6">
        <w:t xml:space="preserve">first </w:t>
      </w:r>
      <w:r>
        <w:t xml:space="preserve">or </w:t>
      </w:r>
      <w:r w:rsidR="00CA21C6">
        <w:t>second</w:t>
      </w:r>
      <w:r>
        <w:t xml:space="preserve"> line therapy did better on </w:t>
      </w:r>
      <w:proofErr w:type="spellStart"/>
      <w:r>
        <w:t>Enhertu</w:t>
      </w:r>
      <w:proofErr w:type="spellEnd"/>
      <w:r>
        <w:t xml:space="preserve"> than patients who had not previously received </w:t>
      </w:r>
      <w:proofErr w:type="spellStart"/>
      <w:r>
        <w:t>pertuzumab</w:t>
      </w:r>
      <w:proofErr w:type="spellEnd"/>
      <w:r>
        <w:t xml:space="preserve"> as </w:t>
      </w:r>
      <w:r w:rsidR="00CA21C6">
        <w:t xml:space="preserve">first or second </w:t>
      </w:r>
      <w:r>
        <w:t xml:space="preserve">line therapy. The comparisons available suggest that </w:t>
      </w:r>
      <w:proofErr w:type="spellStart"/>
      <w:r>
        <w:t>E</w:t>
      </w:r>
      <w:r w:rsidR="00CA21C6">
        <w:t>nhertu</w:t>
      </w:r>
      <w:proofErr w:type="spellEnd"/>
      <w:r>
        <w:t xml:space="preserve"> will be effective in patients who had at least </w:t>
      </w:r>
      <w:r w:rsidR="00CA21C6">
        <w:t>two</w:t>
      </w:r>
      <w:r>
        <w:t xml:space="preserve"> prior lines of therapy, including </w:t>
      </w:r>
      <w:r w:rsidR="004B453F">
        <w:t>Trastuzumab</w:t>
      </w:r>
      <w:r>
        <w:t xml:space="preserve">-emtansine and </w:t>
      </w:r>
      <w:proofErr w:type="spellStart"/>
      <w:r>
        <w:t>pertuzumab</w:t>
      </w:r>
      <w:proofErr w:type="spellEnd"/>
      <w:r>
        <w:t>.</w:t>
      </w:r>
    </w:p>
    <w:p w14:paraId="5E53F827" w14:textId="4B8215FD" w:rsidR="00263669" w:rsidRDefault="00263669" w:rsidP="00263669">
      <w:r>
        <w:t xml:space="preserve">The </w:t>
      </w:r>
      <w:r w:rsidR="00CA21C6">
        <w:t>f</w:t>
      </w:r>
      <w:r>
        <w:t xml:space="preserve">orest </w:t>
      </w:r>
      <w:r w:rsidR="00CA21C6">
        <w:t>p</w:t>
      </w:r>
      <w:r>
        <w:t xml:space="preserve">lot </w:t>
      </w:r>
      <w:r w:rsidR="00DE40D1">
        <w:t xml:space="preserve">objective response rate </w:t>
      </w:r>
      <w:r>
        <w:t xml:space="preserve">for various subgroups given </w:t>
      </w:r>
      <w:r w:rsidR="004B453F">
        <w:t>Trastuzumab</w:t>
      </w:r>
      <w:r>
        <w:t xml:space="preserve"> </w:t>
      </w:r>
      <w:proofErr w:type="spellStart"/>
      <w:r>
        <w:t>deruxtecan</w:t>
      </w:r>
      <w:proofErr w:type="spellEnd"/>
      <w:r>
        <w:t xml:space="preserve"> in Study U201 suggests that patients with &lt;</w:t>
      </w:r>
      <w:r w:rsidR="003F6782">
        <w:t xml:space="preserve"> </w:t>
      </w:r>
      <w:r>
        <w:t>3 prior lines of therapy in the metastatic setting are likely to have a higher likelihood of response than patients who’ve received ≥</w:t>
      </w:r>
      <w:r w:rsidR="003F6782">
        <w:t xml:space="preserve"> </w:t>
      </w:r>
      <w:r>
        <w:t>3 prior lines of therapy. It should be noted that only 17</w:t>
      </w:r>
      <w:r w:rsidR="003F6782">
        <w:t xml:space="preserve"> out of </w:t>
      </w:r>
      <w:r>
        <w:t>184 (9.2%) of patients in that study had received &lt;</w:t>
      </w:r>
      <w:r w:rsidR="003F6782">
        <w:t> </w:t>
      </w:r>
      <w:r>
        <w:t>3 lines of prior therapy.</w:t>
      </w:r>
    </w:p>
    <w:p w14:paraId="5663D2D9" w14:textId="0D7E8B31" w:rsidR="00263669" w:rsidRDefault="00263669" w:rsidP="00263669">
      <w:r>
        <w:t xml:space="preserve">The safety issues of most concern are interstitial lung disease, left ventricular dysfunction, </w:t>
      </w:r>
      <w:proofErr w:type="gramStart"/>
      <w:r>
        <w:t>thrombocytopenia</w:t>
      </w:r>
      <w:proofErr w:type="gramEnd"/>
      <w:r>
        <w:t xml:space="preserve"> and neutropenia. These can be managed with monitoring and dose adjustment as needed. A table for dose adjustments for these events is to be included in the PI.</w:t>
      </w:r>
    </w:p>
    <w:p w14:paraId="31B48C15" w14:textId="2CF1BA08" w:rsidR="00263669" w:rsidRPr="00263669" w:rsidRDefault="00263669" w:rsidP="00263669">
      <w:proofErr w:type="spellStart"/>
      <w:r>
        <w:t>Enhertu</w:t>
      </w:r>
      <w:proofErr w:type="spellEnd"/>
      <w:r>
        <w:t xml:space="preserve"> is fetotoxic and patients should be advised to avoid pregnancy. Given the proposed indication for </w:t>
      </w:r>
      <w:proofErr w:type="spellStart"/>
      <w:r>
        <w:t>Enhertu</w:t>
      </w:r>
      <w:proofErr w:type="spellEnd"/>
      <w:r>
        <w:t>, pregnancy is unlikely to be a significant factor requiring management.</w:t>
      </w:r>
    </w:p>
    <w:p w14:paraId="5795A0E4" w14:textId="6C44718A" w:rsidR="00D23139" w:rsidRDefault="00D23139" w:rsidP="00D23139">
      <w:pPr>
        <w:pStyle w:val="Heading4"/>
      </w:pPr>
      <w:r w:rsidRPr="00D23139">
        <w:t>Proposed action</w:t>
      </w:r>
    </w:p>
    <w:p w14:paraId="648552DC" w14:textId="058B9044" w:rsidR="00263669" w:rsidRDefault="00DE40D1" w:rsidP="00263669">
      <w:r>
        <w:t xml:space="preserve">The Delegate </w:t>
      </w:r>
      <w:r w:rsidR="00263669">
        <w:t>propose</w:t>
      </w:r>
      <w:r>
        <w:t>d</w:t>
      </w:r>
      <w:r w:rsidR="00263669">
        <w:t xml:space="preserve"> to approve </w:t>
      </w:r>
      <w:proofErr w:type="spellStart"/>
      <w:r w:rsidR="00263669">
        <w:t>Enhertu</w:t>
      </w:r>
      <w:proofErr w:type="spellEnd"/>
      <w:r w:rsidR="00263669">
        <w:t xml:space="preserve"> </w:t>
      </w:r>
      <w:r w:rsidR="00263669" w:rsidRPr="00263669">
        <w:rPr>
          <w:iCs/>
        </w:rPr>
        <w:t>(</w:t>
      </w:r>
      <w:r w:rsidR="004B453F">
        <w:t>Trastuzumab</w:t>
      </w:r>
      <w:r w:rsidR="00263669">
        <w:t xml:space="preserve"> </w:t>
      </w:r>
      <w:proofErr w:type="spellStart"/>
      <w:r w:rsidR="00263669">
        <w:t>deruxtecan</w:t>
      </w:r>
      <w:proofErr w:type="spellEnd"/>
      <w:r w:rsidR="00263669">
        <w:t>) for the following indication:</w:t>
      </w:r>
    </w:p>
    <w:p w14:paraId="69C8BA54" w14:textId="75056771" w:rsidR="00263669" w:rsidRPr="00263669" w:rsidRDefault="00263669" w:rsidP="00263669">
      <w:pPr>
        <w:ind w:left="720"/>
        <w:rPr>
          <w:i/>
          <w:iCs/>
        </w:rPr>
      </w:pPr>
      <w:proofErr w:type="spellStart"/>
      <w:r w:rsidRPr="00263669">
        <w:rPr>
          <w:i/>
          <w:iCs/>
        </w:rPr>
        <w:t>E</w:t>
      </w:r>
      <w:r>
        <w:rPr>
          <w:i/>
          <w:iCs/>
        </w:rPr>
        <w:t>nhertu</w:t>
      </w:r>
      <w:proofErr w:type="spellEnd"/>
      <w:r w:rsidRPr="00263669">
        <w:rPr>
          <w:i/>
          <w:iCs/>
        </w:rPr>
        <w:t xml:space="preserve"> is indicated for the treatment of adult patients with unresectable or metastatic HER2-positive breast cancer who have received two or more prior anti-HER2-based regimens.</w:t>
      </w:r>
    </w:p>
    <w:p w14:paraId="18C4B592" w14:textId="11912AEE" w:rsidR="00263669" w:rsidRPr="00263669" w:rsidRDefault="00263669" w:rsidP="00263669">
      <w:pPr>
        <w:ind w:left="720"/>
      </w:pPr>
      <w:r w:rsidRPr="00263669">
        <w:rPr>
          <w:i/>
          <w:iCs/>
        </w:rPr>
        <w:t>This indication is approved via the provisional approval pathway, based on overall response rate and duration of response. Full registration for this indication depends on verification and description of clinical benefit in a confirmatory trial.</w:t>
      </w:r>
    </w:p>
    <w:p w14:paraId="5D4829BA" w14:textId="77777777" w:rsidR="008E7846" w:rsidRPr="002E238E" w:rsidRDefault="008E7846" w:rsidP="008E7846">
      <w:pPr>
        <w:pStyle w:val="Heading3"/>
      </w:pPr>
      <w:bookmarkStart w:id="67" w:name="_Toc247691532"/>
      <w:bookmarkStart w:id="68" w:name="_Toc314842516"/>
      <w:bookmarkStart w:id="69" w:name="_Toc103589847"/>
      <w:bookmarkEnd w:id="42"/>
      <w:bookmarkEnd w:id="65"/>
      <w:bookmarkEnd w:id="66"/>
      <w:r>
        <w:lastRenderedPageBreak/>
        <w:t>Outcome</w:t>
      </w:r>
      <w:bookmarkEnd w:id="67"/>
      <w:bookmarkEnd w:id="68"/>
      <w:bookmarkEnd w:id="69"/>
    </w:p>
    <w:p w14:paraId="42E9A153" w14:textId="66D2B23F" w:rsidR="00B849A8" w:rsidRDefault="00744121" w:rsidP="00B849A8">
      <w:bookmarkStart w:id="70" w:name="_Toc247691533"/>
      <w:bookmarkStart w:id="71" w:name="_Toc314842517"/>
      <w:r>
        <w:t xml:space="preserve">Based on a review of quality, </w:t>
      </w:r>
      <w:proofErr w:type="gramStart"/>
      <w:r>
        <w:t>safety</w:t>
      </w:r>
      <w:proofErr w:type="gramEnd"/>
      <w:r>
        <w:t xml:space="preserve"> and efficacy, the TGA approved the registration of </w:t>
      </w:r>
      <w:proofErr w:type="spellStart"/>
      <w:r w:rsidR="00B849A8">
        <w:t>Enhertu</w:t>
      </w:r>
      <w:proofErr w:type="spellEnd"/>
      <w:r w:rsidR="00B849A8" w:rsidRPr="00250271">
        <w:t xml:space="preserve"> (</w:t>
      </w:r>
      <w:r w:rsidR="004B453F">
        <w:t>Trastuzumab</w:t>
      </w:r>
      <w:r w:rsidR="00B849A8" w:rsidRPr="008750AC">
        <w:t xml:space="preserve"> </w:t>
      </w:r>
      <w:proofErr w:type="spellStart"/>
      <w:r w:rsidR="00B849A8" w:rsidRPr="008750AC">
        <w:t>deruxtecan</w:t>
      </w:r>
      <w:proofErr w:type="spellEnd"/>
      <w:r w:rsidR="00B849A8" w:rsidRPr="00250271">
        <w:t xml:space="preserve">) </w:t>
      </w:r>
      <w:r w:rsidR="00B849A8">
        <w:t>100 mg</w:t>
      </w:r>
      <w:r w:rsidR="00B849A8" w:rsidRPr="00250271">
        <w:t xml:space="preserve">, </w:t>
      </w:r>
      <w:r w:rsidR="00B849A8">
        <w:t>powder for injection, vial</w:t>
      </w:r>
      <w:r>
        <w:t>, indicated for</w:t>
      </w:r>
      <w:r w:rsidR="00B849A8">
        <w:t>:</w:t>
      </w:r>
    </w:p>
    <w:p w14:paraId="306EB494" w14:textId="4636E485" w:rsidR="004E6568" w:rsidRPr="004E6568" w:rsidRDefault="004E6568" w:rsidP="004E6568">
      <w:pPr>
        <w:ind w:left="720"/>
        <w:rPr>
          <w:i/>
          <w:iCs/>
          <w:u w:val="single"/>
        </w:rPr>
      </w:pPr>
      <w:r w:rsidRPr="004E6568">
        <w:rPr>
          <w:i/>
          <w:iCs/>
          <w:u w:val="single"/>
        </w:rPr>
        <w:t>Disease and setting</w:t>
      </w:r>
    </w:p>
    <w:p w14:paraId="3749AFE5" w14:textId="4408FB42" w:rsidR="004E6568" w:rsidRPr="004E6568" w:rsidRDefault="004E6568" w:rsidP="004E6568">
      <w:pPr>
        <w:ind w:left="720"/>
        <w:rPr>
          <w:i/>
          <w:iCs/>
        </w:rPr>
      </w:pPr>
      <w:proofErr w:type="spellStart"/>
      <w:r w:rsidRPr="004E6568">
        <w:rPr>
          <w:i/>
          <w:iCs/>
        </w:rPr>
        <w:t>Enhertu</w:t>
      </w:r>
      <w:proofErr w:type="spellEnd"/>
      <w:r w:rsidRPr="004E6568">
        <w:rPr>
          <w:i/>
          <w:iCs/>
        </w:rPr>
        <w:t xml:space="preserve"> is indicated for the treatment of adult patients with unresectable or metastatic HER2-positive breast cancer who have received two or more prior anti-HER2-based regimens.</w:t>
      </w:r>
    </w:p>
    <w:p w14:paraId="76841C96" w14:textId="672A82FF" w:rsidR="004E6568" w:rsidRDefault="004E6568" w:rsidP="004E6568">
      <w:pPr>
        <w:ind w:left="720"/>
      </w:pPr>
      <w:r w:rsidRPr="004E6568">
        <w:rPr>
          <w:i/>
          <w:iCs/>
        </w:rPr>
        <w:t xml:space="preserve">This indication is approved via the </w:t>
      </w:r>
      <w:r w:rsidRPr="004E6568">
        <w:rPr>
          <w:rFonts w:ascii="Cambria-BoldItalic" w:hAnsi="Cambria-BoldItalic" w:cs="Cambria-BoldItalic"/>
          <w:i/>
          <w:iCs/>
        </w:rPr>
        <w:t>provisional approval</w:t>
      </w:r>
      <w:r w:rsidRPr="004E6568">
        <w:rPr>
          <w:rFonts w:ascii="Cambria-BoldItalic" w:hAnsi="Cambria-BoldItalic" w:cs="Cambria-BoldItalic"/>
          <w:b/>
          <w:bCs/>
          <w:i/>
          <w:iCs/>
        </w:rPr>
        <w:t xml:space="preserve"> </w:t>
      </w:r>
      <w:r w:rsidRPr="004E6568">
        <w:rPr>
          <w:i/>
          <w:iCs/>
        </w:rPr>
        <w:t>pathway, based on overall response rate and duration of response. Full registration for this indication depends on verification and description of clinical benefit in a confirmatory trial.</w:t>
      </w:r>
    </w:p>
    <w:p w14:paraId="02584756" w14:textId="50D42B0B" w:rsidR="00D23139" w:rsidRPr="00D23139" w:rsidRDefault="00D23139" w:rsidP="004E6568">
      <w:pPr>
        <w:pStyle w:val="Heading4"/>
      </w:pPr>
      <w:r w:rsidRPr="00D23139">
        <w:t>Specific conditions of registration applying to these goods</w:t>
      </w:r>
    </w:p>
    <w:p w14:paraId="0FAD2AED" w14:textId="58A7EEA5" w:rsidR="00B849A8" w:rsidRPr="00B849A8" w:rsidRDefault="004B453F" w:rsidP="00B849A8">
      <w:pPr>
        <w:pStyle w:val="ListBullet"/>
      </w:pPr>
      <w:r>
        <w:t>Trastuzumab</w:t>
      </w:r>
      <w:r w:rsidR="004E6568">
        <w:t xml:space="preserve"> </w:t>
      </w:r>
      <w:proofErr w:type="spellStart"/>
      <w:r w:rsidR="004E6568">
        <w:t>deruxtecan</w:t>
      </w:r>
      <w:proofErr w:type="spellEnd"/>
      <w:r w:rsidR="004E6568">
        <w:t xml:space="preserve"> (</w:t>
      </w:r>
      <w:proofErr w:type="spellStart"/>
      <w:r w:rsidR="004E6568">
        <w:t>E</w:t>
      </w:r>
      <w:r w:rsidR="00B849A8">
        <w:t>nhertu</w:t>
      </w:r>
      <w:proofErr w:type="spellEnd"/>
      <w:r w:rsidR="004E6568">
        <w:t>) is to be included in the Black Triangle Scheme.</w:t>
      </w:r>
      <w:r w:rsidR="00B849A8">
        <w:t xml:space="preserve"> </w:t>
      </w:r>
      <w:r w:rsidR="004E6568">
        <w:t xml:space="preserve">The PI and CMI for </w:t>
      </w:r>
      <w:proofErr w:type="spellStart"/>
      <w:r w:rsidR="004E6568">
        <w:t>E</w:t>
      </w:r>
      <w:r w:rsidR="00B849A8">
        <w:t>nhertu</w:t>
      </w:r>
      <w:proofErr w:type="spellEnd"/>
      <w:r w:rsidR="004E6568">
        <w:t xml:space="preserve"> must include the black triangle symbol and mandatory</w:t>
      </w:r>
      <w:r w:rsidR="00B849A8">
        <w:t xml:space="preserve"> </w:t>
      </w:r>
      <w:r w:rsidR="004E6568">
        <w:t>accompanying text for the product’s entire period of provisional registration.</w:t>
      </w:r>
    </w:p>
    <w:p w14:paraId="78AF060B" w14:textId="7BC52D1A" w:rsidR="00B849A8" w:rsidRDefault="004E6568" w:rsidP="00B849A8">
      <w:pPr>
        <w:pStyle w:val="ListBullet"/>
      </w:pPr>
      <w:r>
        <w:t xml:space="preserve">The </w:t>
      </w:r>
      <w:proofErr w:type="spellStart"/>
      <w:r>
        <w:t>E</w:t>
      </w:r>
      <w:r w:rsidR="00B849A8">
        <w:t>nhertu</w:t>
      </w:r>
      <w:proofErr w:type="spellEnd"/>
      <w:r>
        <w:t xml:space="preserve"> EU-RMP (version 1.0, dated 22 January 2021,</w:t>
      </w:r>
      <w:r w:rsidR="00B849A8">
        <w:t xml:space="preserve"> </w:t>
      </w:r>
      <w:r>
        <w:t xml:space="preserve">data lock point 1 August 2019), with </w:t>
      </w:r>
      <w:r w:rsidR="00B849A8">
        <w:t>ASA</w:t>
      </w:r>
      <w:r>
        <w:t xml:space="preserve"> (version 1.0 Succession</w:t>
      </w:r>
      <w:r w:rsidR="00B849A8">
        <w:t xml:space="preserve"> </w:t>
      </w:r>
      <w:r>
        <w:t>3, dated 16 July 2021), included with submission PM-2020-04659-1-4, and any</w:t>
      </w:r>
      <w:r w:rsidR="00B849A8">
        <w:t xml:space="preserve"> </w:t>
      </w:r>
      <w:r>
        <w:t>subsequent revisions, as agreed with the TGA will be implemented in Australia.</w:t>
      </w:r>
    </w:p>
    <w:p w14:paraId="2F0AE4A9" w14:textId="12430534" w:rsidR="00B849A8" w:rsidRDefault="004E6568" w:rsidP="00B849A8">
      <w:pPr>
        <w:pStyle w:val="ListBullet"/>
        <w:numPr>
          <w:ilvl w:val="0"/>
          <w:numId w:val="0"/>
        </w:numPr>
        <w:ind w:left="360"/>
        <w:rPr>
          <w:rFonts w:eastAsiaTheme="minorHAnsi" w:cs="Cambria"/>
        </w:rPr>
      </w:pPr>
      <w:r w:rsidRPr="00B849A8">
        <w:rPr>
          <w:rFonts w:eastAsiaTheme="minorHAnsi" w:cs="Cambria"/>
        </w:rPr>
        <w:t>An obligatory component of risk management plans is routine pharmacovigilance.</w:t>
      </w:r>
      <w:r w:rsidR="00B849A8" w:rsidRPr="00B849A8">
        <w:rPr>
          <w:rFonts w:eastAsiaTheme="minorHAnsi" w:cs="Cambria"/>
        </w:rPr>
        <w:t xml:space="preserve"> </w:t>
      </w:r>
      <w:r w:rsidRPr="00B849A8">
        <w:rPr>
          <w:rFonts w:eastAsiaTheme="minorHAnsi" w:cs="Cambria"/>
        </w:rPr>
        <w:t>Routine pharmacovigilance includes the submission of periodic safety update</w:t>
      </w:r>
      <w:r w:rsidR="00B849A8" w:rsidRPr="00B849A8">
        <w:rPr>
          <w:rFonts w:eastAsiaTheme="minorHAnsi" w:cs="Cambria"/>
        </w:rPr>
        <w:t xml:space="preserve"> </w:t>
      </w:r>
      <w:r w:rsidRPr="00B849A8">
        <w:rPr>
          <w:rFonts w:eastAsiaTheme="minorHAnsi" w:cs="Cambria"/>
        </w:rPr>
        <w:t>reports (PSURs).</w:t>
      </w:r>
      <w:r w:rsidR="00B849A8" w:rsidRPr="00B849A8">
        <w:rPr>
          <w:rFonts w:eastAsiaTheme="minorHAnsi" w:cs="Cambria"/>
        </w:rPr>
        <w:t xml:space="preserve"> </w:t>
      </w:r>
      <w:r w:rsidRPr="00B849A8">
        <w:rPr>
          <w:rFonts w:eastAsiaTheme="minorHAnsi" w:cs="Cambria"/>
        </w:rPr>
        <w:t>Unless agreed separately between the supplier who is the recipient of the approval</w:t>
      </w:r>
      <w:r w:rsidR="00B849A8" w:rsidRPr="00B849A8">
        <w:rPr>
          <w:rFonts w:eastAsiaTheme="minorHAnsi" w:cs="Cambria"/>
        </w:rPr>
        <w:t xml:space="preserve"> </w:t>
      </w:r>
      <w:r w:rsidRPr="00B849A8">
        <w:rPr>
          <w:rFonts w:eastAsiaTheme="minorHAnsi" w:cs="Cambria"/>
        </w:rPr>
        <w:t>and the TGA, the first report must be submitted to TGA no later than 15 calendar</w:t>
      </w:r>
      <w:r w:rsidR="00B849A8" w:rsidRPr="00B849A8">
        <w:rPr>
          <w:rFonts w:eastAsiaTheme="minorHAnsi" w:cs="Cambria"/>
        </w:rPr>
        <w:t xml:space="preserve"> </w:t>
      </w:r>
      <w:r w:rsidRPr="00B849A8">
        <w:rPr>
          <w:rFonts w:eastAsiaTheme="minorHAnsi" w:cs="Cambria"/>
        </w:rPr>
        <w:t>months after the date of th</w:t>
      </w:r>
      <w:r w:rsidR="00B849A8">
        <w:rPr>
          <w:rFonts w:eastAsiaTheme="minorHAnsi" w:cs="Cambria"/>
        </w:rPr>
        <w:t>e</w:t>
      </w:r>
      <w:r w:rsidRPr="00B849A8">
        <w:rPr>
          <w:rFonts w:eastAsiaTheme="minorHAnsi" w:cs="Cambria"/>
        </w:rPr>
        <w:t xml:space="preserve"> approval letter. The subsequent reports must be</w:t>
      </w:r>
      <w:r w:rsidR="00B849A8" w:rsidRPr="00B849A8">
        <w:rPr>
          <w:rFonts w:eastAsiaTheme="minorHAnsi" w:cs="Cambria"/>
        </w:rPr>
        <w:t xml:space="preserve"> </w:t>
      </w:r>
      <w:r w:rsidRPr="00B849A8">
        <w:rPr>
          <w:rFonts w:eastAsiaTheme="minorHAnsi" w:cs="Cambria"/>
        </w:rPr>
        <w:t>submitted no less frequently than annually from the date of the first submitted</w:t>
      </w:r>
      <w:r w:rsidR="00B849A8" w:rsidRPr="00B849A8">
        <w:rPr>
          <w:rFonts w:eastAsiaTheme="minorHAnsi" w:cs="Cambria"/>
        </w:rPr>
        <w:t xml:space="preserve"> </w:t>
      </w:r>
      <w:r w:rsidRPr="00B849A8">
        <w:rPr>
          <w:rFonts w:eastAsiaTheme="minorHAnsi" w:cs="Cambria"/>
        </w:rPr>
        <w:t>report until the period covered by such reports is not less than three years from the</w:t>
      </w:r>
      <w:r w:rsidR="00B849A8" w:rsidRPr="00B849A8">
        <w:rPr>
          <w:rFonts w:eastAsiaTheme="minorHAnsi" w:cs="Cambria"/>
        </w:rPr>
        <w:t xml:space="preserve"> </w:t>
      </w:r>
      <w:r w:rsidRPr="00B849A8">
        <w:rPr>
          <w:rFonts w:eastAsiaTheme="minorHAnsi" w:cs="Cambria"/>
        </w:rPr>
        <w:t>date of th</w:t>
      </w:r>
      <w:r w:rsidR="00B849A8">
        <w:rPr>
          <w:rFonts w:eastAsiaTheme="minorHAnsi" w:cs="Cambria"/>
        </w:rPr>
        <w:t>e</w:t>
      </w:r>
      <w:r w:rsidRPr="00B849A8">
        <w:rPr>
          <w:rFonts w:eastAsiaTheme="minorHAnsi" w:cs="Cambria"/>
        </w:rPr>
        <w:t xml:space="preserve"> approval letter, or the entire period of provisional registration,</w:t>
      </w:r>
      <w:r w:rsidR="00B849A8" w:rsidRPr="00B849A8">
        <w:rPr>
          <w:rFonts w:eastAsiaTheme="minorHAnsi" w:cs="Cambria"/>
        </w:rPr>
        <w:t xml:space="preserve"> </w:t>
      </w:r>
      <w:r w:rsidRPr="00B849A8">
        <w:rPr>
          <w:rFonts w:eastAsiaTheme="minorHAnsi" w:cs="Cambria"/>
        </w:rPr>
        <w:t>whichever is longer.</w:t>
      </w:r>
    </w:p>
    <w:p w14:paraId="75FAC739" w14:textId="291FB317" w:rsidR="004E6568" w:rsidRPr="00B849A8" w:rsidRDefault="004E6568" w:rsidP="00B849A8">
      <w:pPr>
        <w:pStyle w:val="ListBullet"/>
        <w:numPr>
          <w:ilvl w:val="0"/>
          <w:numId w:val="0"/>
        </w:numPr>
        <w:ind w:left="360"/>
      </w:pPr>
      <w:r>
        <w:rPr>
          <w:rFonts w:eastAsiaTheme="minorHAnsi" w:cs="Cambria"/>
        </w:rPr>
        <w:t>The reports are to at least meet the requirements for PSURs as described in the</w:t>
      </w:r>
      <w:r w:rsidR="00B849A8">
        <w:rPr>
          <w:rFonts w:eastAsiaTheme="minorHAnsi" w:cs="Cambria"/>
        </w:rPr>
        <w:t xml:space="preserve"> </w:t>
      </w:r>
      <w:r>
        <w:rPr>
          <w:rFonts w:eastAsiaTheme="minorHAnsi" w:cs="Cambria"/>
        </w:rPr>
        <w:t>European Medicines Agency’s Guideline on good pharmacovigilance practices (GVP)</w:t>
      </w:r>
      <w:r w:rsidR="00B849A8">
        <w:rPr>
          <w:rFonts w:eastAsiaTheme="minorHAnsi" w:cs="Cambria"/>
        </w:rPr>
        <w:t xml:space="preserve"> </w:t>
      </w:r>
      <w:r>
        <w:rPr>
          <w:rFonts w:eastAsiaTheme="minorHAnsi" w:cs="Cambria"/>
        </w:rPr>
        <w:t>Module VII-periodic safety update report (Rev 1), Part VII.B Structures and</w:t>
      </w:r>
      <w:r w:rsidR="00B849A8">
        <w:rPr>
          <w:rFonts w:eastAsiaTheme="minorHAnsi" w:cs="Cambria"/>
        </w:rPr>
        <w:t xml:space="preserve"> </w:t>
      </w:r>
      <w:r>
        <w:rPr>
          <w:rFonts w:eastAsiaTheme="minorHAnsi" w:cs="Cambria"/>
        </w:rPr>
        <w:t>processes. Note that submission of a PSUR does not constitute an application to vary</w:t>
      </w:r>
      <w:r w:rsidR="00B849A8">
        <w:rPr>
          <w:rFonts w:eastAsiaTheme="minorHAnsi" w:cs="Cambria"/>
        </w:rPr>
        <w:t xml:space="preserve"> </w:t>
      </w:r>
      <w:r>
        <w:rPr>
          <w:rFonts w:eastAsiaTheme="minorHAnsi" w:cs="Cambria"/>
        </w:rPr>
        <w:t>the registration. Each report must have been prepared within ninety calendar days</w:t>
      </w:r>
      <w:r w:rsidR="00B849A8">
        <w:rPr>
          <w:rFonts w:eastAsiaTheme="minorHAnsi" w:cs="Cambria"/>
        </w:rPr>
        <w:t xml:space="preserve"> </w:t>
      </w:r>
      <w:r>
        <w:rPr>
          <w:rFonts w:eastAsiaTheme="minorHAnsi" w:cs="Cambria"/>
        </w:rPr>
        <w:t>of the data lock point for that report.</w:t>
      </w:r>
    </w:p>
    <w:p w14:paraId="359FDCC0" w14:textId="77777777" w:rsidR="004E6568" w:rsidRDefault="004E6568" w:rsidP="00B849A8">
      <w:pPr>
        <w:pStyle w:val="ListBullet"/>
      </w:pPr>
      <w:r>
        <w:t>Laboratory testing &amp; compliance with Certified Product Details (CPD)</w:t>
      </w:r>
    </w:p>
    <w:p w14:paraId="0F437136" w14:textId="77777777" w:rsidR="004B453F" w:rsidRDefault="004E6568" w:rsidP="004B453F">
      <w:pPr>
        <w:pStyle w:val="Numberbullet3"/>
      </w:pPr>
      <w:r>
        <w:t xml:space="preserve">All batches of </w:t>
      </w:r>
      <w:proofErr w:type="spellStart"/>
      <w:r>
        <w:t>Enhertu</w:t>
      </w:r>
      <w:proofErr w:type="spellEnd"/>
      <w:r>
        <w:t xml:space="preserve"> supplied in Australia must comply with the product details and</w:t>
      </w:r>
      <w:r w:rsidR="00B849A8">
        <w:t xml:space="preserve"> </w:t>
      </w:r>
      <w:r>
        <w:t>specifications approved during evaluation and detailed in the Certified Product Details</w:t>
      </w:r>
      <w:r w:rsidR="00B849A8">
        <w:t xml:space="preserve"> </w:t>
      </w:r>
      <w:r>
        <w:t>(CPD).</w:t>
      </w:r>
    </w:p>
    <w:p w14:paraId="5B39C26A" w14:textId="1998A01E" w:rsidR="004E6568" w:rsidRPr="004B453F" w:rsidRDefault="004E6568" w:rsidP="004B453F">
      <w:pPr>
        <w:pStyle w:val="Numberbullet3"/>
      </w:pPr>
      <w:r w:rsidRPr="004B453F">
        <w:t xml:space="preserve">When requested by the TGA, the </w:t>
      </w:r>
      <w:r w:rsidR="006922A4" w:rsidRPr="004B453F">
        <w:t>sponsor</w:t>
      </w:r>
      <w:r w:rsidRPr="004B453F">
        <w:t xml:space="preserve"> should be prepared to provide product</w:t>
      </w:r>
      <w:r w:rsidR="00B849A8" w:rsidRPr="004B453F">
        <w:t xml:space="preserve"> </w:t>
      </w:r>
      <w:r w:rsidRPr="004B453F">
        <w:t>samples, specified reference materials and documentary evidence to enable the TGA to</w:t>
      </w:r>
      <w:r w:rsidR="00B849A8" w:rsidRPr="004B453F">
        <w:t xml:space="preserve"> </w:t>
      </w:r>
      <w:r w:rsidRPr="004B453F">
        <w:t>conduct laboratory testing on the Product. Outcomes of laboratory testing are published</w:t>
      </w:r>
      <w:r w:rsidR="00B849A8" w:rsidRPr="004B453F">
        <w:t xml:space="preserve"> </w:t>
      </w:r>
      <w:r w:rsidRPr="004B453F">
        <w:t>biannually in the TGA Database of Laboratory Testing Results</w:t>
      </w:r>
      <w:r w:rsidR="00B849A8" w:rsidRPr="004B453F">
        <w:t xml:space="preserve"> </w:t>
      </w:r>
      <w:r w:rsidRPr="004B453F">
        <w:t>http://www.tga.gov.au/ws-labs-index and periodically in testing reports on the TGA</w:t>
      </w:r>
      <w:r w:rsidR="00B849A8" w:rsidRPr="004B453F">
        <w:t xml:space="preserve"> </w:t>
      </w:r>
      <w:r w:rsidRPr="004B453F">
        <w:t>website.</w:t>
      </w:r>
    </w:p>
    <w:p w14:paraId="51E430A7" w14:textId="77777777" w:rsidR="004E6568" w:rsidRDefault="004E6568" w:rsidP="00B849A8">
      <w:pPr>
        <w:pStyle w:val="ListBullet"/>
      </w:pPr>
      <w:r>
        <w:t>Certified Product Details</w:t>
      </w:r>
    </w:p>
    <w:p w14:paraId="17A38344" w14:textId="3ECE27B1" w:rsidR="004E6568" w:rsidRDefault="004E6568" w:rsidP="00B849A8">
      <w:pPr>
        <w:pStyle w:val="ListBullet"/>
        <w:numPr>
          <w:ilvl w:val="0"/>
          <w:numId w:val="0"/>
        </w:numPr>
        <w:ind w:left="360"/>
        <w:rPr>
          <w:rFonts w:cs="Cambria"/>
        </w:rPr>
      </w:pPr>
      <w:r>
        <w:rPr>
          <w:rFonts w:cs="Cambria"/>
        </w:rPr>
        <w:t>The Certified Product Details (CPD), as described in Guidance 7: Certified Product Details</w:t>
      </w:r>
      <w:r w:rsidR="00B849A8">
        <w:rPr>
          <w:rFonts w:cs="Cambria"/>
        </w:rPr>
        <w:t xml:space="preserve"> </w:t>
      </w:r>
      <w:r>
        <w:rPr>
          <w:rFonts w:cs="Cambria"/>
        </w:rPr>
        <w:t>of the Australian Regulatory Guidelines for Prescription Medicines (ARGPM)</w:t>
      </w:r>
      <w:r w:rsidR="00B849A8">
        <w:rPr>
          <w:rFonts w:cs="Cambria"/>
        </w:rPr>
        <w:t xml:space="preserve"> </w:t>
      </w:r>
      <w:r>
        <w:rPr>
          <w:rFonts w:cs="Cambria"/>
        </w:rPr>
        <w:lastRenderedPageBreak/>
        <w:t>[</w:t>
      </w:r>
      <w:r>
        <w:rPr>
          <w:rFonts w:cs="Cambria"/>
          <w:color w:val="0000FF"/>
        </w:rPr>
        <w:t>http://www.tga.gov.au/industry/pm-argpm-guidance-7.htm</w:t>
      </w:r>
      <w:r>
        <w:rPr>
          <w:rFonts w:cs="Cambria"/>
        </w:rPr>
        <w:t>], in PDF format, for the</w:t>
      </w:r>
      <w:r w:rsidR="00B849A8">
        <w:rPr>
          <w:rFonts w:cs="Cambria"/>
        </w:rPr>
        <w:t xml:space="preserve"> </w:t>
      </w:r>
      <w:r>
        <w:rPr>
          <w:rFonts w:cs="Cambria"/>
        </w:rPr>
        <w:t>above products should be provided upon registration of these therapeutic goods. In</w:t>
      </w:r>
      <w:r w:rsidR="00B849A8">
        <w:rPr>
          <w:rFonts w:cs="Cambria"/>
        </w:rPr>
        <w:t xml:space="preserve"> </w:t>
      </w:r>
      <w:r>
        <w:rPr>
          <w:rFonts w:cs="Cambria"/>
        </w:rPr>
        <w:t>addition, an updated CPD should be provided when changes to finished product</w:t>
      </w:r>
      <w:r w:rsidR="00B849A8">
        <w:rPr>
          <w:rFonts w:cs="Cambria"/>
        </w:rPr>
        <w:t xml:space="preserve"> </w:t>
      </w:r>
      <w:r>
        <w:rPr>
          <w:rFonts w:cs="Cambria"/>
        </w:rPr>
        <w:t>specifications and test methods are approved in a Category 3 application or notified</w:t>
      </w:r>
      <w:r w:rsidR="00B849A8">
        <w:rPr>
          <w:rFonts w:cs="Cambria"/>
        </w:rPr>
        <w:t xml:space="preserve"> </w:t>
      </w:r>
      <w:r>
        <w:rPr>
          <w:rFonts w:cs="Cambria"/>
        </w:rPr>
        <w:t>through a self-assessable change.</w:t>
      </w:r>
    </w:p>
    <w:p w14:paraId="48050343" w14:textId="77777777" w:rsidR="00B849A8" w:rsidRDefault="00B849A8" w:rsidP="00B849A8">
      <w:pPr>
        <w:pStyle w:val="ListBullet"/>
      </w:pPr>
      <w:r>
        <w:t>Confirmatory trial data (as identified in the sponsor’s plan to submit comprehensive clinical data on the safety and efficacy of the medicine before the end of the 6 years that would start on the day that registration would commence) must be provided.</w:t>
      </w:r>
    </w:p>
    <w:p w14:paraId="035B0107" w14:textId="77777777" w:rsidR="00B849A8" w:rsidRPr="00B849A8" w:rsidRDefault="00B849A8" w:rsidP="00B849A8">
      <w:pPr>
        <w:pStyle w:val="ListBullet"/>
        <w:numPr>
          <w:ilvl w:val="0"/>
          <w:numId w:val="0"/>
        </w:numPr>
        <w:ind w:left="360"/>
      </w:pPr>
      <w:proofErr w:type="gramStart"/>
      <w:r w:rsidRPr="00B849A8">
        <w:rPr>
          <w:rFonts w:eastAsiaTheme="minorHAnsi" w:cs="Cambria"/>
        </w:rPr>
        <w:t>Specifically</w:t>
      </w:r>
      <w:proofErr w:type="gramEnd"/>
      <w:r w:rsidRPr="00B849A8">
        <w:rPr>
          <w:rFonts w:eastAsiaTheme="minorHAnsi" w:cs="Cambria"/>
        </w:rPr>
        <w:t xml:space="preserve"> the sponsor must conduct studies as described in the clinical study plan in version 1.0 Succession 3 dated 16 July 2021 of the Australian-Specific Annex. The following study report(s) should be submitted to TGA:</w:t>
      </w:r>
    </w:p>
    <w:p w14:paraId="55431B4B" w14:textId="77777777" w:rsidR="00B849A8" w:rsidRDefault="00B849A8" w:rsidP="00B849A8">
      <w:pPr>
        <w:pStyle w:val="ListBullet2"/>
      </w:pPr>
      <w:r>
        <w:t>DS8201-AU301, Study U301/DESTINY-Breast02, second half in 2022</w:t>
      </w:r>
    </w:p>
    <w:p w14:paraId="27A953C5" w14:textId="464E6C43" w:rsidR="00B849A8" w:rsidRPr="004E6568" w:rsidRDefault="00B849A8" w:rsidP="004E6568">
      <w:pPr>
        <w:pStyle w:val="ListBullet2"/>
      </w:pPr>
      <w:r>
        <w:t>DS8201-AU302, Study U302/DESTINYBreast03, fourth quarter in 2021</w:t>
      </w:r>
    </w:p>
    <w:p w14:paraId="7D2011DE" w14:textId="77777777" w:rsidR="008E7846" w:rsidRDefault="00A80B5B" w:rsidP="00D23139">
      <w:pPr>
        <w:pStyle w:val="Heading2"/>
      </w:pPr>
      <w:bookmarkStart w:id="72" w:name="_Toc103589848"/>
      <w:r>
        <w:t xml:space="preserve">Attachment 1. </w:t>
      </w:r>
      <w:r w:rsidR="008E7846">
        <w:t xml:space="preserve">Product </w:t>
      </w:r>
      <w:r w:rsidR="00AA0ED0">
        <w:t>I</w:t>
      </w:r>
      <w:r w:rsidR="008E7846">
        <w:t>nformation</w:t>
      </w:r>
      <w:bookmarkEnd w:id="70"/>
      <w:bookmarkEnd w:id="71"/>
      <w:bookmarkEnd w:id="72"/>
    </w:p>
    <w:p w14:paraId="525A6111" w14:textId="26553BA0" w:rsidR="00C80137" w:rsidRDefault="006136D7" w:rsidP="00C80137">
      <w:pPr>
        <w:rPr>
          <w:color w:val="000000"/>
          <w:lang w:eastAsia="en-AU"/>
        </w:rPr>
      </w:pPr>
      <w:r w:rsidRPr="002B3624">
        <w:t xml:space="preserve">The </w:t>
      </w:r>
      <w:r>
        <w:t>PI</w:t>
      </w:r>
      <w:r w:rsidRPr="002B3624">
        <w:t xml:space="preserve"> for </w:t>
      </w:r>
      <w:proofErr w:type="spellStart"/>
      <w:r w:rsidR="006002CD">
        <w:t>Enhertu</w:t>
      </w:r>
      <w:proofErr w:type="spellEnd"/>
      <w:r w:rsidR="006002CD">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5" w:history="1">
        <w:r w:rsidR="007C6B9B" w:rsidRPr="007C6B9B">
          <w:rPr>
            <w:rStyle w:val="Hyperlink"/>
          </w:rPr>
          <w:t>https://www.tga.gov.au/product-information-pi</w:t>
        </w:r>
      </w:hyperlink>
      <w:r w:rsidR="007C6B9B" w:rsidRPr="007C6B9B">
        <w:t>&gt;.</w:t>
      </w:r>
    </w:p>
    <w:p w14:paraId="19E57B7F" w14:textId="1D505042" w:rsidR="00C80137" w:rsidRPr="001D043B" w:rsidRDefault="00C80137" w:rsidP="004B453F">
      <w:pPr>
        <w:autoSpaceDE w:val="0"/>
        <w:autoSpaceDN w:val="0"/>
        <w:adjustRightInd w:val="0"/>
        <w:spacing w:after="0"/>
        <w:rPr>
          <w:lang w:eastAsia="ja-JP"/>
        </w:rPr>
        <w:sectPr w:rsidR="00C80137" w:rsidRPr="001D043B" w:rsidSect="00B452CE">
          <w:headerReference w:type="even" r:id="rId36"/>
          <w:headerReference w:type="default" r:id="rId37"/>
          <w:headerReference w:type="first" r:id="rId38"/>
          <w:footerReference w:type="first" r:id="rId39"/>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31D715CB" w14:textId="77777777" w:rsidTr="00A05FA4">
        <w:trPr>
          <w:trHeight w:hRule="exact" w:val="704"/>
        </w:trPr>
        <w:tc>
          <w:tcPr>
            <w:tcW w:w="9175" w:type="dxa"/>
          </w:tcPr>
          <w:p w14:paraId="13BF6D76" w14:textId="77777777" w:rsidR="001C32CD" w:rsidRPr="00487162" w:rsidRDefault="001C32CD" w:rsidP="00A05FA4">
            <w:pPr>
              <w:pStyle w:val="TGASignoff"/>
            </w:pPr>
            <w:r w:rsidRPr="00487162">
              <w:lastRenderedPageBreak/>
              <w:t>Therapeutic Goods Administration</w:t>
            </w:r>
          </w:p>
        </w:tc>
      </w:tr>
      <w:tr w:rsidR="001C32CD" w:rsidRPr="004C239D" w14:paraId="4AC0E2DF" w14:textId="77777777" w:rsidTr="00A05FA4">
        <w:trPr>
          <w:trHeight w:val="1221"/>
        </w:trPr>
        <w:tc>
          <w:tcPr>
            <w:tcW w:w="9175" w:type="dxa"/>
            <w:tcMar>
              <w:top w:w="28" w:type="dxa"/>
            </w:tcMar>
          </w:tcPr>
          <w:p w14:paraId="236BE2FE" w14:textId="77777777" w:rsidR="001C32CD" w:rsidRPr="00487162" w:rsidRDefault="001C32CD" w:rsidP="00A05FA4">
            <w:pPr>
              <w:pStyle w:val="Address"/>
            </w:pPr>
            <w:r w:rsidRPr="00487162">
              <w:t>PO Box 100 Woden ACT 2606 Australia</w:t>
            </w:r>
          </w:p>
          <w:p w14:paraId="7CEFE05E" w14:textId="2EDD1F86" w:rsidR="001C32CD" w:rsidRPr="00487162" w:rsidRDefault="001C32CD" w:rsidP="00A05FA4">
            <w:pPr>
              <w:pStyle w:val="Address"/>
            </w:pPr>
            <w:r w:rsidRPr="00487162">
              <w:t xml:space="preserve">Email: </w:t>
            </w:r>
            <w:hyperlink r:id="rId40"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197F7BE6" w14:textId="740F2C92" w:rsidR="001C32CD" w:rsidRPr="004C239D" w:rsidRDefault="006E3A15" w:rsidP="00A05FA4">
            <w:pPr>
              <w:pStyle w:val="Address"/>
              <w:spacing w:line="260" w:lineRule="atLeast"/>
              <w:rPr>
                <w:b/>
                <w:color w:val="0000FF"/>
                <w:u w:val="single"/>
              </w:rPr>
            </w:pPr>
            <w:hyperlink r:id="rId41" w:history="1">
              <w:r w:rsidR="007C6B9B" w:rsidRPr="007C6B9B">
                <w:rPr>
                  <w:rStyle w:val="Hyperlink"/>
                  <w:b/>
                </w:rPr>
                <w:t>https://www.tga.gov.au</w:t>
              </w:r>
            </w:hyperlink>
          </w:p>
        </w:tc>
      </w:tr>
    </w:tbl>
    <w:p w14:paraId="64CC6751" w14:textId="77777777" w:rsidR="00774E1D" w:rsidRPr="008A5E0B" w:rsidRDefault="00774E1D" w:rsidP="004C239D"/>
    <w:sectPr w:rsidR="00774E1D" w:rsidRPr="008A5E0B" w:rsidSect="001C32CD">
      <w:headerReference w:type="even" r:id="rId42"/>
      <w:headerReference w:type="default" r:id="rId43"/>
      <w:footerReference w:type="default" r:id="rId44"/>
      <w:headerReference w:type="first" r:id="rId45"/>
      <w:footerReference w:type="first" r:id="rId46"/>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630758" w14:textId="77777777" w:rsidR="006E3A15" w:rsidRDefault="006E3A15" w:rsidP="00C40A36">
      <w:pPr>
        <w:spacing w:after="0"/>
      </w:pPr>
      <w:r>
        <w:separator/>
      </w:r>
    </w:p>
  </w:endnote>
  <w:endnote w:type="continuationSeparator" w:id="0">
    <w:p w14:paraId="1E1B95E8" w14:textId="77777777" w:rsidR="006E3A15" w:rsidRDefault="006E3A15" w:rsidP="00C40A36">
      <w:pPr>
        <w:spacing w:after="0"/>
      </w:pPr>
      <w:r>
        <w:continuationSeparator/>
      </w:r>
    </w:p>
  </w:endnote>
  <w:endnote w:type="continuationNotice" w:id="1">
    <w:p w14:paraId="35BA999F" w14:textId="77777777" w:rsidR="006E3A15" w:rsidRDefault="006E3A1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Helv">
    <w:panose1 w:val="020B0604020202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Cambria-BoldItalic">
    <w:altName w:val="Cambria"/>
    <w:panose1 w:val="00000000000000000000"/>
    <w:charset w:val="00"/>
    <w:family w:val="roman"/>
    <w:notTrueType/>
    <w:pitch w:val="default"/>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6E3A15" w:rsidRPr="00487162" w14:paraId="65BB1EC6" w14:textId="77777777" w:rsidTr="00DB750B">
      <w:trPr>
        <w:trHeight w:val="269"/>
      </w:trPr>
      <w:tc>
        <w:tcPr>
          <w:tcW w:w="7371" w:type="dxa"/>
          <w:tcMar>
            <w:top w:w="142" w:type="dxa"/>
            <w:bottom w:w="0" w:type="dxa"/>
          </w:tcMar>
        </w:tcPr>
        <w:p w14:paraId="081C4074" w14:textId="3E28BB09" w:rsidR="006E3A15" w:rsidRPr="00487162" w:rsidRDefault="006E3A15" w:rsidP="00460036">
          <w:pPr>
            <w:pStyle w:val="Footer"/>
          </w:pPr>
          <w:proofErr w:type="spellStart"/>
          <w:r w:rsidRPr="00487162">
            <w:t>AusPA</w:t>
          </w:r>
          <w:r>
            <w:t>R</w:t>
          </w:r>
          <w:proofErr w:type="spellEnd"/>
          <w:r>
            <w:t xml:space="preserve"> - </w:t>
          </w:r>
          <w:proofErr w:type="spellStart"/>
          <w:r>
            <w:t>Enhertu</w:t>
          </w:r>
          <w:proofErr w:type="spellEnd"/>
          <w:r>
            <w:t xml:space="preserve"> </w:t>
          </w:r>
          <w:r w:rsidRPr="00460036">
            <w:t xml:space="preserve">– </w:t>
          </w:r>
          <w:r w:rsidRPr="006002CD">
            <w:t xml:space="preserve">trastuzumab </w:t>
          </w:r>
          <w:proofErr w:type="spellStart"/>
          <w:r w:rsidRPr="006002CD">
            <w:t>deruxtecan</w:t>
          </w:r>
          <w:proofErr w:type="spellEnd"/>
          <w:r w:rsidRPr="00460036">
            <w:t xml:space="preserve"> </w:t>
          </w:r>
          <w:r>
            <w:t xml:space="preserve">- </w:t>
          </w:r>
          <w:r w:rsidRPr="006002CD">
            <w:t>AstraZeneca Pty Ltd</w:t>
          </w:r>
          <w:r>
            <w:t xml:space="preserve"> </w:t>
          </w:r>
          <w:r w:rsidRPr="006002CD">
            <w:t>PM-2020-04659-1-4</w:t>
          </w:r>
          <w:r>
            <w:br/>
            <w:t>FINAL</w:t>
          </w:r>
          <w:r w:rsidRPr="00487162">
            <w:t xml:space="preserve"> </w:t>
          </w:r>
          <w:r>
            <w:t>15 June 2022</w:t>
          </w:r>
        </w:p>
      </w:tc>
      <w:tc>
        <w:tcPr>
          <w:tcW w:w="1490" w:type="dxa"/>
          <w:tcMar>
            <w:top w:w="142" w:type="dxa"/>
            <w:bottom w:w="0" w:type="dxa"/>
          </w:tcMar>
        </w:tcPr>
        <w:p w14:paraId="3EE1565E" w14:textId="51AF1491" w:rsidR="006E3A15" w:rsidRPr="00487162" w:rsidRDefault="006E3A15" w:rsidP="00DB750B">
          <w:pPr>
            <w:pStyle w:val="Footer"/>
            <w:jc w:val="right"/>
          </w:pPr>
          <w:r w:rsidRPr="00487162">
            <w:t xml:space="preserve">Page </w:t>
          </w:r>
          <w:r>
            <w:fldChar w:fldCharType="begin"/>
          </w:r>
          <w:r>
            <w:instrText xml:space="preserve"> PAGE  \* Arabic </w:instrText>
          </w:r>
          <w:r>
            <w:fldChar w:fldCharType="separate"/>
          </w:r>
          <w:r>
            <w:rPr>
              <w:noProof/>
            </w:rPr>
            <w:t>6</w:t>
          </w:r>
          <w:r>
            <w:fldChar w:fldCharType="end"/>
          </w:r>
          <w:r w:rsidRPr="00487162">
            <w:t xml:space="preserve"> of </w:t>
          </w:r>
          <w:r>
            <w:fldChar w:fldCharType="begin"/>
          </w:r>
          <w:r>
            <w:instrText>NUMPAGES  \* Arabic</w:instrText>
          </w:r>
          <w:r>
            <w:fldChar w:fldCharType="separate"/>
          </w:r>
          <w:r>
            <w:rPr>
              <w:noProof/>
            </w:rPr>
            <w:t>41</w:t>
          </w:r>
          <w:r>
            <w:fldChar w:fldCharType="end"/>
          </w:r>
        </w:p>
      </w:tc>
    </w:tr>
  </w:tbl>
  <w:p w14:paraId="56988ED6" w14:textId="0A5F7C93" w:rsidR="006E3A15" w:rsidRDefault="006E3A15"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E3A15" w:rsidRPr="00487162" w14:paraId="23A47A73" w14:textId="77777777" w:rsidTr="00E45619">
      <w:trPr>
        <w:trHeight w:val="269"/>
      </w:trPr>
      <w:tc>
        <w:tcPr>
          <w:tcW w:w="4519" w:type="dxa"/>
          <w:tcBorders>
            <w:top w:val="single" w:sz="4" w:space="0" w:color="auto"/>
          </w:tcBorders>
          <w:tcMar>
            <w:top w:w="142" w:type="dxa"/>
            <w:bottom w:w="0" w:type="dxa"/>
          </w:tcMar>
        </w:tcPr>
        <w:p w14:paraId="677A7BF4" w14:textId="77777777" w:rsidR="006E3A15" w:rsidRPr="00487162" w:rsidRDefault="006E3A15" w:rsidP="00FE1DEE">
          <w:pPr>
            <w:pStyle w:val="Footer"/>
          </w:pPr>
          <w:r w:rsidRPr="00487162">
            <w:t>Document title, Part #, Section # - Section title</w:t>
          </w:r>
        </w:p>
        <w:p w14:paraId="60F23593" w14:textId="77777777" w:rsidR="006E3A15" w:rsidRPr="00487162" w:rsidRDefault="006E3A15" w:rsidP="00FE1DEE">
          <w:pPr>
            <w:pStyle w:val="Footer"/>
          </w:pPr>
          <w:r w:rsidRPr="00487162">
            <w:t>V1.0 October 2010</w:t>
          </w:r>
        </w:p>
      </w:tc>
      <w:tc>
        <w:tcPr>
          <w:tcW w:w="4342" w:type="dxa"/>
          <w:tcBorders>
            <w:top w:val="single" w:sz="4" w:space="0" w:color="auto"/>
          </w:tcBorders>
          <w:tcMar>
            <w:top w:w="142" w:type="dxa"/>
            <w:bottom w:w="0" w:type="dxa"/>
          </w:tcMar>
        </w:tcPr>
        <w:p w14:paraId="46FE44DC" w14:textId="77777777" w:rsidR="006E3A15" w:rsidRPr="00487162" w:rsidRDefault="006E3A1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NUMPAGES</w:instrText>
          </w:r>
          <w:r>
            <w:fldChar w:fldCharType="separate"/>
          </w:r>
          <w:r>
            <w:rPr>
              <w:noProof/>
            </w:rPr>
            <w:t>21</w:t>
          </w:r>
          <w:r>
            <w:fldChar w:fldCharType="end"/>
          </w:r>
        </w:p>
      </w:tc>
    </w:tr>
  </w:tbl>
  <w:p w14:paraId="77FA4F09" w14:textId="77777777" w:rsidR="006E3A15" w:rsidRDefault="006E3A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B7B0C" w14:textId="77777777" w:rsidR="006E3A15" w:rsidRPr="001C32CD" w:rsidRDefault="006E3A15"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E3A15" w14:paraId="27A30A81" w14:textId="77777777" w:rsidTr="0010601F">
      <w:trPr>
        <w:trHeight w:val="108"/>
      </w:trPr>
      <w:tc>
        <w:tcPr>
          <w:tcW w:w="8875" w:type="dxa"/>
          <w:gridSpan w:val="2"/>
          <w:tcBorders>
            <w:bottom w:val="single" w:sz="4" w:space="0" w:color="auto"/>
          </w:tcBorders>
          <w:tcMar>
            <w:right w:w="284" w:type="dxa"/>
          </w:tcMar>
        </w:tcPr>
        <w:p w14:paraId="2EC2CFB2" w14:textId="77777777" w:rsidR="006E3A15" w:rsidRDefault="006E3A15" w:rsidP="006E08B3">
          <w:pPr>
            <w:pStyle w:val="Heading3"/>
          </w:pPr>
          <w:r>
            <w:t>Copyright</w:t>
          </w:r>
        </w:p>
        <w:p w14:paraId="02A6B1B7" w14:textId="77777777" w:rsidR="006E3A15" w:rsidRDefault="006E3A15" w:rsidP="006E08B3">
          <w:r>
            <w:rPr>
              <w:rFonts w:cs="Arial"/>
            </w:rPr>
            <w:t>©</w:t>
          </w:r>
          <w:r>
            <w:t xml:space="preserve"> Commonwealth of Australia [add year]</w:t>
          </w:r>
        </w:p>
        <w:p w14:paraId="4FFC68FC" w14:textId="77777777" w:rsidR="006E3A15" w:rsidRDefault="006E3A15" w:rsidP="006E08B3"/>
        <w:p w14:paraId="21546B89" w14:textId="77777777" w:rsidR="006E3A15" w:rsidRDefault="006E3A1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3EAE2509" w14:textId="77777777" w:rsidR="006E3A15" w:rsidRDefault="006E3A15" w:rsidP="006E08B3"/>
        <w:p w14:paraId="39CFA1F0" w14:textId="77777777" w:rsidR="006E3A15" w:rsidRDefault="006E3A15" w:rsidP="006E08B3">
          <w:pPr>
            <w:pStyle w:val="Heading3"/>
          </w:pPr>
          <w:r>
            <w:t>Confidentiality</w:t>
          </w:r>
        </w:p>
        <w:p w14:paraId="6D843B97" w14:textId="77777777" w:rsidR="006E3A15" w:rsidRDefault="006E3A1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4EF1408" w14:textId="77777777" w:rsidR="006E3A15" w:rsidRDefault="006E3A15" w:rsidP="006E08B3"/>
        <w:p w14:paraId="62E03A44" w14:textId="77777777" w:rsidR="006E3A15" w:rsidRDefault="006E3A15" w:rsidP="006E08B3">
          <w:r>
            <w:t>For submission made by individuals, all personal details, other than your name, will be removed from your submission before it is published on the TGA’s Internet site.</w:t>
          </w:r>
        </w:p>
        <w:p w14:paraId="4F2827DB" w14:textId="77777777" w:rsidR="006E3A15" w:rsidRDefault="006E3A15" w:rsidP="006E08B3"/>
        <w:p w14:paraId="528DDEA4" w14:textId="77777777" w:rsidR="006E3A15" w:rsidRDefault="006E3A1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6E3A15" w14:paraId="2F631925" w14:textId="77777777" w:rsidTr="0010601F">
      <w:trPr>
        <w:trHeight w:val="417"/>
      </w:trPr>
      <w:tc>
        <w:tcPr>
          <w:tcW w:w="4519" w:type="dxa"/>
          <w:tcBorders>
            <w:top w:val="single" w:sz="4" w:space="0" w:color="auto"/>
          </w:tcBorders>
          <w:tcMar>
            <w:top w:w="142" w:type="dxa"/>
            <w:bottom w:w="0" w:type="dxa"/>
          </w:tcMar>
        </w:tcPr>
        <w:p w14:paraId="34D6B0EF" w14:textId="77777777" w:rsidR="006E3A15" w:rsidRDefault="006E3A15" w:rsidP="006E08B3">
          <w:r>
            <w:t>Document title, Part #, Section # - Section title</w:t>
          </w:r>
        </w:p>
        <w:p w14:paraId="2B4E91E6" w14:textId="77777777" w:rsidR="006E3A15" w:rsidRDefault="006E3A15" w:rsidP="006E08B3">
          <w:r>
            <w:t>V1.0 October 2010</w:t>
          </w:r>
        </w:p>
      </w:tc>
      <w:tc>
        <w:tcPr>
          <w:tcW w:w="4356" w:type="dxa"/>
          <w:tcBorders>
            <w:top w:val="single" w:sz="4" w:space="0" w:color="auto"/>
          </w:tcBorders>
          <w:tcMar>
            <w:top w:w="142" w:type="dxa"/>
            <w:bottom w:w="0" w:type="dxa"/>
          </w:tcMar>
        </w:tcPr>
        <w:p w14:paraId="003FEC91" w14:textId="77777777" w:rsidR="006E3A15" w:rsidRDefault="006E3A1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NUMPAGES  \* Arabic</w:instrText>
          </w:r>
          <w:r>
            <w:fldChar w:fldCharType="separate"/>
          </w:r>
          <w:r>
            <w:rPr>
              <w:noProof/>
            </w:rPr>
            <w:t>21</w:t>
          </w:r>
          <w:r>
            <w:fldChar w:fldCharType="end"/>
          </w:r>
          <w:r>
            <w:t xml:space="preserve">  </w:t>
          </w:r>
        </w:p>
      </w:tc>
    </w:tr>
  </w:tbl>
  <w:p w14:paraId="07C86934" w14:textId="77777777" w:rsidR="006E3A15" w:rsidRDefault="006E3A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B27D80" w14:textId="77777777" w:rsidR="006E3A15" w:rsidRDefault="006E3A15" w:rsidP="00C40A36">
      <w:pPr>
        <w:spacing w:after="0"/>
      </w:pPr>
      <w:r>
        <w:separator/>
      </w:r>
    </w:p>
  </w:footnote>
  <w:footnote w:type="continuationSeparator" w:id="0">
    <w:p w14:paraId="08001E40" w14:textId="77777777" w:rsidR="006E3A15" w:rsidRDefault="006E3A15" w:rsidP="00C40A36">
      <w:pPr>
        <w:spacing w:after="0"/>
      </w:pPr>
      <w:r>
        <w:continuationSeparator/>
      </w:r>
    </w:p>
  </w:footnote>
  <w:footnote w:type="continuationNotice" w:id="1">
    <w:p w14:paraId="01EE1C13" w14:textId="77777777" w:rsidR="006E3A15" w:rsidRDefault="006E3A15">
      <w:pPr>
        <w:spacing w:before="0" w:after="0" w:line="240" w:lineRule="auto"/>
      </w:pPr>
    </w:p>
  </w:footnote>
  <w:footnote w:id="2">
    <w:p w14:paraId="2E3FF9D7" w14:textId="77777777" w:rsidR="006E3A15" w:rsidRDefault="006E3A15">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3">
    <w:p w14:paraId="6C8D427B" w14:textId="19B12919" w:rsidR="006E3A15" w:rsidRPr="00021980" w:rsidRDefault="006E3A15">
      <w:pPr>
        <w:pStyle w:val="FootnoteText"/>
        <w:rPr>
          <w:lang w:val="en-GB"/>
        </w:rPr>
      </w:pPr>
      <w:r>
        <w:rPr>
          <w:rStyle w:val="FootnoteReference"/>
        </w:rPr>
        <w:footnoteRef/>
      </w:r>
      <w:r>
        <w:t xml:space="preserve"> </w:t>
      </w:r>
      <w:r w:rsidRPr="00D4139B">
        <w:t>Australian Institute of Health and Welfare (2021) </w:t>
      </w:r>
      <w:hyperlink r:id="rId1" w:history="1">
        <w:r w:rsidRPr="00D4139B">
          <w:rPr>
            <w:rStyle w:val="Hyperlink"/>
            <w:i/>
            <w:iCs/>
          </w:rPr>
          <w:t>Cancer in Australia 2021</w:t>
        </w:r>
      </w:hyperlink>
      <w:r>
        <w:t>, AIHW, Australian Government.</w:t>
      </w:r>
    </w:p>
  </w:footnote>
  <w:footnote w:id="4">
    <w:p w14:paraId="57C0DDD0" w14:textId="7D872B79" w:rsidR="006E3A15" w:rsidRPr="00021980" w:rsidRDefault="006E3A15">
      <w:pPr>
        <w:pStyle w:val="FootnoteText"/>
        <w:rPr>
          <w:lang w:val="en-GB"/>
        </w:rPr>
      </w:pPr>
      <w:r>
        <w:rPr>
          <w:rStyle w:val="FootnoteReference"/>
        </w:rPr>
        <w:footnoteRef/>
      </w:r>
      <w:r>
        <w:t xml:space="preserve"> </w:t>
      </w:r>
      <w:r w:rsidRPr="00D4139B">
        <w:t>Australian Institute of Health and Welfare (2021) </w:t>
      </w:r>
      <w:proofErr w:type="spellStart"/>
      <w:r w:rsidRPr="00D4139B">
        <w:fldChar w:fldCharType="begin"/>
      </w:r>
      <w:r w:rsidRPr="00D4139B">
        <w:instrText xml:space="preserve"> HYPERLINK "https://www.aihw.gov.au/reports/cancer-screening/breastscreen-australia-monitoring-report-2021" </w:instrText>
      </w:r>
      <w:r w:rsidRPr="00D4139B">
        <w:fldChar w:fldCharType="separate"/>
      </w:r>
      <w:r w:rsidRPr="00D4139B">
        <w:rPr>
          <w:rStyle w:val="Hyperlink"/>
          <w:i/>
          <w:iCs/>
        </w:rPr>
        <w:t>BreastScreen</w:t>
      </w:r>
      <w:proofErr w:type="spellEnd"/>
      <w:r w:rsidRPr="00D4139B">
        <w:rPr>
          <w:rStyle w:val="Hyperlink"/>
          <w:i/>
          <w:iCs/>
        </w:rPr>
        <w:t xml:space="preserve"> Australia monitoring report 2021</w:t>
      </w:r>
      <w:r w:rsidRPr="00D4139B">
        <w:fldChar w:fldCharType="end"/>
      </w:r>
      <w:r>
        <w:t>, AIHW, Australian Government.</w:t>
      </w:r>
    </w:p>
  </w:footnote>
  <w:footnote w:id="5">
    <w:p w14:paraId="7934120A" w14:textId="5260CCBE" w:rsidR="006E3A15" w:rsidRPr="007A5CD8" w:rsidRDefault="006E3A15">
      <w:pPr>
        <w:pStyle w:val="FootnoteText"/>
      </w:pPr>
      <w:r>
        <w:rPr>
          <w:rStyle w:val="FootnoteReference"/>
        </w:rPr>
        <w:footnoteRef/>
      </w:r>
      <w:r>
        <w:t xml:space="preserve"> Cancer Australia, 2018. Risk factors for breast cancer: A review of the evidence, Cancer Australia, Surry Hills, NSW. Available at </w:t>
      </w:r>
      <w:hyperlink r:id="rId2" w:history="1">
        <w:r w:rsidRPr="00021980">
          <w:rPr>
            <w:rStyle w:val="Hyperlink"/>
            <w:i/>
          </w:rPr>
          <w:t>Cancer Australia</w:t>
        </w:r>
        <w:r w:rsidRPr="007A5CD8">
          <w:rPr>
            <w:rStyle w:val="Hyperlink"/>
          </w:rPr>
          <w:t xml:space="preserve"> </w:t>
        </w:r>
      </w:hyperlink>
    </w:p>
  </w:footnote>
  <w:footnote w:id="6">
    <w:p w14:paraId="5DE72ACA" w14:textId="31BC360F" w:rsidR="006E3A15" w:rsidRPr="007A5CD8" w:rsidRDefault="006E3A15" w:rsidP="007A5CD8">
      <w:pPr>
        <w:pStyle w:val="FootnoteText"/>
      </w:pPr>
      <w:r>
        <w:rPr>
          <w:rStyle w:val="FootnoteReference"/>
        </w:rPr>
        <w:footnoteRef/>
      </w:r>
      <w:r>
        <w:t xml:space="preserve"> An</w:t>
      </w:r>
      <w:r w:rsidRPr="007A5CD8">
        <w:t xml:space="preserve"> immunohistochemistry (IHC) test </w:t>
      </w:r>
      <w:r>
        <w:t>or fluorescence in situ hybridis</w:t>
      </w:r>
      <w:r w:rsidRPr="007A5CD8">
        <w:t>ation (FISH) test is used to find out if cancer cells have a high level of the HER2 protein.</w:t>
      </w:r>
      <w:r>
        <w:t xml:space="preserve"> If the IHC result is 0 or 1+, the cancer is considered HER2</w:t>
      </w:r>
      <w:r>
        <w:noBreakHyphen/>
        <w:t>negative. If the IHC result is 3+, the cancer is HER2-positive. If the IHC result is 2+, the HER2 status of the tumour is not clear and is called ‘equivocal’. IHC 2+ tumours may need further testing to clarify the result.</w:t>
      </w:r>
    </w:p>
  </w:footnote>
  <w:footnote w:id="7">
    <w:p w14:paraId="3EBE3CAC" w14:textId="718055F2" w:rsidR="006E3A15" w:rsidRDefault="006E3A15">
      <w:pPr>
        <w:pStyle w:val="FootnoteText"/>
      </w:pPr>
      <w:r>
        <w:rPr>
          <w:rStyle w:val="FootnoteReference"/>
        </w:rPr>
        <w:footnoteRef/>
      </w:r>
      <w:r>
        <w:t xml:space="preserve"> </w:t>
      </w:r>
      <w:r w:rsidRPr="00733847">
        <w:t xml:space="preserve">The Surveillance, Epidemiology, and End Results (SEER) Program provides information on cancer statistics </w:t>
      </w:r>
      <w:proofErr w:type="gramStart"/>
      <w:r w:rsidRPr="00733847">
        <w:t>in an effort to</w:t>
      </w:r>
      <w:proofErr w:type="gramEnd"/>
      <w:r w:rsidRPr="00733847">
        <w:t xml:space="preserve"> reduce the cancer burden among the U.S. population. SEER is supported by the Surveillance Research Program (SRP) in NCI's Division of Cancer Control and Population Sciences (DCCPS).</w:t>
      </w:r>
      <w:r>
        <w:t xml:space="preserve"> Available on </w:t>
      </w:r>
      <w:r w:rsidRPr="00733847">
        <w:t>https://seer.cancer.gov/</w:t>
      </w:r>
    </w:p>
  </w:footnote>
  <w:footnote w:id="8">
    <w:p w14:paraId="186C3667" w14:textId="0901B97D" w:rsidR="006E3A15" w:rsidRPr="00BF4524" w:rsidRDefault="006E3A15" w:rsidP="00BF4524">
      <w:pPr>
        <w:pStyle w:val="FootnoteText"/>
      </w:pPr>
      <w:r>
        <w:rPr>
          <w:rStyle w:val="FootnoteReference"/>
        </w:rPr>
        <w:footnoteRef/>
      </w:r>
      <w:r>
        <w:t xml:space="preserve"> Breast cancer stage is usually expressed as a number on a scale of Stage 0 through IV. Stage 0 describes non</w:t>
      </w:r>
      <w:r>
        <w:noBreakHyphen/>
        <w:t>invasive cancers remaining within the original location. Stage IV describes invasive (metastatic) cancers that have spread outside the breast to other parts of the body.</w:t>
      </w:r>
    </w:p>
  </w:footnote>
  <w:footnote w:id="9">
    <w:p w14:paraId="0051D34C" w14:textId="5C3E60AE" w:rsidR="006E3A15" w:rsidRDefault="006E3A15">
      <w:pPr>
        <w:pStyle w:val="FootnoteText"/>
      </w:pPr>
      <w:r>
        <w:rPr>
          <w:rStyle w:val="FootnoteReference"/>
        </w:rPr>
        <w:footnoteRef/>
      </w:r>
      <w:r>
        <w:t xml:space="preserve"> </w:t>
      </w:r>
      <w:proofErr w:type="spellStart"/>
      <w:r>
        <w:t>Transtuzumab</w:t>
      </w:r>
      <w:proofErr w:type="spellEnd"/>
      <w:r>
        <w:t xml:space="preserve"> was first registered on ARTG on 22 November 2000, ARTG number: 73229.</w:t>
      </w:r>
    </w:p>
  </w:footnote>
  <w:footnote w:id="10">
    <w:p w14:paraId="51963050" w14:textId="607AA5FA" w:rsidR="006E3A15" w:rsidRDefault="006E3A15">
      <w:pPr>
        <w:pStyle w:val="FootnoteText"/>
      </w:pPr>
      <w:r>
        <w:rPr>
          <w:rStyle w:val="FootnoteReference"/>
        </w:rPr>
        <w:footnoteRef/>
      </w:r>
      <w:r>
        <w:t xml:space="preserve"> </w:t>
      </w:r>
      <w:proofErr w:type="spellStart"/>
      <w:r>
        <w:t>Pertuzumab</w:t>
      </w:r>
      <w:proofErr w:type="spellEnd"/>
      <w:r>
        <w:t xml:space="preserve"> was first registered on ARTG on 6 May 2013, ARTG number: 196218.</w:t>
      </w:r>
    </w:p>
  </w:footnote>
  <w:footnote w:id="11">
    <w:p w14:paraId="23A54356" w14:textId="5F29F3DA" w:rsidR="006E3A15" w:rsidRPr="00021980" w:rsidRDefault="006E3A15">
      <w:pPr>
        <w:pStyle w:val="FootnoteText"/>
        <w:rPr>
          <w:lang w:val="en-GB"/>
        </w:rPr>
      </w:pPr>
      <w:r>
        <w:rPr>
          <w:rStyle w:val="FootnoteReference"/>
        </w:rPr>
        <w:footnoteRef/>
      </w:r>
      <w:r>
        <w:t xml:space="preserve"> </w:t>
      </w:r>
      <w:proofErr w:type="spellStart"/>
      <w:r>
        <w:t>AusPAR</w:t>
      </w:r>
      <w:proofErr w:type="spellEnd"/>
      <w:r>
        <w:t xml:space="preserve"> for Perjeta (</w:t>
      </w:r>
      <w:proofErr w:type="spellStart"/>
      <w:r>
        <w:t>pertuzumab</w:t>
      </w:r>
      <w:proofErr w:type="spellEnd"/>
      <w:r>
        <w:t>) Roche Products Pty Ltd; PM-2012-00311-3-4. Available at: </w:t>
      </w:r>
      <w:proofErr w:type="spellStart"/>
      <w:r>
        <w:fldChar w:fldCharType="begin"/>
      </w:r>
      <w:r>
        <w:instrText xml:space="preserve"> HYPERLINK "https://www.tga.gov.au/auspar/auspar-pertuzumab-rch" </w:instrText>
      </w:r>
      <w:r>
        <w:fldChar w:fldCharType="separate"/>
      </w:r>
      <w:r>
        <w:rPr>
          <w:rStyle w:val="Hyperlink"/>
        </w:rPr>
        <w:t>AusPAR</w:t>
      </w:r>
      <w:proofErr w:type="spellEnd"/>
      <w:r>
        <w:rPr>
          <w:rStyle w:val="Hyperlink"/>
        </w:rPr>
        <w:t>: </w:t>
      </w:r>
      <w:proofErr w:type="spellStart"/>
      <w:r>
        <w:rPr>
          <w:rStyle w:val="Hyperlink"/>
        </w:rPr>
        <w:t>Pertuzumab</w:t>
      </w:r>
      <w:proofErr w:type="spellEnd"/>
      <w:r>
        <w:rPr>
          <w:rStyle w:val="Hyperlink"/>
        </w:rPr>
        <w:t xml:space="preserve"> (</w:t>
      </w:r>
      <w:proofErr w:type="spellStart"/>
      <w:r>
        <w:rPr>
          <w:rStyle w:val="Hyperlink"/>
        </w:rPr>
        <w:t>rch</w:t>
      </w:r>
      <w:proofErr w:type="spellEnd"/>
      <w:r>
        <w:rPr>
          <w:rStyle w:val="Hyperlink"/>
        </w:rPr>
        <w:t>)</w:t>
      </w:r>
      <w:r>
        <w:rPr>
          <w:rStyle w:val="Hyperlink"/>
        </w:rPr>
        <w:fldChar w:fldCharType="end"/>
      </w:r>
      <w:r w:rsidRPr="009962DB">
        <w:rPr>
          <w:lang w:val="en-GB"/>
        </w:rPr>
        <w:t xml:space="preserve"> </w:t>
      </w:r>
    </w:p>
  </w:footnote>
  <w:footnote w:id="12">
    <w:p w14:paraId="66414C0D" w14:textId="393AC22A" w:rsidR="006E3A15" w:rsidRPr="00021980" w:rsidRDefault="006E3A15">
      <w:pPr>
        <w:pStyle w:val="FootnoteText"/>
        <w:rPr>
          <w:lang w:val="en-GB"/>
        </w:rPr>
      </w:pPr>
      <w:r>
        <w:rPr>
          <w:rStyle w:val="FootnoteReference"/>
        </w:rPr>
        <w:footnoteRef/>
      </w:r>
      <w:r>
        <w:t xml:space="preserve"> </w:t>
      </w:r>
      <w:proofErr w:type="spellStart"/>
      <w:r>
        <w:t>Phesgo</w:t>
      </w:r>
      <w:proofErr w:type="spellEnd"/>
      <w:r>
        <w:t xml:space="preserve"> SC (</w:t>
      </w:r>
      <w:proofErr w:type="spellStart"/>
      <w:r>
        <w:t>pertuzumab</w:t>
      </w:r>
      <w:proofErr w:type="spellEnd"/>
      <w:r>
        <w:t>/</w:t>
      </w:r>
      <w:proofErr w:type="spellStart"/>
      <w:r>
        <w:t>trasuzumab</w:t>
      </w:r>
      <w:proofErr w:type="spellEnd"/>
      <w:r>
        <w:t>) was first registered on the ARTG on 6 July 2021,</w:t>
      </w:r>
      <w:r>
        <w:br/>
        <w:t>ARTG numbers: 332180 and 332181</w:t>
      </w:r>
    </w:p>
  </w:footnote>
  <w:footnote w:id="13">
    <w:p w14:paraId="38F91000" w14:textId="1DF0A4E4" w:rsidR="006E3A15" w:rsidRPr="00021980" w:rsidRDefault="006E3A15">
      <w:pPr>
        <w:pStyle w:val="FootnoteText"/>
        <w:rPr>
          <w:lang w:val="en-GB"/>
        </w:rPr>
      </w:pPr>
      <w:r>
        <w:rPr>
          <w:rStyle w:val="FootnoteReference"/>
        </w:rPr>
        <w:footnoteRef/>
      </w:r>
      <w:r>
        <w:t xml:space="preserve"> </w:t>
      </w:r>
      <w:proofErr w:type="spellStart"/>
      <w:r>
        <w:t>AusPAR</w:t>
      </w:r>
      <w:proofErr w:type="spellEnd"/>
      <w:r>
        <w:t xml:space="preserve"> for </w:t>
      </w:r>
      <w:proofErr w:type="spellStart"/>
      <w:r>
        <w:t>Phesgo</w:t>
      </w:r>
      <w:proofErr w:type="spellEnd"/>
      <w:r>
        <w:t xml:space="preserve"> SC (</w:t>
      </w:r>
      <w:proofErr w:type="spellStart"/>
      <w:r>
        <w:t>pertuzumab</w:t>
      </w:r>
      <w:proofErr w:type="spellEnd"/>
      <w:r>
        <w:t xml:space="preserve">/trastuzumab) Roche Products Pty Ltd; PM-2020-01326-1-4. Available at: </w:t>
      </w:r>
      <w:proofErr w:type="spellStart"/>
      <w:r w:rsidRPr="00021980">
        <w:t>AusP</w:t>
      </w:r>
      <w:r>
        <w:t>AR</w:t>
      </w:r>
      <w:proofErr w:type="spellEnd"/>
      <w:r>
        <w:t xml:space="preserve">: </w:t>
      </w:r>
      <w:proofErr w:type="spellStart"/>
      <w:r>
        <w:t>Pertuzumab</w:t>
      </w:r>
      <w:proofErr w:type="spellEnd"/>
      <w:r>
        <w:t>/trastuzumab</w:t>
      </w:r>
    </w:p>
  </w:footnote>
  <w:footnote w:id="14">
    <w:p w14:paraId="154F3370" w14:textId="24826BEA" w:rsidR="006E3A15" w:rsidRDefault="006E3A15">
      <w:pPr>
        <w:pStyle w:val="FootnoteText"/>
      </w:pPr>
      <w:r>
        <w:rPr>
          <w:rStyle w:val="FootnoteReference"/>
        </w:rPr>
        <w:footnoteRef/>
      </w:r>
      <w:r>
        <w:t xml:space="preserve"> Trastuzumab emtansine was first registered on 3 September 2013, ARTG number: 201621.</w:t>
      </w:r>
    </w:p>
  </w:footnote>
  <w:footnote w:id="15">
    <w:p w14:paraId="0BA7C317" w14:textId="1470A198" w:rsidR="006E3A15" w:rsidRPr="00021980" w:rsidRDefault="006E3A15">
      <w:pPr>
        <w:pStyle w:val="FootnoteText"/>
        <w:rPr>
          <w:lang w:val="en-GB"/>
        </w:rPr>
      </w:pPr>
      <w:r>
        <w:rPr>
          <w:rStyle w:val="FootnoteReference"/>
        </w:rPr>
        <w:footnoteRef/>
      </w:r>
      <w:r>
        <w:t xml:space="preserve"> </w:t>
      </w:r>
      <w:proofErr w:type="spellStart"/>
      <w:r>
        <w:t>AusPAR</w:t>
      </w:r>
      <w:proofErr w:type="spellEnd"/>
      <w:r>
        <w:t xml:space="preserve"> for </w:t>
      </w:r>
      <w:proofErr w:type="spellStart"/>
      <w:r>
        <w:t>Kadcyla</w:t>
      </w:r>
      <w:proofErr w:type="spellEnd"/>
      <w:r>
        <w:t xml:space="preserve"> (trastuzumab emtansine) Roche Products Pty Ltd </w:t>
      </w:r>
      <w:r w:rsidRPr="009962DB">
        <w:t>PM-2012-02734-3-4</w:t>
      </w:r>
      <w:r>
        <w:t>. Available at: </w:t>
      </w:r>
      <w:proofErr w:type="spellStart"/>
      <w:r>
        <w:fldChar w:fldCharType="begin"/>
      </w:r>
      <w:r>
        <w:instrText xml:space="preserve"> HYPERLINK "https://www.tga.gov.au/auspar/auspar-trastuzumab-emtansine" </w:instrText>
      </w:r>
      <w:r>
        <w:fldChar w:fldCharType="separate"/>
      </w:r>
      <w:r>
        <w:rPr>
          <w:rStyle w:val="Hyperlink"/>
        </w:rPr>
        <w:t>AusPAR</w:t>
      </w:r>
      <w:proofErr w:type="spellEnd"/>
      <w:r>
        <w:rPr>
          <w:rStyle w:val="Hyperlink"/>
        </w:rPr>
        <w:t>: Trastuzumab emtansine</w:t>
      </w:r>
      <w:r>
        <w:rPr>
          <w:rStyle w:val="Hyperlink"/>
        </w:rPr>
        <w:fldChar w:fldCharType="end"/>
      </w:r>
    </w:p>
  </w:footnote>
  <w:footnote w:id="16">
    <w:p w14:paraId="457F5DC2" w14:textId="205847CF" w:rsidR="006E3A15" w:rsidRDefault="006E3A15">
      <w:pPr>
        <w:pStyle w:val="FootnoteText"/>
      </w:pPr>
      <w:r>
        <w:rPr>
          <w:rStyle w:val="FootnoteReference"/>
        </w:rPr>
        <w:footnoteRef/>
      </w:r>
      <w:r>
        <w:t xml:space="preserve"> Neratinib was first registered on ARTG on 15 March 2019, ARTG number: 301129.</w:t>
      </w:r>
    </w:p>
  </w:footnote>
  <w:footnote w:id="17">
    <w:p w14:paraId="2DD1D4E7" w14:textId="57F330CB" w:rsidR="006E3A15" w:rsidRPr="00021980" w:rsidRDefault="006E3A15">
      <w:pPr>
        <w:pStyle w:val="FootnoteText"/>
        <w:rPr>
          <w:lang w:val="en-GB"/>
        </w:rPr>
      </w:pPr>
      <w:r>
        <w:rPr>
          <w:rStyle w:val="FootnoteReference"/>
        </w:rPr>
        <w:footnoteRef/>
      </w:r>
      <w:r>
        <w:t xml:space="preserve"> </w:t>
      </w:r>
      <w:proofErr w:type="spellStart"/>
      <w:r>
        <w:t>AusPAR</w:t>
      </w:r>
      <w:proofErr w:type="spellEnd"/>
      <w:r>
        <w:t xml:space="preserve"> for </w:t>
      </w:r>
      <w:proofErr w:type="spellStart"/>
      <w:r>
        <w:t>Nerlynx</w:t>
      </w:r>
      <w:proofErr w:type="spellEnd"/>
      <w:r>
        <w:t xml:space="preserve"> (neratinib maleate) Specialised Therapeutics PM Pty Ltd; PM-2018-00968-1-4.</w:t>
      </w:r>
      <w:r>
        <w:br/>
        <w:t xml:space="preserve">Available at: </w:t>
      </w:r>
      <w:hyperlink r:id="rId3" w:history="1">
        <w:proofErr w:type="spellStart"/>
        <w:r>
          <w:rPr>
            <w:rStyle w:val="Hyperlink"/>
          </w:rPr>
          <w:t>AusPAR</w:t>
        </w:r>
        <w:proofErr w:type="spellEnd"/>
        <w:r>
          <w:rPr>
            <w:rStyle w:val="Hyperlink"/>
          </w:rPr>
          <w:t>: Neratinib (as maleate)</w:t>
        </w:r>
      </w:hyperlink>
      <w:r w:rsidRPr="009A22C9">
        <w:rPr>
          <w:lang w:val="en-GB"/>
        </w:rPr>
        <w:t xml:space="preserve"> </w:t>
      </w:r>
    </w:p>
  </w:footnote>
  <w:footnote w:id="18">
    <w:p w14:paraId="79BB3EBB" w14:textId="69C0B122" w:rsidR="006E3A15" w:rsidRDefault="006E3A15">
      <w:pPr>
        <w:pStyle w:val="FootnoteText"/>
      </w:pPr>
      <w:r>
        <w:rPr>
          <w:rStyle w:val="FootnoteReference"/>
        </w:rPr>
        <w:footnoteRef/>
      </w:r>
      <w:r>
        <w:t xml:space="preserve"> Tucatinib was first registered on ARTG on 13 August 2020, ARTG number: 328525, 328526.</w:t>
      </w:r>
    </w:p>
  </w:footnote>
  <w:footnote w:id="19">
    <w:p w14:paraId="48D78F88" w14:textId="797F11D0" w:rsidR="006E3A15" w:rsidRPr="00021980" w:rsidRDefault="006E3A15">
      <w:pPr>
        <w:pStyle w:val="FootnoteText"/>
        <w:rPr>
          <w:lang w:val="en-GB"/>
        </w:rPr>
      </w:pPr>
      <w:r>
        <w:rPr>
          <w:rStyle w:val="FootnoteReference"/>
        </w:rPr>
        <w:footnoteRef/>
      </w:r>
      <w:r>
        <w:t xml:space="preserve"> </w:t>
      </w:r>
      <w:proofErr w:type="spellStart"/>
      <w:r>
        <w:t>AusPAR</w:t>
      </w:r>
      <w:proofErr w:type="spellEnd"/>
      <w:r>
        <w:t xml:space="preserve"> for </w:t>
      </w:r>
      <w:proofErr w:type="spellStart"/>
      <w:r>
        <w:t>Tukysa</w:t>
      </w:r>
      <w:proofErr w:type="spellEnd"/>
      <w:r>
        <w:t xml:space="preserve"> (tucatinib) AA-Med Pty Limited; PM-2020-00066-1-4</w:t>
      </w:r>
      <w:r>
        <w:br/>
        <w:t xml:space="preserve">Available at: </w:t>
      </w:r>
      <w:hyperlink r:id="rId4" w:history="1">
        <w:proofErr w:type="spellStart"/>
        <w:r>
          <w:rPr>
            <w:rStyle w:val="Hyperlink"/>
          </w:rPr>
          <w:t>AusPAR</w:t>
        </w:r>
        <w:proofErr w:type="spellEnd"/>
        <w:r>
          <w:rPr>
            <w:rStyle w:val="Hyperlink"/>
          </w:rPr>
          <w:t>: Tucatinib</w:t>
        </w:r>
      </w:hyperlink>
    </w:p>
  </w:footnote>
  <w:footnote w:id="20">
    <w:p w14:paraId="26523F84" w14:textId="61969AE2" w:rsidR="006E3A15" w:rsidRDefault="006E3A15">
      <w:pPr>
        <w:pStyle w:val="FootnoteText"/>
      </w:pPr>
      <w:r>
        <w:rPr>
          <w:rStyle w:val="FootnoteReference"/>
        </w:rPr>
        <w:footnoteRef/>
      </w:r>
      <w:r>
        <w:t xml:space="preserve"> Lapatinib was first registered on ARTG on 20 September 2011, ARTG number: 185997, 132305.</w:t>
      </w:r>
    </w:p>
  </w:footnote>
  <w:footnote w:id="21">
    <w:p w14:paraId="0E50396B" w14:textId="3C1DBB3E" w:rsidR="006E3A15" w:rsidRPr="00021980" w:rsidRDefault="006E3A15">
      <w:pPr>
        <w:pStyle w:val="FootnoteText"/>
        <w:rPr>
          <w:lang w:val="en-GB"/>
        </w:rPr>
      </w:pPr>
      <w:r>
        <w:rPr>
          <w:rStyle w:val="FootnoteReference"/>
        </w:rPr>
        <w:footnoteRef/>
      </w:r>
      <w:r>
        <w:t xml:space="preserve"> </w:t>
      </w:r>
      <w:r w:rsidRPr="005F41FF">
        <w:t xml:space="preserve">Giordano SH, </w:t>
      </w:r>
      <w:proofErr w:type="spellStart"/>
      <w:r w:rsidRPr="005F41FF">
        <w:t>Franzoi</w:t>
      </w:r>
      <w:proofErr w:type="spellEnd"/>
      <w:r w:rsidRPr="005F41FF">
        <w:t xml:space="preserve"> MAB, Temin S, et al. Systemic Therapy for Advanced Human Epidermal Growth Factor Receptor 2-Positive Breast</w:t>
      </w:r>
      <w:r>
        <w:t xml:space="preserve"> Cancer: ASCO Guideline Update. </w:t>
      </w:r>
      <w:r w:rsidRPr="005F41FF">
        <w:t>J Clin Oncol. 2022</w:t>
      </w:r>
    </w:p>
  </w:footnote>
  <w:footnote w:id="22">
    <w:p w14:paraId="18F9306E" w14:textId="6C87A4F6" w:rsidR="006E3A15" w:rsidRDefault="006E3A15" w:rsidP="00E11402">
      <w:pPr>
        <w:pStyle w:val="FootnoteText"/>
      </w:pPr>
      <w:r>
        <w:rPr>
          <w:rStyle w:val="FootnoteReference"/>
        </w:rPr>
        <w:footnoteRef/>
      </w:r>
      <w:r>
        <w:t xml:space="preserve"> </w:t>
      </w:r>
      <w:proofErr w:type="spellStart"/>
      <w:r>
        <w:t>Rugo</w:t>
      </w:r>
      <w:proofErr w:type="spellEnd"/>
      <w:r>
        <w:t xml:space="preserve">, HS. et al. SOPHIA primary analysis: A phase 3 (P3) study of </w:t>
      </w:r>
      <w:proofErr w:type="spellStart"/>
      <w:r>
        <w:t>margetuximab</w:t>
      </w:r>
      <w:proofErr w:type="spellEnd"/>
      <w:r>
        <w:t xml:space="preserve"> (M) + chemotherapy (C) versus trastuzumab (T) + C in patients (pts) with HER2+ metastatic (met) breast cancer (MBC) after prior anti-HER2 therapies (Tx). </w:t>
      </w:r>
      <w:r w:rsidRPr="00E11402">
        <w:rPr>
          <w:i/>
          <w:iCs/>
        </w:rPr>
        <w:t>Journal of Clinical Oncology</w:t>
      </w:r>
      <w:r>
        <w:t>, 2019, 37.</w:t>
      </w:r>
    </w:p>
  </w:footnote>
  <w:footnote w:id="23">
    <w:p w14:paraId="6BBC5E39" w14:textId="6E3C3221" w:rsidR="006E3A15" w:rsidRDefault="006E3A15" w:rsidP="00E11402">
      <w:pPr>
        <w:pStyle w:val="FootnoteText"/>
      </w:pPr>
      <w:r>
        <w:rPr>
          <w:rStyle w:val="FootnoteReference"/>
        </w:rPr>
        <w:footnoteRef/>
      </w:r>
      <w:r>
        <w:t xml:space="preserve"> </w:t>
      </w:r>
      <w:proofErr w:type="spellStart"/>
      <w:r>
        <w:t>Saura</w:t>
      </w:r>
      <w:proofErr w:type="spellEnd"/>
      <w:r>
        <w:t xml:space="preserve">, C. et al. Neratinib + capecitabine versus lapatinib + capecitabine in patients with HER2+ metastatic breast cancer previously treated with ≥ 2 HER2-directed regimens: Findings from the multinational, randomized, phase III NALA trial. </w:t>
      </w:r>
      <w:r w:rsidRPr="00387B9B">
        <w:rPr>
          <w:i/>
          <w:iCs/>
        </w:rPr>
        <w:t>Journal of Clinical Oncology</w:t>
      </w:r>
      <w:r>
        <w:t>, 2019, 37.</w:t>
      </w:r>
    </w:p>
  </w:footnote>
  <w:footnote w:id="24">
    <w:p w14:paraId="0A2A0E06" w14:textId="2DB2932A" w:rsidR="006E3A15" w:rsidRDefault="006E3A15">
      <w:pPr>
        <w:pStyle w:val="FootnoteText"/>
      </w:pPr>
      <w:r>
        <w:rPr>
          <w:rStyle w:val="FootnoteReference"/>
        </w:rPr>
        <w:footnoteRef/>
      </w:r>
      <w:r>
        <w:t xml:space="preserve"> Note: The 95% CIs were not reported for the NALA trial but were approximated by the sponsor based on available published data and using normal approximation for binomial data</w:t>
      </w:r>
    </w:p>
  </w:footnote>
  <w:footnote w:id="25">
    <w:p w14:paraId="31060503" w14:textId="5F1AF2EC" w:rsidR="006E3A15" w:rsidRDefault="006E3A15">
      <w:pPr>
        <w:pStyle w:val="FootnoteText"/>
      </w:pPr>
      <w:r>
        <w:rPr>
          <w:rStyle w:val="FootnoteReference"/>
        </w:rPr>
        <w:footnoteRef/>
      </w:r>
      <w:r>
        <w:t xml:space="preserve"> Sunil Verma, M.D. et al. </w:t>
      </w:r>
      <w:r w:rsidRPr="00E23D49">
        <w:t>Trastuzumab Emtansine for HER2-Positive Advanced Breast Cancer</w:t>
      </w:r>
      <w:r>
        <w:t xml:space="preserve">.  </w:t>
      </w:r>
      <w:r w:rsidRPr="00E23D49">
        <w:rPr>
          <w:i/>
          <w:iCs/>
        </w:rPr>
        <w:t xml:space="preserve">N </w:t>
      </w:r>
      <w:proofErr w:type="spellStart"/>
      <w:r w:rsidRPr="00E23D49">
        <w:rPr>
          <w:i/>
          <w:iCs/>
        </w:rPr>
        <w:t>Engl</w:t>
      </w:r>
      <w:proofErr w:type="spellEnd"/>
      <w:r w:rsidRPr="00E23D49">
        <w:rPr>
          <w:i/>
          <w:iCs/>
        </w:rPr>
        <w:t xml:space="preserve"> J Med</w:t>
      </w:r>
      <w:r>
        <w:t xml:space="preserve">, 2012, </w:t>
      </w:r>
      <w:r w:rsidRPr="00E23D49">
        <w:t>367:1783-1791</w:t>
      </w:r>
      <w:r>
        <w:t>.</w:t>
      </w:r>
    </w:p>
  </w:footnote>
  <w:footnote w:id="26">
    <w:p w14:paraId="6257350A" w14:textId="770D9A8D" w:rsidR="006E3A15" w:rsidRPr="00E23D49" w:rsidRDefault="006E3A15">
      <w:pPr>
        <w:pStyle w:val="FootnoteText"/>
      </w:pPr>
      <w:r>
        <w:rPr>
          <w:rStyle w:val="FootnoteReference"/>
        </w:rPr>
        <w:footnoteRef/>
      </w:r>
      <w:r>
        <w:t xml:space="preserve"> Swain A.M, et al. </w:t>
      </w:r>
      <w:proofErr w:type="spellStart"/>
      <w:r w:rsidRPr="00E23D49">
        <w:t>Pertuzumab</w:t>
      </w:r>
      <w:proofErr w:type="spellEnd"/>
      <w:r w:rsidRPr="00E23D49">
        <w:t>, Trastuzumab, and Docetaxel in HER2-Positive Metastatic Breast Cancer</w:t>
      </w:r>
      <w:r>
        <w:t xml:space="preserve">. </w:t>
      </w:r>
      <w:r w:rsidRPr="00E23D49">
        <w:rPr>
          <w:i/>
          <w:iCs/>
        </w:rPr>
        <w:t xml:space="preserve">N </w:t>
      </w:r>
      <w:proofErr w:type="spellStart"/>
      <w:r w:rsidRPr="00E23D49">
        <w:rPr>
          <w:i/>
          <w:iCs/>
        </w:rPr>
        <w:t>Engl</w:t>
      </w:r>
      <w:proofErr w:type="spellEnd"/>
      <w:r w:rsidRPr="00E23D49">
        <w:rPr>
          <w:i/>
          <w:iCs/>
        </w:rPr>
        <w:t xml:space="preserve"> J Med</w:t>
      </w:r>
      <w:r>
        <w:rPr>
          <w:i/>
          <w:iCs/>
        </w:rPr>
        <w:t xml:space="preserve">, </w:t>
      </w:r>
      <w:r>
        <w:t xml:space="preserve">2015, </w:t>
      </w:r>
      <w:r w:rsidRPr="00E23D49">
        <w:t>372:724-734</w:t>
      </w:r>
      <w:r>
        <w:t>.</w:t>
      </w:r>
    </w:p>
  </w:footnote>
  <w:footnote w:id="27">
    <w:p w14:paraId="78465895" w14:textId="20C0FAF7" w:rsidR="006E3A15" w:rsidRDefault="006E3A15">
      <w:pPr>
        <w:pStyle w:val="FootnoteText"/>
      </w:pPr>
      <w:r>
        <w:rPr>
          <w:rStyle w:val="FootnoteReference"/>
        </w:rPr>
        <w:footnoteRef/>
      </w:r>
      <w:r>
        <w:t xml:space="preserve"> </w:t>
      </w:r>
      <w:r w:rsidRPr="00EF45B6">
        <w:t xml:space="preserve">Note: </w:t>
      </w:r>
      <w:r>
        <w:t xml:space="preserve">CLEOPATRA trial </w:t>
      </w:r>
      <w:r w:rsidRPr="00EF45B6">
        <w:t>reported some</w:t>
      </w:r>
      <w:r>
        <w:t xml:space="preserve"> </w:t>
      </w:r>
      <w:r w:rsidRPr="00EF45B6">
        <w:t xml:space="preserve">different results in its description in the </w:t>
      </w:r>
      <w:r>
        <w:t>US Product Information</w:t>
      </w:r>
      <w:r w:rsidRPr="00EF45B6">
        <w:t>. This may be due to the FDA conducting a review of individual patient data.</w:t>
      </w:r>
    </w:p>
  </w:footnote>
  <w:footnote w:id="28">
    <w:p w14:paraId="39519DAE" w14:textId="7294708B" w:rsidR="006E3A15" w:rsidRPr="00253B70" w:rsidRDefault="006E3A15">
      <w:pPr>
        <w:pStyle w:val="FootnoteText"/>
        <w:rPr>
          <w:highlight w:val="yellow"/>
        </w:rPr>
      </w:pPr>
      <w:r>
        <w:rPr>
          <w:rStyle w:val="FootnoteReference"/>
        </w:rPr>
        <w:footnoteRef/>
      </w:r>
      <w:r w:rsidRPr="00253B70">
        <w:t xml:space="preserve"> Project Orbis is an initiative of the United States Food and Drug Administration’s Oncology </w:t>
      </w:r>
      <w:proofErr w:type="spellStart"/>
      <w:r w:rsidRPr="00253B70">
        <w:t>Center</w:t>
      </w:r>
      <w:proofErr w:type="spellEnd"/>
      <w:r w:rsidRPr="00253B70">
        <w:t xml:space="preserve"> of Excellence that provides a framework for the collaborative review of promising new cancer treatments among international regulatory partners. It aims to give patients faster access to promising cancer treatments across the globe. Further information is available on the TGA website at https://www.tga.gov.au/project-orbis</w:t>
      </w:r>
    </w:p>
  </w:footnote>
  <w:footnote w:id="29">
    <w:p w14:paraId="1F8B669A" w14:textId="227D1D12" w:rsidR="006E3A15" w:rsidRDefault="006E3A15">
      <w:pPr>
        <w:pStyle w:val="FootnoteText"/>
      </w:pPr>
      <w:r>
        <w:rPr>
          <w:rStyle w:val="FootnoteReference"/>
        </w:rPr>
        <w:footnoteRef/>
      </w:r>
      <w:r>
        <w:t xml:space="preserve"> </w:t>
      </w:r>
      <w:r w:rsidRPr="00253B70">
        <w:rPr>
          <w:rStyle w:val="FootnoteTextChar"/>
        </w:rPr>
        <w:t xml:space="preserve">Provisional determination ensures that access to the Provisional approval pathway is only available to medicines that meet the eligibility criteria. Determination provides a consistent and transparent process for making this assessment. The Provisional approval pathway allows for provisional registration of medicines </w:t>
      </w:r>
      <w:proofErr w:type="gramStart"/>
      <w:r w:rsidRPr="00253B70">
        <w:rPr>
          <w:rStyle w:val="FootnoteTextChar"/>
        </w:rPr>
        <w:t>on the basis of</w:t>
      </w:r>
      <w:proofErr w:type="gramEnd"/>
      <w:r w:rsidRPr="00253B70">
        <w:rPr>
          <w:rStyle w:val="FootnoteTextChar"/>
        </w:rPr>
        <w:t xml:space="preserve"> preliminary clinical data where the benefit of early availability of the medicine outweighs the risk inherent in the fact that additional data are still required. However, the TGA requires comprehensive non-clinical data on safety, </w:t>
      </w:r>
      <w:proofErr w:type="gramStart"/>
      <w:r w:rsidRPr="00253B70">
        <w:rPr>
          <w:rStyle w:val="FootnoteTextChar"/>
        </w:rPr>
        <w:t>quality</w:t>
      </w:r>
      <w:proofErr w:type="gramEnd"/>
      <w:r w:rsidRPr="00253B70">
        <w:rPr>
          <w:rStyle w:val="FootnoteTextChar"/>
        </w:rPr>
        <w:t xml:space="preserve"> and compliance with Good Manufacturing Practice. These requirements are the same as in the standard registration process for prescription medicines.</w:t>
      </w:r>
    </w:p>
  </w:footnote>
  <w:footnote w:id="30">
    <w:p w14:paraId="196AD39A" w14:textId="5A02165C" w:rsidR="006E3A15" w:rsidRPr="00021980" w:rsidRDefault="006E3A15">
      <w:pPr>
        <w:pStyle w:val="FootnoteText"/>
        <w:rPr>
          <w:lang w:val="en-GB"/>
        </w:rPr>
      </w:pPr>
      <w:r>
        <w:rPr>
          <w:rStyle w:val="FootnoteReference"/>
        </w:rPr>
        <w:footnoteRef/>
      </w:r>
      <w:r>
        <w:t xml:space="preserve"> </w:t>
      </w:r>
      <w:r>
        <w:rPr>
          <w:lang w:val="en-GB"/>
        </w:rPr>
        <w:t xml:space="preserve">DS-8201 was a drug development code for trastuzumab </w:t>
      </w:r>
      <w:proofErr w:type="spellStart"/>
      <w:r>
        <w:rPr>
          <w:lang w:val="en-GB"/>
        </w:rPr>
        <w:t>deruxtecan</w:t>
      </w:r>
      <w:proofErr w:type="spellEnd"/>
      <w:r>
        <w:rPr>
          <w:lang w:val="en-GB"/>
        </w:rPr>
        <w:t>.</w:t>
      </w:r>
    </w:p>
  </w:footnote>
  <w:footnote w:id="31">
    <w:p w14:paraId="65DB1B0D" w14:textId="04E3DC6B" w:rsidR="006E3A15" w:rsidRPr="00021980" w:rsidRDefault="006E3A15">
      <w:pPr>
        <w:pStyle w:val="FootnoteText"/>
        <w:rPr>
          <w:lang w:val="en-GB"/>
        </w:rPr>
      </w:pPr>
      <w:r>
        <w:rPr>
          <w:rStyle w:val="FootnoteReference"/>
        </w:rPr>
        <w:footnoteRef/>
      </w:r>
      <w:r>
        <w:t xml:space="preserve"> </w:t>
      </w:r>
    </w:p>
  </w:footnote>
  <w:footnote w:id="32">
    <w:p w14:paraId="6FC1AE28" w14:textId="61061DDB" w:rsidR="006E3A15" w:rsidRDefault="006E3A15" w:rsidP="00155E5D">
      <w:pPr>
        <w:pStyle w:val="FootnoteText"/>
      </w:pPr>
      <w:r>
        <w:rPr>
          <w:rStyle w:val="FootnoteReference"/>
        </w:rPr>
        <w:footnoteRef/>
      </w:r>
      <w:r>
        <w:t xml:space="preserve"> Drugs which have caused, are suspected to have caused or may be expected to cause, an increased incidence of human </w:t>
      </w:r>
      <w:proofErr w:type="spellStart"/>
      <w:r>
        <w:t>fetal</w:t>
      </w:r>
      <w:proofErr w:type="spellEnd"/>
      <w:r>
        <w:t xml:space="preserve"> malformations or irreversible damage. These drugs may also have adverse pharmacological effects. Accompanying texts should be consulted for further details.</w:t>
      </w:r>
    </w:p>
  </w:footnote>
  <w:footnote w:id="33">
    <w:p w14:paraId="0BD9F504" w14:textId="77777777" w:rsidR="006E3A15" w:rsidRDefault="006E3A15" w:rsidP="007457C9">
      <w:pPr>
        <w:pStyle w:val="FootnoteText"/>
      </w:pPr>
      <w:r>
        <w:rPr>
          <w:rStyle w:val="FootnoteReference"/>
        </w:rPr>
        <w:footnoteRef/>
      </w:r>
      <w:r>
        <w:t xml:space="preserve"> The </w:t>
      </w:r>
      <w:r w:rsidRPr="00B0692F">
        <w:rPr>
          <w:b/>
        </w:rPr>
        <w:t>QT interval</w:t>
      </w:r>
      <w:r>
        <w:t xml:space="preserve"> is the time from the start of the QRS wave complex to the end of the corresponding T wave. It approximates to the time taken for ventricular depolarisation and repolarisation</w:t>
      </w:r>
      <w:proofErr w:type="gramStart"/>
      <w:r>
        <w:t>, that is to say, the</w:t>
      </w:r>
      <w:proofErr w:type="gramEnd"/>
      <w:r>
        <w:t xml:space="preserve"> period of ventricular systole from ventricular isovolumetric contraction to isovolumetric relaxation.</w:t>
      </w:r>
    </w:p>
    <w:p w14:paraId="098A3AE1" w14:textId="439953A0" w:rsidR="006E3A15" w:rsidRDefault="006E3A15" w:rsidP="007457C9">
      <w:pPr>
        <w:pStyle w:val="FootnoteText"/>
      </w:pPr>
      <w:r>
        <w:t xml:space="preserve">The </w:t>
      </w:r>
      <w:r w:rsidRPr="00B0692F">
        <w:rPr>
          <w:b/>
        </w:rPr>
        <w:t>corrected QT interval</w:t>
      </w:r>
      <w:r>
        <w:t xml:space="preserve"> (QTc) estimates the QT interval at a standard heart rate. This allows comparison of QT values over time at different heart rates and improves detection of patients at increased risk of arrhythmias.</w:t>
      </w:r>
    </w:p>
  </w:footnote>
  <w:footnote w:id="34">
    <w:p w14:paraId="5D938DDB" w14:textId="77777777" w:rsidR="006E3A15" w:rsidRPr="00BD271A" w:rsidRDefault="006E3A15" w:rsidP="00DF3A6C">
      <w:pPr>
        <w:pStyle w:val="FootnoteText"/>
        <w:rPr>
          <w:b/>
          <w:lang w:eastAsia="ja-JP"/>
        </w:rPr>
      </w:pPr>
      <w:r>
        <w:rPr>
          <w:rStyle w:val="FootnoteReference"/>
        </w:rPr>
        <w:footnoteRef/>
      </w:r>
      <w:r>
        <w:t xml:space="preserve"> </w:t>
      </w:r>
      <w:r w:rsidRPr="00B41C85">
        <w:rPr>
          <w:b/>
          <w:lang w:eastAsia="ja-JP"/>
        </w:rPr>
        <w:t>Cytochrome P450 (CYP) enzymes:</w:t>
      </w:r>
      <w:r>
        <w:rPr>
          <w:b/>
          <w:lang w:eastAsia="ja-JP"/>
        </w:rPr>
        <w:t xml:space="preserve"> </w:t>
      </w:r>
      <w:r>
        <w:rPr>
          <w:lang w:eastAsia="ja-JP"/>
        </w:rPr>
        <w:t>CYPs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14:paraId="00B5F316" w14:textId="77777777" w:rsidR="006E3A15" w:rsidRDefault="006E3A15" w:rsidP="00DF3A6C">
      <w:pPr>
        <w:pStyle w:val="FootnoteText"/>
      </w:pPr>
      <w:r>
        <w:rPr>
          <w:lang w:eastAsia="ja-JP"/>
        </w:rPr>
        <w:t xml:space="preserve">Many drugs may increase or decrease the activity of various CYP isozymes either by inducing the biosynthesis of an isozyme (enzyme induction) or by directly inhibiting the activity of the CYP (enzyme inhibition). This is a major source of adverse drug </w:t>
      </w:r>
      <w:proofErr w:type="gramStart"/>
      <w:r>
        <w:rPr>
          <w:lang w:eastAsia="ja-JP"/>
        </w:rPr>
        <w:t>interactions, since</w:t>
      </w:r>
      <w:proofErr w:type="gramEnd"/>
      <w:r>
        <w:rPr>
          <w:lang w:eastAsia="ja-JP"/>
        </w:rPr>
        <w:t xml:space="preserve"> changes in CYP enzyme activity may affect the metabolism and clearance of various drugs. Such drug interactions are especially important to </w:t>
      </w:r>
      <w:proofErr w:type="gramStart"/>
      <w:r>
        <w:rPr>
          <w:lang w:eastAsia="ja-JP"/>
        </w:rPr>
        <w:t>take into account</w:t>
      </w:r>
      <w:proofErr w:type="gramEnd"/>
      <w:r>
        <w:rPr>
          <w:lang w:eastAsia="ja-JP"/>
        </w:rPr>
        <w:t xml:space="preserve"> when using drugs of vital importance to the patient, drugs with important side-effects and drugs with small therapeutic windows, but any drug may be subject to an altered plasma concentration due to altered drug metabolism.</w:t>
      </w:r>
    </w:p>
  </w:footnote>
  <w:footnote w:id="35">
    <w:p w14:paraId="3CD82116" w14:textId="77777777" w:rsidR="006E3A15" w:rsidRDefault="006E3A15" w:rsidP="00D42581">
      <w:pPr>
        <w:pStyle w:val="FootnoteText"/>
      </w:pPr>
      <w:r>
        <w:rPr>
          <w:rStyle w:val="FootnoteReference"/>
        </w:rPr>
        <w:footnoteRef/>
      </w:r>
      <w:r>
        <w:t xml:space="preserve"> The </w:t>
      </w:r>
      <w:r w:rsidRPr="00B0692F">
        <w:rPr>
          <w:b/>
        </w:rPr>
        <w:t>QT interval</w:t>
      </w:r>
      <w:r>
        <w:t xml:space="preserve"> is the time from the start of the QRS wave complex to the end of the corresponding T wave. It approximates to the time taken for ventricular depolarisation and repolarisation</w:t>
      </w:r>
      <w:proofErr w:type="gramStart"/>
      <w:r>
        <w:t>, that is to say, the</w:t>
      </w:r>
      <w:proofErr w:type="gramEnd"/>
      <w:r>
        <w:t xml:space="preserve"> period of ventricular systole from ventricular isovolumetric contraction to isovolumetric relaxation.</w:t>
      </w:r>
    </w:p>
    <w:p w14:paraId="419BC8F7" w14:textId="69B1CF11" w:rsidR="006E3A15" w:rsidRPr="00D42581" w:rsidRDefault="006E3A15">
      <w:pPr>
        <w:pStyle w:val="FootnoteText"/>
        <w:rPr>
          <w:lang w:val="en-GB"/>
        </w:rPr>
      </w:pPr>
      <w:r>
        <w:t xml:space="preserve">The </w:t>
      </w:r>
      <w:r w:rsidRPr="00B0692F">
        <w:rPr>
          <w:b/>
        </w:rPr>
        <w:t>corrected QT interval (QTc)</w:t>
      </w:r>
      <w:r>
        <w:t xml:space="preserve"> estimates the QT interval at a standard heart rate. This allows comparison of QT values over time at different heart rates and improves detection of patients at increased risk of arrhythmias. The </w:t>
      </w:r>
      <w:proofErr w:type="spellStart"/>
      <w:r w:rsidRPr="00B0692F">
        <w:rPr>
          <w:b/>
        </w:rPr>
        <w:t>QTcF</w:t>
      </w:r>
      <w:proofErr w:type="spellEnd"/>
      <w:r>
        <w:t xml:space="preserve"> is the QT interval corrected for heart rate according to Fridericia’s formula.</w:t>
      </w:r>
    </w:p>
  </w:footnote>
  <w:footnote w:id="36">
    <w:p w14:paraId="33DDED04" w14:textId="4FAE376E" w:rsidR="006E3A15" w:rsidRDefault="006E3A15">
      <w:pPr>
        <w:pStyle w:val="FootnoteText"/>
      </w:pPr>
      <w:r>
        <w:rPr>
          <w:rStyle w:val="FootnoteReference"/>
        </w:rPr>
        <w:footnoteRef/>
      </w:r>
      <w:r>
        <w:t xml:space="preserve"> </w:t>
      </w:r>
      <w:r w:rsidRPr="0084379A">
        <w:t>Wolff, A. C</w:t>
      </w:r>
      <w:r>
        <w:t>, et al</w:t>
      </w:r>
      <w:r w:rsidRPr="0084379A">
        <w:t xml:space="preserve">. (2018). Human Epidermal Growth Factor Receptor 2 Testing in Breast Cancer: American Society of Clinical Oncology/College of American Pathologists Clinical Practice Guideline Focused Update. </w:t>
      </w:r>
      <w:r w:rsidRPr="0084379A">
        <w:rPr>
          <w:i/>
          <w:iCs/>
        </w:rPr>
        <w:t xml:space="preserve">Journal of clinical </w:t>
      </w:r>
      <w:proofErr w:type="gramStart"/>
      <w:r w:rsidRPr="0084379A">
        <w:rPr>
          <w:i/>
          <w:iCs/>
        </w:rPr>
        <w:t>oncology :</w:t>
      </w:r>
      <w:proofErr w:type="gramEnd"/>
      <w:r w:rsidRPr="0084379A">
        <w:rPr>
          <w:i/>
          <w:iCs/>
        </w:rPr>
        <w:t xml:space="preserve"> official journal of the American Society of Clinical Oncology</w:t>
      </w:r>
      <w:r w:rsidRPr="0084379A">
        <w:t>, 36(20), 2105–2122.</w:t>
      </w:r>
    </w:p>
  </w:footnote>
  <w:footnote w:id="37">
    <w:p w14:paraId="79E2FD3E" w14:textId="7F9CF31D" w:rsidR="006E3A15" w:rsidRDefault="006E3A15">
      <w:pPr>
        <w:pStyle w:val="FootnoteText"/>
      </w:pPr>
      <w:r>
        <w:rPr>
          <w:rStyle w:val="FootnoteReference"/>
        </w:rPr>
        <w:footnoteRef/>
      </w:r>
      <w:r>
        <w:t xml:space="preserve"> </w:t>
      </w:r>
      <w:r w:rsidRPr="000C14F2">
        <w:rPr>
          <w:b/>
        </w:rPr>
        <w:t xml:space="preserve">The Response Evaluation Criteria </w:t>
      </w:r>
      <w:proofErr w:type="gramStart"/>
      <w:r w:rsidRPr="000C14F2">
        <w:rPr>
          <w:b/>
        </w:rPr>
        <w:t>In</w:t>
      </w:r>
      <w:proofErr w:type="gramEnd"/>
      <w:r w:rsidRPr="000C14F2">
        <w:rPr>
          <w:b/>
        </w:rPr>
        <w:t xml:space="preserve"> Solid Tumours</w:t>
      </w:r>
      <w:r w:rsidRPr="0057184C">
        <w:t xml:space="preserve"> (RECIST) is a voluntary international standard with unified and easily applicable criteria to define when a patient's tumour has improved ('respond'), stayed the same ('stabilise'), or worsened ('progress') during treatment. The criteria were published in February 2000 by an international collaboration including the European Organisation for Research and Treatment of Cancer (EORTC), National Cancer Institute (NCI) of the United States, and the National Cancer Institute of Canada Clinical Trials Group. Today, </w:t>
      </w:r>
      <w:proofErr w:type="gramStart"/>
      <w:r w:rsidRPr="0057184C">
        <w:t>the majority of</w:t>
      </w:r>
      <w:proofErr w:type="gramEnd"/>
      <w:r w:rsidRPr="0057184C">
        <w:t> clinical trials evaluating cancer treatments for objective response in solid tumours use RECIST. These criteria were developed and published in February 2000, and subsequently updated in 2009.</w:t>
      </w:r>
    </w:p>
  </w:footnote>
  <w:footnote w:id="38">
    <w:p w14:paraId="71397062" w14:textId="26C29130" w:rsidR="006E3A15" w:rsidRPr="007013D7" w:rsidRDefault="006E3A15" w:rsidP="007013D7">
      <w:pPr>
        <w:pStyle w:val="FootnoteText"/>
      </w:pPr>
      <w:r>
        <w:rPr>
          <w:rStyle w:val="FootnoteReference"/>
        </w:rPr>
        <w:footnoteRef/>
      </w:r>
      <w:r>
        <w:t xml:space="preserve"> ECOG PS 0 =Fully active, able to carry on all pre-disease performance without restriction. ECOG PS 1 = Restricted in physically strenuous activity but ambulatory and able to carry out work of a light or sedentary nature, for example, light </w:t>
      </w:r>
      <w:proofErr w:type="gramStart"/>
      <w:r>
        <w:t>house work</w:t>
      </w:r>
      <w:proofErr w:type="gramEnd"/>
      <w:r>
        <w:t>, office work.</w:t>
      </w:r>
    </w:p>
  </w:footnote>
  <w:footnote w:id="39">
    <w:p w14:paraId="67608418" w14:textId="77777777" w:rsidR="006E3A15" w:rsidRDefault="006E3A15"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7CB8887F" w14:textId="77777777" w:rsidR="006E3A15" w:rsidRDefault="006E3A15" w:rsidP="007D53B6">
      <w:pPr>
        <w:pStyle w:val="FootnoteText"/>
      </w:pPr>
      <w:r w:rsidRPr="007D53B6">
        <w:rPr>
          <w:i/>
        </w:rPr>
        <w:t>Routine pharmacovigilance</w:t>
      </w:r>
      <w:r>
        <w:t xml:space="preserve"> practices involve the following activities:</w:t>
      </w:r>
    </w:p>
    <w:p w14:paraId="4E597309" w14:textId="77777777" w:rsidR="006E3A15" w:rsidRDefault="006E3A15" w:rsidP="007D53B6">
      <w:pPr>
        <w:pStyle w:val="FootnoteText"/>
        <w:numPr>
          <w:ilvl w:val="0"/>
          <w:numId w:val="32"/>
        </w:numPr>
        <w:ind w:left="284" w:hanging="284"/>
      </w:pPr>
      <w:r>
        <w:t xml:space="preserve">All suspected adverse reactions that are reported to the personnel of the company are collected and collated in an accessible </w:t>
      </w:r>
      <w:proofErr w:type="gramStart"/>
      <w:r>
        <w:t>manner;</w:t>
      </w:r>
      <w:proofErr w:type="gramEnd"/>
    </w:p>
    <w:p w14:paraId="589F06B2" w14:textId="77777777" w:rsidR="006E3A15" w:rsidRDefault="006E3A15" w:rsidP="007D53B6">
      <w:pPr>
        <w:pStyle w:val="FootnoteText"/>
        <w:numPr>
          <w:ilvl w:val="0"/>
          <w:numId w:val="32"/>
        </w:numPr>
        <w:ind w:left="284" w:hanging="284"/>
      </w:pPr>
      <w:r>
        <w:t xml:space="preserve">Reporting to regulatory </w:t>
      </w:r>
      <w:proofErr w:type="gramStart"/>
      <w:r>
        <w:t>authorities;</w:t>
      </w:r>
      <w:proofErr w:type="gramEnd"/>
    </w:p>
    <w:p w14:paraId="67D0C01D" w14:textId="77777777" w:rsidR="006E3A15" w:rsidRDefault="006E3A15" w:rsidP="007D53B6">
      <w:pPr>
        <w:pStyle w:val="FootnoteText"/>
        <w:numPr>
          <w:ilvl w:val="0"/>
          <w:numId w:val="32"/>
        </w:numPr>
        <w:ind w:left="284" w:hanging="284"/>
      </w:pPr>
      <w:r>
        <w:t xml:space="preserve">Continuous monitoring of the safety profiles of approved products including signal detection and updating of </w:t>
      </w:r>
      <w:proofErr w:type="gramStart"/>
      <w:r>
        <w:t>labelling;</w:t>
      </w:r>
      <w:proofErr w:type="gramEnd"/>
    </w:p>
    <w:p w14:paraId="4E67167D" w14:textId="77777777" w:rsidR="006E3A15" w:rsidRDefault="006E3A15" w:rsidP="007D53B6">
      <w:pPr>
        <w:pStyle w:val="FootnoteText"/>
        <w:numPr>
          <w:ilvl w:val="0"/>
          <w:numId w:val="32"/>
        </w:numPr>
        <w:ind w:left="284" w:hanging="284"/>
      </w:pPr>
      <w:r>
        <w:t xml:space="preserve">Submission of </w:t>
      </w:r>
      <w:proofErr w:type="gramStart"/>
      <w:r>
        <w:t>PSURs;</w:t>
      </w:r>
      <w:proofErr w:type="gramEnd"/>
    </w:p>
    <w:p w14:paraId="63D6A036" w14:textId="77777777" w:rsidR="006E3A15" w:rsidRDefault="006E3A15" w:rsidP="007D53B6">
      <w:pPr>
        <w:pStyle w:val="FootnoteText"/>
        <w:numPr>
          <w:ilvl w:val="0"/>
          <w:numId w:val="32"/>
        </w:numPr>
        <w:ind w:left="284" w:hanging="284"/>
      </w:pPr>
      <w:r>
        <w:t>Meeting other local regulatory agency requirements.</w:t>
      </w:r>
    </w:p>
  </w:footnote>
  <w:footnote w:id="40">
    <w:p w14:paraId="4972E100" w14:textId="03E27DFB" w:rsidR="006E3A15" w:rsidRDefault="006E3A15">
      <w:pPr>
        <w:pStyle w:val="FootnoteText"/>
      </w:pPr>
      <w:r>
        <w:rPr>
          <w:rStyle w:val="FootnoteReference"/>
        </w:rPr>
        <w:footnoteRef/>
      </w:r>
      <w:r>
        <w:t xml:space="preserve"> Note: The issue of a boxed warning in relation to product confusion was resolved prior to approval of </w:t>
      </w:r>
      <w:proofErr w:type="spellStart"/>
      <w:r>
        <w:t>Enhertu</w:t>
      </w:r>
      <w:proofErr w:type="spellEnd"/>
      <w:r>
        <w:t xml:space="preserve">. The Delegate agreed that there was no requirement for a boxed warning in the </w:t>
      </w:r>
      <w:proofErr w:type="spellStart"/>
      <w:r>
        <w:t>Enhertu</w:t>
      </w:r>
      <w:proofErr w:type="spellEnd"/>
      <w:r>
        <w:t xml:space="preserve"> Product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23BB6" w14:textId="77777777" w:rsidR="006E3A15" w:rsidRDefault="006E3A15"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63062" w14:textId="77777777" w:rsidR="006E3A15" w:rsidRDefault="006E3A15">
    <w:pPr>
      <w:rPr>
        <w:noProof/>
        <w:lang w:eastAsia="en-AU"/>
      </w:rPr>
    </w:pPr>
    <w:r w:rsidRPr="00347824">
      <w:rPr>
        <w:noProof/>
        <w:lang w:val="en-GB" w:eastAsia="en-GB"/>
      </w:rPr>
      <w:drawing>
        <wp:anchor distT="0" distB="0" distL="114300" distR="114300" simplePos="0" relativeHeight="251658240" behindDoc="1" locked="0" layoutInCell="1" allowOverlap="1" wp14:anchorId="0ACFDBC9" wp14:editId="632F7247">
          <wp:simplePos x="0" y="0"/>
          <wp:positionH relativeFrom="column">
            <wp:posOffset>-1089660</wp:posOffset>
          </wp:positionH>
          <wp:positionV relativeFrom="paragraph">
            <wp:posOffset>-585470</wp:posOffset>
          </wp:positionV>
          <wp:extent cx="7572375" cy="10706100"/>
          <wp:effectExtent l="19050" t="0" r="0" b="0"/>
          <wp:wrapNone/>
          <wp:docPr id="10"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323ADD58" w14:textId="77777777" w:rsidR="006E3A15" w:rsidRDefault="006E3A15"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AEF95" w14:textId="77777777" w:rsidR="006E3A15" w:rsidRDefault="006E3A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0BA5C" w14:textId="77777777" w:rsidR="006E3A15" w:rsidRDefault="006E3A15">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D5E4D" w14:textId="77777777" w:rsidR="006E3A15" w:rsidRDefault="006E3A15">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9E1F2" w14:textId="77777777" w:rsidR="006E3A15" w:rsidRDefault="006E3A1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C5B71" w14:textId="77777777" w:rsidR="006E3A15" w:rsidRDefault="006E3A15"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87FBE" w14:textId="77777777" w:rsidR="006E3A15" w:rsidRDefault="006E3A15" w:rsidP="006E08B3">
    <w:r>
      <w:t>Therapeutic Goods Administration</w:t>
    </w:r>
  </w:p>
  <w:p w14:paraId="609940E3" w14:textId="77777777" w:rsidR="006E3A15" w:rsidRDefault="006E3A15"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1C081C66"/>
    <w:multiLevelType w:val="hybridMultilevel"/>
    <w:tmpl w:val="62141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DA0565"/>
    <w:multiLevelType w:val="hybridMultilevel"/>
    <w:tmpl w:val="224C0ED4"/>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11"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2E61A69"/>
    <w:multiLevelType w:val="hybridMultilevel"/>
    <w:tmpl w:val="22F8E2FC"/>
    <w:lvl w:ilvl="0" w:tplc="64F6C398">
      <w:numFmt w:val="bullet"/>
      <w:lvlText w:val="-"/>
      <w:lvlJc w:val="left"/>
      <w:pPr>
        <w:ind w:left="720" w:hanging="360"/>
      </w:pPr>
      <w:rPr>
        <w:rFonts w:ascii="Cambria" w:eastAsia="MS Mincho" w:hAnsi="Cambria"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62E1248D"/>
    <w:multiLevelType w:val="hybridMultilevel"/>
    <w:tmpl w:val="C0924F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6B0C02C9"/>
    <w:multiLevelType w:val="hybridMultilevel"/>
    <w:tmpl w:val="226847F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6"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num>
  <w:num w:numId="28">
    <w:abstractNumId w:val="16"/>
  </w:num>
  <w:num w:numId="29">
    <w:abstractNumId w:val="6"/>
  </w:num>
  <w:num w:numId="30">
    <w:abstractNumId w:val="9"/>
  </w:num>
  <w:num w:numId="31">
    <w:abstractNumId w:val="4"/>
  </w:num>
  <w:num w:numId="32">
    <w:abstractNumId w:val="12"/>
  </w:num>
  <w:num w:numId="33">
    <w:abstractNumId w:val="8"/>
  </w:num>
  <w:num w:numId="34">
    <w:abstractNumId w:val="15"/>
  </w:num>
  <w:num w:numId="35">
    <w:abstractNumId w:val="14"/>
  </w:num>
  <w:num w:numId="36">
    <w:abstractNumId w:val="13"/>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2CD"/>
    <w:rsid w:val="00002031"/>
    <w:rsid w:val="00004734"/>
    <w:rsid w:val="00006B22"/>
    <w:rsid w:val="00006FAB"/>
    <w:rsid w:val="0001276A"/>
    <w:rsid w:val="00021980"/>
    <w:rsid w:val="0002203C"/>
    <w:rsid w:val="000246AE"/>
    <w:rsid w:val="00025C67"/>
    <w:rsid w:val="00025F64"/>
    <w:rsid w:val="00026993"/>
    <w:rsid w:val="00044772"/>
    <w:rsid w:val="0004541C"/>
    <w:rsid w:val="00050DF4"/>
    <w:rsid w:val="0005559E"/>
    <w:rsid w:val="000604D6"/>
    <w:rsid w:val="000734D8"/>
    <w:rsid w:val="00075076"/>
    <w:rsid w:val="00077775"/>
    <w:rsid w:val="00077A3F"/>
    <w:rsid w:val="00082E4F"/>
    <w:rsid w:val="00083EEB"/>
    <w:rsid w:val="00084C63"/>
    <w:rsid w:val="00090471"/>
    <w:rsid w:val="00096AA7"/>
    <w:rsid w:val="000A3AED"/>
    <w:rsid w:val="000A570E"/>
    <w:rsid w:val="000B3532"/>
    <w:rsid w:val="000B3A75"/>
    <w:rsid w:val="000C00C2"/>
    <w:rsid w:val="000C2631"/>
    <w:rsid w:val="000C690F"/>
    <w:rsid w:val="000D1295"/>
    <w:rsid w:val="000D2D71"/>
    <w:rsid w:val="000D391B"/>
    <w:rsid w:val="000D3D6D"/>
    <w:rsid w:val="000D4FC7"/>
    <w:rsid w:val="000E6196"/>
    <w:rsid w:val="000E7FDD"/>
    <w:rsid w:val="000F0949"/>
    <w:rsid w:val="000F4869"/>
    <w:rsid w:val="000F5B42"/>
    <w:rsid w:val="000F6E6F"/>
    <w:rsid w:val="0010601F"/>
    <w:rsid w:val="0010788A"/>
    <w:rsid w:val="00107A31"/>
    <w:rsid w:val="00110EA5"/>
    <w:rsid w:val="00112F56"/>
    <w:rsid w:val="00113D90"/>
    <w:rsid w:val="00122C2E"/>
    <w:rsid w:val="00122F5F"/>
    <w:rsid w:val="00124ACD"/>
    <w:rsid w:val="00125318"/>
    <w:rsid w:val="001305A2"/>
    <w:rsid w:val="00133238"/>
    <w:rsid w:val="00133A1B"/>
    <w:rsid w:val="0014197B"/>
    <w:rsid w:val="001447CD"/>
    <w:rsid w:val="001508AF"/>
    <w:rsid w:val="001516B1"/>
    <w:rsid w:val="00154EBB"/>
    <w:rsid w:val="00155E5D"/>
    <w:rsid w:val="00156316"/>
    <w:rsid w:val="00161181"/>
    <w:rsid w:val="00162D14"/>
    <w:rsid w:val="00163780"/>
    <w:rsid w:val="00165389"/>
    <w:rsid w:val="0017693F"/>
    <w:rsid w:val="0018110E"/>
    <w:rsid w:val="00181684"/>
    <w:rsid w:val="001843C6"/>
    <w:rsid w:val="001850E0"/>
    <w:rsid w:val="001A03AF"/>
    <w:rsid w:val="001A2158"/>
    <w:rsid w:val="001A525F"/>
    <w:rsid w:val="001B09F9"/>
    <w:rsid w:val="001B0EA8"/>
    <w:rsid w:val="001B3BA6"/>
    <w:rsid w:val="001B5C90"/>
    <w:rsid w:val="001B6448"/>
    <w:rsid w:val="001C2E66"/>
    <w:rsid w:val="001C32CD"/>
    <w:rsid w:val="001D0416"/>
    <w:rsid w:val="001D2984"/>
    <w:rsid w:val="001D2B7E"/>
    <w:rsid w:val="001E07CF"/>
    <w:rsid w:val="001E59F1"/>
    <w:rsid w:val="001F2CEE"/>
    <w:rsid w:val="001F49EB"/>
    <w:rsid w:val="001F6CBA"/>
    <w:rsid w:val="00201D4E"/>
    <w:rsid w:val="00204BC8"/>
    <w:rsid w:val="002076C9"/>
    <w:rsid w:val="00210D97"/>
    <w:rsid w:val="0021685F"/>
    <w:rsid w:val="00220B8A"/>
    <w:rsid w:val="00222351"/>
    <w:rsid w:val="002257F3"/>
    <w:rsid w:val="00230856"/>
    <w:rsid w:val="00233456"/>
    <w:rsid w:val="002339A5"/>
    <w:rsid w:val="00250271"/>
    <w:rsid w:val="002527F7"/>
    <w:rsid w:val="00253B70"/>
    <w:rsid w:val="00257848"/>
    <w:rsid w:val="002578E8"/>
    <w:rsid w:val="00263669"/>
    <w:rsid w:val="00265AE9"/>
    <w:rsid w:val="0027084A"/>
    <w:rsid w:val="00280265"/>
    <w:rsid w:val="00285B29"/>
    <w:rsid w:val="00286434"/>
    <w:rsid w:val="00286C59"/>
    <w:rsid w:val="00291957"/>
    <w:rsid w:val="002942D1"/>
    <w:rsid w:val="0029501A"/>
    <w:rsid w:val="002A2E3F"/>
    <w:rsid w:val="002A3721"/>
    <w:rsid w:val="002A4358"/>
    <w:rsid w:val="002A66C5"/>
    <w:rsid w:val="002B1638"/>
    <w:rsid w:val="002B3624"/>
    <w:rsid w:val="002C4057"/>
    <w:rsid w:val="002C414F"/>
    <w:rsid w:val="002D0952"/>
    <w:rsid w:val="002D6AFB"/>
    <w:rsid w:val="002E40B3"/>
    <w:rsid w:val="002E4C9A"/>
    <w:rsid w:val="002F11F8"/>
    <w:rsid w:val="002F3F56"/>
    <w:rsid w:val="002F44B5"/>
    <w:rsid w:val="002F5122"/>
    <w:rsid w:val="00311AC0"/>
    <w:rsid w:val="00312B44"/>
    <w:rsid w:val="00316E98"/>
    <w:rsid w:val="00316FC9"/>
    <w:rsid w:val="003176FC"/>
    <w:rsid w:val="00324E45"/>
    <w:rsid w:val="0032583B"/>
    <w:rsid w:val="00327883"/>
    <w:rsid w:val="00335504"/>
    <w:rsid w:val="00340C18"/>
    <w:rsid w:val="003442FD"/>
    <w:rsid w:val="00347824"/>
    <w:rsid w:val="00350567"/>
    <w:rsid w:val="003521E8"/>
    <w:rsid w:val="00364A02"/>
    <w:rsid w:val="00370CE3"/>
    <w:rsid w:val="003728F3"/>
    <w:rsid w:val="003735BC"/>
    <w:rsid w:val="0037496E"/>
    <w:rsid w:val="00383221"/>
    <w:rsid w:val="003858DE"/>
    <w:rsid w:val="00386150"/>
    <w:rsid w:val="003874CE"/>
    <w:rsid w:val="00387B9B"/>
    <w:rsid w:val="00390900"/>
    <w:rsid w:val="003A4656"/>
    <w:rsid w:val="003A7F6C"/>
    <w:rsid w:val="003B4D60"/>
    <w:rsid w:val="003B7E39"/>
    <w:rsid w:val="003C58DC"/>
    <w:rsid w:val="003C73FB"/>
    <w:rsid w:val="003D1E62"/>
    <w:rsid w:val="003E0B99"/>
    <w:rsid w:val="003E2486"/>
    <w:rsid w:val="003E3208"/>
    <w:rsid w:val="003F0B04"/>
    <w:rsid w:val="003F60CD"/>
    <w:rsid w:val="003F6782"/>
    <w:rsid w:val="0040134E"/>
    <w:rsid w:val="00426E8D"/>
    <w:rsid w:val="00427E14"/>
    <w:rsid w:val="00433477"/>
    <w:rsid w:val="004334C7"/>
    <w:rsid w:val="00440A2D"/>
    <w:rsid w:val="00441C3F"/>
    <w:rsid w:val="00444D1A"/>
    <w:rsid w:val="00445AC5"/>
    <w:rsid w:val="0045186A"/>
    <w:rsid w:val="004564A7"/>
    <w:rsid w:val="00456765"/>
    <w:rsid w:val="00460036"/>
    <w:rsid w:val="00461269"/>
    <w:rsid w:val="004617BF"/>
    <w:rsid w:val="00463658"/>
    <w:rsid w:val="004637A0"/>
    <w:rsid w:val="00471292"/>
    <w:rsid w:val="004722CC"/>
    <w:rsid w:val="00475C67"/>
    <w:rsid w:val="00481136"/>
    <w:rsid w:val="00482029"/>
    <w:rsid w:val="00490483"/>
    <w:rsid w:val="004936E4"/>
    <w:rsid w:val="00494E60"/>
    <w:rsid w:val="00497487"/>
    <w:rsid w:val="004A07B1"/>
    <w:rsid w:val="004A2771"/>
    <w:rsid w:val="004A6189"/>
    <w:rsid w:val="004A7390"/>
    <w:rsid w:val="004A7542"/>
    <w:rsid w:val="004B453F"/>
    <w:rsid w:val="004B5993"/>
    <w:rsid w:val="004B7B76"/>
    <w:rsid w:val="004C239D"/>
    <w:rsid w:val="004C2DCA"/>
    <w:rsid w:val="004C4FBE"/>
    <w:rsid w:val="004C61D2"/>
    <w:rsid w:val="004C6D6C"/>
    <w:rsid w:val="004E6568"/>
    <w:rsid w:val="004E6A71"/>
    <w:rsid w:val="004F0C4A"/>
    <w:rsid w:val="004F0F38"/>
    <w:rsid w:val="004F3E19"/>
    <w:rsid w:val="004F47D6"/>
    <w:rsid w:val="00500337"/>
    <w:rsid w:val="00501413"/>
    <w:rsid w:val="00501921"/>
    <w:rsid w:val="00516944"/>
    <w:rsid w:val="005227DB"/>
    <w:rsid w:val="005252B2"/>
    <w:rsid w:val="00530354"/>
    <w:rsid w:val="00530890"/>
    <w:rsid w:val="0053625B"/>
    <w:rsid w:val="00536BAD"/>
    <w:rsid w:val="005434C6"/>
    <w:rsid w:val="00543B39"/>
    <w:rsid w:val="00546154"/>
    <w:rsid w:val="00550096"/>
    <w:rsid w:val="005538C0"/>
    <w:rsid w:val="00555280"/>
    <w:rsid w:val="00556A11"/>
    <w:rsid w:val="00557FF9"/>
    <w:rsid w:val="00560379"/>
    <w:rsid w:val="00562327"/>
    <w:rsid w:val="0056305B"/>
    <w:rsid w:val="0056467B"/>
    <w:rsid w:val="005711D5"/>
    <w:rsid w:val="005720B3"/>
    <w:rsid w:val="00574A6D"/>
    <w:rsid w:val="00575085"/>
    <w:rsid w:val="00576378"/>
    <w:rsid w:val="00577130"/>
    <w:rsid w:val="00577945"/>
    <w:rsid w:val="00577E38"/>
    <w:rsid w:val="00581CAB"/>
    <w:rsid w:val="00585322"/>
    <w:rsid w:val="005857C6"/>
    <w:rsid w:val="00587746"/>
    <w:rsid w:val="00592F6E"/>
    <w:rsid w:val="00593AD1"/>
    <w:rsid w:val="005A0A49"/>
    <w:rsid w:val="005A68B6"/>
    <w:rsid w:val="005A74A3"/>
    <w:rsid w:val="005B450D"/>
    <w:rsid w:val="005B6B32"/>
    <w:rsid w:val="005C5570"/>
    <w:rsid w:val="005C5B66"/>
    <w:rsid w:val="005C713A"/>
    <w:rsid w:val="005C79A4"/>
    <w:rsid w:val="005C7C1E"/>
    <w:rsid w:val="005D04AA"/>
    <w:rsid w:val="005D32D2"/>
    <w:rsid w:val="005D5442"/>
    <w:rsid w:val="005E11EB"/>
    <w:rsid w:val="005E4CAB"/>
    <w:rsid w:val="005F2B60"/>
    <w:rsid w:val="005F41FF"/>
    <w:rsid w:val="005F5584"/>
    <w:rsid w:val="006002CD"/>
    <w:rsid w:val="00603F32"/>
    <w:rsid w:val="00605AD4"/>
    <w:rsid w:val="006136D7"/>
    <w:rsid w:val="00614F90"/>
    <w:rsid w:val="00625A6E"/>
    <w:rsid w:val="00625D33"/>
    <w:rsid w:val="00632398"/>
    <w:rsid w:val="00636D55"/>
    <w:rsid w:val="00640FC3"/>
    <w:rsid w:val="00642020"/>
    <w:rsid w:val="006430EE"/>
    <w:rsid w:val="0065223B"/>
    <w:rsid w:val="0065337B"/>
    <w:rsid w:val="00653649"/>
    <w:rsid w:val="0065419D"/>
    <w:rsid w:val="006603BC"/>
    <w:rsid w:val="006604D8"/>
    <w:rsid w:val="0066195C"/>
    <w:rsid w:val="00664A5B"/>
    <w:rsid w:val="0066735C"/>
    <w:rsid w:val="006763D2"/>
    <w:rsid w:val="00680C08"/>
    <w:rsid w:val="00680E94"/>
    <w:rsid w:val="00681B54"/>
    <w:rsid w:val="0068342C"/>
    <w:rsid w:val="006916A0"/>
    <w:rsid w:val="006922A4"/>
    <w:rsid w:val="006931B1"/>
    <w:rsid w:val="006A00DA"/>
    <w:rsid w:val="006A15C0"/>
    <w:rsid w:val="006A58A8"/>
    <w:rsid w:val="006C3195"/>
    <w:rsid w:val="006C3E2A"/>
    <w:rsid w:val="006C642F"/>
    <w:rsid w:val="006D03E5"/>
    <w:rsid w:val="006D256E"/>
    <w:rsid w:val="006D5D3E"/>
    <w:rsid w:val="006E08B3"/>
    <w:rsid w:val="006E3A15"/>
    <w:rsid w:val="006F17AC"/>
    <w:rsid w:val="006F25B8"/>
    <w:rsid w:val="006F572E"/>
    <w:rsid w:val="007013D7"/>
    <w:rsid w:val="007046D6"/>
    <w:rsid w:val="00705DB0"/>
    <w:rsid w:val="007134DA"/>
    <w:rsid w:val="00715B3B"/>
    <w:rsid w:val="00722B57"/>
    <w:rsid w:val="007238E2"/>
    <w:rsid w:val="007265DA"/>
    <w:rsid w:val="007271F3"/>
    <w:rsid w:val="00730F8A"/>
    <w:rsid w:val="00733847"/>
    <w:rsid w:val="007339B0"/>
    <w:rsid w:val="00735A8C"/>
    <w:rsid w:val="00740F54"/>
    <w:rsid w:val="007423C0"/>
    <w:rsid w:val="0074253D"/>
    <w:rsid w:val="00744121"/>
    <w:rsid w:val="0074429B"/>
    <w:rsid w:val="007457C9"/>
    <w:rsid w:val="007510EC"/>
    <w:rsid w:val="00757650"/>
    <w:rsid w:val="007615BC"/>
    <w:rsid w:val="00762F05"/>
    <w:rsid w:val="00763470"/>
    <w:rsid w:val="007652FF"/>
    <w:rsid w:val="007666A5"/>
    <w:rsid w:val="0076741A"/>
    <w:rsid w:val="00770CAC"/>
    <w:rsid w:val="00770EF1"/>
    <w:rsid w:val="00773EF7"/>
    <w:rsid w:val="00774E1D"/>
    <w:rsid w:val="007765D8"/>
    <w:rsid w:val="0077675A"/>
    <w:rsid w:val="00780355"/>
    <w:rsid w:val="007819FD"/>
    <w:rsid w:val="00785717"/>
    <w:rsid w:val="00785721"/>
    <w:rsid w:val="00785D71"/>
    <w:rsid w:val="0079061A"/>
    <w:rsid w:val="00793A59"/>
    <w:rsid w:val="007A00C5"/>
    <w:rsid w:val="007A46F5"/>
    <w:rsid w:val="007A58D5"/>
    <w:rsid w:val="007A5CD8"/>
    <w:rsid w:val="007A6505"/>
    <w:rsid w:val="007B6132"/>
    <w:rsid w:val="007B6E9F"/>
    <w:rsid w:val="007C1216"/>
    <w:rsid w:val="007C1AF7"/>
    <w:rsid w:val="007C40B2"/>
    <w:rsid w:val="007C59E2"/>
    <w:rsid w:val="007C6B9B"/>
    <w:rsid w:val="007D53B6"/>
    <w:rsid w:val="007E037A"/>
    <w:rsid w:val="00805751"/>
    <w:rsid w:val="00805D27"/>
    <w:rsid w:val="00806DCB"/>
    <w:rsid w:val="00821776"/>
    <w:rsid w:val="008321F5"/>
    <w:rsid w:val="00832369"/>
    <w:rsid w:val="00834660"/>
    <w:rsid w:val="008350C4"/>
    <w:rsid w:val="00836625"/>
    <w:rsid w:val="00836BC2"/>
    <w:rsid w:val="0084379A"/>
    <w:rsid w:val="0085156D"/>
    <w:rsid w:val="00851B3F"/>
    <w:rsid w:val="00852B28"/>
    <w:rsid w:val="00853F10"/>
    <w:rsid w:val="0085641B"/>
    <w:rsid w:val="00857136"/>
    <w:rsid w:val="00861A41"/>
    <w:rsid w:val="008750AC"/>
    <w:rsid w:val="00875A6B"/>
    <w:rsid w:val="008820ED"/>
    <w:rsid w:val="00885B11"/>
    <w:rsid w:val="00886248"/>
    <w:rsid w:val="00886D15"/>
    <w:rsid w:val="00887DD8"/>
    <w:rsid w:val="00890402"/>
    <w:rsid w:val="00891BA9"/>
    <w:rsid w:val="00896018"/>
    <w:rsid w:val="008960DD"/>
    <w:rsid w:val="0089635C"/>
    <w:rsid w:val="008A28A2"/>
    <w:rsid w:val="008A2B9D"/>
    <w:rsid w:val="008A3D9F"/>
    <w:rsid w:val="008A5E0B"/>
    <w:rsid w:val="008A642F"/>
    <w:rsid w:val="008A6998"/>
    <w:rsid w:val="008A6D59"/>
    <w:rsid w:val="008B4B03"/>
    <w:rsid w:val="008B596F"/>
    <w:rsid w:val="008C159F"/>
    <w:rsid w:val="008C1623"/>
    <w:rsid w:val="008C1850"/>
    <w:rsid w:val="008C360C"/>
    <w:rsid w:val="008C51A9"/>
    <w:rsid w:val="008D3B68"/>
    <w:rsid w:val="008E7846"/>
    <w:rsid w:val="008F02E5"/>
    <w:rsid w:val="008F1CCC"/>
    <w:rsid w:val="008F2967"/>
    <w:rsid w:val="008F4787"/>
    <w:rsid w:val="008F6943"/>
    <w:rsid w:val="00900219"/>
    <w:rsid w:val="00902A21"/>
    <w:rsid w:val="00910870"/>
    <w:rsid w:val="00913DBA"/>
    <w:rsid w:val="0091523F"/>
    <w:rsid w:val="00920330"/>
    <w:rsid w:val="009207BC"/>
    <w:rsid w:val="00920A3F"/>
    <w:rsid w:val="009219D7"/>
    <w:rsid w:val="00922D53"/>
    <w:rsid w:val="00923B70"/>
    <w:rsid w:val="00924482"/>
    <w:rsid w:val="00925FF5"/>
    <w:rsid w:val="00930237"/>
    <w:rsid w:val="0093533F"/>
    <w:rsid w:val="00936209"/>
    <w:rsid w:val="00937C17"/>
    <w:rsid w:val="00937E4F"/>
    <w:rsid w:val="00940A89"/>
    <w:rsid w:val="00941F77"/>
    <w:rsid w:val="009439D8"/>
    <w:rsid w:val="00946EA5"/>
    <w:rsid w:val="0095510B"/>
    <w:rsid w:val="00956E88"/>
    <w:rsid w:val="00960520"/>
    <w:rsid w:val="00963C08"/>
    <w:rsid w:val="00974E13"/>
    <w:rsid w:val="009752A5"/>
    <w:rsid w:val="0098585A"/>
    <w:rsid w:val="009962DB"/>
    <w:rsid w:val="0099676F"/>
    <w:rsid w:val="009A22C9"/>
    <w:rsid w:val="009A4CED"/>
    <w:rsid w:val="009A690D"/>
    <w:rsid w:val="009B1D12"/>
    <w:rsid w:val="009B3239"/>
    <w:rsid w:val="009B4074"/>
    <w:rsid w:val="009B416B"/>
    <w:rsid w:val="009C4BD5"/>
    <w:rsid w:val="009D7B77"/>
    <w:rsid w:val="009E0BB0"/>
    <w:rsid w:val="009E3FBB"/>
    <w:rsid w:val="009F18CB"/>
    <w:rsid w:val="009F7353"/>
    <w:rsid w:val="00A025C7"/>
    <w:rsid w:val="00A04F85"/>
    <w:rsid w:val="00A05FA4"/>
    <w:rsid w:val="00A102E4"/>
    <w:rsid w:val="00A1219C"/>
    <w:rsid w:val="00A12C42"/>
    <w:rsid w:val="00A14C8E"/>
    <w:rsid w:val="00A14DF7"/>
    <w:rsid w:val="00A159E5"/>
    <w:rsid w:val="00A22D57"/>
    <w:rsid w:val="00A24B84"/>
    <w:rsid w:val="00A3246D"/>
    <w:rsid w:val="00A335F1"/>
    <w:rsid w:val="00A36FA7"/>
    <w:rsid w:val="00A44DDB"/>
    <w:rsid w:val="00A475B7"/>
    <w:rsid w:val="00A47AF7"/>
    <w:rsid w:val="00A47C3E"/>
    <w:rsid w:val="00A50226"/>
    <w:rsid w:val="00A502EB"/>
    <w:rsid w:val="00A60BAD"/>
    <w:rsid w:val="00A77F87"/>
    <w:rsid w:val="00A80B5B"/>
    <w:rsid w:val="00A84244"/>
    <w:rsid w:val="00A84E36"/>
    <w:rsid w:val="00A85B95"/>
    <w:rsid w:val="00A964D1"/>
    <w:rsid w:val="00A96EB4"/>
    <w:rsid w:val="00AA0ED0"/>
    <w:rsid w:val="00AA7640"/>
    <w:rsid w:val="00AA7BB9"/>
    <w:rsid w:val="00AC2AA0"/>
    <w:rsid w:val="00AC2B40"/>
    <w:rsid w:val="00AC2BB2"/>
    <w:rsid w:val="00AC2C3C"/>
    <w:rsid w:val="00AC2CFF"/>
    <w:rsid w:val="00AC512D"/>
    <w:rsid w:val="00AD0083"/>
    <w:rsid w:val="00AD2144"/>
    <w:rsid w:val="00AD3935"/>
    <w:rsid w:val="00AD6014"/>
    <w:rsid w:val="00AD7C9C"/>
    <w:rsid w:val="00AE3F02"/>
    <w:rsid w:val="00AE65EB"/>
    <w:rsid w:val="00AE67A7"/>
    <w:rsid w:val="00AE729B"/>
    <w:rsid w:val="00AF1D94"/>
    <w:rsid w:val="00AF2043"/>
    <w:rsid w:val="00AF60C5"/>
    <w:rsid w:val="00B00039"/>
    <w:rsid w:val="00B009C6"/>
    <w:rsid w:val="00B01548"/>
    <w:rsid w:val="00B130C5"/>
    <w:rsid w:val="00B13EBD"/>
    <w:rsid w:val="00B21D29"/>
    <w:rsid w:val="00B25034"/>
    <w:rsid w:val="00B33588"/>
    <w:rsid w:val="00B33863"/>
    <w:rsid w:val="00B35755"/>
    <w:rsid w:val="00B37D17"/>
    <w:rsid w:val="00B4175E"/>
    <w:rsid w:val="00B41C85"/>
    <w:rsid w:val="00B452CE"/>
    <w:rsid w:val="00B54559"/>
    <w:rsid w:val="00B54C25"/>
    <w:rsid w:val="00B55B62"/>
    <w:rsid w:val="00B57645"/>
    <w:rsid w:val="00B6180A"/>
    <w:rsid w:val="00B66714"/>
    <w:rsid w:val="00B75B3C"/>
    <w:rsid w:val="00B76B91"/>
    <w:rsid w:val="00B77EB1"/>
    <w:rsid w:val="00B811C6"/>
    <w:rsid w:val="00B849A8"/>
    <w:rsid w:val="00B855B0"/>
    <w:rsid w:val="00B92E08"/>
    <w:rsid w:val="00B94FD4"/>
    <w:rsid w:val="00BA0285"/>
    <w:rsid w:val="00BA6D19"/>
    <w:rsid w:val="00BB5E50"/>
    <w:rsid w:val="00BC02BC"/>
    <w:rsid w:val="00BC034D"/>
    <w:rsid w:val="00BC622A"/>
    <w:rsid w:val="00BD1F85"/>
    <w:rsid w:val="00BE0A78"/>
    <w:rsid w:val="00BE1100"/>
    <w:rsid w:val="00BE79F0"/>
    <w:rsid w:val="00BF046D"/>
    <w:rsid w:val="00BF1190"/>
    <w:rsid w:val="00BF2BC5"/>
    <w:rsid w:val="00BF3774"/>
    <w:rsid w:val="00BF4524"/>
    <w:rsid w:val="00BF5D04"/>
    <w:rsid w:val="00C009AA"/>
    <w:rsid w:val="00C06209"/>
    <w:rsid w:val="00C1164D"/>
    <w:rsid w:val="00C121BF"/>
    <w:rsid w:val="00C145DF"/>
    <w:rsid w:val="00C16861"/>
    <w:rsid w:val="00C346AB"/>
    <w:rsid w:val="00C35B94"/>
    <w:rsid w:val="00C404A6"/>
    <w:rsid w:val="00C40A36"/>
    <w:rsid w:val="00C44419"/>
    <w:rsid w:val="00C45E7B"/>
    <w:rsid w:val="00C471B1"/>
    <w:rsid w:val="00C525A2"/>
    <w:rsid w:val="00C5285D"/>
    <w:rsid w:val="00C52E24"/>
    <w:rsid w:val="00C542E9"/>
    <w:rsid w:val="00C6029A"/>
    <w:rsid w:val="00C62BC8"/>
    <w:rsid w:val="00C6316B"/>
    <w:rsid w:val="00C634A9"/>
    <w:rsid w:val="00C64586"/>
    <w:rsid w:val="00C67001"/>
    <w:rsid w:val="00C70A36"/>
    <w:rsid w:val="00C70D53"/>
    <w:rsid w:val="00C73094"/>
    <w:rsid w:val="00C73D0B"/>
    <w:rsid w:val="00C74F5C"/>
    <w:rsid w:val="00C75526"/>
    <w:rsid w:val="00C772FF"/>
    <w:rsid w:val="00C80137"/>
    <w:rsid w:val="00C801AF"/>
    <w:rsid w:val="00C80256"/>
    <w:rsid w:val="00C80BE5"/>
    <w:rsid w:val="00C84525"/>
    <w:rsid w:val="00C8513B"/>
    <w:rsid w:val="00C90889"/>
    <w:rsid w:val="00C94CD4"/>
    <w:rsid w:val="00C9747E"/>
    <w:rsid w:val="00CA21C6"/>
    <w:rsid w:val="00CA5E90"/>
    <w:rsid w:val="00CB6BC0"/>
    <w:rsid w:val="00CC1B7C"/>
    <w:rsid w:val="00CC727F"/>
    <w:rsid w:val="00CD0AA7"/>
    <w:rsid w:val="00CD3B05"/>
    <w:rsid w:val="00CD5935"/>
    <w:rsid w:val="00CE3B8E"/>
    <w:rsid w:val="00CE5E5E"/>
    <w:rsid w:val="00CE65DD"/>
    <w:rsid w:val="00CF15C3"/>
    <w:rsid w:val="00CF2B6F"/>
    <w:rsid w:val="00CF2F3E"/>
    <w:rsid w:val="00CF313E"/>
    <w:rsid w:val="00CF58B6"/>
    <w:rsid w:val="00CF5DAD"/>
    <w:rsid w:val="00D0062D"/>
    <w:rsid w:val="00D017ED"/>
    <w:rsid w:val="00D040D3"/>
    <w:rsid w:val="00D04C65"/>
    <w:rsid w:val="00D05EC9"/>
    <w:rsid w:val="00D12070"/>
    <w:rsid w:val="00D150CC"/>
    <w:rsid w:val="00D153D8"/>
    <w:rsid w:val="00D201D2"/>
    <w:rsid w:val="00D221F7"/>
    <w:rsid w:val="00D224FE"/>
    <w:rsid w:val="00D23139"/>
    <w:rsid w:val="00D27078"/>
    <w:rsid w:val="00D4139B"/>
    <w:rsid w:val="00D42581"/>
    <w:rsid w:val="00D425BB"/>
    <w:rsid w:val="00D453FA"/>
    <w:rsid w:val="00D46C8D"/>
    <w:rsid w:val="00D55813"/>
    <w:rsid w:val="00D6493E"/>
    <w:rsid w:val="00D7195D"/>
    <w:rsid w:val="00D7301E"/>
    <w:rsid w:val="00D74B97"/>
    <w:rsid w:val="00D804E9"/>
    <w:rsid w:val="00D83AE1"/>
    <w:rsid w:val="00D855D4"/>
    <w:rsid w:val="00D902C9"/>
    <w:rsid w:val="00D90A88"/>
    <w:rsid w:val="00D93466"/>
    <w:rsid w:val="00D971A1"/>
    <w:rsid w:val="00DA1124"/>
    <w:rsid w:val="00DA64CB"/>
    <w:rsid w:val="00DB06B8"/>
    <w:rsid w:val="00DB6124"/>
    <w:rsid w:val="00DB750B"/>
    <w:rsid w:val="00DB75B7"/>
    <w:rsid w:val="00DC0288"/>
    <w:rsid w:val="00DC0A2F"/>
    <w:rsid w:val="00DC112F"/>
    <w:rsid w:val="00DC1948"/>
    <w:rsid w:val="00DC6E02"/>
    <w:rsid w:val="00DD28CD"/>
    <w:rsid w:val="00DD39DB"/>
    <w:rsid w:val="00DE02AE"/>
    <w:rsid w:val="00DE39D1"/>
    <w:rsid w:val="00DE40D1"/>
    <w:rsid w:val="00DF1D7F"/>
    <w:rsid w:val="00DF35DC"/>
    <w:rsid w:val="00DF3A6C"/>
    <w:rsid w:val="00DF4BE4"/>
    <w:rsid w:val="00E02382"/>
    <w:rsid w:val="00E02FB4"/>
    <w:rsid w:val="00E0321A"/>
    <w:rsid w:val="00E11402"/>
    <w:rsid w:val="00E11EFF"/>
    <w:rsid w:val="00E12984"/>
    <w:rsid w:val="00E13FC7"/>
    <w:rsid w:val="00E144FF"/>
    <w:rsid w:val="00E20571"/>
    <w:rsid w:val="00E235F7"/>
    <w:rsid w:val="00E23659"/>
    <w:rsid w:val="00E239D4"/>
    <w:rsid w:val="00E23D49"/>
    <w:rsid w:val="00E26130"/>
    <w:rsid w:val="00E309CF"/>
    <w:rsid w:val="00E33D42"/>
    <w:rsid w:val="00E40B22"/>
    <w:rsid w:val="00E44ED1"/>
    <w:rsid w:val="00E45619"/>
    <w:rsid w:val="00E4588F"/>
    <w:rsid w:val="00E46DA3"/>
    <w:rsid w:val="00E50C77"/>
    <w:rsid w:val="00E51BB1"/>
    <w:rsid w:val="00E55CB0"/>
    <w:rsid w:val="00E624A5"/>
    <w:rsid w:val="00E62D75"/>
    <w:rsid w:val="00E64BA4"/>
    <w:rsid w:val="00E65318"/>
    <w:rsid w:val="00E7344E"/>
    <w:rsid w:val="00E82665"/>
    <w:rsid w:val="00E87025"/>
    <w:rsid w:val="00E87F01"/>
    <w:rsid w:val="00E968D9"/>
    <w:rsid w:val="00EA498E"/>
    <w:rsid w:val="00EB0798"/>
    <w:rsid w:val="00EB40AD"/>
    <w:rsid w:val="00EB4F1D"/>
    <w:rsid w:val="00EB586E"/>
    <w:rsid w:val="00EB5FC8"/>
    <w:rsid w:val="00EC463D"/>
    <w:rsid w:val="00EC7A85"/>
    <w:rsid w:val="00ED2922"/>
    <w:rsid w:val="00ED3CAD"/>
    <w:rsid w:val="00ED5A41"/>
    <w:rsid w:val="00ED7846"/>
    <w:rsid w:val="00EE1DE8"/>
    <w:rsid w:val="00EE27C2"/>
    <w:rsid w:val="00EF45B6"/>
    <w:rsid w:val="00EF4BAD"/>
    <w:rsid w:val="00EF59DC"/>
    <w:rsid w:val="00F033EC"/>
    <w:rsid w:val="00F04F68"/>
    <w:rsid w:val="00F079EB"/>
    <w:rsid w:val="00F11B47"/>
    <w:rsid w:val="00F12670"/>
    <w:rsid w:val="00F14B27"/>
    <w:rsid w:val="00F1729D"/>
    <w:rsid w:val="00F3148D"/>
    <w:rsid w:val="00F325C5"/>
    <w:rsid w:val="00F32FE0"/>
    <w:rsid w:val="00F35298"/>
    <w:rsid w:val="00F47333"/>
    <w:rsid w:val="00F47E37"/>
    <w:rsid w:val="00F53C07"/>
    <w:rsid w:val="00F54B65"/>
    <w:rsid w:val="00F5588D"/>
    <w:rsid w:val="00F63BF2"/>
    <w:rsid w:val="00F63DBF"/>
    <w:rsid w:val="00F640B6"/>
    <w:rsid w:val="00F66DF2"/>
    <w:rsid w:val="00F74631"/>
    <w:rsid w:val="00F80E40"/>
    <w:rsid w:val="00F82AC0"/>
    <w:rsid w:val="00F848D9"/>
    <w:rsid w:val="00F917FF"/>
    <w:rsid w:val="00FA2B83"/>
    <w:rsid w:val="00FA5069"/>
    <w:rsid w:val="00FA5B82"/>
    <w:rsid w:val="00FA639E"/>
    <w:rsid w:val="00FB369D"/>
    <w:rsid w:val="00FC166D"/>
    <w:rsid w:val="00FC1FCA"/>
    <w:rsid w:val="00FC25E4"/>
    <w:rsid w:val="00FC4EF7"/>
    <w:rsid w:val="00FD0824"/>
    <w:rsid w:val="00FD119B"/>
    <w:rsid w:val="00FD1EDC"/>
    <w:rsid w:val="00FD406C"/>
    <w:rsid w:val="00FE1DEE"/>
    <w:rsid w:val="00FF2126"/>
    <w:rsid w:val="00FF2F4B"/>
    <w:rsid w:val="00FF5755"/>
    <w:rsid w:val="00FF69BE"/>
    <w:rsid w:val="00FF7B93"/>
    <w:rsid w:val="6FFF942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1C07E12"/>
  <w15:docId w15:val="{AD05F2FD-D967-4CAD-969B-1265DE76C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Bahnschrift" w:hAnsi="Bahnschrift"/>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Bahnschrift" w:hAnsi="Bahnschrift"/>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Bahnschrift" w:hAnsi="Bahnschrift"/>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UnresolvedMention1">
    <w:name w:val="Unresolved Mention1"/>
    <w:basedOn w:val="DefaultParagraphFont"/>
    <w:uiPriority w:val="99"/>
    <w:semiHidden/>
    <w:unhideWhenUsed/>
    <w:rsid w:val="00FB369D"/>
    <w:rPr>
      <w:color w:val="605E5C"/>
      <w:shd w:val="clear" w:color="auto" w:fill="E1DFDD"/>
    </w:rPr>
  </w:style>
  <w:style w:type="paragraph" w:styleId="ListParagraph">
    <w:name w:val="List Paragraph"/>
    <w:basedOn w:val="Normal"/>
    <w:uiPriority w:val="34"/>
    <w:qFormat/>
    <w:rsid w:val="008750AC"/>
    <w:pPr>
      <w:ind w:left="720"/>
      <w:contextualSpacing/>
    </w:pPr>
  </w:style>
  <w:style w:type="paragraph" w:customStyle="1" w:styleId="Standard">
    <w:name w:val="Standard"/>
    <w:basedOn w:val="Normal"/>
    <w:link w:val="StandardChar"/>
    <w:qFormat/>
    <w:rsid w:val="00445AC5"/>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445AC5"/>
    <w:rPr>
      <w:rFonts w:ascii="Cambria" w:eastAsia="Times New Roman" w:hAnsi="Cambria" w:cs="Times New Roman"/>
      <w:snapToGrid w:val="0"/>
      <w:kern w:val="16"/>
      <w:sz w:val="23"/>
      <w:szCs w:val="24"/>
    </w:rPr>
  </w:style>
  <w:style w:type="character" w:customStyle="1" w:styleId="TabletextChar">
    <w:name w:val="Table text Char"/>
    <w:basedOn w:val="StandardChar"/>
    <w:link w:val="Tabletext"/>
    <w:rsid w:val="00445AC5"/>
    <w:rPr>
      <w:rFonts w:ascii="Cambria" w:eastAsia="Cambria" w:hAnsi="Cambria" w:cs="Times New Roman"/>
      <w:snapToGrid/>
      <w:kern w:val="16"/>
      <w:sz w:val="19"/>
      <w:szCs w:val="24"/>
    </w:rPr>
  </w:style>
  <w:style w:type="paragraph" w:styleId="TOC6">
    <w:name w:val="toc 6"/>
    <w:basedOn w:val="Normal"/>
    <w:next w:val="Normal"/>
    <w:autoRedefine/>
    <w:uiPriority w:val="39"/>
    <w:semiHidden/>
    <w:unhideWhenUsed/>
    <w:rsid w:val="00D42581"/>
    <w:pPr>
      <w:spacing w:after="100"/>
      <w:ind w:left="1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869036">
      <w:bodyDiv w:val="1"/>
      <w:marLeft w:val="0"/>
      <w:marRight w:val="0"/>
      <w:marTop w:val="0"/>
      <w:marBottom w:val="0"/>
      <w:divBdr>
        <w:top w:val="none" w:sz="0" w:space="0" w:color="auto"/>
        <w:left w:val="none" w:sz="0" w:space="0" w:color="auto"/>
        <w:bottom w:val="none" w:sz="0" w:space="0" w:color="auto"/>
        <w:right w:val="none" w:sz="0" w:space="0" w:color="auto"/>
      </w:divBdr>
    </w:div>
    <w:div w:id="120928602">
      <w:bodyDiv w:val="1"/>
      <w:marLeft w:val="0"/>
      <w:marRight w:val="0"/>
      <w:marTop w:val="0"/>
      <w:marBottom w:val="0"/>
      <w:divBdr>
        <w:top w:val="none" w:sz="0" w:space="0" w:color="auto"/>
        <w:left w:val="none" w:sz="0" w:space="0" w:color="auto"/>
        <w:bottom w:val="none" w:sz="0" w:space="0" w:color="auto"/>
        <w:right w:val="none" w:sz="0" w:space="0" w:color="auto"/>
      </w:divBdr>
    </w:div>
    <w:div w:id="168908440">
      <w:bodyDiv w:val="1"/>
      <w:marLeft w:val="0"/>
      <w:marRight w:val="0"/>
      <w:marTop w:val="0"/>
      <w:marBottom w:val="0"/>
      <w:divBdr>
        <w:top w:val="none" w:sz="0" w:space="0" w:color="auto"/>
        <w:left w:val="none" w:sz="0" w:space="0" w:color="auto"/>
        <w:bottom w:val="none" w:sz="0" w:space="0" w:color="auto"/>
        <w:right w:val="none" w:sz="0" w:space="0" w:color="auto"/>
      </w:divBdr>
    </w:div>
    <w:div w:id="202132851">
      <w:bodyDiv w:val="1"/>
      <w:marLeft w:val="0"/>
      <w:marRight w:val="0"/>
      <w:marTop w:val="0"/>
      <w:marBottom w:val="0"/>
      <w:divBdr>
        <w:top w:val="none" w:sz="0" w:space="0" w:color="auto"/>
        <w:left w:val="none" w:sz="0" w:space="0" w:color="auto"/>
        <w:bottom w:val="none" w:sz="0" w:space="0" w:color="auto"/>
        <w:right w:val="none" w:sz="0" w:space="0" w:color="auto"/>
      </w:divBdr>
      <w:divsChild>
        <w:div w:id="990988326">
          <w:marLeft w:val="0"/>
          <w:marRight w:val="0"/>
          <w:marTop w:val="0"/>
          <w:marBottom w:val="0"/>
          <w:divBdr>
            <w:top w:val="none" w:sz="0" w:space="0" w:color="auto"/>
            <w:left w:val="none" w:sz="0" w:space="0" w:color="auto"/>
            <w:bottom w:val="none" w:sz="0" w:space="0" w:color="auto"/>
            <w:right w:val="none" w:sz="0" w:space="0" w:color="auto"/>
          </w:divBdr>
          <w:divsChild>
            <w:div w:id="15932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6804">
      <w:bodyDiv w:val="1"/>
      <w:marLeft w:val="0"/>
      <w:marRight w:val="0"/>
      <w:marTop w:val="0"/>
      <w:marBottom w:val="0"/>
      <w:divBdr>
        <w:top w:val="none" w:sz="0" w:space="0" w:color="auto"/>
        <w:left w:val="none" w:sz="0" w:space="0" w:color="auto"/>
        <w:bottom w:val="none" w:sz="0" w:space="0" w:color="auto"/>
        <w:right w:val="none" w:sz="0" w:space="0" w:color="auto"/>
      </w:divBdr>
    </w:div>
    <w:div w:id="330714952">
      <w:bodyDiv w:val="1"/>
      <w:marLeft w:val="0"/>
      <w:marRight w:val="0"/>
      <w:marTop w:val="0"/>
      <w:marBottom w:val="0"/>
      <w:divBdr>
        <w:top w:val="none" w:sz="0" w:space="0" w:color="auto"/>
        <w:left w:val="none" w:sz="0" w:space="0" w:color="auto"/>
        <w:bottom w:val="none" w:sz="0" w:space="0" w:color="auto"/>
        <w:right w:val="none" w:sz="0" w:space="0" w:color="auto"/>
      </w:divBdr>
    </w:div>
    <w:div w:id="330957580">
      <w:bodyDiv w:val="1"/>
      <w:marLeft w:val="0"/>
      <w:marRight w:val="0"/>
      <w:marTop w:val="0"/>
      <w:marBottom w:val="0"/>
      <w:divBdr>
        <w:top w:val="none" w:sz="0" w:space="0" w:color="auto"/>
        <w:left w:val="none" w:sz="0" w:space="0" w:color="auto"/>
        <w:bottom w:val="none" w:sz="0" w:space="0" w:color="auto"/>
        <w:right w:val="none" w:sz="0" w:space="0" w:color="auto"/>
      </w:divBdr>
    </w:div>
    <w:div w:id="595405295">
      <w:bodyDiv w:val="1"/>
      <w:marLeft w:val="0"/>
      <w:marRight w:val="0"/>
      <w:marTop w:val="0"/>
      <w:marBottom w:val="0"/>
      <w:divBdr>
        <w:top w:val="none" w:sz="0" w:space="0" w:color="auto"/>
        <w:left w:val="none" w:sz="0" w:space="0" w:color="auto"/>
        <w:bottom w:val="none" w:sz="0" w:space="0" w:color="auto"/>
        <w:right w:val="none" w:sz="0" w:space="0" w:color="auto"/>
      </w:divBdr>
    </w:div>
    <w:div w:id="801533028">
      <w:bodyDiv w:val="1"/>
      <w:marLeft w:val="0"/>
      <w:marRight w:val="0"/>
      <w:marTop w:val="0"/>
      <w:marBottom w:val="0"/>
      <w:divBdr>
        <w:top w:val="none" w:sz="0" w:space="0" w:color="auto"/>
        <w:left w:val="none" w:sz="0" w:space="0" w:color="auto"/>
        <w:bottom w:val="none" w:sz="0" w:space="0" w:color="auto"/>
        <w:right w:val="none" w:sz="0" w:space="0" w:color="auto"/>
      </w:divBdr>
    </w:div>
    <w:div w:id="896286164">
      <w:bodyDiv w:val="1"/>
      <w:marLeft w:val="0"/>
      <w:marRight w:val="0"/>
      <w:marTop w:val="0"/>
      <w:marBottom w:val="0"/>
      <w:divBdr>
        <w:top w:val="none" w:sz="0" w:space="0" w:color="auto"/>
        <w:left w:val="none" w:sz="0" w:space="0" w:color="auto"/>
        <w:bottom w:val="none" w:sz="0" w:space="0" w:color="auto"/>
        <w:right w:val="none" w:sz="0" w:space="0" w:color="auto"/>
      </w:divBdr>
    </w:div>
    <w:div w:id="957368262">
      <w:bodyDiv w:val="1"/>
      <w:marLeft w:val="0"/>
      <w:marRight w:val="0"/>
      <w:marTop w:val="0"/>
      <w:marBottom w:val="0"/>
      <w:divBdr>
        <w:top w:val="none" w:sz="0" w:space="0" w:color="auto"/>
        <w:left w:val="none" w:sz="0" w:space="0" w:color="auto"/>
        <w:bottom w:val="none" w:sz="0" w:space="0" w:color="auto"/>
        <w:right w:val="none" w:sz="0" w:space="0" w:color="auto"/>
      </w:divBdr>
    </w:div>
    <w:div w:id="1002006237">
      <w:bodyDiv w:val="1"/>
      <w:marLeft w:val="0"/>
      <w:marRight w:val="0"/>
      <w:marTop w:val="0"/>
      <w:marBottom w:val="0"/>
      <w:divBdr>
        <w:top w:val="none" w:sz="0" w:space="0" w:color="auto"/>
        <w:left w:val="none" w:sz="0" w:space="0" w:color="auto"/>
        <w:bottom w:val="none" w:sz="0" w:space="0" w:color="auto"/>
        <w:right w:val="none" w:sz="0" w:space="0" w:color="auto"/>
      </w:divBdr>
    </w:div>
    <w:div w:id="1044519574">
      <w:bodyDiv w:val="1"/>
      <w:marLeft w:val="0"/>
      <w:marRight w:val="0"/>
      <w:marTop w:val="0"/>
      <w:marBottom w:val="0"/>
      <w:divBdr>
        <w:top w:val="none" w:sz="0" w:space="0" w:color="auto"/>
        <w:left w:val="none" w:sz="0" w:space="0" w:color="auto"/>
        <w:bottom w:val="none" w:sz="0" w:space="0" w:color="auto"/>
        <w:right w:val="none" w:sz="0" w:space="0" w:color="auto"/>
      </w:divBdr>
    </w:div>
    <w:div w:id="1180391910">
      <w:bodyDiv w:val="1"/>
      <w:marLeft w:val="0"/>
      <w:marRight w:val="0"/>
      <w:marTop w:val="0"/>
      <w:marBottom w:val="0"/>
      <w:divBdr>
        <w:top w:val="none" w:sz="0" w:space="0" w:color="auto"/>
        <w:left w:val="none" w:sz="0" w:space="0" w:color="auto"/>
        <w:bottom w:val="none" w:sz="0" w:space="0" w:color="auto"/>
        <w:right w:val="none" w:sz="0" w:space="0" w:color="auto"/>
      </w:divBdr>
    </w:div>
    <w:div w:id="1194269402">
      <w:bodyDiv w:val="1"/>
      <w:marLeft w:val="0"/>
      <w:marRight w:val="0"/>
      <w:marTop w:val="0"/>
      <w:marBottom w:val="0"/>
      <w:divBdr>
        <w:top w:val="none" w:sz="0" w:space="0" w:color="auto"/>
        <w:left w:val="none" w:sz="0" w:space="0" w:color="auto"/>
        <w:bottom w:val="none" w:sz="0" w:space="0" w:color="auto"/>
        <w:right w:val="none" w:sz="0" w:space="0" w:color="auto"/>
      </w:divBdr>
    </w:div>
    <w:div w:id="1239899834">
      <w:bodyDiv w:val="1"/>
      <w:marLeft w:val="0"/>
      <w:marRight w:val="0"/>
      <w:marTop w:val="0"/>
      <w:marBottom w:val="0"/>
      <w:divBdr>
        <w:top w:val="none" w:sz="0" w:space="0" w:color="auto"/>
        <w:left w:val="none" w:sz="0" w:space="0" w:color="auto"/>
        <w:bottom w:val="none" w:sz="0" w:space="0" w:color="auto"/>
        <w:right w:val="none" w:sz="0" w:space="0" w:color="auto"/>
      </w:divBdr>
    </w:div>
    <w:div w:id="1247301621">
      <w:bodyDiv w:val="1"/>
      <w:marLeft w:val="0"/>
      <w:marRight w:val="0"/>
      <w:marTop w:val="0"/>
      <w:marBottom w:val="0"/>
      <w:divBdr>
        <w:top w:val="none" w:sz="0" w:space="0" w:color="auto"/>
        <w:left w:val="none" w:sz="0" w:space="0" w:color="auto"/>
        <w:bottom w:val="none" w:sz="0" w:space="0" w:color="auto"/>
        <w:right w:val="none" w:sz="0" w:space="0" w:color="auto"/>
      </w:divBdr>
    </w:div>
    <w:div w:id="1361853497">
      <w:bodyDiv w:val="1"/>
      <w:marLeft w:val="0"/>
      <w:marRight w:val="0"/>
      <w:marTop w:val="0"/>
      <w:marBottom w:val="0"/>
      <w:divBdr>
        <w:top w:val="none" w:sz="0" w:space="0" w:color="auto"/>
        <w:left w:val="none" w:sz="0" w:space="0" w:color="auto"/>
        <w:bottom w:val="none" w:sz="0" w:space="0" w:color="auto"/>
        <w:right w:val="none" w:sz="0" w:space="0" w:color="auto"/>
      </w:divBdr>
    </w:div>
    <w:div w:id="1390030409">
      <w:bodyDiv w:val="1"/>
      <w:marLeft w:val="0"/>
      <w:marRight w:val="0"/>
      <w:marTop w:val="0"/>
      <w:marBottom w:val="0"/>
      <w:divBdr>
        <w:top w:val="none" w:sz="0" w:space="0" w:color="auto"/>
        <w:left w:val="none" w:sz="0" w:space="0" w:color="auto"/>
        <w:bottom w:val="none" w:sz="0" w:space="0" w:color="auto"/>
        <w:right w:val="none" w:sz="0" w:space="0" w:color="auto"/>
      </w:divBdr>
    </w:div>
    <w:div w:id="1395081836">
      <w:bodyDiv w:val="1"/>
      <w:marLeft w:val="0"/>
      <w:marRight w:val="0"/>
      <w:marTop w:val="0"/>
      <w:marBottom w:val="0"/>
      <w:divBdr>
        <w:top w:val="none" w:sz="0" w:space="0" w:color="auto"/>
        <w:left w:val="none" w:sz="0" w:space="0" w:color="auto"/>
        <w:bottom w:val="none" w:sz="0" w:space="0" w:color="auto"/>
        <w:right w:val="none" w:sz="0" w:space="0" w:color="auto"/>
      </w:divBdr>
    </w:div>
    <w:div w:id="1425421946">
      <w:bodyDiv w:val="1"/>
      <w:marLeft w:val="0"/>
      <w:marRight w:val="0"/>
      <w:marTop w:val="0"/>
      <w:marBottom w:val="0"/>
      <w:divBdr>
        <w:top w:val="none" w:sz="0" w:space="0" w:color="auto"/>
        <w:left w:val="none" w:sz="0" w:space="0" w:color="auto"/>
        <w:bottom w:val="none" w:sz="0" w:space="0" w:color="auto"/>
        <w:right w:val="none" w:sz="0" w:space="0" w:color="auto"/>
      </w:divBdr>
    </w:div>
    <w:div w:id="1464813936">
      <w:bodyDiv w:val="1"/>
      <w:marLeft w:val="0"/>
      <w:marRight w:val="0"/>
      <w:marTop w:val="0"/>
      <w:marBottom w:val="0"/>
      <w:divBdr>
        <w:top w:val="none" w:sz="0" w:space="0" w:color="auto"/>
        <w:left w:val="none" w:sz="0" w:space="0" w:color="auto"/>
        <w:bottom w:val="none" w:sz="0" w:space="0" w:color="auto"/>
        <w:right w:val="none" w:sz="0" w:space="0" w:color="auto"/>
      </w:divBdr>
    </w:div>
    <w:div w:id="1507941401">
      <w:bodyDiv w:val="1"/>
      <w:marLeft w:val="0"/>
      <w:marRight w:val="0"/>
      <w:marTop w:val="0"/>
      <w:marBottom w:val="0"/>
      <w:divBdr>
        <w:top w:val="none" w:sz="0" w:space="0" w:color="auto"/>
        <w:left w:val="none" w:sz="0" w:space="0" w:color="auto"/>
        <w:bottom w:val="none" w:sz="0" w:space="0" w:color="auto"/>
        <w:right w:val="none" w:sz="0" w:space="0" w:color="auto"/>
      </w:divBdr>
      <w:divsChild>
        <w:div w:id="990596437">
          <w:marLeft w:val="0"/>
          <w:marRight w:val="0"/>
          <w:marTop w:val="0"/>
          <w:marBottom w:val="0"/>
          <w:divBdr>
            <w:top w:val="none" w:sz="0" w:space="0" w:color="auto"/>
            <w:left w:val="none" w:sz="0" w:space="0" w:color="auto"/>
            <w:bottom w:val="none" w:sz="0" w:space="0" w:color="auto"/>
            <w:right w:val="none" w:sz="0" w:space="0" w:color="auto"/>
          </w:divBdr>
          <w:divsChild>
            <w:div w:id="34421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825995">
      <w:bodyDiv w:val="1"/>
      <w:marLeft w:val="0"/>
      <w:marRight w:val="0"/>
      <w:marTop w:val="0"/>
      <w:marBottom w:val="0"/>
      <w:divBdr>
        <w:top w:val="none" w:sz="0" w:space="0" w:color="auto"/>
        <w:left w:val="none" w:sz="0" w:space="0" w:color="auto"/>
        <w:bottom w:val="none" w:sz="0" w:space="0" w:color="auto"/>
        <w:right w:val="none" w:sz="0" w:space="0" w:color="auto"/>
      </w:divBdr>
    </w:div>
    <w:div w:id="1564172094">
      <w:bodyDiv w:val="1"/>
      <w:marLeft w:val="0"/>
      <w:marRight w:val="0"/>
      <w:marTop w:val="0"/>
      <w:marBottom w:val="0"/>
      <w:divBdr>
        <w:top w:val="none" w:sz="0" w:space="0" w:color="auto"/>
        <w:left w:val="none" w:sz="0" w:space="0" w:color="auto"/>
        <w:bottom w:val="none" w:sz="0" w:space="0" w:color="auto"/>
        <w:right w:val="none" w:sz="0" w:space="0" w:color="auto"/>
      </w:divBdr>
    </w:div>
    <w:div w:id="1601404647">
      <w:bodyDiv w:val="1"/>
      <w:marLeft w:val="0"/>
      <w:marRight w:val="0"/>
      <w:marTop w:val="0"/>
      <w:marBottom w:val="0"/>
      <w:divBdr>
        <w:top w:val="none" w:sz="0" w:space="0" w:color="auto"/>
        <w:left w:val="none" w:sz="0" w:space="0" w:color="auto"/>
        <w:bottom w:val="none" w:sz="0" w:space="0" w:color="auto"/>
        <w:right w:val="none" w:sz="0" w:space="0" w:color="auto"/>
      </w:divBdr>
    </w:div>
    <w:div w:id="1708141786">
      <w:bodyDiv w:val="1"/>
      <w:marLeft w:val="0"/>
      <w:marRight w:val="0"/>
      <w:marTop w:val="0"/>
      <w:marBottom w:val="0"/>
      <w:divBdr>
        <w:top w:val="none" w:sz="0" w:space="0" w:color="auto"/>
        <w:left w:val="none" w:sz="0" w:space="0" w:color="auto"/>
        <w:bottom w:val="none" w:sz="0" w:space="0" w:color="auto"/>
        <w:right w:val="none" w:sz="0" w:space="0" w:color="auto"/>
      </w:divBdr>
    </w:div>
    <w:div w:id="1824391901">
      <w:bodyDiv w:val="1"/>
      <w:marLeft w:val="0"/>
      <w:marRight w:val="0"/>
      <w:marTop w:val="0"/>
      <w:marBottom w:val="0"/>
      <w:divBdr>
        <w:top w:val="none" w:sz="0" w:space="0" w:color="auto"/>
        <w:left w:val="none" w:sz="0" w:space="0" w:color="auto"/>
        <w:bottom w:val="none" w:sz="0" w:space="0" w:color="auto"/>
        <w:right w:val="none" w:sz="0" w:space="0" w:color="auto"/>
      </w:divBdr>
    </w:div>
    <w:div w:id="1855529528">
      <w:bodyDiv w:val="1"/>
      <w:marLeft w:val="0"/>
      <w:marRight w:val="0"/>
      <w:marTop w:val="0"/>
      <w:marBottom w:val="0"/>
      <w:divBdr>
        <w:top w:val="none" w:sz="0" w:space="0" w:color="auto"/>
        <w:left w:val="none" w:sz="0" w:space="0" w:color="auto"/>
        <w:bottom w:val="none" w:sz="0" w:space="0" w:color="auto"/>
        <w:right w:val="none" w:sz="0" w:space="0" w:color="auto"/>
      </w:divBdr>
    </w:div>
    <w:div w:id="1875271186">
      <w:bodyDiv w:val="1"/>
      <w:marLeft w:val="0"/>
      <w:marRight w:val="0"/>
      <w:marTop w:val="0"/>
      <w:marBottom w:val="0"/>
      <w:divBdr>
        <w:top w:val="none" w:sz="0" w:space="0" w:color="auto"/>
        <w:left w:val="none" w:sz="0" w:space="0" w:color="auto"/>
        <w:bottom w:val="none" w:sz="0" w:space="0" w:color="auto"/>
        <w:right w:val="none" w:sz="0" w:space="0" w:color="auto"/>
      </w:divBdr>
    </w:div>
    <w:div w:id="2010710854">
      <w:bodyDiv w:val="1"/>
      <w:marLeft w:val="0"/>
      <w:marRight w:val="0"/>
      <w:marTop w:val="0"/>
      <w:marBottom w:val="0"/>
      <w:divBdr>
        <w:top w:val="none" w:sz="0" w:space="0" w:color="auto"/>
        <w:left w:val="none" w:sz="0" w:space="0" w:color="auto"/>
        <w:bottom w:val="none" w:sz="0" w:space="0" w:color="auto"/>
        <w:right w:val="none" w:sz="0" w:space="0" w:color="auto"/>
      </w:divBdr>
    </w:div>
    <w:div w:id="2081059232">
      <w:bodyDiv w:val="1"/>
      <w:marLeft w:val="0"/>
      <w:marRight w:val="0"/>
      <w:marTop w:val="0"/>
      <w:marBottom w:val="0"/>
      <w:divBdr>
        <w:top w:val="none" w:sz="0" w:space="0" w:color="auto"/>
        <w:left w:val="none" w:sz="0" w:space="0" w:color="auto"/>
        <w:bottom w:val="none" w:sz="0" w:space="0" w:color="auto"/>
        <w:right w:val="none" w:sz="0" w:space="0" w:color="auto"/>
      </w:divBdr>
    </w:div>
    <w:div w:id="2089230944">
      <w:bodyDiv w:val="1"/>
      <w:marLeft w:val="0"/>
      <w:marRight w:val="0"/>
      <w:marTop w:val="0"/>
      <w:marBottom w:val="0"/>
      <w:divBdr>
        <w:top w:val="none" w:sz="0" w:space="0" w:color="auto"/>
        <w:left w:val="none" w:sz="0" w:space="0" w:color="auto"/>
        <w:bottom w:val="none" w:sz="0" w:space="0" w:color="auto"/>
        <w:right w:val="none" w:sz="0" w:space="0" w:color="auto"/>
      </w:divBdr>
    </w:div>
    <w:div w:id="2147233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tga.copyright@tga.gov.au"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image" Target="media/image18.png"/><Relationship Id="rId42" Type="http://schemas.openxmlformats.org/officeDocument/2006/relationships/header" Target="header6.xm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tga.gov.au" TargetMode="External"/><Relationship Id="rId17" Type="http://schemas.openxmlformats.org/officeDocument/2006/relationships/hyperlink" Target="https://www.tga.gov.au/product-information-pi"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eader" Target="header5.xm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emf"/><Relationship Id="rId29" Type="http://schemas.openxmlformats.org/officeDocument/2006/relationships/image" Target="media/image13.png"/><Relationship Id="rId41"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header" Target="header4.xml"/><Relationship Id="rId40" Type="http://schemas.openxmlformats.org/officeDocument/2006/relationships/hyperlink" Target="mailto:info@tga.gov.au" TargetMode="External"/><Relationship Id="rId45"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tga.gov.au/product-information-pi" TargetMode="External"/><Relationship Id="rId43" Type="http://schemas.openxmlformats.org/officeDocument/2006/relationships/header" Target="header7.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tga.gov.au/auspar/auspar-neratinib-maleate" TargetMode="External"/><Relationship Id="rId2" Type="http://schemas.openxmlformats.org/officeDocument/2006/relationships/hyperlink" Target="file:///C:\Users\HEYYIN\AppData\Local\Microsoft\Windows\INetCache\Content.Outlook\VTBPIXS2\canceraustralia.gov.au" TargetMode="External"/><Relationship Id="rId1" Type="http://schemas.openxmlformats.org/officeDocument/2006/relationships/hyperlink" Target="https://www.aihw.gov.au/reports/cancer/cancer-in-australia-2021" TargetMode="External"/><Relationship Id="rId4" Type="http://schemas.openxmlformats.org/officeDocument/2006/relationships/hyperlink" Target="https://www.tga.gov.au/auspar/auspar-tucatinib"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15792\D19-5975236%20%20AusPAR%20-%20template%20-%20streamline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8AC5807C0D82546A95B337C95813926" ma:contentTypeVersion="12" ma:contentTypeDescription="Create a new document." ma:contentTypeScope="" ma:versionID="a9a8a06f2032975654fdaabec5a1ef34">
  <xsd:schema xmlns:xsd="http://www.w3.org/2001/XMLSchema" xmlns:xs="http://www.w3.org/2001/XMLSchema" xmlns:p="http://schemas.microsoft.com/office/2006/metadata/properties" xmlns:ns2="44a56295-c29e-4898-8136-a54736c65b82" xmlns:ns3="d6d6f1ff-03c0-4429-a0b3-75d3f961d0fd" xmlns:ns4="f55d234f-e82c-4878-9a50-4623bd66f60c" targetNamespace="http://schemas.microsoft.com/office/2006/metadata/properties" ma:root="true" ma:fieldsID="5cce7c8ae58f62953c61529d8d9351bd" ns2:_="" ns3:_="" ns4:_="">
    <xsd:import namespace="44a56295-c29e-4898-8136-a54736c65b82"/>
    <xsd:import namespace="d6d6f1ff-03c0-4429-a0b3-75d3f961d0fd"/>
    <xsd:import namespace="f55d234f-e82c-4878-9a50-4623bd66f60c"/>
    <xsd:element name="properties">
      <xsd:complexType>
        <xsd:sequence>
          <xsd:element name="documentManagement">
            <xsd:complexType>
              <xsd:all>
                <xsd:element ref="ns2:Descriptions" minOccurs="0"/>
                <xsd:element ref="ns2:Keywor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d6f1ff-03c0-4429-a0b3-75d3f961d0f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5d234f-e82c-4878-9a50-4623bd66f6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Descriptions xmlns="44a56295-c29e-4898-8136-a54736c65b8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1ee89e71-04cd-405e-9ca3-99e020c1694d" ContentTypeId="0x0101" PreviousValue="false"/>
</file>

<file path=customXml/itemProps1.xml><?xml version="1.0" encoding="utf-8"?>
<ds:datastoreItem xmlns:ds="http://schemas.openxmlformats.org/officeDocument/2006/customXml" ds:itemID="{2EC9D0FE-247D-4794-8072-CAFD4A1249CE}">
  <ds:schemaRefs>
    <ds:schemaRef ds:uri="http://schemas.openxmlformats.org/officeDocument/2006/bibliography"/>
  </ds:schemaRefs>
</ds:datastoreItem>
</file>

<file path=customXml/itemProps2.xml><?xml version="1.0" encoding="utf-8"?>
<ds:datastoreItem xmlns:ds="http://schemas.openxmlformats.org/officeDocument/2006/customXml" ds:itemID="{E710F8AB-27C9-4313-87D0-E7EA631FDD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d6d6f1ff-03c0-4429-a0b3-75d3f961d0fd"/>
    <ds:schemaRef ds:uri="f55d234f-e82c-4878-9a50-4623bd66f6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548F34-3763-4432-9E76-52486FA546E1}">
  <ds:schemaRefs>
    <ds:schemaRef ds:uri="http://purl.org/dc/elements/1.1/"/>
    <ds:schemaRef ds:uri="http://schemas.microsoft.com/office/2006/metadata/properties"/>
    <ds:schemaRef ds:uri="44a56295-c29e-4898-8136-a54736c65b82"/>
    <ds:schemaRef ds:uri="f55d234f-e82c-4878-9a50-4623bd66f60c"/>
    <ds:schemaRef ds:uri="d6d6f1ff-03c0-4429-a0b3-75d3f961d0fd"/>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142E0833-F1A8-4F5B-B67D-9CD655F4929E}">
  <ds:schemaRefs>
    <ds:schemaRef ds:uri="http://schemas.microsoft.com/sharepoint/v3/contenttype/forms"/>
  </ds:schemaRefs>
</ds:datastoreItem>
</file>

<file path=customXml/itemProps5.xml><?xml version="1.0" encoding="utf-8"?>
<ds:datastoreItem xmlns:ds="http://schemas.openxmlformats.org/officeDocument/2006/customXml" ds:itemID="{5187BFD8-C1DC-4345-B4AF-04963B28265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streamlined.DOTX</Template>
  <TotalTime>14</TotalTime>
  <Pages>41</Pages>
  <Words>11968</Words>
  <Characters>69776</Characters>
  <Application>Microsoft Office Word</Application>
  <DocSecurity>0</DocSecurity>
  <Lines>1885</Lines>
  <Paragraphs>1021</Paragraphs>
  <ScaleCrop>false</ScaleCrop>
  <HeadingPairs>
    <vt:vector size="2" baseType="variant">
      <vt:variant>
        <vt:lpstr>Title</vt:lpstr>
      </vt:variant>
      <vt:variant>
        <vt:i4>1</vt:i4>
      </vt:variant>
    </vt:vector>
  </HeadingPairs>
  <TitlesOfParts>
    <vt:vector size="1" baseType="lpstr">
      <vt:lpstr>Australian public assessment report for Trastuzumab deruxtecan</vt:lpstr>
    </vt:vector>
  </TitlesOfParts>
  <Company>Department of Health </Company>
  <LinksUpToDate>false</LinksUpToDate>
  <CharactersWithSpaces>80723</CharactersWithSpaces>
  <SharedDoc>false</SharedDoc>
  <HLinks>
    <vt:vector size="132" baseType="variant">
      <vt:variant>
        <vt:i4>3473445</vt:i4>
      </vt:variant>
      <vt:variant>
        <vt:i4>189</vt:i4>
      </vt:variant>
      <vt:variant>
        <vt:i4>0</vt:i4>
      </vt:variant>
      <vt:variant>
        <vt:i4>5</vt:i4>
      </vt:variant>
      <vt:variant>
        <vt:lpwstr>https://www.tga.gov.au/</vt:lpwstr>
      </vt:variant>
      <vt:variant>
        <vt:lpwstr/>
      </vt:variant>
      <vt:variant>
        <vt:i4>5242926</vt:i4>
      </vt:variant>
      <vt:variant>
        <vt:i4>186</vt:i4>
      </vt:variant>
      <vt:variant>
        <vt:i4>0</vt:i4>
      </vt:variant>
      <vt:variant>
        <vt:i4>5</vt:i4>
      </vt:variant>
      <vt:variant>
        <vt:lpwstr>mailto:info@tga.gov.au</vt:lpwstr>
      </vt:variant>
      <vt:variant>
        <vt:lpwstr/>
      </vt:variant>
      <vt:variant>
        <vt:i4>4194312</vt:i4>
      </vt:variant>
      <vt:variant>
        <vt:i4>183</vt:i4>
      </vt:variant>
      <vt:variant>
        <vt:i4>0</vt:i4>
      </vt:variant>
      <vt:variant>
        <vt:i4>5</vt:i4>
      </vt:variant>
      <vt:variant>
        <vt:lpwstr>https://www.tga.gov.au/product-information-pi</vt:lpwstr>
      </vt:variant>
      <vt:variant>
        <vt:lpwstr/>
      </vt:variant>
      <vt:variant>
        <vt:i4>4194312</vt:i4>
      </vt:variant>
      <vt:variant>
        <vt:i4>108</vt:i4>
      </vt:variant>
      <vt:variant>
        <vt:i4>0</vt:i4>
      </vt:variant>
      <vt:variant>
        <vt:i4>5</vt:i4>
      </vt:variant>
      <vt:variant>
        <vt:lpwstr>https://www.tga.gov.au/product-information-pi</vt:lpwstr>
      </vt:variant>
      <vt:variant>
        <vt:lpwstr/>
      </vt:variant>
      <vt:variant>
        <vt:i4>2031666</vt:i4>
      </vt:variant>
      <vt:variant>
        <vt:i4>92</vt:i4>
      </vt:variant>
      <vt:variant>
        <vt:i4>0</vt:i4>
      </vt:variant>
      <vt:variant>
        <vt:i4>5</vt:i4>
      </vt:variant>
      <vt:variant>
        <vt:lpwstr/>
      </vt:variant>
      <vt:variant>
        <vt:lpwstr>_Toc103589848</vt:lpwstr>
      </vt:variant>
      <vt:variant>
        <vt:i4>2031666</vt:i4>
      </vt:variant>
      <vt:variant>
        <vt:i4>86</vt:i4>
      </vt:variant>
      <vt:variant>
        <vt:i4>0</vt:i4>
      </vt:variant>
      <vt:variant>
        <vt:i4>5</vt:i4>
      </vt:variant>
      <vt:variant>
        <vt:lpwstr/>
      </vt:variant>
      <vt:variant>
        <vt:lpwstr>_Toc103589847</vt:lpwstr>
      </vt:variant>
      <vt:variant>
        <vt:i4>2031666</vt:i4>
      </vt:variant>
      <vt:variant>
        <vt:i4>80</vt:i4>
      </vt:variant>
      <vt:variant>
        <vt:i4>0</vt:i4>
      </vt:variant>
      <vt:variant>
        <vt:i4>5</vt:i4>
      </vt:variant>
      <vt:variant>
        <vt:lpwstr/>
      </vt:variant>
      <vt:variant>
        <vt:lpwstr>_Toc103589846</vt:lpwstr>
      </vt:variant>
      <vt:variant>
        <vt:i4>2031666</vt:i4>
      </vt:variant>
      <vt:variant>
        <vt:i4>74</vt:i4>
      </vt:variant>
      <vt:variant>
        <vt:i4>0</vt:i4>
      </vt:variant>
      <vt:variant>
        <vt:i4>5</vt:i4>
      </vt:variant>
      <vt:variant>
        <vt:lpwstr/>
      </vt:variant>
      <vt:variant>
        <vt:lpwstr>_Toc103589845</vt:lpwstr>
      </vt:variant>
      <vt:variant>
        <vt:i4>2031666</vt:i4>
      </vt:variant>
      <vt:variant>
        <vt:i4>68</vt:i4>
      </vt:variant>
      <vt:variant>
        <vt:i4>0</vt:i4>
      </vt:variant>
      <vt:variant>
        <vt:i4>5</vt:i4>
      </vt:variant>
      <vt:variant>
        <vt:lpwstr/>
      </vt:variant>
      <vt:variant>
        <vt:lpwstr>_Toc103589844</vt:lpwstr>
      </vt:variant>
      <vt:variant>
        <vt:i4>2031666</vt:i4>
      </vt:variant>
      <vt:variant>
        <vt:i4>62</vt:i4>
      </vt:variant>
      <vt:variant>
        <vt:i4>0</vt:i4>
      </vt:variant>
      <vt:variant>
        <vt:i4>5</vt:i4>
      </vt:variant>
      <vt:variant>
        <vt:lpwstr/>
      </vt:variant>
      <vt:variant>
        <vt:lpwstr>_Toc103589843</vt:lpwstr>
      </vt:variant>
      <vt:variant>
        <vt:i4>2031666</vt:i4>
      </vt:variant>
      <vt:variant>
        <vt:i4>56</vt:i4>
      </vt:variant>
      <vt:variant>
        <vt:i4>0</vt:i4>
      </vt:variant>
      <vt:variant>
        <vt:i4>5</vt:i4>
      </vt:variant>
      <vt:variant>
        <vt:lpwstr/>
      </vt:variant>
      <vt:variant>
        <vt:lpwstr>_Toc103589842</vt:lpwstr>
      </vt:variant>
      <vt:variant>
        <vt:i4>2031666</vt:i4>
      </vt:variant>
      <vt:variant>
        <vt:i4>50</vt:i4>
      </vt:variant>
      <vt:variant>
        <vt:i4>0</vt:i4>
      </vt:variant>
      <vt:variant>
        <vt:i4>5</vt:i4>
      </vt:variant>
      <vt:variant>
        <vt:lpwstr/>
      </vt:variant>
      <vt:variant>
        <vt:lpwstr>_Toc103589841</vt:lpwstr>
      </vt:variant>
      <vt:variant>
        <vt:i4>2031666</vt:i4>
      </vt:variant>
      <vt:variant>
        <vt:i4>44</vt:i4>
      </vt:variant>
      <vt:variant>
        <vt:i4>0</vt:i4>
      </vt:variant>
      <vt:variant>
        <vt:i4>5</vt:i4>
      </vt:variant>
      <vt:variant>
        <vt:lpwstr/>
      </vt:variant>
      <vt:variant>
        <vt:lpwstr>_Toc103589840</vt:lpwstr>
      </vt:variant>
      <vt:variant>
        <vt:i4>1572914</vt:i4>
      </vt:variant>
      <vt:variant>
        <vt:i4>38</vt:i4>
      </vt:variant>
      <vt:variant>
        <vt:i4>0</vt:i4>
      </vt:variant>
      <vt:variant>
        <vt:i4>5</vt:i4>
      </vt:variant>
      <vt:variant>
        <vt:lpwstr/>
      </vt:variant>
      <vt:variant>
        <vt:lpwstr>_Toc103589839</vt:lpwstr>
      </vt:variant>
      <vt:variant>
        <vt:i4>1572914</vt:i4>
      </vt:variant>
      <vt:variant>
        <vt:i4>32</vt:i4>
      </vt:variant>
      <vt:variant>
        <vt:i4>0</vt:i4>
      </vt:variant>
      <vt:variant>
        <vt:i4>5</vt:i4>
      </vt:variant>
      <vt:variant>
        <vt:lpwstr/>
      </vt:variant>
      <vt:variant>
        <vt:lpwstr>_Toc103589838</vt:lpwstr>
      </vt:variant>
      <vt:variant>
        <vt:i4>1572914</vt:i4>
      </vt:variant>
      <vt:variant>
        <vt:i4>26</vt:i4>
      </vt:variant>
      <vt:variant>
        <vt:i4>0</vt:i4>
      </vt:variant>
      <vt:variant>
        <vt:i4>5</vt:i4>
      </vt:variant>
      <vt:variant>
        <vt:lpwstr/>
      </vt:variant>
      <vt:variant>
        <vt:lpwstr>_Toc103589837</vt:lpwstr>
      </vt:variant>
      <vt:variant>
        <vt:i4>1572914</vt:i4>
      </vt:variant>
      <vt:variant>
        <vt:i4>20</vt:i4>
      </vt:variant>
      <vt:variant>
        <vt:i4>0</vt:i4>
      </vt:variant>
      <vt:variant>
        <vt:i4>5</vt:i4>
      </vt:variant>
      <vt:variant>
        <vt:lpwstr/>
      </vt:variant>
      <vt:variant>
        <vt:lpwstr>_Toc103589836</vt:lpwstr>
      </vt:variant>
      <vt:variant>
        <vt:i4>1572914</vt:i4>
      </vt:variant>
      <vt:variant>
        <vt:i4>14</vt:i4>
      </vt:variant>
      <vt:variant>
        <vt:i4>0</vt:i4>
      </vt:variant>
      <vt:variant>
        <vt:i4>5</vt:i4>
      </vt:variant>
      <vt:variant>
        <vt:lpwstr/>
      </vt:variant>
      <vt:variant>
        <vt:lpwstr>_Toc103589835</vt:lpwstr>
      </vt:variant>
      <vt:variant>
        <vt:i4>1572914</vt:i4>
      </vt:variant>
      <vt:variant>
        <vt:i4>8</vt:i4>
      </vt:variant>
      <vt:variant>
        <vt:i4>0</vt:i4>
      </vt:variant>
      <vt:variant>
        <vt:i4>5</vt:i4>
      </vt:variant>
      <vt:variant>
        <vt:lpwstr/>
      </vt:variant>
      <vt:variant>
        <vt:lpwstr>_Toc103589834</vt:lpwstr>
      </vt:variant>
      <vt:variant>
        <vt:i4>6291548</vt:i4>
      </vt:variant>
      <vt:variant>
        <vt:i4>3</vt:i4>
      </vt:variant>
      <vt:variant>
        <vt:i4>0</vt:i4>
      </vt:variant>
      <vt:variant>
        <vt:i4>5</vt:i4>
      </vt:variant>
      <vt:variant>
        <vt:lpwstr>mailto:tga.copyright@tga.gov.au</vt:lpwstr>
      </vt:variant>
      <vt:variant>
        <vt:lpwstr/>
      </vt:variant>
      <vt:variant>
        <vt:i4>3473445</vt:i4>
      </vt:variant>
      <vt:variant>
        <vt:i4>0</vt:i4>
      </vt:variant>
      <vt:variant>
        <vt:i4>0</vt:i4>
      </vt:variant>
      <vt:variant>
        <vt:i4>5</vt:i4>
      </vt:variant>
      <vt:variant>
        <vt:lpwstr>https://www.tga.gov.au/</vt:lpwstr>
      </vt:variant>
      <vt:variant>
        <vt:lpwstr/>
      </vt:variant>
      <vt:variant>
        <vt:i4>4849745</vt:i4>
      </vt:variant>
      <vt:variant>
        <vt:i4>0</vt:i4>
      </vt:variant>
      <vt:variant>
        <vt:i4>0</vt:i4>
      </vt:variant>
      <vt:variant>
        <vt:i4>5</vt:i4>
      </vt:variant>
      <vt:variant>
        <vt:lpwstr>https://www.ebs.tga.gov.au/ebs/picmi/picmirepository.nsf/pdf?OpenAgent&amp;id=CP-2021-PI-02270-1&amp;d=20220516172310101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Trastuzumab deruxtecan</dc:title>
  <dc:subject>prescription medicine regulation</dc:subject>
  <dc:creator>Therapeutic Goods Administration</dc:creator>
  <cp:keywords/>
  <cp:lastModifiedBy>KOLARIK-OREILLY, Kristy</cp:lastModifiedBy>
  <cp:revision>4</cp:revision>
  <cp:lastPrinted>2019-08-14T12:30:00Z</cp:lastPrinted>
  <dcterms:created xsi:type="dcterms:W3CDTF">2022-06-15T01:25:00Z</dcterms:created>
  <dcterms:modified xsi:type="dcterms:W3CDTF">2022-06-27T05:11:00Z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0x010100D8AC5807C0D82546A95B337C95813926</vt:lpwstr>
  </property>
</Properties>
</file>