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CF408A" w14:textId="4BBBEB55" w:rsidR="00CA7BF6" w:rsidRPr="007D5F52" w:rsidRDefault="00CA7BF6" w:rsidP="006D7754">
      <w:pPr>
        <w:jc w:val="left"/>
        <w:rPr>
          <w:rFonts w:ascii="Wingdings 3" w:hAnsi="Wingdings 3"/>
          <w:sz w:val="24"/>
        </w:rPr>
      </w:pPr>
      <w:r w:rsidRPr="007D5F52">
        <w:rPr>
          <w:rFonts w:ascii="SimSun" w:eastAsia="SimSun" w:hAnsi="SimSun" w:cs="Arial"/>
          <w:sz w:val="40"/>
        </w:rPr>
        <w:t>▼</w:t>
      </w:r>
      <w:r w:rsidRPr="007D5F52">
        <w:t xml:space="preserve">This medicinal product is subject to additional monitoring in Australia. This will allow quick identification of new safety information. Healthcare professionals are asked to report any suspected adverse events at </w:t>
      </w:r>
      <w:hyperlink r:id="rId14" w:history="1">
        <w:r w:rsidRPr="007D5F52">
          <w:rPr>
            <w:rStyle w:val="Hyperlink"/>
          </w:rPr>
          <w:t>www.tga.gov.au/reporting-problems</w:t>
        </w:r>
      </w:hyperlink>
      <w:r w:rsidRPr="007D5F52">
        <w:t>.</w:t>
      </w:r>
    </w:p>
    <w:p w14:paraId="05EE0ED4" w14:textId="75228048" w:rsidR="004032BD" w:rsidRPr="007D5F52" w:rsidRDefault="004032BD" w:rsidP="006D7754">
      <w:pPr>
        <w:pStyle w:val="Heading1"/>
        <w:numPr>
          <w:ilvl w:val="0"/>
          <w:numId w:val="0"/>
        </w:numPr>
        <w:spacing w:after="240"/>
        <w:jc w:val="left"/>
        <w:rPr>
          <w:rFonts w:eastAsia="SimSun" w:cstheme="minorHAnsi"/>
        </w:rPr>
      </w:pPr>
      <w:r w:rsidRPr="007D5F52">
        <w:rPr>
          <w:rFonts w:eastAsia="SimSun" w:cstheme="minorHAnsi"/>
        </w:rPr>
        <w:t>Australian P</w:t>
      </w:r>
      <w:r w:rsidR="00677840" w:rsidRPr="007D5F52">
        <w:rPr>
          <w:rFonts w:eastAsia="SimSun" w:cstheme="minorHAnsi"/>
        </w:rPr>
        <w:t xml:space="preserve">roduct </w:t>
      </w:r>
      <w:r w:rsidRPr="007D5F52">
        <w:rPr>
          <w:rFonts w:eastAsia="SimSun" w:cstheme="minorHAnsi"/>
        </w:rPr>
        <w:t>I</w:t>
      </w:r>
      <w:r w:rsidR="00677840" w:rsidRPr="007D5F52">
        <w:rPr>
          <w:rFonts w:eastAsia="SimSun" w:cstheme="minorHAnsi"/>
        </w:rPr>
        <w:t>nformation</w:t>
      </w:r>
      <w:r w:rsidR="000A0708" w:rsidRPr="007D5F52">
        <w:rPr>
          <w:rFonts w:eastAsia="SimSun" w:cstheme="minorHAnsi"/>
        </w:rPr>
        <w:br/>
        <w:t>VERQUVO</w:t>
      </w:r>
      <w:r w:rsidR="00BB3423" w:rsidRPr="007D5F52">
        <w:rPr>
          <w:rFonts w:eastAsia="SimSun" w:cstheme="minorHAnsi"/>
          <w:vertAlign w:val="superscript"/>
        </w:rPr>
        <w:t>®</w:t>
      </w:r>
      <w:r w:rsidR="007E693C" w:rsidRPr="007D5F52">
        <w:rPr>
          <w:rFonts w:eastAsia="SimSun" w:cstheme="minorHAnsi"/>
        </w:rPr>
        <w:t xml:space="preserve"> </w:t>
      </w:r>
      <w:r w:rsidRPr="007D5F52">
        <w:rPr>
          <w:rFonts w:eastAsia="SimSun" w:cstheme="minorHAnsi"/>
        </w:rPr>
        <w:t>(</w:t>
      </w:r>
      <w:r w:rsidR="000A0708" w:rsidRPr="007D5F52">
        <w:rPr>
          <w:rFonts w:eastAsia="SimSun" w:cstheme="minorHAnsi"/>
        </w:rPr>
        <w:t>VERICIGUAT</w:t>
      </w:r>
      <w:r w:rsidRPr="007D5F52">
        <w:rPr>
          <w:rFonts w:eastAsia="SimSun" w:cstheme="minorHAnsi"/>
        </w:rPr>
        <w:t>)</w:t>
      </w:r>
      <w:r w:rsidR="00497C85" w:rsidRPr="007D5F52">
        <w:rPr>
          <w:rFonts w:eastAsia="SimSun" w:cstheme="minorHAnsi"/>
        </w:rPr>
        <w:t xml:space="preserve"> </w:t>
      </w:r>
      <w:r w:rsidR="000A0708" w:rsidRPr="007D5F52">
        <w:rPr>
          <w:rFonts w:eastAsia="SimSun" w:cstheme="minorHAnsi"/>
        </w:rPr>
        <w:t>FILM-COATED TABLETS</w:t>
      </w:r>
    </w:p>
    <w:p w14:paraId="18BB89C6" w14:textId="77777777" w:rsidR="001A3992" w:rsidRPr="007D5F52" w:rsidRDefault="001A3992" w:rsidP="006D7754">
      <w:pPr>
        <w:pStyle w:val="Heading1"/>
        <w:spacing w:before="0" w:after="120"/>
        <w:ind w:left="431" w:hanging="431"/>
        <w:jc w:val="left"/>
        <w:rPr>
          <w:rFonts w:cstheme="minorHAnsi"/>
        </w:rPr>
      </w:pPr>
      <w:r w:rsidRPr="007D5F52">
        <w:rPr>
          <w:rFonts w:cstheme="minorHAnsi"/>
        </w:rPr>
        <w:t>Name of the medicine</w:t>
      </w:r>
    </w:p>
    <w:p w14:paraId="6DA13197" w14:textId="7C421A04" w:rsidR="000A0708" w:rsidRPr="007D5F52" w:rsidRDefault="00926EEF" w:rsidP="006D7754">
      <w:pPr>
        <w:jc w:val="left"/>
      </w:pPr>
      <w:r w:rsidRPr="007D5F52">
        <w:t>V</w:t>
      </w:r>
      <w:r w:rsidR="000A0708" w:rsidRPr="007D5F52">
        <w:t>ericiguat</w:t>
      </w:r>
    </w:p>
    <w:p w14:paraId="5BF864B1" w14:textId="77777777" w:rsidR="001A3992" w:rsidRPr="007D5F52" w:rsidRDefault="001A3992" w:rsidP="006D7754">
      <w:pPr>
        <w:pStyle w:val="Heading1"/>
        <w:spacing w:before="0" w:after="120"/>
        <w:jc w:val="left"/>
        <w:rPr>
          <w:rFonts w:cstheme="minorHAnsi"/>
        </w:rPr>
      </w:pPr>
      <w:r w:rsidRPr="007D5F52">
        <w:rPr>
          <w:rFonts w:cstheme="minorHAnsi"/>
        </w:rPr>
        <w:t>Qualitative and quantitative composition</w:t>
      </w:r>
    </w:p>
    <w:p w14:paraId="633BB76F" w14:textId="3FCA7175" w:rsidR="000A0708" w:rsidRPr="007D5F52" w:rsidRDefault="000A0708" w:rsidP="006D7754">
      <w:pPr>
        <w:jc w:val="left"/>
        <w:rPr>
          <w:u w:val="single"/>
        </w:rPr>
      </w:pPr>
      <w:r w:rsidRPr="007D5F52">
        <w:rPr>
          <w:u w:val="single"/>
        </w:rPr>
        <w:t>VERQUVO</w:t>
      </w:r>
      <w:r w:rsidR="00BB3423" w:rsidRPr="007D5F52">
        <w:rPr>
          <w:u w:val="single"/>
        </w:rPr>
        <w:t>®</w:t>
      </w:r>
      <w:r w:rsidRPr="007D5F52">
        <w:rPr>
          <w:u w:val="single"/>
        </w:rPr>
        <w:t xml:space="preserve"> 2.5 mg film-coated tablets</w:t>
      </w:r>
    </w:p>
    <w:p w14:paraId="04F91510" w14:textId="77777777" w:rsidR="000A0708" w:rsidRPr="007D5F52" w:rsidRDefault="000A0708" w:rsidP="006D7754">
      <w:pPr>
        <w:jc w:val="left"/>
      </w:pPr>
      <w:r w:rsidRPr="007D5F52">
        <w:t>Each film-coated tablet contains 2.5 mg vericiguat.</w:t>
      </w:r>
    </w:p>
    <w:p w14:paraId="62A9C454" w14:textId="6D95EC4F" w:rsidR="000A0708" w:rsidRPr="007D5F52" w:rsidRDefault="000A0708" w:rsidP="006D7754">
      <w:pPr>
        <w:jc w:val="left"/>
        <w:rPr>
          <w:u w:val="single"/>
        </w:rPr>
      </w:pPr>
      <w:r w:rsidRPr="007D5F52">
        <w:rPr>
          <w:u w:val="single"/>
        </w:rPr>
        <w:t>VERQUVO</w:t>
      </w:r>
      <w:r w:rsidR="00BB3423" w:rsidRPr="007D5F52">
        <w:rPr>
          <w:u w:val="single"/>
        </w:rPr>
        <w:t>®</w:t>
      </w:r>
      <w:r w:rsidRPr="007D5F52">
        <w:rPr>
          <w:u w:val="single"/>
        </w:rPr>
        <w:t xml:space="preserve"> 5 mg film-coated tablets</w:t>
      </w:r>
    </w:p>
    <w:p w14:paraId="25DDA93A" w14:textId="77777777" w:rsidR="000A0708" w:rsidRPr="007D5F52" w:rsidRDefault="000A0708" w:rsidP="006D7754">
      <w:pPr>
        <w:jc w:val="left"/>
      </w:pPr>
      <w:r w:rsidRPr="007D5F52">
        <w:t>Each film-coated tablet contains 5 mg vericiguat.</w:t>
      </w:r>
    </w:p>
    <w:p w14:paraId="43B1E053" w14:textId="710278A1" w:rsidR="000A0708" w:rsidRPr="007D5F52" w:rsidRDefault="000A0708" w:rsidP="006D7754">
      <w:pPr>
        <w:jc w:val="left"/>
        <w:rPr>
          <w:u w:val="single"/>
        </w:rPr>
      </w:pPr>
      <w:r w:rsidRPr="007D5F52">
        <w:rPr>
          <w:u w:val="single"/>
        </w:rPr>
        <w:t>VERQUVO</w:t>
      </w:r>
      <w:r w:rsidR="00BB3423" w:rsidRPr="007D5F52">
        <w:rPr>
          <w:u w:val="single"/>
        </w:rPr>
        <w:t>®</w:t>
      </w:r>
      <w:r w:rsidRPr="007D5F52">
        <w:rPr>
          <w:u w:val="single"/>
        </w:rPr>
        <w:t xml:space="preserve"> 10 mg film-coated tablets</w:t>
      </w:r>
    </w:p>
    <w:p w14:paraId="19F7AA38" w14:textId="13FFDB8C" w:rsidR="000A0708" w:rsidRPr="007D5F52" w:rsidRDefault="000A0708" w:rsidP="006D7754">
      <w:pPr>
        <w:jc w:val="left"/>
      </w:pPr>
      <w:r w:rsidRPr="007D5F52">
        <w:t>Each film-coated tablet contains 10 mg vericiguat.</w:t>
      </w:r>
    </w:p>
    <w:p w14:paraId="1C3732D7" w14:textId="77777777" w:rsidR="005F6166" w:rsidRPr="007D5F52" w:rsidRDefault="005F6166" w:rsidP="006D7754">
      <w:pPr>
        <w:jc w:val="left"/>
        <w:rPr>
          <w:u w:val="single"/>
        </w:rPr>
      </w:pPr>
      <w:r w:rsidRPr="007D5F52">
        <w:rPr>
          <w:u w:val="single"/>
        </w:rPr>
        <w:t>Excipient with known effect</w:t>
      </w:r>
    </w:p>
    <w:p w14:paraId="0CA62385" w14:textId="56EA07AC" w:rsidR="005F6166" w:rsidRPr="007D5F52" w:rsidRDefault="005F6166" w:rsidP="006D7754">
      <w:pPr>
        <w:jc w:val="left"/>
      </w:pPr>
      <w:r w:rsidRPr="007D5F52">
        <w:t xml:space="preserve">Each 2.5 mg film-coated tablet contains </w:t>
      </w:r>
      <w:r w:rsidR="00BE7F6F" w:rsidRPr="007D5F52">
        <w:t>58.14</w:t>
      </w:r>
      <w:r w:rsidRPr="007D5F52">
        <w:t> mg lactose (as monohydrate).</w:t>
      </w:r>
    </w:p>
    <w:p w14:paraId="5CAD6EBF" w14:textId="47EB5AC4" w:rsidR="005F6166" w:rsidRPr="007D5F52" w:rsidRDefault="005F6166" w:rsidP="006D7754">
      <w:pPr>
        <w:jc w:val="left"/>
      </w:pPr>
      <w:r w:rsidRPr="007D5F52">
        <w:t xml:space="preserve">Each 5 mg film-coated tablet contains </w:t>
      </w:r>
      <w:r w:rsidR="00BE7F6F" w:rsidRPr="007D5F52">
        <w:t>55.59</w:t>
      </w:r>
      <w:r w:rsidRPr="007D5F52">
        <w:t> mg lactose (as monohydrate).</w:t>
      </w:r>
    </w:p>
    <w:p w14:paraId="59964281" w14:textId="260E9CC2" w:rsidR="005F6166" w:rsidRPr="007D5F52" w:rsidRDefault="005F6166" w:rsidP="006D7754">
      <w:pPr>
        <w:jc w:val="left"/>
      </w:pPr>
      <w:r w:rsidRPr="007D5F52">
        <w:t xml:space="preserve">Each 10 mg film-coated tablet contains </w:t>
      </w:r>
      <w:r w:rsidR="004F265A" w:rsidRPr="007D5F52">
        <w:t>11</w:t>
      </w:r>
      <w:r w:rsidR="00BE7F6F" w:rsidRPr="007D5F52">
        <w:t>1</w:t>
      </w:r>
      <w:r w:rsidR="004F265A" w:rsidRPr="007D5F52">
        <w:t>.</w:t>
      </w:r>
      <w:r w:rsidR="00BE7F6F" w:rsidRPr="007D5F52">
        <w:t>15</w:t>
      </w:r>
      <w:r w:rsidRPr="007D5F52">
        <w:t> mg lactose (as monohydrate).</w:t>
      </w:r>
    </w:p>
    <w:p w14:paraId="4D49E68F" w14:textId="2A18FCCB" w:rsidR="00497C85" w:rsidRPr="007D5F52" w:rsidRDefault="00497C85" w:rsidP="006D7754">
      <w:pPr>
        <w:jc w:val="left"/>
      </w:pPr>
      <w:r w:rsidRPr="007D5F52">
        <w:t xml:space="preserve">For the full list of excipients, see Section </w:t>
      </w:r>
      <w:r w:rsidR="00CF19E4" w:rsidRPr="007D5F52">
        <w:fldChar w:fldCharType="begin"/>
      </w:r>
      <w:r w:rsidR="00CF19E4" w:rsidRPr="007D5F52">
        <w:instrText xml:space="preserve"> REF _Ref39823958 \r \h  \* MERGEFORMAT </w:instrText>
      </w:r>
      <w:r w:rsidR="00CF19E4" w:rsidRPr="007D5F52">
        <w:fldChar w:fldCharType="separate"/>
      </w:r>
      <w:r w:rsidR="00315B56">
        <w:t>6.1</w:t>
      </w:r>
      <w:r w:rsidR="00CF19E4" w:rsidRPr="007D5F52">
        <w:fldChar w:fldCharType="end"/>
      </w:r>
      <w:r w:rsidR="00CF19E4" w:rsidRPr="007D5F52">
        <w:t xml:space="preserve"> </w:t>
      </w:r>
      <w:r w:rsidR="00CF19E4" w:rsidRPr="007D5F52">
        <w:fldChar w:fldCharType="begin"/>
      </w:r>
      <w:r w:rsidR="00CF19E4" w:rsidRPr="007D5F52">
        <w:instrText xml:space="preserve"> REF _Ref39823958 \h  \* MERGEFORMAT </w:instrText>
      </w:r>
      <w:r w:rsidR="00CF19E4" w:rsidRPr="007D5F52">
        <w:fldChar w:fldCharType="separate"/>
      </w:r>
      <w:r w:rsidR="00315B56" w:rsidRPr="00315B56">
        <w:t>List of excipients</w:t>
      </w:r>
      <w:r w:rsidR="00CF19E4" w:rsidRPr="007D5F52">
        <w:fldChar w:fldCharType="end"/>
      </w:r>
      <w:r w:rsidRPr="007D5F52">
        <w:t xml:space="preserve">. </w:t>
      </w:r>
    </w:p>
    <w:p w14:paraId="271EC8FA" w14:textId="77777777" w:rsidR="001A3992" w:rsidRPr="007D5F52" w:rsidRDefault="001A3992" w:rsidP="006D7754">
      <w:pPr>
        <w:pStyle w:val="Heading1"/>
        <w:spacing w:before="0" w:after="120"/>
        <w:jc w:val="left"/>
        <w:rPr>
          <w:rFonts w:cstheme="minorHAnsi"/>
        </w:rPr>
      </w:pPr>
      <w:r w:rsidRPr="007D5F52">
        <w:rPr>
          <w:rFonts w:cstheme="minorHAnsi"/>
        </w:rPr>
        <w:t>Pharmaceutical form</w:t>
      </w:r>
    </w:p>
    <w:p w14:paraId="6310EE2B" w14:textId="77777777" w:rsidR="004F04B3" w:rsidRPr="007D5F52" w:rsidRDefault="004F04B3" w:rsidP="006D7754">
      <w:pPr>
        <w:jc w:val="left"/>
      </w:pPr>
      <w:r w:rsidRPr="007D5F52">
        <w:t>Film-coated tablets.</w:t>
      </w:r>
    </w:p>
    <w:p w14:paraId="1B8DCF2D" w14:textId="0BF57DC7" w:rsidR="004F04B3" w:rsidRPr="007D5F52" w:rsidRDefault="004F04B3" w:rsidP="006D7754">
      <w:pPr>
        <w:jc w:val="left"/>
        <w:rPr>
          <w:u w:val="single"/>
        </w:rPr>
      </w:pPr>
      <w:r w:rsidRPr="007D5F52">
        <w:rPr>
          <w:u w:val="single"/>
        </w:rPr>
        <w:t>VERQUVO</w:t>
      </w:r>
      <w:r w:rsidR="00BB3423" w:rsidRPr="007D5F52">
        <w:rPr>
          <w:u w:val="single"/>
        </w:rPr>
        <w:t>®</w:t>
      </w:r>
      <w:r w:rsidRPr="007D5F52">
        <w:rPr>
          <w:u w:val="single"/>
        </w:rPr>
        <w:t xml:space="preserve"> 2.5 mg film-coated tablets</w:t>
      </w:r>
    </w:p>
    <w:p w14:paraId="2A51A5E0" w14:textId="77777777" w:rsidR="004F04B3" w:rsidRPr="007D5F52" w:rsidRDefault="004F04B3" w:rsidP="006D7754">
      <w:pPr>
        <w:jc w:val="left"/>
      </w:pPr>
      <w:r w:rsidRPr="007D5F52">
        <w:t>Round, biconvex, white film-coated tablet with a diameter of 7 mm, debossed with “2.5” on one side and “VC” on the other side.</w:t>
      </w:r>
    </w:p>
    <w:p w14:paraId="19554284" w14:textId="2EF25B43" w:rsidR="004F04B3" w:rsidRPr="007D5F52" w:rsidRDefault="004F04B3" w:rsidP="006D7754">
      <w:pPr>
        <w:jc w:val="left"/>
        <w:rPr>
          <w:u w:val="single"/>
        </w:rPr>
      </w:pPr>
      <w:r w:rsidRPr="007D5F52">
        <w:rPr>
          <w:u w:val="single"/>
        </w:rPr>
        <w:t>VERQUVO</w:t>
      </w:r>
      <w:r w:rsidR="00BB3423" w:rsidRPr="007D5F52">
        <w:rPr>
          <w:u w:val="single"/>
        </w:rPr>
        <w:t>®</w:t>
      </w:r>
      <w:r w:rsidRPr="007D5F52">
        <w:rPr>
          <w:u w:val="single"/>
        </w:rPr>
        <w:t xml:space="preserve"> 5 mg film-coated tablets</w:t>
      </w:r>
    </w:p>
    <w:p w14:paraId="76E58802" w14:textId="77777777" w:rsidR="004F04B3" w:rsidRPr="007D5F52" w:rsidRDefault="004F04B3" w:rsidP="006D7754">
      <w:pPr>
        <w:jc w:val="left"/>
      </w:pPr>
      <w:r w:rsidRPr="007D5F52">
        <w:t>Round, biconvex, brown-red film-coated tablet with a diameter of 7 mm, debossed with “5” on one side and “VC” on the other side.</w:t>
      </w:r>
    </w:p>
    <w:p w14:paraId="5E9FAE8F" w14:textId="070859A3" w:rsidR="004F04B3" w:rsidRPr="007D5F52" w:rsidRDefault="004F04B3" w:rsidP="006D7754">
      <w:pPr>
        <w:keepNext/>
        <w:jc w:val="left"/>
        <w:rPr>
          <w:u w:val="single"/>
        </w:rPr>
      </w:pPr>
      <w:r w:rsidRPr="007D5F52">
        <w:rPr>
          <w:u w:val="single"/>
        </w:rPr>
        <w:lastRenderedPageBreak/>
        <w:t>VERQUVO</w:t>
      </w:r>
      <w:r w:rsidR="00BB3423" w:rsidRPr="007D5F52">
        <w:rPr>
          <w:u w:val="single"/>
        </w:rPr>
        <w:t>®</w:t>
      </w:r>
      <w:r w:rsidRPr="007D5F52">
        <w:rPr>
          <w:u w:val="single"/>
        </w:rPr>
        <w:t xml:space="preserve"> 10 mg film-coated tablets</w:t>
      </w:r>
    </w:p>
    <w:p w14:paraId="2EF88B47" w14:textId="77777777" w:rsidR="004F04B3" w:rsidRPr="007D5F52" w:rsidRDefault="004F04B3" w:rsidP="006D7754">
      <w:pPr>
        <w:jc w:val="left"/>
      </w:pPr>
      <w:r w:rsidRPr="007D5F52">
        <w:t>Round, biconvex, yellow-orange film-coated tablet with a diameter of 9 mm, debossed with “10” on one side and “VC” on the other side.</w:t>
      </w:r>
    </w:p>
    <w:p w14:paraId="1003E8C7" w14:textId="77777777" w:rsidR="001A3992" w:rsidRPr="007D5F52" w:rsidRDefault="001A3992" w:rsidP="006D7754">
      <w:pPr>
        <w:pStyle w:val="Heading1"/>
        <w:spacing w:before="0" w:after="120"/>
        <w:jc w:val="left"/>
        <w:rPr>
          <w:rFonts w:cstheme="minorHAnsi"/>
        </w:rPr>
      </w:pPr>
      <w:r w:rsidRPr="007D5F52">
        <w:rPr>
          <w:rFonts w:cstheme="minorHAnsi"/>
        </w:rPr>
        <w:t>Clinical particulars</w:t>
      </w:r>
    </w:p>
    <w:p w14:paraId="0105E6CD" w14:textId="77777777" w:rsidR="001A3992" w:rsidRPr="007D5F52" w:rsidRDefault="001A3992" w:rsidP="006D7754">
      <w:pPr>
        <w:pStyle w:val="Heading2"/>
        <w:spacing w:before="0" w:after="120"/>
        <w:jc w:val="left"/>
        <w:rPr>
          <w:rFonts w:cstheme="minorHAnsi"/>
        </w:rPr>
      </w:pPr>
      <w:r w:rsidRPr="007D5F52">
        <w:rPr>
          <w:rFonts w:cstheme="minorHAnsi"/>
        </w:rPr>
        <w:t xml:space="preserve">Therapeutic indications </w:t>
      </w:r>
    </w:p>
    <w:p w14:paraId="5A73E50B" w14:textId="508E07E4" w:rsidR="000A0708" w:rsidRDefault="000A0708" w:rsidP="006D7754">
      <w:pPr>
        <w:jc w:val="left"/>
      </w:pPr>
      <w:r w:rsidRPr="007D5F52">
        <w:t>VERQUVO</w:t>
      </w:r>
      <w:r w:rsidR="00BB3423" w:rsidRPr="007D5F52">
        <w:t>®</w:t>
      </w:r>
      <w:r w:rsidRPr="007D5F52">
        <w:t xml:space="preserve"> </w:t>
      </w:r>
      <w:r w:rsidR="004D51F6" w:rsidRPr="007D5F52">
        <w:t xml:space="preserve">is indicated </w:t>
      </w:r>
      <w:r w:rsidR="005A1501">
        <w:t xml:space="preserve">in addition to standard of care therapy </w:t>
      </w:r>
      <w:r w:rsidR="004D51F6" w:rsidRPr="007D5F52">
        <w:t>for the treatment of symptomatic chronic heart failure in adult patients with</w:t>
      </w:r>
      <w:r w:rsidR="00D61698" w:rsidRPr="007D5F52">
        <w:t xml:space="preserve"> </w:t>
      </w:r>
      <w:r w:rsidR="000B0964">
        <w:t xml:space="preserve">reduced </w:t>
      </w:r>
      <w:r w:rsidR="004D51F6" w:rsidRPr="007D5F52">
        <w:t xml:space="preserve">ejection fraction </w:t>
      </w:r>
      <w:r w:rsidR="00113420" w:rsidRPr="007D5F52">
        <w:t xml:space="preserve">less than 45% </w:t>
      </w:r>
      <w:r w:rsidR="004D51F6" w:rsidRPr="007D5F52">
        <w:t xml:space="preserve">who </w:t>
      </w:r>
      <w:r w:rsidR="000B0964">
        <w:t>are stabilised after a recent</w:t>
      </w:r>
      <w:r w:rsidR="005A1501">
        <w:t xml:space="preserve"> heart failure</w:t>
      </w:r>
      <w:r w:rsidR="000B0964">
        <w:t xml:space="preserve"> decompensation event requiring </w:t>
      </w:r>
      <w:r w:rsidR="005A1501">
        <w:t xml:space="preserve">admission and/or </w:t>
      </w:r>
      <w:r w:rsidR="000B0964">
        <w:t>IV</w:t>
      </w:r>
      <w:r w:rsidR="005A1501">
        <w:t xml:space="preserve"> diuretic</w:t>
      </w:r>
      <w:r w:rsidR="000B0964">
        <w:t xml:space="preserve"> therapy</w:t>
      </w:r>
      <w:r w:rsidR="004D51F6" w:rsidRPr="007D5F52">
        <w:t xml:space="preserve"> (see Section </w:t>
      </w:r>
      <w:r w:rsidR="004D51F6" w:rsidRPr="007D5F52">
        <w:fldChar w:fldCharType="begin"/>
      </w:r>
      <w:r w:rsidR="004D51F6" w:rsidRPr="007D5F52">
        <w:instrText xml:space="preserve"> REF _Ref39825432 \r \h </w:instrText>
      </w:r>
      <w:r w:rsidR="006662A4">
        <w:instrText xml:space="preserve"> \* MERGEFORMAT </w:instrText>
      </w:r>
      <w:r w:rsidR="004D51F6" w:rsidRPr="007D5F52">
        <w:fldChar w:fldCharType="separate"/>
      </w:r>
      <w:r w:rsidR="00315B56">
        <w:t>5.1</w:t>
      </w:r>
      <w:r w:rsidR="004D51F6" w:rsidRPr="007D5F52">
        <w:fldChar w:fldCharType="end"/>
      </w:r>
      <w:r w:rsidR="004D51F6" w:rsidRPr="007D5F52">
        <w:t xml:space="preserve"> </w:t>
      </w:r>
      <w:r w:rsidR="004D51F6" w:rsidRPr="007D5F52">
        <w:fldChar w:fldCharType="begin"/>
      </w:r>
      <w:r w:rsidR="004D51F6" w:rsidRPr="007D5F52">
        <w:instrText xml:space="preserve"> REF _Ref39825432 \h </w:instrText>
      </w:r>
      <w:r w:rsidR="006662A4">
        <w:instrText xml:space="preserve"> \* MERGEFORMAT </w:instrText>
      </w:r>
      <w:r w:rsidR="004D51F6" w:rsidRPr="007D5F52">
        <w:fldChar w:fldCharType="separate"/>
      </w:r>
      <w:r w:rsidR="00315B56" w:rsidRPr="007D5F52">
        <w:rPr>
          <w:rFonts w:cstheme="minorHAnsi"/>
        </w:rPr>
        <w:t>Pharmacodynamic properties</w:t>
      </w:r>
      <w:r w:rsidR="004D51F6" w:rsidRPr="007D5F52">
        <w:fldChar w:fldCharType="end"/>
      </w:r>
      <w:r w:rsidR="004D51F6" w:rsidRPr="007D5F52">
        <w:t xml:space="preserve"> – </w:t>
      </w:r>
      <w:r w:rsidR="004D51F6" w:rsidRPr="007D5F52">
        <w:fldChar w:fldCharType="begin"/>
      </w:r>
      <w:r w:rsidR="004D51F6" w:rsidRPr="007D5F52">
        <w:instrText xml:space="preserve"> REF _Ref39825437 \h </w:instrText>
      </w:r>
      <w:r w:rsidR="006662A4">
        <w:instrText xml:space="preserve"> \* MERGEFORMAT </w:instrText>
      </w:r>
      <w:r w:rsidR="004D51F6" w:rsidRPr="007D5F52">
        <w:fldChar w:fldCharType="separate"/>
      </w:r>
      <w:r w:rsidR="00315B56" w:rsidRPr="007D5F52">
        <w:t>Clinical trials</w:t>
      </w:r>
      <w:r w:rsidR="004D51F6" w:rsidRPr="007D5F52">
        <w:fldChar w:fldCharType="end"/>
      </w:r>
      <w:r w:rsidR="004D51F6" w:rsidRPr="007D5F52">
        <w:t>).</w:t>
      </w:r>
    </w:p>
    <w:p w14:paraId="2B26B509" w14:textId="1BA0B5F3" w:rsidR="001A3992" w:rsidRPr="007D5F52" w:rsidRDefault="001A3992" w:rsidP="006D7754">
      <w:pPr>
        <w:pStyle w:val="Heading2"/>
        <w:spacing w:before="0" w:after="120"/>
        <w:jc w:val="left"/>
        <w:rPr>
          <w:rFonts w:cstheme="minorHAnsi"/>
        </w:rPr>
      </w:pPr>
      <w:bookmarkStart w:id="0" w:name="_Ref39825044"/>
      <w:bookmarkStart w:id="1" w:name="_Ref40455952"/>
      <w:r w:rsidRPr="007D5F52">
        <w:rPr>
          <w:rFonts w:cstheme="minorHAnsi"/>
        </w:rPr>
        <w:t>Dose and method of administration</w:t>
      </w:r>
      <w:bookmarkEnd w:id="0"/>
      <w:bookmarkEnd w:id="1"/>
    </w:p>
    <w:p w14:paraId="06FBD7A4" w14:textId="77777777" w:rsidR="000A0708" w:rsidRPr="007D5F52" w:rsidRDefault="000A0708" w:rsidP="006D7754">
      <w:pPr>
        <w:pStyle w:val="Heading3"/>
        <w:jc w:val="left"/>
      </w:pPr>
      <w:r w:rsidRPr="007D5F52">
        <w:t>Adults</w:t>
      </w:r>
    </w:p>
    <w:p w14:paraId="032021C3" w14:textId="1AF47143" w:rsidR="00D22902" w:rsidRPr="007D5F52" w:rsidRDefault="005A1501" w:rsidP="006D7754">
      <w:pPr>
        <w:jc w:val="left"/>
      </w:pPr>
      <w:r>
        <w:t xml:space="preserve">VERQUVO® should be initiated </w:t>
      </w:r>
      <w:r w:rsidR="00ED33A3" w:rsidRPr="00ED33A3">
        <w:t>under the supervision of a cardiologist</w:t>
      </w:r>
      <w:r w:rsidR="00F120C9">
        <w:t xml:space="preserve">. </w:t>
      </w:r>
      <w:r w:rsidR="00D22902" w:rsidRPr="007D5F52">
        <w:t>The recommended starting dose of VERQUVO® is 2.5 mg once daily. The dose should be doubled approximately every 2 weeks to reach the target maintenance dose of 10 mg once daily, as tolerated by the patient.</w:t>
      </w:r>
    </w:p>
    <w:p w14:paraId="51ED4EAC" w14:textId="73D48FEB" w:rsidR="008376FB" w:rsidRDefault="008376FB" w:rsidP="006D7754">
      <w:pPr>
        <w:jc w:val="left"/>
      </w:pPr>
      <w:r w:rsidRPr="008376FB">
        <w:t xml:space="preserve">Before starting </w:t>
      </w:r>
      <w:r>
        <w:t>VERQUVO®</w:t>
      </w:r>
      <w:r w:rsidRPr="008376FB">
        <w:t>, care should be taken to optimise volume status and diuretic therapy to stabilise patients after the decompensation event, particularly in patients with very high NT-</w:t>
      </w:r>
      <w:proofErr w:type="spellStart"/>
      <w:r w:rsidRPr="008376FB">
        <w:t>proBNP</w:t>
      </w:r>
      <w:proofErr w:type="spellEnd"/>
      <w:r w:rsidRPr="008376FB">
        <w:t xml:space="preserve"> levels</w:t>
      </w:r>
      <w:r>
        <w:t xml:space="preserve"> </w:t>
      </w:r>
      <w:r w:rsidRPr="007D5F52">
        <w:t xml:space="preserve">(see Section </w:t>
      </w:r>
      <w:r w:rsidRPr="007D5F52">
        <w:fldChar w:fldCharType="begin"/>
      </w:r>
      <w:r w:rsidRPr="007D5F52">
        <w:instrText xml:space="preserve"> REF _Ref39825432 \r \h </w:instrText>
      </w:r>
      <w:r w:rsidR="006662A4">
        <w:instrText xml:space="preserve"> \* MERGEFORMAT </w:instrText>
      </w:r>
      <w:r w:rsidRPr="007D5F52">
        <w:fldChar w:fldCharType="separate"/>
      </w:r>
      <w:r>
        <w:t>5.1</w:t>
      </w:r>
      <w:r w:rsidRPr="007D5F52">
        <w:fldChar w:fldCharType="end"/>
      </w:r>
      <w:r w:rsidRPr="007D5F52">
        <w:t xml:space="preserve"> </w:t>
      </w:r>
      <w:r w:rsidRPr="007D5F52">
        <w:fldChar w:fldCharType="begin"/>
      </w:r>
      <w:r w:rsidRPr="007D5F52">
        <w:instrText xml:space="preserve"> REF _Ref39825432 \h </w:instrText>
      </w:r>
      <w:r w:rsidR="006662A4">
        <w:instrText xml:space="preserve"> \* MERGEFORMAT </w:instrText>
      </w:r>
      <w:r w:rsidRPr="007D5F52">
        <w:fldChar w:fldCharType="separate"/>
      </w:r>
      <w:r w:rsidRPr="007D5F52">
        <w:rPr>
          <w:rFonts w:cstheme="minorHAnsi"/>
        </w:rPr>
        <w:t>Pharmacodynamic properties</w:t>
      </w:r>
      <w:r w:rsidRPr="007D5F52">
        <w:fldChar w:fldCharType="end"/>
      </w:r>
      <w:r w:rsidRPr="007D5F52">
        <w:t xml:space="preserve"> – </w:t>
      </w:r>
      <w:r w:rsidRPr="007D5F52">
        <w:fldChar w:fldCharType="begin"/>
      </w:r>
      <w:r w:rsidRPr="007D5F52">
        <w:instrText xml:space="preserve"> REF _Ref39825437 \h </w:instrText>
      </w:r>
      <w:r w:rsidR="006662A4">
        <w:instrText xml:space="preserve"> \* MERGEFORMAT </w:instrText>
      </w:r>
      <w:r w:rsidRPr="007D5F52">
        <w:fldChar w:fldCharType="separate"/>
      </w:r>
      <w:r w:rsidRPr="007D5F52">
        <w:t>Clinical trials</w:t>
      </w:r>
      <w:r w:rsidRPr="007D5F52">
        <w:fldChar w:fldCharType="end"/>
      </w:r>
      <w:r w:rsidRPr="007D5F52">
        <w:t>).</w:t>
      </w:r>
    </w:p>
    <w:p w14:paraId="2C13B84F" w14:textId="306867D8" w:rsidR="00D22902" w:rsidRDefault="00D22902" w:rsidP="006D7754">
      <w:pPr>
        <w:jc w:val="left"/>
      </w:pPr>
      <w:r w:rsidRPr="007D5F52">
        <w:t>If patients experience symptomatic hypotension, dose adjustment of concomitant diuretics and treatment of other causes of hypotension (</w:t>
      </w:r>
      <w:proofErr w:type="gramStart"/>
      <w:r w:rsidRPr="007D5F52">
        <w:t>e.g.</w:t>
      </w:r>
      <w:proofErr w:type="gramEnd"/>
      <w:r w:rsidRPr="007D5F52">
        <w:t xml:space="preserve"> hypovolaemia) should be considered. If symptomatic hypotension persists despite such measures, temporary reduction in dose or interruption of VERQUVO® should be considered (see Section </w:t>
      </w:r>
      <w:r w:rsidRPr="007D5F52">
        <w:fldChar w:fldCharType="begin"/>
      </w:r>
      <w:r w:rsidRPr="007D5F52">
        <w:instrText xml:space="preserve"> REF _Ref39824947 \r \h </w:instrText>
      </w:r>
      <w:r w:rsidR="006662A4">
        <w:instrText xml:space="preserve"> \* MERGEFORMAT </w:instrText>
      </w:r>
      <w:r w:rsidRPr="007D5F52">
        <w:fldChar w:fldCharType="separate"/>
      </w:r>
      <w:r w:rsidR="00315B56">
        <w:t>4.4</w:t>
      </w:r>
      <w:r w:rsidRPr="007D5F52">
        <w:fldChar w:fldCharType="end"/>
      </w:r>
      <w:r w:rsidRPr="007D5F52">
        <w:t xml:space="preserve"> </w:t>
      </w:r>
      <w:r w:rsidRPr="007D5F52">
        <w:fldChar w:fldCharType="begin"/>
      </w:r>
      <w:r w:rsidRPr="007D5F52">
        <w:instrText xml:space="preserve"> REF _Ref39824947 \h </w:instrText>
      </w:r>
      <w:r w:rsidR="006662A4">
        <w:instrText xml:space="preserve"> \* MERGEFORMAT </w:instrText>
      </w:r>
      <w:r w:rsidRPr="007D5F52">
        <w:fldChar w:fldCharType="separate"/>
      </w:r>
      <w:r w:rsidR="00315B56" w:rsidRPr="007D5F52">
        <w:rPr>
          <w:rFonts w:cstheme="minorHAnsi"/>
        </w:rPr>
        <w:t>Special warnings and precautions for use</w:t>
      </w:r>
      <w:r w:rsidRPr="007D5F52">
        <w:fldChar w:fldCharType="end"/>
      </w:r>
      <w:r w:rsidRPr="007D5F52">
        <w:t>).</w:t>
      </w:r>
    </w:p>
    <w:p w14:paraId="2D63FF4A" w14:textId="1C78A64D" w:rsidR="008376FB" w:rsidRDefault="008376FB" w:rsidP="006D7754">
      <w:pPr>
        <w:jc w:val="left"/>
      </w:pPr>
      <w:r>
        <w:t>Treatment should not be initiated in patients with SBP &lt;100 mmHg</w:t>
      </w:r>
      <w:r w:rsidR="001E20BD">
        <w:t xml:space="preserve"> </w:t>
      </w:r>
      <w:r w:rsidR="001E20BD" w:rsidRPr="007D5F52">
        <w:t xml:space="preserve">(see Section </w:t>
      </w:r>
      <w:r w:rsidR="001E20BD" w:rsidRPr="007D5F52">
        <w:fldChar w:fldCharType="begin"/>
      </w:r>
      <w:r w:rsidR="001E20BD" w:rsidRPr="007D5F52">
        <w:instrText xml:space="preserve"> REF _Ref39824947 \r \h </w:instrText>
      </w:r>
      <w:r w:rsidR="006662A4">
        <w:instrText xml:space="preserve"> \* MERGEFORMAT </w:instrText>
      </w:r>
      <w:r w:rsidR="001E20BD" w:rsidRPr="007D5F52">
        <w:fldChar w:fldCharType="separate"/>
      </w:r>
      <w:r w:rsidR="001E20BD">
        <w:t>4.4</w:t>
      </w:r>
      <w:r w:rsidR="001E20BD" w:rsidRPr="007D5F52">
        <w:fldChar w:fldCharType="end"/>
      </w:r>
      <w:r w:rsidR="001E20BD" w:rsidRPr="007D5F52">
        <w:t xml:space="preserve"> </w:t>
      </w:r>
      <w:r w:rsidR="001E20BD" w:rsidRPr="007D5F52">
        <w:fldChar w:fldCharType="begin"/>
      </w:r>
      <w:r w:rsidR="001E20BD" w:rsidRPr="007D5F52">
        <w:instrText xml:space="preserve"> REF _Ref39824947 \h </w:instrText>
      </w:r>
      <w:r w:rsidR="006662A4">
        <w:instrText xml:space="preserve"> \* MERGEFORMAT </w:instrText>
      </w:r>
      <w:r w:rsidR="001E20BD" w:rsidRPr="007D5F52">
        <w:fldChar w:fldCharType="separate"/>
      </w:r>
      <w:r w:rsidR="001E20BD" w:rsidRPr="007D5F52">
        <w:rPr>
          <w:rFonts w:cstheme="minorHAnsi"/>
        </w:rPr>
        <w:t>Special warnings and precautions for use</w:t>
      </w:r>
      <w:r w:rsidR="001E20BD" w:rsidRPr="007D5F52">
        <w:fldChar w:fldCharType="end"/>
      </w:r>
      <w:r w:rsidR="001E20BD" w:rsidRPr="007D5F52">
        <w:t>).</w:t>
      </w:r>
    </w:p>
    <w:p w14:paraId="2F31C6AF" w14:textId="729078A2" w:rsidR="00D22902" w:rsidRPr="007D5F52" w:rsidRDefault="00D22902" w:rsidP="006D7754">
      <w:pPr>
        <w:pStyle w:val="Heading4"/>
        <w:jc w:val="left"/>
      </w:pPr>
      <w:r w:rsidRPr="007D5F52">
        <w:t>Method of administration</w:t>
      </w:r>
    </w:p>
    <w:p w14:paraId="40F03D86" w14:textId="4656ABC4" w:rsidR="00D22902" w:rsidRPr="007D5F52" w:rsidRDefault="00D22902" w:rsidP="006D7754">
      <w:pPr>
        <w:jc w:val="left"/>
      </w:pPr>
      <w:r w:rsidRPr="007D5F52">
        <w:t xml:space="preserve">For oral use. VERQUVO® should be taken with food (see Section </w:t>
      </w:r>
      <w:r w:rsidRPr="007D5F52">
        <w:fldChar w:fldCharType="begin"/>
      </w:r>
      <w:r w:rsidRPr="007D5F52">
        <w:instrText xml:space="preserve"> REF _Ref39836713 \r \h  \* MERGEFORMAT </w:instrText>
      </w:r>
      <w:r w:rsidRPr="007D5F52">
        <w:fldChar w:fldCharType="separate"/>
      </w:r>
      <w:r w:rsidR="00315B56">
        <w:t>5.2</w:t>
      </w:r>
      <w:r w:rsidRPr="007D5F52">
        <w:fldChar w:fldCharType="end"/>
      </w:r>
      <w:r w:rsidRPr="007D5F52">
        <w:t xml:space="preserve"> </w:t>
      </w:r>
      <w:r w:rsidRPr="007D5F52">
        <w:fldChar w:fldCharType="begin"/>
      </w:r>
      <w:r w:rsidRPr="007D5F52">
        <w:instrText xml:space="preserve"> REF _Ref39836713 \h  \* MERGEFORMAT </w:instrText>
      </w:r>
      <w:r w:rsidRPr="007D5F52">
        <w:fldChar w:fldCharType="separate"/>
      </w:r>
      <w:r w:rsidR="00315B56" w:rsidRPr="007D5F52">
        <w:rPr>
          <w:rFonts w:cstheme="minorHAnsi"/>
        </w:rPr>
        <w:t>Pharmacokinetic properties</w:t>
      </w:r>
      <w:r w:rsidRPr="007D5F52">
        <w:fldChar w:fldCharType="end"/>
      </w:r>
      <w:r w:rsidRPr="007D5F52">
        <w:t>).</w:t>
      </w:r>
    </w:p>
    <w:p w14:paraId="2B70D218" w14:textId="3C53F75E" w:rsidR="00D22902" w:rsidRPr="007D5F52" w:rsidRDefault="00D22902" w:rsidP="006D7754">
      <w:pPr>
        <w:jc w:val="left"/>
      </w:pPr>
      <w:r w:rsidRPr="007D5F52">
        <w:t xml:space="preserve">For patients who are unable to swallow whole tablets, VERQUVO® may be crushed and mixed with water immediately before administration (see Section </w:t>
      </w:r>
      <w:r w:rsidRPr="007D5F52">
        <w:fldChar w:fldCharType="begin"/>
      </w:r>
      <w:r w:rsidRPr="007D5F52">
        <w:instrText xml:space="preserve"> REF _Ref39836713 \r \h  \* MERGEFORMAT </w:instrText>
      </w:r>
      <w:r w:rsidRPr="007D5F52">
        <w:fldChar w:fldCharType="separate"/>
      </w:r>
      <w:r w:rsidR="00315B56">
        <w:t>5.2</w:t>
      </w:r>
      <w:r w:rsidRPr="007D5F52">
        <w:fldChar w:fldCharType="end"/>
      </w:r>
      <w:r w:rsidRPr="007D5F52">
        <w:t xml:space="preserve"> </w:t>
      </w:r>
      <w:r w:rsidRPr="007D5F52">
        <w:fldChar w:fldCharType="begin"/>
      </w:r>
      <w:r w:rsidRPr="007D5F52">
        <w:instrText xml:space="preserve"> REF _Ref39836713 \h  \* MERGEFORMAT </w:instrText>
      </w:r>
      <w:r w:rsidRPr="007D5F52">
        <w:fldChar w:fldCharType="separate"/>
      </w:r>
      <w:r w:rsidR="00315B56" w:rsidRPr="007D5F52">
        <w:rPr>
          <w:rFonts w:cstheme="minorHAnsi"/>
        </w:rPr>
        <w:t>Pharmacokinetic properties</w:t>
      </w:r>
      <w:r w:rsidRPr="007D5F52">
        <w:fldChar w:fldCharType="end"/>
      </w:r>
      <w:r w:rsidRPr="007D5F52">
        <w:t>).</w:t>
      </w:r>
    </w:p>
    <w:p w14:paraId="6D9BD318" w14:textId="77777777" w:rsidR="000A0708" w:rsidRPr="007D5F52" w:rsidRDefault="000A0708" w:rsidP="006D7754">
      <w:pPr>
        <w:pStyle w:val="Heading4"/>
        <w:jc w:val="left"/>
      </w:pPr>
      <w:r w:rsidRPr="007D5F52">
        <w:t>Missed Dose</w:t>
      </w:r>
    </w:p>
    <w:p w14:paraId="0DFE2D58" w14:textId="74BD3A0E" w:rsidR="000A0708" w:rsidRPr="007D5F52" w:rsidRDefault="000A0708" w:rsidP="006D7754">
      <w:pPr>
        <w:jc w:val="left"/>
      </w:pPr>
      <w:r w:rsidRPr="007D5F52">
        <w:t>If a dose is missed, it should be taken as soon as the patient remembers on the same day of the missed dose. Patients should not take two doses of VERQUVO</w:t>
      </w:r>
      <w:r w:rsidR="00BB3423" w:rsidRPr="007D5F52">
        <w:t>®</w:t>
      </w:r>
      <w:r w:rsidRPr="007D5F52">
        <w:t xml:space="preserve"> </w:t>
      </w:r>
      <w:r w:rsidR="00770FFE" w:rsidRPr="007D5F52">
        <w:t>on the same day.</w:t>
      </w:r>
    </w:p>
    <w:p w14:paraId="2733584F" w14:textId="77777777" w:rsidR="000A0708" w:rsidRPr="007D5F52" w:rsidRDefault="000A0708" w:rsidP="006D7754">
      <w:pPr>
        <w:pStyle w:val="Heading3"/>
        <w:jc w:val="left"/>
      </w:pPr>
      <w:bookmarkStart w:id="2" w:name="_Ref39837477"/>
      <w:r w:rsidRPr="007D5F52">
        <w:t>Renal Impairment</w:t>
      </w:r>
      <w:bookmarkEnd w:id="2"/>
    </w:p>
    <w:p w14:paraId="77CF8F82" w14:textId="7F265B70" w:rsidR="000A0708" w:rsidRPr="007D5F52" w:rsidRDefault="000A0708" w:rsidP="006D7754">
      <w:pPr>
        <w:jc w:val="left"/>
      </w:pPr>
      <w:r w:rsidRPr="007D5F52">
        <w:t xml:space="preserve">No dose adjustment of </w:t>
      </w:r>
      <w:r w:rsidR="004F04B3" w:rsidRPr="007D5F52">
        <w:t>VERQUVO</w:t>
      </w:r>
      <w:r w:rsidR="00BB3423" w:rsidRPr="007D5F52">
        <w:t>®</w:t>
      </w:r>
      <w:r w:rsidR="004F04B3" w:rsidRPr="007D5F52">
        <w:t xml:space="preserve"> </w:t>
      </w:r>
      <w:r w:rsidRPr="007D5F52">
        <w:t>is required in patients with estimated glomerular filtration rate (eGFR) ≥15 mL/min/1.73m</w:t>
      </w:r>
      <w:r w:rsidRPr="007D5F52">
        <w:rPr>
          <w:vertAlign w:val="superscript"/>
        </w:rPr>
        <w:t xml:space="preserve">2 </w:t>
      </w:r>
      <w:r w:rsidRPr="007D5F52">
        <w:t xml:space="preserve">(without dialysis). </w:t>
      </w:r>
      <w:r w:rsidR="004F04B3" w:rsidRPr="007D5F52">
        <w:t>VERQUVO</w:t>
      </w:r>
      <w:r w:rsidR="00BB3423" w:rsidRPr="007D5F52">
        <w:t>®</w:t>
      </w:r>
      <w:r w:rsidR="004F04B3" w:rsidRPr="007D5F52">
        <w:t xml:space="preserve"> </w:t>
      </w:r>
      <w:r w:rsidRPr="007D5F52">
        <w:t>has not been studied in patients with eGFR &lt;15 mL/min/1.73m</w:t>
      </w:r>
      <w:r w:rsidRPr="007D5F52">
        <w:rPr>
          <w:vertAlign w:val="superscript"/>
        </w:rPr>
        <w:t>2</w:t>
      </w:r>
      <w:r w:rsidRPr="007D5F52">
        <w:t xml:space="preserve"> at treatment initiation or on dialysis and is therefore not recommended in these patients </w:t>
      </w:r>
      <w:r w:rsidR="0006006F" w:rsidRPr="007D5F52">
        <w:t xml:space="preserve">(see Section </w:t>
      </w:r>
      <w:r w:rsidR="0006006F" w:rsidRPr="007D5F52">
        <w:fldChar w:fldCharType="begin"/>
      </w:r>
      <w:r w:rsidR="0006006F" w:rsidRPr="007D5F52">
        <w:instrText xml:space="preserve"> REF _Ref39824947 \r \h </w:instrText>
      </w:r>
      <w:r w:rsidR="006662A4">
        <w:instrText xml:space="preserve"> \* MERGEFORMAT </w:instrText>
      </w:r>
      <w:r w:rsidR="0006006F" w:rsidRPr="007D5F52">
        <w:fldChar w:fldCharType="separate"/>
      </w:r>
      <w:r w:rsidR="00315B56">
        <w:t>4.4</w:t>
      </w:r>
      <w:r w:rsidR="0006006F" w:rsidRPr="007D5F52">
        <w:fldChar w:fldCharType="end"/>
      </w:r>
      <w:r w:rsidR="0006006F" w:rsidRPr="007D5F52">
        <w:t xml:space="preserve"> </w:t>
      </w:r>
      <w:r w:rsidR="0006006F" w:rsidRPr="007D5F52">
        <w:fldChar w:fldCharType="begin"/>
      </w:r>
      <w:r w:rsidR="0006006F" w:rsidRPr="007D5F52">
        <w:instrText xml:space="preserve"> REF _Ref39824947 \h </w:instrText>
      </w:r>
      <w:r w:rsidR="006662A4">
        <w:instrText xml:space="preserve"> \* MERGEFORMAT </w:instrText>
      </w:r>
      <w:r w:rsidR="0006006F" w:rsidRPr="007D5F52">
        <w:fldChar w:fldCharType="separate"/>
      </w:r>
      <w:r w:rsidR="00315B56" w:rsidRPr="007D5F52">
        <w:rPr>
          <w:rFonts w:cstheme="minorHAnsi"/>
        </w:rPr>
        <w:t>Special warnings and precautions for use</w:t>
      </w:r>
      <w:r w:rsidR="0006006F" w:rsidRPr="007D5F52">
        <w:fldChar w:fldCharType="end"/>
      </w:r>
      <w:r w:rsidR="0006006F" w:rsidRPr="007D5F52">
        <w:t xml:space="preserve"> – </w:t>
      </w:r>
      <w:r w:rsidR="0006006F" w:rsidRPr="007D5F52">
        <w:fldChar w:fldCharType="begin"/>
      </w:r>
      <w:r w:rsidR="0006006F" w:rsidRPr="007D5F52">
        <w:instrText xml:space="preserve"> REF _Ref39837061 \h </w:instrText>
      </w:r>
      <w:r w:rsidR="006662A4">
        <w:instrText xml:space="preserve"> \* MERGEFORMAT </w:instrText>
      </w:r>
      <w:r w:rsidR="0006006F" w:rsidRPr="007D5F52">
        <w:fldChar w:fldCharType="separate"/>
      </w:r>
      <w:r w:rsidR="00315B56" w:rsidRPr="007D5F52">
        <w:rPr>
          <w:rFonts w:cstheme="minorHAnsi"/>
        </w:rPr>
        <w:t>Use in renal impairment</w:t>
      </w:r>
      <w:r w:rsidR="0006006F" w:rsidRPr="007D5F52">
        <w:fldChar w:fldCharType="end"/>
      </w:r>
      <w:r w:rsidR="0006006F" w:rsidRPr="007D5F52">
        <w:t xml:space="preserve">, </w:t>
      </w:r>
      <w:r w:rsidR="0006006F" w:rsidRPr="007D5F52">
        <w:lastRenderedPageBreak/>
        <w:t xml:space="preserve">Section </w:t>
      </w:r>
      <w:r w:rsidR="0006006F" w:rsidRPr="007D5F52">
        <w:fldChar w:fldCharType="begin"/>
      </w:r>
      <w:r w:rsidR="0006006F" w:rsidRPr="007D5F52">
        <w:instrText xml:space="preserve"> REF _Ref39825432 \r \h </w:instrText>
      </w:r>
      <w:r w:rsidR="006662A4">
        <w:instrText xml:space="preserve"> \* MERGEFORMAT </w:instrText>
      </w:r>
      <w:r w:rsidR="0006006F" w:rsidRPr="007D5F52">
        <w:fldChar w:fldCharType="separate"/>
      </w:r>
      <w:r w:rsidR="00315B56">
        <w:t>5.1</w:t>
      </w:r>
      <w:r w:rsidR="0006006F" w:rsidRPr="007D5F52">
        <w:fldChar w:fldCharType="end"/>
      </w:r>
      <w:r w:rsidR="0006006F" w:rsidRPr="007D5F52">
        <w:t xml:space="preserve"> </w:t>
      </w:r>
      <w:r w:rsidR="0006006F" w:rsidRPr="007D5F52">
        <w:fldChar w:fldCharType="begin"/>
      </w:r>
      <w:r w:rsidR="0006006F" w:rsidRPr="007D5F52">
        <w:instrText xml:space="preserve"> REF _Ref39825432 \h </w:instrText>
      </w:r>
      <w:r w:rsidR="006662A4">
        <w:instrText xml:space="preserve"> \* MERGEFORMAT </w:instrText>
      </w:r>
      <w:r w:rsidR="0006006F" w:rsidRPr="007D5F52">
        <w:fldChar w:fldCharType="separate"/>
      </w:r>
      <w:r w:rsidR="00315B56" w:rsidRPr="007D5F52">
        <w:rPr>
          <w:rFonts w:cstheme="minorHAnsi"/>
        </w:rPr>
        <w:t>Pharmacodynamic properties</w:t>
      </w:r>
      <w:r w:rsidR="0006006F" w:rsidRPr="007D5F52">
        <w:fldChar w:fldCharType="end"/>
      </w:r>
      <w:r w:rsidR="0006006F" w:rsidRPr="007D5F52">
        <w:t xml:space="preserve"> – </w:t>
      </w:r>
      <w:r w:rsidR="0006006F" w:rsidRPr="007D5F52">
        <w:fldChar w:fldCharType="begin"/>
      </w:r>
      <w:r w:rsidR="0006006F" w:rsidRPr="007D5F52">
        <w:instrText xml:space="preserve"> REF _Ref39825437 \h </w:instrText>
      </w:r>
      <w:r w:rsidR="006662A4">
        <w:instrText xml:space="preserve"> \* MERGEFORMAT </w:instrText>
      </w:r>
      <w:r w:rsidR="0006006F" w:rsidRPr="007D5F52">
        <w:fldChar w:fldCharType="separate"/>
      </w:r>
      <w:r w:rsidR="00315B56" w:rsidRPr="007D5F52">
        <w:t>Clinical trials</w:t>
      </w:r>
      <w:r w:rsidR="0006006F" w:rsidRPr="007D5F52">
        <w:fldChar w:fldCharType="end"/>
      </w:r>
      <w:r w:rsidR="0006006F" w:rsidRPr="007D5F52">
        <w:fldChar w:fldCharType="begin"/>
      </w:r>
      <w:r w:rsidR="0006006F" w:rsidRPr="007D5F52">
        <w:instrText xml:space="preserve"> REF _Ref39836925 \h </w:instrText>
      </w:r>
      <w:r w:rsidR="006662A4">
        <w:instrText xml:space="preserve"> \* MERGEFORMAT </w:instrText>
      </w:r>
      <w:r w:rsidR="0006006F" w:rsidRPr="007D5F52">
        <w:fldChar w:fldCharType="end"/>
      </w:r>
      <w:r w:rsidR="0006006F" w:rsidRPr="007D5F52">
        <w:t xml:space="preserve"> and Section </w:t>
      </w:r>
      <w:r w:rsidR="0006006F" w:rsidRPr="007D5F52">
        <w:fldChar w:fldCharType="begin"/>
      </w:r>
      <w:r w:rsidR="0006006F" w:rsidRPr="007D5F52">
        <w:instrText xml:space="preserve"> REF _Ref39836713 \r \h  \* MERGEFORMAT </w:instrText>
      </w:r>
      <w:r w:rsidR="0006006F" w:rsidRPr="007D5F52">
        <w:fldChar w:fldCharType="separate"/>
      </w:r>
      <w:r w:rsidR="00315B56">
        <w:t>5.2</w:t>
      </w:r>
      <w:r w:rsidR="0006006F" w:rsidRPr="007D5F52">
        <w:fldChar w:fldCharType="end"/>
      </w:r>
      <w:r w:rsidR="0006006F" w:rsidRPr="007D5F52">
        <w:t xml:space="preserve"> </w:t>
      </w:r>
      <w:r w:rsidR="0006006F" w:rsidRPr="007D5F52">
        <w:fldChar w:fldCharType="begin"/>
      </w:r>
      <w:r w:rsidR="0006006F" w:rsidRPr="007D5F52">
        <w:instrText xml:space="preserve"> REF _Ref39836713 \h  \* MERGEFORMAT </w:instrText>
      </w:r>
      <w:r w:rsidR="0006006F" w:rsidRPr="007D5F52">
        <w:fldChar w:fldCharType="separate"/>
      </w:r>
      <w:r w:rsidR="00315B56" w:rsidRPr="007D5F52">
        <w:rPr>
          <w:rFonts w:cstheme="minorHAnsi"/>
        </w:rPr>
        <w:t>Pharmacokinetic properties</w:t>
      </w:r>
      <w:r w:rsidR="0006006F" w:rsidRPr="007D5F52">
        <w:fldChar w:fldCharType="end"/>
      </w:r>
      <w:r w:rsidR="0006006F" w:rsidRPr="007D5F52">
        <w:t xml:space="preserve">  – </w:t>
      </w:r>
      <w:r w:rsidR="0006006F" w:rsidRPr="007D5F52">
        <w:fldChar w:fldCharType="begin"/>
      </w:r>
      <w:r w:rsidR="0006006F" w:rsidRPr="007D5F52">
        <w:instrText xml:space="preserve"> REF _Ref39837011 \h </w:instrText>
      </w:r>
      <w:r w:rsidR="006662A4">
        <w:instrText xml:space="preserve"> \* MERGEFORMAT </w:instrText>
      </w:r>
      <w:r w:rsidR="0006006F" w:rsidRPr="007D5F52">
        <w:fldChar w:fldCharType="separate"/>
      </w:r>
      <w:r w:rsidR="00315B56" w:rsidRPr="007D5F52">
        <w:t>Special populations</w:t>
      </w:r>
      <w:r w:rsidR="0006006F" w:rsidRPr="007D5F52">
        <w:fldChar w:fldCharType="end"/>
      </w:r>
      <w:r w:rsidR="0006006F" w:rsidRPr="007D5F52">
        <w:t>).</w:t>
      </w:r>
    </w:p>
    <w:p w14:paraId="70C172FF" w14:textId="77777777" w:rsidR="000A0708" w:rsidRPr="007D5F52" w:rsidRDefault="000A0708" w:rsidP="006D7754">
      <w:pPr>
        <w:pStyle w:val="Heading3"/>
        <w:jc w:val="left"/>
      </w:pPr>
      <w:bookmarkStart w:id="3" w:name="_Ref39837519"/>
      <w:r w:rsidRPr="007D5F52">
        <w:t>Hepatic Impairment</w:t>
      </w:r>
      <w:bookmarkEnd w:id="3"/>
    </w:p>
    <w:p w14:paraId="48659BBE" w14:textId="4D1A6B57" w:rsidR="000A0708" w:rsidRPr="007D5F52" w:rsidRDefault="000A0708" w:rsidP="006D7754">
      <w:pPr>
        <w:jc w:val="left"/>
      </w:pPr>
      <w:r w:rsidRPr="007D5F52">
        <w:t xml:space="preserve">No dose adjustment of </w:t>
      </w:r>
      <w:r w:rsidR="004F04B3" w:rsidRPr="007D5F52">
        <w:t>VERQUVO</w:t>
      </w:r>
      <w:r w:rsidR="00BB3423" w:rsidRPr="007D5F52">
        <w:t>®</w:t>
      </w:r>
      <w:r w:rsidR="004F04B3" w:rsidRPr="007D5F52">
        <w:t xml:space="preserve"> </w:t>
      </w:r>
      <w:r w:rsidRPr="007D5F52">
        <w:t xml:space="preserve">is required in patients with mild or moderate hepatic impairment. </w:t>
      </w:r>
      <w:r w:rsidR="004F04B3" w:rsidRPr="007D5F52">
        <w:t>VERQUVO</w:t>
      </w:r>
      <w:r w:rsidR="00BB3423" w:rsidRPr="007D5F52">
        <w:t>®</w:t>
      </w:r>
      <w:r w:rsidR="004F04B3" w:rsidRPr="007D5F52">
        <w:t xml:space="preserve"> </w:t>
      </w:r>
      <w:r w:rsidRPr="007D5F52">
        <w:t xml:space="preserve">has not been studied in patients with severe hepatic impairment and is therefore not recommended in these patients </w:t>
      </w:r>
      <w:r w:rsidR="0006006F" w:rsidRPr="007D5F52">
        <w:t xml:space="preserve">(see Section </w:t>
      </w:r>
      <w:r w:rsidR="0006006F" w:rsidRPr="007D5F52">
        <w:fldChar w:fldCharType="begin"/>
      </w:r>
      <w:r w:rsidR="0006006F" w:rsidRPr="007D5F52">
        <w:instrText xml:space="preserve"> REF _Ref39824947 \r \h </w:instrText>
      </w:r>
      <w:r w:rsidR="006662A4">
        <w:instrText xml:space="preserve"> \* MERGEFORMAT </w:instrText>
      </w:r>
      <w:r w:rsidR="0006006F" w:rsidRPr="007D5F52">
        <w:fldChar w:fldCharType="separate"/>
      </w:r>
      <w:r w:rsidR="00315B56">
        <w:t>4.4</w:t>
      </w:r>
      <w:r w:rsidR="0006006F" w:rsidRPr="007D5F52">
        <w:fldChar w:fldCharType="end"/>
      </w:r>
      <w:r w:rsidR="0006006F" w:rsidRPr="007D5F52">
        <w:t xml:space="preserve"> </w:t>
      </w:r>
      <w:r w:rsidR="0006006F" w:rsidRPr="007D5F52">
        <w:fldChar w:fldCharType="begin"/>
      </w:r>
      <w:r w:rsidR="0006006F" w:rsidRPr="007D5F52">
        <w:instrText xml:space="preserve"> REF _Ref39824947 \h </w:instrText>
      </w:r>
      <w:r w:rsidR="006662A4">
        <w:instrText xml:space="preserve"> \* MERGEFORMAT </w:instrText>
      </w:r>
      <w:r w:rsidR="0006006F" w:rsidRPr="007D5F52">
        <w:fldChar w:fldCharType="separate"/>
      </w:r>
      <w:r w:rsidR="00315B56" w:rsidRPr="007D5F52">
        <w:rPr>
          <w:rFonts w:cstheme="minorHAnsi"/>
        </w:rPr>
        <w:t>Special warnings and precautions for use</w:t>
      </w:r>
      <w:r w:rsidR="0006006F" w:rsidRPr="007D5F52">
        <w:fldChar w:fldCharType="end"/>
      </w:r>
      <w:r w:rsidR="0006006F" w:rsidRPr="007D5F52">
        <w:t xml:space="preserve"> – </w:t>
      </w:r>
      <w:r w:rsidR="0006006F" w:rsidRPr="007D5F52">
        <w:fldChar w:fldCharType="begin"/>
      </w:r>
      <w:r w:rsidR="0006006F" w:rsidRPr="007D5F52">
        <w:instrText xml:space="preserve"> REF _Ref39837168 \h </w:instrText>
      </w:r>
      <w:r w:rsidR="006662A4">
        <w:instrText xml:space="preserve"> \* MERGEFORMAT </w:instrText>
      </w:r>
      <w:r w:rsidR="0006006F" w:rsidRPr="007D5F52">
        <w:fldChar w:fldCharType="separate"/>
      </w:r>
      <w:r w:rsidR="00315B56" w:rsidRPr="007D5F52">
        <w:rPr>
          <w:rFonts w:cstheme="minorHAnsi"/>
        </w:rPr>
        <w:t>Use in hepatic impairment</w:t>
      </w:r>
      <w:r w:rsidR="0006006F" w:rsidRPr="007D5F52">
        <w:fldChar w:fldCharType="end"/>
      </w:r>
      <w:r w:rsidR="0006006F" w:rsidRPr="007D5F52">
        <w:t xml:space="preserve"> and Section </w:t>
      </w:r>
      <w:r w:rsidR="0006006F" w:rsidRPr="007D5F52">
        <w:fldChar w:fldCharType="begin"/>
      </w:r>
      <w:r w:rsidR="0006006F" w:rsidRPr="007D5F52">
        <w:instrText xml:space="preserve"> REF _Ref39836713 \r \h  \* MERGEFORMAT </w:instrText>
      </w:r>
      <w:r w:rsidR="0006006F" w:rsidRPr="007D5F52">
        <w:fldChar w:fldCharType="separate"/>
      </w:r>
      <w:r w:rsidR="00315B56">
        <w:t>5.2</w:t>
      </w:r>
      <w:r w:rsidR="0006006F" w:rsidRPr="007D5F52">
        <w:fldChar w:fldCharType="end"/>
      </w:r>
      <w:r w:rsidR="0006006F" w:rsidRPr="007D5F52">
        <w:t xml:space="preserve"> </w:t>
      </w:r>
      <w:r w:rsidR="0006006F" w:rsidRPr="007D5F52">
        <w:fldChar w:fldCharType="begin"/>
      </w:r>
      <w:r w:rsidR="0006006F" w:rsidRPr="007D5F52">
        <w:instrText xml:space="preserve"> REF _Ref39836713 \h  \* MERGEFORMAT </w:instrText>
      </w:r>
      <w:r w:rsidR="0006006F" w:rsidRPr="007D5F52">
        <w:fldChar w:fldCharType="separate"/>
      </w:r>
      <w:r w:rsidR="00315B56" w:rsidRPr="007D5F52">
        <w:rPr>
          <w:rFonts w:cstheme="minorHAnsi"/>
        </w:rPr>
        <w:t>Pharmacokinetic properties</w:t>
      </w:r>
      <w:r w:rsidR="0006006F" w:rsidRPr="007D5F52">
        <w:fldChar w:fldCharType="end"/>
      </w:r>
      <w:r w:rsidR="0006006F" w:rsidRPr="007D5F52">
        <w:t xml:space="preserve">  – </w:t>
      </w:r>
      <w:r w:rsidR="0006006F" w:rsidRPr="007D5F52">
        <w:fldChar w:fldCharType="begin"/>
      </w:r>
      <w:r w:rsidR="0006006F" w:rsidRPr="007D5F52">
        <w:instrText xml:space="preserve"> REF _Ref39837011 \h </w:instrText>
      </w:r>
      <w:r w:rsidR="006662A4">
        <w:instrText xml:space="preserve"> \* MERGEFORMAT </w:instrText>
      </w:r>
      <w:r w:rsidR="0006006F" w:rsidRPr="007D5F52">
        <w:fldChar w:fldCharType="separate"/>
      </w:r>
      <w:r w:rsidR="00315B56" w:rsidRPr="007D5F52">
        <w:t>Special populations</w:t>
      </w:r>
      <w:r w:rsidR="0006006F" w:rsidRPr="007D5F52">
        <w:fldChar w:fldCharType="end"/>
      </w:r>
      <w:r w:rsidR="0006006F" w:rsidRPr="007D5F52">
        <w:t>).</w:t>
      </w:r>
    </w:p>
    <w:p w14:paraId="427D163F" w14:textId="77777777" w:rsidR="009F6109" w:rsidRPr="007D5F52" w:rsidRDefault="009F6109" w:rsidP="006D7754">
      <w:pPr>
        <w:pStyle w:val="Heading3"/>
        <w:jc w:val="left"/>
      </w:pPr>
      <w:bookmarkStart w:id="4" w:name="_Ref39837583"/>
      <w:r w:rsidRPr="007D5F52">
        <w:t>Geriatric Patients</w:t>
      </w:r>
      <w:bookmarkEnd w:id="4"/>
    </w:p>
    <w:p w14:paraId="1BF70411" w14:textId="69D170EE" w:rsidR="009F6109" w:rsidRPr="007D5F52" w:rsidRDefault="009F6109" w:rsidP="006D7754">
      <w:pPr>
        <w:jc w:val="left"/>
      </w:pPr>
      <w:r w:rsidRPr="007D5F52">
        <w:t>No dosage adjustment of VERQUVO</w:t>
      </w:r>
      <w:r w:rsidR="00BB3423" w:rsidRPr="007D5F52">
        <w:t>®</w:t>
      </w:r>
      <w:r w:rsidRPr="007D5F52">
        <w:t xml:space="preserve"> is required for geriatric patients (see Section </w:t>
      </w:r>
      <w:r w:rsidRPr="007D5F52">
        <w:fldChar w:fldCharType="begin"/>
      </w:r>
      <w:r w:rsidRPr="007D5F52">
        <w:instrText xml:space="preserve"> REF _Ref39824947 \r \h </w:instrText>
      </w:r>
      <w:r w:rsidR="006662A4">
        <w:instrText xml:space="preserve"> \* MERGEFORMAT </w:instrText>
      </w:r>
      <w:r w:rsidRPr="007D5F52">
        <w:fldChar w:fldCharType="separate"/>
      </w:r>
      <w:r w:rsidR="00315B56">
        <w:t>4.4</w:t>
      </w:r>
      <w:r w:rsidRPr="007D5F52">
        <w:fldChar w:fldCharType="end"/>
      </w:r>
      <w:r w:rsidRPr="007D5F52">
        <w:t xml:space="preserve"> </w:t>
      </w:r>
      <w:r w:rsidRPr="007D5F52">
        <w:fldChar w:fldCharType="begin"/>
      </w:r>
      <w:r w:rsidRPr="007D5F52">
        <w:instrText xml:space="preserve"> REF _Ref39824947 \h </w:instrText>
      </w:r>
      <w:r w:rsidR="006662A4">
        <w:instrText xml:space="preserve"> \* MERGEFORMAT </w:instrText>
      </w:r>
      <w:r w:rsidRPr="007D5F52">
        <w:fldChar w:fldCharType="separate"/>
      </w:r>
      <w:r w:rsidR="00315B56" w:rsidRPr="007D5F52">
        <w:rPr>
          <w:rFonts w:cstheme="minorHAnsi"/>
        </w:rPr>
        <w:t>Special warnings and precautions for use</w:t>
      </w:r>
      <w:r w:rsidRPr="007D5F52">
        <w:fldChar w:fldCharType="end"/>
      </w:r>
      <w:r w:rsidRPr="007D5F52">
        <w:t xml:space="preserve"> – </w:t>
      </w:r>
      <w:r w:rsidRPr="007D5F52">
        <w:fldChar w:fldCharType="begin"/>
      </w:r>
      <w:r w:rsidRPr="007D5F52">
        <w:instrText xml:space="preserve"> REF _Ref39836925 \h </w:instrText>
      </w:r>
      <w:r w:rsidR="006662A4">
        <w:instrText xml:space="preserve"> \* MERGEFORMAT </w:instrText>
      </w:r>
      <w:r w:rsidRPr="007D5F52">
        <w:fldChar w:fldCharType="separate"/>
      </w:r>
      <w:r w:rsidR="00315B56" w:rsidRPr="007D5F52">
        <w:rPr>
          <w:rFonts w:cstheme="minorHAnsi"/>
        </w:rPr>
        <w:t>Use in the elderly</w:t>
      </w:r>
      <w:r w:rsidRPr="007D5F52">
        <w:fldChar w:fldCharType="end"/>
      </w:r>
      <w:r w:rsidRPr="007D5F52">
        <w:t xml:space="preserve"> and Section </w:t>
      </w:r>
      <w:r w:rsidRPr="007D5F52">
        <w:fldChar w:fldCharType="begin"/>
      </w:r>
      <w:r w:rsidRPr="007D5F52">
        <w:instrText xml:space="preserve"> REF _Ref39836713 \r \h  \* MERGEFORMAT </w:instrText>
      </w:r>
      <w:r w:rsidRPr="007D5F52">
        <w:fldChar w:fldCharType="separate"/>
      </w:r>
      <w:r w:rsidR="00315B56">
        <w:t>5.2</w:t>
      </w:r>
      <w:r w:rsidRPr="007D5F52">
        <w:fldChar w:fldCharType="end"/>
      </w:r>
      <w:r w:rsidRPr="007D5F52">
        <w:t xml:space="preserve"> </w:t>
      </w:r>
      <w:r w:rsidRPr="007D5F52">
        <w:fldChar w:fldCharType="begin"/>
      </w:r>
      <w:r w:rsidRPr="007D5F52">
        <w:instrText xml:space="preserve"> REF _Ref39836713 \h  \* MERGEFORMAT </w:instrText>
      </w:r>
      <w:r w:rsidRPr="007D5F52">
        <w:fldChar w:fldCharType="separate"/>
      </w:r>
      <w:r w:rsidR="00315B56" w:rsidRPr="007D5F52">
        <w:rPr>
          <w:rFonts w:cstheme="minorHAnsi"/>
        </w:rPr>
        <w:t>Pharmacokinetic properties</w:t>
      </w:r>
      <w:r w:rsidRPr="007D5F52">
        <w:fldChar w:fldCharType="end"/>
      </w:r>
      <w:r w:rsidRPr="007D5F52">
        <w:t xml:space="preserve">  – </w:t>
      </w:r>
      <w:r w:rsidRPr="007D5F52">
        <w:fldChar w:fldCharType="begin"/>
      </w:r>
      <w:r w:rsidRPr="007D5F52">
        <w:instrText xml:space="preserve"> REF _Ref39837011 \h </w:instrText>
      </w:r>
      <w:r w:rsidR="006662A4">
        <w:instrText xml:space="preserve"> \* MERGEFORMAT </w:instrText>
      </w:r>
      <w:r w:rsidRPr="007D5F52">
        <w:fldChar w:fldCharType="separate"/>
      </w:r>
      <w:r w:rsidR="00315B56" w:rsidRPr="007D5F52">
        <w:t>Special populations</w:t>
      </w:r>
      <w:r w:rsidRPr="007D5F52">
        <w:fldChar w:fldCharType="end"/>
      </w:r>
      <w:r w:rsidRPr="007D5F52">
        <w:t>).</w:t>
      </w:r>
    </w:p>
    <w:p w14:paraId="013D1501" w14:textId="4FC95DE2" w:rsidR="003C6F0D" w:rsidRPr="007D5F52" w:rsidRDefault="003C6F0D" w:rsidP="006D7754">
      <w:pPr>
        <w:pStyle w:val="Heading3"/>
        <w:jc w:val="left"/>
      </w:pPr>
      <w:bookmarkStart w:id="5" w:name="_Ref40455960"/>
      <w:r w:rsidRPr="007D5F52">
        <w:t>P</w:t>
      </w:r>
      <w:r w:rsidR="009F6109" w:rsidRPr="007D5F52">
        <w:t>a</w:t>
      </w:r>
      <w:r w:rsidRPr="007D5F52">
        <w:t>ediatric Patients</w:t>
      </w:r>
      <w:bookmarkEnd w:id="5"/>
    </w:p>
    <w:p w14:paraId="2A0628F4" w14:textId="0E105773" w:rsidR="003C6F0D" w:rsidRPr="007D5F52" w:rsidRDefault="003C6F0D" w:rsidP="006D7754">
      <w:pPr>
        <w:jc w:val="left"/>
      </w:pPr>
      <w:r w:rsidRPr="007D5F52">
        <w:t>Safety and efficacy of VERQUVO</w:t>
      </w:r>
      <w:r w:rsidR="00BB3423" w:rsidRPr="007D5F52">
        <w:t>®</w:t>
      </w:r>
      <w:r w:rsidRPr="007D5F52">
        <w:t xml:space="preserve"> have not been established in patients less than 18 years of age (see Section </w:t>
      </w:r>
      <w:r w:rsidRPr="007D5F52">
        <w:fldChar w:fldCharType="begin"/>
      </w:r>
      <w:r w:rsidRPr="007D5F52">
        <w:instrText xml:space="preserve"> REF _Ref39824947 \r \h </w:instrText>
      </w:r>
      <w:r w:rsidR="006662A4">
        <w:instrText xml:space="preserve"> \* MERGEFORMAT </w:instrText>
      </w:r>
      <w:r w:rsidRPr="007D5F52">
        <w:fldChar w:fldCharType="separate"/>
      </w:r>
      <w:r w:rsidR="00315B56">
        <w:t>4.4</w:t>
      </w:r>
      <w:r w:rsidRPr="007D5F52">
        <w:fldChar w:fldCharType="end"/>
      </w:r>
      <w:r w:rsidRPr="007D5F52">
        <w:t xml:space="preserve"> </w:t>
      </w:r>
      <w:r w:rsidRPr="007D5F52">
        <w:fldChar w:fldCharType="begin"/>
      </w:r>
      <w:r w:rsidRPr="007D5F52">
        <w:instrText xml:space="preserve"> REF _Ref39824947 \h </w:instrText>
      </w:r>
      <w:r w:rsidR="006662A4">
        <w:instrText xml:space="preserve"> \* MERGEFORMAT </w:instrText>
      </w:r>
      <w:r w:rsidRPr="007D5F52">
        <w:fldChar w:fldCharType="separate"/>
      </w:r>
      <w:r w:rsidR="00315B56" w:rsidRPr="007D5F52">
        <w:rPr>
          <w:rFonts w:cstheme="minorHAnsi"/>
        </w:rPr>
        <w:t>Special warnings and precautions for use</w:t>
      </w:r>
      <w:r w:rsidRPr="007D5F52">
        <w:fldChar w:fldCharType="end"/>
      </w:r>
      <w:r w:rsidRPr="007D5F52">
        <w:t xml:space="preserve"> – </w:t>
      </w:r>
      <w:r w:rsidRPr="007D5F52">
        <w:fldChar w:fldCharType="begin"/>
      </w:r>
      <w:r w:rsidRPr="007D5F52">
        <w:instrText xml:space="preserve"> REF _Ref39836882 \h </w:instrText>
      </w:r>
      <w:r w:rsidR="006662A4">
        <w:instrText xml:space="preserve"> \* MERGEFORMAT </w:instrText>
      </w:r>
      <w:r w:rsidRPr="007D5F52">
        <w:fldChar w:fldCharType="separate"/>
      </w:r>
      <w:r w:rsidR="00315B56" w:rsidRPr="007D5F52">
        <w:rPr>
          <w:rFonts w:cstheme="minorHAnsi"/>
        </w:rPr>
        <w:t>Paediatric use</w:t>
      </w:r>
      <w:r w:rsidRPr="007D5F52">
        <w:fldChar w:fldCharType="end"/>
      </w:r>
      <w:r w:rsidRPr="007D5F52">
        <w:t xml:space="preserve"> and Section </w:t>
      </w:r>
      <w:r w:rsidRPr="007D5F52">
        <w:fldChar w:fldCharType="begin"/>
      </w:r>
      <w:r w:rsidRPr="007D5F52">
        <w:instrText xml:space="preserve"> REF _Ref39836713 \r \h  \* MERGEFORMAT </w:instrText>
      </w:r>
      <w:r w:rsidRPr="007D5F52">
        <w:fldChar w:fldCharType="separate"/>
      </w:r>
      <w:r w:rsidR="00315B56">
        <w:t>5.2</w:t>
      </w:r>
      <w:r w:rsidRPr="007D5F52">
        <w:fldChar w:fldCharType="end"/>
      </w:r>
      <w:r w:rsidRPr="007D5F52">
        <w:t xml:space="preserve"> </w:t>
      </w:r>
      <w:r w:rsidRPr="007D5F52">
        <w:fldChar w:fldCharType="begin"/>
      </w:r>
      <w:r w:rsidRPr="007D5F52">
        <w:instrText xml:space="preserve"> REF _Ref39836713 \h  \* MERGEFORMAT </w:instrText>
      </w:r>
      <w:r w:rsidRPr="007D5F52">
        <w:fldChar w:fldCharType="separate"/>
      </w:r>
      <w:r w:rsidR="00315B56" w:rsidRPr="007D5F52">
        <w:rPr>
          <w:rFonts w:cstheme="minorHAnsi"/>
        </w:rPr>
        <w:t>Pharmacokinetic properties</w:t>
      </w:r>
      <w:r w:rsidRPr="007D5F52">
        <w:fldChar w:fldCharType="end"/>
      </w:r>
      <w:r w:rsidRPr="007D5F52">
        <w:t xml:space="preserve"> – </w:t>
      </w:r>
      <w:r w:rsidRPr="007D5F52">
        <w:fldChar w:fldCharType="begin"/>
      </w:r>
      <w:r w:rsidRPr="007D5F52">
        <w:instrText xml:space="preserve"> REF _Ref39837011 \h </w:instrText>
      </w:r>
      <w:r w:rsidR="006662A4">
        <w:instrText xml:space="preserve"> \* MERGEFORMAT </w:instrText>
      </w:r>
      <w:r w:rsidRPr="007D5F52">
        <w:fldChar w:fldCharType="separate"/>
      </w:r>
      <w:r w:rsidR="00315B56" w:rsidRPr="007D5F52">
        <w:t>Special populations</w:t>
      </w:r>
      <w:r w:rsidRPr="007D5F52">
        <w:fldChar w:fldCharType="end"/>
      </w:r>
      <w:r w:rsidRPr="007D5F52">
        <w:t>).</w:t>
      </w:r>
    </w:p>
    <w:p w14:paraId="7D14B2A5" w14:textId="77777777" w:rsidR="001A3992" w:rsidRPr="007D5F52" w:rsidRDefault="001A3992" w:rsidP="006D7754">
      <w:pPr>
        <w:pStyle w:val="Heading2"/>
        <w:spacing w:before="0" w:after="120"/>
        <w:jc w:val="left"/>
        <w:rPr>
          <w:rFonts w:cstheme="minorHAnsi"/>
        </w:rPr>
      </w:pPr>
      <w:bookmarkStart w:id="6" w:name="_Ref39824902"/>
      <w:r w:rsidRPr="007D5F52">
        <w:rPr>
          <w:rFonts w:cstheme="minorHAnsi"/>
        </w:rPr>
        <w:t>Contraindications</w:t>
      </w:r>
      <w:bookmarkEnd w:id="6"/>
    </w:p>
    <w:p w14:paraId="0E5658D1" w14:textId="77777777" w:rsidR="00722D28" w:rsidRDefault="00081CB5" w:rsidP="006D7754">
      <w:pPr>
        <w:jc w:val="left"/>
      </w:pPr>
      <w:r w:rsidRPr="007D5F52">
        <w:t>VERQUVO® is contraindicated in patients with</w:t>
      </w:r>
      <w:r w:rsidR="00722D28">
        <w:t>:</w:t>
      </w:r>
    </w:p>
    <w:p w14:paraId="15BA278F" w14:textId="77777777" w:rsidR="008A211E" w:rsidRPr="0070393D" w:rsidRDefault="008A211E" w:rsidP="006D7754">
      <w:pPr>
        <w:pStyle w:val="ListParagraph"/>
        <w:numPr>
          <w:ilvl w:val="0"/>
          <w:numId w:val="17"/>
        </w:numPr>
        <w:jc w:val="left"/>
        <w:rPr>
          <w:rFonts w:asciiTheme="minorHAnsi" w:hAnsiTheme="minorHAnsi" w:cstheme="minorHAnsi"/>
        </w:rPr>
      </w:pPr>
      <w:r w:rsidRPr="0070393D">
        <w:rPr>
          <w:rFonts w:asciiTheme="minorHAnsi" w:hAnsiTheme="minorHAnsi" w:cstheme="minorHAnsi"/>
        </w:rPr>
        <w:t xml:space="preserve">hypersensitivity to the active substance or any of the excipients listed in section </w:t>
      </w:r>
      <w:r w:rsidRPr="0070393D">
        <w:rPr>
          <w:rFonts w:asciiTheme="minorHAnsi" w:hAnsiTheme="minorHAnsi" w:cstheme="minorHAnsi"/>
        </w:rPr>
        <w:fldChar w:fldCharType="begin"/>
      </w:r>
      <w:r w:rsidRPr="0070393D">
        <w:rPr>
          <w:rFonts w:asciiTheme="minorHAnsi" w:hAnsiTheme="minorHAnsi" w:cstheme="minorHAnsi"/>
        </w:rPr>
        <w:instrText xml:space="preserve"> REF _Ref39823958 \r \h  \* MERGEFORMAT </w:instrText>
      </w:r>
      <w:r w:rsidRPr="0070393D">
        <w:rPr>
          <w:rFonts w:asciiTheme="minorHAnsi" w:hAnsiTheme="minorHAnsi" w:cstheme="minorHAnsi"/>
        </w:rPr>
      </w:r>
      <w:r w:rsidRPr="0070393D">
        <w:rPr>
          <w:rFonts w:asciiTheme="minorHAnsi" w:hAnsiTheme="minorHAnsi" w:cstheme="minorHAnsi"/>
        </w:rPr>
        <w:fldChar w:fldCharType="separate"/>
      </w:r>
      <w:r w:rsidRPr="0070393D">
        <w:rPr>
          <w:rFonts w:asciiTheme="minorHAnsi" w:hAnsiTheme="minorHAnsi" w:cstheme="minorHAnsi"/>
        </w:rPr>
        <w:t>6.1</w:t>
      </w:r>
      <w:r w:rsidRPr="0070393D">
        <w:rPr>
          <w:rFonts w:asciiTheme="minorHAnsi" w:hAnsiTheme="minorHAnsi" w:cstheme="minorHAnsi"/>
        </w:rPr>
        <w:fldChar w:fldCharType="end"/>
      </w:r>
      <w:r w:rsidRPr="0070393D">
        <w:rPr>
          <w:rFonts w:asciiTheme="minorHAnsi" w:hAnsiTheme="minorHAnsi" w:cstheme="minorHAnsi"/>
        </w:rPr>
        <w:t xml:space="preserve"> </w:t>
      </w:r>
      <w:r w:rsidRPr="0070393D">
        <w:rPr>
          <w:rFonts w:asciiTheme="minorHAnsi" w:hAnsiTheme="minorHAnsi" w:cstheme="minorHAnsi"/>
        </w:rPr>
        <w:fldChar w:fldCharType="begin"/>
      </w:r>
      <w:r w:rsidRPr="0070393D">
        <w:rPr>
          <w:rFonts w:asciiTheme="minorHAnsi" w:hAnsiTheme="minorHAnsi" w:cstheme="minorHAnsi"/>
        </w:rPr>
        <w:instrText xml:space="preserve"> REF _Ref39823958 \h  \* MERGEFORMAT </w:instrText>
      </w:r>
      <w:r w:rsidRPr="0070393D">
        <w:rPr>
          <w:rFonts w:asciiTheme="minorHAnsi" w:hAnsiTheme="minorHAnsi" w:cstheme="minorHAnsi"/>
        </w:rPr>
      </w:r>
      <w:r w:rsidRPr="0070393D">
        <w:rPr>
          <w:rFonts w:asciiTheme="minorHAnsi" w:hAnsiTheme="minorHAnsi" w:cstheme="minorHAnsi"/>
        </w:rPr>
        <w:fldChar w:fldCharType="separate"/>
      </w:r>
      <w:r w:rsidRPr="0070393D">
        <w:rPr>
          <w:rFonts w:asciiTheme="minorHAnsi" w:hAnsiTheme="minorHAnsi" w:cstheme="minorHAnsi"/>
        </w:rPr>
        <w:t>List of excipients</w:t>
      </w:r>
      <w:r w:rsidRPr="0070393D">
        <w:rPr>
          <w:rFonts w:asciiTheme="minorHAnsi" w:hAnsiTheme="minorHAnsi" w:cstheme="minorHAnsi"/>
        </w:rPr>
        <w:fldChar w:fldCharType="end"/>
      </w:r>
      <w:r w:rsidRPr="0070393D">
        <w:rPr>
          <w:rFonts w:asciiTheme="minorHAnsi" w:hAnsiTheme="minorHAnsi" w:cstheme="minorHAnsi"/>
        </w:rPr>
        <w:t>.</w:t>
      </w:r>
    </w:p>
    <w:p w14:paraId="1E164FFE" w14:textId="76013042" w:rsidR="000A0708" w:rsidRPr="0070393D" w:rsidRDefault="00081CB5" w:rsidP="006D7754">
      <w:pPr>
        <w:pStyle w:val="ListParagraph"/>
        <w:numPr>
          <w:ilvl w:val="0"/>
          <w:numId w:val="17"/>
        </w:numPr>
        <w:jc w:val="left"/>
        <w:rPr>
          <w:rFonts w:asciiTheme="minorHAnsi" w:hAnsiTheme="minorHAnsi" w:cstheme="minorHAnsi"/>
        </w:rPr>
      </w:pPr>
      <w:r w:rsidRPr="0070393D">
        <w:rPr>
          <w:rFonts w:asciiTheme="minorHAnsi" w:hAnsiTheme="minorHAnsi" w:cstheme="minorHAnsi"/>
        </w:rPr>
        <w:t>concomitant</w:t>
      </w:r>
      <w:r w:rsidR="00070696" w:rsidRPr="0070393D">
        <w:rPr>
          <w:rFonts w:asciiTheme="minorHAnsi" w:hAnsiTheme="minorHAnsi" w:cstheme="minorHAnsi"/>
        </w:rPr>
        <w:t xml:space="preserve"> use of other soluble guanylate cyclase (</w:t>
      </w:r>
      <w:proofErr w:type="spellStart"/>
      <w:r w:rsidR="00070696" w:rsidRPr="0070393D">
        <w:rPr>
          <w:rFonts w:asciiTheme="minorHAnsi" w:hAnsiTheme="minorHAnsi" w:cstheme="minorHAnsi"/>
        </w:rPr>
        <w:t>sGC</w:t>
      </w:r>
      <w:proofErr w:type="spellEnd"/>
      <w:r w:rsidR="00070696" w:rsidRPr="0070393D">
        <w:rPr>
          <w:rFonts w:asciiTheme="minorHAnsi" w:hAnsiTheme="minorHAnsi" w:cstheme="minorHAnsi"/>
        </w:rPr>
        <w:t xml:space="preserve">) stimulators, such as </w:t>
      </w:r>
      <w:proofErr w:type="spellStart"/>
      <w:r w:rsidR="00070696" w:rsidRPr="0070393D">
        <w:rPr>
          <w:rFonts w:asciiTheme="minorHAnsi" w:hAnsiTheme="minorHAnsi" w:cstheme="minorHAnsi"/>
        </w:rPr>
        <w:t>riociguat</w:t>
      </w:r>
      <w:proofErr w:type="spellEnd"/>
      <w:r w:rsidR="00070696" w:rsidRPr="0070393D">
        <w:rPr>
          <w:rFonts w:asciiTheme="minorHAnsi" w:hAnsiTheme="minorHAnsi" w:cstheme="minorHAnsi"/>
        </w:rPr>
        <w:t xml:space="preserve"> </w:t>
      </w:r>
      <w:r w:rsidR="00D44E9B" w:rsidRPr="0070393D">
        <w:rPr>
          <w:rFonts w:asciiTheme="minorHAnsi" w:hAnsiTheme="minorHAnsi" w:cstheme="minorHAnsi"/>
        </w:rPr>
        <w:t xml:space="preserve">(see Section </w:t>
      </w:r>
      <w:r w:rsidR="00D44E9B" w:rsidRPr="0070393D">
        <w:rPr>
          <w:rFonts w:asciiTheme="minorHAnsi" w:hAnsiTheme="minorHAnsi" w:cstheme="minorHAnsi"/>
        </w:rPr>
        <w:fldChar w:fldCharType="begin"/>
      </w:r>
      <w:r w:rsidR="00D44E9B" w:rsidRPr="0070393D">
        <w:rPr>
          <w:rFonts w:asciiTheme="minorHAnsi" w:hAnsiTheme="minorHAnsi" w:cstheme="minorHAnsi"/>
        </w:rPr>
        <w:instrText xml:space="preserve"> REF _Ref39824533 \r \h </w:instrText>
      </w:r>
      <w:r w:rsidR="00070696" w:rsidRPr="0070393D">
        <w:rPr>
          <w:rFonts w:asciiTheme="minorHAnsi" w:hAnsiTheme="minorHAnsi" w:cstheme="minorHAnsi"/>
        </w:rPr>
        <w:instrText xml:space="preserve"> \* MERGEFORMAT </w:instrText>
      </w:r>
      <w:r w:rsidR="00D44E9B" w:rsidRPr="0070393D">
        <w:rPr>
          <w:rFonts w:asciiTheme="minorHAnsi" w:hAnsiTheme="minorHAnsi" w:cstheme="minorHAnsi"/>
        </w:rPr>
      </w:r>
      <w:r w:rsidR="00D44E9B" w:rsidRPr="0070393D">
        <w:rPr>
          <w:rFonts w:asciiTheme="minorHAnsi" w:hAnsiTheme="minorHAnsi" w:cstheme="minorHAnsi"/>
        </w:rPr>
        <w:fldChar w:fldCharType="separate"/>
      </w:r>
      <w:r w:rsidR="00315B56" w:rsidRPr="0070393D">
        <w:rPr>
          <w:rFonts w:asciiTheme="minorHAnsi" w:hAnsiTheme="minorHAnsi" w:cstheme="minorHAnsi"/>
        </w:rPr>
        <w:t>4.5</w:t>
      </w:r>
      <w:r w:rsidR="00D44E9B" w:rsidRPr="0070393D">
        <w:rPr>
          <w:rFonts w:asciiTheme="minorHAnsi" w:hAnsiTheme="minorHAnsi" w:cstheme="minorHAnsi"/>
        </w:rPr>
        <w:fldChar w:fldCharType="end"/>
      </w:r>
      <w:r w:rsidR="00D44E9B" w:rsidRPr="0070393D">
        <w:rPr>
          <w:rFonts w:asciiTheme="minorHAnsi" w:hAnsiTheme="minorHAnsi" w:cstheme="minorHAnsi"/>
        </w:rPr>
        <w:t xml:space="preserve"> </w:t>
      </w:r>
      <w:r w:rsidR="00D44E9B" w:rsidRPr="0070393D">
        <w:rPr>
          <w:rFonts w:asciiTheme="minorHAnsi" w:hAnsiTheme="minorHAnsi" w:cstheme="minorHAnsi"/>
        </w:rPr>
        <w:fldChar w:fldCharType="begin"/>
      </w:r>
      <w:r w:rsidR="00D44E9B" w:rsidRPr="0070393D">
        <w:rPr>
          <w:rFonts w:asciiTheme="minorHAnsi" w:hAnsiTheme="minorHAnsi" w:cstheme="minorHAnsi"/>
        </w:rPr>
        <w:instrText xml:space="preserve"> REF _Ref39824533 \h </w:instrText>
      </w:r>
      <w:r w:rsidR="00070696" w:rsidRPr="0070393D">
        <w:rPr>
          <w:rFonts w:asciiTheme="minorHAnsi" w:hAnsiTheme="minorHAnsi" w:cstheme="minorHAnsi"/>
        </w:rPr>
        <w:instrText xml:space="preserve"> \* MERGEFORMAT </w:instrText>
      </w:r>
      <w:r w:rsidR="00D44E9B" w:rsidRPr="0070393D">
        <w:rPr>
          <w:rFonts w:asciiTheme="minorHAnsi" w:hAnsiTheme="minorHAnsi" w:cstheme="minorHAnsi"/>
        </w:rPr>
      </w:r>
      <w:r w:rsidR="00D44E9B" w:rsidRPr="0070393D">
        <w:rPr>
          <w:rFonts w:asciiTheme="minorHAnsi" w:hAnsiTheme="minorHAnsi" w:cstheme="minorHAnsi"/>
        </w:rPr>
        <w:fldChar w:fldCharType="separate"/>
      </w:r>
      <w:r w:rsidR="00315B56" w:rsidRPr="0070393D">
        <w:rPr>
          <w:rFonts w:asciiTheme="minorHAnsi" w:hAnsiTheme="minorHAnsi" w:cstheme="minorHAnsi"/>
        </w:rPr>
        <w:t>Interactions with other medicines and other forms of interactions</w:t>
      </w:r>
      <w:r w:rsidR="00D44E9B" w:rsidRPr="0070393D">
        <w:rPr>
          <w:rFonts w:asciiTheme="minorHAnsi" w:hAnsiTheme="minorHAnsi" w:cstheme="minorHAnsi"/>
        </w:rPr>
        <w:fldChar w:fldCharType="end"/>
      </w:r>
      <w:r w:rsidR="00D44E9B" w:rsidRPr="0070393D">
        <w:rPr>
          <w:rFonts w:asciiTheme="minorHAnsi" w:hAnsiTheme="minorHAnsi" w:cstheme="minorHAnsi"/>
        </w:rPr>
        <w:t>).</w:t>
      </w:r>
    </w:p>
    <w:p w14:paraId="5907740D" w14:textId="0D97FB94" w:rsidR="001A3992" w:rsidRPr="007D5F52" w:rsidRDefault="00E74A56" w:rsidP="006D7754">
      <w:pPr>
        <w:pStyle w:val="Heading2"/>
        <w:spacing w:before="0" w:after="120"/>
        <w:jc w:val="left"/>
        <w:rPr>
          <w:rFonts w:cstheme="minorHAnsi"/>
        </w:rPr>
      </w:pPr>
      <w:bookmarkStart w:id="7" w:name="_Ref39824947"/>
      <w:r w:rsidRPr="007D5F52">
        <w:rPr>
          <w:rFonts w:cstheme="minorHAnsi"/>
        </w:rPr>
        <w:t>Special warnings and p</w:t>
      </w:r>
      <w:r w:rsidR="001A3992" w:rsidRPr="007D5F52">
        <w:rPr>
          <w:rFonts w:cstheme="minorHAnsi"/>
        </w:rPr>
        <w:t xml:space="preserve">recautions </w:t>
      </w:r>
      <w:r w:rsidRPr="007D5F52">
        <w:rPr>
          <w:rFonts w:cstheme="minorHAnsi"/>
        </w:rPr>
        <w:t>for use</w:t>
      </w:r>
      <w:bookmarkEnd w:id="7"/>
    </w:p>
    <w:p w14:paraId="0DFBFA15" w14:textId="77777777" w:rsidR="00770FFE" w:rsidRPr="007D5F52" w:rsidRDefault="00770FFE" w:rsidP="006D7754">
      <w:pPr>
        <w:pStyle w:val="Heading3"/>
        <w:jc w:val="left"/>
      </w:pPr>
      <w:bookmarkStart w:id="8" w:name="_Ref39824964"/>
      <w:r w:rsidRPr="007D5F52">
        <w:t>Symptomatic Hypotension</w:t>
      </w:r>
      <w:bookmarkEnd w:id="8"/>
    </w:p>
    <w:p w14:paraId="16B5A590" w14:textId="240B0365" w:rsidR="00770FFE" w:rsidRPr="007D5F52" w:rsidRDefault="00770FFE" w:rsidP="006D7754">
      <w:pPr>
        <w:jc w:val="left"/>
      </w:pPr>
      <w:r w:rsidRPr="007D5F52">
        <w:t>VERQUVO</w:t>
      </w:r>
      <w:r w:rsidR="00BB3423" w:rsidRPr="007D5F52">
        <w:t>®</w:t>
      </w:r>
      <w:r w:rsidRPr="007D5F52">
        <w:t xml:space="preserve"> may cause symptomatic hypotension. In the VICTORIA clinical trial, adverse events determined by the investigator to be events of symptomatic hypotension were reported in 9.1% of patients treated with </w:t>
      </w:r>
      <w:r w:rsidR="00F83C1B" w:rsidRPr="007D5F52">
        <w:t>vericiguat</w:t>
      </w:r>
      <w:r w:rsidRPr="007D5F52">
        <w:t xml:space="preserve"> and 7.9% of patients treated with placebo and were considered serious in 1.2% of patients treated with </w:t>
      </w:r>
      <w:r w:rsidR="00F83C1B" w:rsidRPr="007D5F52">
        <w:t>vericiguat</w:t>
      </w:r>
      <w:r w:rsidRPr="007D5F52">
        <w:t xml:space="preserve"> and 1.5% of patients treated with placebo</w:t>
      </w:r>
      <w:r w:rsidR="00D44E9B" w:rsidRPr="007D5F52">
        <w:t xml:space="preserve"> (see Section </w:t>
      </w:r>
      <w:r w:rsidR="00D44E9B" w:rsidRPr="007D5F52">
        <w:fldChar w:fldCharType="begin"/>
      </w:r>
      <w:r w:rsidR="00D44E9B" w:rsidRPr="007D5F52">
        <w:instrText xml:space="preserve"> REF _Ref39824662 \r \h  \* MERGEFORMAT </w:instrText>
      </w:r>
      <w:r w:rsidR="00D44E9B" w:rsidRPr="007D5F52">
        <w:fldChar w:fldCharType="separate"/>
      </w:r>
      <w:r w:rsidR="00315B56">
        <w:t>4.8</w:t>
      </w:r>
      <w:r w:rsidR="00D44E9B" w:rsidRPr="007D5F52">
        <w:fldChar w:fldCharType="end"/>
      </w:r>
      <w:r w:rsidR="00D44E9B" w:rsidRPr="007D5F52">
        <w:t xml:space="preserve"> </w:t>
      </w:r>
      <w:r w:rsidR="00D44E9B" w:rsidRPr="007D5F52">
        <w:fldChar w:fldCharType="begin"/>
      </w:r>
      <w:r w:rsidR="00D44E9B" w:rsidRPr="007D5F52">
        <w:instrText xml:space="preserve"> REF _Ref39824662 \h  \* MERGEFORMAT </w:instrText>
      </w:r>
      <w:r w:rsidR="00D44E9B" w:rsidRPr="007D5F52">
        <w:fldChar w:fldCharType="separate"/>
      </w:r>
      <w:r w:rsidR="00315B56" w:rsidRPr="007D5F52">
        <w:rPr>
          <w:rFonts w:cstheme="minorHAnsi"/>
        </w:rPr>
        <w:t>Adverse effects (Undesirable effects)</w:t>
      </w:r>
      <w:r w:rsidR="00D44E9B" w:rsidRPr="007D5F52">
        <w:fldChar w:fldCharType="end"/>
      </w:r>
      <w:r w:rsidR="00D44E9B" w:rsidRPr="007D5F52">
        <w:t>).</w:t>
      </w:r>
      <w:r w:rsidRPr="007D5F52">
        <w:t xml:space="preserve"> VERQUVO</w:t>
      </w:r>
      <w:r w:rsidR="00BB3423" w:rsidRPr="007D5F52">
        <w:t>®</w:t>
      </w:r>
      <w:r w:rsidRPr="007D5F52">
        <w:t xml:space="preserve"> has not been studied in patients with systolic blood pressure less than 100 mmHg or symptomatic hypotension at treatment initiation.</w:t>
      </w:r>
    </w:p>
    <w:p w14:paraId="519D460D" w14:textId="6CB317EF" w:rsidR="00770FFE" w:rsidRPr="007D5F52" w:rsidRDefault="00770FFE" w:rsidP="006D7754">
      <w:pPr>
        <w:jc w:val="left"/>
      </w:pPr>
      <w:r w:rsidRPr="007D5F52">
        <w:t xml:space="preserve">Consider the potential for symptomatic hypotension in patients with hypovolemia, severe left ventricular outflow obstruction, resting hypotension, autonomic dysfunction, history of hypotension, or concomitant treatment with antihypertensives or organic nitrates </w:t>
      </w:r>
      <w:r w:rsidR="0006006F" w:rsidRPr="007D5F52">
        <w:t xml:space="preserve">(see Section </w:t>
      </w:r>
      <w:r w:rsidR="0006006F" w:rsidRPr="007D5F52">
        <w:fldChar w:fldCharType="begin"/>
      </w:r>
      <w:r w:rsidR="0006006F" w:rsidRPr="007D5F52">
        <w:instrText xml:space="preserve"> REF _Ref39824533 \r \h </w:instrText>
      </w:r>
      <w:r w:rsidR="006662A4">
        <w:instrText xml:space="preserve"> \* MERGEFORMAT </w:instrText>
      </w:r>
      <w:r w:rsidR="0006006F" w:rsidRPr="007D5F52">
        <w:fldChar w:fldCharType="separate"/>
      </w:r>
      <w:r w:rsidR="00315B56">
        <w:t>4.5</w:t>
      </w:r>
      <w:r w:rsidR="0006006F" w:rsidRPr="007D5F52">
        <w:fldChar w:fldCharType="end"/>
      </w:r>
      <w:r w:rsidR="0006006F" w:rsidRPr="007D5F52">
        <w:t xml:space="preserve"> </w:t>
      </w:r>
      <w:r w:rsidR="0006006F" w:rsidRPr="007D5F52">
        <w:fldChar w:fldCharType="begin"/>
      </w:r>
      <w:r w:rsidR="0006006F" w:rsidRPr="007D5F52">
        <w:instrText xml:space="preserve"> REF _Ref39824533 \h </w:instrText>
      </w:r>
      <w:r w:rsidR="006662A4">
        <w:instrText xml:space="preserve"> \* MERGEFORMAT </w:instrText>
      </w:r>
      <w:r w:rsidR="0006006F" w:rsidRPr="007D5F52">
        <w:fldChar w:fldCharType="separate"/>
      </w:r>
      <w:r w:rsidR="00315B56" w:rsidRPr="007D5F52">
        <w:rPr>
          <w:rFonts w:cstheme="minorHAnsi"/>
        </w:rPr>
        <w:t>Interactions with other medicines and other forms of interactions</w:t>
      </w:r>
      <w:r w:rsidR="0006006F" w:rsidRPr="007D5F52">
        <w:fldChar w:fldCharType="end"/>
      </w:r>
      <w:r w:rsidR="0006006F" w:rsidRPr="007D5F52">
        <w:t xml:space="preserve">). </w:t>
      </w:r>
      <w:r w:rsidRPr="007D5F52">
        <w:t>If symptomatic hypotension occurs, consider dose adjustment of diuretics and treatment of other causes of hypotension (e.g., hypovolemia). If symptomatic hypotension persists despite such measures, temporary reduction in dose or interruption of VERQUVO</w:t>
      </w:r>
      <w:r w:rsidR="00BB3423" w:rsidRPr="007D5F52">
        <w:t>®</w:t>
      </w:r>
      <w:r w:rsidRPr="007D5F52">
        <w:t xml:space="preserve"> should be considered.</w:t>
      </w:r>
    </w:p>
    <w:p w14:paraId="1995382B" w14:textId="74061EAF" w:rsidR="00770FFE" w:rsidRPr="007D5F52" w:rsidRDefault="00770FFE" w:rsidP="006D7754">
      <w:pPr>
        <w:jc w:val="left"/>
      </w:pPr>
      <w:r w:rsidRPr="007D5F52">
        <w:lastRenderedPageBreak/>
        <w:t>Concomitant use of VERQUVO</w:t>
      </w:r>
      <w:r w:rsidR="00BB3423" w:rsidRPr="007D5F52">
        <w:t>®</w:t>
      </w:r>
      <w:r w:rsidRPr="007D5F52">
        <w:t xml:space="preserve"> and phosphodiesterase-5 (PDE-5) inhibitors, such as sildenafil, has not been studied in patients with heart failure and is therefore not recommended due to the potential increased risk for symptomatic hypotension </w:t>
      </w:r>
      <w:r w:rsidR="0006006F" w:rsidRPr="007D5F52">
        <w:t xml:space="preserve">(see Section </w:t>
      </w:r>
      <w:r w:rsidR="0006006F" w:rsidRPr="007D5F52">
        <w:fldChar w:fldCharType="begin"/>
      </w:r>
      <w:r w:rsidR="0006006F" w:rsidRPr="007D5F52">
        <w:instrText xml:space="preserve"> REF _Ref39824533 \r \h </w:instrText>
      </w:r>
      <w:r w:rsidR="006662A4">
        <w:instrText xml:space="preserve"> \* MERGEFORMAT </w:instrText>
      </w:r>
      <w:r w:rsidR="0006006F" w:rsidRPr="007D5F52">
        <w:fldChar w:fldCharType="separate"/>
      </w:r>
      <w:r w:rsidR="00315B56">
        <w:t>4.5</w:t>
      </w:r>
      <w:r w:rsidR="0006006F" w:rsidRPr="007D5F52">
        <w:fldChar w:fldCharType="end"/>
      </w:r>
      <w:r w:rsidR="0006006F" w:rsidRPr="007D5F52">
        <w:t xml:space="preserve"> </w:t>
      </w:r>
      <w:r w:rsidR="0006006F" w:rsidRPr="007D5F52">
        <w:fldChar w:fldCharType="begin"/>
      </w:r>
      <w:r w:rsidR="0006006F" w:rsidRPr="007D5F52">
        <w:instrText xml:space="preserve"> REF _Ref39824533 \h </w:instrText>
      </w:r>
      <w:r w:rsidR="006662A4">
        <w:instrText xml:space="preserve"> \* MERGEFORMAT </w:instrText>
      </w:r>
      <w:r w:rsidR="0006006F" w:rsidRPr="007D5F52">
        <w:fldChar w:fldCharType="separate"/>
      </w:r>
      <w:r w:rsidR="00315B56" w:rsidRPr="007D5F52">
        <w:rPr>
          <w:rFonts w:cstheme="minorHAnsi"/>
        </w:rPr>
        <w:t>Interactions with other medicines and other forms of interactions</w:t>
      </w:r>
      <w:r w:rsidR="0006006F" w:rsidRPr="007D5F52">
        <w:fldChar w:fldCharType="end"/>
      </w:r>
      <w:r w:rsidR="0006006F" w:rsidRPr="007D5F52">
        <w:t>)</w:t>
      </w:r>
      <w:r w:rsidRPr="007D5F52">
        <w:t>.</w:t>
      </w:r>
    </w:p>
    <w:p w14:paraId="532BD96F" w14:textId="77777777" w:rsidR="0006006F" w:rsidRPr="007D5F52" w:rsidRDefault="0006006F" w:rsidP="006D7754">
      <w:pPr>
        <w:pStyle w:val="Heading3"/>
        <w:spacing w:before="0" w:after="120"/>
        <w:jc w:val="left"/>
        <w:rPr>
          <w:rFonts w:cstheme="minorHAnsi"/>
          <w:b w:val="0"/>
        </w:rPr>
      </w:pPr>
      <w:bookmarkStart w:id="9" w:name="_Ref39837061"/>
      <w:r w:rsidRPr="007D5F52">
        <w:rPr>
          <w:rFonts w:cstheme="minorHAnsi"/>
        </w:rPr>
        <w:t>Use in renal impairment</w:t>
      </w:r>
      <w:bookmarkEnd w:id="9"/>
    </w:p>
    <w:p w14:paraId="629C9A81" w14:textId="5212B9BA" w:rsidR="0006006F" w:rsidRPr="007D5F52" w:rsidRDefault="0006006F" w:rsidP="006D7754">
      <w:pPr>
        <w:jc w:val="left"/>
        <w:rPr>
          <w:highlight w:val="yellow"/>
        </w:rPr>
      </w:pPr>
      <w:r w:rsidRPr="007D5F52">
        <w:t>No dose adjustment of VERQUVO</w:t>
      </w:r>
      <w:r w:rsidR="00BB3423" w:rsidRPr="007D5F52">
        <w:t>®</w:t>
      </w:r>
      <w:r w:rsidRPr="007D5F52">
        <w:t xml:space="preserve"> is required in patients with eGFR ≥15 mL/min/1.73m</w:t>
      </w:r>
      <w:r w:rsidRPr="007D5F52">
        <w:rPr>
          <w:vertAlign w:val="superscript"/>
        </w:rPr>
        <w:t>2</w:t>
      </w:r>
      <w:r w:rsidRPr="007D5F52">
        <w:t xml:space="preserve"> (without dialysis). VERQUVO</w:t>
      </w:r>
      <w:r w:rsidR="00BB3423" w:rsidRPr="007D5F52">
        <w:t>®</w:t>
      </w:r>
      <w:r w:rsidRPr="007D5F52">
        <w:t xml:space="preserve"> has not been studied in patients with eGFR &lt;15 mL/min/1.73m</w:t>
      </w:r>
      <w:r w:rsidRPr="007D5F52">
        <w:rPr>
          <w:vertAlign w:val="superscript"/>
        </w:rPr>
        <w:t>2</w:t>
      </w:r>
      <w:r w:rsidRPr="007D5F52">
        <w:t xml:space="preserve"> at treatment initiation or on dialysis and is therefore not recommended in these patients (see Section </w:t>
      </w:r>
      <w:r w:rsidRPr="007D5F52">
        <w:fldChar w:fldCharType="begin"/>
      </w:r>
      <w:r w:rsidRPr="007D5F52">
        <w:instrText xml:space="preserve"> REF _Ref39825044 \r \h </w:instrText>
      </w:r>
      <w:r w:rsidR="006662A4">
        <w:instrText xml:space="preserve"> \* MERGEFORMAT </w:instrText>
      </w:r>
      <w:r w:rsidRPr="007D5F52">
        <w:fldChar w:fldCharType="separate"/>
      </w:r>
      <w:r w:rsidR="00315B56">
        <w:t>4.2</w:t>
      </w:r>
      <w:r w:rsidRPr="007D5F52">
        <w:fldChar w:fldCharType="end"/>
      </w:r>
      <w:r w:rsidRPr="007D5F52">
        <w:t xml:space="preserve"> </w:t>
      </w:r>
      <w:r w:rsidRPr="007D5F52">
        <w:fldChar w:fldCharType="begin"/>
      </w:r>
      <w:r w:rsidRPr="007D5F52">
        <w:instrText xml:space="preserve"> REF _Ref39825044 \h </w:instrText>
      </w:r>
      <w:r w:rsidR="006662A4">
        <w:instrText xml:space="preserve"> \* MERGEFORMAT </w:instrText>
      </w:r>
      <w:r w:rsidRPr="007D5F52">
        <w:fldChar w:fldCharType="separate"/>
      </w:r>
      <w:r w:rsidR="00315B56" w:rsidRPr="007D5F52">
        <w:rPr>
          <w:rFonts w:cstheme="minorHAnsi"/>
        </w:rPr>
        <w:t>Dose and method of administration</w:t>
      </w:r>
      <w:r w:rsidRPr="007D5F52">
        <w:fldChar w:fldCharType="end"/>
      </w:r>
      <w:r w:rsidRPr="007D5F52">
        <w:t xml:space="preserve"> – </w:t>
      </w:r>
      <w:r w:rsidRPr="007D5F52">
        <w:fldChar w:fldCharType="begin"/>
      </w:r>
      <w:r w:rsidRPr="007D5F52">
        <w:instrText xml:space="preserve"> REF _Ref39837477 \h </w:instrText>
      </w:r>
      <w:r w:rsidR="006662A4">
        <w:instrText xml:space="preserve"> \* MERGEFORMAT </w:instrText>
      </w:r>
      <w:r w:rsidRPr="007D5F52">
        <w:fldChar w:fldCharType="separate"/>
      </w:r>
      <w:r w:rsidR="00315B56" w:rsidRPr="007D5F52">
        <w:t>Renal Impairment</w:t>
      </w:r>
      <w:r w:rsidRPr="007D5F52">
        <w:fldChar w:fldCharType="end"/>
      </w:r>
      <w:r w:rsidRPr="007D5F52">
        <w:t xml:space="preserve">, Section </w:t>
      </w:r>
      <w:r w:rsidRPr="007D5F52">
        <w:fldChar w:fldCharType="begin"/>
      </w:r>
      <w:r w:rsidRPr="007D5F52">
        <w:instrText xml:space="preserve"> REF _Ref39825432 \r \h </w:instrText>
      </w:r>
      <w:r w:rsidR="006662A4">
        <w:instrText xml:space="preserve"> \* MERGEFORMAT </w:instrText>
      </w:r>
      <w:r w:rsidRPr="007D5F52">
        <w:fldChar w:fldCharType="separate"/>
      </w:r>
      <w:r w:rsidR="00315B56">
        <w:t>5.1</w:t>
      </w:r>
      <w:r w:rsidRPr="007D5F52">
        <w:fldChar w:fldCharType="end"/>
      </w:r>
      <w:r w:rsidRPr="007D5F52">
        <w:t xml:space="preserve"> </w:t>
      </w:r>
      <w:r w:rsidRPr="007D5F52">
        <w:fldChar w:fldCharType="begin"/>
      </w:r>
      <w:r w:rsidRPr="007D5F52">
        <w:instrText xml:space="preserve"> REF _Ref39825432 \h </w:instrText>
      </w:r>
      <w:r w:rsidR="006662A4">
        <w:instrText xml:space="preserve"> \* MERGEFORMAT </w:instrText>
      </w:r>
      <w:r w:rsidRPr="007D5F52">
        <w:fldChar w:fldCharType="separate"/>
      </w:r>
      <w:r w:rsidR="00315B56" w:rsidRPr="007D5F52">
        <w:rPr>
          <w:rFonts w:cstheme="minorHAnsi"/>
        </w:rPr>
        <w:t>Pharmacodynamic properties</w:t>
      </w:r>
      <w:r w:rsidRPr="007D5F52">
        <w:fldChar w:fldCharType="end"/>
      </w:r>
      <w:r w:rsidRPr="007D5F52">
        <w:t xml:space="preserve"> – </w:t>
      </w:r>
      <w:r w:rsidRPr="007D5F52">
        <w:fldChar w:fldCharType="begin"/>
      </w:r>
      <w:r w:rsidRPr="007D5F52">
        <w:instrText xml:space="preserve"> REF _Ref39825437 \h </w:instrText>
      </w:r>
      <w:r w:rsidR="006662A4">
        <w:instrText xml:space="preserve"> \* MERGEFORMAT </w:instrText>
      </w:r>
      <w:r w:rsidRPr="007D5F52">
        <w:fldChar w:fldCharType="separate"/>
      </w:r>
      <w:r w:rsidR="00315B56" w:rsidRPr="007D5F52">
        <w:t>Clinical trials</w:t>
      </w:r>
      <w:r w:rsidRPr="007D5F52">
        <w:fldChar w:fldCharType="end"/>
      </w:r>
      <w:r w:rsidRPr="007D5F52">
        <w:fldChar w:fldCharType="begin"/>
      </w:r>
      <w:r w:rsidRPr="007D5F52">
        <w:instrText xml:space="preserve"> REF _Ref39836925 \h </w:instrText>
      </w:r>
      <w:r w:rsidR="006662A4">
        <w:instrText xml:space="preserve"> \* MERGEFORMAT </w:instrText>
      </w:r>
      <w:r w:rsidRPr="007D5F52">
        <w:fldChar w:fldCharType="end"/>
      </w:r>
      <w:r w:rsidRPr="007D5F52">
        <w:t xml:space="preserve"> and Section </w:t>
      </w:r>
      <w:r w:rsidRPr="007D5F52">
        <w:fldChar w:fldCharType="begin"/>
      </w:r>
      <w:r w:rsidRPr="007D5F52">
        <w:instrText xml:space="preserve"> REF _Ref39836713 \r \h  \* MERGEFORMAT </w:instrText>
      </w:r>
      <w:r w:rsidRPr="007D5F52">
        <w:fldChar w:fldCharType="separate"/>
      </w:r>
      <w:r w:rsidR="00315B56">
        <w:t>5.2</w:t>
      </w:r>
      <w:r w:rsidRPr="007D5F52">
        <w:fldChar w:fldCharType="end"/>
      </w:r>
      <w:r w:rsidRPr="007D5F52">
        <w:t xml:space="preserve"> </w:t>
      </w:r>
      <w:r w:rsidRPr="007D5F52">
        <w:fldChar w:fldCharType="begin"/>
      </w:r>
      <w:r w:rsidRPr="007D5F52">
        <w:instrText xml:space="preserve"> REF _Ref39836713 \h  \* MERGEFORMAT </w:instrText>
      </w:r>
      <w:r w:rsidRPr="007D5F52">
        <w:fldChar w:fldCharType="separate"/>
      </w:r>
      <w:r w:rsidR="00315B56" w:rsidRPr="007D5F52">
        <w:rPr>
          <w:rFonts w:cstheme="minorHAnsi"/>
        </w:rPr>
        <w:t>Pharmacokinetic properties</w:t>
      </w:r>
      <w:r w:rsidRPr="007D5F52">
        <w:fldChar w:fldCharType="end"/>
      </w:r>
      <w:r w:rsidRPr="007D5F52">
        <w:t xml:space="preserve">  – </w:t>
      </w:r>
      <w:r w:rsidRPr="007D5F52">
        <w:fldChar w:fldCharType="begin"/>
      </w:r>
      <w:r w:rsidRPr="007D5F52">
        <w:instrText xml:space="preserve"> REF _Ref39837011 \h </w:instrText>
      </w:r>
      <w:r w:rsidR="006662A4">
        <w:instrText xml:space="preserve"> \* MERGEFORMAT </w:instrText>
      </w:r>
      <w:r w:rsidRPr="007D5F52">
        <w:fldChar w:fldCharType="separate"/>
      </w:r>
      <w:r w:rsidR="00315B56" w:rsidRPr="007D5F52">
        <w:t>Special populations</w:t>
      </w:r>
      <w:r w:rsidRPr="007D5F52">
        <w:fldChar w:fldCharType="end"/>
      </w:r>
      <w:r w:rsidRPr="007D5F52">
        <w:t>).</w:t>
      </w:r>
    </w:p>
    <w:p w14:paraId="06FDD9EE" w14:textId="77777777" w:rsidR="001A3992" w:rsidRPr="007D5F52" w:rsidRDefault="001A3992" w:rsidP="006D7754">
      <w:pPr>
        <w:pStyle w:val="Heading3"/>
        <w:spacing w:before="0" w:after="120"/>
        <w:jc w:val="left"/>
        <w:rPr>
          <w:rFonts w:cstheme="minorHAnsi"/>
          <w:b w:val="0"/>
        </w:rPr>
      </w:pPr>
      <w:bookmarkStart w:id="10" w:name="_Ref39837168"/>
      <w:r w:rsidRPr="007D5F52">
        <w:rPr>
          <w:rFonts w:cstheme="minorHAnsi"/>
        </w:rPr>
        <w:t>Use in hepatic impairment</w:t>
      </w:r>
      <w:bookmarkEnd w:id="10"/>
    </w:p>
    <w:p w14:paraId="539E2274" w14:textId="0F35A7F9" w:rsidR="00465393" w:rsidRPr="007D5F52" w:rsidRDefault="00465393" w:rsidP="006D7754">
      <w:pPr>
        <w:jc w:val="left"/>
        <w:rPr>
          <w:highlight w:val="yellow"/>
        </w:rPr>
      </w:pPr>
      <w:r w:rsidRPr="007D5F52">
        <w:t xml:space="preserve">No dose adjustment of </w:t>
      </w:r>
      <w:r w:rsidR="00813217" w:rsidRPr="007D5F52">
        <w:t xml:space="preserve">VERQUVO® </w:t>
      </w:r>
      <w:r w:rsidRPr="007D5F52">
        <w:t>is required in patients with mild or moderate hepatic impairment. VERQUVO</w:t>
      </w:r>
      <w:r w:rsidR="00BB3423" w:rsidRPr="007D5F52">
        <w:t>®</w:t>
      </w:r>
      <w:r w:rsidRPr="007D5F52">
        <w:t xml:space="preserve"> has not been studied in patients with severe hepatic impairment and is therefore not recommended in these patients </w:t>
      </w:r>
      <w:r w:rsidR="0006006F" w:rsidRPr="007D5F52">
        <w:t xml:space="preserve">(see Section </w:t>
      </w:r>
      <w:r w:rsidR="0006006F" w:rsidRPr="007D5F52">
        <w:fldChar w:fldCharType="begin"/>
      </w:r>
      <w:r w:rsidR="0006006F" w:rsidRPr="007D5F52">
        <w:instrText xml:space="preserve"> REF _Ref39825044 \r \h </w:instrText>
      </w:r>
      <w:r w:rsidR="006662A4">
        <w:instrText xml:space="preserve"> \* MERGEFORMAT </w:instrText>
      </w:r>
      <w:r w:rsidR="0006006F" w:rsidRPr="007D5F52">
        <w:fldChar w:fldCharType="separate"/>
      </w:r>
      <w:r w:rsidR="00315B56">
        <w:t>4.2</w:t>
      </w:r>
      <w:r w:rsidR="0006006F" w:rsidRPr="007D5F52">
        <w:fldChar w:fldCharType="end"/>
      </w:r>
      <w:r w:rsidR="0006006F" w:rsidRPr="007D5F52">
        <w:t xml:space="preserve"> </w:t>
      </w:r>
      <w:r w:rsidR="0006006F" w:rsidRPr="007D5F52">
        <w:fldChar w:fldCharType="begin"/>
      </w:r>
      <w:r w:rsidR="0006006F" w:rsidRPr="007D5F52">
        <w:instrText xml:space="preserve"> REF _Ref39825044 \h </w:instrText>
      </w:r>
      <w:r w:rsidR="006662A4">
        <w:instrText xml:space="preserve"> \* MERGEFORMAT </w:instrText>
      </w:r>
      <w:r w:rsidR="0006006F" w:rsidRPr="007D5F52">
        <w:fldChar w:fldCharType="separate"/>
      </w:r>
      <w:r w:rsidR="00315B56" w:rsidRPr="007D5F52">
        <w:rPr>
          <w:rFonts w:cstheme="minorHAnsi"/>
        </w:rPr>
        <w:t>Dose and method of administration</w:t>
      </w:r>
      <w:r w:rsidR="0006006F" w:rsidRPr="007D5F52">
        <w:fldChar w:fldCharType="end"/>
      </w:r>
      <w:r w:rsidR="0006006F" w:rsidRPr="007D5F52">
        <w:t xml:space="preserve"> – </w:t>
      </w:r>
      <w:r w:rsidR="0006006F" w:rsidRPr="007D5F52">
        <w:fldChar w:fldCharType="begin"/>
      </w:r>
      <w:r w:rsidR="0006006F" w:rsidRPr="007D5F52">
        <w:instrText xml:space="preserve"> REF _Ref39837519 \h </w:instrText>
      </w:r>
      <w:r w:rsidR="006662A4">
        <w:instrText xml:space="preserve"> \* MERGEFORMAT </w:instrText>
      </w:r>
      <w:r w:rsidR="0006006F" w:rsidRPr="007D5F52">
        <w:fldChar w:fldCharType="separate"/>
      </w:r>
      <w:r w:rsidR="00315B56" w:rsidRPr="007D5F52">
        <w:t>Hepatic Impairment</w:t>
      </w:r>
      <w:r w:rsidR="0006006F" w:rsidRPr="007D5F52">
        <w:fldChar w:fldCharType="end"/>
      </w:r>
      <w:r w:rsidR="0006006F" w:rsidRPr="007D5F52">
        <w:fldChar w:fldCharType="begin"/>
      </w:r>
      <w:r w:rsidR="0006006F" w:rsidRPr="007D5F52">
        <w:instrText xml:space="preserve"> REF _Ref39836925 \h </w:instrText>
      </w:r>
      <w:r w:rsidR="006662A4">
        <w:instrText xml:space="preserve"> \* MERGEFORMAT </w:instrText>
      </w:r>
      <w:r w:rsidR="0006006F" w:rsidRPr="007D5F52">
        <w:fldChar w:fldCharType="end"/>
      </w:r>
      <w:r w:rsidR="0006006F" w:rsidRPr="007D5F52">
        <w:t xml:space="preserve"> and Section </w:t>
      </w:r>
      <w:r w:rsidR="0006006F" w:rsidRPr="007D5F52">
        <w:fldChar w:fldCharType="begin"/>
      </w:r>
      <w:r w:rsidR="0006006F" w:rsidRPr="007D5F52">
        <w:instrText xml:space="preserve"> REF _Ref39836713 \r \h  \* MERGEFORMAT </w:instrText>
      </w:r>
      <w:r w:rsidR="0006006F" w:rsidRPr="007D5F52">
        <w:fldChar w:fldCharType="separate"/>
      </w:r>
      <w:r w:rsidR="00315B56">
        <w:t>5.2</w:t>
      </w:r>
      <w:r w:rsidR="0006006F" w:rsidRPr="007D5F52">
        <w:fldChar w:fldCharType="end"/>
      </w:r>
      <w:r w:rsidR="0006006F" w:rsidRPr="007D5F52">
        <w:t xml:space="preserve"> </w:t>
      </w:r>
      <w:r w:rsidR="0006006F" w:rsidRPr="007D5F52">
        <w:fldChar w:fldCharType="begin"/>
      </w:r>
      <w:r w:rsidR="0006006F" w:rsidRPr="007D5F52">
        <w:instrText xml:space="preserve"> REF _Ref39836713 \h  \* MERGEFORMAT </w:instrText>
      </w:r>
      <w:r w:rsidR="0006006F" w:rsidRPr="007D5F52">
        <w:fldChar w:fldCharType="separate"/>
      </w:r>
      <w:r w:rsidR="00315B56" w:rsidRPr="007D5F52">
        <w:rPr>
          <w:rFonts w:cstheme="minorHAnsi"/>
        </w:rPr>
        <w:t>Pharmacokinetic properties</w:t>
      </w:r>
      <w:r w:rsidR="0006006F" w:rsidRPr="007D5F52">
        <w:fldChar w:fldCharType="end"/>
      </w:r>
      <w:r w:rsidR="0006006F" w:rsidRPr="007D5F52">
        <w:t xml:space="preserve">  – </w:t>
      </w:r>
      <w:r w:rsidR="0006006F" w:rsidRPr="007D5F52">
        <w:fldChar w:fldCharType="begin"/>
      </w:r>
      <w:r w:rsidR="0006006F" w:rsidRPr="007D5F52">
        <w:instrText xml:space="preserve"> REF _Ref39837011 \h </w:instrText>
      </w:r>
      <w:r w:rsidR="006662A4">
        <w:instrText xml:space="preserve"> \* MERGEFORMAT </w:instrText>
      </w:r>
      <w:r w:rsidR="0006006F" w:rsidRPr="007D5F52">
        <w:fldChar w:fldCharType="separate"/>
      </w:r>
      <w:r w:rsidR="00315B56" w:rsidRPr="007D5F52">
        <w:t>Special populations</w:t>
      </w:r>
      <w:r w:rsidR="0006006F" w:rsidRPr="007D5F52">
        <w:fldChar w:fldCharType="end"/>
      </w:r>
      <w:r w:rsidR="0006006F" w:rsidRPr="007D5F52">
        <w:t>).</w:t>
      </w:r>
    </w:p>
    <w:p w14:paraId="764ACDC0" w14:textId="77777777" w:rsidR="001A3992" w:rsidRPr="007D5F52" w:rsidRDefault="001A3992" w:rsidP="006D7754">
      <w:pPr>
        <w:pStyle w:val="Heading3"/>
        <w:spacing w:before="0" w:after="120"/>
        <w:jc w:val="left"/>
        <w:rPr>
          <w:rFonts w:cstheme="minorHAnsi"/>
        </w:rPr>
      </w:pPr>
      <w:bookmarkStart w:id="11" w:name="_Ref39836925"/>
      <w:r w:rsidRPr="007D5F52">
        <w:rPr>
          <w:rFonts w:cstheme="minorHAnsi"/>
        </w:rPr>
        <w:t>Use in the elderly</w:t>
      </w:r>
      <w:bookmarkEnd w:id="11"/>
    </w:p>
    <w:p w14:paraId="2EC43F54" w14:textId="7E2BA4B6" w:rsidR="00737986" w:rsidRPr="007D5F52" w:rsidRDefault="00737986" w:rsidP="006D7754">
      <w:pPr>
        <w:jc w:val="left"/>
        <w:rPr>
          <w:highlight w:val="yellow"/>
        </w:rPr>
      </w:pPr>
      <w:r w:rsidRPr="007D5F52">
        <w:t xml:space="preserve">No dosage adjustment of </w:t>
      </w:r>
      <w:r w:rsidR="00465393" w:rsidRPr="007D5F52">
        <w:t>VERQUVO</w:t>
      </w:r>
      <w:r w:rsidR="00BB3423" w:rsidRPr="007D5F52">
        <w:t>®</w:t>
      </w:r>
      <w:r w:rsidR="00465393" w:rsidRPr="007D5F52">
        <w:t xml:space="preserve"> </w:t>
      </w:r>
      <w:r w:rsidRPr="007D5F52">
        <w:t xml:space="preserve">is required in geriatric patients. In VICTORIA, a total of 1,596 (63%) patients treated with </w:t>
      </w:r>
      <w:r w:rsidR="00465393" w:rsidRPr="007D5F52">
        <w:t>VERQUVO</w:t>
      </w:r>
      <w:r w:rsidR="00BB3423" w:rsidRPr="007D5F52">
        <w:t>®</w:t>
      </w:r>
      <w:r w:rsidR="00465393" w:rsidRPr="007D5F52">
        <w:t xml:space="preserve"> </w:t>
      </w:r>
      <w:r w:rsidRPr="007D5F52">
        <w:t xml:space="preserve">were 65 years and older and 783 (31%) patients treated with </w:t>
      </w:r>
      <w:r w:rsidR="00465393" w:rsidRPr="007D5F52">
        <w:t>VERQUVO</w:t>
      </w:r>
      <w:r w:rsidR="00BB3423" w:rsidRPr="007D5F52">
        <w:t>®</w:t>
      </w:r>
      <w:r w:rsidR="00465393" w:rsidRPr="007D5F52">
        <w:t xml:space="preserve"> </w:t>
      </w:r>
      <w:r w:rsidRPr="007D5F52">
        <w:t xml:space="preserve">were 75 years and older. No overall differences in safety or efficacy of </w:t>
      </w:r>
      <w:r w:rsidR="00465393" w:rsidRPr="007D5F52">
        <w:t>VERQUVO</w:t>
      </w:r>
      <w:r w:rsidR="00BB3423" w:rsidRPr="007D5F52">
        <w:t>®</w:t>
      </w:r>
      <w:r w:rsidR="00465393" w:rsidRPr="007D5F52">
        <w:t xml:space="preserve"> </w:t>
      </w:r>
      <w:r w:rsidRPr="007D5F52">
        <w:t xml:space="preserve">were observed between patients aged 65 years and older compared to younger patients, but greater sensitivity of some older individuals cannot be ruled out </w:t>
      </w:r>
      <w:r w:rsidR="0006006F" w:rsidRPr="007D5F52">
        <w:t xml:space="preserve">(see Section </w:t>
      </w:r>
      <w:r w:rsidR="0006006F" w:rsidRPr="007D5F52">
        <w:fldChar w:fldCharType="begin"/>
      </w:r>
      <w:r w:rsidR="0006006F" w:rsidRPr="007D5F52">
        <w:instrText xml:space="preserve"> REF _Ref39825044 \r \h </w:instrText>
      </w:r>
      <w:r w:rsidR="006662A4">
        <w:instrText xml:space="preserve"> \* MERGEFORMAT </w:instrText>
      </w:r>
      <w:r w:rsidR="0006006F" w:rsidRPr="007D5F52">
        <w:fldChar w:fldCharType="separate"/>
      </w:r>
      <w:r w:rsidR="00315B56">
        <w:t>4.2</w:t>
      </w:r>
      <w:r w:rsidR="0006006F" w:rsidRPr="007D5F52">
        <w:fldChar w:fldCharType="end"/>
      </w:r>
      <w:r w:rsidR="0006006F" w:rsidRPr="007D5F52">
        <w:t xml:space="preserve"> </w:t>
      </w:r>
      <w:r w:rsidR="0006006F" w:rsidRPr="007D5F52">
        <w:fldChar w:fldCharType="begin"/>
      </w:r>
      <w:r w:rsidR="0006006F" w:rsidRPr="007D5F52">
        <w:instrText xml:space="preserve"> REF _Ref39825044 \h </w:instrText>
      </w:r>
      <w:r w:rsidR="006662A4">
        <w:instrText xml:space="preserve"> \* MERGEFORMAT </w:instrText>
      </w:r>
      <w:r w:rsidR="0006006F" w:rsidRPr="007D5F52">
        <w:fldChar w:fldCharType="separate"/>
      </w:r>
      <w:r w:rsidR="00315B56" w:rsidRPr="007D5F52">
        <w:rPr>
          <w:rFonts w:cstheme="minorHAnsi"/>
        </w:rPr>
        <w:t>Dose and method of administration</w:t>
      </w:r>
      <w:r w:rsidR="0006006F" w:rsidRPr="007D5F52">
        <w:fldChar w:fldCharType="end"/>
      </w:r>
      <w:r w:rsidR="0006006F" w:rsidRPr="007D5F52">
        <w:t xml:space="preserve"> – </w:t>
      </w:r>
      <w:r w:rsidR="0006006F" w:rsidRPr="007D5F52">
        <w:fldChar w:fldCharType="begin"/>
      </w:r>
      <w:r w:rsidR="0006006F" w:rsidRPr="007D5F52">
        <w:instrText xml:space="preserve"> REF _Ref39837583 \h </w:instrText>
      </w:r>
      <w:r w:rsidR="006662A4">
        <w:instrText xml:space="preserve"> \* MERGEFORMAT </w:instrText>
      </w:r>
      <w:r w:rsidR="0006006F" w:rsidRPr="007D5F52">
        <w:fldChar w:fldCharType="separate"/>
      </w:r>
      <w:r w:rsidR="00315B56" w:rsidRPr="007D5F52">
        <w:t>Geriatric Patients</w:t>
      </w:r>
      <w:r w:rsidR="0006006F" w:rsidRPr="007D5F52">
        <w:fldChar w:fldCharType="end"/>
      </w:r>
      <w:r w:rsidR="0006006F" w:rsidRPr="007D5F52">
        <w:t xml:space="preserve">, Section </w:t>
      </w:r>
      <w:r w:rsidR="0006006F" w:rsidRPr="007D5F52">
        <w:fldChar w:fldCharType="begin"/>
      </w:r>
      <w:r w:rsidR="0006006F" w:rsidRPr="007D5F52">
        <w:instrText xml:space="preserve"> REF _Ref39825432 \r \h </w:instrText>
      </w:r>
      <w:r w:rsidR="006662A4">
        <w:instrText xml:space="preserve"> \* MERGEFORMAT </w:instrText>
      </w:r>
      <w:r w:rsidR="0006006F" w:rsidRPr="007D5F52">
        <w:fldChar w:fldCharType="separate"/>
      </w:r>
      <w:r w:rsidR="00315B56">
        <w:t>5.1</w:t>
      </w:r>
      <w:r w:rsidR="0006006F" w:rsidRPr="007D5F52">
        <w:fldChar w:fldCharType="end"/>
      </w:r>
      <w:r w:rsidR="0006006F" w:rsidRPr="007D5F52">
        <w:t xml:space="preserve"> </w:t>
      </w:r>
      <w:r w:rsidR="0006006F" w:rsidRPr="007D5F52">
        <w:fldChar w:fldCharType="begin"/>
      </w:r>
      <w:r w:rsidR="0006006F" w:rsidRPr="007D5F52">
        <w:instrText xml:space="preserve"> REF _Ref39825432 \h </w:instrText>
      </w:r>
      <w:r w:rsidR="006662A4">
        <w:instrText xml:space="preserve"> \* MERGEFORMAT </w:instrText>
      </w:r>
      <w:r w:rsidR="0006006F" w:rsidRPr="007D5F52">
        <w:fldChar w:fldCharType="separate"/>
      </w:r>
      <w:r w:rsidR="00315B56" w:rsidRPr="007D5F52">
        <w:rPr>
          <w:rFonts w:cstheme="minorHAnsi"/>
        </w:rPr>
        <w:t>Pharmacodynamic properties</w:t>
      </w:r>
      <w:r w:rsidR="0006006F" w:rsidRPr="007D5F52">
        <w:fldChar w:fldCharType="end"/>
      </w:r>
      <w:r w:rsidR="0006006F" w:rsidRPr="007D5F52">
        <w:t xml:space="preserve"> – </w:t>
      </w:r>
      <w:r w:rsidR="0006006F" w:rsidRPr="007D5F52">
        <w:fldChar w:fldCharType="begin"/>
      </w:r>
      <w:r w:rsidR="0006006F" w:rsidRPr="007D5F52">
        <w:instrText xml:space="preserve"> REF _Ref39825437 \h </w:instrText>
      </w:r>
      <w:r w:rsidR="006662A4">
        <w:instrText xml:space="preserve"> \* MERGEFORMAT </w:instrText>
      </w:r>
      <w:r w:rsidR="0006006F" w:rsidRPr="007D5F52">
        <w:fldChar w:fldCharType="separate"/>
      </w:r>
      <w:r w:rsidR="00315B56" w:rsidRPr="007D5F52">
        <w:t>Clinical trials</w:t>
      </w:r>
      <w:r w:rsidR="0006006F" w:rsidRPr="007D5F52">
        <w:fldChar w:fldCharType="end"/>
      </w:r>
      <w:r w:rsidR="0006006F" w:rsidRPr="007D5F52">
        <w:fldChar w:fldCharType="begin"/>
      </w:r>
      <w:r w:rsidR="0006006F" w:rsidRPr="007D5F52">
        <w:instrText xml:space="preserve"> REF _Ref39836925 \h </w:instrText>
      </w:r>
      <w:r w:rsidR="006662A4">
        <w:instrText xml:space="preserve"> \* MERGEFORMAT </w:instrText>
      </w:r>
      <w:r w:rsidR="0006006F" w:rsidRPr="007D5F52">
        <w:fldChar w:fldCharType="end"/>
      </w:r>
      <w:r w:rsidR="0006006F" w:rsidRPr="007D5F52">
        <w:t xml:space="preserve"> and Section </w:t>
      </w:r>
      <w:r w:rsidR="0006006F" w:rsidRPr="007D5F52">
        <w:fldChar w:fldCharType="begin"/>
      </w:r>
      <w:r w:rsidR="0006006F" w:rsidRPr="007D5F52">
        <w:instrText xml:space="preserve"> REF _Ref39836713 \r \h  \* MERGEFORMAT </w:instrText>
      </w:r>
      <w:r w:rsidR="0006006F" w:rsidRPr="007D5F52">
        <w:fldChar w:fldCharType="separate"/>
      </w:r>
      <w:r w:rsidR="00315B56">
        <w:t>5.2</w:t>
      </w:r>
      <w:r w:rsidR="0006006F" w:rsidRPr="007D5F52">
        <w:fldChar w:fldCharType="end"/>
      </w:r>
      <w:r w:rsidR="0006006F" w:rsidRPr="007D5F52">
        <w:t xml:space="preserve"> </w:t>
      </w:r>
      <w:r w:rsidR="0006006F" w:rsidRPr="007D5F52">
        <w:fldChar w:fldCharType="begin"/>
      </w:r>
      <w:r w:rsidR="0006006F" w:rsidRPr="007D5F52">
        <w:instrText xml:space="preserve"> REF _Ref39836713 \h  \* MERGEFORMAT </w:instrText>
      </w:r>
      <w:r w:rsidR="0006006F" w:rsidRPr="007D5F52">
        <w:fldChar w:fldCharType="separate"/>
      </w:r>
      <w:r w:rsidR="00315B56" w:rsidRPr="007D5F52">
        <w:rPr>
          <w:rFonts w:cstheme="minorHAnsi"/>
        </w:rPr>
        <w:t>Pharmacokinetic properties</w:t>
      </w:r>
      <w:r w:rsidR="0006006F" w:rsidRPr="007D5F52">
        <w:fldChar w:fldCharType="end"/>
      </w:r>
      <w:r w:rsidR="0006006F" w:rsidRPr="007D5F52">
        <w:t xml:space="preserve">  – </w:t>
      </w:r>
      <w:r w:rsidR="0006006F" w:rsidRPr="007D5F52">
        <w:fldChar w:fldCharType="begin"/>
      </w:r>
      <w:r w:rsidR="0006006F" w:rsidRPr="007D5F52">
        <w:instrText xml:space="preserve"> REF _Ref39837011 \h </w:instrText>
      </w:r>
      <w:r w:rsidR="006662A4">
        <w:instrText xml:space="preserve"> \* MERGEFORMAT </w:instrText>
      </w:r>
      <w:r w:rsidR="0006006F" w:rsidRPr="007D5F52">
        <w:fldChar w:fldCharType="separate"/>
      </w:r>
      <w:r w:rsidR="00315B56" w:rsidRPr="007D5F52">
        <w:t>Special populations</w:t>
      </w:r>
      <w:r w:rsidR="0006006F" w:rsidRPr="007D5F52">
        <w:fldChar w:fldCharType="end"/>
      </w:r>
      <w:r w:rsidR="0006006F" w:rsidRPr="007D5F52">
        <w:t>).</w:t>
      </w:r>
    </w:p>
    <w:p w14:paraId="39BE47AB" w14:textId="06AB70F5" w:rsidR="001A3992" w:rsidRPr="007D5F52" w:rsidRDefault="001A3992" w:rsidP="006D7754">
      <w:pPr>
        <w:pStyle w:val="Heading3"/>
        <w:spacing w:before="0" w:after="120"/>
        <w:jc w:val="left"/>
        <w:rPr>
          <w:rFonts w:cstheme="minorHAnsi"/>
        </w:rPr>
      </w:pPr>
      <w:bookmarkStart w:id="12" w:name="_Ref39836882"/>
      <w:r w:rsidRPr="007D5F52">
        <w:rPr>
          <w:rFonts w:cstheme="minorHAnsi"/>
        </w:rPr>
        <w:t>Paediatric use</w:t>
      </w:r>
      <w:bookmarkEnd w:id="12"/>
    </w:p>
    <w:p w14:paraId="53D02FE8" w14:textId="01CFA61D" w:rsidR="00737986" w:rsidRDefault="00737986" w:rsidP="006D7754">
      <w:pPr>
        <w:jc w:val="left"/>
      </w:pPr>
      <w:r w:rsidRPr="007D5F52">
        <w:t xml:space="preserve">Safety and efficacy of </w:t>
      </w:r>
      <w:r w:rsidR="00465393" w:rsidRPr="007D5F52">
        <w:t>VERQUVO</w:t>
      </w:r>
      <w:r w:rsidR="00BB3423" w:rsidRPr="007D5F52">
        <w:t>®</w:t>
      </w:r>
      <w:r w:rsidR="00465393" w:rsidRPr="007D5F52">
        <w:t xml:space="preserve"> </w:t>
      </w:r>
      <w:r w:rsidRPr="007D5F52">
        <w:t>have not been established in pat</w:t>
      </w:r>
      <w:r w:rsidR="009F6109" w:rsidRPr="007D5F52">
        <w:t xml:space="preserve">ients less than 18 years of age (see Section </w:t>
      </w:r>
      <w:r w:rsidR="009F6109" w:rsidRPr="007D5F52">
        <w:fldChar w:fldCharType="begin"/>
      </w:r>
      <w:r w:rsidR="009F6109" w:rsidRPr="007D5F52">
        <w:instrText xml:space="preserve"> REF _Ref40455952 \r \h </w:instrText>
      </w:r>
      <w:r w:rsidR="006662A4">
        <w:instrText xml:space="preserve"> \* MERGEFORMAT </w:instrText>
      </w:r>
      <w:r w:rsidR="009F6109" w:rsidRPr="007D5F52">
        <w:fldChar w:fldCharType="separate"/>
      </w:r>
      <w:r w:rsidR="00315B56">
        <w:t>4.2</w:t>
      </w:r>
      <w:r w:rsidR="009F6109" w:rsidRPr="007D5F52">
        <w:fldChar w:fldCharType="end"/>
      </w:r>
      <w:r w:rsidR="009F6109" w:rsidRPr="007D5F52">
        <w:t xml:space="preserve"> </w:t>
      </w:r>
      <w:r w:rsidR="009F6109" w:rsidRPr="007D5F52">
        <w:fldChar w:fldCharType="begin"/>
      </w:r>
      <w:r w:rsidR="009F6109" w:rsidRPr="007D5F52">
        <w:instrText xml:space="preserve"> REF _Ref40455952 \h </w:instrText>
      </w:r>
      <w:r w:rsidR="006662A4">
        <w:instrText xml:space="preserve"> \* MERGEFORMAT </w:instrText>
      </w:r>
      <w:r w:rsidR="009F6109" w:rsidRPr="007D5F52">
        <w:fldChar w:fldCharType="separate"/>
      </w:r>
      <w:r w:rsidR="00315B56" w:rsidRPr="007D5F52">
        <w:rPr>
          <w:rFonts w:cstheme="minorHAnsi"/>
        </w:rPr>
        <w:t>Dose and method of administration</w:t>
      </w:r>
      <w:r w:rsidR="009F6109" w:rsidRPr="007D5F52">
        <w:fldChar w:fldCharType="end"/>
      </w:r>
      <w:r w:rsidR="009F6109" w:rsidRPr="007D5F52">
        <w:t xml:space="preserve"> – </w:t>
      </w:r>
      <w:r w:rsidR="009F6109" w:rsidRPr="007D5F52">
        <w:fldChar w:fldCharType="begin"/>
      </w:r>
      <w:r w:rsidR="009F6109" w:rsidRPr="007D5F52">
        <w:instrText xml:space="preserve"> REF _Ref40455960 \h </w:instrText>
      </w:r>
      <w:r w:rsidR="006662A4">
        <w:instrText xml:space="preserve"> \* MERGEFORMAT </w:instrText>
      </w:r>
      <w:r w:rsidR="009F6109" w:rsidRPr="007D5F52">
        <w:fldChar w:fldCharType="separate"/>
      </w:r>
      <w:r w:rsidR="00315B56" w:rsidRPr="007D5F52">
        <w:t>Paediatric Patients</w:t>
      </w:r>
      <w:r w:rsidR="009F6109" w:rsidRPr="007D5F52">
        <w:fldChar w:fldCharType="end"/>
      </w:r>
      <w:r w:rsidR="009F6109" w:rsidRPr="007D5F52">
        <w:t xml:space="preserve"> and Section </w:t>
      </w:r>
      <w:r w:rsidR="009F6109" w:rsidRPr="007D5F52">
        <w:fldChar w:fldCharType="begin"/>
      </w:r>
      <w:r w:rsidR="009F6109" w:rsidRPr="007D5F52">
        <w:instrText xml:space="preserve"> REF _Ref39836713 \r \h  \* MERGEFORMAT </w:instrText>
      </w:r>
      <w:r w:rsidR="009F6109" w:rsidRPr="007D5F52">
        <w:fldChar w:fldCharType="separate"/>
      </w:r>
      <w:r w:rsidR="00315B56">
        <w:t>5.2</w:t>
      </w:r>
      <w:r w:rsidR="009F6109" w:rsidRPr="007D5F52">
        <w:fldChar w:fldCharType="end"/>
      </w:r>
      <w:r w:rsidR="009F6109" w:rsidRPr="007D5F52">
        <w:t xml:space="preserve"> </w:t>
      </w:r>
      <w:r w:rsidR="009F6109" w:rsidRPr="007D5F52">
        <w:fldChar w:fldCharType="begin"/>
      </w:r>
      <w:r w:rsidR="009F6109" w:rsidRPr="007D5F52">
        <w:instrText xml:space="preserve"> REF _Ref39836713 \h  \* MERGEFORMAT </w:instrText>
      </w:r>
      <w:r w:rsidR="009F6109" w:rsidRPr="007D5F52">
        <w:fldChar w:fldCharType="separate"/>
      </w:r>
      <w:r w:rsidR="00315B56" w:rsidRPr="007D5F52">
        <w:rPr>
          <w:rFonts w:cstheme="minorHAnsi"/>
        </w:rPr>
        <w:t>Pharmacokinetic properties</w:t>
      </w:r>
      <w:r w:rsidR="009F6109" w:rsidRPr="007D5F52">
        <w:fldChar w:fldCharType="end"/>
      </w:r>
      <w:r w:rsidR="009F6109" w:rsidRPr="007D5F52">
        <w:t xml:space="preserve"> – </w:t>
      </w:r>
      <w:r w:rsidR="009F6109" w:rsidRPr="007D5F52">
        <w:fldChar w:fldCharType="begin"/>
      </w:r>
      <w:r w:rsidR="009F6109" w:rsidRPr="007D5F52">
        <w:instrText xml:space="preserve"> REF _Ref39837011 \h </w:instrText>
      </w:r>
      <w:r w:rsidR="006662A4">
        <w:instrText xml:space="preserve"> \* MERGEFORMAT </w:instrText>
      </w:r>
      <w:r w:rsidR="009F6109" w:rsidRPr="007D5F52">
        <w:fldChar w:fldCharType="separate"/>
      </w:r>
      <w:r w:rsidR="00315B56" w:rsidRPr="007D5F52">
        <w:t>Special populations</w:t>
      </w:r>
      <w:r w:rsidR="009F6109" w:rsidRPr="007D5F52">
        <w:fldChar w:fldCharType="end"/>
      </w:r>
      <w:r w:rsidR="009F6109" w:rsidRPr="007D5F52">
        <w:t>).</w:t>
      </w:r>
      <w:r w:rsidR="00BD7CAD">
        <w:t xml:space="preserve">  Undesirable effects were observed on growing bone in non-clinical studies (see Section </w:t>
      </w:r>
      <w:r w:rsidR="00BD7CAD">
        <w:fldChar w:fldCharType="begin"/>
      </w:r>
      <w:r w:rsidR="00BD7CAD">
        <w:instrText xml:space="preserve"> REF _Ref40457436 \r \h </w:instrText>
      </w:r>
      <w:r w:rsidR="006662A4">
        <w:instrText xml:space="preserve"> \* MERGEFORMAT </w:instrText>
      </w:r>
      <w:r w:rsidR="00BD7CAD">
        <w:fldChar w:fldCharType="separate"/>
      </w:r>
      <w:r w:rsidR="00BD7CAD">
        <w:t>5.3</w:t>
      </w:r>
      <w:r w:rsidR="00BD7CAD">
        <w:fldChar w:fldCharType="end"/>
      </w:r>
      <w:r w:rsidR="00BD7CAD">
        <w:t xml:space="preserve"> </w:t>
      </w:r>
      <w:r w:rsidR="00BD7CAD">
        <w:fldChar w:fldCharType="begin"/>
      </w:r>
      <w:r w:rsidR="00BD7CAD">
        <w:instrText xml:space="preserve"> REF _Ref40457436 \h </w:instrText>
      </w:r>
      <w:r w:rsidR="006662A4">
        <w:instrText xml:space="preserve"> \* MERGEFORMAT </w:instrText>
      </w:r>
      <w:r w:rsidR="00BD7CAD">
        <w:fldChar w:fldCharType="separate"/>
      </w:r>
      <w:r w:rsidR="00BD7CAD" w:rsidRPr="007D5F52">
        <w:rPr>
          <w:rFonts w:cstheme="minorHAnsi"/>
        </w:rPr>
        <w:t>Preclinical safety data</w:t>
      </w:r>
      <w:r w:rsidR="00BD7CAD">
        <w:fldChar w:fldCharType="end"/>
      </w:r>
      <w:r w:rsidR="00BD7CAD">
        <w:t xml:space="preserve"> - </w:t>
      </w:r>
      <w:r w:rsidR="00BD7CAD">
        <w:fldChar w:fldCharType="begin"/>
      </w:r>
      <w:r w:rsidR="00BD7CAD">
        <w:instrText xml:space="preserve"> REF _Ref70586451 \h </w:instrText>
      </w:r>
      <w:r w:rsidR="006662A4">
        <w:instrText xml:space="preserve"> \* MERGEFORMAT </w:instrText>
      </w:r>
      <w:r w:rsidR="00BD7CAD">
        <w:fldChar w:fldCharType="separate"/>
      </w:r>
      <w:r w:rsidR="00BD7CAD" w:rsidRPr="0061587B">
        <w:rPr>
          <w:rFonts w:cstheme="minorHAnsi"/>
        </w:rPr>
        <w:t>Toxicity</w:t>
      </w:r>
      <w:r w:rsidR="00BD7CAD">
        <w:fldChar w:fldCharType="end"/>
      </w:r>
      <w:r w:rsidR="00BD7CAD">
        <w:t>).</w:t>
      </w:r>
    </w:p>
    <w:p w14:paraId="74CAA760" w14:textId="77777777" w:rsidR="001A3992" w:rsidRPr="007D5F52" w:rsidRDefault="001A3992" w:rsidP="006D7754">
      <w:pPr>
        <w:pStyle w:val="Heading3"/>
        <w:spacing w:before="0" w:after="120"/>
        <w:jc w:val="left"/>
        <w:rPr>
          <w:rFonts w:cstheme="minorHAnsi"/>
        </w:rPr>
      </w:pPr>
      <w:r w:rsidRPr="007D5F52">
        <w:rPr>
          <w:rFonts w:cstheme="minorHAnsi"/>
        </w:rPr>
        <w:t>Effects on laboratory tests</w:t>
      </w:r>
    </w:p>
    <w:p w14:paraId="1D8414C0" w14:textId="6533B554" w:rsidR="00465393" w:rsidRDefault="00465393" w:rsidP="006D7754">
      <w:pPr>
        <w:jc w:val="left"/>
      </w:pPr>
      <w:r w:rsidRPr="007D5F52">
        <w:t>No data available.</w:t>
      </w:r>
    </w:p>
    <w:p w14:paraId="6F1CBB6D" w14:textId="19D1411E" w:rsidR="001A3992" w:rsidRPr="007D5F52" w:rsidRDefault="001A3992" w:rsidP="006D7754">
      <w:pPr>
        <w:pStyle w:val="Heading2"/>
        <w:keepNext/>
        <w:keepLines/>
        <w:spacing w:before="0" w:after="120"/>
        <w:jc w:val="left"/>
        <w:rPr>
          <w:rFonts w:cstheme="minorHAnsi"/>
        </w:rPr>
      </w:pPr>
      <w:bookmarkStart w:id="13" w:name="_Ref39824533"/>
      <w:r w:rsidRPr="007D5F52">
        <w:rPr>
          <w:rFonts w:cstheme="minorHAnsi"/>
        </w:rPr>
        <w:t>Interactions with other medicines and other forms of interactions</w:t>
      </w:r>
      <w:bookmarkEnd w:id="13"/>
    </w:p>
    <w:p w14:paraId="21372487" w14:textId="70CAFCB4" w:rsidR="00A65473" w:rsidRPr="007D5F52" w:rsidRDefault="00A65473" w:rsidP="006D7754">
      <w:pPr>
        <w:pStyle w:val="Heading3"/>
        <w:jc w:val="left"/>
      </w:pPr>
      <w:r w:rsidRPr="007D5F52">
        <w:t>Contraindications of concomitant use</w:t>
      </w:r>
    </w:p>
    <w:p w14:paraId="5B81060A" w14:textId="77777777" w:rsidR="00A65473" w:rsidRPr="007D5F52" w:rsidRDefault="00A65473" w:rsidP="006D7754">
      <w:pPr>
        <w:pStyle w:val="Heading4"/>
        <w:jc w:val="left"/>
      </w:pPr>
      <w:r w:rsidRPr="007D5F52">
        <w:t>Other soluble guanylate cyclase (</w:t>
      </w:r>
      <w:proofErr w:type="spellStart"/>
      <w:r w:rsidRPr="007D5F52">
        <w:t>sGC</w:t>
      </w:r>
      <w:proofErr w:type="spellEnd"/>
      <w:r w:rsidRPr="007D5F52">
        <w:t>) stimulators</w:t>
      </w:r>
    </w:p>
    <w:p w14:paraId="2624292A" w14:textId="7DCC45F8" w:rsidR="00A65473" w:rsidRPr="007D5F52" w:rsidRDefault="00A65473" w:rsidP="006D7754">
      <w:pPr>
        <w:jc w:val="left"/>
      </w:pPr>
      <w:r w:rsidRPr="007D5F52">
        <w:t>VERQUVO</w:t>
      </w:r>
      <w:r w:rsidR="00BB3423" w:rsidRPr="007D5F52">
        <w:t>®</w:t>
      </w:r>
      <w:r w:rsidRPr="007D5F52">
        <w:t xml:space="preserve"> is contraindicated in patients with concomitant use of other soluble guanylate cyclase (</w:t>
      </w:r>
      <w:proofErr w:type="spellStart"/>
      <w:r w:rsidRPr="007D5F52">
        <w:t>sGC</w:t>
      </w:r>
      <w:proofErr w:type="spellEnd"/>
      <w:r w:rsidRPr="007D5F52">
        <w:t xml:space="preserve">) stimulators, such as </w:t>
      </w:r>
      <w:proofErr w:type="spellStart"/>
      <w:r w:rsidRPr="007D5F52">
        <w:t>riociguat</w:t>
      </w:r>
      <w:proofErr w:type="spellEnd"/>
      <w:r w:rsidRPr="007D5F52">
        <w:t xml:space="preserve"> (see </w:t>
      </w:r>
      <w:r w:rsidR="00D44E9B" w:rsidRPr="007D5F52">
        <w:t>S</w:t>
      </w:r>
      <w:r w:rsidRPr="007D5F52">
        <w:t xml:space="preserve">ection </w:t>
      </w:r>
      <w:r w:rsidR="00D44E9B" w:rsidRPr="007D5F52">
        <w:fldChar w:fldCharType="begin"/>
      </w:r>
      <w:r w:rsidR="00D44E9B" w:rsidRPr="007D5F52">
        <w:instrText xml:space="preserve"> REF _Ref39824902 \r \h  \* MERGEFORMAT </w:instrText>
      </w:r>
      <w:r w:rsidR="00D44E9B" w:rsidRPr="007D5F52">
        <w:fldChar w:fldCharType="separate"/>
      </w:r>
      <w:r w:rsidR="00315B56">
        <w:t>4.3</w:t>
      </w:r>
      <w:r w:rsidR="00D44E9B" w:rsidRPr="007D5F52">
        <w:fldChar w:fldCharType="end"/>
      </w:r>
      <w:r w:rsidR="00D44E9B" w:rsidRPr="007D5F52">
        <w:t xml:space="preserve"> </w:t>
      </w:r>
      <w:r w:rsidR="00D44E9B" w:rsidRPr="007D5F52">
        <w:fldChar w:fldCharType="begin"/>
      </w:r>
      <w:r w:rsidR="00D44E9B" w:rsidRPr="007D5F52">
        <w:instrText xml:space="preserve"> REF _Ref39824902 \h  \* MERGEFORMAT </w:instrText>
      </w:r>
      <w:r w:rsidR="00D44E9B" w:rsidRPr="007D5F52">
        <w:fldChar w:fldCharType="separate"/>
      </w:r>
      <w:r w:rsidR="00315B56" w:rsidRPr="007D5F52">
        <w:rPr>
          <w:rFonts w:cstheme="minorHAnsi"/>
        </w:rPr>
        <w:t>Contraindications</w:t>
      </w:r>
      <w:r w:rsidR="00D44E9B" w:rsidRPr="007D5F52">
        <w:fldChar w:fldCharType="end"/>
      </w:r>
      <w:r w:rsidRPr="007D5F52">
        <w:t>).</w:t>
      </w:r>
    </w:p>
    <w:p w14:paraId="7F526A9E" w14:textId="3A88648E" w:rsidR="00A65473" w:rsidRPr="007D5F52" w:rsidRDefault="00A65473" w:rsidP="006D7754">
      <w:pPr>
        <w:pStyle w:val="Heading3"/>
        <w:jc w:val="left"/>
      </w:pPr>
      <w:r w:rsidRPr="007D5F52">
        <w:lastRenderedPageBreak/>
        <w:t>Concomitant use not recommended</w:t>
      </w:r>
    </w:p>
    <w:p w14:paraId="17D13EBD" w14:textId="77777777" w:rsidR="00A65473" w:rsidRPr="007D5F52" w:rsidRDefault="00A65473" w:rsidP="006D7754">
      <w:pPr>
        <w:pStyle w:val="Heading4"/>
        <w:jc w:val="left"/>
      </w:pPr>
      <w:r w:rsidRPr="007D5F52">
        <w:t>PDE5 inhibitors</w:t>
      </w:r>
    </w:p>
    <w:p w14:paraId="51609E91" w14:textId="77777777" w:rsidR="00A65473" w:rsidRPr="007D5F52" w:rsidRDefault="00A65473" w:rsidP="006D7754">
      <w:pPr>
        <w:jc w:val="left"/>
      </w:pPr>
      <w:r w:rsidRPr="007D5F52">
        <w:t>Addition of single doses of sildenafil (25, 50, or 100 mg) to multiple doses of vericiguat (10 mg) once daily in healthy subjects was associated with additional seated blood pressure (BP) reduction of less than or equal to 5.4 mmHg (systolic/diastolic BP, mean arterial pressure [MAP]) compared to administration of vericiguat alone. No dose-dependent trend was observed with the different sildenafil doses.</w:t>
      </w:r>
    </w:p>
    <w:p w14:paraId="02B00C94" w14:textId="602F09C8" w:rsidR="00A65473" w:rsidRPr="007D5F52" w:rsidRDefault="00A65473" w:rsidP="006D7754">
      <w:pPr>
        <w:jc w:val="left"/>
      </w:pPr>
      <w:r w:rsidRPr="007D5F52">
        <w:t>Co</w:t>
      </w:r>
      <w:r w:rsidR="00466359" w:rsidRPr="007D5F52">
        <w:t>-</w:t>
      </w:r>
      <w:r w:rsidRPr="007D5F52">
        <w:t xml:space="preserve">administration was not associated with a clinically relevant effect on the exposure (AUC and </w:t>
      </w:r>
      <w:proofErr w:type="spellStart"/>
      <w:r w:rsidRPr="007D5F52">
        <w:t>C</w:t>
      </w:r>
      <w:r w:rsidRPr="007D5F52">
        <w:rPr>
          <w:vertAlign w:val="subscript"/>
        </w:rPr>
        <w:t>max</w:t>
      </w:r>
      <w:proofErr w:type="spellEnd"/>
      <w:r w:rsidRPr="007D5F52">
        <w:t>) of either medicinal product.</w:t>
      </w:r>
    </w:p>
    <w:p w14:paraId="2AB9622B" w14:textId="3E5DD926" w:rsidR="00A65473" w:rsidRPr="007D5F52" w:rsidRDefault="00A65473" w:rsidP="006D7754">
      <w:pPr>
        <w:jc w:val="left"/>
      </w:pPr>
      <w:r w:rsidRPr="007D5F52">
        <w:t>Concomitant use of VERQUVO</w:t>
      </w:r>
      <w:r w:rsidR="00BB3423" w:rsidRPr="007D5F52">
        <w:t>®</w:t>
      </w:r>
      <w:r w:rsidRPr="007D5F52">
        <w:t xml:space="preserve"> and PDE5 inhibitors, such as sildenafil, has not been studied in patients with heart failure and is therefore not recommended due to the potential increased risk for symptomatic hypotension (see </w:t>
      </w:r>
      <w:r w:rsidR="00D44E9B" w:rsidRPr="007D5F52">
        <w:t>S</w:t>
      </w:r>
      <w:r w:rsidRPr="007D5F52">
        <w:t xml:space="preserve">ection </w:t>
      </w:r>
      <w:r w:rsidR="00D44E9B" w:rsidRPr="007D5F52">
        <w:fldChar w:fldCharType="begin"/>
      </w:r>
      <w:r w:rsidR="00D44E9B" w:rsidRPr="007D5F52">
        <w:instrText xml:space="preserve"> REF _Ref39824947 \r \h  \* MERGEFORMAT </w:instrText>
      </w:r>
      <w:r w:rsidR="00D44E9B" w:rsidRPr="007D5F52">
        <w:fldChar w:fldCharType="separate"/>
      </w:r>
      <w:r w:rsidR="00315B56">
        <w:t>4.4</w:t>
      </w:r>
      <w:r w:rsidR="00D44E9B" w:rsidRPr="007D5F52">
        <w:fldChar w:fldCharType="end"/>
      </w:r>
      <w:r w:rsidR="00D44E9B" w:rsidRPr="007D5F52">
        <w:t xml:space="preserve"> </w:t>
      </w:r>
      <w:r w:rsidR="00D44E9B" w:rsidRPr="007D5F52">
        <w:fldChar w:fldCharType="begin"/>
      </w:r>
      <w:r w:rsidR="00D44E9B" w:rsidRPr="007D5F52">
        <w:instrText xml:space="preserve"> REF _Ref39824947 \h  \* MERGEFORMAT </w:instrText>
      </w:r>
      <w:r w:rsidR="00D44E9B" w:rsidRPr="007D5F52">
        <w:fldChar w:fldCharType="separate"/>
      </w:r>
      <w:r w:rsidR="00315B56" w:rsidRPr="007D5F52">
        <w:rPr>
          <w:rFonts w:cstheme="minorHAnsi"/>
        </w:rPr>
        <w:t>Special warnings and precautions for use</w:t>
      </w:r>
      <w:r w:rsidR="00D44E9B" w:rsidRPr="007D5F52">
        <w:fldChar w:fldCharType="end"/>
      </w:r>
      <w:r w:rsidR="00D44E9B" w:rsidRPr="007D5F52">
        <w:t xml:space="preserve"> – </w:t>
      </w:r>
      <w:r w:rsidR="00D44E9B" w:rsidRPr="007D5F52">
        <w:fldChar w:fldCharType="begin"/>
      </w:r>
      <w:r w:rsidR="00D44E9B" w:rsidRPr="007D5F52">
        <w:instrText xml:space="preserve"> REF _Ref39824964 \h  \* MERGEFORMAT </w:instrText>
      </w:r>
      <w:r w:rsidR="00D44E9B" w:rsidRPr="007D5F52">
        <w:fldChar w:fldCharType="separate"/>
      </w:r>
      <w:r w:rsidR="00315B56" w:rsidRPr="007D5F52">
        <w:t>Symptomatic Hypotension</w:t>
      </w:r>
      <w:r w:rsidR="00D44E9B" w:rsidRPr="007D5F52">
        <w:fldChar w:fldCharType="end"/>
      </w:r>
      <w:r w:rsidRPr="007D5F52">
        <w:t>).</w:t>
      </w:r>
    </w:p>
    <w:p w14:paraId="532828B0" w14:textId="16077BE0" w:rsidR="00A65473" w:rsidRPr="007D5F52" w:rsidRDefault="00A65473" w:rsidP="006D7754">
      <w:pPr>
        <w:pStyle w:val="Heading3"/>
        <w:jc w:val="left"/>
      </w:pPr>
      <w:r w:rsidRPr="007D5F52">
        <w:t>Other interactions</w:t>
      </w:r>
    </w:p>
    <w:p w14:paraId="240DBF54" w14:textId="77777777" w:rsidR="00A15BBC" w:rsidRPr="007D5F52" w:rsidRDefault="00A15BBC" w:rsidP="006D7754">
      <w:pPr>
        <w:pStyle w:val="Heading4"/>
        <w:jc w:val="left"/>
      </w:pPr>
      <w:r w:rsidRPr="007D5F52">
        <w:t>Combination of sacubitril/valsartan</w:t>
      </w:r>
    </w:p>
    <w:p w14:paraId="3E71CA83" w14:textId="77777777" w:rsidR="00A15BBC" w:rsidRPr="007D5F52" w:rsidRDefault="00A15BBC" w:rsidP="006D7754">
      <w:pPr>
        <w:jc w:val="left"/>
      </w:pPr>
      <w:r w:rsidRPr="007D5F52">
        <w:t>Addition of multiple doses of vericiguat (2.5 mg) to multiple doses of sacubitril/valsartan (97/103 mg) in healthy subjects had no additional effect on seated blood pressure compared to administration of sacubitril/valsartan alone.</w:t>
      </w:r>
    </w:p>
    <w:p w14:paraId="153E8D5E" w14:textId="2CEC1E39" w:rsidR="00A15BBC" w:rsidRPr="007D5F52" w:rsidRDefault="00A15BBC" w:rsidP="006D7754">
      <w:pPr>
        <w:jc w:val="left"/>
      </w:pPr>
      <w:r w:rsidRPr="007D5F52">
        <w:t xml:space="preserve">Co-administration was not associated with a clinically relevant effect on the exposure (AUC and </w:t>
      </w:r>
      <w:proofErr w:type="spellStart"/>
      <w:r w:rsidRPr="007D5F52">
        <w:t>C</w:t>
      </w:r>
      <w:r w:rsidRPr="007D5F52">
        <w:rPr>
          <w:vertAlign w:val="subscript"/>
        </w:rPr>
        <w:t>max</w:t>
      </w:r>
      <w:proofErr w:type="spellEnd"/>
      <w:r w:rsidRPr="007D5F52">
        <w:t>) of either medicinal product.</w:t>
      </w:r>
    </w:p>
    <w:p w14:paraId="46ADCA18" w14:textId="767C2FB1" w:rsidR="00A65473" w:rsidRPr="007D5F52" w:rsidRDefault="00A65473" w:rsidP="006D7754">
      <w:pPr>
        <w:pStyle w:val="Heading4"/>
        <w:jc w:val="left"/>
      </w:pPr>
      <w:r w:rsidRPr="007D5F52">
        <w:t>Concomitant use with drugs that increase gastric pH</w:t>
      </w:r>
    </w:p>
    <w:p w14:paraId="635286FB" w14:textId="28F559E9" w:rsidR="00A65473" w:rsidRPr="007D5F52" w:rsidRDefault="00A65473" w:rsidP="006D7754">
      <w:pPr>
        <w:jc w:val="left"/>
      </w:pPr>
      <w:r w:rsidRPr="007D5F52">
        <w:t>Co</w:t>
      </w:r>
      <w:r w:rsidR="00466359" w:rsidRPr="007D5F52">
        <w:t>-</w:t>
      </w:r>
      <w:r w:rsidRPr="007D5F52">
        <w:t xml:space="preserve">treatment with medicinal products that increase gastric pH, such as proton pump inhibitors (omeprazole), H2 receptor antagonists or antacids (aluminium hydroxide/magnesium hydroxide) did not affect vericiguat exposure when vericiguat was taken as directed with food in heart failure patients (see </w:t>
      </w:r>
      <w:r w:rsidR="00D44E9B" w:rsidRPr="007D5F52">
        <w:t>S</w:t>
      </w:r>
      <w:r w:rsidRPr="007D5F52">
        <w:t xml:space="preserve">ection </w:t>
      </w:r>
      <w:r w:rsidR="00D44E9B" w:rsidRPr="007D5F52">
        <w:fldChar w:fldCharType="begin"/>
      </w:r>
      <w:r w:rsidR="00D44E9B" w:rsidRPr="007D5F52">
        <w:instrText xml:space="preserve"> REF _Ref39825044 \r \h  \* MERGEFORMAT </w:instrText>
      </w:r>
      <w:r w:rsidR="00D44E9B" w:rsidRPr="007D5F52">
        <w:fldChar w:fldCharType="separate"/>
      </w:r>
      <w:r w:rsidR="00315B56">
        <w:t>4.2</w:t>
      </w:r>
      <w:r w:rsidR="00D44E9B" w:rsidRPr="007D5F52">
        <w:fldChar w:fldCharType="end"/>
      </w:r>
      <w:r w:rsidR="00D44E9B" w:rsidRPr="007D5F52">
        <w:t xml:space="preserve"> </w:t>
      </w:r>
      <w:r w:rsidR="00D44E9B" w:rsidRPr="007D5F52">
        <w:fldChar w:fldCharType="begin"/>
      </w:r>
      <w:r w:rsidR="00D44E9B" w:rsidRPr="007D5F52">
        <w:instrText xml:space="preserve"> REF _Ref39825044 \h  \* MERGEFORMAT </w:instrText>
      </w:r>
      <w:r w:rsidR="00D44E9B" w:rsidRPr="007D5F52">
        <w:fldChar w:fldCharType="separate"/>
      </w:r>
      <w:r w:rsidR="00315B56" w:rsidRPr="007D5F52">
        <w:rPr>
          <w:rFonts w:cstheme="minorHAnsi"/>
        </w:rPr>
        <w:t>Dose and method of administration</w:t>
      </w:r>
      <w:r w:rsidR="00D44E9B" w:rsidRPr="007D5F52">
        <w:fldChar w:fldCharType="end"/>
      </w:r>
      <w:r w:rsidRPr="007D5F52">
        <w:t>).</w:t>
      </w:r>
    </w:p>
    <w:p w14:paraId="701142FE" w14:textId="77777777" w:rsidR="00A65473" w:rsidRPr="007D5F52" w:rsidRDefault="00A65473" w:rsidP="006D7754">
      <w:pPr>
        <w:pStyle w:val="Heading4"/>
        <w:jc w:val="left"/>
      </w:pPr>
      <w:r w:rsidRPr="007D5F52">
        <w:t>Acetylsalicylic acid</w:t>
      </w:r>
    </w:p>
    <w:p w14:paraId="6143F51F" w14:textId="77777777" w:rsidR="00A65473" w:rsidRPr="007D5F52" w:rsidRDefault="00A65473" w:rsidP="006D7754">
      <w:pPr>
        <w:jc w:val="left"/>
      </w:pPr>
      <w:r w:rsidRPr="007D5F52">
        <w:t>Administration of a single dose of vericiguat (15 mg) in healthy subjects did not alter the effect of acetylsalicylic acid (500 mg) on bleeding time or platelet aggregation. Bleeding time or platelet aggregation did not change under treatment with vericiguat (15 mg) alone.</w:t>
      </w:r>
    </w:p>
    <w:p w14:paraId="5EA4B590" w14:textId="5D83E832" w:rsidR="00A65473" w:rsidRPr="007D5F52" w:rsidRDefault="00A65473" w:rsidP="006D7754">
      <w:pPr>
        <w:jc w:val="left"/>
      </w:pPr>
      <w:r w:rsidRPr="007D5F52">
        <w:t>Co</w:t>
      </w:r>
      <w:r w:rsidR="00466359" w:rsidRPr="007D5F52">
        <w:t>-</w:t>
      </w:r>
      <w:r w:rsidRPr="007D5F52">
        <w:t xml:space="preserve">administration of acetylsalicylic acid was not associated with a clinically relevant effect on the exposure (AUC and </w:t>
      </w:r>
      <w:proofErr w:type="spellStart"/>
      <w:r w:rsidRPr="007D5F52">
        <w:t>C</w:t>
      </w:r>
      <w:r w:rsidRPr="007D5F52">
        <w:rPr>
          <w:vertAlign w:val="subscript"/>
        </w:rPr>
        <w:t>max</w:t>
      </w:r>
      <w:proofErr w:type="spellEnd"/>
      <w:r w:rsidRPr="007D5F52">
        <w:t>) of vericiguat.</w:t>
      </w:r>
    </w:p>
    <w:p w14:paraId="6FD649F9" w14:textId="77777777" w:rsidR="00A65473" w:rsidRPr="007D5F52" w:rsidRDefault="00A65473" w:rsidP="006D7754">
      <w:pPr>
        <w:pStyle w:val="Heading4"/>
        <w:jc w:val="left"/>
      </w:pPr>
      <w:r w:rsidRPr="007D5F52">
        <w:t>Warfarin</w:t>
      </w:r>
    </w:p>
    <w:p w14:paraId="0AE0CE8B" w14:textId="77777777" w:rsidR="00A65473" w:rsidRPr="007D5F52" w:rsidRDefault="00A65473" w:rsidP="006D7754">
      <w:pPr>
        <w:jc w:val="left"/>
      </w:pPr>
      <w:r w:rsidRPr="007D5F52">
        <w:t>Administration of multiple doses of vericiguat (10 mg) once daily in healthy subjects did not alter the effect of a single dose of warfarin (25 mg) on prothrombin time and the activities of Factors II, VII, and X.</w:t>
      </w:r>
    </w:p>
    <w:p w14:paraId="280FC7F4" w14:textId="6D8896D6" w:rsidR="00A65473" w:rsidRPr="007D5F52" w:rsidRDefault="00A65473" w:rsidP="006D7754">
      <w:pPr>
        <w:jc w:val="left"/>
      </w:pPr>
      <w:r w:rsidRPr="007D5F52">
        <w:lastRenderedPageBreak/>
        <w:t>Co</w:t>
      </w:r>
      <w:r w:rsidR="00466359" w:rsidRPr="007D5F52">
        <w:t>-</w:t>
      </w:r>
      <w:r w:rsidRPr="007D5F52">
        <w:t xml:space="preserve">administration was not associated with a clinically relevant effect on the exposure (AUC and </w:t>
      </w:r>
      <w:proofErr w:type="spellStart"/>
      <w:r w:rsidRPr="007D5F52">
        <w:t>C</w:t>
      </w:r>
      <w:r w:rsidRPr="007D5F52">
        <w:rPr>
          <w:vertAlign w:val="subscript"/>
        </w:rPr>
        <w:t>max</w:t>
      </w:r>
      <w:proofErr w:type="spellEnd"/>
      <w:r w:rsidRPr="007D5F52">
        <w:t>) of either medicinal product.</w:t>
      </w:r>
    </w:p>
    <w:p w14:paraId="39F92A87" w14:textId="77777777" w:rsidR="00A65473" w:rsidRPr="007D5F52" w:rsidRDefault="00A65473" w:rsidP="006D7754">
      <w:pPr>
        <w:pStyle w:val="Heading4"/>
        <w:jc w:val="left"/>
      </w:pPr>
      <w:r w:rsidRPr="007D5F52">
        <w:t>Organic nitrates</w:t>
      </w:r>
    </w:p>
    <w:p w14:paraId="2AFA8E5D" w14:textId="43E3200B" w:rsidR="00A65473" w:rsidRPr="007D5F52" w:rsidRDefault="00A65473" w:rsidP="006D7754">
      <w:pPr>
        <w:jc w:val="left"/>
      </w:pPr>
      <w:r w:rsidRPr="007D5F52">
        <w:t>Co</w:t>
      </w:r>
      <w:r w:rsidR="00466359" w:rsidRPr="007D5F52">
        <w:t>-</w:t>
      </w:r>
      <w:r w:rsidRPr="007D5F52">
        <w:t xml:space="preserve">administration of multiple doses of vericiguat increased to 10 mg once daily did not significantly alter the seated </w:t>
      </w:r>
      <w:r w:rsidR="00C77DCD" w:rsidRPr="007D5F52">
        <w:t>blood pressure effects of short</w:t>
      </w:r>
      <w:r w:rsidRPr="007D5F52">
        <w:t xml:space="preserve"> and long-acting nitrates (</w:t>
      </w:r>
      <w:proofErr w:type="spellStart"/>
      <w:r w:rsidRPr="007D5F52">
        <w:t>nitroglycerin</w:t>
      </w:r>
      <w:proofErr w:type="spellEnd"/>
      <w:r w:rsidRPr="007D5F52">
        <w:t xml:space="preserve"> spray and isosorbide mononitrate [ISMN]) in patients with coronary artery disease. In patients with heart failure, concomitant use of short-acting nitrates was well tolerated. There is limited experience with concomitant use of vericiguat and long-acting nitrates in patients with heart failure (see </w:t>
      </w:r>
      <w:r w:rsidR="00C77DCD" w:rsidRPr="007D5F52">
        <w:t xml:space="preserve">Section </w:t>
      </w:r>
      <w:r w:rsidR="00C77DCD" w:rsidRPr="007D5F52">
        <w:fldChar w:fldCharType="begin"/>
      </w:r>
      <w:r w:rsidR="00C77DCD" w:rsidRPr="007D5F52">
        <w:instrText xml:space="preserve"> REF _Ref39824947 \r \h  \* MERGEFORMAT </w:instrText>
      </w:r>
      <w:r w:rsidR="00C77DCD" w:rsidRPr="007D5F52">
        <w:fldChar w:fldCharType="separate"/>
      </w:r>
      <w:r w:rsidR="00315B56">
        <w:t>4.4</w:t>
      </w:r>
      <w:r w:rsidR="00C77DCD" w:rsidRPr="007D5F52">
        <w:fldChar w:fldCharType="end"/>
      </w:r>
      <w:r w:rsidR="00C77DCD" w:rsidRPr="007D5F52">
        <w:t xml:space="preserve"> </w:t>
      </w:r>
      <w:r w:rsidR="00C77DCD" w:rsidRPr="007D5F52">
        <w:fldChar w:fldCharType="begin"/>
      </w:r>
      <w:r w:rsidR="00C77DCD" w:rsidRPr="007D5F52">
        <w:instrText xml:space="preserve"> REF _Ref39824947 \h  \* MERGEFORMAT </w:instrText>
      </w:r>
      <w:r w:rsidR="00C77DCD" w:rsidRPr="007D5F52">
        <w:fldChar w:fldCharType="separate"/>
      </w:r>
      <w:r w:rsidR="00315B56" w:rsidRPr="007D5F52">
        <w:rPr>
          <w:rFonts w:cstheme="minorHAnsi"/>
        </w:rPr>
        <w:t>Special warnings and precautions for use</w:t>
      </w:r>
      <w:r w:rsidR="00C77DCD" w:rsidRPr="007D5F52">
        <w:fldChar w:fldCharType="end"/>
      </w:r>
      <w:r w:rsidR="00C77DCD" w:rsidRPr="007D5F52">
        <w:t xml:space="preserve"> – </w:t>
      </w:r>
      <w:r w:rsidR="00C77DCD" w:rsidRPr="007D5F52">
        <w:fldChar w:fldCharType="begin"/>
      </w:r>
      <w:r w:rsidR="00C77DCD" w:rsidRPr="007D5F52">
        <w:instrText xml:space="preserve"> REF _Ref39824964 \h  \* MERGEFORMAT </w:instrText>
      </w:r>
      <w:r w:rsidR="00C77DCD" w:rsidRPr="007D5F52">
        <w:fldChar w:fldCharType="separate"/>
      </w:r>
      <w:r w:rsidR="00315B56" w:rsidRPr="007D5F52">
        <w:t>Symptomatic Hypotension</w:t>
      </w:r>
      <w:r w:rsidR="00C77DCD" w:rsidRPr="007D5F52">
        <w:fldChar w:fldCharType="end"/>
      </w:r>
      <w:r w:rsidRPr="007D5F52">
        <w:t>).</w:t>
      </w:r>
    </w:p>
    <w:p w14:paraId="693461DF" w14:textId="77777777" w:rsidR="00A65473" w:rsidRPr="007D5F52" w:rsidRDefault="00A65473" w:rsidP="006D7754">
      <w:pPr>
        <w:pStyle w:val="Heading4"/>
        <w:jc w:val="left"/>
      </w:pPr>
      <w:r w:rsidRPr="007D5F52">
        <w:t>No significant interactions</w:t>
      </w:r>
    </w:p>
    <w:p w14:paraId="199B8AEB" w14:textId="568CD97A" w:rsidR="00A65473" w:rsidRPr="007D5F52" w:rsidRDefault="00A65473" w:rsidP="006D7754">
      <w:pPr>
        <w:jc w:val="left"/>
      </w:pPr>
      <w:r w:rsidRPr="007D5F52">
        <w:t>No clinically meaningful effect on midazolam (CYP3A substrate) or digoxin (P</w:t>
      </w:r>
      <w:r w:rsidR="00081CB5" w:rsidRPr="007D5F52">
        <w:t>-</w:t>
      </w:r>
      <w:proofErr w:type="spellStart"/>
      <w:r w:rsidRPr="007D5F52">
        <w:t>gp</w:t>
      </w:r>
      <w:proofErr w:type="spellEnd"/>
      <w:r w:rsidRPr="007D5F52">
        <w:t xml:space="preserve"> substrate) exposure was observed when vericiguat was co</w:t>
      </w:r>
      <w:r w:rsidR="00466359" w:rsidRPr="007D5F52">
        <w:t>-</w:t>
      </w:r>
      <w:r w:rsidRPr="007D5F52">
        <w:t>administered with these medicinal products.</w:t>
      </w:r>
    </w:p>
    <w:p w14:paraId="7F2D2A37" w14:textId="6D74E962" w:rsidR="00A65473" w:rsidRPr="007D5F52" w:rsidRDefault="00A65473" w:rsidP="006D7754">
      <w:pPr>
        <w:jc w:val="left"/>
      </w:pPr>
      <w:r w:rsidRPr="007D5F52">
        <w:t>No clinically meaningful effect on vericiguat exposure was observed when vericiguat was co</w:t>
      </w:r>
      <w:r w:rsidR="00466359" w:rsidRPr="007D5F52">
        <w:t>-</w:t>
      </w:r>
      <w:r w:rsidRPr="007D5F52">
        <w:t>administered with ketoconazole (multi pathway CYP and transporter inhibitor), mefenamic acid (UGT1A9 inhibitor), rifampicin (multi pathway UGT, CYP and transporter inducer), or digoxin.</w:t>
      </w:r>
    </w:p>
    <w:p w14:paraId="0BBBE39C" w14:textId="1B42D519" w:rsidR="00A65473" w:rsidRDefault="00A65473" w:rsidP="006D7754">
      <w:pPr>
        <w:jc w:val="left"/>
      </w:pPr>
      <w:r w:rsidRPr="007D5F52">
        <w:t>No clinically meaningful effect on vericiguat exposure was predicted when vericiguat is co</w:t>
      </w:r>
      <w:r w:rsidR="00466359" w:rsidRPr="007D5F52">
        <w:t>-</w:t>
      </w:r>
      <w:r w:rsidRPr="007D5F52">
        <w:t>administered with atazanavir (UGT1A1 inhibitor), based on physiologically based PK (PBPK) modelling.</w:t>
      </w:r>
    </w:p>
    <w:p w14:paraId="6DCD39A1" w14:textId="77777777" w:rsidR="002F05C4" w:rsidRPr="007D5F52" w:rsidRDefault="002F05C4" w:rsidP="006D7754">
      <w:pPr>
        <w:pStyle w:val="Heading3"/>
        <w:jc w:val="left"/>
      </w:pPr>
      <w:r w:rsidRPr="007D5F52">
        <w:rPr>
          <w:i/>
        </w:rPr>
        <w:t>In vitro</w:t>
      </w:r>
      <w:r w:rsidRPr="007D5F52">
        <w:t xml:space="preserve"> assessment of drug interactions</w:t>
      </w:r>
    </w:p>
    <w:p w14:paraId="7528D1A4" w14:textId="77777777" w:rsidR="002F05C4" w:rsidRPr="007D5F52" w:rsidRDefault="002F05C4" w:rsidP="006D7754">
      <w:pPr>
        <w:jc w:val="left"/>
      </w:pPr>
      <w:r w:rsidRPr="007D5F52">
        <w:rPr>
          <w:i/>
        </w:rPr>
        <w:t>In vitro</w:t>
      </w:r>
      <w:r w:rsidRPr="007D5F52">
        <w:t xml:space="preserve"> studies indicate that vericiguat and its N</w:t>
      </w:r>
      <w:r w:rsidRPr="007D5F52">
        <w:noBreakHyphen/>
        <w:t>glucuronide are neither inhibitors of major CYP isoforms (CYP1A2, 2B6, 2C8, 2C9, 2C19, 2D6 and 3A4) or UGT isoforms (UGT1A1, 1A4, 1A6, 1A9, 2B4, and 2B7), nor inducers of CYP1A2, 2B6 and 3A4, at clinically relevant concentrations.</w:t>
      </w:r>
    </w:p>
    <w:p w14:paraId="39FF8008" w14:textId="77777777" w:rsidR="002F05C4" w:rsidRPr="007D5F52" w:rsidRDefault="002F05C4" w:rsidP="006D7754">
      <w:pPr>
        <w:jc w:val="left"/>
      </w:pPr>
      <w:r w:rsidRPr="007D5F52">
        <w:t>Vericiguat is a substrate of P</w:t>
      </w:r>
      <w:r w:rsidRPr="007D5F52">
        <w:noBreakHyphen/>
        <w:t>glycoprotein (P</w:t>
      </w:r>
      <w:r w:rsidRPr="007D5F52">
        <w:noBreakHyphen/>
      </w:r>
      <w:proofErr w:type="spellStart"/>
      <w:r w:rsidRPr="007D5F52">
        <w:t>gp</w:t>
      </w:r>
      <w:proofErr w:type="spellEnd"/>
      <w:r w:rsidRPr="007D5F52">
        <w:t>) and breast cancer resistance protein (BCRP) transporters and is not a substrate of organic cation transporter (OCT1) or organic anion transporting polypeptides (OATP1B1, OATP1B3). Vericiguat and its N</w:t>
      </w:r>
      <w:r w:rsidRPr="007D5F52">
        <w:noBreakHyphen/>
        <w:t>glucuronide are not inhibitors of drug transporters, including P</w:t>
      </w:r>
      <w:r w:rsidRPr="007D5F52">
        <w:noBreakHyphen/>
      </w:r>
      <w:proofErr w:type="spellStart"/>
      <w:r w:rsidRPr="007D5F52">
        <w:t>gp</w:t>
      </w:r>
      <w:proofErr w:type="spellEnd"/>
      <w:r w:rsidRPr="007D5F52">
        <w:t>, BCRP, BSEP, OATP1B1/1B3, OAT1, OAT3, OCT1, OCT2, MATE1, and MATE2K, at clinically relevant concentrations.</w:t>
      </w:r>
    </w:p>
    <w:p w14:paraId="6DF5E10B" w14:textId="6FACE55F" w:rsidR="002F05C4" w:rsidRPr="007D5F52" w:rsidRDefault="002F05C4" w:rsidP="006D7754">
      <w:pPr>
        <w:jc w:val="left"/>
      </w:pPr>
      <w:r w:rsidRPr="007D5F52">
        <w:t>Overall, these data indicate that the administration of vericiguat is unlikely to affect the pharmacokinetics of concurrently administered medications that are substrates of these enzymes or transporters.</w:t>
      </w:r>
      <w:r w:rsidR="00D7129E">
        <w:t xml:space="preserve"> </w:t>
      </w:r>
    </w:p>
    <w:p w14:paraId="6A5C1659" w14:textId="77777777" w:rsidR="001A3992" w:rsidRPr="007D5F52" w:rsidRDefault="001A3992" w:rsidP="006D7754">
      <w:pPr>
        <w:pStyle w:val="Heading2"/>
        <w:spacing w:before="0" w:after="120"/>
        <w:jc w:val="left"/>
        <w:rPr>
          <w:rFonts w:cstheme="minorHAnsi"/>
        </w:rPr>
      </w:pPr>
      <w:r w:rsidRPr="007D5F52">
        <w:rPr>
          <w:rFonts w:cstheme="minorHAnsi"/>
        </w:rPr>
        <w:t xml:space="preserve">Fertility, pregnancy and lactation </w:t>
      </w:r>
    </w:p>
    <w:p w14:paraId="69D24DF0" w14:textId="6508AACD" w:rsidR="001A3992" w:rsidRPr="007D5F52" w:rsidRDefault="001A3992" w:rsidP="006D7754">
      <w:pPr>
        <w:pStyle w:val="Heading3"/>
        <w:spacing w:before="0" w:after="120"/>
        <w:jc w:val="left"/>
        <w:rPr>
          <w:rFonts w:cstheme="minorHAnsi"/>
        </w:rPr>
      </w:pPr>
      <w:r w:rsidRPr="007D5F52">
        <w:rPr>
          <w:rFonts w:cstheme="minorHAnsi"/>
        </w:rPr>
        <w:t>Effects on fertility</w:t>
      </w:r>
    </w:p>
    <w:p w14:paraId="7777ABE5" w14:textId="04DC4D59" w:rsidR="002F05C4" w:rsidRPr="007D5F52" w:rsidRDefault="000E68B6" w:rsidP="006D7754">
      <w:pPr>
        <w:jc w:val="left"/>
      </w:pPr>
      <w:r w:rsidRPr="007D5F52">
        <w:t xml:space="preserve">There are no data available on the effect of vericiguat on human fertility. </w:t>
      </w:r>
      <w:r w:rsidR="002F05C4" w:rsidRPr="007D5F52">
        <w:t>In a fertility and early embryonic development study in male and female rats, vericiguat when administered orally at doses of 5, 15 or 50 mg/kg/day had no effects on fertility or reproductive performance at up to the highest dose tested of 50 mg/kg/day (</w:t>
      </w:r>
      <w:r w:rsidR="007C23AF">
        <w:t>64</w:t>
      </w:r>
      <w:r w:rsidR="002F05C4" w:rsidRPr="007D5F52">
        <w:t xml:space="preserve"> times the human exposure at the </w:t>
      </w:r>
      <w:r w:rsidR="0032593E" w:rsidRPr="007D5F52">
        <w:t xml:space="preserve">maximum recommended human dose </w:t>
      </w:r>
      <w:r w:rsidR="0032593E">
        <w:t>(</w:t>
      </w:r>
      <w:r w:rsidR="002F05C4" w:rsidRPr="007D5F52">
        <w:t>MRHD</w:t>
      </w:r>
      <w:r w:rsidR="0032593E">
        <w:t>)</w:t>
      </w:r>
      <w:r w:rsidR="002F05C4" w:rsidRPr="007D5F52">
        <w:t xml:space="preserve"> of 10 mg/day, unbound AUC).</w:t>
      </w:r>
    </w:p>
    <w:p w14:paraId="0B64AB11" w14:textId="43850DFA" w:rsidR="001A3992" w:rsidRPr="007D5F52" w:rsidRDefault="001A3992" w:rsidP="006D7754">
      <w:pPr>
        <w:pStyle w:val="Heading3"/>
        <w:spacing w:before="0" w:after="120"/>
        <w:jc w:val="left"/>
        <w:rPr>
          <w:rFonts w:cstheme="minorHAnsi"/>
        </w:rPr>
      </w:pPr>
      <w:r w:rsidRPr="007D5F52">
        <w:rPr>
          <w:rFonts w:cstheme="minorHAnsi"/>
        </w:rPr>
        <w:lastRenderedPageBreak/>
        <w:t xml:space="preserve">Use in pregnancy </w:t>
      </w:r>
      <w:r w:rsidR="00497C85" w:rsidRPr="007D5F52">
        <w:rPr>
          <w:rFonts w:cstheme="minorHAnsi"/>
        </w:rPr>
        <w:t xml:space="preserve">– Pregnancy Category </w:t>
      </w:r>
      <w:r w:rsidR="002F05C4">
        <w:rPr>
          <w:rFonts w:cstheme="minorHAnsi"/>
        </w:rPr>
        <w:t>D</w:t>
      </w:r>
    </w:p>
    <w:p w14:paraId="068490BD" w14:textId="6BA3BA84" w:rsidR="00DE4068" w:rsidRDefault="005648F6" w:rsidP="006D7754">
      <w:pPr>
        <w:jc w:val="left"/>
      </w:pPr>
      <w:r w:rsidRPr="007D5F52">
        <w:t xml:space="preserve">There are no data from the use of </w:t>
      </w:r>
      <w:r w:rsidR="001F73B1" w:rsidRPr="007D5F52">
        <w:t>vericiguat</w:t>
      </w:r>
      <w:r w:rsidRPr="007D5F52">
        <w:t xml:space="preserve"> in pregnant women. </w:t>
      </w:r>
      <w:r w:rsidR="00E7474A" w:rsidRPr="007D5F52">
        <w:t xml:space="preserve">VERQUVO® </w:t>
      </w:r>
      <w:r w:rsidR="00E7474A">
        <w:t>should</w:t>
      </w:r>
      <w:r w:rsidR="00E7474A" w:rsidRPr="007D5F52">
        <w:t xml:space="preserve"> not </w:t>
      </w:r>
      <w:r w:rsidR="00E7474A">
        <w:t>be used in</w:t>
      </w:r>
      <w:r w:rsidR="00E7474A" w:rsidRPr="007D5F52">
        <w:t xml:space="preserve"> pregnancy</w:t>
      </w:r>
      <w:r w:rsidR="00E7474A">
        <w:t>.</w:t>
      </w:r>
      <w:r w:rsidR="00E7474A" w:rsidRPr="007D5F52">
        <w:t xml:space="preserve"> </w:t>
      </w:r>
      <w:r w:rsidR="00E7474A">
        <w:t>W</w:t>
      </w:r>
      <w:r w:rsidR="00E7474A" w:rsidRPr="007D5F52">
        <w:t xml:space="preserve">omen of childbearing potential </w:t>
      </w:r>
      <w:r w:rsidR="00E7474A">
        <w:t>should use effective forms of contraception during treatment</w:t>
      </w:r>
      <w:r w:rsidR="00E7474A" w:rsidRPr="007D5F52">
        <w:t>.</w:t>
      </w:r>
    </w:p>
    <w:p w14:paraId="7FDA8337" w14:textId="48C01C15" w:rsidR="005648F6" w:rsidRDefault="0020720E" w:rsidP="006D7754">
      <w:pPr>
        <w:jc w:val="left"/>
      </w:pPr>
      <w:r>
        <w:t xml:space="preserve">A study in pregnant rats showed that vericiguat is transferred to the </w:t>
      </w:r>
      <w:proofErr w:type="spellStart"/>
      <w:r>
        <w:t>fetus</w:t>
      </w:r>
      <w:proofErr w:type="spellEnd"/>
      <w:r>
        <w:t xml:space="preserve"> through the placenta. Development toxicity studies in rats with vericiguat administered orally during organogenesis showed no development toxicity up to 50 mg/kg/day (75 time</w:t>
      </w:r>
      <w:r w:rsidR="00F00AF0">
        <w:t>s</w:t>
      </w:r>
      <w:r>
        <w:t xml:space="preserve"> the human unbound AUC at the MRHD of 10 mg). </w:t>
      </w:r>
      <w:r w:rsidR="005648F6" w:rsidRPr="007D5F52">
        <w:t xml:space="preserve">Exaggerated pharmacodynamic-mediated maternal toxicity was observed </w:t>
      </w:r>
      <w:r>
        <w:rPr>
          <w:rFonts w:cstheme="minorHAnsi"/>
        </w:rPr>
        <w:t>≥</w:t>
      </w:r>
      <w:r>
        <w:t>21 times the human unbound AUC at the MRHD; there was no maternal toxicity at 9 times the human exposure at MRHD.</w:t>
      </w:r>
      <w:r w:rsidRPr="0020720E">
        <w:t xml:space="preserve"> </w:t>
      </w:r>
      <w:r>
        <w:t>In rabbits, the exaggerated pharmacodynamic-mediated maternal toxicity was observed at 2.5 mg/kg/day and above (</w:t>
      </w:r>
      <w:r>
        <w:rPr>
          <w:rFonts w:cstheme="minorHAnsi"/>
        </w:rPr>
        <w:t>≥</w:t>
      </w:r>
      <w:r>
        <w:t xml:space="preserve">6 times the human unbound AUC at the MRHD) </w:t>
      </w:r>
      <w:r w:rsidR="005648F6" w:rsidRPr="007D5F52">
        <w:t xml:space="preserve">resulting in secondary late spontaneous abortions and resorptions. </w:t>
      </w:r>
      <w:r w:rsidR="008436A2">
        <w:t>In addition, at this dose, a low incidence of malformation of the heart and major vessels was seen. While this could not be unambiguously attributed to vericiguat treatment, cardiac and major vessel abnormalities were observed following maternal administration of a structurally related compound (</w:t>
      </w:r>
      <w:proofErr w:type="spellStart"/>
      <w:r w:rsidR="008436A2">
        <w:t>riociguat</w:t>
      </w:r>
      <w:proofErr w:type="spellEnd"/>
      <w:r w:rsidR="008436A2">
        <w:t>) to rats.</w:t>
      </w:r>
      <w:r w:rsidR="002204CD">
        <w:t xml:space="preserve"> </w:t>
      </w:r>
      <w:r w:rsidR="008436A2">
        <w:t>No maternal, embryofetal or development toxicity was seen in rabbits following maternal oral doses of 0.75 mg/kg/day (approximately equivalent to the human exposure, based on unbound AUC, at the MRHD).</w:t>
      </w:r>
      <w:r w:rsidR="001A213C" w:rsidRPr="007D5F52" w:rsidDel="002204CD">
        <w:t xml:space="preserve"> </w:t>
      </w:r>
    </w:p>
    <w:p w14:paraId="0790CC6D" w14:textId="6EA2EAC9" w:rsidR="002204CD" w:rsidRDefault="002204CD" w:rsidP="006D7754">
      <w:pPr>
        <w:jc w:val="left"/>
      </w:pPr>
      <w:r w:rsidRPr="007D5F52">
        <w:t>In a pre/postnatal toxicity study, vericiguat administered orally to rats during gestation through lactation showed exaggerated pharmacodynamic-mediated maternal toxicity at approximately ≥9 times the human exposure at the MRHD, which resulted in decreased pup body weight gain (≥21 times the MRHD) and pup mortality (4</w:t>
      </w:r>
      <w:r w:rsidR="003E26AA">
        <w:t>5</w:t>
      </w:r>
      <w:r w:rsidRPr="007D5F52">
        <w:t xml:space="preserve"> times the MRHD) during the preweaning period.</w:t>
      </w:r>
    </w:p>
    <w:p w14:paraId="0B646914" w14:textId="237C6D80" w:rsidR="001A3992" w:rsidRPr="007D5F52" w:rsidRDefault="001A3992" w:rsidP="006D7754">
      <w:pPr>
        <w:pStyle w:val="Heading3"/>
        <w:spacing w:before="0" w:after="120"/>
        <w:jc w:val="left"/>
        <w:rPr>
          <w:rFonts w:cstheme="minorHAnsi"/>
        </w:rPr>
      </w:pPr>
      <w:r w:rsidRPr="007D5F52">
        <w:rPr>
          <w:rFonts w:cstheme="minorHAnsi"/>
        </w:rPr>
        <w:t xml:space="preserve">Use in lactation. </w:t>
      </w:r>
    </w:p>
    <w:p w14:paraId="77818816" w14:textId="3CC7079E" w:rsidR="005648F6" w:rsidRPr="007D5F52" w:rsidRDefault="005648F6" w:rsidP="006D7754">
      <w:pPr>
        <w:jc w:val="left"/>
      </w:pPr>
      <w:r w:rsidRPr="007D5F52">
        <w:t>There is no information regarding the presence of vericiguat in human milk, the effects on the breastfed infant, or the effects on milk production. Vericiguat is present in the milk of lactating rats. A risk to the breastfed child cannot be excluded. A decision must be made whether to discontinue breast-feeding or to discontinue or abstain from VERQUVO</w:t>
      </w:r>
      <w:r w:rsidR="00BB3423" w:rsidRPr="007D5F52">
        <w:t>®</w:t>
      </w:r>
      <w:r w:rsidRPr="007D5F52">
        <w:t xml:space="preserve"> therapy, </w:t>
      </w:r>
      <w:proofErr w:type="gramStart"/>
      <w:r w:rsidRPr="007D5F52">
        <w:t>taking into account</w:t>
      </w:r>
      <w:proofErr w:type="gramEnd"/>
      <w:r w:rsidRPr="007D5F52">
        <w:t xml:space="preserve"> the benefit of breast-feeding for the child and the benefit of therapy for the woman.</w:t>
      </w:r>
    </w:p>
    <w:p w14:paraId="2E178C09" w14:textId="77777777" w:rsidR="001A3992" w:rsidRPr="007D5F52" w:rsidRDefault="001A3992" w:rsidP="006D7754">
      <w:pPr>
        <w:pStyle w:val="Heading2"/>
        <w:spacing w:before="0" w:after="120"/>
        <w:jc w:val="left"/>
        <w:rPr>
          <w:rFonts w:cstheme="minorHAnsi"/>
        </w:rPr>
      </w:pPr>
      <w:r w:rsidRPr="007D5F52">
        <w:rPr>
          <w:rFonts w:cstheme="minorHAnsi"/>
        </w:rPr>
        <w:t xml:space="preserve">Effects on ability to drive and use machines </w:t>
      </w:r>
    </w:p>
    <w:p w14:paraId="7FA1B423" w14:textId="4564395E" w:rsidR="00E22BAB" w:rsidRPr="007D5F52" w:rsidRDefault="00E22BAB" w:rsidP="006D7754">
      <w:pPr>
        <w:jc w:val="left"/>
      </w:pPr>
      <w:r w:rsidRPr="007D5F52">
        <w:t>VERQUVO</w:t>
      </w:r>
      <w:r w:rsidR="00BB3423" w:rsidRPr="007D5F52">
        <w:t>®</w:t>
      </w:r>
      <w:r w:rsidRPr="007D5F52">
        <w:t xml:space="preserve"> has minor influence on the ability to drive or use machines. When driving vehicles or operating machines it should be </w:t>
      </w:r>
      <w:proofErr w:type="gramStart"/>
      <w:r w:rsidRPr="007D5F52">
        <w:t>taken into account</w:t>
      </w:r>
      <w:proofErr w:type="gramEnd"/>
      <w:r w:rsidRPr="007D5F52">
        <w:t xml:space="preserve"> that occasionally dizziness may occur.</w:t>
      </w:r>
    </w:p>
    <w:p w14:paraId="0D578861" w14:textId="107C601B" w:rsidR="001A3992" w:rsidRPr="007D5F52" w:rsidRDefault="001A3992" w:rsidP="006D7754">
      <w:pPr>
        <w:pStyle w:val="Heading2"/>
        <w:keepNext/>
        <w:keepLines/>
        <w:spacing w:before="0" w:after="120"/>
        <w:jc w:val="left"/>
        <w:rPr>
          <w:rFonts w:cstheme="minorHAnsi"/>
        </w:rPr>
      </w:pPr>
      <w:bookmarkStart w:id="14" w:name="_Ref39824662"/>
      <w:r w:rsidRPr="007D5F52">
        <w:rPr>
          <w:rFonts w:cstheme="minorHAnsi"/>
        </w:rPr>
        <w:t>Adverse effects (Undesirable effects)</w:t>
      </w:r>
      <w:bookmarkEnd w:id="14"/>
    </w:p>
    <w:p w14:paraId="3F632356" w14:textId="367C0F67" w:rsidR="00C574D5" w:rsidRPr="007D5F52" w:rsidRDefault="001F73B1" w:rsidP="006D7754">
      <w:pPr>
        <w:jc w:val="left"/>
      </w:pPr>
      <w:r w:rsidRPr="007D5F52">
        <w:t>Vericiguat</w:t>
      </w:r>
      <w:r w:rsidR="00C574D5" w:rsidRPr="007D5F52">
        <w:t xml:space="preserve"> was evaluated in VICTORIA, a Phase 3 randomi</w:t>
      </w:r>
      <w:r w:rsidR="00F56BAB" w:rsidRPr="007D5F52">
        <w:t>s</w:t>
      </w:r>
      <w:r w:rsidR="00C574D5" w:rsidRPr="007D5F52">
        <w:t xml:space="preserve">ed, placebo-controlled, double-blind, clinical trial in adult patients with symptomatic chronic heart failure and ejection fraction less than 45% following a worsening heart failure event, which included a total of 2,519 patients treated with </w:t>
      </w:r>
      <w:r w:rsidRPr="007D5F52">
        <w:t>vericiguat</w:t>
      </w:r>
      <w:r w:rsidR="00C574D5" w:rsidRPr="007D5F52">
        <w:t xml:space="preserve"> (up to 10 mg once daily) and 2,515 patients treated with matching placebo (see Section </w:t>
      </w:r>
      <w:r w:rsidR="00C574D5" w:rsidRPr="007D5F52">
        <w:fldChar w:fldCharType="begin"/>
      </w:r>
      <w:r w:rsidR="00C574D5" w:rsidRPr="007D5F52">
        <w:instrText xml:space="preserve"> REF _Ref39825432 \r \h </w:instrText>
      </w:r>
      <w:r w:rsidR="006662A4">
        <w:instrText xml:space="preserve"> \* MERGEFORMAT </w:instrText>
      </w:r>
      <w:r w:rsidR="00C574D5" w:rsidRPr="007D5F52">
        <w:fldChar w:fldCharType="separate"/>
      </w:r>
      <w:r w:rsidR="00315B56">
        <w:t>5.1</w:t>
      </w:r>
      <w:r w:rsidR="00C574D5" w:rsidRPr="007D5F52">
        <w:fldChar w:fldCharType="end"/>
      </w:r>
      <w:r w:rsidR="00C574D5" w:rsidRPr="007D5F52">
        <w:t xml:space="preserve"> </w:t>
      </w:r>
      <w:r w:rsidR="00C574D5" w:rsidRPr="007D5F52">
        <w:fldChar w:fldCharType="begin"/>
      </w:r>
      <w:r w:rsidR="00C574D5" w:rsidRPr="007D5F52">
        <w:instrText xml:space="preserve"> REF _Ref39825432 \h </w:instrText>
      </w:r>
      <w:r w:rsidR="006662A4">
        <w:instrText xml:space="preserve"> \* MERGEFORMAT </w:instrText>
      </w:r>
      <w:r w:rsidR="00C574D5" w:rsidRPr="007D5F52">
        <w:fldChar w:fldCharType="separate"/>
      </w:r>
      <w:r w:rsidR="00315B56" w:rsidRPr="007D5F52">
        <w:rPr>
          <w:rFonts w:cstheme="minorHAnsi"/>
        </w:rPr>
        <w:t>Pharmacodynamic properties</w:t>
      </w:r>
      <w:r w:rsidR="00C574D5" w:rsidRPr="007D5F52">
        <w:fldChar w:fldCharType="end"/>
      </w:r>
      <w:r w:rsidR="00C574D5" w:rsidRPr="007D5F52">
        <w:t xml:space="preserve"> – </w:t>
      </w:r>
      <w:r w:rsidR="00C574D5" w:rsidRPr="007D5F52">
        <w:fldChar w:fldCharType="begin"/>
      </w:r>
      <w:r w:rsidR="00C574D5" w:rsidRPr="007D5F52">
        <w:instrText xml:space="preserve"> REF _Ref40620692 \h </w:instrText>
      </w:r>
      <w:r w:rsidR="006662A4">
        <w:instrText xml:space="preserve"> \* MERGEFORMAT </w:instrText>
      </w:r>
      <w:r w:rsidR="00C574D5" w:rsidRPr="007D5F52">
        <w:fldChar w:fldCharType="separate"/>
      </w:r>
      <w:r w:rsidR="00315B56" w:rsidRPr="007D5F52">
        <w:t>Clinical trials</w:t>
      </w:r>
      <w:r w:rsidR="00C574D5" w:rsidRPr="007D5F52">
        <w:fldChar w:fldCharType="end"/>
      </w:r>
      <w:r w:rsidR="00C574D5" w:rsidRPr="007D5F52">
        <w:t xml:space="preserve">). The mean duration of </w:t>
      </w:r>
      <w:r w:rsidRPr="007D5F52">
        <w:t>vericiguat</w:t>
      </w:r>
      <w:r w:rsidR="00C574D5" w:rsidRPr="007D5F52">
        <w:t xml:space="preserve"> exposure was 1 year, and the maximum duration was 2.6 years. </w:t>
      </w:r>
      <w:r w:rsidR="00C574D5" w:rsidRPr="007D5F52">
        <w:rPr>
          <w:highlight w:val="yellow"/>
        </w:rPr>
        <w:fldChar w:fldCharType="begin"/>
      </w:r>
      <w:r w:rsidR="00C574D5" w:rsidRPr="007D5F52">
        <w:instrText xml:space="preserve"> REF _Ref40620711 \h </w:instrText>
      </w:r>
      <w:r w:rsidR="00C574D5" w:rsidRPr="007D5F52">
        <w:rPr>
          <w:highlight w:val="yellow"/>
        </w:rPr>
        <w:instrText xml:space="preserve"> \* MERGEFORMAT </w:instrText>
      </w:r>
      <w:r w:rsidR="00C574D5" w:rsidRPr="007D5F52">
        <w:rPr>
          <w:highlight w:val="yellow"/>
        </w:rPr>
      </w:r>
      <w:r w:rsidR="00C574D5" w:rsidRPr="007D5F52">
        <w:rPr>
          <w:highlight w:val="yellow"/>
        </w:rPr>
        <w:fldChar w:fldCharType="separate"/>
      </w:r>
      <w:r w:rsidR="00315B56" w:rsidRPr="00AD5FE7">
        <w:t xml:space="preserve">Table </w:t>
      </w:r>
      <w:r w:rsidR="00315B56" w:rsidRPr="00AD5FE7">
        <w:rPr>
          <w:noProof/>
        </w:rPr>
        <w:t>1</w:t>
      </w:r>
      <w:r w:rsidR="00C574D5" w:rsidRPr="007D5F52">
        <w:rPr>
          <w:highlight w:val="yellow"/>
        </w:rPr>
        <w:fldChar w:fldCharType="end"/>
      </w:r>
      <w:r w:rsidR="00C574D5" w:rsidRPr="007D5F52">
        <w:t xml:space="preserve"> lists adverse drug reactions occurring in </w:t>
      </w:r>
      <w:r w:rsidR="00C574D5" w:rsidRPr="007D5F52">
        <w:lastRenderedPageBreak/>
        <w:t xml:space="preserve">patients treated with </w:t>
      </w:r>
      <w:r w:rsidRPr="007D5F52">
        <w:t>vericiguat</w:t>
      </w:r>
      <w:r w:rsidR="00C574D5" w:rsidRPr="007D5F52">
        <w:t xml:space="preserve"> and greater than placebo in VICTORIA.</w:t>
      </w:r>
      <w:r w:rsidR="0049535A" w:rsidRPr="007D5F52">
        <w:t xml:space="preserve">  </w:t>
      </w:r>
      <w:r w:rsidR="000578F1" w:rsidRPr="007D5F52">
        <w:fldChar w:fldCharType="begin"/>
      </w:r>
      <w:r w:rsidR="000578F1" w:rsidRPr="007D5F52">
        <w:instrText xml:space="preserve"> REF _Ref45006176 \h  \* MERGEFORMAT </w:instrText>
      </w:r>
      <w:r w:rsidR="000578F1" w:rsidRPr="007D5F52">
        <w:fldChar w:fldCharType="separate"/>
      </w:r>
      <w:r w:rsidR="00315B56" w:rsidRPr="00AD5FE7">
        <w:t xml:space="preserve">Table </w:t>
      </w:r>
      <w:r w:rsidR="00315B56" w:rsidRPr="00AD5FE7">
        <w:rPr>
          <w:noProof/>
        </w:rPr>
        <w:t>2</w:t>
      </w:r>
      <w:r w:rsidR="000578F1" w:rsidRPr="007D5F52">
        <w:fldChar w:fldCharType="end"/>
      </w:r>
      <w:r w:rsidR="000578F1" w:rsidRPr="007D5F52">
        <w:t xml:space="preserve"> </w:t>
      </w:r>
      <w:r w:rsidR="0049535A" w:rsidRPr="007D5F52">
        <w:t xml:space="preserve">lists the frequency of adverse reactions </w:t>
      </w:r>
      <w:r w:rsidR="000578F1" w:rsidRPr="007D5F52">
        <w:t>occurring in patients treated with vericiguat in VICTORIA by</w:t>
      </w:r>
      <w:r w:rsidR="00426A53" w:rsidRPr="007D5F52">
        <w:t xml:space="preserve"> MedDRA System Organ C</w:t>
      </w:r>
      <w:r w:rsidR="0049535A" w:rsidRPr="007D5F52">
        <w:t>lass. Frequencies are defined as very common (≥1/10), common (≥1/100 to &lt;1/10), uncommon (≥1/1,000 to &lt;1/100), rare (≥1/10,000 to &lt;1/1,000), and very rare (&lt;1/10,000).</w:t>
      </w:r>
    </w:p>
    <w:p w14:paraId="05AF9DCA" w14:textId="1590528E" w:rsidR="0058657D" w:rsidRPr="007D5F52" w:rsidRDefault="006F2727" w:rsidP="006D7754">
      <w:pPr>
        <w:keepNext/>
        <w:jc w:val="left"/>
        <w:rPr>
          <w:b/>
        </w:rPr>
      </w:pPr>
      <w:bookmarkStart w:id="15" w:name="_Ref40620711"/>
      <w:r w:rsidRPr="007D5F52">
        <w:rPr>
          <w:b/>
        </w:rPr>
        <w:t xml:space="preserve">Table </w:t>
      </w:r>
      <w:r w:rsidRPr="007D5F52">
        <w:rPr>
          <w:b/>
        </w:rPr>
        <w:fldChar w:fldCharType="begin"/>
      </w:r>
      <w:r w:rsidRPr="007D5F52">
        <w:rPr>
          <w:b/>
        </w:rPr>
        <w:instrText xml:space="preserve"> SEQ Table \* ARABIC </w:instrText>
      </w:r>
      <w:r w:rsidRPr="007D5F52">
        <w:rPr>
          <w:b/>
        </w:rPr>
        <w:fldChar w:fldCharType="separate"/>
      </w:r>
      <w:r w:rsidR="00315B56">
        <w:rPr>
          <w:b/>
          <w:noProof/>
        </w:rPr>
        <w:t>1</w:t>
      </w:r>
      <w:r w:rsidRPr="007D5F52">
        <w:rPr>
          <w:b/>
        </w:rPr>
        <w:fldChar w:fldCharType="end"/>
      </w:r>
      <w:bookmarkEnd w:id="15"/>
      <w:r w:rsidR="0058657D" w:rsidRPr="007D5F52">
        <w:rPr>
          <w:b/>
        </w:rPr>
        <w:t xml:space="preserve">: </w:t>
      </w:r>
      <w:r w:rsidR="00C574D5" w:rsidRPr="007D5F52">
        <w:rPr>
          <w:b/>
        </w:rPr>
        <w:t xml:space="preserve">Adverse </w:t>
      </w:r>
      <w:r w:rsidR="00446B0C" w:rsidRPr="007D5F52">
        <w:rPr>
          <w:b/>
        </w:rPr>
        <w:t>d</w:t>
      </w:r>
      <w:r w:rsidR="00C574D5" w:rsidRPr="007D5F52">
        <w:rPr>
          <w:b/>
        </w:rPr>
        <w:t xml:space="preserve">rug </w:t>
      </w:r>
      <w:r w:rsidR="00446B0C" w:rsidRPr="007D5F52">
        <w:rPr>
          <w:b/>
        </w:rPr>
        <w:t>r</w:t>
      </w:r>
      <w:r w:rsidR="00C574D5" w:rsidRPr="007D5F52">
        <w:rPr>
          <w:b/>
        </w:rPr>
        <w:t xml:space="preserve">eactions </w:t>
      </w:r>
      <w:r w:rsidR="00446B0C" w:rsidRPr="007D5F52">
        <w:rPr>
          <w:b/>
        </w:rPr>
        <w:t>o</w:t>
      </w:r>
      <w:r w:rsidR="00C574D5" w:rsidRPr="007D5F52">
        <w:rPr>
          <w:b/>
        </w:rPr>
        <w:t xml:space="preserve">ccurring in </w:t>
      </w:r>
      <w:r w:rsidR="00446B0C" w:rsidRPr="007D5F52">
        <w:rPr>
          <w:b/>
        </w:rPr>
        <w:t>p</w:t>
      </w:r>
      <w:r w:rsidR="00C574D5" w:rsidRPr="007D5F52">
        <w:rPr>
          <w:b/>
        </w:rPr>
        <w:t xml:space="preserve">atients </w:t>
      </w:r>
      <w:r w:rsidR="00446B0C" w:rsidRPr="007D5F52">
        <w:rPr>
          <w:b/>
        </w:rPr>
        <w:t>t</w:t>
      </w:r>
      <w:r w:rsidR="00C574D5" w:rsidRPr="007D5F52">
        <w:rPr>
          <w:b/>
        </w:rPr>
        <w:t xml:space="preserve">reated with </w:t>
      </w:r>
      <w:r w:rsidR="001F73B1" w:rsidRPr="007D5F52">
        <w:rPr>
          <w:b/>
        </w:rPr>
        <w:t>vericiguat</w:t>
      </w:r>
      <w:r w:rsidR="00C574D5" w:rsidRPr="007D5F52">
        <w:rPr>
          <w:b/>
        </w:rPr>
        <w:t xml:space="preserve"> and </w:t>
      </w:r>
      <w:r w:rsidR="00446B0C" w:rsidRPr="007D5F52">
        <w:rPr>
          <w:b/>
        </w:rPr>
        <w:t>g</w:t>
      </w:r>
      <w:r w:rsidR="00C574D5" w:rsidRPr="007D5F52">
        <w:rPr>
          <w:b/>
        </w:rPr>
        <w:t xml:space="preserve">reater than </w:t>
      </w:r>
      <w:r w:rsidR="00446B0C" w:rsidRPr="007D5F52">
        <w:rPr>
          <w:b/>
        </w:rPr>
        <w:t>p</w:t>
      </w:r>
      <w:r w:rsidR="00C574D5" w:rsidRPr="007D5F52">
        <w:rPr>
          <w:b/>
        </w:rPr>
        <w:t>lacebo in VICT</w:t>
      </w:r>
      <w:r w:rsidR="0049535A" w:rsidRPr="007D5F52">
        <w:rPr>
          <w:b/>
        </w:rPr>
        <w:t>ORIA by System Organ Class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1"/>
        <w:gridCol w:w="3037"/>
        <w:gridCol w:w="2928"/>
      </w:tblGrid>
      <w:tr w:rsidR="00EF62D7" w:rsidRPr="007D5F52" w14:paraId="04FACC05" w14:textId="77777777" w:rsidTr="00EF62D7">
        <w:tc>
          <w:tcPr>
            <w:tcW w:w="3072" w:type="dxa"/>
            <w:tcBorders>
              <w:top w:val="single" w:sz="4" w:space="0" w:color="auto"/>
              <w:left w:val="single" w:sz="4" w:space="0" w:color="auto"/>
              <w:bottom w:val="single" w:sz="4" w:space="0" w:color="auto"/>
              <w:right w:val="single" w:sz="4" w:space="0" w:color="auto"/>
            </w:tcBorders>
            <w:vAlign w:val="center"/>
            <w:hideMark/>
          </w:tcPr>
          <w:p w14:paraId="117EA8FD" w14:textId="77777777" w:rsidR="00EF62D7" w:rsidRPr="007D5F52" w:rsidRDefault="00EF62D7" w:rsidP="006D7754">
            <w:pPr>
              <w:keepNext/>
              <w:spacing w:after="0"/>
              <w:jc w:val="left"/>
              <w:rPr>
                <w:b/>
                <w:sz w:val="20"/>
              </w:rPr>
            </w:pPr>
            <w:r w:rsidRPr="007D5F52">
              <w:rPr>
                <w:b/>
                <w:sz w:val="20"/>
              </w:rPr>
              <w:t>Adverse Drug Reaction</w:t>
            </w:r>
          </w:p>
        </w:tc>
        <w:tc>
          <w:tcPr>
            <w:tcW w:w="3072" w:type="dxa"/>
            <w:tcBorders>
              <w:top w:val="single" w:sz="4" w:space="0" w:color="auto"/>
              <w:left w:val="single" w:sz="4" w:space="0" w:color="auto"/>
              <w:bottom w:val="single" w:sz="4" w:space="0" w:color="auto"/>
              <w:right w:val="single" w:sz="4" w:space="0" w:color="auto"/>
            </w:tcBorders>
            <w:hideMark/>
          </w:tcPr>
          <w:p w14:paraId="4325BB44" w14:textId="77777777" w:rsidR="00EF62D7" w:rsidRPr="007D5F52" w:rsidRDefault="00EF62D7" w:rsidP="006D7754">
            <w:pPr>
              <w:keepNext/>
              <w:spacing w:after="0"/>
              <w:jc w:val="left"/>
              <w:rPr>
                <w:b/>
                <w:sz w:val="20"/>
              </w:rPr>
            </w:pPr>
            <w:r w:rsidRPr="007D5F52">
              <w:rPr>
                <w:b/>
                <w:sz w:val="20"/>
              </w:rPr>
              <w:t>Vericiguat</w:t>
            </w:r>
          </w:p>
          <w:p w14:paraId="198DF2E0" w14:textId="77777777" w:rsidR="00EF62D7" w:rsidRPr="007D5F52" w:rsidRDefault="00EF62D7" w:rsidP="006D7754">
            <w:pPr>
              <w:keepNext/>
              <w:spacing w:after="0"/>
              <w:jc w:val="left"/>
              <w:rPr>
                <w:b/>
                <w:sz w:val="20"/>
              </w:rPr>
            </w:pPr>
            <w:r w:rsidRPr="007D5F52">
              <w:rPr>
                <w:b/>
                <w:sz w:val="20"/>
              </w:rPr>
              <w:t>N=2,519</w:t>
            </w:r>
          </w:p>
          <w:p w14:paraId="75AB46AD" w14:textId="77777777" w:rsidR="00EF62D7" w:rsidRPr="007D5F52" w:rsidRDefault="00EF62D7" w:rsidP="006D7754">
            <w:pPr>
              <w:keepNext/>
              <w:spacing w:after="0"/>
              <w:jc w:val="left"/>
              <w:rPr>
                <w:b/>
                <w:sz w:val="20"/>
              </w:rPr>
            </w:pPr>
            <w:r w:rsidRPr="007D5F52">
              <w:rPr>
                <w:b/>
                <w:sz w:val="20"/>
              </w:rPr>
              <w:t>n (%)</w:t>
            </w:r>
          </w:p>
        </w:tc>
        <w:tc>
          <w:tcPr>
            <w:tcW w:w="2964" w:type="dxa"/>
            <w:tcBorders>
              <w:top w:val="single" w:sz="4" w:space="0" w:color="auto"/>
              <w:left w:val="single" w:sz="4" w:space="0" w:color="auto"/>
              <w:bottom w:val="single" w:sz="4" w:space="0" w:color="auto"/>
              <w:right w:val="single" w:sz="4" w:space="0" w:color="auto"/>
            </w:tcBorders>
            <w:hideMark/>
          </w:tcPr>
          <w:p w14:paraId="46C349BE" w14:textId="77777777" w:rsidR="00EF62D7" w:rsidRPr="007D5F52" w:rsidRDefault="00EF62D7" w:rsidP="006D7754">
            <w:pPr>
              <w:keepNext/>
              <w:spacing w:after="0"/>
              <w:jc w:val="left"/>
              <w:rPr>
                <w:b/>
                <w:sz w:val="20"/>
              </w:rPr>
            </w:pPr>
            <w:r w:rsidRPr="007D5F52">
              <w:rPr>
                <w:b/>
                <w:sz w:val="20"/>
              </w:rPr>
              <w:t>Placebo</w:t>
            </w:r>
          </w:p>
          <w:p w14:paraId="4CF0D145" w14:textId="77777777" w:rsidR="00EF62D7" w:rsidRPr="007D5F52" w:rsidRDefault="00EF62D7" w:rsidP="006D7754">
            <w:pPr>
              <w:keepNext/>
              <w:spacing w:after="0"/>
              <w:jc w:val="left"/>
              <w:rPr>
                <w:b/>
                <w:sz w:val="20"/>
              </w:rPr>
            </w:pPr>
            <w:r w:rsidRPr="007D5F52">
              <w:rPr>
                <w:b/>
                <w:sz w:val="20"/>
              </w:rPr>
              <w:t>N=2,515</w:t>
            </w:r>
          </w:p>
          <w:p w14:paraId="4D991656" w14:textId="77777777" w:rsidR="00EF62D7" w:rsidRPr="007D5F52" w:rsidRDefault="00EF62D7" w:rsidP="006D7754">
            <w:pPr>
              <w:keepNext/>
              <w:spacing w:after="0"/>
              <w:jc w:val="left"/>
              <w:rPr>
                <w:b/>
                <w:sz w:val="20"/>
              </w:rPr>
            </w:pPr>
            <w:r w:rsidRPr="007D5F52">
              <w:rPr>
                <w:b/>
                <w:sz w:val="20"/>
              </w:rPr>
              <w:t>n (%)</w:t>
            </w:r>
          </w:p>
        </w:tc>
      </w:tr>
      <w:tr w:rsidR="00EF62D7" w:rsidRPr="007D5F52" w14:paraId="32A46CA7" w14:textId="77777777" w:rsidTr="00EF62D7">
        <w:tc>
          <w:tcPr>
            <w:tcW w:w="9108" w:type="dxa"/>
            <w:gridSpan w:val="3"/>
            <w:tcBorders>
              <w:top w:val="single" w:sz="4" w:space="0" w:color="auto"/>
              <w:left w:val="single" w:sz="4" w:space="0" w:color="auto"/>
              <w:bottom w:val="single" w:sz="4" w:space="0" w:color="auto"/>
              <w:right w:val="single" w:sz="4" w:space="0" w:color="auto"/>
            </w:tcBorders>
            <w:hideMark/>
          </w:tcPr>
          <w:p w14:paraId="24718913" w14:textId="77777777" w:rsidR="00EF62D7" w:rsidRPr="007D5F52" w:rsidRDefault="00EF62D7" w:rsidP="006D7754">
            <w:pPr>
              <w:keepNext/>
              <w:spacing w:after="0"/>
              <w:jc w:val="left"/>
              <w:rPr>
                <w:b/>
                <w:sz w:val="20"/>
              </w:rPr>
            </w:pPr>
            <w:r w:rsidRPr="007D5F52">
              <w:rPr>
                <w:b/>
                <w:sz w:val="20"/>
              </w:rPr>
              <w:t>Blood and lymphatic system disorders</w:t>
            </w:r>
          </w:p>
        </w:tc>
      </w:tr>
      <w:tr w:rsidR="00EF62D7" w:rsidRPr="007D5F52" w14:paraId="768B0033" w14:textId="77777777" w:rsidTr="00EF62D7">
        <w:tc>
          <w:tcPr>
            <w:tcW w:w="3072" w:type="dxa"/>
            <w:tcBorders>
              <w:top w:val="single" w:sz="4" w:space="0" w:color="auto"/>
              <w:left w:val="single" w:sz="4" w:space="0" w:color="auto"/>
              <w:bottom w:val="single" w:sz="4" w:space="0" w:color="auto"/>
              <w:right w:val="single" w:sz="4" w:space="0" w:color="auto"/>
            </w:tcBorders>
            <w:hideMark/>
          </w:tcPr>
          <w:p w14:paraId="68E918D5" w14:textId="77777777" w:rsidR="00EF62D7" w:rsidRPr="007D5F52" w:rsidRDefault="00EF62D7" w:rsidP="006D7754">
            <w:pPr>
              <w:keepNext/>
              <w:spacing w:after="0"/>
              <w:ind w:left="240"/>
              <w:jc w:val="left"/>
              <w:rPr>
                <w:sz w:val="20"/>
              </w:rPr>
            </w:pPr>
            <w:r w:rsidRPr="007D5F52">
              <w:rPr>
                <w:sz w:val="20"/>
              </w:rPr>
              <w:t>Anemia</w:t>
            </w:r>
            <w:r w:rsidRPr="007D5F52">
              <w:rPr>
                <w:sz w:val="20"/>
                <w:vertAlign w:val="superscript"/>
              </w:rPr>
              <w:t>1</w:t>
            </w:r>
          </w:p>
        </w:tc>
        <w:tc>
          <w:tcPr>
            <w:tcW w:w="3072" w:type="dxa"/>
            <w:tcBorders>
              <w:top w:val="single" w:sz="4" w:space="0" w:color="auto"/>
              <w:left w:val="single" w:sz="4" w:space="0" w:color="auto"/>
              <w:bottom w:val="single" w:sz="4" w:space="0" w:color="auto"/>
              <w:right w:val="single" w:sz="4" w:space="0" w:color="auto"/>
            </w:tcBorders>
            <w:hideMark/>
          </w:tcPr>
          <w:p w14:paraId="516A9F3C" w14:textId="77777777" w:rsidR="00EF62D7" w:rsidRPr="007D5F52" w:rsidRDefault="00EF62D7" w:rsidP="006D7754">
            <w:pPr>
              <w:keepNext/>
              <w:spacing w:after="0"/>
              <w:jc w:val="left"/>
              <w:rPr>
                <w:sz w:val="20"/>
              </w:rPr>
            </w:pPr>
            <w:r w:rsidRPr="007D5F52">
              <w:rPr>
                <w:sz w:val="20"/>
              </w:rPr>
              <w:t>243 (9.6)</w:t>
            </w:r>
          </w:p>
        </w:tc>
        <w:tc>
          <w:tcPr>
            <w:tcW w:w="2964" w:type="dxa"/>
            <w:tcBorders>
              <w:top w:val="single" w:sz="4" w:space="0" w:color="auto"/>
              <w:left w:val="single" w:sz="4" w:space="0" w:color="auto"/>
              <w:bottom w:val="single" w:sz="4" w:space="0" w:color="auto"/>
              <w:right w:val="single" w:sz="4" w:space="0" w:color="auto"/>
            </w:tcBorders>
            <w:hideMark/>
          </w:tcPr>
          <w:p w14:paraId="026BA44E" w14:textId="77777777" w:rsidR="00EF62D7" w:rsidRPr="007D5F52" w:rsidRDefault="00EF62D7" w:rsidP="006D7754">
            <w:pPr>
              <w:keepNext/>
              <w:spacing w:after="0"/>
              <w:jc w:val="left"/>
              <w:rPr>
                <w:sz w:val="20"/>
              </w:rPr>
            </w:pPr>
            <w:r w:rsidRPr="007D5F52">
              <w:rPr>
                <w:sz w:val="20"/>
              </w:rPr>
              <w:t>185 (7.4)</w:t>
            </w:r>
          </w:p>
        </w:tc>
      </w:tr>
      <w:tr w:rsidR="00EF62D7" w:rsidRPr="007D5F52" w14:paraId="34E41A05" w14:textId="77777777" w:rsidTr="00EF62D7">
        <w:tc>
          <w:tcPr>
            <w:tcW w:w="9108" w:type="dxa"/>
            <w:gridSpan w:val="3"/>
            <w:tcBorders>
              <w:top w:val="single" w:sz="4" w:space="0" w:color="auto"/>
              <w:left w:val="single" w:sz="4" w:space="0" w:color="auto"/>
              <w:bottom w:val="single" w:sz="4" w:space="0" w:color="auto"/>
              <w:right w:val="single" w:sz="4" w:space="0" w:color="auto"/>
            </w:tcBorders>
            <w:hideMark/>
          </w:tcPr>
          <w:p w14:paraId="4D93A9C0" w14:textId="77777777" w:rsidR="00EF62D7" w:rsidRPr="007D5F52" w:rsidRDefault="00EF62D7" w:rsidP="006D7754">
            <w:pPr>
              <w:keepNext/>
              <w:spacing w:after="0"/>
              <w:jc w:val="left"/>
              <w:rPr>
                <w:b/>
                <w:sz w:val="20"/>
              </w:rPr>
            </w:pPr>
            <w:r w:rsidRPr="007D5F52">
              <w:rPr>
                <w:b/>
                <w:sz w:val="20"/>
              </w:rPr>
              <w:t>Gastrointestinal disorders</w:t>
            </w:r>
          </w:p>
        </w:tc>
      </w:tr>
      <w:tr w:rsidR="00EF62D7" w:rsidRPr="007D5F52" w14:paraId="7A656A81" w14:textId="77777777" w:rsidTr="00EF62D7">
        <w:tc>
          <w:tcPr>
            <w:tcW w:w="3072" w:type="dxa"/>
            <w:tcBorders>
              <w:top w:val="single" w:sz="4" w:space="0" w:color="auto"/>
              <w:left w:val="single" w:sz="4" w:space="0" w:color="auto"/>
              <w:bottom w:val="single" w:sz="4" w:space="0" w:color="auto"/>
              <w:right w:val="single" w:sz="4" w:space="0" w:color="auto"/>
            </w:tcBorders>
            <w:hideMark/>
          </w:tcPr>
          <w:p w14:paraId="2DC7018B" w14:textId="77777777" w:rsidR="00EF62D7" w:rsidRPr="007D5F52" w:rsidRDefault="00EF62D7" w:rsidP="006D7754">
            <w:pPr>
              <w:keepNext/>
              <w:spacing w:after="0"/>
              <w:ind w:left="240"/>
              <w:jc w:val="left"/>
              <w:rPr>
                <w:sz w:val="20"/>
              </w:rPr>
            </w:pPr>
            <w:r w:rsidRPr="007D5F52">
              <w:rPr>
                <w:sz w:val="20"/>
              </w:rPr>
              <w:t>Nausea</w:t>
            </w:r>
          </w:p>
        </w:tc>
        <w:tc>
          <w:tcPr>
            <w:tcW w:w="3072" w:type="dxa"/>
            <w:tcBorders>
              <w:top w:val="single" w:sz="4" w:space="0" w:color="auto"/>
              <w:left w:val="single" w:sz="4" w:space="0" w:color="auto"/>
              <w:bottom w:val="single" w:sz="4" w:space="0" w:color="auto"/>
              <w:right w:val="single" w:sz="4" w:space="0" w:color="auto"/>
            </w:tcBorders>
            <w:hideMark/>
          </w:tcPr>
          <w:p w14:paraId="4692EF29" w14:textId="77777777" w:rsidR="00EF62D7" w:rsidRPr="007D5F52" w:rsidRDefault="00EF62D7" w:rsidP="006D7754">
            <w:pPr>
              <w:keepNext/>
              <w:spacing w:after="0"/>
              <w:jc w:val="left"/>
              <w:rPr>
                <w:sz w:val="20"/>
              </w:rPr>
            </w:pPr>
            <w:r w:rsidRPr="007D5F52">
              <w:rPr>
                <w:sz w:val="20"/>
              </w:rPr>
              <w:t>96 (3.8)</w:t>
            </w:r>
          </w:p>
        </w:tc>
        <w:tc>
          <w:tcPr>
            <w:tcW w:w="2964" w:type="dxa"/>
            <w:tcBorders>
              <w:top w:val="single" w:sz="4" w:space="0" w:color="auto"/>
              <w:left w:val="single" w:sz="4" w:space="0" w:color="auto"/>
              <w:bottom w:val="single" w:sz="4" w:space="0" w:color="auto"/>
              <w:right w:val="single" w:sz="4" w:space="0" w:color="auto"/>
            </w:tcBorders>
            <w:hideMark/>
          </w:tcPr>
          <w:p w14:paraId="0DEDE48B" w14:textId="77777777" w:rsidR="00EF62D7" w:rsidRPr="007D5F52" w:rsidRDefault="00EF62D7" w:rsidP="006D7754">
            <w:pPr>
              <w:keepNext/>
              <w:spacing w:after="0"/>
              <w:jc w:val="left"/>
              <w:rPr>
                <w:sz w:val="20"/>
              </w:rPr>
            </w:pPr>
            <w:r w:rsidRPr="007D5F52">
              <w:rPr>
                <w:sz w:val="20"/>
              </w:rPr>
              <w:t>67 (2.7)</w:t>
            </w:r>
          </w:p>
        </w:tc>
      </w:tr>
      <w:tr w:rsidR="00EF62D7" w:rsidRPr="007D5F52" w14:paraId="2E98C992" w14:textId="77777777" w:rsidTr="00EF62D7">
        <w:tc>
          <w:tcPr>
            <w:tcW w:w="3072" w:type="dxa"/>
            <w:tcBorders>
              <w:top w:val="single" w:sz="4" w:space="0" w:color="auto"/>
              <w:left w:val="single" w:sz="4" w:space="0" w:color="auto"/>
              <w:bottom w:val="single" w:sz="4" w:space="0" w:color="auto"/>
              <w:right w:val="single" w:sz="4" w:space="0" w:color="auto"/>
            </w:tcBorders>
            <w:hideMark/>
          </w:tcPr>
          <w:p w14:paraId="1FB3D80B" w14:textId="77777777" w:rsidR="00EF62D7" w:rsidRPr="007D5F52" w:rsidRDefault="00EF62D7" w:rsidP="006D7754">
            <w:pPr>
              <w:keepNext/>
              <w:spacing w:after="0"/>
              <w:ind w:left="240"/>
              <w:jc w:val="left"/>
              <w:rPr>
                <w:sz w:val="20"/>
              </w:rPr>
            </w:pPr>
            <w:r w:rsidRPr="007D5F52">
              <w:rPr>
                <w:sz w:val="20"/>
              </w:rPr>
              <w:t>Dyspepsia</w:t>
            </w:r>
          </w:p>
        </w:tc>
        <w:tc>
          <w:tcPr>
            <w:tcW w:w="3072" w:type="dxa"/>
            <w:tcBorders>
              <w:top w:val="single" w:sz="4" w:space="0" w:color="auto"/>
              <w:left w:val="single" w:sz="4" w:space="0" w:color="auto"/>
              <w:bottom w:val="single" w:sz="4" w:space="0" w:color="auto"/>
              <w:right w:val="single" w:sz="4" w:space="0" w:color="auto"/>
            </w:tcBorders>
            <w:hideMark/>
          </w:tcPr>
          <w:p w14:paraId="5173D72A" w14:textId="77777777" w:rsidR="00EF62D7" w:rsidRPr="007D5F52" w:rsidRDefault="00EF62D7" w:rsidP="006D7754">
            <w:pPr>
              <w:keepNext/>
              <w:spacing w:after="0"/>
              <w:jc w:val="left"/>
              <w:rPr>
                <w:sz w:val="20"/>
              </w:rPr>
            </w:pPr>
            <w:r w:rsidRPr="007D5F52">
              <w:rPr>
                <w:sz w:val="20"/>
              </w:rPr>
              <w:t>67 (2.7)</w:t>
            </w:r>
          </w:p>
        </w:tc>
        <w:tc>
          <w:tcPr>
            <w:tcW w:w="2964" w:type="dxa"/>
            <w:tcBorders>
              <w:top w:val="single" w:sz="4" w:space="0" w:color="auto"/>
              <w:left w:val="single" w:sz="4" w:space="0" w:color="auto"/>
              <w:bottom w:val="single" w:sz="4" w:space="0" w:color="auto"/>
              <w:right w:val="single" w:sz="4" w:space="0" w:color="auto"/>
            </w:tcBorders>
            <w:hideMark/>
          </w:tcPr>
          <w:p w14:paraId="641256CC" w14:textId="77777777" w:rsidR="00EF62D7" w:rsidRPr="007D5F52" w:rsidRDefault="00EF62D7" w:rsidP="006D7754">
            <w:pPr>
              <w:keepNext/>
              <w:spacing w:after="0"/>
              <w:jc w:val="left"/>
              <w:rPr>
                <w:sz w:val="20"/>
              </w:rPr>
            </w:pPr>
            <w:r w:rsidRPr="007D5F52">
              <w:rPr>
                <w:sz w:val="20"/>
              </w:rPr>
              <w:t>27 (1.1)</w:t>
            </w:r>
          </w:p>
        </w:tc>
      </w:tr>
      <w:tr w:rsidR="00EF62D7" w:rsidRPr="007D5F52" w14:paraId="045AD8F4" w14:textId="77777777" w:rsidTr="00EF62D7">
        <w:tc>
          <w:tcPr>
            <w:tcW w:w="3072" w:type="dxa"/>
            <w:tcBorders>
              <w:top w:val="single" w:sz="4" w:space="0" w:color="auto"/>
              <w:left w:val="single" w:sz="4" w:space="0" w:color="auto"/>
              <w:bottom w:val="single" w:sz="4" w:space="0" w:color="auto"/>
              <w:right w:val="single" w:sz="4" w:space="0" w:color="auto"/>
            </w:tcBorders>
            <w:hideMark/>
          </w:tcPr>
          <w:p w14:paraId="3679AA60" w14:textId="77777777" w:rsidR="00EF62D7" w:rsidRPr="007D5F52" w:rsidRDefault="00EF62D7" w:rsidP="006D7754">
            <w:pPr>
              <w:keepNext/>
              <w:spacing w:after="0"/>
              <w:ind w:left="240"/>
              <w:jc w:val="left"/>
              <w:rPr>
                <w:sz w:val="20"/>
              </w:rPr>
            </w:pPr>
            <w:r w:rsidRPr="007D5F52">
              <w:rPr>
                <w:sz w:val="20"/>
              </w:rPr>
              <w:t>Vomiting</w:t>
            </w:r>
          </w:p>
        </w:tc>
        <w:tc>
          <w:tcPr>
            <w:tcW w:w="3072" w:type="dxa"/>
            <w:tcBorders>
              <w:top w:val="single" w:sz="4" w:space="0" w:color="auto"/>
              <w:left w:val="single" w:sz="4" w:space="0" w:color="auto"/>
              <w:bottom w:val="single" w:sz="4" w:space="0" w:color="auto"/>
              <w:right w:val="single" w:sz="4" w:space="0" w:color="auto"/>
            </w:tcBorders>
            <w:hideMark/>
          </w:tcPr>
          <w:p w14:paraId="7489F186" w14:textId="77777777" w:rsidR="00EF62D7" w:rsidRPr="007D5F52" w:rsidRDefault="00EF62D7" w:rsidP="006D7754">
            <w:pPr>
              <w:keepNext/>
              <w:spacing w:after="0"/>
              <w:jc w:val="left"/>
              <w:rPr>
                <w:sz w:val="20"/>
              </w:rPr>
            </w:pPr>
            <w:r w:rsidRPr="007D5F52">
              <w:rPr>
                <w:sz w:val="20"/>
              </w:rPr>
              <w:t>56 (2.2)</w:t>
            </w:r>
          </w:p>
        </w:tc>
        <w:tc>
          <w:tcPr>
            <w:tcW w:w="2964" w:type="dxa"/>
            <w:tcBorders>
              <w:top w:val="single" w:sz="4" w:space="0" w:color="auto"/>
              <w:left w:val="single" w:sz="4" w:space="0" w:color="auto"/>
              <w:bottom w:val="single" w:sz="4" w:space="0" w:color="auto"/>
              <w:right w:val="single" w:sz="4" w:space="0" w:color="auto"/>
            </w:tcBorders>
            <w:hideMark/>
          </w:tcPr>
          <w:p w14:paraId="6B039AE9" w14:textId="77777777" w:rsidR="00EF62D7" w:rsidRPr="007D5F52" w:rsidRDefault="00EF62D7" w:rsidP="006D7754">
            <w:pPr>
              <w:keepNext/>
              <w:spacing w:after="0"/>
              <w:jc w:val="left"/>
              <w:rPr>
                <w:sz w:val="20"/>
              </w:rPr>
            </w:pPr>
            <w:r w:rsidRPr="007D5F52">
              <w:rPr>
                <w:sz w:val="20"/>
              </w:rPr>
              <w:t>45 (1.8)</w:t>
            </w:r>
          </w:p>
        </w:tc>
      </w:tr>
      <w:tr w:rsidR="00EF62D7" w:rsidRPr="007D5F52" w14:paraId="479E7BF3" w14:textId="77777777" w:rsidTr="00EF62D7">
        <w:tc>
          <w:tcPr>
            <w:tcW w:w="3072" w:type="dxa"/>
            <w:tcBorders>
              <w:top w:val="single" w:sz="4" w:space="0" w:color="auto"/>
              <w:left w:val="single" w:sz="4" w:space="0" w:color="auto"/>
              <w:bottom w:val="single" w:sz="4" w:space="0" w:color="auto"/>
              <w:right w:val="single" w:sz="4" w:space="0" w:color="auto"/>
            </w:tcBorders>
            <w:hideMark/>
          </w:tcPr>
          <w:p w14:paraId="2C41C94E" w14:textId="77777777" w:rsidR="00EF62D7" w:rsidRPr="007D5F52" w:rsidRDefault="00EF62D7" w:rsidP="006D7754">
            <w:pPr>
              <w:keepNext/>
              <w:spacing w:after="0"/>
              <w:ind w:left="240"/>
              <w:jc w:val="left"/>
              <w:rPr>
                <w:sz w:val="20"/>
              </w:rPr>
            </w:pPr>
            <w:r w:rsidRPr="007D5F52">
              <w:rPr>
                <w:sz w:val="20"/>
              </w:rPr>
              <w:t>Gastroesophageal reflux disease</w:t>
            </w:r>
          </w:p>
        </w:tc>
        <w:tc>
          <w:tcPr>
            <w:tcW w:w="3072" w:type="dxa"/>
            <w:tcBorders>
              <w:top w:val="single" w:sz="4" w:space="0" w:color="auto"/>
              <w:left w:val="single" w:sz="4" w:space="0" w:color="auto"/>
              <w:bottom w:val="single" w:sz="4" w:space="0" w:color="auto"/>
              <w:right w:val="single" w:sz="4" w:space="0" w:color="auto"/>
            </w:tcBorders>
            <w:hideMark/>
          </w:tcPr>
          <w:p w14:paraId="72D485CE" w14:textId="77777777" w:rsidR="00EF62D7" w:rsidRPr="007D5F52" w:rsidRDefault="00EF62D7" w:rsidP="006D7754">
            <w:pPr>
              <w:keepNext/>
              <w:spacing w:after="0"/>
              <w:jc w:val="left"/>
              <w:rPr>
                <w:sz w:val="20"/>
              </w:rPr>
            </w:pPr>
            <w:r w:rsidRPr="007D5F52">
              <w:rPr>
                <w:sz w:val="20"/>
              </w:rPr>
              <w:t>44 (1.7)</w:t>
            </w:r>
          </w:p>
        </w:tc>
        <w:tc>
          <w:tcPr>
            <w:tcW w:w="2964" w:type="dxa"/>
            <w:tcBorders>
              <w:top w:val="single" w:sz="4" w:space="0" w:color="auto"/>
              <w:left w:val="single" w:sz="4" w:space="0" w:color="auto"/>
              <w:bottom w:val="single" w:sz="4" w:space="0" w:color="auto"/>
              <w:right w:val="single" w:sz="4" w:space="0" w:color="auto"/>
            </w:tcBorders>
            <w:hideMark/>
          </w:tcPr>
          <w:p w14:paraId="5E1E332F" w14:textId="77777777" w:rsidR="00EF62D7" w:rsidRPr="007D5F52" w:rsidRDefault="00EF62D7" w:rsidP="006D7754">
            <w:pPr>
              <w:keepNext/>
              <w:spacing w:after="0"/>
              <w:jc w:val="left"/>
              <w:rPr>
                <w:sz w:val="20"/>
              </w:rPr>
            </w:pPr>
            <w:r w:rsidRPr="007D5F52">
              <w:rPr>
                <w:sz w:val="20"/>
              </w:rPr>
              <w:t>17 (0.7)</w:t>
            </w:r>
          </w:p>
        </w:tc>
      </w:tr>
      <w:tr w:rsidR="00EF62D7" w:rsidRPr="007D5F52" w14:paraId="4B558E34" w14:textId="77777777" w:rsidTr="00EF62D7">
        <w:tc>
          <w:tcPr>
            <w:tcW w:w="9108" w:type="dxa"/>
            <w:gridSpan w:val="3"/>
            <w:tcBorders>
              <w:top w:val="single" w:sz="4" w:space="0" w:color="auto"/>
              <w:left w:val="single" w:sz="4" w:space="0" w:color="auto"/>
              <w:bottom w:val="single" w:sz="4" w:space="0" w:color="auto"/>
              <w:right w:val="single" w:sz="4" w:space="0" w:color="auto"/>
            </w:tcBorders>
            <w:hideMark/>
          </w:tcPr>
          <w:p w14:paraId="2605E601" w14:textId="77777777" w:rsidR="00EF62D7" w:rsidRPr="007D5F52" w:rsidRDefault="00EF62D7" w:rsidP="006D7754">
            <w:pPr>
              <w:keepNext/>
              <w:spacing w:after="0"/>
              <w:jc w:val="left"/>
              <w:rPr>
                <w:b/>
                <w:sz w:val="20"/>
              </w:rPr>
            </w:pPr>
            <w:r w:rsidRPr="007D5F52">
              <w:rPr>
                <w:b/>
                <w:sz w:val="20"/>
              </w:rPr>
              <w:t>Nervous system disorders</w:t>
            </w:r>
          </w:p>
        </w:tc>
      </w:tr>
      <w:tr w:rsidR="00EF62D7" w:rsidRPr="007D5F52" w14:paraId="4DE45327" w14:textId="77777777" w:rsidTr="00EF62D7">
        <w:tc>
          <w:tcPr>
            <w:tcW w:w="3072" w:type="dxa"/>
            <w:tcBorders>
              <w:top w:val="single" w:sz="4" w:space="0" w:color="auto"/>
              <w:left w:val="single" w:sz="4" w:space="0" w:color="auto"/>
              <w:bottom w:val="single" w:sz="4" w:space="0" w:color="auto"/>
              <w:right w:val="single" w:sz="4" w:space="0" w:color="auto"/>
            </w:tcBorders>
            <w:hideMark/>
          </w:tcPr>
          <w:p w14:paraId="2C3D3290" w14:textId="77777777" w:rsidR="00EF62D7" w:rsidRPr="007D5F52" w:rsidRDefault="00EF62D7" w:rsidP="006D7754">
            <w:pPr>
              <w:keepNext/>
              <w:spacing w:after="0"/>
              <w:ind w:left="240"/>
              <w:jc w:val="left"/>
              <w:rPr>
                <w:sz w:val="20"/>
              </w:rPr>
            </w:pPr>
            <w:r w:rsidRPr="007D5F52">
              <w:rPr>
                <w:sz w:val="20"/>
              </w:rPr>
              <w:t>Dizziness</w:t>
            </w:r>
          </w:p>
        </w:tc>
        <w:tc>
          <w:tcPr>
            <w:tcW w:w="3072" w:type="dxa"/>
            <w:tcBorders>
              <w:top w:val="single" w:sz="4" w:space="0" w:color="auto"/>
              <w:left w:val="single" w:sz="4" w:space="0" w:color="auto"/>
              <w:bottom w:val="single" w:sz="4" w:space="0" w:color="auto"/>
              <w:right w:val="single" w:sz="4" w:space="0" w:color="auto"/>
            </w:tcBorders>
            <w:hideMark/>
          </w:tcPr>
          <w:p w14:paraId="42C997B4" w14:textId="77777777" w:rsidR="00EF62D7" w:rsidRPr="007D5F52" w:rsidRDefault="00EF62D7" w:rsidP="006D7754">
            <w:pPr>
              <w:keepNext/>
              <w:spacing w:after="0"/>
              <w:jc w:val="left"/>
              <w:rPr>
                <w:sz w:val="20"/>
              </w:rPr>
            </w:pPr>
            <w:r w:rsidRPr="007D5F52">
              <w:rPr>
                <w:sz w:val="20"/>
              </w:rPr>
              <w:t>169 (6.7)</w:t>
            </w:r>
          </w:p>
        </w:tc>
        <w:tc>
          <w:tcPr>
            <w:tcW w:w="2964" w:type="dxa"/>
            <w:tcBorders>
              <w:top w:val="single" w:sz="4" w:space="0" w:color="auto"/>
              <w:left w:val="single" w:sz="4" w:space="0" w:color="auto"/>
              <w:bottom w:val="single" w:sz="4" w:space="0" w:color="auto"/>
              <w:right w:val="single" w:sz="4" w:space="0" w:color="auto"/>
            </w:tcBorders>
            <w:hideMark/>
          </w:tcPr>
          <w:p w14:paraId="4ACDA29E" w14:textId="77777777" w:rsidR="00EF62D7" w:rsidRPr="007D5F52" w:rsidRDefault="00EF62D7" w:rsidP="006D7754">
            <w:pPr>
              <w:keepNext/>
              <w:spacing w:after="0"/>
              <w:jc w:val="left"/>
              <w:rPr>
                <w:sz w:val="20"/>
              </w:rPr>
            </w:pPr>
            <w:r w:rsidRPr="007D5F52">
              <w:rPr>
                <w:sz w:val="20"/>
              </w:rPr>
              <w:t>150 (6.0)</w:t>
            </w:r>
          </w:p>
        </w:tc>
      </w:tr>
      <w:tr w:rsidR="00EF62D7" w:rsidRPr="007D5F52" w14:paraId="3AE91321" w14:textId="77777777" w:rsidTr="00EF62D7">
        <w:tc>
          <w:tcPr>
            <w:tcW w:w="3072" w:type="dxa"/>
            <w:tcBorders>
              <w:top w:val="single" w:sz="4" w:space="0" w:color="auto"/>
              <w:left w:val="single" w:sz="4" w:space="0" w:color="auto"/>
              <w:bottom w:val="single" w:sz="4" w:space="0" w:color="auto"/>
              <w:right w:val="single" w:sz="4" w:space="0" w:color="auto"/>
            </w:tcBorders>
            <w:hideMark/>
          </w:tcPr>
          <w:p w14:paraId="4B56CB25" w14:textId="77777777" w:rsidR="00EF62D7" w:rsidRPr="007D5F52" w:rsidRDefault="00EF62D7" w:rsidP="006D7754">
            <w:pPr>
              <w:keepNext/>
              <w:spacing w:after="0"/>
              <w:ind w:left="240"/>
              <w:jc w:val="left"/>
              <w:rPr>
                <w:sz w:val="20"/>
              </w:rPr>
            </w:pPr>
            <w:r w:rsidRPr="007D5F52">
              <w:rPr>
                <w:sz w:val="20"/>
              </w:rPr>
              <w:t>Headache</w:t>
            </w:r>
          </w:p>
        </w:tc>
        <w:tc>
          <w:tcPr>
            <w:tcW w:w="3072" w:type="dxa"/>
            <w:tcBorders>
              <w:top w:val="single" w:sz="4" w:space="0" w:color="auto"/>
              <w:left w:val="single" w:sz="4" w:space="0" w:color="auto"/>
              <w:bottom w:val="single" w:sz="4" w:space="0" w:color="auto"/>
              <w:right w:val="single" w:sz="4" w:space="0" w:color="auto"/>
            </w:tcBorders>
            <w:hideMark/>
          </w:tcPr>
          <w:p w14:paraId="5BBC2B53" w14:textId="77777777" w:rsidR="00EF62D7" w:rsidRPr="007D5F52" w:rsidRDefault="00EF62D7" w:rsidP="006D7754">
            <w:pPr>
              <w:keepNext/>
              <w:spacing w:after="0"/>
              <w:jc w:val="left"/>
              <w:rPr>
                <w:sz w:val="20"/>
              </w:rPr>
            </w:pPr>
            <w:r w:rsidRPr="007D5F52">
              <w:rPr>
                <w:sz w:val="20"/>
              </w:rPr>
              <w:t>86 (3.4)</w:t>
            </w:r>
          </w:p>
        </w:tc>
        <w:tc>
          <w:tcPr>
            <w:tcW w:w="2964" w:type="dxa"/>
            <w:tcBorders>
              <w:top w:val="single" w:sz="4" w:space="0" w:color="auto"/>
              <w:left w:val="single" w:sz="4" w:space="0" w:color="auto"/>
              <w:bottom w:val="single" w:sz="4" w:space="0" w:color="auto"/>
              <w:right w:val="single" w:sz="4" w:space="0" w:color="auto"/>
            </w:tcBorders>
            <w:hideMark/>
          </w:tcPr>
          <w:p w14:paraId="5CD6E3AC" w14:textId="77777777" w:rsidR="00EF62D7" w:rsidRPr="007D5F52" w:rsidRDefault="00EF62D7" w:rsidP="006D7754">
            <w:pPr>
              <w:keepNext/>
              <w:spacing w:after="0"/>
              <w:jc w:val="left"/>
              <w:rPr>
                <w:sz w:val="20"/>
              </w:rPr>
            </w:pPr>
            <w:r w:rsidRPr="007D5F52">
              <w:rPr>
                <w:sz w:val="20"/>
              </w:rPr>
              <w:t>61 (2.4)</w:t>
            </w:r>
          </w:p>
        </w:tc>
      </w:tr>
      <w:tr w:rsidR="00EF62D7" w:rsidRPr="007D5F52" w14:paraId="1395FA2B" w14:textId="77777777" w:rsidTr="00EF62D7">
        <w:tc>
          <w:tcPr>
            <w:tcW w:w="9108" w:type="dxa"/>
            <w:gridSpan w:val="3"/>
            <w:tcBorders>
              <w:top w:val="single" w:sz="4" w:space="0" w:color="auto"/>
              <w:left w:val="single" w:sz="4" w:space="0" w:color="auto"/>
              <w:bottom w:val="single" w:sz="4" w:space="0" w:color="auto"/>
              <w:right w:val="single" w:sz="4" w:space="0" w:color="auto"/>
            </w:tcBorders>
            <w:hideMark/>
          </w:tcPr>
          <w:p w14:paraId="1A8FA412" w14:textId="77777777" w:rsidR="00EF62D7" w:rsidRPr="007D5F52" w:rsidRDefault="00EF62D7" w:rsidP="006D7754">
            <w:pPr>
              <w:keepNext/>
              <w:spacing w:after="0"/>
              <w:jc w:val="left"/>
              <w:rPr>
                <w:b/>
                <w:sz w:val="20"/>
              </w:rPr>
            </w:pPr>
            <w:r w:rsidRPr="007D5F52">
              <w:rPr>
                <w:b/>
                <w:sz w:val="20"/>
              </w:rPr>
              <w:t>Vascular disorders</w:t>
            </w:r>
          </w:p>
        </w:tc>
      </w:tr>
      <w:tr w:rsidR="00EF62D7" w:rsidRPr="007D5F52" w14:paraId="25219693" w14:textId="77777777" w:rsidTr="00EF62D7">
        <w:tc>
          <w:tcPr>
            <w:tcW w:w="3072" w:type="dxa"/>
            <w:tcBorders>
              <w:top w:val="single" w:sz="4" w:space="0" w:color="auto"/>
              <w:left w:val="single" w:sz="4" w:space="0" w:color="auto"/>
              <w:bottom w:val="single" w:sz="4" w:space="0" w:color="auto"/>
              <w:right w:val="single" w:sz="4" w:space="0" w:color="auto"/>
            </w:tcBorders>
            <w:hideMark/>
          </w:tcPr>
          <w:p w14:paraId="7BAAFCDD" w14:textId="77777777" w:rsidR="00EF62D7" w:rsidRPr="007D5F52" w:rsidRDefault="00EF62D7" w:rsidP="006D7754">
            <w:pPr>
              <w:keepNext/>
              <w:spacing w:after="0"/>
              <w:ind w:left="240"/>
              <w:jc w:val="left"/>
              <w:rPr>
                <w:sz w:val="20"/>
              </w:rPr>
            </w:pPr>
            <w:r w:rsidRPr="007D5F52">
              <w:rPr>
                <w:sz w:val="20"/>
              </w:rPr>
              <w:t>Hypotension</w:t>
            </w:r>
            <w:r w:rsidRPr="007D5F52">
              <w:rPr>
                <w:sz w:val="20"/>
                <w:vertAlign w:val="superscript"/>
              </w:rPr>
              <w:t>2</w:t>
            </w:r>
          </w:p>
        </w:tc>
        <w:tc>
          <w:tcPr>
            <w:tcW w:w="3072" w:type="dxa"/>
            <w:tcBorders>
              <w:top w:val="single" w:sz="4" w:space="0" w:color="auto"/>
              <w:left w:val="single" w:sz="4" w:space="0" w:color="auto"/>
              <w:bottom w:val="single" w:sz="4" w:space="0" w:color="auto"/>
              <w:right w:val="single" w:sz="4" w:space="0" w:color="auto"/>
            </w:tcBorders>
            <w:hideMark/>
          </w:tcPr>
          <w:p w14:paraId="69B3A1CB" w14:textId="77777777" w:rsidR="00EF62D7" w:rsidRPr="007D5F52" w:rsidRDefault="00EF62D7" w:rsidP="006D7754">
            <w:pPr>
              <w:keepNext/>
              <w:spacing w:after="0"/>
              <w:jc w:val="left"/>
              <w:rPr>
                <w:sz w:val="20"/>
              </w:rPr>
            </w:pPr>
            <w:r w:rsidRPr="007D5F52">
              <w:rPr>
                <w:sz w:val="20"/>
              </w:rPr>
              <w:t>412 (16.4)</w:t>
            </w:r>
          </w:p>
        </w:tc>
        <w:tc>
          <w:tcPr>
            <w:tcW w:w="2964" w:type="dxa"/>
            <w:tcBorders>
              <w:top w:val="single" w:sz="4" w:space="0" w:color="auto"/>
              <w:left w:val="single" w:sz="4" w:space="0" w:color="auto"/>
              <w:bottom w:val="single" w:sz="4" w:space="0" w:color="auto"/>
              <w:right w:val="single" w:sz="4" w:space="0" w:color="auto"/>
            </w:tcBorders>
            <w:hideMark/>
          </w:tcPr>
          <w:p w14:paraId="2B52DE29" w14:textId="77777777" w:rsidR="00EF62D7" w:rsidRPr="007D5F52" w:rsidRDefault="00EF62D7" w:rsidP="006D7754">
            <w:pPr>
              <w:keepNext/>
              <w:spacing w:after="0"/>
              <w:jc w:val="left"/>
              <w:rPr>
                <w:sz w:val="20"/>
              </w:rPr>
            </w:pPr>
            <w:r w:rsidRPr="007D5F52">
              <w:rPr>
                <w:sz w:val="20"/>
              </w:rPr>
              <w:t>375 (14.9)</w:t>
            </w:r>
          </w:p>
        </w:tc>
      </w:tr>
    </w:tbl>
    <w:p w14:paraId="78FD482D" w14:textId="0935FFC4" w:rsidR="00C574D5" w:rsidRPr="007D5F52" w:rsidRDefault="00534918" w:rsidP="006D7754">
      <w:pPr>
        <w:spacing w:after="0"/>
        <w:jc w:val="left"/>
        <w:rPr>
          <w:sz w:val="20"/>
        </w:rPr>
      </w:pPr>
      <w:r w:rsidRPr="007D5F52">
        <w:rPr>
          <w:sz w:val="20"/>
          <w:vertAlign w:val="superscript"/>
        </w:rPr>
        <w:t>1</w:t>
      </w:r>
      <w:r w:rsidR="00C574D5" w:rsidRPr="007D5F52">
        <w:rPr>
          <w:sz w:val="20"/>
        </w:rPr>
        <w:t xml:space="preserve">Includes: </w:t>
      </w:r>
      <w:proofErr w:type="spellStart"/>
      <w:r w:rsidR="00C574D5" w:rsidRPr="007D5F52">
        <w:rPr>
          <w:sz w:val="20"/>
        </w:rPr>
        <w:t>anemia</w:t>
      </w:r>
      <w:proofErr w:type="spellEnd"/>
      <w:r w:rsidR="00C574D5" w:rsidRPr="007D5F52">
        <w:rPr>
          <w:sz w:val="20"/>
        </w:rPr>
        <w:t xml:space="preserve">, </w:t>
      </w:r>
      <w:proofErr w:type="spellStart"/>
      <w:r w:rsidR="00C574D5" w:rsidRPr="007D5F52">
        <w:rPr>
          <w:sz w:val="20"/>
        </w:rPr>
        <w:t>anemia</w:t>
      </w:r>
      <w:proofErr w:type="spellEnd"/>
      <w:r w:rsidR="00C574D5" w:rsidRPr="007D5F52">
        <w:rPr>
          <w:sz w:val="20"/>
        </w:rPr>
        <w:t xml:space="preserve"> macrocytic, </w:t>
      </w:r>
      <w:proofErr w:type="spellStart"/>
      <w:r w:rsidR="00C574D5" w:rsidRPr="007D5F52">
        <w:rPr>
          <w:sz w:val="20"/>
        </w:rPr>
        <w:t>anemia</w:t>
      </w:r>
      <w:proofErr w:type="spellEnd"/>
      <w:r w:rsidR="00C574D5" w:rsidRPr="007D5F52">
        <w:rPr>
          <w:sz w:val="20"/>
        </w:rPr>
        <w:t xml:space="preserve"> of chronic disease, autoimmune </w:t>
      </w:r>
      <w:proofErr w:type="spellStart"/>
      <w:r w:rsidR="00C574D5" w:rsidRPr="007D5F52">
        <w:rPr>
          <w:sz w:val="20"/>
        </w:rPr>
        <w:t>hemolytic</w:t>
      </w:r>
      <w:proofErr w:type="spellEnd"/>
      <w:r w:rsidR="00C574D5" w:rsidRPr="007D5F52">
        <w:rPr>
          <w:sz w:val="20"/>
        </w:rPr>
        <w:t xml:space="preserve"> </w:t>
      </w:r>
      <w:proofErr w:type="spellStart"/>
      <w:r w:rsidR="00C574D5" w:rsidRPr="007D5F52">
        <w:rPr>
          <w:sz w:val="20"/>
        </w:rPr>
        <w:t>anemia</w:t>
      </w:r>
      <w:proofErr w:type="spellEnd"/>
      <w:r w:rsidR="00C574D5" w:rsidRPr="007D5F52">
        <w:rPr>
          <w:sz w:val="20"/>
        </w:rPr>
        <w:t xml:space="preserve">, blood loss </w:t>
      </w:r>
      <w:proofErr w:type="spellStart"/>
      <w:r w:rsidR="00C574D5" w:rsidRPr="007D5F52">
        <w:rPr>
          <w:sz w:val="20"/>
        </w:rPr>
        <w:t>anemia</w:t>
      </w:r>
      <w:proofErr w:type="spellEnd"/>
      <w:r w:rsidR="00C574D5" w:rsidRPr="007D5F52">
        <w:rPr>
          <w:sz w:val="20"/>
        </w:rPr>
        <w:t xml:space="preserve">, </w:t>
      </w:r>
      <w:proofErr w:type="spellStart"/>
      <w:r w:rsidR="00C574D5" w:rsidRPr="007D5F52">
        <w:rPr>
          <w:sz w:val="20"/>
        </w:rPr>
        <w:t>hemolytic</w:t>
      </w:r>
      <w:proofErr w:type="spellEnd"/>
      <w:r w:rsidR="00C574D5" w:rsidRPr="007D5F52">
        <w:rPr>
          <w:sz w:val="20"/>
        </w:rPr>
        <w:t xml:space="preserve"> </w:t>
      </w:r>
      <w:proofErr w:type="spellStart"/>
      <w:r w:rsidR="00C574D5" w:rsidRPr="007D5F52">
        <w:rPr>
          <w:sz w:val="20"/>
        </w:rPr>
        <w:t>anemia</w:t>
      </w:r>
      <w:proofErr w:type="spellEnd"/>
      <w:r w:rsidR="00C574D5" w:rsidRPr="007D5F52">
        <w:rPr>
          <w:sz w:val="20"/>
        </w:rPr>
        <w:t xml:space="preserve">, hypochromic </w:t>
      </w:r>
      <w:proofErr w:type="spellStart"/>
      <w:r w:rsidR="00C574D5" w:rsidRPr="007D5F52">
        <w:rPr>
          <w:sz w:val="20"/>
        </w:rPr>
        <w:t>anemia</w:t>
      </w:r>
      <w:proofErr w:type="spellEnd"/>
      <w:r w:rsidR="00C574D5" w:rsidRPr="007D5F52">
        <w:rPr>
          <w:sz w:val="20"/>
        </w:rPr>
        <w:t xml:space="preserve">, iron deficiency </w:t>
      </w:r>
      <w:proofErr w:type="spellStart"/>
      <w:r w:rsidR="00C574D5" w:rsidRPr="007D5F52">
        <w:rPr>
          <w:sz w:val="20"/>
        </w:rPr>
        <w:t>anemia</w:t>
      </w:r>
      <w:proofErr w:type="spellEnd"/>
      <w:r w:rsidR="00C574D5" w:rsidRPr="007D5F52">
        <w:rPr>
          <w:sz w:val="20"/>
        </w:rPr>
        <w:t xml:space="preserve">, microcytic </w:t>
      </w:r>
      <w:proofErr w:type="spellStart"/>
      <w:r w:rsidR="00C574D5" w:rsidRPr="007D5F52">
        <w:rPr>
          <w:sz w:val="20"/>
        </w:rPr>
        <w:t>anemia</w:t>
      </w:r>
      <w:proofErr w:type="spellEnd"/>
      <w:r w:rsidR="00C574D5" w:rsidRPr="007D5F52">
        <w:rPr>
          <w:sz w:val="20"/>
        </w:rPr>
        <w:t xml:space="preserve">, nephrogenic </w:t>
      </w:r>
      <w:proofErr w:type="spellStart"/>
      <w:r w:rsidR="00C574D5" w:rsidRPr="007D5F52">
        <w:rPr>
          <w:sz w:val="20"/>
        </w:rPr>
        <w:t>anemia</w:t>
      </w:r>
      <w:proofErr w:type="spellEnd"/>
      <w:r w:rsidR="00C574D5" w:rsidRPr="007D5F52">
        <w:rPr>
          <w:sz w:val="20"/>
        </w:rPr>
        <w:t xml:space="preserve">, normochromic </w:t>
      </w:r>
      <w:proofErr w:type="spellStart"/>
      <w:r w:rsidR="00C574D5" w:rsidRPr="007D5F52">
        <w:rPr>
          <w:sz w:val="20"/>
        </w:rPr>
        <w:t>anemia</w:t>
      </w:r>
      <w:proofErr w:type="spellEnd"/>
      <w:r w:rsidR="00C574D5" w:rsidRPr="007D5F52">
        <w:rPr>
          <w:sz w:val="20"/>
        </w:rPr>
        <w:t xml:space="preserve">, normochromic normocytic </w:t>
      </w:r>
      <w:proofErr w:type="spellStart"/>
      <w:r w:rsidR="00C574D5" w:rsidRPr="007D5F52">
        <w:rPr>
          <w:sz w:val="20"/>
        </w:rPr>
        <w:t>anemia</w:t>
      </w:r>
      <w:proofErr w:type="spellEnd"/>
      <w:r w:rsidR="00C574D5" w:rsidRPr="007D5F52">
        <w:rPr>
          <w:sz w:val="20"/>
        </w:rPr>
        <w:t xml:space="preserve">, normocytic </w:t>
      </w:r>
      <w:proofErr w:type="spellStart"/>
      <w:r w:rsidR="00C574D5" w:rsidRPr="007D5F52">
        <w:rPr>
          <w:sz w:val="20"/>
        </w:rPr>
        <w:t>anemia</w:t>
      </w:r>
      <w:proofErr w:type="spellEnd"/>
      <w:r w:rsidR="00C574D5" w:rsidRPr="007D5F52">
        <w:rPr>
          <w:sz w:val="20"/>
        </w:rPr>
        <w:t xml:space="preserve">, pancytopenia, pernicious </w:t>
      </w:r>
      <w:proofErr w:type="spellStart"/>
      <w:r w:rsidR="00C574D5" w:rsidRPr="007D5F52">
        <w:rPr>
          <w:sz w:val="20"/>
        </w:rPr>
        <w:t>anemia</w:t>
      </w:r>
      <w:proofErr w:type="spellEnd"/>
      <w:r w:rsidR="00C574D5" w:rsidRPr="007D5F52">
        <w:rPr>
          <w:sz w:val="20"/>
        </w:rPr>
        <w:t xml:space="preserve">, </w:t>
      </w:r>
      <w:proofErr w:type="spellStart"/>
      <w:r w:rsidR="00C574D5" w:rsidRPr="007D5F52">
        <w:rPr>
          <w:sz w:val="20"/>
        </w:rPr>
        <w:t>hematocrit</w:t>
      </w:r>
      <w:proofErr w:type="spellEnd"/>
      <w:r w:rsidR="00C574D5" w:rsidRPr="007D5F52">
        <w:rPr>
          <w:sz w:val="20"/>
        </w:rPr>
        <w:t xml:space="preserve"> decreased, </w:t>
      </w:r>
      <w:proofErr w:type="spellStart"/>
      <w:r w:rsidR="00C574D5" w:rsidRPr="007D5F52">
        <w:rPr>
          <w:sz w:val="20"/>
        </w:rPr>
        <w:t>hemoglobin</w:t>
      </w:r>
      <w:proofErr w:type="spellEnd"/>
      <w:r w:rsidR="00C574D5" w:rsidRPr="007D5F52">
        <w:rPr>
          <w:sz w:val="20"/>
        </w:rPr>
        <w:t xml:space="preserve"> decreased, and red blood cell count decreased</w:t>
      </w:r>
    </w:p>
    <w:p w14:paraId="1311EE85" w14:textId="26AD2601" w:rsidR="005A2D4D" w:rsidRPr="005A2D4D" w:rsidRDefault="00534918" w:rsidP="006D7754">
      <w:pPr>
        <w:jc w:val="left"/>
        <w:rPr>
          <w:sz w:val="20"/>
        </w:rPr>
      </w:pPr>
      <w:r w:rsidRPr="007D5F52">
        <w:rPr>
          <w:sz w:val="20"/>
          <w:vertAlign w:val="superscript"/>
        </w:rPr>
        <w:t>2</w:t>
      </w:r>
      <w:r w:rsidR="00C574D5" w:rsidRPr="007D5F52">
        <w:rPr>
          <w:sz w:val="20"/>
        </w:rPr>
        <w:t>Includes: blood pressure decreased, blood pressure diastolic decreased, blood pressure systolic decreased, hypotensi</w:t>
      </w:r>
      <w:r w:rsidR="00446B0C" w:rsidRPr="007D5F52">
        <w:rPr>
          <w:sz w:val="20"/>
        </w:rPr>
        <w:t>on, and orthostatic hypotension</w:t>
      </w:r>
    </w:p>
    <w:p w14:paraId="33BE8CE4" w14:textId="1C79D5B2" w:rsidR="0049535A" w:rsidRPr="007D5F52" w:rsidRDefault="000578F1" w:rsidP="006D7754">
      <w:pPr>
        <w:keepNext/>
        <w:jc w:val="left"/>
        <w:rPr>
          <w:b/>
        </w:rPr>
      </w:pPr>
      <w:bookmarkStart w:id="16" w:name="_Ref45006176"/>
      <w:r w:rsidRPr="007D5F52">
        <w:rPr>
          <w:b/>
        </w:rPr>
        <w:lastRenderedPageBreak/>
        <w:t xml:space="preserve">Table </w:t>
      </w:r>
      <w:r w:rsidRPr="007D5F52">
        <w:rPr>
          <w:b/>
        </w:rPr>
        <w:fldChar w:fldCharType="begin"/>
      </w:r>
      <w:r w:rsidRPr="007D5F52">
        <w:rPr>
          <w:b/>
        </w:rPr>
        <w:instrText xml:space="preserve"> SEQ Table \* ARABIC </w:instrText>
      </w:r>
      <w:r w:rsidRPr="007D5F52">
        <w:rPr>
          <w:b/>
        </w:rPr>
        <w:fldChar w:fldCharType="separate"/>
      </w:r>
      <w:r w:rsidR="00315B56">
        <w:rPr>
          <w:b/>
          <w:noProof/>
        </w:rPr>
        <w:t>2</w:t>
      </w:r>
      <w:r w:rsidRPr="007D5F52">
        <w:rPr>
          <w:b/>
        </w:rPr>
        <w:fldChar w:fldCharType="end"/>
      </w:r>
      <w:bookmarkEnd w:id="16"/>
      <w:r w:rsidR="00BA6AD8" w:rsidRPr="007D5F52">
        <w:rPr>
          <w:b/>
        </w:rPr>
        <w:t>: F</w:t>
      </w:r>
      <w:r w:rsidR="0049535A" w:rsidRPr="007D5F52">
        <w:rPr>
          <w:b/>
        </w:rPr>
        <w:t xml:space="preserve">requency of adverse </w:t>
      </w:r>
      <w:r w:rsidRPr="007D5F52">
        <w:rPr>
          <w:b/>
        </w:rPr>
        <w:t xml:space="preserve">drug </w:t>
      </w:r>
      <w:r w:rsidR="0049535A" w:rsidRPr="007D5F52">
        <w:rPr>
          <w:b/>
        </w:rPr>
        <w:t xml:space="preserve">reactions </w:t>
      </w:r>
      <w:r w:rsidRPr="007D5F52">
        <w:rPr>
          <w:b/>
        </w:rPr>
        <w:t>occurring in patients treated with vericiguat in VICTORIA</w:t>
      </w:r>
      <w:r w:rsidR="0049535A" w:rsidRPr="007D5F52">
        <w:rPr>
          <w:b/>
        </w:rPr>
        <w:t xml:space="preserve"> by System Organ Class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49535A" w:rsidRPr="007D5F52" w14:paraId="56417E93" w14:textId="40DFA0F2" w:rsidTr="003D6FE4">
        <w:tc>
          <w:tcPr>
            <w:tcW w:w="3024" w:type="dxa"/>
            <w:shd w:val="clear" w:color="auto" w:fill="auto"/>
            <w:vAlign w:val="center"/>
          </w:tcPr>
          <w:p w14:paraId="1EFEBBD8" w14:textId="0D43A8D1" w:rsidR="0049535A" w:rsidRPr="007D5F52" w:rsidRDefault="0049535A" w:rsidP="006D7754">
            <w:pPr>
              <w:keepNext/>
              <w:spacing w:after="0"/>
              <w:jc w:val="left"/>
              <w:rPr>
                <w:b/>
              </w:rPr>
            </w:pPr>
            <w:r w:rsidRPr="007D5F52">
              <w:rPr>
                <w:b/>
              </w:rPr>
              <w:t>MedDRA</w:t>
            </w:r>
          </w:p>
          <w:p w14:paraId="2D7917F3" w14:textId="39DC249F" w:rsidR="0049535A" w:rsidRPr="007D5F52" w:rsidRDefault="0049535A" w:rsidP="006D7754">
            <w:pPr>
              <w:keepNext/>
              <w:spacing w:after="0"/>
              <w:jc w:val="left"/>
              <w:rPr>
                <w:b/>
              </w:rPr>
            </w:pPr>
            <w:r w:rsidRPr="007D5F52">
              <w:rPr>
                <w:b/>
              </w:rPr>
              <w:t>System Organ Class</w:t>
            </w:r>
          </w:p>
        </w:tc>
        <w:tc>
          <w:tcPr>
            <w:tcW w:w="3024" w:type="dxa"/>
            <w:shd w:val="clear" w:color="auto" w:fill="auto"/>
            <w:vAlign w:val="center"/>
          </w:tcPr>
          <w:p w14:paraId="19988DE3" w14:textId="3A76F846" w:rsidR="0049535A" w:rsidRPr="007D5F52" w:rsidRDefault="0049535A" w:rsidP="006D7754">
            <w:pPr>
              <w:keepNext/>
              <w:spacing w:after="0"/>
              <w:jc w:val="left"/>
              <w:rPr>
                <w:b/>
              </w:rPr>
            </w:pPr>
            <w:r w:rsidRPr="007D5F52">
              <w:rPr>
                <w:b/>
              </w:rPr>
              <w:t>Very common</w:t>
            </w:r>
          </w:p>
        </w:tc>
        <w:tc>
          <w:tcPr>
            <w:tcW w:w="3024" w:type="dxa"/>
            <w:shd w:val="clear" w:color="auto" w:fill="auto"/>
            <w:vAlign w:val="center"/>
          </w:tcPr>
          <w:p w14:paraId="0C87F152" w14:textId="2A8163D5" w:rsidR="0049535A" w:rsidRPr="007D5F52" w:rsidRDefault="0049535A" w:rsidP="006D7754">
            <w:pPr>
              <w:keepNext/>
              <w:spacing w:after="0"/>
              <w:jc w:val="left"/>
              <w:rPr>
                <w:b/>
              </w:rPr>
            </w:pPr>
            <w:r w:rsidRPr="007D5F52">
              <w:rPr>
                <w:b/>
              </w:rPr>
              <w:t>Common</w:t>
            </w:r>
          </w:p>
        </w:tc>
      </w:tr>
      <w:tr w:rsidR="0049535A" w:rsidRPr="007D5F52" w14:paraId="2AF44EA7" w14:textId="252BB27A" w:rsidTr="003D6FE4">
        <w:tc>
          <w:tcPr>
            <w:tcW w:w="3024" w:type="dxa"/>
            <w:shd w:val="clear" w:color="auto" w:fill="auto"/>
            <w:vAlign w:val="center"/>
          </w:tcPr>
          <w:p w14:paraId="29A1B88D" w14:textId="1674AD2C" w:rsidR="0049535A" w:rsidRPr="007D5F52" w:rsidRDefault="0049535A" w:rsidP="006D7754">
            <w:pPr>
              <w:keepNext/>
              <w:spacing w:after="0"/>
              <w:jc w:val="left"/>
              <w:rPr>
                <w:b/>
              </w:rPr>
            </w:pPr>
            <w:r w:rsidRPr="007D5F52">
              <w:rPr>
                <w:b/>
              </w:rPr>
              <w:t>Blood and lymphatic system disorders</w:t>
            </w:r>
          </w:p>
        </w:tc>
        <w:tc>
          <w:tcPr>
            <w:tcW w:w="3024" w:type="dxa"/>
            <w:shd w:val="clear" w:color="auto" w:fill="auto"/>
            <w:vAlign w:val="center"/>
          </w:tcPr>
          <w:p w14:paraId="3C31C952" w14:textId="15242849" w:rsidR="0049535A" w:rsidRPr="007D5F52" w:rsidRDefault="0049535A" w:rsidP="006D7754">
            <w:pPr>
              <w:keepNext/>
              <w:spacing w:after="0"/>
              <w:jc w:val="left"/>
            </w:pPr>
          </w:p>
        </w:tc>
        <w:tc>
          <w:tcPr>
            <w:tcW w:w="3024" w:type="dxa"/>
            <w:shd w:val="clear" w:color="auto" w:fill="auto"/>
            <w:vAlign w:val="center"/>
          </w:tcPr>
          <w:p w14:paraId="5D052F4C" w14:textId="194C74DB" w:rsidR="0049535A" w:rsidRPr="007D5F52" w:rsidRDefault="000578F1" w:rsidP="006D7754">
            <w:pPr>
              <w:keepNext/>
              <w:spacing w:after="0"/>
              <w:jc w:val="left"/>
              <w:rPr>
                <w:vertAlign w:val="superscript"/>
              </w:rPr>
            </w:pPr>
            <w:r w:rsidRPr="007D5F52">
              <w:t>An</w:t>
            </w:r>
            <w:r w:rsidR="0049535A" w:rsidRPr="007D5F52">
              <w:t>emia</w:t>
            </w:r>
            <w:r w:rsidR="007D5F52" w:rsidRPr="007D5F52">
              <w:rPr>
                <w:vertAlign w:val="superscript"/>
              </w:rPr>
              <w:t>1</w:t>
            </w:r>
          </w:p>
        </w:tc>
      </w:tr>
      <w:tr w:rsidR="003D6FE4" w:rsidRPr="007D5F52" w14:paraId="3F0C7AC9" w14:textId="16C2F1C2" w:rsidTr="003D6FE4">
        <w:tc>
          <w:tcPr>
            <w:tcW w:w="3024" w:type="dxa"/>
            <w:shd w:val="clear" w:color="auto" w:fill="auto"/>
            <w:vAlign w:val="center"/>
          </w:tcPr>
          <w:p w14:paraId="01FF38B1" w14:textId="5247082A" w:rsidR="003D6FE4" w:rsidRPr="007D5F52" w:rsidRDefault="003D6FE4" w:rsidP="006D7754">
            <w:pPr>
              <w:keepNext/>
              <w:spacing w:after="0"/>
              <w:jc w:val="left"/>
              <w:rPr>
                <w:b/>
              </w:rPr>
            </w:pPr>
            <w:r w:rsidRPr="007D5F52">
              <w:rPr>
                <w:b/>
              </w:rPr>
              <w:t>Gastrointestinal disorders</w:t>
            </w:r>
          </w:p>
        </w:tc>
        <w:tc>
          <w:tcPr>
            <w:tcW w:w="3024" w:type="dxa"/>
            <w:shd w:val="clear" w:color="auto" w:fill="auto"/>
            <w:vAlign w:val="center"/>
          </w:tcPr>
          <w:p w14:paraId="372E9AEB" w14:textId="0A110A54" w:rsidR="003D6FE4" w:rsidRPr="007D5F52" w:rsidRDefault="003D6FE4" w:rsidP="006D7754">
            <w:pPr>
              <w:keepNext/>
              <w:spacing w:after="0"/>
              <w:jc w:val="left"/>
            </w:pPr>
          </w:p>
        </w:tc>
        <w:tc>
          <w:tcPr>
            <w:tcW w:w="3024" w:type="dxa"/>
            <w:shd w:val="clear" w:color="auto" w:fill="auto"/>
            <w:vAlign w:val="center"/>
          </w:tcPr>
          <w:p w14:paraId="7E0955E1" w14:textId="265CFC8D" w:rsidR="003D6FE4" w:rsidRPr="007D5F52" w:rsidRDefault="003D6FE4" w:rsidP="006D7754">
            <w:pPr>
              <w:keepNext/>
              <w:spacing w:after="0"/>
              <w:jc w:val="left"/>
            </w:pPr>
            <w:r w:rsidRPr="007D5F52">
              <w:t>Nausea</w:t>
            </w:r>
          </w:p>
          <w:p w14:paraId="47308EE6" w14:textId="46E5EE74" w:rsidR="003D6FE4" w:rsidRPr="007D5F52" w:rsidRDefault="003D6FE4" w:rsidP="006D7754">
            <w:pPr>
              <w:keepNext/>
              <w:spacing w:after="0"/>
              <w:jc w:val="left"/>
            </w:pPr>
            <w:r w:rsidRPr="007D5F52">
              <w:t>Dyspepsia</w:t>
            </w:r>
          </w:p>
          <w:p w14:paraId="2CE6F8A1" w14:textId="721ED9F8" w:rsidR="003D6FE4" w:rsidRPr="007D5F52" w:rsidRDefault="003D6FE4" w:rsidP="006D7754">
            <w:pPr>
              <w:keepNext/>
              <w:spacing w:after="0"/>
              <w:ind w:left="160" w:hanging="160"/>
              <w:jc w:val="left"/>
            </w:pPr>
            <w:r w:rsidRPr="007D5F52">
              <w:t>Vomiting</w:t>
            </w:r>
          </w:p>
          <w:p w14:paraId="11FA0131" w14:textId="7D49E429" w:rsidR="003D6FE4" w:rsidRPr="007D5F52" w:rsidRDefault="000578F1" w:rsidP="006D7754">
            <w:pPr>
              <w:keepNext/>
              <w:spacing w:after="0"/>
              <w:jc w:val="left"/>
            </w:pPr>
            <w:r w:rsidRPr="007D5F52">
              <w:t>Gastro</w:t>
            </w:r>
            <w:r w:rsidR="003D6FE4" w:rsidRPr="007D5F52">
              <w:t>esophageal reflux disease</w:t>
            </w:r>
          </w:p>
        </w:tc>
      </w:tr>
      <w:tr w:rsidR="003D6FE4" w:rsidRPr="007D5F52" w14:paraId="1279079C" w14:textId="590739E2" w:rsidTr="003D6FE4">
        <w:tc>
          <w:tcPr>
            <w:tcW w:w="3024" w:type="dxa"/>
            <w:shd w:val="clear" w:color="auto" w:fill="auto"/>
            <w:vAlign w:val="center"/>
          </w:tcPr>
          <w:p w14:paraId="797A208D" w14:textId="4686ED17" w:rsidR="003D6FE4" w:rsidRPr="007D5F52" w:rsidRDefault="003D6FE4" w:rsidP="006D7754">
            <w:pPr>
              <w:keepNext/>
              <w:spacing w:after="0"/>
              <w:jc w:val="left"/>
              <w:rPr>
                <w:b/>
              </w:rPr>
            </w:pPr>
            <w:r w:rsidRPr="007D5F52">
              <w:rPr>
                <w:b/>
              </w:rPr>
              <w:t>Nervous system disorders</w:t>
            </w:r>
          </w:p>
        </w:tc>
        <w:tc>
          <w:tcPr>
            <w:tcW w:w="3024" w:type="dxa"/>
            <w:shd w:val="clear" w:color="auto" w:fill="auto"/>
            <w:vAlign w:val="center"/>
          </w:tcPr>
          <w:p w14:paraId="5D3FB0CA" w14:textId="4142571C" w:rsidR="003D6FE4" w:rsidRPr="007D5F52" w:rsidRDefault="003D6FE4" w:rsidP="006D7754">
            <w:pPr>
              <w:keepNext/>
              <w:spacing w:after="0"/>
              <w:jc w:val="left"/>
            </w:pPr>
          </w:p>
        </w:tc>
        <w:tc>
          <w:tcPr>
            <w:tcW w:w="3024" w:type="dxa"/>
            <w:shd w:val="clear" w:color="auto" w:fill="auto"/>
            <w:vAlign w:val="center"/>
          </w:tcPr>
          <w:p w14:paraId="6F6E210D" w14:textId="164427B1" w:rsidR="003D6FE4" w:rsidRPr="007D5F52" w:rsidRDefault="003D6FE4" w:rsidP="006D7754">
            <w:pPr>
              <w:keepNext/>
              <w:spacing w:after="0"/>
              <w:jc w:val="left"/>
            </w:pPr>
            <w:r w:rsidRPr="007D5F52">
              <w:t>Dizziness</w:t>
            </w:r>
          </w:p>
          <w:p w14:paraId="6EF6F099" w14:textId="2F61E126" w:rsidR="003D6FE4" w:rsidRPr="007D5F52" w:rsidRDefault="003D6FE4" w:rsidP="006D7754">
            <w:pPr>
              <w:keepNext/>
              <w:spacing w:after="0"/>
              <w:jc w:val="left"/>
            </w:pPr>
            <w:r w:rsidRPr="007D5F52">
              <w:t>Headache</w:t>
            </w:r>
          </w:p>
        </w:tc>
      </w:tr>
      <w:tr w:rsidR="003D6FE4" w:rsidRPr="007D5F52" w14:paraId="3F24C9C7" w14:textId="63641317" w:rsidTr="003D6FE4">
        <w:tc>
          <w:tcPr>
            <w:tcW w:w="3024" w:type="dxa"/>
            <w:shd w:val="clear" w:color="auto" w:fill="auto"/>
            <w:vAlign w:val="center"/>
          </w:tcPr>
          <w:p w14:paraId="4825A00C" w14:textId="2D19EAF7" w:rsidR="003D6FE4" w:rsidRPr="007D5F52" w:rsidRDefault="003D6FE4" w:rsidP="006D7754">
            <w:pPr>
              <w:keepNext/>
              <w:spacing w:after="0"/>
              <w:jc w:val="left"/>
              <w:rPr>
                <w:b/>
              </w:rPr>
            </w:pPr>
            <w:r w:rsidRPr="007D5F52">
              <w:rPr>
                <w:b/>
              </w:rPr>
              <w:t>Vascular disorders</w:t>
            </w:r>
          </w:p>
        </w:tc>
        <w:tc>
          <w:tcPr>
            <w:tcW w:w="3024" w:type="dxa"/>
            <w:shd w:val="clear" w:color="auto" w:fill="auto"/>
            <w:vAlign w:val="center"/>
          </w:tcPr>
          <w:p w14:paraId="6679C4EC" w14:textId="30E7E531" w:rsidR="003D6FE4" w:rsidRPr="007D5F52" w:rsidRDefault="003D6FE4" w:rsidP="006D7754">
            <w:pPr>
              <w:keepNext/>
              <w:spacing w:after="0"/>
              <w:jc w:val="left"/>
              <w:rPr>
                <w:vertAlign w:val="superscript"/>
              </w:rPr>
            </w:pPr>
            <w:r w:rsidRPr="007D5F52">
              <w:t>Hypotension</w:t>
            </w:r>
            <w:r w:rsidR="007D5F52" w:rsidRPr="007D5F52">
              <w:rPr>
                <w:vertAlign w:val="superscript"/>
              </w:rPr>
              <w:t>2</w:t>
            </w:r>
          </w:p>
        </w:tc>
        <w:tc>
          <w:tcPr>
            <w:tcW w:w="3024" w:type="dxa"/>
            <w:shd w:val="clear" w:color="auto" w:fill="auto"/>
            <w:vAlign w:val="center"/>
          </w:tcPr>
          <w:p w14:paraId="68848665" w14:textId="4B5051EF" w:rsidR="003D6FE4" w:rsidRPr="007D5F52" w:rsidRDefault="003D6FE4" w:rsidP="006D7754">
            <w:pPr>
              <w:keepNext/>
              <w:spacing w:after="0"/>
              <w:jc w:val="left"/>
            </w:pPr>
          </w:p>
        </w:tc>
      </w:tr>
    </w:tbl>
    <w:p w14:paraId="65DBDCFF" w14:textId="1403B03F" w:rsidR="007D5F52" w:rsidRPr="007D5F52" w:rsidRDefault="007D5F52" w:rsidP="006D7754">
      <w:pPr>
        <w:keepNext/>
        <w:keepLines/>
        <w:spacing w:after="0"/>
        <w:jc w:val="left"/>
        <w:rPr>
          <w:sz w:val="20"/>
        </w:rPr>
      </w:pPr>
      <w:r w:rsidRPr="007D5F52">
        <w:rPr>
          <w:sz w:val="20"/>
          <w:vertAlign w:val="superscript"/>
        </w:rPr>
        <w:t>1</w:t>
      </w:r>
      <w:r w:rsidRPr="007D5F52">
        <w:rPr>
          <w:sz w:val="20"/>
        </w:rPr>
        <w:t xml:space="preserve">Includes: </w:t>
      </w:r>
      <w:proofErr w:type="spellStart"/>
      <w:r w:rsidRPr="007D5F52">
        <w:rPr>
          <w:sz w:val="20"/>
        </w:rPr>
        <w:t>anemia</w:t>
      </w:r>
      <w:proofErr w:type="spellEnd"/>
      <w:r w:rsidRPr="007D5F52">
        <w:rPr>
          <w:sz w:val="20"/>
        </w:rPr>
        <w:t xml:space="preserve">, </w:t>
      </w:r>
      <w:proofErr w:type="spellStart"/>
      <w:r w:rsidRPr="007D5F52">
        <w:rPr>
          <w:sz w:val="20"/>
        </w:rPr>
        <w:t>anemia</w:t>
      </w:r>
      <w:proofErr w:type="spellEnd"/>
      <w:r w:rsidRPr="007D5F52">
        <w:rPr>
          <w:sz w:val="20"/>
        </w:rPr>
        <w:t xml:space="preserve"> macrocytic, </w:t>
      </w:r>
      <w:proofErr w:type="spellStart"/>
      <w:r w:rsidRPr="007D5F52">
        <w:rPr>
          <w:sz w:val="20"/>
        </w:rPr>
        <w:t>anemia</w:t>
      </w:r>
      <w:proofErr w:type="spellEnd"/>
      <w:r w:rsidRPr="007D5F52">
        <w:rPr>
          <w:sz w:val="20"/>
        </w:rPr>
        <w:t xml:space="preserve"> of chronic disease, autoimmune </w:t>
      </w:r>
      <w:proofErr w:type="spellStart"/>
      <w:r w:rsidRPr="007D5F52">
        <w:rPr>
          <w:sz w:val="20"/>
        </w:rPr>
        <w:t>hemolytic</w:t>
      </w:r>
      <w:proofErr w:type="spellEnd"/>
      <w:r w:rsidRPr="007D5F52">
        <w:rPr>
          <w:sz w:val="20"/>
        </w:rPr>
        <w:t xml:space="preserve"> </w:t>
      </w:r>
      <w:proofErr w:type="spellStart"/>
      <w:r w:rsidRPr="007D5F52">
        <w:rPr>
          <w:sz w:val="20"/>
        </w:rPr>
        <w:t>anemia</w:t>
      </w:r>
      <w:proofErr w:type="spellEnd"/>
      <w:r w:rsidRPr="007D5F52">
        <w:rPr>
          <w:sz w:val="20"/>
        </w:rPr>
        <w:t xml:space="preserve">, blood loss </w:t>
      </w:r>
      <w:proofErr w:type="spellStart"/>
      <w:r w:rsidRPr="007D5F52">
        <w:rPr>
          <w:sz w:val="20"/>
        </w:rPr>
        <w:t>anemia</w:t>
      </w:r>
      <w:proofErr w:type="spellEnd"/>
      <w:r w:rsidRPr="007D5F52">
        <w:rPr>
          <w:sz w:val="20"/>
        </w:rPr>
        <w:t xml:space="preserve">, </w:t>
      </w:r>
      <w:proofErr w:type="spellStart"/>
      <w:r w:rsidRPr="007D5F52">
        <w:rPr>
          <w:sz w:val="20"/>
        </w:rPr>
        <w:t>hemolytic</w:t>
      </w:r>
      <w:proofErr w:type="spellEnd"/>
      <w:r w:rsidRPr="007D5F52">
        <w:rPr>
          <w:sz w:val="20"/>
        </w:rPr>
        <w:t xml:space="preserve"> </w:t>
      </w:r>
      <w:proofErr w:type="spellStart"/>
      <w:r w:rsidRPr="007D5F52">
        <w:rPr>
          <w:sz w:val="20"/>
        </w:rPr>
        <w:t>anemia</w:t>
      </w:r>
      <w:proofErr w:type="spellEnd"/>
      <w:r w:rsidRPr="007D5F52">
        <w:rPr>
          <w:sz w:val="20"/>
        </w:rPr>
        <w:t xml:space="preserve">, hypochromic </w:t>
      </w:r>
      <w:proofErr w:type="spellStart"/>
      <w:r w:rsidRPr="007D5F52">
        <w:rPr>
          <w:sz w:val="20"/>
        </w:rPr>
        <w:t>anemia</w:t>
      </w:r>
      <w:proofErr w:type="spellEnd"/>
      <w:r w:rsidRPr="007D5F52">
        <w:rPr>
          <w:sz w:val="20"/>
        </w:rPr>
        <w:t xml:space="preserve">, iron deficiency </w:t>
      </w:r>
      <w:proofErr w:type="spellStart"/>
      <w:r w:rsidRPr="007D5F52">
        <w:rPr>
          <w:sz w:val="20"/>
        </w:rPr>
        <w:t>anemia</w:t>
      </w:r>
      <w:proofErr w:type="spellEnd"/>
      <w:r w:rsidRPr="007D5F52">
        <w:rPr>
          <w:sz w:val="20"/>
        </w:rPr>
        <w:t xml:space="preserve">, microcytic </w:t>
      </w:r>
      <w:proofErr w:type="spellStart"/>
      <w:r w:rsidRPr="007D5F52">
        <w:rPr>
          <w:sz w:val="20"/>
        </w:rPr>
        <w:t>anemia</w:t>
      </w:r>
      <w:proofErr w:type="spellEnd"/>
      <w:r w:rsidRPr="007D5F52">
        <w:rPr>
          <w:sz w:val="20"/>
        </w:rPr>
        <w:t xml:space="preserve">, nephrogenic </w:t>
      </w:r>
      <w:proofErr w:type="spellStart"/>
      <w:r w:rsidRPr="007D5F52">
        <w:rPr>
          <w:sz w:val="20"/>
        </w:rPr>
        <w:t>anemia</w:t>
      </w:r>
      <w:proofErr w:type="spellEnd"/>
      <w:r w:rsidRPr="007D5F52">
        <w:rPr>
          <w:sz w:val="20"/>
        </w:rPr>
        <w:t xml:space="preserve">, normochromic </w:t>
      </w:r>
      <w:proofErr w:type="spellStart"/>
      <w:r w:rsidRPr="007D5F52">
        <w:rPr>
          <w:sz w:val="20"/>
        </w:rPr>
        <w:t>anemia</w:t>
      </w:r>
      <w:proofErr w:type="spellEnd"/>
      <w:r w:rsidRPr="007D5F52">
        <w:rPr>
          <w:sz w:val="20"/>
        </w:rPr>
        <w:t xml:space="preserve">, normochromic normocytic </w:t>
      </w:r>
      <w:proofErr w:type="spellStart"/>
      <w:r w:rsidRPr="007D5F52">
        <w:rPr>
          <w:sz w:val="20"/>
        </w:rPr>
        <w:t>anemia</w:t>
      </w:r>
      <w:proofErr w:type="spellEnd"/>
      <w:r w:rsidRPr="007D5F52">
        <w:rPr>
          <w:sz w:val="20"/>
        </w:rPr>
        <w:t xml:space="preserve">, normocytic </w:t>
      </w:r>
      <w:proofErr w:type="spellStart"/>
      <w:r w:rsidRPr="007D5F52">
        <w:rPr>
          <w:sz w:val="20"/>
        </w:rPr>
        <w:t>anemia</w:t>
      </w:r>
      <w:proofErr w:type="spellEnd"/>
      <w:r w:rsidRPr="007D5F52">
        <w:rPr>
          <w:sz w:val="20"/>
        </w:rPr>
        <w:t xml:space="preserve">, pancytopenia, pernicious </w:t>
      </w:r>
      <w:proofErr w:type="spellStart"/>
      <w:r w:rsidRPr="007D5F52">
        <w:rPr>
          <w:sz w:val="20"/>
        </w:rPr>
        <w:t>anemia</w:t>
      </w:r>
      <w:proofErr w:type="spellEnd"/>
      <w:r w:rsidRPr="007D5F52">
        <w:rPr>
          <w:sz w:val="20"/>
        </w:rPr>
        <w:t xml:space="preserve">, </w:t>
      </w:r>
      <w:proofErr w:type="spellStart"/>
      <w:r w:rsidRPr="007D5F52">
        <w:rPr>
          <w:sz w:val="20"/>
        </w:rPr>
        <w:t>hematocrit</w:t>
      </w:r>
      <w:proofErr w:type="spellEnd"/>
      <w:r w:rsidRPr="007D5F52">
        <w:rPr>
          <w:sz w:val="20"/>
        </w:rPr>
        <w:t xml:space="preserve"> decreased, </w:t>
      </w:r>
      <w:proofErr w:type="spellStart"/>
      <w:r w:rsidRPr="007D5F52">
        <w:rPr>
          <w:sz w:val="20"/>
        </w:rPr>
        <w:t>hemoglobin</w:t>
      </w:r>
      <w:proofErr w:type="spellEnd"/>
      <w:r w:rsidRPr="007D5F52">
        <w:rPr>
          <w:sz w:val="20"/>
        </w:rPr>
        <w:t xml:space="preserve"> decreased, and red blood cell count decreased</w:t>
      </w:r>
    </w:p>
    <w:p w14:paraId="35B6D02D" w14:textId="59EFE87E" w:rsidR="0049535A" w:rsidRDefault="007D5F52" w:rsidP="006D7754">
      <w:pPr>
        <w:keepLines/>
        <w:jc w:val="left"/>
        <w:rPr>
          <w:sz w:val="20"/>
        </w:rPr>
      </w:pPr>
      <w:r w:rsidRPr="007D5F52">
        <w:rPr>
          <w:sz w:val="20"/>
          <w:vertAlign w:val="superscript"/>
        </w:rPr>
        <w:t>2</w:t>
      </w:r>
      <w:r w:rsidRPr="007D5F52">
        <w:rPr>
          <w:sz w:val="20"/>
        </w:rPr>
        <w:t>Includes: blood pressure decreased, blood pressure diastolic decreased, blood pressure systolic decreased, hypotension, and orthostatic hypotension</w:t>
      </w:r>
    </w:p>
    <w:p w14:paraId="5F37359C" w14:textId="1E35CCCE" w:rsidR="002B424E" w:rsidRPr="007D5F52" w:rsidRDefault="002B424E" w:rsidP="006D7754">
      <w:pPr>
        <w:pStyle w:val="Heading3"/>
        <w:jc w:val="left"/>
      </w:pPr>
      <w:r w:rsidRPr="007D5F52">
        <w:t>Reporting suspected adverse effects</w:t>
      </w:r>
    </w:p>
    <w:p w14:paraId="64108925" w14:textId="77777777" w:rsidR="00497C85" w:rsidRPr="007D5F52" w:rsidRDefault="00497C85" w:rsidP="006D7754">
      <w:pPr>
        <w:jc w:val="left"/>
      </w:pPr>
      <w:r w:rsidRPr="007D5F52">
        <w:t>Reporting suspected adverse reactions after registration of the medicinal product is important. It allows continued monitoring of the benefit-risk balance of the medicinal product. Healthcare professionals are asked to report any suspected adverse reactions at</w:t>
      </w:r>
      <w:r w:rsidRPr="007D5F52">
        <w:rPr>
          <w:rFonts w:cstheme="minorHAnsi"/>
        </w:rPr>
        <w:t xml:space="preserve"> </w:t>
      </w:r>
      <w:hyperlink r:id="rId15" w:history="1">
        <w:r w:rsidRPr="007D5F52">
          <w:rPr>
            <w:rStyle w:val="Hyperlink"/>
            <w:rFonts w:cstheme="minorHAnsi"/>
          </w:rPr>
          <w:t>www.tga.gov.au/reporting-problems</w:t>
        </w:r>
      </w:hyperlink>
      <w:r w:rsidRPr="007D5F52">
        <w:t>.</w:t>
      </w:r>
    </w:p>
    <w:p w14:paraId="696A4AB9" w14:textId="77777777" w:rsidR="001A3992" w:rsidRPr="007D5F52" w:rsidRDefault="001A3992" w:rsidP="006D7754">
      <w:pPr>
        <w:pStyle w:val="Heading2"/>
        <w:keepNext/>
        <w:keepLines/>
        <w:spacing w:before="0" w:after="120"/>
        <w:jc w:val="left"/>
        <w:rPr>
          <w:rFonts w:cstheme="minorHAnsi"/>
        </w:rPr>
      </w:pPr>
      <w:r w:rsidRPr="007D5F52">
        <w:rPr>
          <w:rFonts w:cstheme="minorHAnsi"/>
        </w:rPr>
        <w:t>Overdose</w:t>
      </w:r>
    </w:p>
    <w:p w14:paraId="2DC185D5" w14:textId="3B2685D2" w:rsidR="00A1340E" w:rsidRPr="007D5F52" w:rsidRDefault="00A1340E" w:rsidP="006D7754">
      <w:pPr>
        <w:jc w:val="left"/>
      </w:pPr>
      <w:r w:rsidRPr="007D5F52">
        <w:t xml:space="preserve">Limited data are available </w:t>
      </w:r>
      <w:proofErr w:type="gramStart"/>
      <w:r w:rsidRPr="007D5F52">
        <w:t>with regard to</w:t>
      </w:r>
      <w:proofErr w:type="gramEnd"/>
      <w:r w:rsidRPr="007D5F52">
        <w:t xml:space="preserve"> overdosage in human patients treated with VERQUVO</w:t>
      </w:r>
      <w:r w:rsidR="00BB3423" w:rsidRPr="007D5F52">
        <w:t>®</w:t>
      </w:r>
      <w:r w:rsidRPr="007D5F52">
        <w:t xml:space="preserve">. In VICTORIA, doses up to 10 mg </w:t>
      </w:r>
      <w:r w:rsidR="003A1F7F" w:rsidRPr="007D5F52">
        <w:t>were</w:t>
      </w:r>
      <w:r w:rsidRPr="007D5F52">
        <w:t xml:space="preserve"> studied. In a study of patients with preserved ejection fraction heart failure (left ventricular ejection fraction ≥45%), multiple doses of vericiguat </w:t>
      </w:r>
      <w:r w:rsidR="00646EF6" w:rsidRPr="007D5F52">
        <w:t>(</w:t>
      </w:r>
      <w:r w:rsidRPr="007D5F52">
        <w:t>15 mg</w:t>
      </w:r>
      <w:r w:rsidR="00646EF6" w:rsidRPr="007D5F52">
        <w:t>)</w:t>
      </w:r>
      <w:r w:rsidRPr="007D5F52">
        <w:t xml:space="preserve"> </w:t>
      </w:r>
      <w:r w:rsidR="00646EF6" w:rsidRPr="007D5F52">
        <w:t>were</w:t>
      </w:r>
      <w:r w:rsidRPr="007D5F52">
        <w:t xml:space="preserve"> studied and were generally well tolerated. In the event of an overdose, hypot</w:t>
      </w:r>
      <w:r w:rsidR="00646EF6" w:rsidRPr="007D5F52">
        <w:t>ension may result. If necessary, s</w:t>
      </w:r>
      <w:r w:rsidRPr="007D5F52">
        <w:t>ymptomatic treatment should be provided. VERQUVO</w:t>
      </w:r>
      <w:r w:rsidR="00BB3423" w:rsidRPr="007D5F52">
        <w:t>®</w:t>
      </w:r>
      <w:r w:rsidRPr="007D5F52">
        <w:t xml:space="preserve"> is unlikely to be removed by h</w:t>
      </w:r>
      <w:r w:rsidR="00F56BAB" w:rsidRPr="007D5F52">
        <w:t>a</w:t>
      </w:r>
      <w:r w:rsidRPr="007D5F52">
        <w:t xml:space="preserve">emodialysis </w:t>
      </w:r>
      <w:r w:rsidR="00F56BAB" w:rsidRPr="007D5F52">
        <w:t>due to</w:t>
      </w:r>
      <w:r w:rsidRPr="007D5F52">
        <w:t xml:space="preserve"> high protein binding.</w:t>
      </w:r>
    </w:p>
    <w:p w14:paraId="7438020F" w14:textId="77777777" w:rsidR="00497C85" w:rsidRPr="007D5F52" w:rsidRDefault="00497C85" w:rsidP="006D7754">
      <w:pPr>
        <w:jc w:val="left"/>
      </w:pPr>
      <w:r w:rsidRPr="007D5F52">
        <w:t>For information on the management of overdose, contact the Poisons Information Centre on 13 11 26 (Australia).</w:t>
      </w:r>
    </w:p>
    <w:p w14:paraId="23B3F6CE" w14:textId="77777777" w:rsidR="001A3992" w:rsidRPr="007D5F52" w:rsidRDefault="001A3992" w:rsidP="006D7754">
      <w:pPr>
        <w:pStyle w:val="Heading1"/>
        <w:spacing w:before="0" w:after="120"/>
        <w:jc w:val="left"/>
        <w:rPr>
          <w:rFonts w:cstheme="minorHAnsi"/>
        </w:rPr>
      </w:pPr>
      <w:r w:rsidRPr="007D5F52">
        <w:rPr>
          <w:rFonts w:cstheme="minorHAnsi"/>
        </w:rPr>
        <w:t>Pharmacological properties</w:t>
      </w:r>
    </w:p>
    <w:p w14:paraId="4A101254" w14:textId="77777777" w:rsidR="001A3992" w:rsidRPr="007D5F52" w:rsidRDefault="001A3992" w:rsidP="006D7754">
      <w:pPr>
        <w:pStyle w:val="Heading2"/>
        <w:spacing w:before="0" w:after="120"/>
        <w:jc w:val="left"/>
        <w:rPr>
          <w:rFonts w:cstheme="minorHAnsi"/>
        </w:rPr>
      </w:pPr>
      <w:bookmarkStart w:id="17" w:name="_Ref39825432"/>
      <w:r w:rsidRPr="007D5F52">
        <w:rPr>
          <w:rFonts w:cstheme="minorHAnsi"/>
        </w:rPr>
        <w:t>Pharmacodynamic properties</w:t>
      </w:r>
      <w:bookmarkEnd w:id="17"/>
      <w:r w:rsidRPr="007D5F52">
        <w:rPr>
          <w:rFonts w:cstheme="minorHAnsi"/>
        </w:rPr>
        <w:t xml:space="preserve"> </w:t>
      </w:r>
    </w:p>
    <w:p w14:paraId="2F2CE649" w14:textId="31CA6464" w:rsidR="00F56BAB" w:rsidRPr="007D5F52" w:rsidRDefault="00F56BAB" w:rsidP="006D7754">
      <w:pPr>
        <w:pStyle w:val="Heading3"/>
        <w:jc w:val="left"/>
      </w:pPr>
      <w:r w:rsidRPr="007D5F52">
        <w:t>Therapeutic class</w:t>
      </w:r>
    </w:p>
    <w:p w14:paraId="6CCC6B47" w14:textId="32F607F6" w:rsidR="00F56BAB" w:rsidRPr="007D5F52" w:rsidRDefault="00F56BAB" w:rsidP="006D7754">
      <w:pPr>
        <w:jc w:val="left"/>
      </w:pPr>
      <w:r w:rsidRPr="007D5F52">
        <w:t>Soluble guanylate cyclase (</w:t>
      </w:r>
      <w:proofErr w:type="spellStart"/>
      <w:r w:rsidRPr="007D5F52">
        <w:t>sGC</w:t>
      </w:r>
      <w:proofErr w:type="spellEnd"/>
      <w:r w:rsidRPr="007D5F52">
        <w:t>) stimulator.</w:t>
      </w:r>
    </w:p>
    <w:p w14:paraId="659C0405" w14:textId="0D6EC01A" w:rsidR="00B31D11" w:rsidRPr="007D5F52" w:rsidRDefault="00B31D11" w:rsidP="006D7754">
      <w:pPr>
        <w:jc w:val="left"/>
      </w:pPr>
      <w:r w:rsidRPr="007D5F52">
        <w:lastRenderedPageBreak/>
        <w:t>Pharmacothe</w:t>
      </w:r>
      <w:r w:rsidR="003A1F7F" w:rsidRPr="007D5F52">
        <w:t>rapeutic group: Cardiac therapy,</w:t>
      </w:r>
      <w:r w:rsidRPr="007D5F52">
        <w:t xml:space="preserve"> ATC code: C01DX22 vericiguat.</w:t>
      </w:r>
    </w:p>
    <w:p w14:paraId="2D53160D" w14:textId="77777777" w:rsidR="001A3992" w:rsidRPr="007D5F52" w:rsidRDefault="001A3992" w:rsidP="006D7754">
      <w:pPr>
        <w:pStyle w:val="Heading3"/>
        <w:jc w:val="left"/>
      </w:pPr>
      <w:r w:rsidRPr="007D5F52">
        <w:t>Mechanism of action</w:t>
      </w:r>
    </w:p>
    <w:p w14:paraId="6781A937" w14:textId="77BFD781" w:rsidR="00B31D11" w:rsidRPr="007D5F52" w:rsidRDefault="00B31D11" w:rsidP="006D7754">
      <w:pPr>
        <w:jc w:val="left"/>
      </w:pPr>
      <w:r w:rsidRPr="007D5F52">
        <w:t>Vericiguat is a stimulator of soluble guanylate cyclase (</w:t>
      </w:r>
      <w:proofErr w:type="spellStart"/>
      <w:r w:rsidRPr="007D5F52">
        <w:t>sGC</w:t>
      </w:r>
      <w:proofErr w:type="spellEnd"/>
      <w:r w:rsidRPr="007D5F52">
        <w:t xml:space="preserve">). Heart failure is associated with impaired synthesis of nitric oxide (NO) and decreased activity of its receptor, </w:t>
      </w:r>
      <w:proofErr w:type="spellStart"/>
      <w:r w:rsidRPr="007D5F52">
        <w:t>sGC</w:t>
      </w:r>
      <w:proofErr w:type="spellEnd"/>
      <w:r w:rsidRPr="007D5F52">
        <w:t xml:space="preserve">. </w:t>
      </w:r>
      <w:r w:rsidR="00A06B20" w:rsidRPr="007D5F52">
        <w:t xml:space="preserve">Soluble guanylate cyclase </w:t>
      </w:r>
      <w:r w:rsidRPr="007D5F52">
        <w:t>cataly</w:t>
      </w:r>
      <w:r w:rsidR="00A06B20" w:rsidRPr="007D5F52">
        <w:t>s</w:t>
      </w:r>
      <w:r w:rsidRPr="007D5F52">
        <w:t xml:space="preserve">es synthesis of intracellular cyclic guanosine monophosphate (cGMP), an important </w:t>
      </w:r>
      <w:r w:rsidR="00A06B20" w:rsidRPr="007D5F52">
        <w:t>signalling</w:t>
      </w:r>
      <w:r w:rsidRPr="007D5F52">
        <w:t xml:space="preserve"> molecule that regulates critical physiological processes such as cardiac contractility, vascular tone, and cardiac </w:t>
      </w:r>
      <w:r w:rsidR="00A06B20" w:rsidRPr="007D5F52">
        <w:t>remodelling</w:t>
      </w:r>
      <w:r w:rsidRPr="007D5F52">
        <w:t xml:space="preserve">. Deficiency in </w:t>
      </w:r>
      <w:proofErr w:type="spellStart"/>
      <w:r w:rsidRPr="007D5F52">
        <w:t>sGC</w:t>
      </w:r>
      <w:proofErr w:type="spellEnd"/>
      <w:r w:rsidRPr="007D5F52">
        <w:t xml:space="preserve">-derived cGMP contributes to myocardial and vascular dysfunction. Vericiguat restores the relative deficiency in this </w:t>
      </w:r>
      <w:r w:rsidR="00A06B20" w:rsidRPr="007D5F52">
        <w:t>signalling</w:t>
      </w:r>
      <w:r w:rsidRPr="007D5F52">
        <w:t xml:space="preserve"> pathway by directly stimulating </w:t>
      </w:r>
      <w:proofErr w:type="spellStart"/>
      <w:r w:rsidRPr="007D5F52">
        <w:t>sGC</w:t>
      </w:r>
      <w:proofErr w:type="spellEnd"/>
      <w:r w:rsidRPr="007D5F52">
        <w:t>, independently of and synergistically with NO, to augment the levels of intracellular cGMP, which may improve both myocardial and vascular function. The complementary cardiovascular benefits of vericiguat in heart failure patients are therefore attributed to the active restoration of the deficient NO-</w:t>
      </w:r>
      <w:proofErr w:type="spellStart"/>
      <w:r w:rsidRPr="007D5F52">
        <w:t>sGC</w:t>
      </w:r>
      <w:proofErr w:type="spellEnd"/>
      <w:r w:rsidRPr="007D5F52">
        <w:t>-cGMP pathway driving heart failure progression.</w:t>
      </w:r>
    </w:p>
    <w:p w14:paraId="7445A188" w14:textId="77777777" w:rsidR="00D80F59" w:rsidRPr="007D5F52" w:rsidRDefault="00D80F59" w:rsidP="006D7754">
      <w:pPr>
        <w:pStyle w:val="Heading3"/>
        <w:jc w:val="left"/>
      </w:pPr>
      <w:r w:rsidRPr="007D5F52">
        <w:t>Pharmacodynamic effects</w:t>
      </w:r>
    </w:p>
    <w:p w14:paraId="2E52D698" w14:textId="231B5FA4" w:rsidR="00D80F59" w:rsidRPr="007D5F52" w:rsidRDefault="00D80F59" w:rsidP="006D7754">
      <w:pPr>
        <w:jc w:val="left"/>
      </w:pPr>
      <w:r w:rsidRPr="007D5F52">
        <w:t xml:space="preserve">The pharmacodynamic effects of vericiguat were evaluated after single and multiple dose administrations in healthy subjects and in patients with heart failure and are consistent with the mode of action of an </w:t>
      </w:r>
      <w:proofErr w:type="spellStart"/>
      <w:r w:rsidRPr="007D5F52">
        <w:t>sGC</w:t>
      </w:r>
      <w:proofErr w:type="spellEnd"/>
      <w:r w:rsidRPr="007D5F52">
        <w:t xml:space="preserve"> stimulator resulting in smooth muscle relaxation and vasodilation. Over the course of the VICTORIA study, the mean reduction in systolic blood pressure was approximately 1 to 2 mmHg greater in patients who received </w:t>
      </w:r>
      <w:r w:rsidR="001F73B1" w:rsidRPr="007D5F52">
        <w:t>vericiguat</w:t>
      </w:r>
      <w:r w:rsidRPr="007D5F52">
        <w:t xml:space="preserve"> compared with placebo.</w:t>
      </w:r>
    </w:p>
    <w:p w14:paraId="3AFF462F" w14:textId="27855DBC" w:rsidR="00D80F59" w:rsidRPr="007D5F52" w:rsidRDefault="00D80F59" w:rsidP="006D7754">
      <w:pPr>
        <w:jc w:val="left"/>
      </w:pPr>
      <w:r w:rsidRPr="007D5F52">
        <w:t>In a 12-week placebo-controlled dose-finding study (SOCRATES-REDUCED) in patients with heart failure, vericiguat demonstrated a dose-dependent reduction in NT-</w:t>
      </w:r>
      <w:proofErr w:type="spellStart"/>
      <w:r w:rsidRPr="007D5F52">
        <w:t>proBNP</w:t>
      </w:r>
      <w:proofErr w:type="spellEnd"/>
      <w:r w:rsidRPr="007D5F52">
        <w:t>, a biomarker in heart failure, compared to placebo when added to standard of care. In VICTORIA, the estimated reduction from baseline NT-</w:t>
      </w:r>
      <w:proofErr w:type="spellStart"/>
      <w:r w:rsidRPr="007D5F52">
        <w:t>proBNP</w:t>
      </w:r>
      <w:proofErr w:type="spellEnd"/>
      <w:r w:rsidRPr="007D5F52">
        <w:t xml:space="preserve"> at week 32 was greater in patients who received </w:t>
      </w:r>
      <w:r w:rsidR="001F73B1" w:rsidRPr="007D5F52">
        <w:t>vericiguat</w:t>
      </w:r>
      <w:r w:rsidRPr="007D5F52">
        <w:t xml:space="preserve"> compared with placebo </w:t>
      </w:r>
      <w:r w:rsidR="00C77DCD" w:rsidRPr="007D5F52">
        <w:t xml:space="preserve">(see Section </w:t>
      </w:r>
      <w:r w:rsidR="00C77DCD" w:rsidRPr="007D5F52">
        <w:fldChar w:fldCharType="begin"/>
      </w:r>
      <w:r w:rsidR="00C77DCD" w:rsidRPr="007D5F52">
        <w:instrText xml:space="preserve"> REF _Ref39825432 \r \h </w:instrText>
      </w:r>
      <w:r w:rsidR="006662A4">
        <w:instrText xml:space="preserve"> \* MERGEFORMAT </w:instrText>
      </w:r>
      <w:r w:rsidR="00C77DCD" w:rsidRPr="007D5F52">
        <w:fldChar w:fldCharType="separate"/>
      </w:r>
      <w:r w:rsidR="00315B56">
        <w:t>5.1</w:t>
      </w:r>
      <w:r w:rsidR="00C77DCD" w:rsidRPr="007D5F52">
        <w:fldChar w:fldCharType="end"/>
      </w:r>
      <w:r w:rsidR="00C77DCD" w:rsidRPr="007D5F52">
        <w:t xml:space="preserve"> </w:t>
      </w:r>
      <w:r w:rsidR="00C77DCD" w:rsidRPr="007D5F52">
        <w:fldChar w:fldCharType="begin"/>
      </w:r>
      <w:r w:rsidR="00C77DCD" w:rsidRPr="007D5F52">
        <w:instrText xml:space="preserve"> REF _Ref39825432 \h </w:instrText>
      </w:r>
      <w:r w:rsidR="006662A4">
        <w:instrText xml:space="preserve"> \* MERGEFORMAT </w:instrText>
      </w:r>
      <w:r w:rsidR="00C77DCD" w:rsidRPr="007D5F52">
        <w:fldChar w:fldCharType="separate"/>
      </w:r>
      <w:r w:rsidR="00315B56" w:rsidRPr="007D5F52">
        <w:rPr>
          <w:rFonts w:cstheme="minorHAnsi"/>
        </w:rPr>
        <w:t>Pharmacodynamic properties</w:t>
      </w:r>
      <w:r w:rsidR="00C77DCD" w:rsidRPr="007D5F52">
        <w:fldChar w:fldCharType="end"/>
      </w:r>
      <w:r w:rsidR="00C77DCD" w:rsidRPr="007D5F52">
        <w:t xml:space="preserve"> – </w:t>
      </w:r>
      <w:r w:rsidR="00C77DCD" w:rsidRPr="007D5F52">
        <w:fldChar w:fldCharType="begin"/>
      </w:r>
      <w:r w:rsidR="00C77DCD" w:rsidRPr="007D5F52">
        <w:instrText xml:space="preserve"> REF _Ref39825437 \h </w:instrText>
      </w:r>
      <w:r w:rsidR="006662A4">
        <w:instrText xml:space="preserve"> \* MERGEFORMAT </w:instrText>
      </w:r>
      <w:r w:rsidR="00C77DCD" w:rsidRPr="007D5F52">
        <w:fldChar w:fldCharType="separate"/>
      </w:r>
      <w:r w:rsidR="00315B56" w:rsidRPr="007D5F52">
        <w:t>Clinical trials</w:t>
      </w:r>
      <w:r w:rsidR="00C77DCD" w:rsidRPr="007D5F52">
        <w:fldChar w:fldCharType="end"/>
      </w:r>
      <w:r w:rsidR="00C77DCD" w:rsidRPr="007D5F52">
        <w:t>).</w:t>
      </w:r>
    </w:p>
    <w:p w14:paraId="6E343F0E" w14:textId="77777777" w:rsidR="00D80F59" w:rsidRPr="007D5F52" w:rsidRDefault="00D80F59" w:rsidP="006D7754">
      <w:pPr>
        <w:pStyle w:val="Heading4"/>
        <w:jc w:val="left"/>
      </w:pPr>
      <w:r w:rsidRPr="007D5F52">
        <w:t>Cardiac Electrophysiology</w:t>
      </w:r>
    </w:p>
    <w:p w14:paraId="6563EEF3" w14:textId="00C6DB7A" w:rsidR="00D80F59" w:rsidRDefault="00D80F59" w:rsidP="006D7754">
      <w:pPr>
        <w:jc w:val="left"/>
      </w:pPr>
      <w:r w:rsidRPr="007D5F52">
        <w:t xml:space="preserve">In a dedicated QT study in patients with stable coronary artery disease, administration of vericiguat 10 mg at </w:t>
      </w:r>
      <w:proofErr w:type="gramStart"/>
      <w:r w:rsidRPr="007D5F52">
        <w:t>steady-state</w:t>
      </w:r>
      <w:proofErr w:type="gramEnd"/>
      <w:r w:rsidRPr="007D5F52">
        <w:t xml:space="preserve"> did not prolong the QT interval to a clinically relevant extent, i.e. the maximum mean prolongation of the </w:t>
      </w:r>
      <w:proofErr w:type="spellStart"/>
      <w:r w:rsidRPr="007D5F52">
        <w:t>QTcF</w:t>
      </w:r>
      <w:proofErr w:type="spellEnd"/>
      <w:r w:rsidRPr="007D5F52">
        <w:t xml:space="preserve"> interval did not exceed 6 </w:t>
      </w:r>
      <w:proofErr w:type="spellStart"/>
      <w:r w:rsidRPr="007D5F52">
        <w:t>ms</w:t>
      </w:r>
      <w:proofErr w:type="spellEnd"/>
      <w:r w:rsidRPr="007D5F52">
        <w:t xml:space="preserve"> (upper bound of the 90%CI &lt;10 </w:t>
      </w:r>
      <w:proofErr w:type="spellStart"/>
      <w:r w:rsidRPr="007D5F52">
        <w:t>ms</w:t>
      </w:r>
      <w:proofErr w:type="spellEnd"/>
      <w:r w:rsidRPr="007D5F52">
        <w:t>).</w:t>
      </w:r>
    </w:p>
    <w:p w14:paraId="45D2CBA6" w14:textId="1FBA62A3" w:rsidR="001A3992" w:rsidRPr="007D5F52" w:rsidRDefault="001A3992" w:rsidP="006D7754">
      <w:pPr>
        <w:pStyle w:val="Heading3"/>
        <w:jc w:val="left"/>
      </w:pPr>
      <w:bookmarkStart w:id="18" w:name="_Ref39825437"/>
      <w:bookmarkStart w:id="19" w:name="_Ref40620692"/>
      <w:r w:rsidRPr="007D5F52">
        <w:t>Clinical trials</w:t>
      </w:r>
      <w:bookmarkEnd w:id="18"/>
      <w:bookmarkEnd w:id="19"/>
    </w:p>
    <w:p w14:paraId="540179FB" w14:textId="06FBC1C3" w:rsidR="004C7A64" w:rsidRPr="007D5F52" w:rsidRDefault="004C7A64" w:rsidP="006D7754">
      <w:pPr>
        <w:jc w:val="left"/>
      </w:pPr>
      <w:r w:rsidRPr="007D5F52">
        <w:t>The safety and efficacy of vericiguat were evaluated in a randomised, parallel-group, placebo-controlled, double-blind, event-driven, multi-</w:t>
      </w:r>
      <w:r w:rsidR="00A06B20" w:rsidRPr="007D5F52">
        <w:t>centre</w:t>
      </w:r>
      <w:r w:rsidRPr="007D5F52">
        <w:t xml:space="preserve"> trial (VICTORIA) comparing vericiguat and placebo in 5,050 adult patients with symptomatic chronic heart failure (NYHA class II–IV) and left ventricular ejection fraction (LVEF) less than 45% following a worsening heart failure event. A worsening chronic heart failure event was defined as heart failure hospitalisation within 6 months before randomisation or use of outpatient IV diuretics for heart failure within 3 months before randomisation.</w:t>
      </w:r>
    </w:p>
    <w:p w14:paraId="4E0E0264" w14:textId="76C096F9" w:rsidR="004C7A64" w:rsidRPr="007D5F52" w:rsidRDefault="004C7A64" w:rsidP="006D7754">
      <w:pPr>
        <w:jc w:val="left"/>
      </w:pPr>
      <w:r w:rsidRPr="007D5F52">
        <w:t xml:space="preserve">Patients were treated up to the target maintenance dose of vericiguat 10 mg once daily or matching placebo in combination with other heart failure therapies. Therapy was initiated at 2.5 mg vericiguat once daily and increased in approximately </w:t>
      </w:r>
      <w:proofErr w:type="gramStart"/>
      <w:r w:rsidRPr="007D5F52">
        <w:t>2 week</w:t>
      </w:r>
      <w:proofErr w:type="gramEnd"/>
      <w:r w:rsidRPr="007D5F52">
        <w:t xml:space="preserve"> intervals to 5 mg once daily and then 10 mg once </w:t>
      </w:r>
      <w:r w:rsidRPr="007D5F52">
        <w:lastRenderedPageBreak/>
        <w:t>daily, as tolerated. After approximately 1 year, 90% of patients in both the vericiguat and placebo arms were treated with the 10 mg target dose.</w:t>
      </w:r>
    </w:p>
    <w:p w14:paraId="37395317" w14:textId="2472142D" w:rsidR="004C7A64" w:rsidRPr="007D5F52" w:rsidRDefault="004C7A64" w:rsidP="006D7754">
      <w:pPr>
        <w:jc w:val="left"/>
      </w:pPr>
      <w:r w:rsidRPr="007D5F52">
        <w:t xml:space="preserve">The primary endpoint was the time to first event of the composite of cardiovascular (CV) death or hospitalisation for heart failure (HF). The median </w:t>
      </w:r>
      <w:proofErr w:type="gramStart"/>
      <w:r w:rsidRPr="007D5F52">
        <w:t>follow</w:t>
      </w:r>
      <w:proofErr w:type="gramEnd"/>
      <w:r w:rsidRPr="007D5F52">
        <w:t xml:space="preserve"> up for the primary endpoint was 11 months. Patients on vericiguat were treated for a mean duration of 1 year and up to 2.6 years.</w:t>
      </w:r>
    </w:p>
    <w:p w14:paraId="77F2A6ED" w14:textId="1EDF4CC5" w:rsidR="004C7A64" w:rsidRPr="007D5F52" w:rsidRDefault="004C7A64" w:rsidP="006D7754">
      <w:pPr>
        <w:jc w:val="left"/>
      </w:pPr>
      <w:r w:rsidRPr="007D5F52">
        <w:t xml:space="preserve">The mean age of the studied population was 67 years, a total of 1,596 (63%) patients treated with </w:t>
      </w:r>
      <w:r w:rsidR="004427EF" w:rsidRPr="007D5F52">
        <w:t>vericiguat</w:t>
      </w:r>
      <w:r w:rsidRPr="007D5F52">
        <w:t xml:space="preserve"> were 65 years and older, and 783 (31%) patients treated with </w:t>
      </w:r>
      <w:r w:rsidR="004427EF" w:rsidRPr="007D5F52">
        <w:t xml:space="preserve">vericiguat </w:t>
      </w:r>
      <w:r w:rsidRPr="007D5F52">
        <w:t>were 75 years and older. At randomisation, 58.9% of patients were NYHA Class II, 39.7% were NYHA Class III, and 1.3% were NYHA Class IV. The mean LVEF was 28.9%, approximately half of all patients had an LVEF &lt;30%, and 14.3% of patients had an LVEF between 40% and 45%. The most frequently reported medical history conditions other than heart failure included hypertension (79%), coronary artery disease (58%), hyperlipidaemia (57%), diabetes mellitus (47%), atrial fibrillation (45%), and myocardial infarction (42%). At randomisation, the mean eGFR was 62 mL/min/1.73 m</w:t>
      </w:r>
      <w:r w:rsidRPr="007D5F52">
        <w:rPr>
          <w:vertAlign w:val="superscript"/>
        </w:rPr>
        <w:t>2</w:t>
      </w:r>
      <w:r w:rsidRPr="007D5F52">
        <w:t xml:space="preserve"> (88% of patients &gt;30 mL/min/1.73 m</w:t>
      </w:r>
      <w:r w:rsidRPr="007D5F52">
        <w:rPr>
          <w:vertAlign w:val="superscript"/>
        </w:rPr>
        <w:t>2</w:t>
      </w:r>
      <w:r w:rsidRPr="007D5F52">
        <w:t>; 10% of patients ≤30 mL/min/1.73 m</w:t>
      </w:r>
      <w:r w:rsidRPr="007D5F52">
        <w:rPr>
          <w:vertAlign w:val="superscript"/>
        </w:rPr>
        <w:t>2</w:t>
      </w:r>
      <w:r w:rsidRPr="007D5F52">
        <w:t xml:space="preserve">). 67% of the patients in VICTORIA were enrolled within 3 months of a HF hospitalisation index event; 17% were enrolled within 3 to 6 months of HF hospitalisation and 16% were enrolled within 3 months of outpatient treatment with IV diuretics for worsening HF. The median NT </w:t>
      </w:r>
      <w:proofErr w:type="spellStart"/>
      <w:r w:rsidRPr="007D5F52">
        <w:t>proBNP</w:t>
      </w:r>
      <w:proofErr w:type="spellEnd"/>
      <w:r w:rsidRPr="007D5F52">
        <w:t xml:space="preserve"> level was 2,816 </w:t>
      </w:r>
      <w:proofErr w:type="spellStart"/>
      <w:r w:rsidRPr="007D5F52">
        <w:t>pg</w:t>
      </w:r>
      <w:proofErr w:type="spellEnd"/>
      <w:r w:rsidRPr="007D5F52">
        <w:t>/mL at randomisation.</w:t>
      </w:r>
    </w:p>
    <w:p w14:paraId="5A181484" w14:textId="7C74A464" w:rsidR="004C7A64" w:rsidRPr="007D5F52" w:rsidRDefault="004C7A64" w:rsidP="006D7754">
      <w:pPr>
        <w:jc w:val="left"/>
      </w:pPr>
      <w:r w:rsidRPr="007D5F52">
        <w:t xml:space="preserve">At baseline, more than 99% of patients were treated with other heart failure therapies which included beta blockers (93%), angiotensin-converting enzyme (ACE) inhibitors or angiotensin II receptor blockers (ARB) (73%), mineralocorticoid receptor antagonists (MRA) (70%), a combination of an angiotensin receptor and </w:t>
      </w:r>
      <w:proofErr w:type="spellStart"/>
      <w:r w:rsidRPr="007D5F52">
        <w:t>neprilysin</w:t>
      </w:r>
      <w:proofErr w:type="spellEnd"/>
      <w:r w:rsidRPr="007D5F52">
        <w:t xml:space="preserve"> inhibitor (ARNI) (15%), ivabradine (6%), implantable cardiac defibrillators (28%), and biventricular pacemakers (15%). 91% of patients were treated with 2 or more heart failure medications (beta blocker, any renin-angiotensin system [RAS] inhibitor, or MRA) and 60% of patients were treated with all 3. 3% of patients were on a sodium glucose co transporter 2 (SGLT2) </w:t>
      </w:r>
      <w:proofErr w:type="gramStart"/>
      <w:r w:rsidRPr="007D5F52">
        <w:t>inhibitor</w:t>
      </w:r>
      <w:proofErr w:type="gramEnd"/>
      <w:r w:rsidRPr="007D5F52">
        <w:t>.</w:t>
      </w:r>
    </w:p>
    <w:p w14:paraId="1B956448" w14:textId="5D75AB3C" w:rsidR="00C87E4B" w:rsidRPr="007D5F52" w:rsidRDefault="004C7A64" w:rsidP="006D7754">
      <w:pPr>
        <w:jc w:val="left"/>
      </w:pPr>
      <w:r w:rsidRPr="007D5F52">
        <w:t xml:space="preserve">Vericiguat was superior to placebo in reducing the risk of CV death or HF hospitalisation based on a time to event analysis (hazard ratio [HR]: 0.90, 95% confidence interval [CI], 0.82 0.98; p=0.019). Over the course of the study, the annualised absolute risk reduction (ARR) was 4.2% with vericiguat compared with placebo. Therefore, 24 patients would need to be treated over an average of 1 year to prevent 1 primary endpoint event. The treatment effect reflected a reduction in both CV death and HF hospitalisation (see </w:t>
      </w:r>
      <w:r w:rsidRPr="007D5F52">
        <w:fldChar w:fldCharType="begin"/>
      </w:r>
      <w:r w:rsidRPr="007D5F52">
        <w:instrText xml:space="preserve"> REF _Ref39823714 \h  \* MERGEFORMAT </w:instrText>
      </w:r>
      <w:r w:rsidRPr="007D5F52">
        <w:fldChar w:fldCharType="separate"/>
      </w:r>
      <w:r w:rsidR="00315B56" w:rsidRPr="00AD5FE7">
        <w:t xml:space="preserve">Table </w:t>
      </w:r>
      <w:r w:rsidR="00315B56" w:rsidRPr="00AD5FE7">
        <w:rPr>
          <w:noProof/>
        </w:rPr>
        <w:t>3</w:t>
      </w:r>
      <w:r w:rsidRPr="007D5F52">
        <w:fldChar w:fldCharType="end"/>
      </w:r>
      <w:r w:rsidRPr="007D5F52">
        <w:t xml:space="preserve"> and </w:t>
      </w:r>
      <w:r w:rsidRPr="007D5F52">
        <w:fldChar w:fldCharType="begin"/>
      </w:r>
      <w:r w:rsidRPr="007D5F52">
        <w:instrText xml:space="preserve"> REF _Ref39823756 \h  \* MERGEFORMAT </w:instrText>
      </w:r>
      <w:r w:rsidRPr="007D5F52">
        <w:fldChar w:fldCharType="separate"/>
      </w:r>
      <w:r w:rsidR="00315B56" w:rsidRPr="00AD5FE7">
        <w:t xml:space="preserve">Figure </w:t>
      </w:r>
      <w:r w:rsidR="00315B56" w:rsidRPr="00AD5FE7">
        <w:rPr>
          <w:noProof/>
        </w:rPr>
        <w:t>1</w:t>
      </w:r>
      <w:r w:rsidRPr="007D5F52">
        <w:fldChar w:fldCharType="end"/>
      </w:r>
      <w:r w:rsidRPr="007D5F52">
        <w:t>).</w:t>
      </w:r>
    </w:p>
    <w:p w14:paraId="4D34DCB9" w14:textId="5792A629" w:rsidR="00C87E4B" w:rsidRPr="007D5F52" w:rsidRDefault="006F2727" w:rsidP="006D7754">
      <w:pPr>
        <w:keepNext/>
        <w:jc w:val="left"/>
        <w:rPr>
          <w:b/>
        </w:rPr>
      </w:pPr>
      <w:bookmarkStart w:id="20" w:name="_Ref39823714"/>
      <w:r w:rsidRPr="007D5F52">
        <w:rPr>
          <w:b/>
        </w:rPr>
        <w:lastRenderedPageBreak/>
        <w:t xml:space="preserve">Table </w:t>
      </w:r>
      <w:r w:rsidRPr="007D5F52">
        <w:rPr>
          <w:b/>
        </w:rPr>
        <w:fldChar w:fldCharType="begin"/>
      </w:r>
      <w:r w:rsidRPr="007D5F52">
        <w:rPr>
          <w:b/>
        </w:rPr>
        <w:instrText xml:space="preserve"> SEQ Table \* ARABIC </w:instrText>
      </w:r>
      <w:r w:rsidRPr="007D5F52">
        <w:rPr>
          <w:b/>
        </w:rPr>
        <w:fldChar w:fldCharType="separate"/>
      </w:r>
      <w:r w:rsidR="00315B56">
        <w:rPr>
          <w:b/>
          <w:noProof/>
        </w:rPr>
        <w:t>3</w:t>
      </w:r>
      <w:r w:rsidRPr="007D5F52">
        <w:rPr>
          <w:b/>
        </w:rPr>
        <w:fldChar w:fldCharType="end"/>
      </w:r>
      <w:bookmarkEnd w:id="20"/>
      <w:r w:rsidR="00C87E4B" w:rsidRPr="007D5F52">
        <w:rPr>
          <w:b/>
        </w:rPr>
        <w:t xml:space="preserve">: </w:t>
      </w:r>
      <w:r w:rsidR="004427EF" w:rsidRPr="007D5F52">
        <w:rPr>
          <w:b/>
        </w:rPr>
        <w:t>Treatment effect for the primary composite endpoint, its components, and the secondary endpoints of CV death and HF hospitali</w:t>
      </w:r>
      <w:r w:rsidR="007902F9" w:rsidRPr="007D5F52">
        <w:rPr>
          <w:b/>
        </w:rPr>
        <w:t>s</w:t>
      </w:r>
      <w:r w:rsidR="004427EF" w:rsidRPr="007D5F52">
        <w:rPr>
          <w:b/>
        </w:rPr>
        <w:t>ation</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810"/>
        <w:gridCol w:w="900"/>
        <w:gridCol w:w="810"/>
        <w:gridCol w:w="900"/>
        <w:gridCol w:w="1440"/>
        <w:gridCol w:w="990"/>
        <w:gridCol w:w="1260"/>
      </w:tblGrid>
      <w:tr w:rsidR="005E66DA" w:rsidRPr="007D5F52" w14:paraId="29AE6A8D" w14:textId="77777777" w:rsidTr="000578F1">
        <w:tc>
          <w:tcPr>
            <w:tcW w:w="1998" w:type="dxa"/>
            <w:vMerge w:val="restart"/>
            <w:shd w:val="clear" w:color="auto" w:fill="auto"/>
          </w:tcPr>
          <w:p w14:paraId="31CD76BB" w14:textId="77777777" w:rsidR="005E66DA" w:rsidRPr="007D5F52" w:rsidRDefault="005E66DA" w:rsidP="006D7754">
            <w:pPr>
              <w:keepNext/>
              <w:spacing w:after="0" w:line="240" w:lineRule="auto"/>
              <w:jc w:val="left"/>
              <w:rPr>
                <w:b/>
                <w:sz w:val="20"/>
              </w:rPr>
            </w:pPr>
          </w:p>
        </w:tc>
        <w:tc>
          <w:tcPr>
            <w:tcW w:w="1710" w:type="dxa"/>
            <w:gridSpan w:val="2"/>
            <w:shd w:val="clear" w:color="auto" w:fill="auto"/>
            <w:vAlign w:val="center"/>
          </w:tcPr>
          <w:p w14:paraId="3250B994" w14:textId="43021E7A" w:rsidR="005E66DA" w:rsidRPr="007D5F52" w:rsidRDefault="005E66DA" w:rsidP="006D7754">
            <w:pPr>
              <w:keepNext/>
              <w:spacing w:after="0" w:line="240" w:lineRule="auto"/>
              <w:jc w:val="left"/>
              <w:rPr>
                <w:b/>
                <w:sz w:val="20"/>
              </w:rPr>
            </w:pPr>
            <w:r w:rsidRPr="007D5F52">
              <w:rPr>
                <w:b/>
                <w:sz w:val="20"/>
              </w:rPr>
              <w:t>Vericiguat</w:t>
            </w:r>
          </w:p>
          <w:p w14:paraId="5DEC2DD8" w14:textId="77777777" w:rsidR="005E66DA" w:rsidRPr="007D5F52" w:rsidRDefault="005E66DA" w:rsidP="006D7754">
            <w:pPr>
              <w:keepNext/>
              <w:spacing w:after="0" w:line="240" w:lineRule="auto"/>
              <w:jc w:val="left"/>
              <w:rPr>
                <w:b/>
                <w:sz w:val="20"/>
              </w:rPr>
            </w:pPr>
            <w:r w:rsidRPr="007D5F52">
              <w:rPr>
                <w:b/>
                <w:sz w:val="20"/>
              </w:rPr>
              <w:t>N=2,526</w:t>
            </w:r>
          </w:p>
        </w:tc>
        <w:tc>
          <w:tcPr>
            <w:tcW w:w="1710" w:type="dxa"/>
            <w:gridSpan w:val="2"/>
            <w:shd w:val="clear" w:color="auto" w:fill="auto"/>
            <w:vAlign w:val="center"/>
          </w:tcPr>
          <w:p w14:paraId="48A79175" w14:textId="77777777" w:rsidR="005E66DA" w:rsidRPr="007D5F52" w:rsidRDefault="005E66DA" w:rsidP="006D7754">
            <w:pPr>
              <w:keepNext/>
              <w:spacing w:after="0" w:line="240" w:lineRule="auto"/>
              <w:jc w:val="left"/>
              <w:rPr>
                <w:b/>
                <w:sz w:val="20"/>
              </w:rPr>
            </w:pPr>
            <w:r w:rsidRPr="007D5F52">
              <w:rPr>
                <w:b/>
                <w:sz w:val="20"/>
              </w:rPr>
              <w:t>Placebo</w:t>
            </w:r>
          </w:p>
          <w:p w14:paraId="5F84151C" w14:textId="77777777" w:rsidR="005E66DA" w:rsidRPr="007D5F52" w:rsidRDefault="005E66DA" w:rsidP="006D7754">
            <w:pPr>
              <w:keepNext/>
              <w:spacing w:after="0" w:line="240" w:lineRule="auto"/>
              <w:jc w:val="left"/>
              <w:rPr>
                <w:b/>
                <w:sz w:val="20"/>
              </w:rPr>
            </w:pPr>
            <w:r w:rsidRPr="007D5F52">
              <w:rPr>
                <w:b/>
                <w:sz w:val="20"/>
              </w:rPr>
              <w:t>N=2,524</w:t>
            </w:r>
          </w:p>
        </w:tc>
        <w:tc>
          <w:tcPr>
            <w:tcW w:w="3690" w:type="dxa"/>
            <w:gridSpan w:val="3"/>
            <w:shd w:val="clear" w:color="auto" w:fill="auto"/>
            <w:vAlign w:val="center"/>
          </w:tcPr>
          <w:p w14:paraId="692ACAAE" w14:textId="77777777" w:rsidR="005E66DA" w:rsidRPr="007D5F52" w:rsidRDefault="005E66DA" w:rsidP="006D7754">
            <w:pPr>
              <w:keepNext/>
              <w:spacing w:after="0" w:line="240" w:lineRule="auto"/>
              <w:jc w:val="left"/>
              <w:rPr>
                <w:b/>
                <w:sz w:val="20"/>
              </w:rPr>
            </w:pPr>
            <w:r w:rsidRPr="007D5F52">
              <w:rPr>
                <w:b/>
                <w:sz w:val="20"/>
              </w:rPr>
              <w:t>Treatment Comparison</w:t>
            </w:r>
          </w:p>
        </w:tc>
      </w:tr>
      <w:tr w:rsidR="005E66DA" w:rsidRPr="007D5F52" w14:paraId="5746BAAA" w14:textId="77777777" w:rsidTr="000578F1">
        <w:tc>
          <w:tcPr>
            <w:tcW w:w="1998" w:type="dxa"/>
            <w:vMerge/>
            <w:tcBorders>
              <w:bottom w:val="single" w:sz="4" w:space="0" w:color="auto"/>
            </w:tcBorders>
            <w:shd w:val="clear" w:color="auto" w:fill="auto"/>
          </w:tcPr>
          <w:p w14:paraId="233A67EF" w14:textId="77777777" w:rsidR="005E66DA" w:rsidRPr="007D5F52" w:rsidRDefault="005E66DA" w:rsidP="006D7754">
            <w:pPr>
              <w:keepNext/>
              <w:spacing w:after="0" w:line="240" w:lineRule="auto"/>
              <w:jc w:val="left"/>
              <w:rPr>
                <w:b/>
                <w:sz w:val="20"/>
              </w:rPr>
            </w:pPr>
          </w:p>
        </w:tc>
        <w:tc>
          <w:tcPr>
            <w:tcW w:w="810" w:type="dxa"/>
            <w:tcBorders>
              <w:bottom w:val="single" w:sz="4" w:space="0" w:color="auto"/>
            </w:tcBorders>
            <w:shd w:val="clear" w:color="auto" w:fill="auto"/>
          </w:tcPr>
          <w:p w14:paraId="12B204F5" w14:textId="77777777" w:rsidR="005E66DA" w:rsidRPr="007D5F52" w:rsidRDefault="005E66DA" w:rsidP="006D7754">
            <w:pPr>
              <w:keepNext/>
              <w:spacing w:after="0" w:line="240" w:lineRule="auto"/>
              <w:jc w:val="left"/>
              <w:rPr>
                <w:b/>
                <w:sz w:val="20"/>
              </w:rPr>
            </w:pPr>
            <w:r w:rsidRPr="007D5F52">
              <w:rPr>
                <w:b/>
                <w:sz w:val="20"/>
              </w:rPr>
              <w:t>n</w:t>
            </w:r>
          </w:p>
          <w:p w14:paraId="5274E945" w14:textId="77777777" w:rsidR="005E66DA" w:rsidRPr="007D5F52" w:rsidRDefault="005E66DA" w:rsidP="006D7754">
            <w:pPr>
              <w:keepNext/>
              <w:spacing w:after="0" w:line="240" w:lineRule="auto"/>
              <w:jc w:val="left"/>
              <w:rPr>
                <w:b/>
                <w:sz w:val="20"/>
              </w:rPr>
            </w:pPr>
            <w:r w:rsidRPr="007D5F52">
              <w:rPr>
                <w:b/>
                <w:sz w:val="20"/>
              </w:rPr>
              <w:t>(%)</w:t>
            </w:r>
          </w:p>
        </w:tc>
        <w:tc>
          <w:tcPr>
            <w:tcW w:w="900" w:type="dxa"/>
            <w:tcBorders>
              <w:bottom w:val="single" w:sz="4" w:space="0" w:color="auto"/>
            </w:tcBorders>
          </w:tcPr>
          <w:p w14:paraId="6A25D3BB" w14:textId="21B9E545" w:rsidR="005E66DA" w:rsidRPr="007D5F52" w:rsidRDefault="005E66DA" w:rsidP="006D7754">
            <w:pPr>
              <w:keepNext/>
              <w:spacing w:after="0" w:line="240" w:lineRule="auto"/>
              <w:jc w:val="left"/>
              <w:rPr>
                <w:b/>
                <w:sz w:val="20"/>
                <w:vertAlign w:val="superscript"/>
              </w:rPr>
            </w:pPr>
            <w:r w:rsidRPr="007D5F52">
              <w:rPr>
                <w:b/>
                <w:sz w:val="20"/>
              </w:rPr>
              <w:t>Annual %</w:t>
            </w:r>
            <w:r w:rsidRPr="007D5F52">
              <w:rPr>
                <w:b/>
                <w:sz w:val="20"/>
                <w:vertAlign w:val="superscript"/>
              </w:rPr>
              <w:t>1</w:t>
            </w:r>
          </w:p>
        </w:tc>
        <w:tc>
          <w:tcPr>
            <w:tcW w:w="810" w:type="dxa"/>
            <w:tcBorders>
              <w:bottom w:val="single" w:sz="4" w:space="0" w:color="auto"/>
            </w:tcBorders>
            <w:shd w:val="clear" w:color="auto" w:fill="auto"/>
          </w:tcPr>
          <w:p w14:paraId="48389AB4" w14:textId="77777777" w:rsidR="005E66DA" w:rsidRPr="007D5F52" w:rsidRDefault="005E66DA" w:rsidP="006D7754">
            <w:pPr>
              <w:keepNext/>
              <w:spacing w:after="0" w:line="240" w:lineRule="auto"/>
              <w:jc w:val="left"/>
              <w:rPr>
                <w:b/>
                <w:sz w:val="20"/>
              </w:rPr>
            </w:pPr>
            <w:r w:rsidRPr="007D5F52">
              <w:rPr>
                <w:b/>
                <w:sz w:val="20"/>
              </w:rPr>
              <w:t>n</w:t>
            </w:r>
          </w:p>
          <w:p w14:paraId="3E93C934" w14:textId="77777777" w:rsidR="005E66DA" w:rsidRPr="007D5F52" w:rsidRDefault="005E66DA" w:rsidP="006D7754">
            <w:pPr>
              <w:keepNext/>
              <w:spacing w:after="0" w:line="240" w:lineRule="auto"/>
              <w:jc w:val="left"/>
              <w:rPr>
                <w:b/>
                <w:sz w:val="20"/>
              </w:rPr>
            </w:pPr>
            <w:r w:rsidRPr="007D5F52">
              <w:rPr>
                <w:b/>
                <w:sz w:val="20"/>
              </w:rPr>
              <w:t>(%)</w:t>
            </w:r>
          </w:p>
        </w:tc>
        <w:tc>
          <w:tcPr>
            <w:tcW w:w="900" w:type="dxa"/>
            <w:tcBorders>
              <w:bottom w:val="single" w:sz="4" w:space="0" w:color="auto"/>
            </w:tcBorders>
          </w:tcPr>
          <w:p w14:paraId="469A9340" w14:textId="28DA5725" w:rsidR="005E66DA" w:rsidRPr="007D5F52" w:rsidRDefault="005E66DA" w:rsidP="006D7754">
            <w:pPr>
              <w:keepNext/>
              <w:spacing w:after="0" w:line="240" w:lineRule="auto"/>
              <w:jc w:val="left"/>
              <w:rPr>
                <w:b/>
                <w:sz w:val="20"/>
                <w:vertAlign w:val="superscript"/>
              </w:rPr>
            </w:pPr>
            <w:r w:rsidRPr="007D5F52">
              <w:rPr>
                <w:b/>
                <w:sz w:val="20"/>
              </w:rPr>
              <w:t>Annual %</w:t>
            </w:r>
            <w:r w:rsidRPr="007D5F52">
              <w:rPr>
                <w:b/>
                <w:sz w:val="20"/>
                <w:vertAlign w:val="superscript"/>
              </w:rPr>
              <w:t>1</w:t>
            </w:r>
          </w:p>
        </w:tc>
        <w:tc>
          <w:tcPr>
            <w:tcW w:w="1440" w:type="dxa"/>
            <w:tcBorders>
              <w:bottom w:val="single" w:sz="4" w:space="0" w:color="auto"/>
            </w:tcBorders>
            <w:shd w:val="clear" w:color="auto" w:fill="auto"/>
            <w:vAlign w:val="center"/>
          </w:tcPr>
          <w:p w14:paraId="330FE368" w14:textId="24BA1DEA" w:rsidR="005E66DA" w:rsidRPr="007D5F52" w:rsidRDefault="005E66DA" w:rsidP="006D7754">
            <w:pPr>
              <w:keepNext/>
              <w:spacing w:after="0" w:line="240" w:lineRule="auto"/>
              <w:jc w:val="left"/>
              <w:rPr>
                <w:b/>
                <w:sz w:val="20"/>
              </w:rPr>
            </w:pPr>
            <w:r w:rsidRPr="007D5F52">
              <w:rPr>
                <w:b/>
                <w:sz w:val="20"/>
              </w:rPr>
              <w:t>Hazard Ratio (95% CI)</w:t>
            </w:r>
            <w:r w:rsidRPr="007D5F52">
              <w:rPr>
                <w:b/>
                <w:sz w:val="20"/>
                <w:vertAlign w:val="superscript"/>
              </w:rPr>
              <w:t>2</w:t>
            </w:r>
          </w:p>
        </w:tc>
        <w:tc>
          <w:tcPr>
            <w:tcW w:w="990" w:type="dxa"/>
            <w:tcBorders>
              <w:bottom w:val="single" w:sz="4" w:space="0" w:color="auto"/>
            </w:tcBorders>
            <w:shd w:val="clear" w:color="auto" w:fill="auto"/>
            <w:vAlign w:val="center"/>
          </w:tcPr>
          <w:p w14:paraId="0393C881" w14:textId="079C6233" w:rsidR="005E66DA" w:rsidRPr="007D5F52" w:rsidRDefault="005E66DA" w:rsidP="006D7754">
            <w:pPr>
              <w:keepNext/>
              <w:spacing w:after="0" w:line="240" w:lineRule="auto"/>
              <w:jc w:val="left"/>
              <w:rPr>
                <w:b/>
                <w:sz w:val="20"/>
              </w:rPr>
            </w:pPr>
            <w:r w:rsidRPr="007D5F52">
              <w:rPr>
                <w:b/>
                <w:sz w:val="20"/>
              </w:rPr>
              <w:t>p-value</w:t>
            </w:r>
            <w:r w:rsidRPr="007D5F52">
              <w:rPr>
                <w:b/>
                <w:sz w:val="20"/>
                <w:vertAlign w:val="superscript"/>
              </w:rPr>
              <w:t>3</w:t>
            </w:r>
          </w:p>
        </w:tc>
        <w:tc>
          <w:tcPr>
            <w:tcW w:w="1260" w:type="dxa"/>
            <w:tcBorders>
              <w:bottom w:val="nil"/>
            </w:tcBorders>
          </w:tcPr>
          <w:p w14:paraId="577FA76C" w14:textId="4A62D5B3" w:rsidR="005E66DA" w:rsidRPr="007D5F52" w:rsidRDefault="005E66DA" w:rsidP="006D7754">
            <w:pPr>
              <w:keepNext/>
              <w:spacing w:after="0" w:line="240" w:lineRule="auto"/>
              <w:jc w:val="left"/>
              <w:rPr>
                <w:b/>
                <w:sz w:val="20"/>
              </w:rPr>
            </w:pPr>
            <w:r w:rsidRPr="007D5F52">
              <w:rPr>
                <w:b/>
                <w:sz w:val="20"/>
              </w:rPr>
              <w:t>Annualised ARR %</w:t>
            </w:r>
            <w:r w:rsidRPr="007D5F52">
              <w:rPr>
                <w:b/>
                <w:sz w:val="20"/>
                <w:vertAlign w:val="superscript"/>
              </w:rPr>
              <w:t>4</w:t>
            </w:r>
          </w:p>
        </w:tc>
      </w:tr>
      <w:tr w:rsidR="005E66DA" w:rsidRPr="007D5F52" w14:paraId="26C77432" w14:textId="77777777" w:rsidTr="000578F1">
        <w:tc>
          <w:tcPr>
            <w:tcW w:w="1998" w:type="dxa"/>
            <w:tcBorders>
              <w:bottom w:val="single" w:sz="4" w:space="0" w:color="auto"/>
              <w:right w:val="nil"/>
            </w:tcBorders>
            <w:shd w:val="clear" w:color="auto" w:fill="auto"/>
          </w:tcPr>
          <w:p w14:paraId="4F740331" w14:textId="77777777" w:rsidR="005E66DA" w:rsidRPr="007D5F52" w:rsidRDefault="005E66DA" w:rsidP="006D7754">
            <w:pPr>
              <w:keepNext/>
              <w:spacing w:after="0" w:line="240" w:lineRule="auto"/>
              <w:jc w:val="left"/>
              <w:rPr>
                <w:b/>
                <w:sz w:val="20"/>
              </w:rPr>
            </w:pPr>
            <w:r w:rsidRPr="007D5F52">
              <w:rPr>
                <w:b/>
                <w:sz w:val="20"/>
              </w:rPr>
              <w:t>Primary endpoint</w:t>
            </w:r>
          </w:p>
        </w:tc>
        <w:tc>
          <w:tcPr>
            <w:tcW w:w="810" w:type="dxa"/>
            <w:tcBorders>
              <w:left w:val="nil"/>
              <w:bottom w:val="single" w:sz="4" w:space="0" w:color="auto"/>
              <w:right w:val="nil"/>
            </w:tcBorders>
            <w:shd w:val="clear" w:color="auto" w:fill="auto"/>
          </w:tcPr>
          <w:p w14:paraId="30AB5D2C" w14:textId="77777777" w:rsidR="005E66DA" w:rsidRPr="007D5F52" w:rsidRDefault="005E66DA" w:rsidP="006D7754">
            <w:pPr>
              <w:keepNext/>
              <w:spacing w:after="0" w:line="240" w:lineRule="auto"/>
              <w:jc w:val="left"/>
              <w:rPr>
                <w:b/>
                <w:sz w:val="20"/>
              </w:rPr>
            </w:pPr>
          </w:p>
        </w:tc>
        <w:tc>
          <w:tcPr>
            <w:tcW w:w="900" w:type="dxa"/>
            <w:tcBorders>
              <w:left w:val="nil"/>
              <w:bottom w:val="single" w:sz="4" w:space="0" w:color="auto"/>
              <w:right w:val="nil"/>
            </w:tcBorders>
          </w:tcPr>
          <w:p w14:paraId="392229D1" w14:textId="77777777" w:rsidR="005E66DA" w:rsidRPr="007D5F52" w:rsidRDefault="005E66DA" w:rsidP="006D7754">
            <w:pPr>
              <w:keepNext/>
              <w:spacing w:after="0" w:line="240" w:lineRule="auto"/>
              <w:jc w:val="left"/>
              <w:rPr>
                <w:b/>
                <w:sz w:val="20"/>
              </w:rPr>
            </w:pPr>
          </w:p>
        </w:tc>
        <w:tc>
          <w:tcPr>
            <w:tcW w:w="810" w:type="dxa"/>
            <w:tcBorders>
              <w:left w:val="nil"/>
              <w:bottom w:val="single" w:sz="4" w:space="0" w:color="auto"/>
              <w:right w:val="nil"/>
            </w:tcBorders>
            <w:shd w:val="clear" w:color="auto" w:fill="auto"/>
          </w:tcPr>
          <w:p w14:paraId="6EAAFFAE" w14:textId="77777777" w:rsidR="005E66DA" w:rsidRPr="007D5F52" w:rsidRDefault="005E66DA" w:rsidP="006D7754">
            <w:pPr>
              <w:keepNext/>
              <w:spacing w:after="0" w:line="240" w:lineRule="auto"/>
              <w:jc w:val="left"/>
              <w:rPr>
                <w:b/>
                <w:sz w:val="20"/>
              </w:rPr>
            </w:pPr>
          </w:p>
        </w:tc>
        <w:tc>
          <w:tcPr>
            <w:tcW w:w="900" w:type="dxa"/>
            <w:tcBorders>
              <w:left w:val="nil"/>
              <w:bottom w:val="single" w:sz="4" w:space="0" w:color="auto"/>
              <w:right w:val="nil"/>
            </w:tcBorders>
          </w:tcPr>
          <w:p w14:paraId="311F9E5D" w14:textId="77777777" w:rsidR="005E66DA" w:rsidRPr="007D5F52" w:rsidRDefault="005E66DA" w:rsidP="006D7754">
            <w:pPr>
              <w:keepNext/>
              <w:spacing w:after="0" w:line="240" w:lineRule="auto"/>
              <w:jc w:val="left"/>
              <w:rPr>
                <w:b/>
                <w:sz w:val="20"/>
              </w:rPr>
            </w:pPr>
          </w:p>
        </w:tc>
        <w:tc>
          <w:tcPr>
            <w:tcW w:w="1440" w:type="dxa"/>
            <w:tcBorders>
              <w:left w:val="nil"/>
              <w:bottom w:val="single" w:sz="4" w:space="0" w:color="auto"/>
              <w:right w:val="nil"/>
            </w:tcBorders>
            <w:shd w:val="clear" w:color="auto" w:fill="auto"/>
          </w:tcPr>
          <w:p w14:paraId="250B1BD8" w14:textId="77777777" w:rsidR="005E66DA" w:rsidRPr="007D5F52" w:rsidRDefault="005E66DA" w:rsidP="006D7754">
            <w:pPr>
              <w:keepNext/>
              <w:spacing w:after="0" w:line="240" w:lineRule="auto"/>
              <w:jc w:val="left"/>
              <w:rPr>
                <w:b/>
                <w:sz w:val="20"/>
              </w:rPr>
            </w:pPr>
          </w:p>
        </w:tc>
        <w:tc>
          <w:tcPr>
            <w:tcW w:w="990" w:type="dxa"/>
            <w:tcBorders>
              <w:left w:val="nil"/>
              <w:bottom w:val="single" w:sz="4" w:space="0" w:color="auto"/>
              <w:right w:val="nil"/>
            </w:tcBorders>
            <w:shd w:val="clear" w:color="auto" w:fill="auto"/>
          </w:tcPr>
          <w:p w14:paraId="363800F1" w14:textId="77777777" w:rsidR="005E66DA" w:rsidRPr="007D5F52" w:rsidRDefault="005E66DA" w:rsidP="006D7754">
            <w:pPr>
              <w:keepNext/>
              <w:spacing w:after="0" w:line="240" w:lineRule="auto"/>
              <w:jc w:val="left"/>
              <w:rPr>
                <w:b/>
                <w:sz w:val="20"/>
              </w:rPr>
            </w:pPr>
          </w:p>
        </w:tc>
        <w:tc>
          <w:tcPr>
            <w:tcW w:w="1260" w:type="dxa"/>
            <w:tcBorders>
              <w:left w:val="nil"/>
              <w:bottom w:val="nil"/>
            </w:tcBorders>
          </w:tcPr>
          <w:p w14:paraId="1D88DE5E" w14:textId="77777777" w:rsidR="005E66DA" w:rsidRPr="007D5F52" w:rsidRDefault="005E66DA" w:rsidP="006D7754">
            <w:pPr>
              <w:keepNext/>
              <w:spacing w:after="0" w:line="240" w:lineRule="auto"/>
              <w:jc w:val="left"/>
              <w:rPr>
                <w:b/>
                <w:sz w:val="20"/>
              </w:rPr>
            </w:pPr>
          </w:p>
        </w:tc>
      </w:tr>
      <w:tr w:rsidR="005E66DA" w:rsidRPr="007D5F52" w14:paraId="1839C93F" w14:textId="77777777" w:rsidTr="000578F1">
        <w:tc>
          <w:tcPr>
            <w:tcW w:w="1998" w:type="dxa"/>
            <w:tcBorders>
              <w:top w:val="single" w:sz="4" w:space="0" w:color="auto"/>
              <w:bottom w:val="nil"/>
            </w:tcBorders>
            <w:shd w:val="clear" w:color="auto" w:fill="auto"/>
          </w:tcPr>
          <w:p w14:paraId="4CC176E8" w14:textId="2FF12E97" w:rsidR="005E66DA" w:rsidRPr="007D5F52" w:rsidRDefault="005E66DA" w:rsidP="006D7754">
            <w:pPr>
              <w:keepNext/>
              <w:spacing w:after="0" w:line="240" w:lineRule="auto"/>
              <w:jc w:val="left"/>
              <w:rPr>
                <w:sz w:val="20"/>
              </w:rPr>
            </w:pPr>
            <w:r w:rsidRPr="007D5F52">
              <w:rPr>
                <w:sz w:val="20"/>
              </w:rPr>
              <w:t>Composite of CV death or HF hospitalisation</w:t>
            </w:r>
            <w:r w:rsidRPr="007D5F52">
              <w:rPr>
                <w:sz w:val="20"/>
                <w:vertAlign w:val="superscript"/>
              </w:rPr>
              <w:t>5</w:t>
            </w:r>
          </w:p>
        </w:tc>
        <w:tc>
          <w:tcPr>
            <w:tcW w:w="810" w:type="dxa"/>
            <w:tcBorders>
              <w:top w:val="single" w:sz="4" w:space="0" w:color="auto"/>
              <w:bottom w:val="nil"/>
            </w:tcBorders>
            <w:shd w:val="clear" w:color="auto" w:fill="auto"/>
          </w:tcPr>
          <w:p w14:paraId="34FB8CD5" w14:textId="77777777" w:rsidR="005E66DA" w:rsidRPr="007D5F52" w:rsidRDefault="005E66DA" w:rsidP="006D7754">
            <w:pPr>
              <w:keepNext/>
              <w:spacing w:after="0" w:line="240" w:lineRule="auto"/>
              <w:jc w:val="left"/>
              <w:rPr>
                <w:sz w:val="20"/>
              </w:rPr>
            </w:pPr>
            <w:r w:rsidRPr="007D5F52">
              <w:rPr>
                <w:sz w:val="20"/>
              </w:rPr>
              <w:t>897 (35.5)</w:t>
            </w:r>
          </w:p>
        </w:tc>
        <w:tc>
          <w:tcPr>
            <w:tcW w:w="900" w:type="dxa"/>
            <w:tcBorders>
              <w:top w:val="single" w:sz="4" w:space="0" w:color="auto"/>
              <w:bottom w:val="nil"/>
            </w:tcBorders>
          </w:tcPr>
          <w:p w14:paraId="31568618" w14:textId="77777777" w:rsidR="005E66DA" w:rsidRPr="007D5F52" w:rsidRDefault="005E66DA" w:rsidP="006D7754">
            <w:pPr>
              <w:keepNext/>
              <w:spacing w:after="0" w:line="240" w:lineRule="auto"/>
              <w:jc w:val="left"/>
              <w:rPr>
                <w:sz w:val="20"/>
              </w:rPr>
            </w:pPr>
            <w:r w:rsidRPr="007D5F52">
              <w:rPr>
                <w:sz w:val="20"/>
              </w:rPr>
              <w:t>33.6</w:t>
            </w:r>
          </w:p>
        </w:tc>
        <w:tc>
          <w:tcPr>
            <w:tcW w:w="810" w:type="dxa"/>
            <w:tcBorders>
              <w:top w:val="single" w:sz="4" w:space="0" w:color="auto"/>
              <w:bottom w:val="nil"/>
            </w:tcBorders>
            <w:shd w:val="clear" w:color="auto" w:fill="auto"/>
          </w:tcPr>
          <w:p w14:paraId="5F6321D4" w14:textId="77777777" w:rsidR="005E66DA" w:rsidRPr="007D5F52" w:rsidRDefault="005E66DA" w:rsidP="006D7754">
            <w:pPr>
              <w:keepNext/>
              <w:spacing w:after="0" w:line="240" w:lineRule="auto"/>
              <w:jc w:val="left"/>
              <w:rPr>
                <w:sz w:val="20"/>
              </w:rPr>
            </w:pPr>
            <w:r w:rsidRPr="007D5F52">
              <w:rPr>
                <w:sz w:val="20"/>
              </w:rPr>
              <w:t>972 (38.5)</w:t>
            </w:r>
          </w:p>
        </w:tc>
        <w:tc>
          <w:tcPr>
            <w:tcW w:w="900" w:type="dxa"/>
            <w:tcBorders>
              <w:top w:val="single" w:sz="4" w:space="0" w:color="auto"/>
              <w:bottom w:val="nil"/>
            </w:tcBorders>
          </w:tcPr>
          <w:p w14:paraId="7915BD6B" w14:textId="77777777" w:rsidR="005E66DA" w:rsidRPr="007D5F52" w:rsidRDefault="005E66DA" w:rsidP="006D7754">
            <w:pPr>
              <w:keepNext/>
              <w:spacing w:after="0" w:line="240" w:lineRule="auto"/>
              <w:jc w:val="left"/>
              <w:rPr>
                <w:sz w:val="20"/>
              </w:rPr>
            </w:pPr>
            <w:r w:rsidRPr="007D5F52">
              <w:rPr>
                <w:sz w:val="20"/>
              </w:rPr>
              <w:t>37.8</w:t>
            </w:r>
          </w:p>
        </w:tc>
        <w:tc>
          <w:tcPr>
            <w:tcW w:w="1440" w:type="dxa"/>
            <w:tcBorders>
              <w:top w:val="single" w:sz="4" w:space="0" w:color="auto"/>
              <w:bottom w:val="nil"/>
            </w:tcBorders>
            <w:shd w:val="clear" w:color="auto" w:fill="auto"/>
          </w:tcPr>
          <w:p w14:paraId="5210B84B" w14:textId="77777777" w:rsidR="005E66DA" w:rsidRPr="007D5F52" w:rsidRDefault="005E66DA" w:rsidP="006D7754">
            <w:pPr>
              <w:keepNext/>
              <w:spacing w:after="0" w:line="240" w:lineRule="auto"/>
              <w:jc w:val="left"/>
              <w:rPr>
                <w:sz w:val="20"/>
              </w:rPr>
            </w:pPr>
            <w:r w:rsidRPr="007D5F52">
              <w:rPr>
                <w:sz w:val="20"/>
              </w:rPr>
              <w:t>0.90</w:t>
            </w:r>
          </w:p>
          <w:p w14:paraId="667AE9FD" w14:textId="77777777" w:rsidR="005E66DA" w:rsidRPr="007D5F52" w:rsidRDefault="005E66DA" w:rsidP="006D7754">
            <w:pPr>
              <w:keepNext/>
              <w:spacing w:after="0" w:line="240" w:lineRule="auto"/>
              <w:jc w:val="left"/>
              <w:rPr>
                <w:sz w:val="20"/>
              </w:rPr>
            </w:pPr>
            <w:r w:rsidRPr="007D5F52">
              <w:rPr>
                <w:sz w:val="20"/>
              </w:rPr>
              <w:t>(0.82, 0.98)</w:t>
            </w:r>
          </w:p>
        </w:tc>
        <w:tc>
          <w:tcPr>
            <w:tcW w:w="990" w:type="dxa"/>
            <w:tcBorders>
              <w:top w:val="single" w:sz="4" w:space="0" w:color="auto"/>
              <w:bottom w:val="nil"/>
            </w:tcBorders>
            <w:shd w:val="clear" w:color="auto" w:fill="auto"/>
          </w:tcPr>
          <w:p w14:paraId="146F7976" w14:textId="77777777" w:rsidR="005E66DA" w:rsidRPr="007D5F52" w:rsidRDefault="005E66DA" w:rsidP="006D7754">
            <w:pPr>
              <w:keepNext/>
              <w:spacing w:after="0" w:line="240" w:lineRule="auto"/>
              <w:jc w:val="left"/>
              <w:rPr>
                <w:sz w:val="20"/>
              </w:rPr>
            </w:pPr>
            <w:r w:rsidRPr="007D5F52">
              <w:rPr>
                <w:sz w:val="20"/>
              </w:rPr>
              <w:t>0.019</w:t>
            </w:r>
          </w:p>
        </w:tc>
        <w:tc>
          <w:tcPr>
            <w:tcW w:w="1260" w:type="dxa"/>
            <w:tcBorders>
              <w:bottom w:val="nil"/>
            </w:tcBorders>
            <w:shd w:val="clear" w:color="auto" w:fill="auto"/>
          </w:tcPr>
          <w:p w14:paraId="13936296" w14:textId="77777777" w:rsidR="005E66DA" w:rsidRPr="007D5F52" w:rsidRDefault="005E66DA" w:rsidP="006D7754">
            <w:pPr>
              <w:keepNext/>
              <w:spacing w:after="0" w:line="240" w:lineRule="auto"/>
              <w:jc w:val="left"/>
              <w:rPr>
                <w:sz w:val="20"/>
              </w:rPr>
            </w:pPr>
            <w:r w:rsidRPr="007D5F52">
              <w:rPr>
                <w:sz w:val="20"/>
              </w:rPr>
              <w:t>4.2</w:t>
            </w:r>
          </w:p>
        </w:tc>
      </w:tr>
      <w:tr w:rsidR="005E66DA" w:rsidRPr="007D5F52" w14:paraId="07CC2971" w14:textId="77777777" w:rsidTr="000578F1">
        <w:tc>
          <w:tcPr>
            <w:tcW w:w="1998" w:type="dxa"/>
            <w:tcBorders>
              <w:top w:val="nil"/>
              <w:bottom w:val="nil"/>
            </w:tcBorders>
            <w:shd w:val="clear" w:color="auto" w:fill="auto"/>
          </w:tcPr>
          <w:p w14:paraId="7BEA2490" w14:textId="77777777" w:rsidR="005E66DA" w:rsidRPr="007D5F52" w:rsidRDefault="005E66DA" w:rsidP="006D7754">
            <w:pPr>
              <w:keepNext/>
              <w:spacing w:after="0" w:line="240" w:lineRule="auto"/>
              <w:jc w:val="left"/>
              <w:rPr>
                <w:sz w:val="20"/>
              </w:rPr>
            </w:pPr>
          </w:p>
          <w:p w14:paraId="6089AEBB" w14:textId="1222DB3A" w:rsidR="005E66DA" w:rsidRPr="007D5F52" w:rsidRDefault="005E66DA" w:rsidP="006D7754">
            <w:pPr>
              <w:keepNext/>
              <w:spacing w:after="0" w:line="20" w:lineRule="atLeast"/>
              <w:ind w:left="240"/>
              <w:jc w:val="left"/>
              <w:rPr>
                <w:sz w:val="20"/>
              </w:rPr>
            </w:pPr>
            <w:r w:rsidRPr="007D5F52">
              <w:rPr>
                <w:sz w:val="20"/>
              </w:rPr>
              <w:t>CV death</w:t>
            </w:r>
          </w:p>
        </w:tc>
        <w:tc>
          <w:tcPr>
            <w:tcW w:w="810" w:type="dxa"/>
            <w:tcBorders>
              <w:top w:val="nil"/>
              <w:bottom w:val="nil"/>
            </w:tcBorders>
            <w:shd w:val="clear" w:color="auto" w:fill="auto"/>
          </w:tcPr>
          <w:p w14:paraId="1D01370B" w14:textId="77777777" w:rsidR="005E66DA" w:rsidRPr="007D5F52" w:rsidRDefault="005E66DA" w:rsidP="006D7754">
            <w:pPr>
              <w:keepNext/>
              <w:spacing w:after="0" w:line="240" w:lineRule="auto"/>
              <w:jc w:val="left"/>
              <w:rPr>
                <w:sz w:val="20"/>
              </w:rPr>
            </w:pPr>
          </w:p>
          <w:p w14:paraId="52A9652E" w14:textId="77777777" w:rsidR="005E66DA" w:rsidRPr="007D5F52" w:rsidRDefault="005E66DA" w:rsidP="006D7754">
            <w:pPr>
              <w:keepNext/>
              <w:spacing w:after="0" w:line="240" w:lineRule="auto"/>
              <w:jc w:val="left"/>
              <w:rPr>
                <w:sz w:val="20"/>
              </w:rPr>
            </w:pPr>
            <w:r w:rsidRPr="007D5F52">
              <w:rPr>
                <w:sz w:val="20"/>
              </w:rPr>
              <w:t>206 (8.2)</w:t>
            </w:r>
          </w:p>
        </w:tc>
        <w:tc>
          <w:tcPr>
            <w:tcW w:w="900" w:type="dxa"/>
            <w:tcBorders>
              <w:top w:val="nil"/>
              <w:bottom w:val="nil"/>
            </w:tcBorders>
          </w:tcPr>
          <w:p w14:paraId="479B7ACA" w14:textId="77777777" w:rsidR="005E66DA" w:rsidRPr="007D5F52" w:rsidRDefault="005E66DA" w:rsidP="006D7754">
            <w:pPr>
              <w:keepNext/>
              <w:spacing w:after="0" w:line="240" w:lineRule="auto"/>
              <w:jc w:val="left"/>
              <w:rPr>
                <w:sz w:val="20"/>
              </w:rPr>
            </w:pPr>
          </w:p>
        </w:tc>
        <w:tc>
          <w:tcPr>
            <w:tcW w:w="810" w:type="dxa"/>
            <w:tcBorders>
              <w:top w:val="nil"/>
              <w:bottom w:val="nil"/>
            </w:tcBorders>
            <w:shd w:val="clear" w:color="auto" w:fill="auto"/>
          </w:tcPr>
          <w:p w14:paraId="32C2727F" w14:textId="77777777" w:rsidR="005E66DA" w:rsidRPr="007D5F52" w:rsidRDefault="005E66DA" w:rsidP="006D7754">
            <w:pPr>
              <w:keepNext/>
              <w:spacing w:after="0" w:line="240" w:lineRule="auto"/>
              <w:jc w:val="left"/>
              <w:rPr>
                <w:sz w:val="20"/>
              </w:rPr>
            </w:pPr>
          </w:p>
          <w:p w14:paraId="68AF472E" w14:textId="77777777" w:rsidR="005E66DA" w:rsidRPr="007D5F52" w:rsidRDefault="005E66DA" w:rsidP="006D7754">
            <w:pPr>
              <w:keepNext/>
              <w:spacing w:after="0" w:line="240" w:lineRule="auto"/>
              <w:jc w:val="left"/>
              <w:rPr>
                <w:sz w:val="20"/>
              </w:rPr>
            </w:pPr>
            <w:r w:rsidRPr="007D5F52">
              <w:rPr>
                <w:sz w:val="20"/>
              </w:rPr>
              <w:t>225 (8.9)</w:t>
            </w:r>
          </w:p>
        </w:tc>
        <w:tc>
          <w:tcPr>
            <w:tcW w:w="900" w:type="dxa"/>
            <w:tcBorders>
              <w:top w:val="nil"/>
              <w:bottom w:val="nil"/>
            </w:tcBorders>
          </w:tcPr>
          <w:p w14:paraId="274A8FC5" w14:textId="77777777" w:rsidR="005E66DA" w:rsidRPr="007D5F52" w:rsidRDefault="005E66DA" w:rsidP="006D7754">
            <w:pPr>
              <w:keepNext/>
              <w:spacing w:after="0" w:line="240" w:lineRule="auto"/>
              <w:jc w:val="left"/>
              <w:rPr>
                <w:sz w:val="20"/>
              </w:rPr>
            </w:pPr>
          </w:p>
        </w:tc>
        <w:tc>
          <w:tcPr>
            <w:tcW w:w="1440" w:type="dxa"/>
            <w:tcBorders>
              <w:top w:val="nil"/>
              <w:bottom w:val="nil"/>
            </w:tcBorders>
            <w:shd w:val="clear" w:color="auto" w:fill="auto"/>
          </w:tcPr>
          <w:p w14:paraId="727A4D28" w14:textId="77777777" w:rsidR="005E66DA" w:rsidRPr="007D5F52" w:rsidRDefault="005E66DA" w:rsidP="006D7754">
            <w:pPr>
              <w:keepNext/>
              <w:spacing w:after="0" w:line="240" w:lineRule="auto"/>
              <w:jc w:val="left"/>
              <w:rPr>
                <w:sz w:val="20"/>
              </w:rPr>
            </w:pPr>
          </w:p>
        </w:tc>
        <w:tc>
          <w:tcPr>
            <w:tcW w:w="990" w:type="dxa"/>
            <w:tcBorders>
              <w:top w:val="nil"/>
              <w:bottom w:val="nil"/>
            </w:tcBorders>
            <w:shd w:val="clear" w:color="auto" w:fill="auto"/>
          </w:tcPr>
          <w:p w14:paraId="58EEFA81" w14:textId="77777777" w:rsidR="005E66DA" w:rsidRPr="007D5F52" w:rsidRDefault="005E66DA" w:rsidP="006D7754">
            <w:pPr>
              <w:keepNext/>
              <w:spacing w:after="0" w:line="240" w:lineRule="auto"/>
              <w:jc w:val="left"/>
              <w:rPr>
                <w:sz w:val="20"/>
              </w:rPr>
            </w:pPr>
          </w:p>
        </w:tc>
        <w:tc>
          <w:tcPr>
            <w:tcW w:w="1260" w:type="dxa"/>
            <w:tcBorders>
              <w:top w:val="nil"/>
              <w:bottom w:val="nil"/>
            </w:tcBorders>
          </w:tcPr>
          <w:p w14:paraId="630D142F" w14:textId="77777777" w:rsidR="005E66DA" w:rsidRPr="007D5F52" w:rsidRDefault="005E66DA" w:rsidP="006D7754">
            <w:pPr>
              <w:keepNext/>
              <w:spacing w:after="0" w:line="240" w:lineRule="auto"/>
              <w:jc w:val="left"/>
              <w:rPr>
                <w:sz w:val="20"/>
              </w:rPr>
            </w:pPr>
          </w:p>
        </w:tc>
      </w:tr>
      <w:tr w:rsidR="005E66DA" w:rsidRPr="007D5F52" w14:paraId="0D28A6DD" w14:textId="77777777" w:rsidTr="000578F1">
        <w:tc>
          <w:tcPr>
            <w:tcW w:w="1998" w:type="dxa"/>
            <w:tcBorders>
              <w:top w:val="nil"/>
              <w:bottom w:val="single" w:sz="4" w:space="0" w:color="auto"/>
            </w:tcBorders>
            <w:shd w:val="clear" w:color="auto" w:fill="auto"/>
          </w:tcPr>
          <w:p w14:paraId="3E5E89C6" w14:textId="77777777" w:rsidR="005E66DA" w:rsidRPr="007D5F52" w:rsidRDefault="005E66DA" w:rsidP="006D7754">
            <w:pPr>
              <w:keepNext/>
              <w:spacing w:after="0" w:line="240" w:lineRule="auto"/>
              <w:jc w:val="left"/>
              <w:rPr>
                <w:sz w:val="20"/>
              </w:rPr>
            </w:pPr>
          </w:p>
          <w:p w14:paraId="4BD853D6" w14:textId="0CEC29CD" w:rsidR="005E66DA" w:rsidRPr="007D5F52" w:rsidRDefault="005E66DA" w:rsidP="006D7754">
            <w:pPr>
              <w:keepNext/>
              <w:spacing w:after="0" w:line="20" w:lineRule="atLeast"/>
              <w:ind w:left="240"/>
              <w:jc w:val="left"/>
              <w:rPr>
                <w:sz w:val="20"/>
              </w:rPr>
            </w:pPr>
            <w:r w:rsidRPr="007D5F52">
              <w:rPr>
                <w:sz w:val="20"/>
              </w:rPr>
              <w:t xml:space="preserve">HF </w:t>
            </w:r>
            <w:r w:rsidRPr="007D5F52">
              <w:rPr>
                <w:sz w:val="20"/>
                <w:szCs w:val="20"/>
              </w:rPr>
              <w:t>hospitalisation</w:t>
            </w:r>
          </w:p>
        </w:tc>
        <w:tc>
          <w:tcPr>
            <w:tcW w:w="810" w:type="dxa"/>
            <w:tcBorders>
              <w:top w:val="nil"/>
              <w:bottom w:val="single" w:sz="4" w:space="0" w:color="auto"/>
            </w:tcBorders>
            <w:shd w:val="clear" w:color="auto" w:fill="auto"/>
          </w:tcPr>
          <w:p w14:paraId="45150997" w14:textId="77777777" w:rsidR="005E66DA" w:rsidRPr="007D5F52" w:rsidRDefault="005E66DA" w:rsidP="006D7754">
            <w:pPr>
              <w:keepNext/>
              <w:spacing w:after="0" w:line="240" w:lineRule="auto"/>
              <w:jc w:val="left"/>
              <w:rPr>
                <w:sz w:val="20"/>
              </w:rPr>
            </w:pPr>
          </w:p>
          <w:p w14:paraId="531DBF52" w14:textId="77777777" w:rsidR="005E66DA" w:rsidRPr="007D5F52" w:rsidRDefault="005E66DA" w:rsidP="006D7754">
            <w:pPr>
              <w:keepNext/>
              <w:spacing w:after="0" w:line="240" w:lineRule="auto"/>
              <w:jc w:val="left"/>
              <w:rPr>
                <w:sz w:val="20"/>
              </w:rPr>
            </w:pPr>
            <w:r w:rsidRPr="007D5F52">
              <w:rPr>
                <w:sz w:val="20"/>
              </w:rPr>
              <w:t>691 (27.4)</w:t>
            </w:r>
          </w:p>
        </w:tc>
        <w:tc>
          <w:tcPr>
            <w:tcW w:w="900" w:type="dxa"/>
            <w:tcBorders>
              <w:top w:val="nil"/>
              <w:bottom w:val="single" w:sz="4" w:space="0" w:color="auto"/>
            </w:tcBorders>
          </w:tcPr>
          <w:p w14:paraId="374181FC" w14:textId="77777777" w:rsidR="005E66DA" w:rsidRPr="007D5F52" w:rsidRDefault="005E66DA" w:rsidP="006D7754">
            <w:pPr>
              <w:keepNext/>
              <w:spacing w:after="0" w:line="240" w:lineRule="auto"/>
              <w:jc w:val="left"/>
              <w:rPr>
                <w:sz w:val="20"/>
              </w:rPr>
            </w:pPr>
          </w:p>
        </w:tc>
        <w:tc>
          <w:tcPr>
            <w:tcW w:w="810" w:type="dxa"/>
            <w:tcBorders>
              <w:top w:val="nil"/>
              <w:bottom w:val="single" w:sz="4" w:space="0" w:color="auto"/>
            </w:tcBorders>
            <w:shd w:val="clear" w:color="auto" w:fill="auto"/>
          </w:tcPr>
          <w:p w14:paraId="6724682D" w14:textId="77777777" w:rsidR="005E66DA" w:rsidRPr="007D5F52" w:rsidRDefault="005E66DA" w:rsidP="006D7754">
            <w:pPr>
              <w:keepNext/>
              <w:spacing w:after="0" w:line="240" w:lineRule="auto"/>
              <w:jc w:val="left"/>
              <w:rPr>
                <w:sz w:val="20"/>
              </w:rPr>
            </w:pPr>
          </w:p>
          <w:p w14:paraId="7ABD790F" w14:textId="77777777" w:rsidR="005E66DA" w:rsidRPr="007D5F52" w:rsidRDefault="005E66DA" w:rsidP="006D7754">
            <w:pPr>
              <w:keepNext/>
              <w:spacing w:after="0" w:line="240" w:lineRule="auto"/>
              <w:jc w:val="left"/>
              <w:rPr>
                <w:sz w:val="20"/>
              </w:rPr>
            </w:pPr>
            <w:r w:rsidRPr="007D5F52">
              <w:rPr>
                <w:sz w:val="20"/>
              </w:rPr>
              <w:t>747 (29.6)</w:t>
            </w:r>
          </w:p>
        </w:tc>
        <w:tc>
          <w:tcPr>
            <w:tcW w:w="900" w:type="dxa"/>
            <w:tcBorders>
              <w:top w:val="nil"/>
              <w:bottom w:val="single" w:sz="4" w:space="0" w:color="auto"/>
            </w:tcBorders>
          </w:tcPr>
          <w:p w14:paraId="51DA382C" w14:textId="77777777" w:rsidR="005E66DA" w:rsidRPr="007D5F52" w:rsidRDefault="005E66DA" w:rsidP="006D7754">
            <w:pPr>
              <w:keepNext/>
              <w:spacing w:after="0" w:line="240" w:lineRule="auto"/>
              <w:jc w:val="left"/>
              <w:rPr>
                <w:sz w:val="20"/>
              </w:rPr>
            </w:pPr>
          </w:p>
        </w:tc>
        <w:tc>
          <w:tcPr>
            <w:tcW w:w="1440" w:type="dxa"/>
            <w:tcBorders>
              <w:top w:val="nil"/>
              <w:bottom w:val="single" w:sz="4" w:space="0" w:color="auto"/>
            </w:tcBorders>
            <w:shd w:val="clear" w:color="auto" w:fill="auto"/>
          </w:tcPr>
          <w:p w14:paraId="3BA9D669" w14:textId="77777777" w:rsidR="005E66DA" w:rsidRPr="007D5F52" w:rsidRDefault="005E66DA" w:rsidP="006D7754">
            <w:pPr>
              <w:keepNext/>
              <w:spacing w:after="0" w:line="240" w:lineRule="auto"/>
              <w:jc w:val="left"/>
              <w:rPr>
                <w:sz w:val="20"/>
              </w:rPr>
            </w:pPr>
          </w:p>
        </w:tc>
        <w:tc>
          <w:tcPr>
            <w:tcW w:w="990" w:type="dxa"/>
            <w:tcBorders>
              <w:top w:val="nil"/>
              <w:bottom w:val="single" w:sz="4" w:space="0" w:color="auto"/>
            </w:tcBorders>
            <w:shd w:val="clear" w:color="auto" w:fill="auto"/>
          </w:tcPr>
          <w:p w14:paraId="7D935F98" w14:textId="77777777" w:rsidR="005E66DA" w:rsidRPr="007D5F52" w:rsidRDefault="005E66DA" w:rsidP="006D7754">
            <w:pPr>
              <w:keepNext/>
              <w:spacing w:after="0" w:line="240" w:lineRule="auto"/>
              <w:jc w:val="left"/>
              <w:rPr>
                <w:sz w:val="20"/>
              </w:rPr>
            </w:pPr>
          </w:p>
        </w:tc>
        <w:tc>
          <w:tcPr>
            <w:tcW w:w="1260" w:type="dxa"/>
            <w:tcBorders>
              <w:top w:val="nil"/>
              <w:bottom w:val="single" w:sz="4" w:space="0" w:color="auto"/>
            </w:tcBorders>
          </w:tcPr>
          <w:p w14:paraId="19C7482D" w14:textId="77777777" w:rsidR="005E66DA" w:rsidRPr="007D5F52" w:rsidRDefault="005E66DA" w:rsidP="006D7754">
            <w:pPr>
              <w:keepNext/>
              <w:spacing w:after="0" w:line="240" w:lineRule="auto"/>
              <w:jc w:val="left"/>
              <w:rPr>
                <w:sz w:val="20"/>
              </w:rPr>
            </w:pPr>
          </w:p>
        </w:tc>
      </w:tr>
      <w:tr w:rsidR="005E66DA" w:rsidRPr="007D5F52" w14:paraId="5BE3D538" w14:textId="77777777" w:rsidTr="000578F1">
        <w:tc>
          <w:tcPr>
            <w:tcW w:w="2808" w:type="dxa"/>
            <w:gridSpan w:val="2"/>
            <w:tcBorders>
              <w:bottom w:val="single" w:sz="4" w:space="0" w:color="auto"/>
              <w:right w:val="nil"/>
            </w:tcBorders>
            <w:shd w:val="clear" w:color="auto" w:fill="auto"/>
          </w:tcPr>
          <w:p w14:paraId="6B962ED2" w14:textId="77777777" w:rsidR="005E66DA" w:rsidRPr="007D5F52" w:rsidRDefault="005E66DA" w:rsidP="006D7754">
            <w:pPr>
              <w:keepNext/>
              <w:spacing w:after="0" w:line="240" w:lineRule="auto"/>
              <w:jc w:val="left"/>
              <w:rPr>
                <w:b/>
                <w:sz w:val="20"/>
              </w:rPr>
            </w:pPr>
            <w:r w:rsidRPr="007D5F52">
              <w:rPr>
                <w:b/>
                <w:sz w:val="20"/>
              </w:rPr>
              <w:t>Secondary endpoints</w:t>
            </w:r>
          </w:p>
        </w:tc>
        <w:tc>
          <w:tcPr>
            <w:tcW w:w="900" w:type="dxa"/>
            <w:tcBorders>
              <w:left w:val="nil"/>
              <w:bottom w:val="single" w:sz="4" w:space="0" w:color="auto"/>
              <w:right w:val="nil"/>
            </w:tcBorders>
          </w:tcPr>
          <w:p w14:paraId="7B8F1384" w14:textId="77777777" w:rsidR="005E66DA" w:rsidRPr="007D5F52" w:rsidRDefault="005E66DA" w:rsidP="006D7754">
            <w:pPr>
              <w:keepNext/>
              <w:spacing w:after="0" w:line="240" w:lineRule="auto"/>
              <w:jc w:val="left"/>
              <w:rPr>
                <w:b/>
                <w:sz w:val="20"/>
              </w:rPr>
            </w:pPr>
          </w:p>
        </w:tc>
        <w:tc>
          <w:tcPr>
            <w:tcW w:w="810" w:type="dxa"/>
            <w:tcBorders>
              <w:left w:val="nil"/>
              <w:bottom w:val="single" w:sz="4" w:space="0" w:color="auto"/>
              <w:right w:val="nil"/>
            </w:tcBorders>
            <w:shd w:val="clear" w:color="auto" w:fill="auto"/>
          </w:tcPr>
          <w:p w14:paraId="3AEC9814" w14:textId="77777777" w:rsidR="005E66DA" w:rsidRPr="007D5F52" w:rsidRDefault="005E66DA" w:rsidP="006D7754">
            <w:pPr>
              <w:keepNext/>
              <w:spacing w:after="0" w:line="240" w:lineRule="auto"/>
              <w:jc w:val="left"/>
              <w:rPr>
                <w:b/>
                <w:sz w:val="20"/>
              </w:rPr>
            </w:pPr>
          </w:p>
        </w:tc>
        <w:tc>
          <w:tcPr>
            <w:tcW w:w="900" w:type="dxa"/>
            <w:tcBorders>
              <w:left w:val="nil"/>
              <w:bottom w:val="single" w:sz="4" w:space="0" w:color="auto"/>
              <w:right w:val="nil"/>
            </w:tcBorders>
          </w:tcPr>
          <w:p w14:paraId="21930B1D" w14:textId="77777777" w:rsidR="005E66DA" w:rsidRPr="007D5F52" w:rsidRDefault="005E66DA" w:rsidP="006D7754">
            <w:pPr>
              <w:keepNext/>
              <w:spacing w:after="0" w:line="240" w:lineRule="auto"/>
              <w:jc w:val="left"/>
              <w:rPr>
                <w:b/>
                <w:sz w:val="20"/>
              </w:rPr>
            </w:pPr>
          </w:p>
        </w:tc>
        <w:tc>
          <w:tcPr>
            <w:tcW w:w="1440" w:type="dxa"/>
            <w:tcBorders>
              <w:left w:val="nil"/>
              <w:bottom w:val="single" w:sz="4" w:space="0" w:color="auto"/>
              <w:right w:val="nil"/>
            </w:tcBorders>
            <w:shd w:val="clear" w:color="auto" w:fill="auto"/>
          </w:tcPr>
          <w:p w14:paraId="211E14D4" w14:textId="77777777" w:rsidR="005E66DA" w:rsidRPr="007D5F52" w:rsidRDefault="005E66DA" w:rsidP="006D7754">
            <w:pPr>
              <w:keepNext/>
              <w:spacing w:after="0" w:line="240" w:lineRule="auto"/>
              <w:jc w:val="left"/>
              <w:rPr>
                <w:b/>
                <w:sz w:val="20"/>
              </w:rPr>
            </w:pPr>
          </w:p>
        </w:tc>
        <w:tc>
          <w:tcPr>
            <w:tcW w:w="990" w:type="dxa"/>
            <w:tcBorders>
              <w:left w:val="nil"/>
              <w:bottom w:val="single" w:sz="4" w:space="0" w:color="auto"/>
              <w:right w:val="nil"/>
            </w:tcBorders>
            <w:shd w:val="clear" w:color="auto" w:fill="auto"/>
          </w:tcPr>
          <w:p w14:paraId="1A11D2D3" w14:textId="77777777" w:rsidR="005E66DA" w:rsidRPr="007D5F52" w:rsidRDefault="005E66DA" w:rsidP="006D7754">
            <w:pPr>
              <w:keepNext/>
              <w:spacing w:after="0" w:line="240" w:lineRule="auto"/>
              <w:jc w:val="left"/>
              <w:rPr>
                <w:b/>
                <w:sz w:val="20"/>
              </w:rPr>
            </w:pPr>
          </w:p>
        </w:tc>
        <w:tc>
          <w:tcPr>
            <w:tcW w:w="1260" w:type="dxa"/>
            <w:tcBorders>
              <w:left w:val="nil"/>
              <w:bottom w:val="single" w:sz="4" w:space="0" w:color="auto"/>
            </w:tcBorders>
          </w:tcPr>
          <w:p w14:paraId="38D198E8" w14:textId="77777777" w:rsidR="005E66DA" w:rsidRPr="007D5F52" w:rsidRDefault="005E66DA" w:rsidP="006D7754">
            <w:pPr>
              <w:keepNext/>
              <w:spacing w:after="0" w:line="240" w:lineRule="auto"/>
              <w:jc w:val="left"/>
              <w:rPr>
                <w:b/>
                <w:sz w:val="20"/>
              </w:rPr>
            </w:pPr>
          </w:p>
        </w:tc>
      </w:tr>
      <w:tr w:rsidR="005E66DA" w:rsidRPr="007D5F52" w14:paraId="4AAD6A90" w14:textId="77777777" w:rsidTr="000578F1">
        <w:tc>
          <w:tcPr>
            <w:tcW w:w="1998" w:type="dxa"/>
            <w:tcBorders>
              <w:top w:val="nil"/>
              <w:bottom w:val="nil"/>
            </w:tcBorders>
            <w:shd w:val="clear" w:color="auto" w:fill="auto"/>
          </w:tcPr>
          <w:p w14:paraId="4E77B67C" w14:textId="77777777" w:rsidR="005E66DA" w:rsidRPr="007D5F52" w:rsidRDefault="005E66DA" w:rsidP="006D7754">
            <w:pPr>
              <w:keepNext/>
              <w:spacing w:after="0" w:line="240" w:lineRule="auto"/>
              <w:jc w:val="left"/>
              <w:rPr>
                <w:sz w:val="20"/>
              </w:rPr>
            </w:pPr>
          </w:p>
          <w:p w14:paraId="61A09786" w14:textId="5C2F7F89" w:rsidR="005E66DA" w:rsidRPr="007D5F52" w:rsidRDefault="005E66DA" w:rsidP="006D7754">
            <w:pPr>
              <w:keepNext/>
              <w:spacing w:after="0" w:line="240" w:lineRule="auto"/>
              <w:jc w:val="left"/>
              <w:rPr>
                <w:sz w:val="20"/>
              </w:rPr>
            </w:pPr>
            <w:r w:rsidRPr="007D5F52">
              <w:rPr>
                <w:sz w:val="20"/>
              </w:rPr>
              <w:t>CV death</w:t>
            </w:r>
          </w:p>
        </w:tc>
        <w:tc>
          <w:tcPr>
            <w:tcW w:w="810" w:type="dxa"/>
            <w:tcBorders>
              <w:top w:val="nil"/>
              <w:bottom w:val="nil"/>
            </w:tcBorders>
            <w:shd w:val="clear" w:color="auto" w:fill="auto"/>
          </w:tcPr>
          <w:p w14:paraId="68E1DFC5" w14:textId="77777777" w:rsidR="005E66DA" w:rsidRPr="007D5F52" w:rsidRDefault="005E66DA" w:rsidP="006D7754">
            <w:pPr>
              <w:keepNext/>
              <w:spacing w:after="0" w:line="240" w:lineRule="auto"/>
              <w:jc w:val="left"/>
              <w:rPr>
                <w:sz w:val="20"/>
              </w:rPr>
            </w:pPr>
          </w:p>
          <w:p w14:paraId="3C527E94" w14:textId="77777777" w:rsidR="005E66DA" w:rsidRPr="007D5F52" w:rsidRDefault="005E66DA" w:rsidP="006D7754">
            <w:pPr>
              <w:keepNext/>
              <w:spacing w:after="0" w:line="240" w:lineRule="auto"/>
              <w:jc w:val="left"/>
              <w:rPr>
                <w:sz w:val="20"/>
              </w:rPr>
            </w:pPr>
            <w:r w:rsidRPr="007D5F52">
              <w:rPr>
                <w:sz w:val="20"/>
              </w:rPr>
              <w:t>414 (16.4)</w:t>
            </w:r>
          </w:p>
        </w:tc>
        <w:tc>
          <w:tcPr>
            <w:tcW w:w="900" w:type="dxa"/>
            <w:tcBorders>
              <w:top w:val="nil"/>
              <w:bottom w:val="nil"/>
            </w:tcBorders>
          </w:tcPr>
          <w:p w14:paraId="43CED0D4" w14:textId="77777777" w:rsidR="005E66DA" w:rsidRPr="007D5F52" w:rsidRDefault="005E66DA" w:rsidP="006D7754">
            <w:pPr>
              <w:keepNext/>
              <w:spacing w:after="0" w:line="240" w:lineRule="auto"/>
              <w:jc w:val="left"/>
              <w:rPr>
                <w:sz w:val="20"/>
              </w:rPr>
            </w:pPr>
          </w:p>
          <w:p w14:paraId="702E1F6B" w14:textId="77777777" w:rsidR="005E66DA" w:rsidRPr="007D5F52" w:rsidRDefault="005E66DA" w:rsidP="006D7754">
            <w:pPr>
              <w:keepNext/>
              <w:spacing w:after="0" w:line="240" w:lineRule="auto"/>
              <w:jc w:val="left"/>
              <w:rPr>
                <w:sz w:val="20"/>
              </w:rPr>
            </w:pPr>
            <w:r w:rsidRPr="007D5F52">
              <w:rPr>
                <w:sz w:val="20"/>
              </w:rPr>
              <w:t>12.9</w:t>
            </w:r>
          </w:p>
        </w:tc>
        <w:tc>
          <w:tcPr>
            <w:tcW w:w="810" w:type="dxa"/>
            <w:tcBorders>
              <w:top w:val="nil"/>
              <w:bottom w:val="nil"/>
            </w:tcBorders>
            <w:shd w:val="clear" w:color="auto" w:fill="auto"/>
          </w:tcPr>
          <w:p w14:paraId="347833DF" w14:textId="77777777" w:rsidR="005E66DA" w:rsidRPr="007D5F52" w:rsidRDefault="005E66DA" w:rsidP="006D7754">
            <w:pPr>
              <w:keepNext/>
              <w:spacing w:after="0" w:line="240" w:lineRule="auto"/>
              <w:jc w:val="left"/>
              <w:rPr>
                <w:sz w:val="20"/>
              </w:rPr>
            </w:pPr>
          </w:p>
          <w:p w14:paraId="026AD05A" w14:textId="77777777" w:rsidR="005E66DA" w:rsidRPr="007D5F52" w:rsidRDefault="005E66DA" w:rsidP="006D7754">
            <w:pPr>
              <w:keepNext/>
              <w:spacing w:after="0" w:line="240" w:lineRule="auto"/>
              <w:jc w:val="left"/>
              <w:rPr>
                <w:sz w:val="20"/>
              </w:rPr>
            </w:pPr>
            <w:r w:rsidRPr="007D5F52">
              <w:rPr>
                <w:sz w:val="20"/>
              </w:rPr>
              <w:t>441 (17.5)</w:t>
            </w:r>
          </w:p>
        </w:tc>
        <w:tc>
          <w:tcPr>
            <w:tcW w:w="900" w:type="dxa"/>
            <w:tcBorders>
              <w:top w:val="nil"/>
              <w:bottom w:val="nil"/>
            </w:tcBorders>
          </w:tcPr>
          <w:p w14:paraId="56C7B41B" w14:textId="77777777" w:rsidR="005E66DA" w:rsidRPr="007D5F52" w:rsidRDefault="005E66DA" w:rsidP="006D7754">
            <w:pPr>
              <w:keepNext/>
              <w:spacing w:after="0" w:line="240" w:lineRule="auto"/>
              <w:jc w:val="left"/>
              <w:rPr>
                <w:sz w:val="20"/>
              </w:rPr>
            </w:pPr>
          </w:p>
          <w:p w14:paraId="46555E7B" w14:textId="77777777" w:rsidR="005E66DA" w:rsidRPr="007D5F52" w:rsidRDefault="005E66DA" w:rsidP="006D7754">
            <w:pPr>
              <w:keepNext/>
              <w:spacing w:after="0" w:line="240" w:lineRule="auto"/>
              <w:jc w:val="left"/>
              <w:rPr>
                <w:sz w:val="20"/>
              </w:rPr>
            </w:pPr>
            <w:r w:rsidRPr="007D5F52">
              <w:rPr>
                <w:sz w:val="20"/>
              </w:rPr>
              <w:t>13.9</w:t>
            </w:r>
          </w:p>
        </w:tc>
        <w:tc>
          <w:tcPr>
            <w:tcW w:w="1440" w:type="dxa"/>
            <w:tcBorders>
              <w:top w:val="nil"/>
              <w:bottom w:val="nil"/>
            </w:tcBorders>
            <w:shd w:val="clear" w:color="auto" w:fill="auto"/>
          </w:tcPr>
          <w:p w14:paraId="54166A07" w14:textId="77777777" w:rsidR="005E66DA" w:rsidRPr="007D5F52" w:rsidRDefault="005E66DA" w:rsidP="006D7754">
            <w:pPr>
              <w:keepNext/>
              <w:spacing w:after="0" w:line="240" w:lineRule="auto"/>
              <w:jc w:val="left"/>
              <w:rPr>
                <w:sz w:val="20"/>
              </w:rPr>
            </w:pPr>
          </w:p>
          <w:p w14:paraId="7AEE641C" w14:textId="77777777" w:rsidR="005E66DA" w:rsidRPr="007D5F52" w:rsidRDefault="005E66DA" w:rsidP="006D7754">
            <w:pPr>
              <w:keepNext/>
              <w:spacing w:after="0" w:line="240" w:lineRule="auto"/>
              <w:jc w:val="left"/>
              <w:rPr>
                <w:sz w:val="20"/>
              </w:rPr>
            </w:pPr>
            <w:r w:rsidRPr="007D5F52">
              <w:rPr>
                <w:sz w:val="20"/>
              </w:rPr>
              <w:t>0.93</w:t>
            </w:r>
          </w:p>
          <w:p w14:paraId="268370A6" w14:textId="77777777" w:rsidR="005E66DA" w:rsidRPr="007D5F52" w:rsidRDefault="005E66DA" w:rsidP="006D7754">
            <w:pPr>
              <w:keepNext/>
              <w:spacing w:after="0" w:line="240" w:lineRule="auto"/>
              <w:jc w:val="left"/>
              <w:rPr>
                <w:sz w:val="20"/>
              </w:rPr>
            </w:pPr>
            <w:r w:rsidRPr="007D5F52">
              <w:rPr>
                <w:sz w:val="20"/>
              </w:rPr>
              <w:t>(0.81, 1.06)</w:t>
            </w:r>
          </w:p>
        </w:tc>
        <w:tc>
          <w:tcPr>
            <w:tcW w:w="990" w:type="dxa"/>
            <w:tcBorders>
              <w:top w:val="nil"/>
              <w:bottom w:val="nil"/>
            </w:tcBorders>
            <w:shd w:val="clear" w:color="auto" w:fill="auto"/>
          </w:tcPr>
          <w:p w14:paraId="1B854821" w14:textId="77777777" w:rsidR="005E66DA" w:rsidRPr="007D5F52" w:rsidRDefault="005E66DA" w:rsidP="006D7754">
            <w:pPr>
              <w:keepNext/>
              <w:spacing w:after="0" w:line="240" w:lineRule="auto"/>
              <w:jc w:val="left"/>
              <w:rPr>
                <w:sz w:val="20"/>
              </w:rPr>
            </w:pPr>
          </w:p>
        </w:tc>
        <w:tc>
          <w:tcPr>
            <w:tcW w:w="1260" w:type="dxa"/>
            <w:tcBorders>
              <w:top w:val="single" w:sz="4" w:space="0" w:color="auto"/>
              <w:bottom w:val="nil"/>
            </w:tcBorders>
          </w:tcPr>
          <w:p w14:paraId="632CD9D3" w14:textId="77777777" w:rsidR="005E66DA" w:rsidRPr="007D5F52" w:rsidRDefault="005E66DA" w:rsidP="006D7754">
            <w:pPr>
              <w:keepNext/>
              <w:spacing w:after="0" w:line="240" w:lineRule="auto"/>
              <w:jc w:val="left"/>
              <w:rPr>
                <w:sz w:val="20"/>
              </w:rPr>
            </w:pPr>
          </w:p>
        </w:tc>
      </w:tr>
      <w:tr w:rsidR="005E66DA" w:rsidRPr="007D5F52" w14:paraId="1FE5CD38" w14:textId="77777777" w:rsidTr="000578F1">
        <w:tc>
          <w:tcPr>
            <w:tcW w:w="1998" w:type="dxa"/>
            <w:tcBorders>
              <w:top w:val="nil"/>
            </w:tcBorders>
            <w:shd w:val="clear" w:color="auto" w:fill="auto"/>
          </w:tcPr>
          <w:p w14:paraId="79DDFA43" w14:textId="77777777" w:rsidR="005E66DA" w:rsidRPr="007D5F52" w:rsidRDefault="005E66DA" w:rsidP="006D7754">
            <w:pPr>
              <w:keepNext/>
              <w:spacing w:after="0" w:line="240" w:lineRule="auto"/>
              <w:jc w:val="left"/>
              <w:rPr>
                <w:sz w:val="20"/>
              </w:rPr>
            </w:pPr>
          </w:p>
          <w:p w14:paraId="53D6E861" w14:textId="7483A4CC" w:rsidR="005E66DA" w:rsidRPr="007D5F52" w:rsidRDefault="005E66DA" w:rsidP="006D7754">
            <w:pPr>
              <w:keepNext/>
              <w:spacing w:after="0" w:line="240" w:lineRule="auto"/>
              <w:jc w:val="left"/>
              <w:rPr>
                <w:sz w:val="20"/>
              </w:rPr>
            </w:pPr>
            <w:r w:rsidRPr="007D5F52">
              <w:rPr>
                <w:sz w:val="20"/>
              </w:rPr>
              <w:t>HF hospitalisation</w:t>
            </w:r>
          </w:p>
        </w:tc>
        <w:tc>
          <w:tcPr>
            <w:tcW w:w="810" w:type="dxa"/>
            <w:tcBorders>
              <w:top w:val="nil"/>
            </w:tcBorders>
            <w:shd w:val="clear" w:color="auto" w:fill="auto"/>
          </w:tcPr>
          <w:p w14:paraId="769DBDCE" w14:textId="77777777" w:rsidR="005E66DA" w:rsidRPr="007D5F52" w:rsidRDefault="005E66DA" w:rsidP="006D7754">
            <w:pPr>
              <w:keepNext/>
              <w:spacing w:after="0" w:line="240" w:lineRule="auto"/>
              <w:jc w:val="left"/>
              <w:rPr>
                <w:sz w:val="20"/>
              </w:rPr>
            </w:pPr>
          </w:p>
          <w:p w14:paraId="1C878F9C" w14:textId="77777777" w:rsidR="005E66DA" w:rsidRPr="007D5F52" w:rsidRDefault="005E66DA" w:rsidP="006D7754">
            <w:pPr>
              <w:keepNext/>
              <w:spacing w:after="0" w:line="240" w:lineRule="auto"/>
              <w:jc w:val="left"/>
              <w:rPr>
                <w:sz w:val="20"/>
              </w:rPr>
            </w:pPr>
            <w:r w:rsidRPr="007D5F52">
              <w:rPr>
                <w:sz w:val="20"/>
              </w:rPr>
              <w:t>691 (27.4)</w:t>
            </w:r>
          </w:p>
        </w:tc>
        <w:tc>
          <w:tcPr>
            <w:tcW w:w="900" w:type="dxa"/>
            <w:tcBorders>
              <w:top w:val="nil"/>
            </w:tcBorders>
          </w:tcPr>
          <w:p w14:paraId="179D0C3F" w14:textId="77777777" w:rsidR="005E66DA" w:rsidRPr="007D5F52" w:rsidRDefault="005E66DA" w:rsidP="006D7754">
            <w:pPr>
              <w:keepNext/>
              <w:spacing w:after="0" w:line="240" w:lineRule="auto"/>
              <w:jc w:val="left"/>
              <w:rPr>
                <w:sz w:val="20"/>
              </w:rPr>
            </w:pPr>
          </w:p>
          <w:p w14:paraId="7EEB85AE" w14:textId="77777777" w:rsidR="005E66DA" w:rsidRPr="007D5F52" w:rsidRDefault="005E66DA" w:rsidP="006D7754">
            <w:pPr>
              <w:keepNext/>
              <w:spacing w:after="0" w:line="240" w:lineRule="auto"/>
              <w:jc w:val="left"/>
              <w:rPr>
                <w:sz w:val="20"/>
              </w:rPr>
            </w:pPr>
            <w:r w:rsidRPr="007D5F52">
              <w:rPr>
                <w:sz w:val="20"/>
              </w:rPr>
              <w:t>25.9</w:t>
            </w:r>
          </w:p>
        </w:tc>
        <w:tc>
          <w:tcPr>
            <w:tcW w:w="810" w:type="dxa"/>
            <w:tcBorders>
              <w:top w:val="nil"/>
            </w:tcBorders>
            <w:shd w:val="clear" w:color="auto" w:fill="auto"/>
          </w:tcPr>
          <w:p w14:paraId="2C745847" w14:textId="77777777" w:rsidR="005E66DA" w:rsidRPr="007D5F52" w:rsidRDefault="005E66DA" w:rsidP="006D7754">
            <w:pPr>
              <w:keepNext/>
              <w:spacing w:after="0" w:line="240" w:lineRule="auto"/>
              <w:jc w:val="left"/>
              <w:rPr>
                <w:sz w:val="20"/>
              </w:rPr>
            </w:pPr>
          </w:p>
          <w:p w14:paraId="066B5D36" w14:textId="77777777" w:rsidR="005E66DA" w:rsidRPr="007D5F52" w:rsidRDefault="005E66DA" w:rsidP="006D7754">
            <w:pPr>
              <w:keepNext/>
              <w:spacing w:after="0" w:line="240" w:lineRule="auto"/>
              <w:jc w:val="left"/>
              <w:rPr>
                <w:sz w:val="20"/>
              </w:rPr>
            </w:pPr>
            <w:r w:rsidRPr="007D5F52">
              <w:rPr>
                <w:sz w:val="20"/>
              </w:rPr>
              <w:t>747 (29.6)</w:t>
            </w:r>
          </w:p>
        </w:tc>
        <w:tc>
          <w:tcPr>
            <w:tcW w:w="900" w:type="dxa"/>
            <w:tcBorders>
              <w:top w:val="nil"/>
            </w:tcBorders>
          </w:tcPr>
          <w:p w14:paraId="5FE383AF" w14:textId="77777777" w:rsidR="005E66DA" w:rsidRPr="007D5F52" w:rsidRDefault="005E66DA" w:rsidP="006D7754">
            <w:pPr>
              <w:keepNext/>
              <w:spacing w:after="0" w:line="240" w:lineRule="auto"/>
              <w:jc w:val="left"/>
              <w:rPr>
                <w:sz w:val="20"/>
              </w:rPr>
            </w:pPr>
          </w:p>
          <w:p w14:paraId="363FAAB7" w14:textId="77777777" w:rsidR="005E66DA" w:rsidRPr="007D5F52" w:rsidRDefault="005E66DA" w:rsidP="006D7754">
            <w:pPr>
              <w:keepNext/>
              <w:spacing w:after="0" w:line="240" w:lineRule="auto"/>
              <w:jc w:val="left"/>
              <w:rPr>
                <w:sz w:val="20"/>
              </w:rPr>
            </w:pPr>
            <w:r w:rsidRPr="007D5F52">
              <w:rPr>
                <w:sz w:val="20"/>
              </w:rPr>
              <w:t>29.1</w:t>
            </w:r>
          </w:p>
        </w:tc>
        <w:tc>
          <w:tcPr>
            <w:tcW w:w="1440" w:type="dxa"/>
            <w:tcBorders>
              <w:top w:val="nil"/>
            </w:tcBorders>
            <w:shd w:val="clear" w:color="auto" w:fill="auto"/>
          </w:tcPr>
          <w:p w14:paraId="4384F5AA" w14:textId="77777777" w:rsidR="005E66DA" w:rsidRPr="007D5F52" w:rsidRDefault="005E66DA" w:rsidP="006D7754">
            <w:pPr>
              <w:keepNext/>
              <w:spacing w:after="0" w:line="240" w:lineRule="auto"/>
              <w:jc w:val="left"/>
              <w:rPr>
                <w:sz w:val="20"/>
              </w:rPr>
            </w:pPr>
          </w:p>
          <w:p w14:paraId="5ED143A9" w14:textId="77777777" w:rsidR="005E66DA" w:rsidRPr="007D5F52" w:rsidRDefault="005E66DA" w:rsidP="006D7754">
            <w:pPr>
              <w:keepNext/>
              <w:spacing w:after="0" w:line="240" w:lineRule="auto"/>
              <w:jc w:val="left"/>
              <w:rPr>
                <w:sz w:val="20"/>
              </w:rPr>
            </w:pPr>
            <w:r w:rsidRPr="007D5F52">
              <w:rPr>
                <w:sz w:val="20"/>
              </w:rPr>
              <w:t>0.90</w:t>
            </w:r>
          </w:p>
          <w:p w14:paraId="1D1DA07C" w14:textId="77777777" w:rsidR="005E66DA" w:rsidRPr="007D5F52" w:rsidRDefault="005E66DA" w:rsidP="006D7754">
            <w:pPr>
              <w:keepNext/>
              <w:spacing w:after="0" w:line="240" w:lineRule="auto"/>
              <w:jc w:val="left"/>
              <w:rPr>
                <w:sz w:val="20"/>
              </w:rPr>
            </w:pPr>
            <w:r w:rsidRPr="007D5F52">
              <w:rPr>
                <w:sz w:val="20"/>
              </w:rPr>
              <w:t>(0.81, 1.00)</w:t>
            </w:r>
          </w:p>
        </w:tc>
        <w:tc>
          <w:tcPr>
            <w:tcW w:w="990" w:type="dxa"/>
            <w:tcBorders>
              <w:top w:val="nil"/>
            </w:tcBorders>
            <w:shd w:val="clear" w:color="auto" w:fill="auto"/>
          </w:tcPr>
          <w:p w14:paraId="14A272B7" w14:textId="77777777" w:rsidR="005E66DA" w:rsidRPr="007D5F52" w:rsidRDefault="005E66DA" w:rsidP="006D7754">
            <w:pPr>
              <w:keepNext/>
              <w:spacing w:after="0" w:line="240" w:lineRule="auto"/>
              <w:jc w:val="left"/>
              <w:rPr>
                <w:sz w:val="20"/>
              </w:rPr>
            </w:pPr>
          </w:p>
        </w:tc>
        <w:tc>
          <w:tcPr>
            <w:tcW w:w="1260" w:type="dxa"/>
            <w:tcBorders>
              <w:top w:val="nil"/>
            </w:tcBorders>
          </w:tcPr>
          <w:p w14:paraId="37179CC4" w14:textId="77777777" w:rsidR="005E66DA" w:rsidRPr="007D5F52" w:rsidRDefault="005E66DA" w:rsidP="006D7754">
            <w:pPr>
              <w:keepNext/>
              <w:spacing w:after="0" w:line="240" w:lineRule="auto"/>
              <w:jc w:val="left"/>
              <w:rPr>
                <w:sz w:val="20"/>
              </w:rPr>
            </w:pPr>
          </w:p>
        </w:tc>
      </w:tr>
    </w:tbl>
    <w:p w14:paraId="1F419E56" w14:textId="77289FAD" w:rsidR="007902F9" w:rsidRPr="007D5F52" w:rsidRDefault="00F8378C" w:rsidP="006D7754">
      <w:pPr>
        <w:keepNext/>
        <w:spacing w:after="0"/>
        <w:jc w:val="left"/>
        <w:rPr>
          <w:sz w:val="20"/>
        </w:rPr>
      </w:pPr>
      <w:r w:rsidRPr="007D5F52">
        <w:rPr>
          <w:sz w:val="20"/>
          <w:vertAlign w:val="superscript"/>
        </w:rPr>
        <w:t>1</w:t>
      </w:r>
      <w:r w:rsidR="007902F9" w:rsidRPr="007D5F52">
        <w:rPr>
          <w:sz w:val="20"/>
        </w:rPr>
        <w:t>Total patients with an event per 100 patient years at risk.</w:t>
      </w:r>
    </w:p>
    <w:p w14:paraId="33641B4A" w14:textId="0B0127DC" w:rsidR="007902F9" w:rsidRPr="007D5F52" w:rsidRDefault="00F8378C" w:rsidP="006D7754">
      <w:pPr>
        <w:keepNext/>
        <w:spacing w:after="0"/>
        <w:jc w:val="left"/>
        <w:rPr>
          <w:sz w:val="20"/>
        </w:rPr>
      </w:pPr>
      <w:r w:rsidRPr="007D5F52">
        <w:rPr>
          <w:sz w:val="20"/>
          <w:vertAlign w:val="superscript"/>
        </w:rPr>
        <w:t>2</w:t>
      </w:r>
      <w:r w:rsidR="007902F9" w:rsidRPr="007D5F52">
        <w:rPr>
          <w:sz w:val="20"/>
        </w:rPr>
        <w:t>Hazard ratio (</w:t>
      </w:r>
      <w:r w:rsidRPr="007D5F52">
        <w:rPr>
          <w:sz w:val="20"/>
        </w:rPr>
        <w:t>vericiguat</w:t>
      </w:r>
      <w:r w:rsidR="007902F9" w:rsidRPr="007D5F52">
        <w:rPr>
          <w:sz w:val="20"/>
        </w:rPr>
        <w:t xml:space="preserve"> over </w:t>
      </w:r>
      <w:r w:rsidR="00B761E1" w:rsidRPr="007D5F52">
        <w:rPr>
          <w:sz w:val="20"/>
        </w:rPr>
        <w:t>p</w:t>
      </w:r>
      <w:r w:rsidR="007902F9" w:rsidRPr="007D5F52">
        <w:rPr>
          <w:sz w:val="20"/>
        </w:rPr>
        <w:t>lacebo) and confidence interval from a Cox proportional hazards model.</w:t>
      </w:r>
    </w:p>
    <w:p w14:paraId="2277BBC1" w14:textId="14743ABA" w:rsidR="007902F9" w:rsidRPr="007D5F52" w:rsidRDefault="00F8378C" w:rsidP="006D7754">
      <w:pPr>
        <w:keepNext/>
        <w:spacing w:after="0"/>
        <w:jc w:val="left"/>
        <w:rPr>
          <w:sz w:val="20"/>
        </w:rPr>
      </w:pPr>
      <w:r w:rsidRPr="007D5F52">
        <w:rPr>
          <w:sz w:val="20"/>
          <w:vertAlign w:val="superscript"/>
        </w:rPr>
        <w:t>3</w:t>
      </w:r>
      <w:r w:rsidR="007902F9" w:rsidRPr="007D5F52">
        <w:rPr>
          <w:sz w:val="20"/>
        </w:rPr>
        <w:t>From the log-rank test.</w:t>
      </w:r>
      <w:r w:rsidRPr="007D5F52">
        <w:rPr>
          <w:sz w:val="20"/>
        </w:rPr>
        <w:t xml:space="preserve"> </w:t>
      </w:r>
      <w:r w:rsidR="00A06B20" w:rsidRPr="007D5F52">
        <w:rPr>
          <w:sz w:val="20"/>
        </w:rPr>
        <w:t>p-</w:t>
      </w:r>
      <w:r w:rsidRPr="007D5F52">
        <w:rPr>
          <w:sz w:val="20"/>
        </w:rPr>
        <w:t>value applies to HR only and not annualised ARR.</w:t>
      </w:r>
    </w:p>
    <w:p w14:paraId="666A94BB" w14:textId="7DCEFF5A" w:rsidR="007902F9" w:rsidRPr="007D5F52" w:rsidRDefault="00F8378C" w:rsidP="006D7754">
      <w:pPr>
        <w:keepNext/>
        <w:spacing w:after="0"/>
        <w:jc w:val="left"/>
        <w:rPr>
          <w:sz w:val="20"/>
        </w:rPr>
      </w:pPr>
      <w:r w:rsidRPr="007D5F52">
        <w:rPr>
          <w:sz w:val="20"/>
          <w:vertAlign w:val="superscript"/>
        </w:rPr>
        <w:t>4</w:t>
      </w:r>
      <w:r w:rsidR="007902F9" w:rsidRPr="007D5F52">
        <w:rPr>
          <w:sz w:val="20"/>
        </w:rPr>
        <w:t>Annuali</w:t>
      </w:r>
      <w:r w:rsidR="00CC2EEC" w:rsidRPr="007D5F52">
        <w:rPr>
          <w:sz w:val="20"/>
        </w:rPr>
        <w:t>s</w:t>
      </w:r>
      <w:r w:rsidR="007902F9" w:rsidRPr="007D5F52">
        <w:rPr>
          <w:sz w:val="20"/>
        </w:rPr>
        <w:t>ed absolute risk reduction, calculated as difference (</w:t>
      </w:r>
      <w:r w:rsidR="00B761E1" w:rsidRPr="007D5F52">
        <w:rPr>
          <w:sz w:val="20"/>
        </w:rPr>
        <w:t>p</w:t>
      </w:r>
      <w:r w:rsidR="007902F9" w:rsidRPr="007D5F52">
        <w:rPr>
          <w:sz w:val="20"/>
        </w:rPr>
        <w:t>lacebo-</w:t>
      </w:r>
      <w:r w:rsidRPr="007D5F52">
        <w:rPr>
          <w:sz w:val="20"/>
        </w:rPr>
        <w:t>vericiguat</w:t>
      </w:r>
      <w:r w:rsidR="007902F9" w:rsidRPr="007D5F52">
        <w:rPr>
          <w:sz w:val="20"/>
        </w:rPr>
        <w:t>) in annual %.</w:t>
      </w:r>
    </w:p>
    <w:p w14:paraId="21D8BDED" w14:textId="654ECF64" w:rsidR="007902F9" w:rsidRPr="007D5F52" w:rsidRDefault="00F8378C" w:rsidP="006D7754">
      <w:pPr>
        <w:keepNext/>
        <w:spacing w:after="0"/>
        <w:jc w:val="left"/>
        <w:rPr>
          <w:sz w:val="20"/>
        </w:rPr>
      </w:pPr>
      <w:r w:rsidRPr="007D5F52">
        <w:rPr>
          <w:sz w:val="20"/>
          <w:vertAlign w:val="superscript"/>
        </w:rPr>
        <w:t>5</w:t>
      </w:r>
      <w:r w:rsidR="007902F9" w:rsidRPr="007D5F52">
        <w:rPr>
          <w:sz w:val="20"/>
        </w:rPr>
        <w:t>For patients with multiple events, only the first event contributing to the composite endpoint is counted.</w:t>
      </w:r>
    </w:p>
    <w:p w14:paraId="5664243A" w14:textId="2B777E39" w:rsidR="007902F9" w:rsidRPr="007D5F52" w:rsidRDefault="007902F9" w:rsidP="006D7754">
      <w:pPr>
        <w:jc w:val="left"/>
        <w:rPr>
          <w:b/>
        </w:rPr>
      </w:pPr>
      <w:r w:rsidRPr="007D5F52">
        <w:rPr>
          <w:sz w:val="20"/>
        </w:rPr>
        <w:t>N=Number of patients in Intent-to-Treat (ITT) population; n=Number of patients with an event.</w:t>
      </w:r>
    </w:p>
    <w:p w14:paraId="04B4239A" w14:textId="5E73A09A" w:rsidR="00C87E4B" w:rsidRPr="007D5F52" w:rsidRDefault="00CF19E4" w:rsidP="006D7754">
      <w:pPr>
        <w:keepNext/>
        <w:jc w:val="left"/>
        <w:rPr>
          <w:b/>
        </w:rPr>
      </w:pPr>
      <w:bookmarkStart w:id="21" w:name="_Ref39823756"/>
      <w:r w:rsidRPr="007D5F52">
        <w:rPr>
          <w:b/>
        </w:rPr>
        <w:lastRenderedPageBreak/>
        <w:t xml:space="preserve">Figure </w:t>
      </w:r>
      <w:r w:rsidRPr="007D5F52">
        <w:rPr>
          <w:b/>
        </w:rPr>
        <w:fldChar w:fldCharType="begin"/>
      </w:r>
      <w:r w:rsidRPr="007D5F52">
        <w:rPr>
          <w:b/>
        </w:rPr>
        <w:instrText xml:space="preserve"> SEQ Figure \* ARABIC </w:instrText>
      </w:r>
      <w:r w:rsidRPr="007D5F52">
        <w:rPr>
          <w:b/>
        </w:rPr>
        <w:fldChar w:fldCharType="separate"/>
      </w:r>
      <w:r w:rsidR="00315B56">
        <w:rPr>
          <w:b/>
          <w:noProof/>
        </w:rPr>
        <w:t>1</w:t>
      </w:r>
      <w:r w:rsidRPr="007D5F52">
        <w:rPr>
          <w:b/>
        </w:rPr>
        <w:fldChar w:fldCharType="end"/>
      </w:r>
      <w:bookmarkEnd w:id="21"/>
      <w:r w:rsidR="00C87E4B" w:rsidRPr="007D5F52">
        <w:rPr>
          <w:b/>
        </w:rPr>
        <w:t xml:space="preserve">: </w:t>
      </w:r>
      <w:r w:rsidR="004427EF" w:rsidRPr="007D5F52">
        <w:rPr>
          <w:b/>
        </w:rPr>
        <w:t>Kaplan-Meier curve for the primary composite endpoint: time to first occurrence of CV death or HF hospitalisation</w:t>
      </w:r>
    </w:p>
    <w:p w14:paraId="29ED1869" w14:textId="1955864D" w:rsidR="008E774F" w:rsidRPr="007D5F52" w:rsidRDefault="008E774F" w:rsidP="006D7754">
      <w:pPr>
        <w:pStyle w:val="Default"/>
        <w:rPr>
          <w:color w:val="auto"/>
          <w:sz w:val="22"/>
          <w:szCs w:val="22"/>
          <w:lang w:val="en-AU" w:eastAsia="ja-JP"/>
        </w:rPr>
      </w:pPr>
      <w:r w:rsidRPr="007D5F52">
        <w:rPr>
          <w:noProof/>
          <w:sz w:val="22"/>
          <w:szCs w:val="22"/>
          <w:lang w:val="en-AU" w:eastAsia="en-AU"/>
        </w:rPr>
        <mc:AlternateContent>
          <mc:Choice Requires="wps">
            <w:drawing>
              <wp:anchor distT="45720" distB="45720" distL="114300" distR="114300" simplePos="0" relativeHeight="251658240" behindDoc="0" locked="0" layoutInCell="1" allowOverlap="1" wp14:anchorId="2FD72571" wp14:editId="47300C52">
                <wp:simplePos x="0" y="0"/>
                <wp:positionH relativeFrom="column">
                  <wp:posOffset>3740785</wp:posOffset>
                </wp:positionH>
                <wp:positionV relativeFrom="paragraph">
                  <wp:posOffset>1541145</wp:posOffset>
                </wp:positionV>
                <wp:extent cx="1251585" cy="586740"/>
                <wp:effectExtent l="2540" t="0" r="317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1585" cy="58674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B4E220" w14:textId="77777777" w:rsidR="00421828" w:rsidRPr="008E774F" w:rsidRDefault="00421828" w:rsidP="008E774F">
                            <w:pPr>
                              <w:spacing w:after="0"/>
                              <w:rPr>
                                <w:b/>
                                <w:lang w:eastAsia="ja-JP"/>
                              </w:rPr>
                            </w:pPr>
                            <w:r w:rsidRPr="008E774F">
                              <w:rPr>
                                <w:b/>
                                <w:lang w:eastAsia="ja-JP"/>
                              </w:rPr>
                              <w:t>HR (95% CI)</w:t>
                            </w:r>
                          </w:p>
                          <w:p w14:paraId="7F53CE25" w14:textId="77777777" w:rsidR="00421828" w:rsidRDefault="00421828" w:rsidP="008E774F">
                            <w:pPr>
                              <w:spacing w:after="0"/>
                              <w:rPr>
                                <w:lang w:eastAsia="ja-JP"/>
                              </w:rPr>
                            </w:pPr>
                            <w:r w:rsidRPr="003F35C2">
                              <w:rPr>
                                <w:lang w:eastAsia="ja-JP"/>
                              </w:rPr>
                              <w:t>0.90 (0.82, 0.98)</w:t>
                            </w:r>
                          </w:p>
                          <w:p w14:paraId="4D18708E" w14:textId="77777777" w:rsidR="00421828" w:rsidRPr="0005546F" w:rsidRDefault="00421828" w:rsidP="008E774F">
                            <w:pPr>
                              <w:spacing w:after="0"/>
                              <w:rPr>
                                <w:lang w:val="de-DE"/>
                              </w:rPr>
                            </w:pPr>
                            <w:r>
                              <w:rPr>
                                <w:lang w:eastAsia="ja-JP"/>
                              </w:rPr>
                              <w:t>p = 0.019</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FD72571" id="_x0000_t202" coordsize="21600,21600" o:spt="202" path="m,l,21600r21600,l21600,xe">
                <v:stroke joinstyle="miter"/>
                <v:path gradientshapeok="t" o:connecttype="rect"/>
              </v:shapetype>
              <v:shape id="Text Box 4" o:spid="_x0000_s1026" type="#_x0000_t202" style="position:absolute;margin-left:294.55pt;margin-top:121.35pt;width:98.55pt;height:46.2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" filled="f" stroked="f">
                <v:fill opacity="0"/>
                <v:textbox style="mso-fit-shape-to-text:t">
                  <w:txbxContent>
                    <w:p w14:paraId="5DB4E220" w14:textId="77777777" w:rsidR="00421828" w:rsidRPr="008E774F" w:rsidRDefault="00421828" w:rsidP="008E774F">
                      <w:pPr>
                        <w:spacing w:after="0"/>
                        <w:rPr>
                          <w:b/>
                          <w:lang w:eastAsia="ja-JP"/>
                        </w:rPr>
                      </w:pPr>
                      <w:r w:rsidRPr="008E774F">
                        <w:rPr>
                          <w:b/>
                          <w:lang w:eastAsia="ja-JP"/>
                        </w:rPr>
                        <w:t>HR (95% CI)</w:t>
                      </w:r>
                    </w:p>
                    <w:p w14:paraId="7F53CE25" w14:textId="77777777" w:rsidR="00421828" w:rsidRDefault="00421828" w:rsidP="008E774F">
                      <w:pPr>
                        <w:spacing w:after="0"/>
                        <w:rPr>
                          <w:lang w:eastAsia="ja-JP"/>
                        </w:rPr>
                      </w:pPr>
                      <w:r w:rsidRPr="003F35C2">
                        <w:rPr>
                          <w:lang w:eastAsia="ja-JP"/>
                        </w:rPr>
                        <w:t>0.90 (0.82, 0.98)</w:t>
                      </w:r>
                    </w:p>
                    <w:p w14:paraId="4D18708E" w14:textId="77777777" w:rsidR="00421828" w:rsidRPr="0005546F" w:rsidRDefault="00421828" w:rsidP="008E774F">
                      <w:pPr>
                        <w:spacing w:after="0"/>
                        <w:rPr>
                          <w:lang w:val="de-DE"/>
                        </w:rPr>
                      </w:pPr>
                      <w:r>
                        <w:rPr>
                          <w:lang w:eastAsia="ja-JP"/>
                        </w:rPr>
                        <w:t>p = 0.019</w:t>
                      </w:r>
                    </w:p>
                  </w:txbxContent>
                </v:textbox>
              </v:shape>
            </w:pict>
          </mc:Fallback>
        </mc:AlternateContent>
      </w:r>
      <w:r w:rsidRPr="007D5F52">
        <w:rPr>
          <w:noProof/>
          <w:lang w:val="en-AU" w:eastAsia="en-AU"/>
        </w:rPr>
        <w:drawing>
          <wp:inline distT="0" distB="0" distL="0" distR="0" wp14:anchorId="6BC41DB7" wp14:editId="536F328F">
            <wp:extent cx="5495925" cy="3829050"/>
            <wp:effectExtent l="0" t="0" r="9525" b="0"/>
            <wp:docPr id="3" name="Picture 3" descr="Kaplan-Meier curve for the primary composite endpoint: time to first occurrence of CV death or HF hospitalis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Kaplan-Meier curve for the primary composite endpoint: time to first occurrence of CV death or HF hospitalisation"/>
                    <pic:cNvPicPr>
                      <a:picLocks noChangeAspect="1" noChangeArrowheads="1"/>
                    </pic:cNvPicPr>
                  </pic:nvPicPr>
                  <pic:blipFill>
                    <a:blip r:embed="rId16">
                      <a:extLst>
                        <a:ext uri="{28A0092B-C50C-407E-A947-70E740481C1C}">
                          <a14:useLocalDpi xmlns:a14="http://schemas.microsoft.com/office/drawing/2010/main" val="0"/>
                        </a:ext>
                      </a:extLst>
                    </a:blip>
                    <a:srcRect b="15848"/>
                    <a:stretch>
                      <a:fillRect/>
                    </a:stretch>
                  </pic:blipFill>
                  <pic:spPr bwMode="auto">
                    <a:xfrm>
                      <a:off x="0" y="0"/>
                      <a:ext cx="5495925" cy="3829050"/>
                    </a:xfrm>
                    <a:prstGeom prst="rect">
                      <a:avLst/>
                    </a:prstGeom>
                    <a:noFill/>
                    <a:ln>
                      <a:noFill/>
                    </a:ln>
                  </pic:spPr>
                </pic:pic>
              </a:graphicData>
            </a:graphic>
          </wp:inline>
        </w:drawing>
      </w:r>
    </w:p>
    <w:p w14:paraId="0DC683E5" w14:textId="63681259" w:rsidR="00C87E4B" w:rsidRPr="007D5F52" w:rsidRDefault="00C87E4B" w:rsidP="006D7754">
      <w:pPr>
        <w:jc w:val="left"/>
      </w:pPr>
    </w:p>
    <w:p w14:paraId="341C0028" w14:textId="777601B3" w:rsidR="004427EF" w:rsidRPr="007D5F52" w:rsidRDefault="004427EF" w:rsidP="006D7754">
      <w:pPr>
        <w:jc w:val="left"/>
      </w:pPr>
      <w:bookmarkStart w:id="22" w:name="_Ref39825512"/>
      <w:bookmarkStart w:id="23" w:name="_Hlk36123873"/>
      <w:r w:rsidRPr="007D5F52">
        <w:t xml:space="preserve">Vericiguat was superior to placebo in reducing the risk of all-cause mortality or HF hospitalisation (HR 0.90 [95% CI, 0.83 0.98]) and total events (first and recurrent) of HF hospitalisation (HR 0.91 [95% CI, 0.84 0.99]) (see </w:t>
      </w:r>
      <w:r w:rsidRPr="007D5F52">
        <w:fldChar w:fldCharType="begin"/>
      </w:r>
      <w:r w:rsidRPr="007D5F52">
        <w:instrText xml:space="preserve"> REF _Ref40459829 \h  \* MERGEFORMAT </w:instrText>
      </w:r>
      <w:r w:rsidRPr="007D5F52">
        <w:fldChar w:fldCharType="separate"/>
      </w:r>
      <w:r w:rsidR="00315B56" w:rsidRPr="00AD5FE7">
        <w:t>Table 4</w:t>
      </w:r>
      <w:r w:rsidRPr="007D5F52">
        <w:fldChar w:fldCharType="end"/>
      </w:r>
      <w:r w:rsidRPr="007D5F52">
        <w:t xml:space="preserve"> and </w:t>
      </w:r>
      <w:r w:rsidRPr="00AD5FE7">
        <w:fldChar w:fldCharType="begin"/>
      </w:r>
      <w:r w:rsidRPr="00AD5FE7">
        <w:instrText xml:space="preserve"> REF _Ref39825525 \h  \* MERGEFORMAT </w:instrText>
      </w:r>
      <w:r w:rsidRPr="00AD5FE7">
        <w:fldChar w:fldCharType="separate"/>
      </w:r>
      <w:r w:rsidR="00315B56" w:rsidRPr="00AD5FE7">
        <w:rPr>
          <w:noProof/>
        </w:rPr>
        <w:t>Table 5</w:t>
      </w:r>
      <w:r w:rsidRPr="00AD5FE7">
        <w:fldChar w:fldCharType="end"/>
      </w:r>
      <w:r w:rsidRPr="00AD5FE7">
        <w:t>)</w:t>
      </w:r>
      <w:r w:rsidRPr="007D5F52">
        <w:t>. The total number of HF hospitalisation events was greater in the placebo group (1,336 events) than in the vericiguat group (1,223 events).</w:t>
      </w:r>
    </w:p>
    <w:p w14:paraId="12ABBDB1" w14:textId="6F9AAB6D" w:rsidR="00C87E4B" w:rsidRPr="007D5F52" w:rsidRDefault="00CF19E4" w:rsidP="006D7754">
      <w:pPr>
        <w:jc w:val="left"/>
        <w:rPr>
          <w:b/>
        </w:rPr>
      </w:pPr>
      <w:bookmarkStart w:id="24" w:name="_Ref40459829"/>
      <w:r w:rsidRPr="007D5F52">
        <w:rPr>
          <w:b/>
        </w:rPr>
        <w:t xml:space="preserve">Table </w:t>
      </w:r>
      <w:r w:rsidRPr="007D5F52">
        <w:rPr>
          <w:b/>
        </w:rPr>
        <w:fldChar w:fldCharType="begin"/>
      </w:r>
      <w:r w:rsidRPr="007D5F52">
        <w:rPr>
          <w:b/>
        </w:rPr>
        <w:instrText xml:space="preserve"> SEQ Table \* ARABIC </w:instrText>
      </w:r>
      <w:r w:rsidRPr="007D5F52">
        <w:rPr>
          <w:b/>
        </w:rPr>
        <w:fldChar w:fldCharType="separate"/>
      </w:r>
      <w:r w:rsidR="00315B56">
        <w:rPr>
          <w:b/>
          <w:noProof/>
        </w:rPr>
        <w:t>4</w:t>
      </w:r>
      <w:r w:rsidRPr="007D5F52">
        <w:rPr>
          <w:b/>
        </w:rPr>
        <w:fldChar w:fldCharType="end"/>
      </w:r>
      <w:bookmarkEnd w:id="22"/>
      <w:bookmarkEnd w:id="24"/>
      <w:r w:rsidR="00C87E4B" w:rsidRPr="007D5F52">
        <w:rPr>
          <w:b/>
        </w:rPr>
        <w:t xml:space="preserve">: </w:t>
      </w:r>
      <w:r w:rsidR="004427EF" w:rsidRPr="007D5F52">
        <w:rPr>
          <w:b/>
        </w:rPr>
        <w:t xml:space="preserve">Treatment effect for the secondary endpoint of all-cause mortality or HF </w:t>
      </w:r>
      <w:r w:rsidR="00B761E1" w:rsidRPr="007D5F52">
        <w:rPr>
          <w:b/>
        </w:rPr>
        <w:t>hospitali</w:t>
      </w:r>
      <w:r w:rsidR="00182AC2" w:rsidRPr="007D5F52">
        <w:rPr>
          <w:b/>
        </w:rPr>
        <w:t>s</w:t>
      </w:r>
      <w:r w:rsidR="00B761E1" w:rsidRPr="007D5F52">
        <w:rPr>
          <w:b/>
        </w:rPr>
        <w:t>ation</w:t>
      </w:r>
    </w:p>
    <w:tbl>
      <w:tblPr>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170"/>
        <w:gridCol w:w="1170"/>
        <w:gridCol w:w="1350"/>
        <w:gridCol w:w="1170"/>
        <w:gridCol w:w="1530"/>
      </w:tblGrid>
      <w:tr w:rsidR="00B761E1" w:rsidRPr="007D5F52" w14:paraId="22CB07F3" w14:textId="77777777" w:rsidTr="00CC2EEC">
        <w:tc>
          <w:tcPr>
            <w:tcW w:w="2268" w:type="dxa"/>
            <w:vMerge w:val="restart"/>
            <w:shd w:val="clear" w:color="auto" w:fill="auto"/>
          </w:tcPr>
          <w:p w14:paraId="68246313" w14:textId="77777777" w:rsidR="00B761E1" w:rsidRPr="007D5F52" w:rsidRDefault="00B761E1" w:rsidP="006D7754">
            <w:pPr>
              <w:spacing w:after="0" w:line="240" w:lineRule="auto"/>
              <w:jc w:val="left"/>
              <w:rPr>
                <w:sz w:val="20"/>
                <w:lang w:eastAsia="ja-JP"/>
              </w:rPr>
            </w:pPr>
          </w:p>
        </w:tc>
        <w:tc>
          <w:tcPr>
            <w:tcW w:w="2340" w:type="dxa"/>
            <w:gridSpan w:val="2"/>
            <w:shd w:val="clear" w:color="auto" w:fill="auto"/>
            <w:vAlign w:val="center"/>
          </w:tcPr>
          <w:p w14:paraId="56F9CEAE" w14:textId="09A2C067" w:rsidR="00B761E1" w:rsidRPr="007D5F52" w:rsidRDefault="00B761E1" w:rsidP="006D7754">
            <w:pPr>
              <w:spacing w:after="0" w:line="240" w:lineRule="auto"/>
              <w:jc w:val="left"/>
              <w:rPr>
                <w:b/>
                <w:sz w:val="20"/>
                <w:lang w:eastAsia="ja-JP"/>
              </w:rPr>
            </w:pPr>
            <w:r w:rsidRPr="007D5F52">
              <w:rPr>
                <w:b/>
                <w:sz w:val="20"/>
                <w:lang w:eastAsia="ja-JP"/>
              </w:rPr>
              <w:t>Vericiguat</w:t>
            </w:r>
          </w:p>
          <w:p w14:paraId="487ACFF0" w14:textId="77777777" w:rsidR="00B761E1" w:rsidRPr="007D5F52" w:rsidRDefault="00B761E1" w:rsidP="006D7754">
            <w:pPr>
              <w:spacing w:after="0" w:line="240" w:lineRule="auto"/>
              <w:jc w:val="left"/>
              <w:rPr>
                <w:b/>
                <w:sz w:val="20"/>
                <w:lang w:eastAsia="ja-JP"/>
              </w:rPr>
            </w:pPr>
            <w:r w:rsidRPr="007D5F52">
              <w:rPr>
                <w:b/>
                <w:sz w:val="20"/>
                <w:lang w:eastAsia="ja-JP"/>
              </w:rPr>
              <w:t>N=2,526</w:t>
            </w:r>
          </w:p>
        </w:tc>
        <w:tc>
          <w:tcPr>
            <w:tcW w:w="2520" w:type="dxa"/>
            <w:gridSpan w:val="2"/>
            <w:shd w:val="clear" w:color="auto" w:fill="auto"/>
            <w:vAlign w:val="center"/>
          </w:tcPr>
          <w:p w14:paraId="2A880527" w14:textId="77777777" w:rsidR="00B761E1" w:rsidRPr="007D5F52" w:rsidRDefault="00B761E1" w:rsidP="006D7754">
            <w:pPr>
              <w:spacing w:after="0" w:line="240" w:lineRule="auto"/>
              <w:jc w:val="left"/>
              <w:rPr>
                <w:b/>
                <w:sz w:val="20"/>
                <w:lang w:eastAsia="ja-JP"/>
              </w:rPr>
            </w:pPr>
            <w:r w:rsidRPr="007D5F52">
              <w:rPr>
                <w:b/>
                <w:sz w:val="20"/>
                <w:lang w:eastAsia="ja-JP"/>
              </w:rPr>
              <w:t>Placebo</w:t>
            </w:r>
          </w:p>
          <w:p w14:paraId="3F3A7046" w14:textId="77777777" w:rsidR="00B761E1" w:rsidRPr="007D5F52" w:rsidRDefault="00B761E1" w:rsidP="006D7754">
            <w:pPr>
              <w:spacing w:after="0" w:line="240" w:lineRule="auto"/>
              <w:jc w:val="left"/>
              <w:rPr>
                <w:b/>
                <w:sz w:val="20"/>
                <w:lang w:eastAsia="ja-JP"/>
              </w:rPr>
            </w:pPr>
            <w:r w:rsidRPr="007D5F52">
              <w:rPr>
                <w:b/>
                <w:sz w:val="20"/>
                <w:lang w:eastAsia="ja-JP"/>
              </w:rPr>
              <w:t>N=2,524</w:t>
            </w:r>
          </w:p>
        </w:tc>
        <w:tc>
          <w:tcPr>
            <w:tcW w:w="1530" w:type="dxa"/>
            <w:vMerge w:val="restart"/>
            <w:shd w:val="clear" w:color="auto" w:fill="auto"/>
            <w:vAlign w:val="center"/>
          </w:tcPr>
          <w:p w14:paraId="3FF215BB" w14:textId="77777777" w:rsidR="00B761E1" w:rsidRPr="007D5F52" w:rsidRDefault="00B761E1" w:rsidP="006D7754">
            <w:pPr>
              <w:spacing w:after="0" w:line="240" w:lineRule="auto"/>
              <w:jc w:val="left"/>
              <w:rPr>
                <w:b/>
                <w:sz w:val="20"/>
                <w:lang w:eastAsia="ja-JP"/>
              </w:rPr>
            </w:pPr>
            <w:r w:rsidRPr="007D5F52">
              <w:rPr>
                <w:b/>
                <w:sz w:val="20"/>
                <w:lang w:eastAsia="ja-JP"/>
              </w:rPr>
              <w:t>Hazard Ratio</w:t>
            </w:r>
          </w:p>
          <w:p w14:paraId="45387AC7" w14:textId="6EE559BE" w:rsidR="00B761E1" w:rsidRPr="007D5F52" w:rsidRDefault="00B761E1" w:rsidP="006D7754">
            <w:pPr>
              <w:spacing w:after="0" w:line="240" w:lineRule="auto"/>
              <w:jc w:val="left"/>
              <w:rPr>
                <w:b/>
                <w:sz w:val="20"/>
                <w:lang w:eastAsia="ja-JP"/>
              </w:rPr>
            </w:pPr>
            <w:r w:rsidRPr="007D5F52">
              <w:rPr>
                <w:b/>
                <w:sz w:val="20"/>
                <w:lang w:eastAsia="ja-JP"/>
              </w:rPr>
              <w:t>(95% CI)</w:t>
            </w:r>
            <w:r w:rsidRPr="007D5F52">
              <w:rPr>
                <w:sz w:val="20"/>
                <w:vertAlign w:val="superscript"/>
                <w:lang w:eastAsia="ja-JP"/>
              </w:rPr>
              <w:t>2</w:t>
            </w:r>
          </w:p>
        </w:tc>
      </w:tr>
      <w:tr w:rsidR="00B761E1" w:rsidRPr="007D5F52" w14:paraId="4509011F" w14:textId="77777777" w:rsidTr="00CC2EEC">
        <w:tc>
          <w:tcPr>
            <w:tcW w:w="2268" w:type="dxa"/>
            <w:vMerge/>
            <w:tcBorders>
              <w:bottom w:val="single" w:sz="4" w:space="0" w:color="auto"/>
            </w:tcBorders>
            <w:shd w:val="clear" w:color="auto" w:fill="auto"/>
          </w:tcPr>
          <w:p w14:paraId="61FCBF14" w14:textId="77777777" w:rsidR="00B761E1" w:rsidRPr="007D5F52" w:rsidRDefault="00B761E1" w:rsidP="006D7754">
            <w:pPr>
              <w:spacing w:after="0" w:line="240" w:lineRule="auto"/>
              <w:jc w:val="left"/>
              <w:rPr>
                <w:sz w:val="20"/>
                <w:lang w:eastAsia="ja-JP"/>
              </w:rPr>
            </w:pPr>
          </w:p>
        </w:tc>
        <w:tc>
          <w:tcPr>
            <w:tcW w:w="1170" w:type="dxa"/>
            <w:tcBorders>
              <w:bottom w:val="single" w:sz="4" w:space="0" w:color="auto"/>
            </w:tcBorders>
            <w:shd w:val="clear" w:color="auto" w:fill="auto"/>
          </w:tcPr>
          <w:p w14:paraId="383B5F3F" w14:textId="77777777" w:rsidR="00B761E1" w:rsidRPr="007D5F52" w:rsidRDefault="00B761E1" w:rsidP="006D7754">
            <w:pPr>
              <w:spacing w:after="0" w:line="240" w:lineRule="auto"/>
              <w:jc w:val="left"/>
              <w:rPr>
                <w:b/>
                <w:sz w:val="20"/>
                <w:lang w:eastAsia="ja-JP"/>
              </w:rPr>
            </w:pPr>
            <w:r w:rsidRPr="007D5F52">
              <w:rPr>
                <w:b/>
                <w:sz w:val="20"/>
                <w:lang w:eastAsia="ja-JP"/>
              </w:rPr>
              <w:t>n (%)</w:t>
            </w:r>
          </w:p>
        </w:tc>
        <w:tc>
          <w:tcPr>
            <w:tcW w:w="1170" w:type="dxa"/>
            <w:tcBorders>
              <w:bottom w:val="single" w:sz="4" w:space="0" w:color="auto"/>
            </w:tcBorders>
          </w:tcPr>
          <w:p w14:paraId="58C1CCD3" w14:textId="51E456F1" w:rsidR="00B761E1" w:rsidRPr="007D5F52" w:rsidRDefault="00B761E1" w:rsidP="006D7754">
            <w:pPr>
              <w:spacing w:after="0" w:line="240" w:lineRule="auto"/>
              <w:jc w:val="left"/>
              <w:rPr>
                <w:b/>
                <w:sz w:val="20"/>
                <w:lang w:eastAsia="ja-JP"/>
              </w:rPr>
            </w:pPr>
            <w:r w:rsidRPr="007D5F52">
              <w:rPr>
                <w:b/>
                <w:sz w:val="20"/>
                <w:lang w:eastAsia="ja-JP"/>
              </w:rPr>
              <w:t>Annual %</w:t>
            </w:r>
            <w:r w:rsidRPr="007D5F52">
              <w:rPr>
                <w:b/>
                <w:sz w:val="20"/>
                <w:vertAlign w:val="superscript"/>
                <w:lang w:eastAsia="ja-JP"/>
              </w:rPr>
              <w:t>1</w:t>
            </w:r>
          </w:p>
        </w:tc>
        <w:tc>
          <w:tcPr>
            <w:tcW w:w="1350" w:type="dxa"/>
            <w:tcBorders>
              <w:bottom w:val="single" w:sz="4" w:space="0" w:color="auto"/>
            </w:tcBorders>
            <w:shd w:val="clear" w:color="auto" w:fill="auto"/>
          </w:tcPr>
          <w:p w14:paraId="1DDBABCC" w14:textId="77777777" w:rsidR="00B761E1" w:rsidRPr="007D5F52" w:rsidRDefault="00B761E1" w:rsidP="006D7754">
            <w:pPr>
              <w:spacing w:after="0" w:line="240" w:lineRule="auto"/>
              <w:jc w:val="left"/>
              <w:rPr>
                <w:b/>
                <w:sz w:val="20"/>
                <w:lang w:eastAsia="ja-JP"/>
              </w:rPr>
            </w:pPr>
            <w:r w:rsidRPr="007D5F52">
              <w:rPr>
                <w:b/>
                <w:sz w:val="20"/>
                <w:lang w:eastAsia="ja-JP"/>
              </w:rPr>
              <w:t>n (%)</w:t>
            </w:r>
          </w:p>
        </w:tc>
        <w:tc>
          <w:tcPr>
            <w:tcW w:w="1170" w:type="dxa"/>
            <w:tcBorders>
              <w:bottom w:val="single" w:sz="4" w:space="0" w:color="auto"/>
            </w:tcBorders>
          </w:tcPr>
          <w:p w14:paraId="0F5A6F3A" w14:textId="12643294" w:rsidR="00B761E1" w:rsidRPr="007D5F52" w:rsidRDefault="00B761E1" w:rsidP="006D7754">
            <w:pPr>
              <w:spacing w:after="0" w:line="240" w:lineRule="auto"/>
              <w:jc w:val="left"/>
              <w:rPr>
                <w:b/>
                <w:sz w:val="20"/>
                <w:vertAlign w:val="superscript"/>
                <w:lang w:eastAsia="ja-JP"/>
              </w:rPr>
            </w:pPr>
            <w:r w:rsidRPr="007D5F52">
              <w:rPr>
                <w:b/>
                <w:sz w:val="20"/>
                <w:lang w:eastAsia="ja-JP"/>
              </w:rPr>
              <w:t>Annual %</w:t>
            </w:r>
            <w:r w:rsidRPr="007D5F52">
              <w:rPr>
                <w:b/>
                <w:sz w:val="20"/>
                <w:vertAlign w:val="superscript"/>
                <w:lang w:eastAsia="ja-JP"/>
              </w:rPr>
              <w:t>1</w:t>
            </w:r>
          </w:p>
        </w:tc>
        <w:tc>
          <w:tcPr>
            <w:tcW w:w="1530" w:type="dxa"/>
            <w:vMerge/>
            <w:tcBorders>
              <w:bottom w:val="single" w:sz="4" w:space="0" w:color="auto"/>
            </w:tcBorders>
            <w:shd w:val="clear" w:color="auto" w:fill="auto"/>
            <w:vAlign w:val="center"/>
          </w:tcPr>
          <w:p w14:paraId="1B69CDCD" w14:textId="77777777" w:rsidR="00B761E1" w:rsidRPr="007D5F52" w:rsidRDefault="00B761E1" w:rsidP="006D7754">
            <w:pPr>
              <w:spacing w:after="0" w:line="240" w:lineRule="auto"/>
              <w:jc w:val="left"/>
              <w:rPr>
                <w:sz w:val="20"/>
                <w:lang w:eastAsia="ja-JP"/>
              </w:rPr>
            </w:pPr>
          </w:p>
        </w:tc>
      </w:tr>
      <w:tr w:rsidR="00B761E1" w:rsidRPr="007D5F52" w14:paraId="27BF2D1B" w14:textId="77777777" w:rsidTr="00CC2EEC">
        <w:tc>
          <w:tcPr>
            <w:tcW w:w="2268" w:type="dxa"/>
            <w:tcBorders>
              <w:bottom w:val="nil"/>
            </w:tcBorders>
            <w:shd w:val="clear" w:color="auto" w:fill="auto"/>
          </w:tcPr>
          <w:p w14:paraId="057CDF54" w14:textId="4FAAD2FE" w:rsidR="00B761E1" w:rsidRPr="007D5F52" w:rsidRDefault="00B761E1" w:rsidP="006D7754">
            <w:pPr>
              <w:spacing w:after="0" w:line="240" w:lineRule="auto"/>
              <w:jc w:val="left"/>
              <w:rPr>
                <w:sz w:val="20"/>
                <w:lang w:eastAsia="ja-JP"/>
              </w:rPr>
            </w:pPr>
            <w:r w:rsidRPr="007D5F52">
              <w:rPr>
                <w:sz w:val="20"/>
                <w:lang w:eastAsia="ja-JP"/>
              </w:rPr>
              <w:t>Composite of all-cause mortality or HF hospitalisation</w:t>
            </w:r>
            <w:r w:rsidRPr="007D5F52">
              <w:rPr>
                <w:sz w:val="20"/>
                <w:vertAlign w:val="superscript"/>
                <w:lang w:eastAsia="ja-JP"/>
              </w:rPr>
              <w:t>3</w:t>
            </w:r>
          </w:p>
        </w:tc>
        <w:tc>
          <w:tcPr>
            <w:tcW w:w="1170" w:type="dxa"/>
            <w:tcBorders>
              <w:bottom w:val="nil"/>
            </w:tcBorders>
            <w:shd w:val="clear" w:color="auto" w:fill="auto"/>
          </w:tcPr>
          <w:p w14:paraId="22903D8F" w14:textId="77777777" w:rsidR="00B761E1" w:rsidRPr="007D5F52" w:rsidRDefault="00B761E1" w:rsidP="006D7754">
            <w:pPr>
              <w:spacing w:after="0" w:line="240" w:lineRule="auto"/>
              <w:jc w:val="left"/>
              <w:rPr>
                <w:sz w:val="20"/>
                <w:lang w:eastAsia="ja-JP"/>
              </w:rPr>
            </w:pPr>
            <w:r w:rsidRPr="007D5F52">
              <w:rPr>
                <w:sz w:val="20"/>
                <w:lang w:eastAsia="ja-JP"/>
              </w:rPr>
              <w:t>957 (37.9)</w:t>
            </w:r>
          </w:p>
        </w:tc>
        <w:tc>
          <w:tcPr>
            <w:tcW w:w="1170" w:type="dxa"/>
            <w:tcBorders>
              <w:bottom w:val="nil"/>
            </w:tcBorders>
          </w:tcPr>
          <w:p w14:paraId="12965897" w14:textId="77777777" w:rsidR="00B761E1" w:rsidRPr="007D5F52" w:rsidRDefault="00B761E1" w:rsidP="006D7754">
            <w:pPr>
              <w:spacing w:after="0" w:line="240" w:lineRule="auto"/>
              <w:jc w:val="left"/>
              <w:rPr>
                <w:sz w:val="20"/>
                <w:lang w:eastAsia="ja-JP"/>
              </w:rPr>
            </w:pPr>
            <w:r w:rsidRPr="007D5F52">
              <w:rPr>
                <w:sz w:val="20"/>
                <w:lang w:eastAsia="ja-JP"/>
              </w:rPr>
              <w:t>35.9</w:t>
            </w:r>
          </w:p>
        </w:tc>
        <w:tc>
          <w:tcPr>
            <w:tcW w:w="1350" w:type="dxa"/>
            <w:tcBorders>
              <w:bottom w:val="nil"/>
            </w:tcBorders>
            <w:shd w:val="clear" w:color="auto" w:fill="auto"/>
          </w:tcPr>
          <w:p w14:paraId="2CD150D4" w14:textId="77777777" w:rsidR="00B761E1" w:rsidRPr="007D5F52" w:rsidRDefault="00B761E1" w:rsidP="006D7754">
            <w:pPr>
              <w:spacing w:after="0" w:line="240" w:lineRule="auto"/>
              <w:jc w:val="left"/>
              <w:rPr>
                <w:sz w:val="20"/>
                <w:lang w:eastAsia="ja-JP"/>
              </w:rPr>
            </w:pPr>
            <w:r w:rsidRPr="007D5F52">
              <w:rPr>
                <w:sz w:val="20"/>
                <w:lang w:eastAsia="ja-JP"/>
              </w:rPr>
              <w:t>1,032 (40.9)</w:t>
            </w:r>
          </w:p>
        </w:tc>
        <w:tc>
          <w:tcPr>
            <w:tcW w:w="1170" w:type="dxa"/>
            <w:tcBorders>
              <w:bottom w:val="nil"/>
            </w:tcBorders>
          </w:tcPr>
          <w:p w14:paraId="7516A2CA" w14:textId="77777777" w:rsidR="00B761E1" w:rsidRPr="007D5F52" w:rsidRDefault="00B761E1" w:rsidP="006D7754">
            <w:pPr>
              <w:spacing w:after="0" w:line="240" w:lineRule="auto"/>
              <w:jc w:val="left"/>
              <w:rPr>
                <w:sz w:val="20"/>
                <w:lang w:eastAsia="ja-JP"/>
              </w:rPr>
            </w:pPr>
            <w:r w:rsidRPr="007D5F52">
              <w:rPr>
                <w:sz w:val="20"/>
                <w:lang w:eastAsia="ja-JP"/>
              </w:rPr>
              <w:t>40.1</w:t>
            </w:r>
          </w:p>
        </w:tc>
        <w:tc>
          <w:tcPr>
            <w:tcW w:w="1530" w:type="dxa"/>
            <w:tcBorders>
              <w:bottom w:val="nil"/>
            </w:tcBorders>
            <w:shd w:val="clear" w:color="auto" w:fill="auto"/>
          </w:tcPr>
          <w:p w14:paraId="00700E0E" w14:textId="77777777" w:rsidR="00B761E1" w:rsidRPr="007D5F52" w:rsidRDefault="00B761E1" w:rsidP="006D7754">
            <w:pPr>
              <w:spacing w:after="0" w:line="240" w:lineRule="auto"/>
              <w:jc w:val="left"/>
              <w:rPr>
                <w:sz w:val="20"/>
                <w:lang w:eastAsia="ja-JP"/>
              </w:rPr>
            </w:pPr>
            <w:r w:rsidRPr="007D5F52">
              <w:rPr>
                <w:sz w:val="20"/>
                <w:lang w:eastAsia="ja-JP"/>
              </w:rPr>
              <w:t>0.90</w:t>
            </w:r>
          </w:p>
          <w:p w14:paraId="65D7ED80" w14:textId="77777777" w:rsidR="00B761E1" w:rsidRPr="007D5F52" w:rsidRDefault="00B761E1" w:rsidP="006D7754">
            <w:pPr>
              <w:spacing w:after="0" w:line="240" w:lineRule="auto"/>
              <w:jc w:val="left"/>
              <w:rPr>
                <w:sz w:val="20"/>
                <w:lang w:eastAsia="ja-JP"/>
              </w:rPr>
            </w:pPr>
            <w:r w:rsidRPr="007D5F52">
              <w:rPr>
                <w:sz w:val="20"/>
                <w:lang w:eastAsia="ja-JP"/>
              </w:rPr>
              <w:t>(0.83, 0.98)</w:t>
            </w:r>
          </w:p>
        </w:tc>
      </w:tr>
      <w:tr w:rsidR="00B761E1" w:rsidRPr="007D5F52" w14:paraId="5971D61A" w14:textId="77777777" w:rsidTr="00CC2EEC">
        <w:tc>
          <w:tcPr>
            <w:tcW w:w="2268" w:type="dxa"/>
            <w:tcBorders>
              <w:top w:val="nil"/>
              <w:bottom w:val="nil"/>
            </w:tcBorders>
            <w:shd w:val="clear" w:color="auto" w:fill="auto"/>
          </w:tcPr>
          <w:p w14:paraId="6C322F6F" w14:textId="77777777" w:rsidR="00B761E1" w:rsidRPr="007D5F52" w:rsidRDefault="00B761E1" w:rsidP="006D7754">
            <w:pPr>
              <w:spacing w:after="0" w:line="240" w:lineRule="auto"/>
              <w:jc w:val="left"/>
              <w:rPr>
                <w:sz w:val="20"/>
                <w:lang w:eastAsia="ja-JP"/>
              </w:rPr>
            </w:pPr>
          </w:p>
          <w:p w14:paraId="5C52B23A" w14:textId="77777777" w:rsidR="00B761E1" w:rsidRPr="007D5F52" w:rsidRDefault="00B761E1" w:rsidP="006D7754">
            <w:pPr>
              <w:spacing w:after="0" w:line="240" w:lineRule="auto"/>
              <w:ind w:left="240"/>
              <w:jc w:val="left"/>
              <w:rPr>
                <w:sz w:val="20"/>
                <w:lang w:eastAsia="ja-JP"/>
              </w:rPr>
            </w:pPr>
            <w:r w:rsidRPr="007D5F52">
              <w:rPr>
                <w:sz w:val="20"/>
                <w:szCs w:val="20"/>
              </w:rPr>
              <w:t>All-cause mortality</w:t>
            </w:r>
          </w:p>
        </w:tc>
        <w:tc>
          <w:tcPr>
            <w:tcW w:w="1170" w:type="dxa"/>
            <w:tcBorders>
              <w:top w:val="nil"/>
              <w:bottom w:val="nil"/>
            </w:tcBorders>
            <w:shd w:val="clear" w:color="auto" w:fill="auto"/>
          </w:tcPr>
          <w:p w14:paraId="6B8C537A" w14:textId="77777777" w:rsidR="00B761E1" w:rsidRPr="007D5F52" w:rsidRDefault="00B761E1" w:rsidP="006D7754">
            <w:pPr>
              <w:spacing w:after="0" w:line="240" w:lineRule="auto"/>
              <w:jc w:val="left"/>
              <w:rPr>
                <w:sz w:val="20"/>
                <w:lang w:eastAsia="ja-JP"/>
              </w:rPr>
            </w:pPr>
          </w:p>
          <w:p w14:paraId="016B6B8E" w14:textId="77777777" w:rsidR="00B761E1" w:rsidRPr="007D5F52" w:rsidRDefault="00B761E1" w:rsidP="006D7754">
            <w:pPr>
              <w:spacing w:after="0" w:line="240" w:lineRule="auto"/>
              <w:jc w:val="left"/>
              <w:rPr>
                <w:sz w:val="20"/>
                <w:lang w:eastAsia="ja-JP"/>
              </w:rPr>
            </w:pPr>
            <w:r w:rsidRPr="007D5F52">
              <w:rPr>
                <w:sz w:val="20"/>
                <w:lang w:eastAsia="ja-JP"/>
              </w:rPr>
              <w:t>266 (10.5)</w:t>
            </w:r>
          </w:p>
        </w:tc>
        <w:tc>
          <w:tcPr>
            <w:tcW w:w="1170" w:type="dxa"/>
            <w:tcBorders>
              <w:top w:val="nil"/>
              <w:bottom w:val="nil"/>
            </w:tcBorders>
          </w:tcPr>
          <w:p w14:paraId="1109E05C" w14:textId="77777777" w:rsidR="00B761E1" w:rsidRPr="007D5F52" w:rsidRDefault="00B761E1" w:rsidP="006D7754">
            <w:pPr>
              <w:spacing w:after="0" w:line="240" w:lineRule="auto"/>
              <w:jc w:val="left"/>
              <w:rPr>
                <w:sz w:val="20"/>
                <w:lang w:eastAsia="ja-JP"/>
              </w:rPr>
            </w:pPr>
          </w:p>
        </w:tc>
        <w:tc>
          <w:tcPr>
            <w:tcW w:w="1350" w:type="dxa"/>
            <w:tcBorders>
              <w:top w:val="nil"/>
              <w:bottom w:val="nil"/>
            </w:tcBorders>
            <w:shd w:val="clear" w:color="auto" w:fill="auto"/>
          </w:tcPr>
          <w:p w14:paraId="42F0DE9F" w14:textId="77777777" w:rsidR="00B761E1" w:rsidRPr="007D5F52" w:rsidRDefault="00B761E1" w:rsidP="006D7754">
            <w:pPr>
              <w:spacing w:after="0" w:line="240" w:lineRule="auto"/>
              <w:jc w:val="left"/>
              <w:rPr>
                <w:sz w:val="20"/>
                <w:lang w:eastAsia="ja-JP"/>
              </w:rPr>
            </w:pPr>
          </w:p>
          <w:p w14:paraId="2D995DC1" w14:textId="77777777" w:rsidR="00B761E1" w:rsidRPr="007D5F52" w:rsidRDefault="00B761E1" w:rsidP="006D7754">
            <w:pPr>
              <w:spacing w:after="0" w:line="240" w:lineRule="auto"/>
              <w:jc w:val="left"/>
              <w:rPr>
                <w:sz w:val="20"/>
                <w:lang w:eastAsia="ja-JP"/>
              </w:rPr>
            </w:pPr>
            <w:r w:rsidRPr="007D5F52">
              <w:rPr>
                <w:sz w:val="20"/>
                <w:lang w:eastAsia="ja-JP"/>
              </w:rPr>
              <w:t>285 (11.3)</w:t>
            </w:r>
          </w:p>
        </w:tc>
        <w:tc>
          <w:tcPr>
            <w:tcW w:w="1170" w:type="dxa"/>
            <w:tcBorders>
              <w:top w:val="nil"/>
              <w:bottom w:val="nil"/>
            </w:tcBorders>
          </w:tcPr>
          <w:p w14:paraId="6FAE8B21" w14:textId="77777777" w:rsidR="00B761E1" w:rsidRPr="007D5F52" w:rsidRDefault="00B761E1" w:rsidP="006D7754">
            <w:pPr>
              <w:spacing w:after="0" w:line="240" w:lineRule="auto"/>
              <w:jc w:val="left"/>
              <w:rPr>
                <w:sz w:val="20"/>
                <w:lang w:eastAsia="ja-JP"/>
              </w:rPr>
            </w:pPr>
          </w:p>
        </w:tc>
        <w:tc>
          <w:tcPr>
            <w:tcW w:w="1530" w:type="dxa"/>
            <w:tcBorders>
              <w:top w:val="nil"/>
              <w:bottom w:val="nil"/>
            </w:tcBorders>
            <w:shd w:val="clear" w:color="auto" w:fill="auto"/>
          </w:tcPr>
          <w:p w14:paraId="161C5EE9" w14:textId="77777777" w:rsidR="00B761E1" w:rsidRPr="007D5F52" w:rsidRDefault="00B761E1" w:rsidP="006D7754">
            <w:pPr>
              <w:spacing w:after="0" w:line="240" w:lineRule="auto"/>
              <w:jc w:val="left"/>
              <w:rPr>
                <w:sz w:val="20"/>
                <w:lang w:eastAsia="ja-JP"/>
              </w:rPr>
            </w:pPr>
          </w:p>
        </w:tc>
      </w:tr>
      <w:tr w:rsidR="00B761E1" w:rsidRPr="007D5F52" w14:paraId="301146F3" w14:textId="77777777" w:rsidTr="00CC2EEC">
        <w:tc>
          <w:tcPr>
            <w:tcW w:w="2268" w:type="dxa"/>
            <w:tcBorders>
              <w:top w:val="nil"/>
            </w:tcBorders>
            <w:shd w:val="clear" w:color="auto" w:fill="auto"/>
          </w:tcPr>
          <w:p w14:paraId="7F2F8BE4" w14:textId="77777777" w:rsidR="00B761E1" w:rsidRPr="007D5F52" w:rsidRDefault="00B761E1" w:rsidP="006D7754">
            <w:pPr>
              <w:spacing w:after="0" w:line="240" w:lineRule="auto"/>
              <w:jc w:val="left"/>
              <w:rPr>
                <w:sz w:val="20"/>
                <w:lang w:eastAsia="ja-JP"/>
              </w:rPr>
            </w:pPr>
          </w:p>
          <w:p w14:paraId="5E16B1F9" w14:textId="6408E840" w:rsidR="00B761E1" w:rsidRPr="007D5F52" w:rsidRDefault="00B761E1" w:rsidP="006D7754">
            <w:pPr>
              <w:spacing w:after="0" w:line="240" w:lineRule="auto"/>
              <w:ind w:left="240"/>
              <w:jc w:val="left"/>
              <w:rPr>
                <w:sz w:val="20"/>
                <w:lang w:eastAsia="ja-JP"/>
              </w:rPr>
            </w:pPr>
            <w:r w:rsidRPr="007D5F52">
              <w:rPr>
                <w:sz w:val="20"/>
                <w:szCs w:val="20"/>
              </w:rPr>
              <w:t>HF hospitali</w:t>
            </w:r>
            <w:r w:rsidR="005E66DA" w:rsidRPr="007D5F52">
              <w:rPr>
                <w:sz w:val="20"/>
                <w:szCs w:val="20"/>
              </w:rPr>
              <w:t>s</w:t>
            </w:r>
            <w:r w:rsidRPr="007D5F52">
              <w:rPr>
                <w:sz w:val="20"/>
                <w:szCs w:val="20"/>
              </w:rPr>
              <w:t>ation</w:t>
            </w:r>
          </w:p>
        </w:tc>
        <w:tc>
          <w:tcPr>
            <w:tcW w:w="1170" w:type="dxa"/>
            <w:tcBorders>
              <w:top w:val="nil"/>
            </w:tcBorders>
            <w:shd w:val="clear" w:color="auto" w:fill="auto"/>
          </w:tcPr>
          <w:p w14:paraId="27B678F2" w14:textId="77777777" w:rsidR="00B761E1" w:rsidRPr="007D5F52" w:rsidRDefault="00B761E1" w:rsidP="006D7754">
            <w:pPr>
              <w:spacing w:after="0" w:line="240" w:lineRule="auto"/>
              <w:jc w:val="left"/>
              <w:rPr>
                <w:sz w:val="20"/>
                <w:lang w:eastAsia="ja-JP"/>
              </w:rPr>
            </w:pPr>
          </w:p>
          <w:p w14:paraId="1E4AAD70" w14:textId="77777777" w:rsidR="00B761E1" w:rsidRPr="007D5F52" w:rsidRDefault="00B761E1" w:rsidP="006D7754">
            <w:pPr>
              <w:spacing w:after="0" w:line="240" w:lineRule="auto"/>
              <w:jc w:val="left"/>
              <w:rPr>
                <w:sz w:val="20"/>
                <w:lang w:eastAsia="ja-JP"/>
              </w:rPr>
            </w:pPr>
            <w:r w:rsidRPr="007D5F52">
              <w:rPr>
                <w:sz w:val="20"/>
                <w:lang w:eastAsia="ja-JP"/>
              </w:rPr>
              <w:t>691 (27.4)</w:t>
            </w:r>
          </w:p>
        </w:tc>
        <w:tc>
          <w:tcPr>
            <w:tcW w:w="1170" w:type="dxa"/>
            <w:tcBorders>
              <w:top w:val="nil"/>
            </w:tcBorders>
          </w:tcPr>
          <w:p w14:paraId="31EC6D24" w14:textId="77777777" w:rsidR="00B761E1" w:rsidRPr="007D5F52" w:rsidRDefault="00B761E1" w:rsidP="006D7754">
            <w:pPr>
              <w:spacing w:after="0" w:line="240" w:lineRule="auto"/>
              <w:jc w:val="left"/>
              <w:rPr>
                <w:sz w:val="20"/>
                <w:lang w:eastAsia="ja-JP"/>
              </w:rPr>
            </w:pPr>
          </w:p>
        </w:tc>
        <w:tc>
          <w:tcPr>
            <w:tcW w:w="1350" w:type="dxa"/>
            <w:tcBorders>
              <w:top w:val="nil"/>
            </w:tcBorders>
            <w:shd w:val="clear" w:color="auto" w:fill="auto"/>
          </w:tcPr>
          <w:p w14:paraId="5623D48B" w14:textId="77777777" w:rsidR="00B761E1" w:rsidRPr="007D5F52" w:rsidRDefault="00B761E1" w:rsidP="006D7754">
            <w:pPr>
              <w:spacing w:after="0" w:line="240" w:lineRule="auto"/>
              <w:jc w:val="left"/>
              <w:rPr>
                <w:sz w:val="20"/>
                <w:lang w:eastAsia="ja-JP"/>
              </w:rPr>
            </w:pPr>
          </w:p>
          <w:p w14:paraId="379DC9DD" w14:textId="77777777" w:rsidR="00B761E1" w:rsidRPr="007D5F52" w:rsidRDefault="00B761E1" w:rsidP="006D7754">
            <w:pPr>
              <w:spacing w:after="0" w:line="240" w:lineRule="auto"/>
              <w:jc w:val="left"/>
              <w:rPr>
                <w:sz w:val="20"/>
                <w:lang w:eastAsia="ja-JP"/>
              </w:rPr>
            </w:pPr>
            <w:r w:rsidRPr="007D5F52">
              <w:rPr>
                <w:sz w:val="20"/>
                <w:lang w:eastAsia="ja-JP"/>
              </w:rPr>
              <w:t>747 (29.6)</w:t>
            </w:r>
          </w:p>
        </w:tc>
        <w:tc>
          <w:tcPr>
            <w:tcW w:w="1170" w:type="dxa"/>
            <w:tcBorders>
              <w:top w:val="nil"/>
            </w:tcBorders>
          </w:tcPr>
          <w:p w14:paraId="3B55F64E" w14:textId="77777777" w:rsidR="00B761E1" w:rsidRPr="007D5F52" w:rsidRDefault="00B761E1" w:rsidP="006D7754">
            <w:pPr>
              <w:spacing w:after="0" w:line="240" w:lineRule="auto"/>
              <w:jc w:val="left"/>
              <w:rPr>
                <w:sz w:val="20"/>
                <w:lang w:eastAsia="ja-JP"/>
              </w:rPr>
            </w:pPr>
          </w:p>
        </w:tc>
        <w:tc>
          <w:tcPr>
            <w:tcW w:w="1530" w:type="dxa"/>
            <w:tcBorders>
              <w:top w:val="nil"/>
            </w:tcBorders>
            <w:shd w:val="clear" w:color="auto" w:fill="auto"/>
          </w:tcPr>
          <w:p w14:paraId="6BD6F210" w14:textId="77777777" w:rsidR="00B761E1" w:rsidRPr="007D5F52" w:rsidRDefault="00B761E1" w:rsidP="006D7754">
            <w:pPr>
              <w:spacing w:after="0" w:line="240" w:lineRule="auto"/>
              <w:jc w:val="left"/>
              <w:rPr>
                <w:sz w:val="20"/>
                <w:lang w:eastAsia="ja-JP"/>
              </w:rPr>
            </w:pPr>
          </w:p>
        </w:tc>
      </w:tr>
    </w:tbl>
    <w:p w14:paraId="137048B3" w14:textId="4DE1130E" w:rsidR="00B761E1" w:rsidRPr="007D5F52" w:rsidRDefault="00B761E1" w:rsidP="006D7754">
      <w:pPr>
        <w:spacing w:after="0"/>
        <w:jc w:val="left"/>
        <w:rPr>
          <w:sz w:val="20"/>
        </w:rPr>
      </w:pPr>
      <w:r w:rsidRPr="007D5F52">
        <w:rPr>
          <w:sz w:val="20"/>
          <w:vertAlign w:val="superscript"/>
        </w:rPr>
        <w:t>1</w:t>
      </w:r>
      <w:r w:rsidRPr="007D5F52">
        <w:rPr>
          <w:sz w:val="20"/>
        </w:rPr>
        <w:t>Total patients with an event per 100 patient years at risk.</w:t>
      </w:r>
    </w:p>
    <w:p w14:paraId="55A1AE34" w14:textId="4C0FCF70" w:rsidR="00B761E1" w:rsidRPr="007D5F52" w:rsidRDefault="00B761E1" w:rsidP="006D7754">
      <w:pPr>
        <w:spacing w:after="0"/>
        <w:jc w:val="left"/>
        <w:rPr>
          <w:sz w:val="20"/>
        </w:rPr>
      </w:pPr>
      <w:r w:rsidRPr="007D5F52">
        <w:rPr>
          <w:sz w:val="20"/>
          <w:vertAlign w:val="superscript"/>
        </w:rPr>
        <w:t>2</w:t>
      </w:r>
      <w:r w:rsidRPr="007D5F52">
        <w:rPr>
          <w:sz w:val="20"/>
        </w:rPr>
        <w:t>Hazard ratio (vericiguat over placebo) and confidence interval from a Cox proportional hazards model.</w:t>
      </w:r>
    </w:p>
    <w:p w14:paraId="36A4DD0E" w14:textId="6279147D" w:rsidR="00B761E1" w:rsidRPr="007D5F52" w:rsidRDefault="00B761E1" w:rsidP="006D7754">
      <w:pPr>
        <w:spacing w:after="0"/>
        <w:jc w:val="left"/>
        <w:rPr>
          <w:sz w:val="20"/>
        </w:rPr>
      </w:pPr>
      <w:r w:rsidRPr="007D5F52">
        <w:rPr>
          <w:sz w:val="20"/>
          <w:vertAlign w:val="superscript"/>
        </w:rPr>
        <w:t>3</w:t>
      </w:r>
      <w:r w:rsidRPr="007D5F52">
        <w:rPr>
          <w:sz w:val="20"/>
        </w:rPr>
        <w:t>For patients with multiple events, only the first event contributing to the composite endpoint is counted</w:t>
      </w:r>
      <w:r w:rsidR="00182AC2" w:rsidRPr="007D5F52">
        <w:rPr>
          <w:sz w:val="20"/>
        </w:rPr>
        <w:t xml:space="preserve"> in the table</w:t>
      </w:r>
      <w:r w:rsidRPr="007D5F52">
        <w:rPr>
          <w:sz w:val="20"/>
        </w:rPr>
        <w:t>.</w:t>
      </w:r>
    </w:p>
    <w:p w14:paraId="606F34A4" w14:textId="7DFD4664" w:rsidR="004427EF" w:rsidRPr="007D5F52" w:rsidRDefault="00B761E1" w:rsidP="006D7754">
      <w:pPr>
        <w:jc w:val="left"/>
        <w:rPr>
          <w:sz w:val="20"/>
        </w:rPr>
      </w:pPr>
      <w:r w:rsidRPr="007D5F52">
        <w:rPr>
          <w:sz w:val="20"/>
        </w:rPr>
        <w:t>N=Number of patients in ITT population; n=Number of patients with an event.</w:t>
      </w:r>
      <w:bookmarkStart w:id="25" w:name="_Ref39825525"/>
    </w:p>
    <w:p w14:paraId="401BA4E4" w14:textId="326201AE" w:rsidR="00C87E4B" w:rsidRPr="007D5F52" w:rsidRDefault="00CF19E4" w:rsidP="006D7754">
      <w:pPr>
        <w:keepNext/>
        <w:jc w:val="left"/>
        <w:rPr>
          <w:b/>
        </w:rPr>
      </w:pPr>
      <w:r w:rsidRPr="007D5F52">
        <w:rPr>
          <w:b/>
        </w:rPr>
        <w:lastRenderedPageBreak/>
        <w:t xml:space="preserve">Table </w:t>
      </w:r>
      <w:r w:rsidRPr="007D5F52">
        <w:rPr>
          <w:b/>
        </w:rPr>
        <w:fldChar w:fldCharType="begin"/>
      </w:r>
      <w:r w:rsidRPr="007D5F52">
        <w:rPr>
          <w:b/>
        </w:rPr>
        <w:instrText xml:space="preserve"> SEQ Table \* ARABIC </w:instrText>
      </w:r>
      <w:r w:rsidRPr="007D5F52">
        <w:rPr>
          <w:b/>
        </w:rPr>
        <w:fldChar w:fldCharType="separate"/>
      </w:r>
      <w:r w:rsidR="00315B56">
        <w:rPr>
          <w:b/>
          <w:noProof/>
        </w:rPr>
        <w:t>5</w:t>
      </w:r>
      <w:r w:rsidRPr="007D5F52">
        <w:rPr>
          <w:b/>
        </w:rPr>
        <w:fldChar w:fldCharType="end"/>
      </w:r>
      <w:bookmarkEnd w:id="25"/>
      <w:r w:rsidR="00C87E4B" w:rsidRPr="007D5F52">
        <w:rPr>
          <w:b/>
        </w:rPr>
        <w:t xml:space="preserve">: </w:t>
      </w:r>
      <w:r w:rsidR="009B5BBC" w:rsidRPr="007D5F52">
        <w:rPr>
          <w:b/>
        </w:rPr>
        <w:t xml:space="preserve">Treatment effect for the secondary endpoint of total events (first and recurrent) of HF </w:t>
      </w:r>
      <w:r w:rsidR="00B761E1" w:rsidRPr="007D5F52">
        <w:rPr>
          <w:b/>
        </w:rPr>
        <w:t>hospitali</w:t>
      </w:r>
      <w:r w:rsidR="00182AC2" w:rsidRPr="007D5F52">
        <w:rPr>
          <w:b/>
        </w:rPr>
        <w:t>s</w:t>
      </w:r>
      <w:r w:rsidR="00B761E1" w:rsidRPr="007D5F52">
        <w:rPr>
          <w:b/>
        </w:rPr>
        <w:t>ation</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720"/>
        <w:gridCol w:w="1350"/>
        <w:gridCol w:w="900"/>
        <w:gridCol w:w="720"/>
        <w:gridCol w:w="1350"/>
        <w:gridCol w:w="900"/>
        <w:gridCol w:w="1170"/>
      </w:tblGrid>
      <w:tr w:rsidR="00B761E1" w:rsidRPr="007D5F52" w14:paraId="23037B03" w14:textId="77777777" w:rsidTr="00CC2EEC">
        <w:tc>
          <w:tcPr>
            <w:tcW w:w="1998" w:type="dxa"/>
            <w:vMerge w:val="restart"/>
            <w:shd w:val="clear" w:color="auto" w:fill="auto"/>
          </w:tcPr>
          <w:p w14:paraId="6104DC4A" w14:textId="77777777" w:rsidR="00B761E1" w:rsidRPr="007D5F52" w:rsidRDefault="00B761E1" w:rsidP="006D7754">
            <w:pPr>
              <w:keepNext/>
              <w:spacing w:after="0" w:line="240" w:lineRule="auto"/>
              <w:jc w:val="left"/>
              <w:rPr>
                <w:sz w:val="20"/>
                <w:lang w:eastAsia="ja-JP"/>
              </w:rPr>
            </w:pPr>
          </w:p>
        </w:tc>
        <w:tc>
          <w:tcPr>
            <w:tcW w:w="2970" w:type="dxa"/>
            <w:gridSpan w:val="3"/>
            <w:shd w:val="clear" w:color="auto" w:fill="auto"/>
            <w:vAlign w:val="center"/>
          </w:tcPr>
          <w:p w14:paraId="1283E6C4" w14:textId="3ABC1600" w:rsidR="00B761E1" w:rsidRPr="007D5F52" w:rsidRDefault="00B761E1" w:rsidP="006D7754">
            <w:pPr>
              <w:keepNext/>
              <w:spacing w:after="0" w:line="240" w:lineRule="auto"/>
              <w:jc w:val="left"/>
              <w:rPr>
                <w:b/>
                <w:sz w:val="20"/>
                <w:lang w:eastAsia="ja-JP"/>
              </w:rPr>
            </w:pPr>
            <w:r w:rsidRPr="007D5F52">
              <w:rPr>
                <w:b/>
                <w:sz w:val="20"/>
                <w:lang w:eastAsia="ja-JP"/>
              </w:rPr>
              <w:t>Vericiguat</w:t>
            </w:r>
          </w:p>
          <w:p w14:paraId="6938A58C" w14:textId="77777777" w:rsidR="00B761E1" w:rsidRPr="007D5F52" w:rsidRDefault="00B761E1" w:rsidP="006D7754">
            <w:pPr>
              <w:keepNext/>
              <w:spacing w:after="0" w:line="240" w:lineRule="auto"/>
              <w:jc w:val="left"/>
              <w:rPr>
                <w:b/>
                <w:sz w:val="20"/>
                <w:lang w:eastAsia="ja-JP"/>
              </w:rPr>
            </w:pPr>
            <w:r w:rsidRPr="007D5F52">
              <w:rPr>
                <w:b/>
                <w:sz w:val="20"/>
                <w:lang w:eastAsia="ja-JP"/>
              </w:rPr>
              <w:t>N=2,526</w:t>
            </w:r>
          </w:p>
        </w:tc>
        <w:tc>
          <w:tcPr>
            <w:tcW w:w="2970" w:type="dxa"/>
            <w:gridSpan w:val="3"/>
            <w:shd w:val="clear" w:color="auto" w:fill="auto"/>
            <w:vAlign w:val="center"/>
          </w:tcPr>
          <w:p w14:paraId="3D33DC7A" w14:textId="77777777" w:rsidR="00B761E1" w:rsidRPr="007D5F52" w:rsidRDefault="00B761E1" w:rsidP="006D7754">
            <w:pPr>
              <w:keepNext/>
              <w:spacing w:after="0" w:line="240" w:lineRule="auto"/>
              <w:jc w:val="left"/>
              <w:rPr>
                <w:b/>
                <w:sz w:val="20"/>
                <w:lang w:eastAsia="ja-JP"/>
              </w:rPr>
            </w:pPr>
            <w:r w:rsidRPr="007D5F52">
              <w:rPr>
                <w:b/>
                <w:sz w:val="20"/>
                <w:lang w:eastAsia="ja-JP"/>
              </w:rPr>
              <w:t>Placebo</w:t>
            </w:r>
          </w:p>
          <w:p w14:paraId="099E0E63" w14:textId="77777777" w:rsidR="00B761E1" w:rsidRPr="007D5F52" w:rsidRDefault="00B761E1" w:rsidP="006D7754">
            <w:pPr>
              <w:keepNext/>
              <w:spacing w:after="0" w:line="240" w:lineRule="auto"/>
              <w:jc w:val="left"/>
              <w:rPr>
                <w:b/>
                <w:sz w:val="20"/>
                <w:lang w:eastAsia="ja-JP"/>
              </w:rPr>
            </w:pPr>
            <w:r w:rsidRPr="007D5F52">
              <w:rPr>
                <w:b/>
                <w:sz w:val="20"/>
                <w:lang w:eastAsia="ja-JP"/>
              </w:rPr>
              <w:t>N=2,524</w:t>
            </w:r>
          </w:p>
        </w:tc>
        <w:tc>
          <w:tcPr>
            <w:tcW w:w="1170" w:type="dxa"/>
            <w:vMerge w:val="restart"/>
            <w:shd w:val="clear" w:color="auto" w:fill="auto"/>
            <w:vAlign w:val="center"/>
          </w:tcPr>
          <w:p w14:paraId="0F9AAC2F" w14:textId="77777777" w:rsidR="00B761E1" w:rsidRPr="007D5F52" w:rsidRDefault="00B761E1" w:rsidP="006D7754">
            <w:pPr>
              <w:keepNext/>
              <w:spacing w:after="0" w:line="240" w:lineRule="auto"/>
              <w:jc w:val="left"/>
              <w:rPr>
                <w:b/>
                <w:sz w:val="20"/>
                <w:lang w:eastAsia="ja-JP"/>
              </w:rPr>
            </w:pPr>
            <w:r w:rsidRPr="007D5F52">
              <w:rPr>
                <w:b/>
                <w:sz w:val="20"/>
                <w:lang w:eastAsia="ja-JP"/>
              </w:rPr>
              <w:t>Hazard Ratio</w:t>
            </w:r>
          </w:p>
          <w:p w14:paraId="3BCC2DBD" w14:textId="3318C165" w:rsidR="00B761E1" w:rsidRPr="007D5F52" w:rsidRDefault="00B761E1" w:rsidP="006D7754">
            <w:pPr>
              <w:keepNext/>
              <w:spacing w:after="0" w:line="240" w:lineRule="auto"/>
              <w:jc w:val="left"/>
              <w:rPr>
                <w:b/>
                <w:sz w:val="20"/>
                <w:vertAlign w:val="superscript"/>
                <w:lang w:eastAsia="ja-JP"/>
              </w:rPr>
            </w:pPr>
            <w:r w:rsidRPr="007D5F52">
              <w:rPr>
                <w:b/>
                <w:sz w:val="20"/>
                <w:lang w:eastAsia="ja-JP"/>
              </w:rPr>
              <w:t>(95% CI)</w:t>
            </w:r>
            <w:r w:rsidRPr="007D5F52">
              <w:rPr>
                <w:sz w:val="20"/>
                <w:vertAlign w:val="superscript"/>
                <w:lang w:eastAsia="ja-JP"/>
              </w:rPr>
              <w:t>2</w:t>
            </w:r>
          </w:p>
        </w:tc>
      </w:tr>
      <w:tr w:rsidR="00B761E1" w:rsidRPr="007D5F52" w14:paraId="1B1830B8" w14:textId="77777777" w:rsidTr="00CC2EEC">
        <w:tc>
          <w:tcPr>
            <w:tcW w:w="1998" w:type="dxa"/>
            <w:vMerge/>
            <w:tcBorders>
              <w:bottom w:val="single" w:sz="4" w:space="0" w:color="auto"/>
            </w:tcBorders>
            <w:shd w:val="clear" w:color="auto" w:fill="auto"/>
          </w:tcPr>
          <w:p w14:paraId="5792E347" w14:textId="77777777" w:rsidR="00B761E1" w:rsidRPr="007D5F52" w:rsidRDefault="00B761E1" w:rsidP="006D7754">
            <w:pPr>
              <w:keepNext/>
              <w:spacing w:after="0" w:line="240" w:lineRule="auto"/>
              <w:jc w:val="left"/>
              <w:rPr>
                <w:sz w:val="20"/>
                <w:lang w:eastAsia="ja-JP"/>
              </w:rPr>
            </w:pPr>
          </w:p>
        </w:tc>
        <w:tc>
          <w:tcPr>
            <w:tcW w:w="720" w:type="dxa"/>
            <w:tcBorders>
              <w:bottom w:val="single" w:sz="4" w:space="0" w:color="auto"/>
            </w:tcBorders>
            <w:shd w:val="clear" w:color="auto" w:fill="auto"/>
          </w:tcPr>
          <w:p w14:paraId="3925F5AF" w14:textId="77777777" w:rsidR="00B761E1" w:rsidRPr="007D5F52" w:rsidRDefault="00B761E1" w:rsidP="006D7754">
            <w:pPr>
              <w:keepNext/>
              <w:spacing w:after="0" w:line="240" w:lineRule="auto"/>
              <w:jc w:val="left"/>
              <w:rPr>
                <w:b/>
                <w:sz w:val="20"/>
                <w:lang w:eastAsia="ja-JP"/>
              </w:rPr>
            </w:pPr>
            <w:r w:rsidRPr="007D5F52">
              <w:rPr>
                <w:b/>
                <w:sz w:val="20"/>
                <w:lang w:eastAsia="ja-JP"/>
              </w:rPr>
              <w:t>n</w:t>
            </w:r>
          </w:p>
        </w:tc>
        <w:tc>
          <w:tcPr>
            <w:tcW w:w="1350" w:type="dxa"/>
            <w:tcBorders>
              <w:bottom w:val="single" w:sz="4" w:space="0" w:color="auto"/>
            </w:tcBorders>
          </w:tcPr>
          <w:p w14:paraId="004EFAB8" w14:textId="77777777" w:rsidR="00B761E1" w:rsidRPr="007D5F52" w:rsidRDefault="00B761E1" w:rsidP="006D7754">
            <w:pPr>
              <w:keepNext/>
              <w:spacing w:after="0" w:line="240" w:lineRule="auto"/>
              <w:jc w:val="left"/>
              <w:rPr>
                <w:b/>
                <w:sz w:val="20"/>
                <w:lang w:eastAsia="ja-JP"/>
              </w:rPr>
            </w:pPr>
            <w:r w:rsidRPr="007D5F52">
              <w:rPr>
                <w:b/>
                <w:sz w:val="20"/>
                <w:lang w:eastAsia="ja-JP"/>
              </w:rPr>
              <w:t>Total Follow-up Time (years)</w:t>
            </w:r>
          </w:p>
        </w:tc>
        <w:tc>
          <w:tcPr>
            <w:tcW w:w="900" w:type="dxa"/>
            <w:tcBorders>
              <w:bottom w:val="single" w:sz="4" w:space="0" w:color="auto"/>
            </w:tcBorders>
          </w:tcPr>
          <w:p w14:paraId="70F50489" w14:textId="6515BEC9" w:rsidR="00B761E1" w:rsidRPr="007D5F52" w:rsidRDefault="00B761E1" w:rsidP="006D7754">
            <w:pPr>
              <w:keepNext/>
              <w:spacing w:after="0" w:line="240" w:lineRule="auto"/>
              <w:jc w:val="left"/>
              <w:rPr>
                <w:b/>
                <w:sz w:val="20"/>
                <w:vertAlign w:val="superscript"/>
                <w:lang w:eastAsia="ja-JP"/>
              </w:rPr>
            </w:pPr>
            <w:r w:rsidRPr="007D5F52">
              <w:rPr>
                <w:b/>
                <w:sz w:val="20"/>
                <w:lang w:eastAsia="ja-JP"/>
              </w:rPr>
              <w:t>Annual %</w:t>
            </w:r>
            <w:r w:rsidRPr="007D5F52">
              <w:rPr>
                <w:b/>
                <w:sz w:val="20"/>
                <w:vertAlign w:val="superscript"/>
                <w:lang w:eastAsia="ja-JP"/>
              </w:rPr>
              <w:t>1</w:t>
            </w:r>
          </w:p>
        </w:tc>
        <w:tc>
          <w:tcPr>
            <w:tcW w:w="720" w:type="dxa"/>
            <w:tcBorders>
              <w:bottom w:val="single" w:sz="4" w:space="0" w:color="auto"/>
            </w:tcBorders>
            <w:shd w:val="clear" w:color="auto" w:fill="auto"/>
          </w:tcPr>
          <w:p w14:paraId="02BBF59C" w14:textId="77777777" w:rsidR="00B761E1" w:rsidRPr="007D5F52" w:rsidRDefault="00B761E1" w:rsidP="006D7754">
            <w:pPr>
              <w:keepNext/>
              <w:spacing w:after="0" w:line="240" w:lineRule="auto"/>
              <w:jc w:val="left"/>
              <w:rPr>
                <w:b/>
                <w:sz w:val="20"/>
                <w:lang w:eastAsia="ja-JP"/>
              </w:rPr>
            </w:pPr>
            <w:r w:rsidRPr="007D5F52">
              <w:rPr>
                <w:b/>
                <w:sz w:val="20"/>
                <w:lang w:eastAsia="ja-JP"/>
              </w:rPr>
              <w:t>n</w:t>
            </w:r>
          </w:p>
        </w:tc>
        <w:tc>
          <w:tcPr>
            <w:tcW w:w="1350" w:type="dxa"/>
            <w:tcBorders>
              <w:bottom w:val="single" w:sz="4" w:space="0" w:color="auto"/>
            </w:tcBorders>
          </w:tcPr>
          <w:p w14:paraId="7FCA0A81" w14:textId="77777777" w:rsidR="00B761E1" w:rsidRPr="007D5F52" w:rsidRDefault="00B761E1" w:rsidP="006D7754">
            <w:pPr>
              <w:keepNext/>
              <w:spacing w:after="0" w:line="240" w:lineRule="auto"/>
              <w:jc w:val="left"/>
              <w:rPr>
                <w:b/>
                <w:sz w:val="20"/>
                <w:lang w:eastAsia="ja-JP"/>
              </w:rPr>
            </w:pPr>
            <w:r w:rsidRPr="007D5F52">
              <w:rPr>
                <w:b/>
                <w:sz w:val="20"/>
                <w:lang w:eastAsia="ja-JP"/>
              </w:rPr>
              <w:t>Total Follow-up Time (years)</w:t>
            </w:r>
          </w:p>
        </w:tc>
        <w:tc>
          <w:tcPr>
            <w:tcW w:w="900" w:type="dxa"/>
            <w:tcBorders>
              <w:bottom w:val="single" w:sz="4" w:space="0" w:color="auto"/>
            </w:tcBorders>
          </w:tcPr>
          <w:p w14:paraId="0501F6D9" w14:textId="4FE3BCF7" w:rsidR="00B761E1" w:rsidRPr="007D5F52" w:rsidRDefault="00B761E1" w:rsidP="006D7754">
            <w:pPr>
              <w:keepNext/>
              <w:spacing w:after="0" w:line="240" w:lineRule="auto"/>
              <w:jc w:val="left"/>
              <w:rPr>
                <w:sz w:val="20"/>
                <w:lang w:eastAsia="ja-JP"/>
              </w:rPr>
            </w:pPr>
            <w:r w:rsidRPr="007D5F52">
              <w:rPr>
                <w:b/>
                <w:sz w:val="20"/>
                <w:lang w:eastAsia="ja-JP"/>
              </w:rPr>
              <w:t>Annual %</w:t>
            </w:r>
            <w:r w:rsidR="00CC2EEC" w:rsidRPr="007D5F52">
              <w:rPr>
                <w:b/>
                <w:sz w:val="20"/>
                <w:vertAlign w:val="superscript"/>
                <w:lang w:eastAsia="ja-JP"/>
              </w:rPr>
              <w:t>1</w:t>
            </w:r>
          </w:p>
        </w:tc>
        <w:tc>
          <w:tcPr>
            <w:tcW w:w="1170" w:type="dxa"/>
            <w:vMerge/>
            <w:tcBorders>
              <w:bottom w:val="single" w:sz="4" w:space="0" w:color="auto"/>
            </w:tcBorders>
            <w:shd w:val="clear" w:color="auto" w:fill="auto"/>
            <w:vAlign w:val="center"/>
          </w:tcPr>
          <w:p w14:paraId="37679050" w14:textId="77777777" w:rsidR="00B761E1" w:rsidRPr="007D5F52" w:rsidRDefault="00B761E1" w:rsidP="006D7754">
            <w:pPr>
              <w:keepNext/>
              <w:spacing w:after="0" w:line="240" w:lineRule="auto"/>
              <w:jc w:val="left"/>
              <w:rPr>
                <w:sz w:val="20"/>
                <w:lang w:eastAsia="ja-JP"/>
              </w:rPr>
            </w:pPr>
          </w:p>
        </w:tc>
      </w:tr>
      <w:tr w:rsidR="00B761E1" w:rsidRPr="007D5F52" w14:paraId="341C4BC0" w14:textId="77777777" w:rsidTr="00CC2EEC">
        <w:tc>
          <w:tcPr>
            <w:tcW w:w="1998" w:type="dxa"/>
            <w:tcBorders>
              <w:bottom w:val="nil"/>
            </w:tcBorders>
            <w:shd w:val="clear" w:color="auto" w:fill="auto"/>
          </w:tcPr>
          <w:p w14:paraId="0A11CCA7" w14:textId="3F87FE8B" w:rsidR="00B761E1" w:rsidRPr="007D5F52" w:rsidRDefault="00B761E1" w:rsidP="006D7754">
            <w:pPr>
              <w:keepNext/>
              <w:spacing w:after="0" w:line="240" w:lineRule="auto"/>
              <w:jc w:val="left"/>
              <w:rPr>
                <w:sz w:val="20"/>
                <w:lang w:eastAsia="ja-JP"/>
              </w:rPr>
            </w:pPr>
            <w:r w:rsidRPr="007D5F52">
              <w:rPr>
                <w:sz w:val="20"/>
                <w:lang w:eastAsia="ja-JP"/>
              </w:rPr>
              <w:t>Total number of HF hospitalisations (first and recurrent)</w:t>
            </w:r>
          </w:p>
          <w:p w14:paraId="67E4D2EB" w14:textId="77777777" w:rsidR="00B761E1" w:rsidRPr="007D5F52" w:rsidRDefault="00B761E1" w:rsidP="006D7754">
            <w:pPr>
              <w:keepNext/>
              <w:spacing w:after="0" w:line="240" w:lineRule="auto"/>
              <w:jc w:val="left"/>
              <w:rPr>
                <w:sz w:val="20"/>
                <w:lang w:eastAsia="ja-JP"/>
              </w:rPr>
            </w:pPr>
          </w:p>
          <w:p w14:paraId="507C80AC" w14:textId="2D630083" w:rsidR="00B761E1" w:rsidRPr="007D5F52" w:rsidRDefault="00B761E1" w:rsidP="006D7754">
            <w:pPr>
              <w:keepNext/>
              <w:spacing w:after="0" w:line="240" w:lineRule="auto"/>
              <w:jc w:val="left"/>
              <w:rPr>
                <w:sz w:val="20"/>
                <w:lang w:eastAsia="ja-JP"/>
              </w:rPr>
            </w:pPr>
            <w:r w:rsidRPr="007D5F52">
              <w:rPr>
                <w:sz w:val="20"/>
                <w:lang w:eastAsia="ja-JP"/>
              </w:rPr>
              <w:t>Patients</w:t>
            </w:r>
            <w:r w:rsidRPr="007D5F52">
              <w:rPr>
                <w:sz w:val="20"/>
                <w:vertAlign w:val="superscript"/>
                <w:lang w:eastAsia="ja-JP"/>
              </w:rPr>
              <w:t>3</w:t>
            </w:r>
            <w:r w:rsidRPr="007D5F52">
              <w:rPr>
                <w:sz w:val="20"/>
                <w:lang w:eastAsia="ja-JP"/>
              </w:rPr>
              <w:t xml:space="preserve"> with:</w:t>
            </w:r>
          </w:p>
        </w:tc>
        <w:tc>
          <w:tcPr>
            <w:tcW w:w="720" w:type="dxa"/>
            <w:tcBorders>
              <w:bottom w:val="nil"/>
            </w:tcBorders>
            <w:shd w:val="clear" w:color="auto" w:fill="auto"/>
          </w:tcPr>
          <w:p w14:paraId="536137A0" w14:textId="77777777" w:rsidR="00B761E1" w:rsidRPr="007D5F52" w:rsidRDefault="00B761E1" w:rsidP="006D7754">
            <w:pPr>
              <w:keepNext/>
              <w:spacing w:after="0" w:line="240" w:lineRule="auto"/>
              <w:jc w:val="left"/>
              <w:rPr>
                <w:sz w:val="20"/>
                <w:lang w:eastAsia="ja-JP"/>
              </w:rPr>
            </w:pPr>
            <w:r w:rsidRPr="007D5F52">
              <w:rPr>
                <w:sz w:val="20"/>
                <w:lang w:eastAsia="ja-JP"/>
              </w:rPr>
              <w:t>1,223</w:t>
            </w:r>
          </w:p>
        </w:tc>
        <w:tc>
          <w:tcPr>
            <w:tcW w:w="1350" w:type="dxa"/>
            <w:tcBorders>
              <w:bottom w:val="nil"/>
            </w:tcBorders>
          </w:tcPr>
          <w:p w14:paraId="539FD99A" w14:textId="77777777" w:rsidR="00B761E1" w:rsidRPr="007D5F52" w:rsidRDefault="00B761E1" w:rsidP="006D7754">
            <w:pPr>
              <w:keepNext/>
              <w:spacing w:after="0" w:line="240" w:lineRule="auto"/>
              <w:jc w:val="left"/>
              <w:rPr>
                <w:sz w:val="20"/>
                <w:lang w:eastAsia="ja-JP"/>
              </w:rPr>
            </w:pPr>
            <w:r w:rsidRPr="007D5F52">
              <w:rPr>
                <w:sz w:val="20"/>
                <w:lang w:eastAsia="ja-JP"/>
              </w:rPr>
              <w:t>3,190.7</w:t>
            </w:r>
          </w:p>
        </w:tc>
        <w:tc>
          <w:tcPr>
            <w:tcW w:w="900" w:type="dxa"/>
            <w:tcBorders>
              <w:bottom w:val="nil"/>
            </w:tcBorders>
          </w:tcPr>
          <w:p w14:paraId="366BD90A" w14:textId="77777777" w:rsidR="00B761E1" w:rsidRPr="007D5F52" w:rsidRDefault="00B761E1" w:rsidP="006D7754">
            <w:pPr>
              <w:keepNext/>
              <w:spacing w:after="0" w:line="240" w:lineRule="auto"/>
              <w:jc w:val="left"/>
              <w:rPr>
                <w:sz w:val="20"/>
                <w:lang w:eastAsia="ja-JP"/>
              </w:rPr>
            </w:pPr>
            <w:r w:rsidRPr="007D5F52">
              <w:rPr>
                <w:sz w:val="20"/>
                <w:lang w:eastAsia="ja-JP"/>
              </w:rPr>
              <w:t>38.3</w:t>
            </w:r>
          </w:p>
        </w:tc>
        <w:tc>
          <w:tcPr>
            <w:tcW w:w="720" w:type="dxa"/>
            <w:tcBorders>
              <w:bottom w:val="nil"/>
            </w:tcBorders>
            <w:shd w:val="clear" w:color="auto" w:fill="auto"/>
          </w:tcPr>
          <w:p w14:paraId="62722448" w14:textId="77777777" w:rsidR="00B761E1" w:rsidRPr="007D5F52" w:rsidRDefault="00B761E1" w:rsidP="006D7754">
            <w:pPr>
              <w:keepNext/>
              <w:spacing w:after="0" w:line="240" w:lineRule="auto"/>
              <w:jc w:val="left"/>
              <w:rPr>
                <w:sz w:val="20"/>
                <w:lang w:eastAsia="ja-JP"/>
              </w:rPr>
            </w:pPr>
            <w:r w:rsidRPr="007D5F52">
              <w:rPr>
                <w:sz w:val="20"/>
                <w:lang w:eastAsia="ja-JP"/>
              </w:rPr>
              <w:t>1,336</w:t>
            </w:r>
          </w:p>
        </w:tc>
        <w:tc>
          <w:tcPr>
            <w:tcW w:w="1350" w:type="dxa"/>
            <w:tcBorders>
              <w:bottom w:val="nil"/>
            </w:tcBorders>
          </w:tcPr>
          <w:p w14:paraId="4FE6BB37" w14:textId="77777777" w:rsidR="00B761E1" w:rsidRPr="007D5F52" w:rsidRDefault="00B761E1" w:rsidP="006D7754">
            <w:pPr>
              <w:keepNext/>
              <w:spacing w:after="0" w:line="240" w:lineRule="auto"/>
              <w:jc w:val="left"/>
              <w:rPr>
                <w:sz w:val="20"/>
                <w:lang w:eastAsia="ja-JP"/>
              </w:rPr>
            </w:pPr>
            <w:r w:rsidRPr="007D5F52">
              <w:rPr>
                <w:sz w:val="20"/>
                <w:lang w:eastAsia="ja-JP"/>
              </w:rPr>
              <w:t>3,151.0</w:t>
            </w:r>
          </w:p>
        </w:tc>
        <w:tc>
          <w:tcPr>
            <w:tcW w:w="900" w:type="dxa"/>
            <w:tcBorders>
              <w:bottom w:val="nil"/>
            </w:tcBorders>
          </w:tcPr>
          <w:p w14:paraId="61A91DBF" w14:textId="77777777" w:rsidR="00B761E1" w:rsidRPr="007D5F52" w:rsidRDefault="00B761E1" w:rsidP="006D7754">
            <w:pPr>
              <w:keepNext/>
              <w:spacing w:after="0" w:line="240" w:lineRule="auto"/>
              <w:jc w:val="left"/>
              <w:rPr>
                <w:sz w:val="20"/>
                <w:lang w:eastAsia="ja-JP"/>
              </w:rPr>
            </w:pPr>
            <w:r w:rsidRPr="007D5F52">
              <w:rPr>
                <w:sz w:val="20"/>
                <w:lang w:eastAsia="ja-JP"/>
              </w:rPr>
              <w:t>42.4</w:t>
            </w:r>
          </w:p>
        </w:tc>
        <w:tc>
          <w:tcPr>
            <w:tcW w:w="1170" w:type="dxa"/>
            <w:tcBorders>
              <w:bottom w:val="nil"/>
            </w:tcBorders>
            <w:shd w:val="clear" w:color="auto" w:fill="auto"/>
          </w:tcPr>
          <w:p w14:paraId="2FE71063" w14:textId="77777777" w:rsidR="00B761E1" w:rsidRPr="007D5F52" w:rsidRDefault="00B761E1" w:rsidP="006D7754">
            <w:pPr>
              <w:keepNext/>
              <w:spacing w:after="0" w:line="240" w:lineRule="auto"/>
              <w:jc w:val="left"/>
              <w:rPr>
                <w:sz w:val="20"/>
                <w:lang w:eastAsia="ja-JP"/>
              </w:rPr>
            </w:pPr>
            <w:r w:rsidRPr="007D5F52">
              <w:rPr>
                <w:sz w:val="20"/>
                <w:lang w:eastAsia="ja-JP"/>
              </w:rPr>
              <w:t>0.91</w:t>
            </w:r>
          </w:p>
          <w:p w14:paraId="4E6C844D" w14:textId="77777777" w:rsidR="00B761E1" w:rsidRPr="007D5F52" w:rsidRDefault="00B761E1" w:rsidP="006D7754">
            <w:pPr>
              <w:keepNext/>
              <w:spacing w:after="0" w:line="240" w:lineRule="auto"/>
              <w:jc w:val="left"/>
              <w:rPr>
                <w:sz w:val="20"/>
                <w:lang w:eastAsia="ja-JP"/>
              </w:rPr>
            </w:pPr>
            <w:r w:rsidRPr="007D5F52">
              <w:rPr>
                <w:sz w:val="20"/>
                <w:lang w:eastAsia="ja-JP"/>
              </w:rPr>
              <w:t>(0.84, 0.99)</w:t>
            </w:r>
          </w:p>
        </w:tc>
      </w:tr>
      <w:tr w:rsidR="00B761E1" w:rsidRPr="007D5F52" w14:paraId="58CD1CB2" w14:textId="77777777" w:rsidTr="00CC2EEC">
        <w:tc>
          <w:tcPr>
            <w:tcW w:w="1998" w:type="dxa"/>
            <w:tcBorders>
              <w:top w:val="nil"/>
              <w:bottom w:val="nil"/>
            </w:tcBorders>
            <w:shd w:val="clear" w:color="auto" w:fill="auto"/>
          </w:tcPr>
          <w:p w14:paraId="3C92CD0E" w14:textId="77777777" w:rsidR="00B761E1" w:rsidRPr="007D5F52" w:rsidRDefault="00B761E1" w:rsidP="006D7754">
            <w:pPr>
              <w:keepNext/>
              <w:spacing w:after="0" w:line="20" w:lineRule="atLeast"/>
              <w:ind w:left="240"/>
              <w:jc w:val="left"/>
              <w:rPr>
                <w:sz w:val="20"/>
                <w:szCs w:val="20"/>
              </w:rPr>
            </w:pPr>
            <w:r w:rsidRPr="007D5F52">
              <w:rPr>
                <w:sz w:val="20"/>
                <w:szCs w:val="20"/>
              </w:rPr>
              <w:t>One event</w:t>
            </w:r>
          </w:p>
        </w:tc>
        <w:tc>
          <w:tcPr>
            <w:tcW w:w="720" w:type="dxa"/>
            <w:tcBorders>
              <w:top w:val="nil"/>
              <w:bottom w:val="nil"/>
            </w:tcBorders>
            <w:shd w:val="clear" w:color="auto" w:fill="auto"/>
          </w:tcPr>
          <w:p w14:paraId="66D176CA" w14:textId="77777777" w:rsidR="00B761E1" w:rsidRPr="007D5F52" w:rsidRDefault="00B761E1" w:rsidP="006D7754">
            <w:pPr>
              <w:keepNext/>
              <w:spacing w:after="0" w:line="240" w:lineRule="auto"/>
              <w:jc w:val="left"/>
              <w:rPr>
                <w:sz w:val="20"/>
                <w:lang w:eastAsia="ja-JP"/>
              </w:rPr>
            </w:pPr>
            <w:r w:rsidRPr="007D5F52">
              <w:rPr>
                <w:sz w:val="20"/>
                <w:lang w:eastAsia="ja-JP"/>
              </w:rPr>
              <w:t>415</w:t>
            </w:r>
          </w:p>
        </w:tc>
        <w:tc>
          <w:tcPr>
            <w:tcW w:w="1350" w:type="dxa"/>
            <w:tcBorders>
              <w:top w:val="nil"/>
              <w:bottom w:val="nil"/>
            </w:tcBorders>
          </w:tcPr>
          <w:p w14:paraId="0CC70205" w14:textId="77777777" w:rsidR="00B761E1" w:rsidRPr="007D5F52" w:rsidRDefault="00B761E1" w:rsidP="006D7754">
            <w:pPr>
              <w:keepNext/>
              <w:spacing w:after="0" w:line="240" w:lineRule="auto"/>
              <w:jc w:val="left"/>
              <w:rPr>
                <w:sz w:val="20"/>
                <w:lang w:eastAsia="ja-JP"/>
              </w:rPr>
            </w:pPr>
          </w:p>
        </w:tc>
        <w:tc>
          <w:tcPr>
            <w:tcW w:w="900" w:type="dxa"/>
            <w:tcBorders>
              <w:top w:val="nil"/>
              <w:bottom w:val="nil"/>
            </w:tcBorders>
          </w:tcPr>
          <w:p w14:paraId="49A53D1A" w14:textId="77777777" w:rsidR="00B761E1" w:rsidRPr="007D5F52" w:rsidRDefault="00B761E1" w:rsidP="006D7754">
            <w:pPr>
              <w:keepNext/>
              <w:spacing w:after="0" w:line="240" w:lineRule="auto"/>
              <w:jc w:val="left"/>
              <w:rPr>
                <w:sz w:val="20"/>
                <w:lang w:eastAsia="ja-JP"/>
              </w:rPr>
            </w:pPr>
          </w:p>
        </w:tc>
        <w:tc>
          <w:tcPr>
            <w:tcW w:w="720" w:type="dxa"/>
            <w:tcBorders>
              <w:top w:val="nil"/>
              <w:bottom w:val="nil"/>
            </w:tcBorders>
            <w:shd w:val="clear" w:color="auto" w:fill="auto"/>
          </w:tcPr>
          <w:p w14:paraId="6325ECA1" w14:textId="77777777" w:rsidR="00B761E1" w:rsidRPr="007D5F52" w:rsidRDefault="00B761E1" w:rsidP="006D7754">
            <w:pPr>
              <w:keepNext/>
              <w:spacing w:after="0" w:line="240" w:lineRule="auto"/>
              <w:jc w:val="left"/>
              <w:rPr>
                <w:sz w:val="20"/>
                <w:lang w:eastAsia="ja-JP"/>
              </w:rPr>
            </w:pPr>
            <w:r w:rsidRPr="007D5F52">
              <w:rPr>
                <w:sz w:val="20"/>
                <w:lang w:eastAsia="ja-JP"/>
              </w:rPr>
              <w:t>431</w:t>
            </w:r>
          </w:p>
        </w:tc>
        <w:tc>
          <w:tcPr>
            <w:tcW w:w="1350" w:type="dxa"/>
            <w:tcBorders>
              <w:top w:val="nil"/>
              <w:bottom w:val="nil"/>
            </w:tcBorders>
          </w:tcPr>
          <w:p w14:paraId="40F3C2B1" w14:textId="77777777" w:rsidR="00B761E1" w:rsidRPr="007D5F52" w:rsidRDefault="00B761E1" w:rsidP="006D7754">
            <w:pPr>
              <w:keepNext/>
              <w:spacing w:after="0" w:line="240" w:lineRule="auto"/>
              <w:jc w:val="left"/>
              <w:rPr>
                <w:sz w:val="20"/>
                <w:lang w:eastAsia="ja-JP"/>
              </w:rPr>
            </w:pPr>
          </w:p>
        </w:tc>
        <w:tc>
          <w:tcPr>
            <w:tcW w:w="900" w:type="dxa"/>
            <w:tcBorders>
              <w:top w:val="nil"/>
              <w:bottom w:val="nil"/>
            </w:tcBorders>
          </w:tcPr>
          <w:p w14:paraId="6280D0D9" w14:textId="77777777" w:rsidR="00B761E1" w:rsidRPr="007D5F52" w:rsidRDefault="00B761E1" w:rsidP="006D7754">
            <w:pPr>
              <w:keepNext/>
              <w:spacing w:after="0" w:line="240" w:lineRule="auto"/>
              <w:jc w:val="left"/>
              <w:rPr>
                <w:sz w:val="20"/>
                <w:lang w:eastAsia="ja-JP"/>
              </w:rPr>
            </w:pPr>
          </w:p>
        </w:tc>
        <w:tc>
          <w:tcPr>
            <w:tcW w:w="1170" w:type="dxa"/>
            <w:tcBorders>
              <w:top w:val="nil"/>
              <w:bottom w:val="nil"/>
            </w:tcBorders>
            <w:shd w:val="clear" w:color="auto" w:fill="auto"/>
          </w:tcPr>
          <w:p w14:paraId="02D8F8CA" w14:textId="77777777" w:rsidR="00B761E1" w:rsidRPr="007D5F52" w:rsidRDefault="00B761E1" w:rsidP="006D7754">
            <w:pPr>
              <w:keepNext/>
              <w:spacing w:after="0" w:line="240" w:lineRule="auto"/>
              <w:jc w:val="left"/>
              <w:rPr>
                <w:sz w:val="20"/>
                <w:lang w:eastAsia="ja-JP"/>
              </w:rPr>
            </w:pPr>
          </w:p>
        </w:tc>
      </w:tr>
      <w:tr w:rsidR="00B761E1" w:rsidRPr="007D5F52" w14:paraId="4C2DA27A" w14:textId="77777777" w:rsidTr="00CC2EEC">
        <w:tc>
          <w:tcPr>
            <w:tcW w:w="1998" w:type="dxa"/>
            <w:tcBorders>
              <w:top w:val="nil"/>
              <w:bottom w:val="nil"/>
            </w:tcBorders>
            <w:shd w:val="clear" w:color="auto" w:fill="auto"/>
          </w:tcPr>
          <w:p w14:paraId="4FD2C529" w14:textId="77777777" w:rsidR="00B761E1" w:rsidRPr="007D5F52" w:rsidRDefault="00B761E1" w:rsidP="006D7754">
            <w:pPr>
              <w:keepNext/>
              <w:spacing w:after="0" w:line="20" w:lineRule="atLeast"/>
              <w:ind w:left="240"/>
              <w:jc w:val="left"/>
              <w:rPr>
                <w:sz w:val="20"/>
                <w:szCs w:val="20"/>
              </w:rPr>
            </w:pPr>
            <w:r w:rsidRPr="007D5F52">
              <w:rPr>
                <w:sz w:val="20"/>
                <w:szCs w:val="20"/>
              </w:rPr>
              <w:t>Two events</w:t>
            </w:r>
          </w:p>
        </w:tc>
        <w:tc>
          <w:tcPr>
            <w:tcW w:w="720" w:type="dxa"/>
            <w:tcBorders>
              <w:top w:val="nil"/>
              <w:bottom w:val="nil"/>
            </w:tcBorders>
            <w:shd w:val="clear" w:color="auto" w:fill="auto"/>
          </w:tcPr>
          <w:p w14:paraId="63E2A756" w14:textId="77777777" w:rsidR="00B761E1" w:rsidRPr="007D5F52" w:rsidRDefault="00B761E1" w:rsidP="006D7754">
            <w:pPr>
              <w:keepNext/>
              <w:spacing w:after="0" w:line="240" w:lineRule="auto"/>
              <w:jc w:val="left"/>
              <w:rPr>
                <w:sz w:val="20"/>
                <w:lang w:eastAsia="ja-JP"/>
              </w:rPr>
            </w:pPr>
            <w:r w:rsidRPr="007D5F52">
              <w:rPr>
                <w:sz w:val="20"/>
                <w:lang w:eastAsia="ja-JP"/>
              </w:rPr>
              <w:t>160</w:t>
            </w:r>
          </w:p>
        </w:tc>
        <w:tc>
          <w:tcPr>
            <w:tcW w:w="1350" w:type="dxa"/>
            <w:tcBorders>
              <w:top w:val="nil"/>
              <w:bottom w:val="nil"/>
            </w:tcBorders>
          </w:tcPr>
          <w:p w14:paraId="093A683C" w14:textId="77777777" w:rsidR="00B761E1" w:rsidRPr="007D5F52" w:rsidRDefault="00B761E1" w:rsidP="006D7754">
            <w:pPr>
              <w:keepNext/>
              <w:spacing w:after="0" w:line="240" w:lineRule="auto"/>
              <w:jc w:val="left"/>
              <w:rPr>
                <w:sz w:val="20"/>
                <w:lang w:eastAsia="ja-JP"/>
              </w:rPr>
            </w:pPr>
          </w:p>
        </w:tc>
        <w:tc>
          <w:tcPr>
            <w:tcW w:w="900" w:type="dxa"/>
            <w:tcBorders>
              <w:top w:val="nil"/>
              <w:bottom w:val="nil"/>
            </w:tcBorders>
          </w:tcPr>
          <w:p w14:paraId="20BD7F0B" w14:textId="77777777" w:rsidR="00B761E1" w:rsidRPr="007D5F52" w:rsidRDefault="00B761E1" w:rsidP="006D7754">
            <w:pPr>
              <w:keepNext/>
              <w:spacing w:after="0" w:line="240" w:lineRule="auto"/>
              <w:jc w:val="left"/>
              <w:rPr>
                <w:sz w:val="20"/>
                <w:lang w:eastAsia="ja-JP"/>
              </w:rPr>
            </w:pPr>
          </w:p>
        </w:tc>
        <w:tc>
          <w:tcPr>
            <w:tcW w:w="720" w:type="dxa"/>
            <w:tcBorders>
              <w:top w:val="nil"/>
              <w:bottom w:val="nil"/>
            </w:tcBorders>
            <w:shd w:val="clear" w:color="auto" w:fill="auto"/>
          </w:tcPr>
          <w:p w14:paraId="20BF9A25" w14:textId="77777777" w:rsidR="00B761E1" w:rsidRPr="007D5F52" w:rsidRDefault="00B761E1" w:rsidP="006D7754">
            <w:pPr>
              <w:keepNext/>
              <w:spacing w:after="0" w:line="240" w:lineRule="auto"/>
              <w:jc w:val="left"/>
              <w:rPr>
                <w:sz w:val="20"/>
                <w:lang w:eastAsia="ja-JP"/>
              </w:rPr>
            </w:pPr>
            <w:r w:rsidRPr="007D5F52">
              <w:rPr>
                <w:sz w:val="20"/>
                <w:lang w:eastAsia="ja-JP"/>
              </w:rPr>
              <w:t>179</w:t>
            </w:r>
          </w:p>
        </w:tc>
        <w:tc>
          <w:tcPr>
            <w:tcW w:w="1350" w:type="dxa"/>
            <w:tcBorders>
              <w:top w:val="nil"/>
              <w:bottom w:val="nil"/>
            </w:tcBorders>
          </w:tcPr>
          <w:p w14:paraId="71894C6A" w14:textId="77777777" w:rsidR="00B761E1" w:rsidRPr="007D5F52" w:rsidRDefault="00B761E1" w:rsidP="006D7754">
            <w:pPr>
              <w:keepNext/>
              <w:spacing w:after="0" w:line="240" w:lineRule="auto"/>
              <w:jc w:val="left"/>
              <w:rPr>
                <w:sz w:val="20"/>
                <w:lang w:eastAsia="ja-JP"/>
              </w:rPr>
            </w:pPr>
          </w:p>
        </w:tc>
        <w:tc>
          <w:tcPr>
            <w:tcW w:w="900" w:type="dxa"/>
            <w:tcBorders>
              <w:top w:val="nil"/>
              <w:bottom w:val="nil"/>
            </w:tcBorders>
          </w:tcPr>
          <w:p w14:paraId="3B456995" w14:textId="77777777" w:rsidR="00B761E1" w:rsidRPr="007D5F52" w:rsidRDefault="00B761E1" w:rsidP="006D7754">
            <w:pPr>
              <w:keepNext/>
              <w:spacing w:after="0" w:line="240" w:lineRule="auto"/>
              <w:jc w:val="left"/>
              <w:rPr>
                <w:sz w:val="20"/>
                <w:lang w:eastAsia="ja-JP"/>
              </w:rPr>
            </w:pPr>
          </w:p>
        </w:tc>
        <w:tc>
          <w:tcPr>
            <w:tcW w:w="1170" w:type="dxa"/>
            <w:tcBorders>
              <w:top w:val="nil"/>
              <w:bottom w:val="nil"/>
            </w:tcBorders>
            <w:shd w:val="clear" w:color="auto" w:fill="auto"/>
          </w:tcPr>
          <w:p w14:paraId="70F04255" w14:textId="77777777" w:rsidR="00B761E1" w:rsidRPr="007D5F52" w:rsidRDefault="00B761E1" w:rsidP="006D7754">
            <w:pPr>
              <w:keepNext/>
              <w:spacing w:after="0" w:line="240" w:lineRule="auto"/>
              <w:jc w:val="left"/>
              <w:rPr>
                <w:sz w:val="20"/>
                <w:lang w:eastAsia="ja-JP"/>
              </w:rPr>
            </w:pPr>
          </w:p>
        </w:tc>
      </w:tr>
      <w:tr w:rsidR="00B761E1" w:rsidRPr="007D5F52" w14:paraId="115C3824" w14:textId="77777777" w:rsidTr="00CC2EEC">
        <w:tc>
          <w:tcPr>
            <w:tcW w:w="1998" w:type="dxa"/>
            <w:tcBorders>
              <w:top w:val="nil"/>
              <w:bottom w:val="nil"/>
            </w:tcBorders>
            <w:shd w:val="clear" w:color="auto" w:fill="auto"/>
          </w:tcPr>
          <w:p w14:paraId="0DBEF5DE" w14:textId="77777777" w:rsidR="00B761E1" w:rsidRPr="007D5F52" w:rsidRDefault="00B761E1" w:rsidP="006D7754">
            <w:pPr>
              <w:keepNext/>
              <w:spacing w:after="0" w:line="20" w:lineRule="atLeast"/>
              <w:ind w:left="240"/>
              <w:jc w:val="left"/>
              <w:rPr>
                <w:sz w:val="20"/>
                <w:szCs w:val="20"/>
              </w:rPr>
            </w:pPr>
            <w:r w:rsidRPr="007D5F52">
              <w:rPr>
                <w:sz w:val="20"/>
                <w:szCs w:val="20"/>
              </w:rPr>
              <w:t>Three events</w:t>
            </w:r>
          </w:p>
        </w:tc>
        <w:tc>
          <w:tcPr>
            <w:tcW w:w="720" w:type="dxa"/>
            <w:tcBorders>
              <w:top w:val="nil"/>
              <w:bottom w:val="nil"/>
            </w:tcBorders>
            <w:shd w:val="clear" w:color="auto" w:fill="auto"/>
          </w:tcPr>
          <w:p w14:paraId="71EB0D6D" w14:textId="77777777" w:rsidR="00B761E1" w:rsidRPr="007D5F52" w:rsidRDefault="00B761E1" w:rsidP="006D7754">
            <w:pPr>
              <w:keepNext/>
              <w:spacing w:after="0" w:line="240" w:lineRule="auto"/>
              <w:jc w:val="left"/>
              <w:rPr>
                <w:sz w:val="20"/>
                <w:lang w:eastAsia="ja-JP"/>
              </w:rPr>
            </w:pPr>
            <w:r w:rsidRPr="007D5F52">
              <w:rPr>
                <w:sz w:val="20"/>
                <w:lang w:eastAsia="ja-JP"/>
              </w:rPr>
              <w:t>55</w:t>
            </w:r>
          </w:p>
        </w:tc>
        <w:tc>
          <w:tcPr>
            <w:tcW w:w="1350" w:type="dxa"/>
            <w:tcBorders>
              <w:top w:val="nil"/>
              <w:bottom w:val="nil"/>
            </w:tcBorders>
          </w:tcPr>
          <w:p w14:paraId="616F0F3F" w14:textId="77777777" w:rsidR="00B761E1" w:rsidRPr="007D5F52" w:rsidRDefault="00B761E1" w:rsidP="006D7754">
            <w:pPr>
              <w:keepNext/>
              <w:spacing w:after="0" w:line="240" w:lineRule="auto"/>
              <w:jc w:val="left"/>
              <w:rPr>
                <w:sz w:val="20"/>
                <w:lang w:eastAsia="ja-JP"/>
              </w:rPr>
            </w:pPr>
          </w:p>
        </w:tc>
        <w:tc>
          <w:tcPr>
            <w:tcW w:w="900" w:type="dxa"/>
            <w:tcBorders>
              <w:top w:val="nil"/>
              <w:bottom w:val="nil"/>
            </w:tcBorders>
          </w:tcPr>
          <w:p w14:paraId="7CA8DF71" w14:textId="77777777" w:rsidR="00B761E1" w:rsidRPr="007D5F52" w:rsidRDefault="00B761E1" w:rsidP="006D7754">
            <w:pPr>
              <w:keepNext/>
              <w:spacing w:after="0" w:line="240" w:lineRule="auto"/>
              <w:jc w:val="left"/>
              <w:rPr>
                <w:sz w:val="20"/>
                <w:lang w:eastAsia="ja-JP"/>
              </w:rPr>
            </w:pPr>
          </w:p>
        </w:tc>
        <w:tc>
          <w:tcPr>
            <w:tcW w:w="720" w:type="dxa"/>
            <w:tcBorders>
              <w:top w:val="nil"/>
              <w:bottom w:val="nil"/>
            </w:tcBorders>
            <w:shd w:val="clear" w:color="auto" w:fill="auto"/>
          </w:tcPr>
          <w:p w14:paraId="7590E00B" w14:textId="77777777" w:rsidR="00B761E1" w:rsidRPr="007D5F52" w:rsidRDefault="00B761E1" w:rsidP="006D7754">
            <w:pPr>
              <w:keepNext/>
              <w:spacing w:after="0" w:line="240" w:lineRule="auto"/>
              <w:jc w:val="left"/>
              <w:rPr>
                <w:sz w:val="20"/>
                <w:lang w:eastAsia="ja-JP"/>
              </w:rPr>
            </w:pPr>
            <w:r w:rsidRPr="007D5F52">
              <w:rPr>
                <w:sz w:val="20"/>
                <w:lang w:eastAsia="ja-JP"/>
              </w:rPr>
              <w:t>75</w:t>
            </w:r>
          </w:p>
        </w:tc>
        <w:tc>
          <w:tcPr>
            <w:tcW w:w="1350" w:type="dxa"/>
            <w:tcBorders>
              <w:top w:val="nil"/>
              <w:bottom w:val="nil"/>
            </w:tcBorders>
          </w:tcPr>
          <w:p w14:paraId="51EFF8B6" w14:textId="77777777" w:rsidR="00B761E1" w:rsidRPr="007D5F52" w:rsidRDefault="00B761E1" w:rsidP="006D7754">
            <w:pPr>
              <w:keepNext/>
              <w:spacing w:after="0" w:line="240" w:lineRule="auto"/>
              <w:jc w:val="left"/>
              <w:rPr>
                <w:sz w:val="20"/>
                <w:lang w:eastAsia="ja-JP"/>
              </w:rPr>
            </w:pPr>
          </w:p>
        </w:tc>
        <w:tc>
          <w:tcPr>
            <w:tcW w:w="900" w:type="dxa"/>
            <w:tcBorders>
              <w:top w:val="nil"/>
              <w:bottom w:val="nil"/>
            </w:tcBorders>
          </w:tcPr>
          <w:p w14:paraId="7E253B8D" w14:textId="77777777" w:rsidR="00B761E1" w:rsidRPr="007D5F52" w:rsidRDefault="00B761E1" w:rsidP="006D7754">
            <w:pPr>
              <w:keepNext/>
              <w:spacing w:after="0" w:line="240" w:lineRule="auto"/>
              <w:jc w:val="left"/>
              <w:rPr>
                <w:sz w:val="20"/>
                <w:lang w:eastAsia="ja-JP"/>
              </w:rPr>
            </w:pPr>
          </w:p>
        </w:tc>
        <w:tc>
          <w:tcPr>
            <w:tcW w:w="1170" w:type="dxa"/>
            <w:tcBorders>
              <w:top w:val="nil"/>
              <w:bottom w:val="nil"/>
            </w:tcBorders>
            <w:shd w:val="clear" w:color="auto" w:fill="auto"/>
          </w:tcPr>
          <w:p w14:paraId="756A7D77" w14:textId="77777777" w:rsidR="00B761E1" w:rsidRPr="007D5F52" w:rsidRDefault="00B761E1" w:rsidP="006D7754">
            <w:pPr>
              <w:keepNext/>
              <w:spacing w:after="0" w:line="240" w:lineRule="auto"/>
              <w:jc w:val="left"/>
              <w:rPr>
                <w:sz w:val="20"/>
                <w:lang w:eastAsia="ja-JP"/>
              </w:rPr>
            </w:pPr>
          </w:p>
        </w:tc>
      </w:tr>
      <w:tr w:rsidR="00B761E1" w:rsidRPr="007D5F52" w14:paraId="7A7D86BC" w14:textId="77777777" w:rsidTr="00CC2EEC">
        <w:tc>
          <w:tcPr>
            <w:tcW w:w="1998" w:type="dxa"/>
            <w:tcBorders>
              <w:top w:val="nil"/>
              <w:bottom w:val="single" w:sz="4" w:space="0" w:color="auto"/>
            </w:tcBorders>
            <w:shd w:val="clear" w:color="auto" w:fill="auto"/>
          </w:tcPr>
          <w:p w14:paraId="19E284F0" w14:textId="77777777" w:rsidR="00B761E1" w:rsidRPr="007D5F52" w:rsidRDefault="00B761E1" w:rsidP="006D7754">
            <w:pPr>
              <w:keepNext/>
              <w:spacing w:after="0" w:line="20" w:lineRule="atLeast"/>
              <w:ind w:left="240"/>
              <w:jc w:val="left"/>
              <w:rPr>
                <w:sz w:val="20"/>
                <w:szCs w:val="20"/>
              </w:rPr>
            </w:pPr>
            <w:r w:rsidRPr="007D5F52">
              <w:rPr>
                <w:sz w:val="20"/>
                <w:szCs w:val="20"/>
              </w:rPr>
              <w:t>≥Four events</w:t>
            </w:r>
          </w:p>
        </w:tc>
        <w:tc>
          <w:tcPr>
            <w:tcW w:w="720" w:type="dxa"/>
            <w:tcBorders>
              <w:top w:val="nil"/>
              <w:bottom w:val="single" w:sz="4" w:space="0" w:color="auto"/>
            </w:tcBorders>
            <w:shd w:val="clear" w:color="auto" w:fill="auto"/>
          </w:tcPr>
          <w:p w14:paraId="2212A615" w14:textId="77777777" w:rsidR="00B761E1" w:rsidRPr="007D5F52" w:rsidRDefault="00B761E1" w:rsidP="006D7754">
            <w:pPr>
              <w:keepNext/>
              <w:spacing w:after="0" w:line="240" w:lineRule="auto"/>
              <w:jc w:val="left"/>
              <w:rPr>
                <w:sz w:val="20"/>
                <w:lang w:eastAsia="ja-JP"/>
              </w:rPr>
            </w:pPr>
            <w:r w:rsidRPr="007D5F52">
              <w:rPr>
                <w:sz w:val="20"/>
                <w:lang w:eastAsia="ja-JP"/>
              </w:rPr>
              <w:t>61</w:t>
            </w:r>
          </w:p>
        </w:tc>
        <w:tc>
          <w:tcPr>
            <w:tcW w:w="1350" w:type="dxa"/>
            <w:tcBorders>
              <w:top w:val="nil"/>
              <w:bottom w:val="single" w:sz="4" w:space="0" w:color="auto"/>
            </w:tcBorders>
          </w:tcPr>
          <w:p w14:paraId="407A44A0" w14:textId="77777777" w:rsidR="00B761E1" w:rsidRPr="007D5F52" w:rsidRDefault="00B761E1" w:rsidP="006D7754">
            <w:pPr>
              <w:keepNext/>
              <w:spacing w:after="0" w:line="240" w:lineRule="auto"/>
              <w:jc w:val="left"/>
              <w:rPr>
                <w:sz w:val="20"/>
                <w:lang w:eastAsia="ja-JP"/>
              </w:rPr>
            </w:pPr>
          </w:p>
        </w:tc>
        <w:tc>
          <w:tcPr>
            <w:tcW w:w="900" w:type="dxa"/>
            <w:tcBorders>
              <w:top w:val="nil"/>
              <w:bottom w:val="single" w:sz="4" w:space="0" w:color="auto"/>
            </w:tcBorders>
          </w:tcPr>
          <w:p w14:paraId="2DA79587" w14:textId="77777777" w:rsidR="00B761E1" w:rsidRPr="007D5F52" w:rsidRDefault="00B761E1" w:rsidP="006D7754">
            <w:pPr>
              <w:keepNext/>
              <w:spacing w:after="0" w:line="240" w:lineRule="auto"/>
              <w:jc w:val="left"/>
              <w:rPr>
                <w:sz w:val="20"/>
                <w:lang w:eastAsia="ja-JP"/>
              </w:rPr>
            </w:pPr>
          </w:p>
        </w:tc>
        <w:tc>
          <w:tcPr>
            <w:tcW w:w="720" w:type="dxa"/>
            <w:tcBorders>
              <w:top w:val="nil"/>
              <w:bottom w:val="single" w:sz="4" w:space="0" w:color="auto"/>
            </w:tcBorders>
            <w:shd w:val="clear" w:color="auto" w:fill="auto"/>
          </w:tcPr>
          <w:p w14:paraId="112028FF" w14:textId="77777777" w:rsidR="00B761E1" w:rsidRPr="007D5F52" w:rsidRDefault="00B761E1" w:rsidP="006D7754">
            <w:pPr>
              <w:keepNext/>
              <w:spacing w:after="0" w:line="240" w:lineRule="auto"/>
              <w:jc w:val="left"/>
              <w:rPr>
                <w:sz w:val="20"/>
                <w:lang w:eastAsia="ja-JP"/>
              </w:rPr>
            </w:pPr>
            <w:r w:rsidRPr="007D5F52">
              <w:rPr>
                <w:sz w:val="20"/>
                <w:lang w:eastAsia="ja-JP"/>
              </w:rPr>
              <w:t>62</w:t>
            </w:r>
          </w:p>
        </w:tc>
        <w:tc>
          <w:tcPr>
            <w:tcW w:w="1350" w:type="dxa"/>
            <w:tcBorders>
              <w:top w:val="nil"/>
              <w:bottom w:val="single" w:sz="4" w:space="0" w:color="auto"/>
            </w:tcBorders>
          </w:tcPr>
          <w:p w14:paraId="19D18705" w14:textId="77777777" w:rsidR="00B761E1" w:rsidRPr="007D5F52" w:rsidRDefault="00B761E1" w:rsidP="006D7754">
            <w:pPr>
              <w:keepNext/>
              <w:spacing w:after="0" w:line="240" w:lineRule="auto"/>
              <w:jc w:val="left"/>
              <w:rPr>
                <w:sz w:val="20"/>
                <w:lang w:eastAsia="ja-JP"/>
              </w:rPr>
            </w:pPr>
          </w:p>
        </w:tc>
        <w:tc>
          <w:tcPr>
            <w:tcW w:w="900" w:type="dxa"/>
            <w:tcBorders>
              <w:top w:val="nil"/>
              <w:bottom w:val="single" w:sz="4" w:space="0" w:color="auto"/>
            </w:tcBorders>
          </w:tcPr>
          <w:p w14:paraId="16359021" w14:textId="77777777" w:rsidR="00B761E1" w:rsidRPr="007D5F52" w:rsidRDefault="00B761E1" w:rsidP="006D7754">
            <w:pPr>
              <w:keepNext/>
              <w:spacing w:after="0" w:line="240" w:lineRule="auto"/>
              <w:jc w:val="left"/>
              <w:rPr>
                <w:sz w:val="20"/>
                <w:lang w:eastAsia="ja-JP"/>
              </w:rPr>
            </w:pPr>
          </w:p>
        </w:tc>
        <w:tc>
          <w:tcPr>
            <w:tcW w:w="1170" w:type="dxa"/>
            <w:tcBorders>
              <w:top w:val="nil"/>
              <w:bottom w:val="single" w:sz="4" w:space="0" w:color="auto"/>
            </w:tcBorders>
            <w:shd w:val="clear" w:color="auto" w:fill="auto"/>
          </w:tcPr>
          <w:p w14:paraId="1FE6F624" w14:textId="77777777" w:rsidR="00B761E1" w:rsidRPr="007D5F52" w:rsidRDefault="00B761E1" w:rsidP="006D7754">
            <w:pPr>
              <w:keepNext/>
              <w:spacing w:after="0" w:line="240" w:lineRule="auto"/>
              <w:jc w:val="left"/>
              <w:rPr>
                <w:sz w:val="20"/>
                <w:lang w:eastAsia="ja-JP"/>
              </w:rPr>
            </w:pPr>
          </w:p>
        </w:tc>
      </w:tr>
    </w:tbl>
    <w:p w14:paraId="5FB32682" w14:textId="7464E134" w:rsidR="00B761E1" w:rsidRPr="007D5F52" w:rsidRDefault="00B761E1" w:rsidP="006D7754">
      <w:pPr>
        <w:keepNext/>
        <w:spacing w:after="0" w:line="240" w:lineRule="auto"/>
        <w:jc w:val="left"/>
        <w:rPr>
          <w:sz w:val="20"/>
        </w:rPr>
      </w:pPr>
      <w:r w:rsidRPr="007D5F52">
        <w:rPr>
          <w:sz w:val="20"/>
          <w:vertAlign w:val="superscript"/>
        </w:rPr>
        <w:t>1</w:t>
      </w:r>
      <w:r w:rsidRPr="007D5F52">
        <w:rPr>
          <w:sz w:val="20"/>
        </w:rPr>
        <w:t>Total events per 100 patient years of follow up.</w:t>
      </w:r>
    </w:p>
    <w:p w14:paraId="76D92ADB" w14:textId="3E9DB8BE" w:rsidR="00B761E1" w:rsidRPr="007D5F52" w:rsidRDefault="00B761E1" w:rsidP="006D7754">
      <w:pPr>
        <w:keepNext/>
        <w:spacing w:after="0" w:line="240" w:lineRule="auto"/>
        <w:jc w:val="left"/>
        <w:rPr>
          <w:sz w:val="20"/>
        </w:rPr>
      </w:pPr>
      <w:r w:rsidRPr="007D5F52">
        <w:rPr>
          <w:sz w:val="20"/>
          <w:vertAlign w:val="superscript"/>
        </w:rPr>
        <w:t>2</w:t>
      </w:r>
      <w:r w:rsidRPr="007D5F52">
        <w:rPr>
          <w:sz w:val="20"/>
        </w:rPr>
        <w:t>Hazard ratio (vericiguat over placebo) and confidence interval from an Andersen-Gill model.</w:t>
      </w:r>
    </w:p>
    <w:p w14:paraId="044E0767" w14:textId="24F8C9EE" w:rsidR="00B761E1" w:rsidRPr="007D5F52" w:rsidRDefault="00B761E1" w:rsidP="006D7754">
      <w:pPr>
        <w:keepNext/>
        <w:spacing w:after="0" w:line="240" w:lineRule="auto"/>
        <w:jc w:val="left"/>
        <w:rPr>
          <w:sz w:val="20"/>
        </w:rPr>
      </w:pPr>
      <w:r w:rsidRPr="007D5F52">
        <w:rPr>
          <w:sz w:val="20"/>
          <w:vertAlign w:val="superscript"/>
        </w:rPr>
        <w:t>3</w:t>
      </w:r>
      <w:r w:rsidRPr="007D5F52">
        <w:rPr>
          <w:sz w:val="20"/>
        </w:rPr>
        <w:t>Patients with events are counted only once.</w:t>
      </w:r>
    </w:p>
    <w:p w14:paraId="1D637A18" w14:textId="060292CA" w:rsidR="00B761E1" w:rsidRPr="007D5F52" w:rsidRDefault="00B761E1" w:rsidP="006D7754">
      <w:pPr>
        <w:spacing w:line="240" w:lineRule="auto"/>
        <w:jc w:val="left"/>
        <w:rPr>
          <w:sz w:val="20"/>
        </w:rPr>
      </w:pPr>
      <w:r w:rsidRPr="007D5F52">
        <w:rPr>
          <w:sz w:val="20"/>
        </w:rPr>
        <w:t>N=Number of patients in ITT population.</w:t>
      </w:r>
    </w:p>
    <w:bookmarkEnd w:id="23"/>
    <w:p w14:paraId="772788D2" w14:textId="052C26CB" w:rsidR="00CF19E4" w:rsidRPr="007D5F52" w:rsidRDefault="00C87E4B" w:rsidP="006D7754">
      <w:pPr>
        <w:jc w:val="left"/>
      </w:pPr>
      <w:r w:rsidRPr="007D5F52">
        <w:t>A wide range of demographic characteristics, baseline disease characteristics, and baseline concomitant medications were examined for their influence on outcomes. The results of the pre</w:t>
      </w:r>
      <w:r w:rsidR="00BE0614" w:rsidRPr="007D5F52">
        <w:t>-</w:t>
      </w:r>
      <w:r w:rsidRPr="007D5F52">
        <w:t>specified subgroup analysis for the primary composite endpoint are</w:t>
      </w:r>
      <w:r w:rsidR="006F33BE" w:rsidRPr="007D5F52">
        <w:t xml:space="preserve"> </w:t>
      </w:r>
      <w:r w:rsidRPr="007D5F52">
        <w:t xml:space="preserve">shown in </w:t>
      </w:r>
      <w:r w:rsidR="00CF19E4" w:rsidRPr="007D5F52">
        <w:fldChar w:fldCharType="begin"/>
      </w:r>
      <w:r w:rsidR="00CF19E4" w:rsidRPr="007D5F52">
        <w:instrText xml:space="preserve"> REF _Ref39823833 \h  \* MERGEFORMAT </w:instrText>
      </w:r>
      <w:r w:rsidR="00CF19E4" w:rsidRPr="007D5F52">
        <w:fldChar w:fldCharType="separate"/>
      </w:r>
      <w:r w:rsidR="00315B56" w:rsidRPr="00AD5FE7">
        <w:t>Figure 2</w:t>
      </w:r>
      <w:r w:rsidR="00CF19E4" w:rsidRPr="007D5F52">
        <w:fldChar w:fldCharType="end"/>
      </w:r>
      <w:r w:rsidRPr="007D5F52">
        <w:t>.</w:t>
      </w:r>
      <w:r w:rsidRPr="007D5F52">
        <w:rPr>
          <w:b/>
        </w:rPr>
        <w:br w:type="page"/>
      </w:r>
    </w:p>
    <w:p w14:paraId="653A5EB3" w14:textId="4AEA7D4E" w:rsidR="00C87E4B" w:rsidRPr="007D5F52" w:rsidRDefault="00CF19E4" w:rsidP="006D7754">
      <w:pPr>
        <w:keepNext/>
        <w:jc w:val="left"/>
        <w:rPr>
          <w:b/>
        </w:rPr>
      </w:pPr>
      <w:bookmarkStart w:id="26" w:name="_Ref39823833"/>
      <w:r w:rsidRPr="007D5F52">
        <w:rPr>
          <w:b/>
        </w:rPr>
        <w:lastRenderedPageBreak/>
        <w:t xml:space="preserve">Figure </w:t>
      </w:r>
      <w:r w:rsidRPr="007D5F52">
        <w:rPr>
          <w:b/>
        </w:rPr>
        <w:fldChar w:fldCharType="begin"/>
      </w:r>
      <w:r w:rsidRPr="007D5F52">
        <w:rPr>
          <w:b/>
        </w:rPr>
        <w:instrText xml:space="preserve"> SEQ Figure \* ARABIC </w:instrText>
      </w:r>
      <w:r w:rsidRPr="007D5F52">
        <w:rPr>
          <w:b/>
        </w:rPr>
        <w:fldChar w:fldCharType="separate"/>
      </w:r>
      <w:r w:rsidR="00315B56">
        <w:rPr>
          <w:b/>
          <w:noProof/>
        </w:rPr>
        <w:t>2</w:t>
      </w:r>
      <w:r w:rsidRPr="007D5F52">
        <w:rPr>
          <w:b/>
        </w:rPr>
        <w:fldChar w:fldCharType="end"/>
      </w:r>
      <w:bookmarkEnd w:id="26"/>
      <w:r w:rsidR="00C87E4B" w:rsidRPr="007D5F52">
        <w:rPr>
          <w:b/>
        </w:rPr>
        <w:t xml:space="preserve">: </w:t>
      </w:r>
      <w:r w:rsidR="009B5BBC" w:rsidRPr="007D5F52">
        <w:rPr>
          <w:b/>
        </w:rPr>
        <w:t xml:space="preserve">Primary composite endpoint (time to first occurrence of CV death or HF </w:t>
      </w:r>
      <w:proofErr w:type="gramStart"/>
      <w:r w:rsidR="009B5BBC" w:rsidRPr="007D5F52">
        <w:rPr>
          <w:b/>
        </w:rPr>
        <w:t xml:space="preserve">hospitalisation)   </w:t>
      </w:r>
      <w:proofErr w:type="gramEnd"/>
      <w:r w:rsidR="009B5BBC" w:rsidRPr="007D5F52">
        <w:rPr>
          <w:b/>
        </w:rPr>
        <w:t>subgroup analysis</w:t>
      </w:r>
    </w:p>
    <w:p w14:paraId="0B4FE201" w14:textId="77777777" w:rsidR="00C87E4B" w:rsidRPr="007D5F52" w:rsidRDefault="00C87E4B" w:rsidP="006D7754">
      <w:pPr>
        <w:jc w:val="left"/>
      </w:pPr>
      <w:r w:rsidRPr="007D5F52">
        <w:rPr>
          <w:noProof/>
          <w:lang w:eastAsia="en-AU"/>
        </w:rPr>
        <w:drawing>
          <wp:inline distT="0" distB="0" distL="0" distR="0" wp14:anchorId="79E43CD2" wp14:editId="43FE4ADC">
            <wp:extent cx="5781675" cy="6829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81675" cy="6829425"/>
                    </a:xfrm>
                    <a:prstGeom prst="rect">
                      <a:avLst/>
                    </a:prstGeom>
                    <a:noFill/>
                    <a:ln>
                      <a:noFill/>
                    </a:ln>
                  </pic:spPr>
                </pic:pic>
              </a:graphicData>
            </a:graphic>
          </wp:inline>
        </w:drawing>
      </w:r>
    </w:p>
    <w:p w14:paraId="129E0633" w14:textId="77777777" w:rsidR="00C87E4B" w:rsidRPr="007D5F52" w:rsidRDefault="00C87E4B" w:rsidP="006D7754">
      <w:pPr>
        <w:jc w:val="left"/>
      </w:pPr>
    </w:p>
    <w:p w14:paraId="53609117" w14:textId="77777777" w:rsidR="00C87E4B" w:rsidRPr="007D5F52" w:rsidRDefault="00C87E4B" w:rsidP="006D7754">
      <w:pPr>
        <w:jc w:val="left"/>
      </w:pPr>
    </w:p>
    <w:p w14:paraId="3AAB12E5" w14:textId="77777777" w:rsidR="001A3992" w:rsidRPr="007D5F52" w:rsidRDefault="001A3992" w:rsidP="006D7754">
      <w:pPr>
        <w:pStyle w:val="Heading2"/>
        <w:keepNext/>
        <w:spacing w:before="0" w:after="120"/>
        <w:jc w:val="left"/>
        <w:rPr>
          <w:rFonts w:cstheme="minorHAnsi"/>
        </w:rPr>
      </w:pPr>
      <w:bookmarkStart w:id="27" w:name="_Ref39836713"/>
      <w:r w:rsidRPr="007D5F52">
        <w:rPr>
          <w:rFonts w:cstheme="minorHAnsi"/>
        </w:rPr>
        <w:lastRenderedPageBreak/>
        <w:t>Pharmacokinetic properties</w:t>
      </w:r>
      <w:bookmarkEnd w:id="27"/>
      <w:r w:rsidRPr="007D5F52">
        <w:rPr>
          <w:rFonts w:cstheme="minorHAnsi"/>
        </w:rPr>
        <w:t xml:space="preserve"> </w:t>
      </w:r>
    </w:p>
    <w:p w14:paraId="0BFBECCC" w14:textId="39E82176" w:rsidR="00321FC4" w:rsidRPr="007D5F52" w:rsidRDefault="00321FC4" w:rsidP="006D7754">
      <w:pPr>
        <w:pStyle w:val="Heading3"/>
        <w:jc w:val="left"/>
      </w:pPr>
      <w:r w:rsidRPr="007D5F52">
        <w:t>General introduction</w:t>
      </w:r>
    </w:p>
    <w:p w14:paraId="5000B87A" w14:textId="09D8E97B" w:rsidR="00D80F59" w:rsidRPr="007D5F52" w:rsidRDefault="00D80F59" w:rsidP="006D7754">
      <w:pPr>
        <w:jc w:val="left"/>
      </w:pPr>
      <w:r w:rsidRPr="007D5F52">
        <w:t xml:space="preserve">Vericiguat shows slightly less than dose proportional, time-independent pharmacokinetics, with low to moderate variability when administered with food. Vericiguat accumulates in plasma up to 155-171% and reaches pharmacokinetic </w:t>
      </w:r>
      <w:proofErr w:type="gramStart"/>
      <w:r w:rsidRPr="007D5F52">
        <w:t>steady-state</w:t>
      </w:r>
      <w:proofErr w:type="gramEnd"/>
      <w:r w:rsidRPr="007D5F52">
        <w:t xml:space="preserve"> after approximately 6 days. The mean steady-state population pharmacokinetic (PK) parameters of vericiguat in heart failure patients are summari</w:t>
      </w:r>
      <w:r w:rsidR="00CD33F7" w:rsidRPr="007D5F52">
        <w:t>s</w:t>
      </w:r>
      <w:r w:rsidRPr="007D5F52">
        <w:t xml:space="preserve">ed in </w:t>
      </w:r>
      <w:r w:rsidR="00CF19E4" w:rsidRPr="007D5F52">
        <w:rPr>
          <w:highlight w:val="yellow"/>
        </w:rPr>
        <w:fldChar w:fldCharType="begin"/>
      </w:r>
      <w:r w:rsidR="00CF19E4" w:rsidRPr="007D5F52">
        <w:instrText xml:space="preserve"> REF _Ref39823876 \h </w:instrText>
      </w:r>
      <w:r w:rsidR="00CF19E4" w:rsidRPr="007D5F52">
        <w:rPr>
          <w:highlight w:val="yellow"/>
        </w:rPr>
        <w:instrText xml:space="preserve"> \* MERGEFORMAT </w:instrText>
      </w:r>
      <w:r w:rsidR="00CF19E4" w:rsidRPr="007D5F52">
        <w:rPr>
          <w:highlight w:val="yellow"/>
        </w:rPr>
      </w:r>
      <w:r w:rsidR="00CF19E4" w:rsidRPr="007D5F52">
        <w:rPr>
          <w:highlight w:val="yellow"/>
        </w:rPr>
        <w:fldChar w:fldCharType="separate"/>
      </w:r>
      <w:r w:rsidR="00315B56" w:rsidRPr="00AD5FE7">
        <w:t>Table 6</w:t>
      </w:r>
      <w:r w:rsidR="00CF19E4" w:rsidRPr="007D5F52">
        <w:rPr>
          <w:highlight w:val="yellow"/>
        </w:rPr>
        <w:fldChar w:fldCharType="end"/>
      </w:r>
      <w:r w:rsidRPr="007D5F52">
        <w:t>.</w:t>
      </w:r>
    </w:p>
    <w:p w14:paraId="46B1FFA1" w14:textId="6715BF6C" w:rsidR="00D80F59" w:rsidRPr="007D5F52" w:rsidRDefault="00CF19E4" w:rsidP="006D7754">
      <w:pPr>
        <w:keepNext/>
        <w:jc w:val="left"/>
        <w:rPr>
          <w:b/>
        </w:rPr>
      </w:pPr>
      <w:bookmarkStart w:id="28" w:name="_Ref39823876"/>
      <w:r w:rsidRPr="007D5F52">
        <w:rPr>
          <w:b/>
        </w:rPr>
        <w:t xml:space="preserve">Table </w:t>
      </w:r>
      <w:r w:rsidRPr="007D5F52">
        <w:rPr>
          <w:b/>
        </w:rPr>
        <w:fldChar w:fldCharType="begin"/>
      </w:r>
      <w:r w:rsidRPr="007D5F52">
        <w:rPr>
          <w:b/>
        </w:rPr>
        <w:instrText xml:space="preserve"> SEQ Table \* ARABIC </w:instrText>
      </w:r>
      <w:r w:rsidRPr="007D5F52">
        <w:rPr>
          <w:b/>
        </w:rPr>
        <w:fldChar w:fldCharType="separate"/>
      </w:r>
      <w:r w:rsidR="00315B56">
        <w:rPr>
          <w:b/>
          <w:noProof/>
        </w:rPr>
        <w:t>6</w:t>
      </w:r>
      <w:r w:rsidRPr="007D5F52">
        <w:rPr>
          <w:b/>
        </w:rPr>
        <w:fldChar w:fldCharType="end"/>
      </w:r>
      <w:bookmarkEnd w:id="28"/>
      <w:r w:rsidR="00D80F59" w:rsidRPr="007D5F52">
        <w:rPr>
          <w:b/>
        </w:rPr>
        <w:t xml:space="preserve">: </w:t>
      </w:r>
      <w:r w:rsidR="009B5BBC" w:rsidRPr="007D5F52">
        <w:rPr>
          <w:b/>
        </w:rPr>
        <w:t>Population pharmacokinetic model based steady state geometric mean (CV%) plasma pharmacokinetic parameters of 2.5 mg, 5 mg, or 10 mg vericiguat in heart failure patients (N=2,321)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0"/>
        <w:gridCol w:w="2253"/>
        <w:gridCol w:w="2251"/>
        <w:gridCol w:w="2252"/>
      </w:tblGrid>
      <w:tr w:rsidR="00D80F59" w:rsidRPr="007D5F52" w14:paraId="19DDBD22" w14:textId="77777777" w:rsidTr="00D80F59">
        <w:trPr>
          <w:trHeight w:val="700"/>
        </w:trPr>
        <w:tc>
          <w:tcPr>
            <w:tcW w:w="2277" w:type="dxa"/>
            <w:shd w:val="clear" w:color="auto" w:fill="auto"/>
            <w:vAlign w:val="center"/>
          </w:tcPr>
          <w:p w14:paraId="35A89F20" w14:textId="77777777" w:rsidR="00D80F59" w:rsidRPr="007D5F52" w:rsidRDefault="00D80F59" w:rsidP="006D7754">
            <w:pPr>
              <w:spacing w:after="0" w:line="240" w:lineRule="auto"/>
              <w:jc w:val="left"/>
              <w:rPr>
                <w:b/>
              </w:rPr>
            </w:pPr>
            <w:r w:rsidRPr="007D5F52">
              <w:rPr>
                <w:b/>
              </w:rPr>
              <w:t>PK Parameters</w:t>
            </w:r>
          </w:p>
        </w:tc>
        <w:tc>
          <w:tcPr>
            <w:tcW w:w="2277" w:type="dxa"/>
            <w:vAlign w:val="center"/>
          </w:tcPr>
          <w:p w14:paraId="20ED6E16" w14:textId="77777777" w:rsidR="00D80F59" w:rsidRPr="007D5F52" w:rsidRDefault="00D80F59" w:rsidP="006D7754">
            <w:pPr>
              <w:spacing w:after="0" w:line="240" w:lineRule="auto"/>
              <w:jc w:val="left"/>
              <w:rPr>
                <w:b/>
              </w:rPr>
            </w:pPr>
            <w:r w:rsidRPr="007D5F52">
              <w:rPr>
                <w:b/>
              </w:rPr>
              <w:t>2.5 mg</w:t>
            </w:r>
          </w:p>
        </w:tc>
        <w:tc>
          <w:tcPr>
            <w:tcW w:w="2277" w:type="dxa"/>
            <w:shd w:val="clear" w:color="auto" w:fill="auto"/>
            <w:vAlign w:val="center"/>
          </w:tcPr>
          <w:p w14:paraId="4FA50534" w14:textId="77777777" w:rsidR="00D80F59" w:rsidRPr="007D5F52" w:rsidRDefault="00D80F59" w:rsidP="006D7754">
            <w:pPr>
              <w:spacing w:after="0" w:line="240" w:lineRule="auto"/>
              <w:jc w:val="left"/>
              <w:rPr>
                <w:b/>
              </w:rPr>
            </w:pPr>
            <w:r w:rsidRPr="007D5F52">
              <w:rPr>
                <w:b/>
              </w:rPr>
              <w:t>5 mg</w:t>
            </w:r>
          </w:p>
        </w:tc>
        <w:tc>
          <w:tcPr>
            <w:tcW w:w="2277" w:type="dxa"/>
            <w:shd w:val="clear" w:color="auto" w:fill="auto"/>
            <w:vAlign w:val="center"/>
          </w:tcPr>
          <w:p w14:paraId="08C5731C" w14:textId="77777777" w:rsidR="00D80F59" w:rsidRPr="007D5F52" w:rsidRDefault="00D80F59" w:rsidP="006D7754">
            <w:pPr>
              <w:spacing w:after="0" w:line="240" w:lineRule="auto"/>
              <w:jc w:val="left"/>
              <w:rPr>
                <w:b/>
              </w:rPr>
            </w:pPr>
            <w:r w:rsidRPr="007D5F52">
              <w:rPr>
                <w:b/>
              </w:rPr>
              <w:t>10 mg</w:t>
            </w:r>
          </w:p>
        </w:tc>
      </w:tr>
      <w:tr w:rsidR="00D80F59" w:rsidRPr="007D5F52" w14:paraId="5114322D" w14:textId="77777777" w:rsidTr="00D80F59">
        <w:trPr>
          <w:trHeight w:val="692"/>
        </w:trPr>
        <w:tc>
          <w:tcPr>
            <w:tcW w:w="2277" w:type="dxa"/>
            <w:shd w:val="clear" w:color="auto" w:fill="auto"/>
            <w:vAlign w:val="center"/>
          </w:tcPr>
          <w:p w14:paraId="6AAD9186" w14:textId="77777777" w:rsidR="00D80F59" w:rsidRPr="007D5F52" w:rsidRDefault="00D80F59" w:rsidP="006D7754">
            <w:pPr>
              <w:spacing w:after="0" w:line="240" w:lineRule="auto"/>
              <w:jc w:val="left"/>
            </w:pPr>
            <w:proofErr w:type="spellStart"/>
            <w:r w:rsidRPr="007D5F52">
              <w:t>C</w:t>
            </w:r>
            <w:r w:rsidRPr="007D5F52">
              <w:rPr>
                <w:vertAlign w:val="subscript"/>
              </w:rPr>
              <w:t>max</w:t>
            </w:r>
            <w:proofErr w:type="spellEnd"/>
            <w:r w:rsidRPr="007D5F52">
              <w:t xml:space="preserve"> (</w:t>
            </w:r>
            <w:proofErr w:type="spellStart"/>
            <w:r w:rsidRPr="007D5F52">
              <w:t>μg</w:t>
            </w:r>
            <w:proofErr w:type="spellEnd"/>
            <w:r w:rsidRPr="007D5F52">
              <w:t>/L)</w:t>
            </w:r>
          </w:p>
        </w:tc>
        <w:tc>
          <w:tcPr>
            <w:tcW w:w="2277" w:type="dxa"/>
            <w:vAlign w:val="center"/>
          </w:tcPr>
          <w:p w14:paraId="1FB4A928" w14:textId="77777777" w:rsidR="00D80F59" w:rsidRPr="007D5F52" w:rsidRDefault="00D80F59" w:rsidP="006D7754">
            <w:pPr>
              <w:spacing w:after="0" w:line="240" w:lineRule="auto"/>
              <w:jc w:val="left"/>
            </w:pPr>
            <w:r w:rsidRPr="007D5F52">
              <w:t>120 (29.0)</w:t>
            </w:r>
          </w:p>
        </w:tc>
        <w:tc>
          <w:tcPr>
            <w:tcW w:w="2277" w:type="dxa"/>
            <w:shd w:val="clear" w:color="auto" w:fill="auto"/>
            <w:vAlign w:val="center"/>
          </w:tcPr>
          <w:p w14:paraId="70CA3773" w14:textId="77777777" w:rsidR="00D80F59" w:rsidRPr="007D5F52" w:rsidRDefault="00D80F59" w:rsidP="006D7754">
            <w:pPr>
              <w:spacing w:after="0" w:line="240" w:lineRule="auto"/>
              <w:jc w:val="left"/>
            </w:pPr>
            <w:r w:rsidRPr="007D5F52">
              <w:t>201 (29.0)</w:t>
            </w:r>
          </w:p>
        </w:tc>
        <w:tc>
          <w:tcPr>
            <w:tcW w:w="2277" w:type="dxa"/>
            <w:shd w:val="clear" w:color="auto" w:fill="auto"/>
            <w:vAlign w:val="center"/>
          </w:tcPr>
          <w:p w14:paraId="18BE2167" w14:textId="77777777" w:rsidR="00D80F59" w:rsidRPr="007D5F52" w:rsidRDefault="00D80F59" w:rsidP="006D7754">
            <w:pPr>
              <w:spacing w:after="0" w:line="240" w:lineRule="auto"/>
              <w:jc w:val="left"/>
            </w:pPr>
            <w:r w:rsidRPr="007D5F52">
              <w:t>350 (29.0)</w:t>
            </w:r>
          </w:p>
        </w:tc>
      </w:tr>
      <w:tr w:rsidR="00D80F59" w:rsidRPr="007D5F52" w14:paraId="08876D2F" w14:textId="77777777" w:rsidTr="00D80F59">
        <w:trPr>
          <w:trHeight w:val="733"/>
        </w:trPr>
        <w:tc>
          <w:tcPr>
            <w:tcW w:w="2277" w:type="dxa"/>
            <w:shd w:val="clear" w:color="auto" w:fill="auto"/>
            <w:vAlign w:val="center"/>
          </w:tcPr>
          <w:p w14:paraId="0ED5C650" w14:textId="77777777" w:rsidR="00D80F59" w:rsidRPr="007D5F52" w:rsidRDefault="00D80F59" w:rsidP="006D7754">
            <w:pPr>
              <w:spacing w:after="0" w:line="240" w:lineRule="auto"/>
              <w:jc w:val="left"/>
            </w:pPr>
            <w:r w:rsidRPr="007D5F52">
              <w:t>AUC (</w:t>
            </w:r>
            <w:proofErr w:type="spellStart"/>
            <w:r w:rsidRPr="007D5F52">
              <w:t>μg</w:t>
            </w:r>
            <w:r w:rsidRPr="007D5F52">
              <w:rPr>
                <w:sz w:val="20"/>
              </w:rPr>
              <w:t>•</w:t>
            </w:r>
            <w:r w:rsidRPr="007D5F52">
              <w:t>h</w:t>
            </w:r>
            <w:proofErr w:type="spellEnd"/>
            <w:r w:rsidRPr="007D5F52">
              <w:t>/L)</w:t>
            </w:r>
          </w:p>
        </w:tc>
        <w:tc>
          <w:tcPr>
            <w:tcW w:w="2277" w:type="dxa"/>
            <w:vAlign w:val="center"/>
          </w:tcPr>
          <w:p w14:paraId="3A2595FF" w14:textId="77777777" w:rsidR="00D80F59" w:rsidRPr="007D5F52" w:rsidRDefault="00D80F59" w:rsidP="006D7754">
            <w:pPr>
              <w:spacing w:after="0" w:line="240" w:lineRule="auto"/>
              <w:jc w:val="left"/>
            </w:pPr>
            <w:r w:rsidRPr="007D5F52">
              <w:t>2,300 (33.9)</w:t>
            </w:r>
          </w:p>
        </w:tc>
        <w:tc>
          <w:tcPr>
            <w:tcW w:w="2277" w:type="dxa"/>
            <w:shd w:val="clear" w:color="auto" w:fill="auto"/>
            <w:vAlign w:val="center"/>
          </w:tcPr>
          <w:p w14:paraId="4EF8348C" w14:textId="77777777" w:rsidR="00D80F59" w:rsidRPr="007D5F52" w:rsidRDefault="00D80F59" w:rsidP="006D7754">
            <w:pPr>
              <w:spacing w:after="0" w:line="240" w:lineRule="auto"/>
              <w:jc w:val="left"/>
            </w:pPr>
            <w:r w:rsidRPr="007D5F52">
              <w:t>3,850 (33.9)</w:t>
            </w:r>
          </w:p>
        </w:tc>
        <w:tc>
          <w:tcPr>
            <w:tcW w:w="2277" w:type="dxa"/>
            <w:shd w:val="clear" w:color="auto" w:fill="auto"/>
            <w:vAlign w:val="center"/>
          </w:tcPr>
          <w:p w14:paraId="2304C1B1" w14:textId="77777777" w:rsidR="00D80F59" w:rsidRPr="007D5F52" w:rsidRDefault="00D80F59" w:rsidP="006D7754">
            <w:pPr>
              <w:spacing w:after="0" w:line="240" w:lineRule="auto"/>
              <w:jc w:val="left"/>
            </w:pPr>
            <w:r w:rsidRPr="007D5F52">
              <w:t>6,680 (33.9)</w:t>
            </w:r>
          </w:p>
        </w:tc>
      </w:tr>
    </w:tbl>
    <w:p w14:paraId="4E745B4C" w14:textId="77777777" w:rsidR="00D80F59" w:rsidRPr="007D5F52" w:rsidRDefault="00D80F59" w:rsidP="006D7754">
      <w:pPr>
        <w:jc w:val="left"/>
      </w:pPr>
    </w:p>
    <w:p w14:paraId="60DF476D" w14:textId="77777777" w:rsidR="001A3992" w:rsidRPr="007D5F52" w:rsidRDefault="001A3992" w:rsidP="006D7754">
      <w:pPr>
        <w:pStyle w:val="Heading3"/>
        <w:spacing w:before="0" w:after="120"/>
        <w:jc w:val="left"/>
        <w:rPr>
          <w:rFonts w:cstheme="minorHAnsi"/>
        </w:rPr>
      </w:pPr>
      <w:r w:rsidRPr="007D5F52">
        <w:rPr>
          <w:rFonts w:cstheme="minorHAnsi"/>
        </w:rPr>
        <w:t>Absorption</w:t>
      </w:r>
    </w:p>
    <w:p w14:paraId="70C4121D" w14:textId="6D22E714" w:rsidR="00D80F59" w:rsidRPr="007D5F52" w:rsidRDefault="00D80F59" w:rsidP="006D7754">
      <w:pPr>
        <w:jc w:val="left"/>
      </w:pPr>
      <w:r w:rsidRPr="007D5F52">
        <w:t>The absolute bioavailability of vericiguat is high (93%) when taken with food. Bioavailability (AUC) and peak plasma levels (</w:t>
      </w:r>
      <w:proofErr w:type="spellStart"/>
      <w:r w:rsidRPr="007D5F52">
        <w:t>C</w:t>
      </w:r>
      <w:r w:rsidRPr="007D5F52">
        <w:rPr>
          <w:vertAlign w:val="subscript"/>
        </w:rPr>
        <w:t>max</w:t>
      </w:r>
      <w:proofErr w:type="spellEnd"/>
      <w:r w:rsidRPr="007D5F52">
        <w:t>) of vericiguat administered orally as a crushed tablet in water is compa</w:t>
      </w:r>
      <w:r w:rsidR="0006006F" w:rsidRPr="007D5F52">
        <w:t xml:space="preserve">rable to that of a whole tablet (see Section </w:t>
      </w:r>
      <w:r w:rsidR="0006006F" w:rsidRPr="007D5F52">
        <w:fldChar w:fldCharType="begin"/>
      </w:r>
      <w:r w:rsidR="0006006F" w:rsidRPr="007D5F52">
        <w:instrText xml:space="preserve"> REF _Ref39825044 \r \h </w:instrText>
      </w:r>
      <w:r w:rsidR="006662A4">
        <w:instrText xml:space="preserve"> \* MERGEFORMAT </w:instrText>
      </w:r>
      <w:r w:rsidR="0006006F" w:rsidRPr="007D5F52">
        <w:fldChar w:fldCharType="separate"/>
      </w:r>
      <w:r w:rsidR="00315B56">
        <w:t>4.2</w:t>
      </w:r>
      <w:r w:rsidR="0006006F" w:rsidRPr="007D5F52">
        <w:fldChar w:fldCharType="end"/>
      </w:r>
      <w:r w:rsidR="0006006F" w:rsidRPr="007D5F52">
        <w:t xml:space="preserve"> </w:t>
      </w:r>
      <w:r w:rsidR="0006006F" w:rsidRPr="007D5F52">
        <w:fldChar w:fldCharType="begin"/>
      </w:r>
      <w:r w:rsidR="0006006F" w:rsidRPr="007D5F52">
        <w:instrText xml:space="preserve"> REF _Ref39825044 \h </w:instrText>
      </w:r>
      <w:r w:rsidR="006662A4">
        <w:instrText xml:space="preserve"> \* MERGEFORMAT </w:instrText>
      </w:r>
      <w:r w:rsidR="0006006F" w:rsidRPr="007D5F52">
        <w:fldChar w:fldCharType="separate"/>
      </w:r>
      <w:r w:rsidR="00315B56" w:rsidRPr="007D5F52">
        <w:rPr>
          <w:rFonts w:cstheme="minorHAnsi"/>
        </w:rPr>
        <w:t>Dose and method of administration</w:t>
      </w:r>
      <w:r w:rsidR="0006006F" w:rsidRPr="007D5F52">
        <w:fldChar w:fldCharType="end"/>
      </w:r>
      <w:r w:rsidR="0006006F" w:rsidRPr="007D5F52">
        <w:t>).</w:t>
      </w:r>
    </w:p>
    <w:p w14:paraId="2CF7C37E" w14:textId="77777777" w:rsidR="00D80F59" w:rsidRPr="007D5F52" w:rsidRDefault="00D80F59" w:rsidP="006D7754">
      <w:pPr>
        <w:pStyle w:val="Heading4"/>
        <w:jc w:val="left"/>
      </w:pPr>
      <w:r w:rsidRPr="007D5F52">
        <w:t>Effect of Food</w:t>
      </w:r>
    </w:p>
    <w:p w14:paraId="38139469" w14:textId="1BA42766" w:rsidR="00D80F59" w:rsidRPr="007D5F52" w:rsidRDefault="00D80F59" w:rsidP="006D7754">
      <w:pPr>
        <w:jc w:val="left"/>
      </w:pPr>
      <w:bookmarkStart w:id="29" w:name="_Hlk36500315"/>
      <w:r w:rsidRPr="007D5F52">
        <w:t xml:space="preserve">Administration of vericiguat with a high-fat, high-calorie meal increases </w:t>
      </w:r>
      <w:proofErr w:type="spellStart"/>
      <w:r w:rsidRPr="007D5F52">
        <w:t>T</w:t>
      </w:r>
      <w:r w:rsidRPr="007D5F52">
        <w:rPr>
          <w:vertAlign w:val="subscript"/>
        </w:rPr>
        <w:t>max</w:t>
      </w:r>
      <w:proofErr w:type="spellEnd"/>
      <w:r w:rsidRPr="007D5F52">
        <w:t xml:space="preserve"> from about 1 hour (fasted) to about 4 hours (fed), reduces PK variability, and increases vericiguat exposure by 19% (AUC) and 9% (</w:t>
      </w:r>
      <w:proofErr w:type="spellStart"/>
      <w:r w:rsidRPr="007D5F52">
        <w:t>C</w:t>
      </w:r>
      <w:r w:rsidRPr="007D5F52">
        <w:rPr>
          <w:vertAlign w:val="subscript"/>
        </w:rPr>
        <w:t>max</w:t>
      </w:r>
      <w:proofErr w:type="spellEnd"/>
      <w:r w:rsidRPr="007D5F52">
        <w:t>) for the 5 mg tablet and by 44% (AUC) and 41% (</w:t>
      </w:r>
      <w:proofErr w:type="spellStart"/>
      <w:r w:rsidRPr="007D5F52">
        <w:t>C</w:t>
      </w:r>
      <w:r w:rsidRPr="007D5F52">
        <w:rPr>
          <w:vertAlign w:val="subscript"/>
        </w:rPr>
        <w:t>max</w:t>
      </w:r>
      <w:proofErr w:type="spellEnd"/>
      <w:r w:rsidRPr="007D5F52">
        <w:t xml:space="preserve">) for the 10 mg tablet as compared with the fasted state. </w:t>
      </w:r>
      <w:bookmarkEnd w:id="29"/>
      <w:r w:rsidRPr="007D5F52">
        <w:t xml:space="preserve">Similar results were obtained when vericiguat was administered with a low-fat, high-carbohydrate meal. Therefore, </w:t>
      </w:r>
      <w:r w:rsidR="003E720A" w:rsidRPr="007D5F52">
        <w:t>VERQUVO</w:t>
      </w:r>
      <w:r w:rsidR="00BB3423" w:rsidRPr="007D5F52">
        <w:t>®</w:t>
      </w:r>
      <w:r w:rsidR="003E720A" w:rsidRPr="007D5F52">
        <w:t xml:space="preserve"> </w:t>
      </w:r>
      <w:r w:rsidRPr="007D5F52">
        <w:t xml:space="preserve">should be taken with food </w:t>
      </w:r>
      <w:r w:rsidR="0006006F" w:rsidRPr="007D5F52">
        <w:t xml:space="preserve">(see Section </w:t>
      </w:r>
      <w:r w:rsidR="0006006F" w:rsidRPr="007D5F52">
        <w:fldChar w:fldCharType="begin"/>
      </w:r>
      <w:r w:rsidR="0006006F" w:rsidRPr="007D5F52">
        <w:instrText xml:space="preserve"> REF _Ref39825044 \r \h </w:instrText>
      </w:r>
      <w:r w:rsidR="006662A4">
        <w:instrText xml:space="preserve"> \* MERGEFORMAT </w:instrText>
      </w:r>
      <w:r w:rsidR="0006006F" w:rsidRPr="007D5F52">
        <w:fldChar w:fldCharType="separate"/>
      </w:r>
      <w:r w:rsidR="00315B56">
        <w:t>4.2</w:t>
      </w:r>
      <w:r w:rsidR="0006006F" w:rsidRPr="007D5F52">
        <w:fldChar w:fldCharType="end"/>
      </w:r>
      <w:r w:rsidR="0006006F" w:rsidRPr="007D5F52">
        <w:t xml:space="preserve"> </w:t>
      </w:r>
      <w:r w:rsidR="0006006F" w:rsidRPr="007D5F52">
        <w:fldChar w:fldCharType="begin"/>
      </w:r>
      <w:r w:rsidR="0006006F" w:rsidRPr="007D5F52">
        <w:instrText xml:space="preserve"> REF _Ref39825044 \h </w:instrText>
      </w:r>
      <w:r w:rsidR="006662A4">
        <w:instrText xml:space="preserve"> \* MERGEFORMAT </w:instrText>
      </w:r>
      <w:r w:rsidR="0006006F" w:rsidRPr="007D5F52">
        <w:fldChar w:fldCharType="separate"/>
      </w:r>
      <w:r w:rsidR="00315B56" w:rsidRPr="007D5F52">
        <w:rPr>
          <w:rFonts w:cstheme="minorHAnsi"/>
        </w:rPr>
        <w:t>Dose and method of administration</w:t>
      </w:r>
      <w:r w:rsidR="0006006F" w:rsidRPr="007D5F52">
        <w:fldChar w:fldCharType="end"/>
      </w:r>
      <w:r w:rsidR="0006006F" w:rsidRPr="007D5F52">
        <w:t>).</w:t>
      </w:r>
    </w:p>
    <w:p w14:paraId="62315F9A" w14:textId="77777777" w:rsidR="00D80F59" w:rsidRPr="007D5F52" w:rsidRDefault="001A3992" w:rsidP="006D7754">
      <w:pPr>
        <w:pStyle w:val="Heading3"/>
        <w:spacing w:before="0" w:after="120"/>
        <w:jc w:val="left"/>
        <w:rPr>
          <w:rFonts w:cstheme="minorHAnsi"/>
        </w:rPr>
      </w:pPr>
      <w:r w:rsidRPr="007D5F52">
        <w:rPr>
          <w:rFonts w:cstheme="minorHAnsi"/>
        </w:rPr>
        <w:t>Distribution</w:t>
      </w:r>
    </w:p>
    <w:p w14:paraId="1B2D8086" w14:textId="77777777" w:rsidR="00D80F59" w:rsidRPr="007D5F52" w:rsidRDefault="00D80F59" w:rsidP="006D7754">
      <w:pPr>
        <w:jc w:val="left"/>
      </w:pPr>
      <w:r w:rsidRPr="007D5F52">
        <w:t>The mean steady-state volume of distribution of vericiguat in healthy subjects is approximately 44 L. Plasma protein binding of vericiguat is about 98%, with serum albumin being the main binding component. Plasma protein binding of vericiguat is not altered by renal or hepatic impairment.</w:t>
      </w:r>
    </w:p>
    <w:p w14:paraId="3BA84589" w14:textId="77777777" w:rsidR="001A3992" w:rsidRPr="007D5F52" w:rsidRDefault="001A3992" w:rsidP="006D7754">
      <w:pPr>
        <w:pStyle w:val="Heading3"/>
        <w:spacing w:before="0" w:after="120"/>
        <w:jc w:val="left"/>
        <w:rPr>
          <w:rFonts w:cstheme="minorHAnsi"/>
        </w:rPr>
      </w:pPr>
      <w:r w:rsidRPr="007D5F52">
        <w:rPr>
          <w:rFonts w:cstheme="minorHAnsi"/>
        </w:rPr>
        <w:t>Metabolism</w:t>
      </w:r>
    </w:p>
    <w:p w14:paraId="41805CBB" w14:textId="75D03FF4" w:rsidR="00D80F59" w:rsidRPr="007D5F52" w:rsidRDefault="003E720A" w:rsidP="006D7754">
      <w:pPr>
        <w:jc w:val="left"/>
      </w:pPr>
      <w:r w:rsidRPr="007D5F52">
        <w:t>Glucuronidation is the major biotransformation pathway of vericiguat to form an N-glucuronide, which is pharmacologically inactive and the major drug related component in plasma. N-</w:t>
      </w:r>
      <w:r w:rsidRPr="007D5F52">
        <w:lastRenderedPageBreak/>
        <w:t>glucuronidation is cataly</w:t>
      </w:r>
      <w:r w:rsidR="00CD33F7" w:rsidRPr="007D5F52">
        <w:t>s</w:t>
      </w:r>
      <w:r w:rsidRPr="007D5F52">
        <w:t>ed predominantly by UGT1A9, as well as UGT1A1. CYP-mediated metabolism is a minor clearance pathway (&lt;5%).</w:t>
      </w:r>
    </w:p>
    <w:p w14:paraId="7472421B" w14:textId="77777777" w:rsidR="001A3992" w:rsidRPr="007D5F52" w:rsidRDefault="001A3992" w:rsidP="006D7754">
      <w:pPr>
        <w:pStyle w:val="Heading3"/>
        <w:spacing w:before="0" w:after="120"/>
        <w:jc w:val="left"/>
        <w:rPr>
          <w:rFonts w:cstheme="minorHAnsi"/>
        </w:rPr>
      </w:pPr>
      <w:r w:rsidRPr="007D5F52">
        <w:rPr>
          <w:rFonts w:cstheme="minorHAnsi"/>
        </w:rPr>
        <w:t>Excretion</w:t>
      </w:r>
    </w:p>
    <w:p w14:paraId="5E5EED48" w14:textId="20813113" w:rsidR="003E720A" w:rsidRPr="007D5F52" w:rsidRDefault="003E720A" w:rsidP="006D7754">
      <w:pPr>
        <w:jc w:val="left"/>
      </w:pPr>
      <w:r w:rsidRPr="007D5F52">
        <w:t>Vericiguat is a low-clearance drug (1.6 L/h in healthy subjects). The half-life is about 20 hours in healthy subjects and 30 hours in heart failure patients. Following oral administration of [</w:t>
      </w:r>
      <w:r w:rsidRPr="007D5F52">
        <w:rPr>
          <w:vertAlign w:val="superscript"/>
        </w:rPr>
        <w:t>14</w:t>
      </w:r>
      <w:r w:rsidRPr="007D5F52">
        <w:t xml:space="preserve">C]-vericiguat to healthy subjects, approximately 53% of the dose was excreted in urine (primarily as the N-glucuronide) and 45% of the dose was excreted in </w:t>
      </w:r>
      <w:r w:rsidR="00CD33F7" w:rsidRPr="007D5F52">
        <w:t>faeces</w:t>
      </w:r>
      <w:r w:rsidRPr="007D5F52">
        <w:t xml:space="preserve"> (primarily as vericiguat).</w:t>
      </w:r>
    </w:p>
    <w:p w14:paraId="7AC1DD83" w14:textId="77777777" w:rsidR="003E720A" w:rsidRPr="007D5F52" w:rsidRDefault="003E720A" w:rsidP="006D7754">
      <w:pPr>
        <w:pStyle w:val="Heading3"/>
        <w:jc w:val="left"/>
      </w:pPr>
      <w:bookmarkStart w:id="30" w:name="_Ref39837011"/>
      <w:r w:rsidRPr="007D5F52">
        <w:t>Special populations</w:t>
      </w:r>
      <w:bookmarkEnd w:id="30"/>
    </w:p>
    <w:p w14:paraId="7A5BDC2E" w14:textId="77777777" w:rsidR="003E720A" w:rsidRPr="007D5F52" w:rsidRDefault="003E720A" w:rsidP="006D7754">
      <w:pPr>
        <w:pStyle w:val="Heading4"/>
        <w:jc w:val="left"/>
      </w:pPr>
      <w:r w:rsidRPr="007D5F52">
        <w:t>Renal Impairment</w:t>
      </w:r>
    </w:p>
    <w:p w14:paraId="311AB8A3" w14:textId="0E37F094" w:rsidR="003E720A" w:rsidRPr="007D5F52" w:rsidRDefault="003E720A" w:rsidP="006D7754">
      <w:pPr>
        <w:jc w:val="left"/>
        <w:rPr>
          <w:iCs/>
        </w:rPr>
      </w:pPr>
      <w:r w:rsidRPr="007D5F52">
        <w:t xml:space="preserve">No relevant increase in exposure (AUC) was observed for heart failure patients with moderate and severe renal impairment not requiring dialysis. </w:t>
      </w:r>
      <w:r w:rsidRPr="007D5F52">
        <w:rPr>
          <w:iCs/>
        </w:rPr>
        <w:t>In patients with heart failure with moderate (eGFR ≥30 to &lt;60</w:t>
      </w:r>
      <w:r w:rsidRPr="007D5F52">
        <w:t> mL/min/1.73m</w:t>
      </w:r>
      <w:r w:rsidRPr="007D5F52">
        <w:rPr>
          <w:vertAlign w:val="superscript"/>
        </w:rPr>
        <w:t>2</w:t>
      </w:r>
      <w:r w:rsidRPr="007D5F52">
        <w:rPr>
          <w:iCs/>
        </w:rPr>
        <w:t>) and severe renal impairment (eGFR ≥15 to &lt;30</w:t>
      </w:r>
      <w:r w:rsidRPr="007D5F52">
        <w:t> mL/min/1.73m</w:t>
      </w:r>
      <w:r w:rsidRPr="007D5F52">
        <w:rPr>
          <w:vertAlign w:val="superscript"/>
        </w:rPr>
        <w:t>2</w:t>
      </w:r>
      <w:r w:rsidRPr="007D5F52">
        <w:rPr>
          <w:iCs/>
        </w:rPr>
        <w:t xml:space="preserve">) not requiring dialysis, the mean exposure (AUC) of vericiguat was increased by 13% and 20%, respectively, compared to patients with normal renal function. The pharmacokinetics of vericiguat have not been studied in patients </w:t>
      </w:r>
      <w:r w:rsidRPr="007D5F52">
        <w:t>with eGFR &lt;15 mL/min/1.73m</w:t>
      </w:r>
      <w:r w:rsidRPr="007D5F52">
        <w:rPr>
          <w:vertAlign w:val="superscript"/>
        </w:rPr>
        <w:t>2</w:t>
      </w:r>
      <w:r w:rsidRPr="007D5F52">
        <w:t xml:space="preserve"> at treatment initiation or </w:t>
      </w:r>
      <w:r w:rsidRPr="007D5F52">
        <w:rPr>
          <w:iCs/>
        </w:rPr>
        <w:t xml:space="preserve">on dialysis </w:t>
      </w:r>
      <w:r w:rsidR="00D66927" w:rsidRPr="007D5F52">
        <w:t xml:space="preserve">(see Section </w:t>
      </w:r>
      <w:r w:rsidR="00D66927" w:rsidRPr="007D5F52">
        <w:fldChar w:fldCharType="begin"/>
      </w:r>
      <w:r w:rsidR="00D66927" w:rsidRPr="007D5F52">
        <w:instrText xml:space="preserve"> REF _Ref39825044 \r \h </w:instrText>
      </w:r>
      <w:r w:rsidR="006662A4">
        <w:instrText xml:space="preserve"> \* MERGEFORMAT </w:instrText>
      </w:r>
      <w:r w:rsidR="00D66927" w:rsidRPr="007D5F52">
        <w:fldChar w:fldCharType="separate"/>
      </w:r>
      <w:r w:rsidR="00315B56">
        <w:t>4.2</w:t>
      </w:r>
      <w:r w:rsidR="00D66927" w:rsidRPr="007D5F52">
        <w:fldChar w:fldCharType="end"/>
      </w:r>
      <w:r w:rsidR="00D66927" w:rsidRPr="007D5F52">
        <w:t xml:space="preserve"> </w:t>
      </w:r>
      <w:r w:rsidR="00D66927" w:rsidRPr="007D5F52">
        <w:fldChar w:fldCharType="begin"/>
      </w:r>
      <w:r w:rsidR="00D66927" w:rsidRPr="007D5F52">
        <w:instrText xml:space="preserve"> REF _Ref39825044 \h </w:instrText>
      </w:r>
      <w:r w:rsidR="006662A4">
        <w:instrText xml:space="preserve"> \* MERGEFORMAT </w:instrText>
      </w:r>
      <w:r w:rsidR="00D66927" w:rsidRPr="007D5F52">
        <w:fldChar w:fldCharType="separate"/>
      </w:r>
      <w:r w:rsidR="00315B56" w:rsidRPr="007D5F52">
        <w:rPr>
          <w:rFonts w:cstheme="minorHAnsi"/>
        </w:rPr>
        <w:t>Dose and method of administration</w:t>
      </w:r>
      <w:r w:rsidR="00D66927" w:rsidRPr="007D5F52">
        <w:fldChar w:fldCharType="end"/>
      </w:r>
      <w:r w:rsidR="00D66927" w:rsidRPr="007D5F52">
        <w:t xml:space="preserve"> – </w:t>
      </w:r>
      <w:r w:rsidR="00D66927" w:rsidRPr="007D5F52">
        <w:fldChar w:fldCharType="begin"/>
      </w:r>
      <w:r w:rsidR="00D66927" w:rsidRPr="007D5F52">
        <w:instrText xml:space="preserve"> REF _Ref39837477 \h </w:instrText>
      </w:r>
      <w:r w:rsidR="006662A4">
        <w:instrText xml:space="preserve"> \* MERGEFORMAT </w:instrText>
      </w:r>
      <w:r w:rsidR="00D66927" w:rsidRPr="007D5F52">
        <w:fldChar w:fldCharType="separate"/>
      </w:r>
      <w:r w:rsidR="00315B56" w:rsidRPr="007D5F52">
        <w:t>Renal Impairment</w:t>
      </w:r>
      <w:r w:rsidR="00D66927" w:rsidRPr="007D5F52">
        <w:fldChar w:fldCharType="end"/>
      </w:r>
      <w:r w:rsidR="00D66927" w:rsidRPr="007D5F52">
        <w:fldChar w:fldCharType="begin"/>
      </w:r>
      <w:r w:rsidR="00D66927" w:rsidRPr="007D5F52">
        <w:instrText xml:space="preserve"> REF _Ref39836925 \h </w:instrText>
      </w:r>
      <w:r w:rsidR="006662A4">
        <w:instrText xml:space="preserve"> \* MERGEFORMAT </w:instrText>
      </w:r>
      <w:r w:rsidR="00D66927" w:rsidRPr="007D5F52">
        <w:fldChar w:fldCharType="end"/>
      </w:r>
      <w:r w:rsidR="00D66927" w:rsidRPr="007D5F52">
        <w:t xml:space="preserve"> and Section </w:t>
      </w:r>
      <w:r w:rsidR="00D66927" w:rsidRPr="007D5F52">
        <w:fldChar w:fldCharType="begin"/>
      </w:r>
      <w:r w:rsidR="00D66927" w:rsidRPr="007D5F52">
        <w:instrText xml:space="preserve"> REF _Ref39824947 \r \h </w:instrText>
      </w:r>
      <w:r w:rsidR="006662A4">
        <w:instrText xml:space="preserve"> \* MERGEFORMAT </w:instrText>
      </w:r>
      <w:r w:rsidR="00D66927" w:rsidRPr="007D5F52">
        <w:fldChar w:fldCharType="separate"/>
      </w:r>
      <w:r w:rsidR="00315B56">
        <w:t>4.4</w:t>
      </w:r>
      <w:r w:rsidR="00D66927" w:rsidRPr="007D5F52">
        <w:fldChar w:fldCharType="end"/>
      </w:r>
      <w:r w:rsidR="00D66927" w:rsidRPr="007D5F52">
        <w:t xml:space="preserve"> </w:t>
      </w:r>
      <w:r w:rsidR="00D66927" w:rsidRPr="007D5F52">
        <w:fldChar w:fldCharType="begin"/>
      </w:r>
      <w:r w:rsidR="00D66927" w:rsidRPr="007D5F52">
        <w:instrText xml:space="preserve"> REF _Ref39824947 \h </w:instrText>
      </w:r>
      <w:r w:rsidR="006662A4">
        <w:instrText xml:space="preserve"> \* MERGEFORMAT </w:instrText>
      </w:r>
      <w:r w:rsidR="00D66927" w:rsidRPr="007D5F52">
        <w:fldChar w:fldCharType="separate"/>
      </w:r>
      <w:r w:rsidR="00315B56" w:rsidRPr="007D5F52">
        <w:rPr>
          <w:rFonts w:cstheme="minorHAnsi"/>
        </w:rPr>
        <w:t>Special warnings and precautions for use</w:t>
      </w:r>
      <w:r w:rsidR="00D66927" w:rsidRPr="007D5F52">
        <w:fldChar w:fldCharType="end"/>
      </w:r>
      <w:r w:rsidR="00D66927" w:rsidRPr="007D5F52">
        <w:t xml:space="preserve"> – </w:t>
      </w:r>
      <w:r w:rsidR="00D66927" w:rsidRPr="007D5F52">
        <w:fldChar w:fldCharType="begin"/>
      </w:r>
      <w:r w:rsidR="00D66927" w:rsidRPr="007D5F52">
        <w:instrText xml:space="preserve"> REF _Ref39837061 \h </w:instrText>
      </w:r>
      <w:r w:rsidR="006662A4">
        <w:instrText xml:space="preserve"> \* MERGEFORMAT </w:instrText>
      </w:r>
      <w:r w:rsidR="00D66927" w:rsidRPr="007D5F52">
        <w:fldChar w:fldCharType="separate"/>
      </w:r>
      <w:r w:rsidR="00315B56" w:rsidRPr="007D5F52">
        <w:rPr>
          <w:rFonts w:cstheme="minorHAnsi"/>
        </w:rPr>
        <w:t>Use in renal impairment</w:t>
      </w:r>
      <w:r w:rsidR="00D66927" w:rsidRPr="007D5F52">
        <w:fldChar w:fldCharType="end"/>
      </w:r>
      <w:r w:rsidR="00D66927" w:rsidRPr="007D5F52">
        <w:t>).</w:t>
      </w:r>
    </w:p>
    <w:p w14:paraId="692A1CA7" w14:textId="77777777" w:rsidR="003E720A" w:rsidRPr="007D5F52" w:rsidRDefault="003E720A" w:rsidP="006D7754">
      <w:pPr>
        <w:pStyle w:val="Heading4"/>
        <w:jc w:val="left"/>
      </w:pPr>
      <w:r w:rsidRPr="007D5F52">
        <w:t>Hepatic Impairment</w:t>
      </w:r>
    </w:p>
    <w:p w14:paraId="0F9A31E6" w14:textId="6B9D5C16" w:rsidR="003E720A" w:rsidRPr="007D5F52" w:rsidRDefault="003E720A" w:rsidP="006D7754">
      <w:pPr>
        <w:jc w:val="left"/>
      </w:pPr>
      <w:r w:rsidRPr="007D5F52">
        <w:t xml:space="preserve">No relevant increase in exposure (unbound AUC) was observed for subjects with mild hepatic impairment (Child Pugh A) with mean exposure to vericiguat 21% higher compared to healthy subjects with normal hepatic function. In subjects with moderate hepatic impairment (Child Pugh B), mean exposure to vericiguat was approximately 47% higher compared to their healthy subjects with normal hepatic function. </w:t>
      </w:r>
      <w:bookmarkStart w:id="31" w:name="_Hlk36156623"/>
      <w:r w:rsidRPr="007D5F52">
        <w:rPr>
          <w:iCs/>
        </w:rPr>
        <w:t xml:space="preserve">The pharmacokinetics of vericiguat have not been studied in </w:t>
      </w:r>
      <w:r w:rsidRPr="007D5F52">
        <w:t>patients with severe hepatic impairment (Child</w:t>
      </w:r>
      <w:r w:rsidRPr="007D5F52">
        <w:noBreakHyphen/>
        <w:t xml:space="preserve">Pugh C) </w:t>
      </w:r>
      <w:bookmarkEnd w:id="31"/>
      <w:r w:rsidR="00D66927" w:rsidRPr="007D5F52">
        <w:t xml:space="preserve">(see Section </w:t>
      </w:r>
      <w:r w:rsidR="00D66927" w:rsidRPr="007D5F52">
        <w:fldChar w:fldCharType="begin"/>
      </w:r>
      <w:r w:rsidR="00D66927" w:rsidRPr="007D5F52">
        <w:instrText xml:space="preserve"> REF _Ref39825044 \r \h </w:instrText>
      </w:r>
      <w:r w:rsidR="006662A4">
        <w:instrText xml:space="preserve"> \* MERGEFORMAT </w:instrText>
      </w:r>
      <w:r w:rsidR="00D66927" w:rsidRPr="007D5F52">
        <w:fldChar w:fldCharType="separate"/>
      </w:r>
      <w:r w:rsidR="00315B56">
        <w:t>4.2</w:t>
      </w:r>
      <w:r w:rsidR="00D66927" w:rsidRPr="007D5F52">
        <w:fldChar w:fldCharType="end"/>
      </w:r>
      <w:r w:rsidR="00D66927" w:rsidRPr="007D5F52">
        <w:t xml:space="preserve"> </w:t>
      </w:r>
      <w:r w:rsidR="00D66927" w:rsidRPr="007D5F52">
        <w:fldChar w:fldCharType="begin"/>
      </w:r>
      <w:r w:rsidR="00D66927" w:rsidRPr="007D5F52">
        <w:instrText xml:space="preserve"> REF _Ref39825044 \h </w:instrText>
      </w:r>
      <w:r w:rsidR="006662A4">
        <w:instrText xml:space="preserve"> \* MERGEFORMAT </w:instrText>
      </w:r>
      <w:r w:rsidR="00D66927" w:rsidRPr="007D5F52">
        <w:fldChar w:fldCharType="separate"/>
      </w:r>
      <w:r w:rsidR="00315B56" w:rsidRPr="007D5F52">
        <w:rPr>
          <w:rFonts w:cstheme="minorHAnsi"/>
        </w:rPr>
        <w:t>Dose and method of administration</w:t>
      </w:r>
      <w:r w:rsidR="00D66927" w:rsidRPr="007D5F52">
        <w:fldChar w:fldCharType="end"/>
      </w:r>
      <w:r w:rsidR="00D66927" w:rsidRPr="007D5F52">
        <w:t xml:space="preserve"> – </w:t>
      </w:r>
      <w:r w:rsidR="00D66927" w:rsidRPr="007D5F52">
        <w:fldChar w:fldCharType="begin"/>
      </w:r>
      <w:r w:rsidR="00D66927" w:rsidRPr="007D5F52">
        <w:instrText xml:space="preserve"> REF _Ref39837519 \h </w:instrText>
      </w:r>
      <w:r w:rsidR="006662A4">
        <w:instrText xml:space="preserve"> \* MERGEFORMAT </w:instrText>
      </w:r>
      <w:r w:rsidR="00D66927" w:rsidRPr="007D5F52">
        <w:fldChar w:fldCharType="separate"/>
      </w:r>
      <w:r w:rsidR="00315B56" w:rsidRPr="007D5F52">
        <w:t>Hepatic Impairment</w:t>
      </w:r>
      <w:r w:rsidR="00D66927" w:rsidRPr="007D5F52">
        <w:fldChar w:fldCharType="end"/>
      </w:r>
      <w:r w:rsidR="00D66927" w:rsidRPr="007D5F52">
        <w:fldChar w:fldCharType="begin"/>
      </w:r>
      <w:r w:rsidR="00D66927" w:rsidRPr="007D5F52">
        <w:instrText xml:space="preserve"> REF _Ref39836925 \h </w:instrText>
      </w:r>
      <w:r w:rsidR="006662A4">
        <w:instrText xml:space="preserve"> \* MERGEFORMAT </w:instrText>
      </w:r>
      <w:r w:rsidR="00D66927" w:rsidRPr="007D5F52">
        <w:fldChar w:fldCharType="end"/>
      </w:r>
      <w:r w:rsidR="00D66927" w:rsidRPr="007D5F52">
        <w:t xml:space="preserve"> and Section </w:t>
      </w:r>
      <w:r w:rsidR="00D66927" w:rsidRPr="007D5F52">
        <w:fldChar w:fldCharType="begin"/>
      </w:r>
      <w:r w:rsidR="00D66927" w:rsidRPr="007D5F52">
        <w:instrText xml:space="preserve"> REF _Ref39824947 \r \h </w:instrText>
      </w:r>
      <w:r w:rsidR="006662A4">
        <w:instrText xml:space="preserve"> \* MERGEFORMAT </w:instrText>
      </w:r>
      <w:r w:rsidR="00D66927" w:rsidRPr="007D5F52">
        <w:fldChar w:fldCharType="separate"/>
      </w:r>
      <w:r w:rsidR="00315B56">
        <w:t>4.4</w:t>
      </w:r>
      <w:r w:rsidR="00D66927" w:rsidRPr="007D5F52">
        <w:fldChar w:fldCharType="end"/>
      </w:r>
      <w:r w:rsidR="00D66927" w:rsidRPr="007D5F52">
        <w:t xml:space="preserve"> </w:t>
      </w:r>
      <w:r w:rsidR="00D66927" w:rsidRPr="007D5F52">
        <w:fldChar w:fldCharType="begin"/>
      </w:r>
      <w:r w:rsidR="00D66927" w:rsidRPr="007D5F52">
        <w:instrText xml:space="preserve"> REF _Ref39824947 \h </w:instrText>
      </w:r>
      <w:r w:rsidR="006662A4">
        <w:instrText xml:space="preserve"> \* MERGEFORMAT </w:instrText>
      </w:r>
      <w:r w:rsidR="00D66927" w:rsidRPr="007D5F52">
        <w:fldChar w:fldCharType="separate"/>
      </w:r>
      <w:r w:rsidR="00315B56" w:rsidRPr="007D5F52">
        <w:rPr>
          <w:rFonts w:cstheme="minorHAnsi"/>
        </w:rPr>
        <w:t>Special warnings and precautions for use</w:t>
      </w:r>
      <w:r w:rsidR="00D66927" w:rsidRPr="007D5F52">
        <w:fldChar w:fldCharType="end"/>
      </w:r>
      <w:r w:rsidR="00D66927" w:rsidRPr="007D5F52">
        <w:t xml:space="preserve"> – </w:t>
      </w:r>
      <w:r w:rsidR="00D66927" w:rsidRPr="007D5F52">
        <w:fldChar w:fldCharType="begin"/>
      </w:r>
      <w:r w:rsidR="00D66927" w:rsidRPr="007D5F52">
        <w:instrText xml:space="preserve"> REF _Ref39837168 \h </w:instrText>
      </w:r>
      <w:r w:rsidR="006662A4">
        <w:instrText xml:space="preserve"> \* MERGEFORMAT </w:instrText>
      </w:r>
      <w:r w:rsidR="00D66927" w:rsidRPr="007D5F52">
        <w:fldChar w:fldCharType="separate"/>
      </w:r>
      <w:r w:rsidR="00315B56" w:rsidRPr="007D5F52">
        <w:rPr>
          <w:rFonts w:cstheme="minorHAnsi"/>
        </w:rPr>
        <w:t>Use in hepatic impairment</w:t>
      </w:r>
      <w:r w:rsidR="00D66927" w:rsidRPr="007D5F52">
        <w:fldChar w:fldCharType="end"/>
      </w:r>
      <w:r w:rsidR="00D66927" w:rsidRPr="007D5F52">
        <w:t>).</w:t>
      </w:r>
    </w:p>
    <w:p w14:paraId="2979085E" w14:textId="7CED5E26" w:rsidR="003E720A" w:rsidRPr="007D5F52" w:rsidRDefault="00860C45" w:rsidP="006D7754">
      <w:pPr>
        <w:pStyle w:val="Heading4"/>
        <w:jc w:val="left"/>
      </w:pPr>
      <w:r w:rsidRPr="007D5F52">
        <w:t>Paediatric</w:t>
      </w:r>
    </w:p>
    <w:p w14:paraId="2342C063" w14:textId="369DCDB4" w:rsidR="003E720A" w:rsidRPr="007D5F52" w:rsidRDefault="003E720A" w:rsidP="006D7754">
      <w:pPr>
        <w:jc w:val="left"/>
        <w:rPr>
          <w:iCs/>
        </w:rPr>
      </w:pPr>
      <w:r w:rsidRPr="007D5F52">
        <w:rPr>
          <w:iCs/>
        </w:rPr>
        <w:t xml:space="preserve">No studies with </w:t>
      </w:r>
      <w:r w:rsidR="001F73B1" w:rsidRPr="007D5F52">
        <w:t>vericiguat</w:t>
      </w:r>
      <w:r w:rsidR="00E7617B" w:rsidRPr="007D5F52">
        <w:t xml:space="preserve"> </w:t>
      </w:r>
      <w:r w:rsidRPr="007D5F52">
        <w:rPr>
          <w:iCs/>
        </w:rPr>
        <w:t xml:space="preserve">have been performed in </w:t>
      </w:r>
      <w:r w:rsidR="00860C45" w:rsidRPr="007D5F52">
        <w:rPr>
          <w:iCs/>
        </w:rPr>
        <w:t>paediatric</w:t>
      </w:r>
      <w:r w:rsidRPr="007D5F52">
        <w:rPr>
          <w:iCs/>
        </w:rPr>
        <w:t xml:space="preserve"> patients.</w:t>
      </w:r>
    </w:p>
    <w:p w14:paraId="52DB5F52" w14:textId="77777777" w:rsidR="003E720A" w:rsidRPr="007D5F52" w:rsidRDefault="003E720A" w:rsidP="006D7754">
      <w:pPr>
        <w:pStyle w:val="Heading4"/>
        <w:jc w:val="left"/>
      </w:pPr>
      <w:r w:rsidRPr="007D5F52">
        <w:t>Body Weight</w:t>
      </w:r>
    </w:p>
    <w:p w14:paraId="44E49FF6" w14:textId="77777777" w:rsidR="003E720A" w:rsidRPr="007D5F52" w:rsidRDefault="003E720A" w:rsidP="006D7754">
      <w:pPr>
        <w:jc w:val="left"/>
        <w:rPr>
          <w:bCs/>
        </w:rPr>
      </w:pPr>
      <w:bookmarkStart w:id="32" w:name="_Hlk37028964"/>
      <w:r w:rsidRPr="007D5F52">
        <w:t>In a population pharmacokinetic analysis of vericiguat, t</w:t>
      </w:r>
      <w:r w:rsidRPr="007D5F52">
        <w:rPr>
          <w:bCs/>
        </w:rPr>
        <w:t>he steady-state AUC values were approximately 27% higher in heart failure patients with a body weight &lt;60</w:t>
      </w:r>
      <w:r w:rsidRPr="007D5F52">
        <w:t> </w:t>
      </w:r>
      <w:r w:rsidRPr="007D5F52">
        <w:rPr>
          <w:bCs/>
        </w:rPr>
        <w:t>kg and approximately 20% lower in heart failure patients with a body weight &gt;90</w:t>
      </w:r>
      <w:r w:rsidRPr="007D5F52">
        <w:t> </w:t>
      </w:r>
      <w:r w:rsidRPr="007D5F52">
        <w:rPr>
          <w:bCs/>
        </w:rPr>
        <w:t>kg, compared to heart failure patients with a body weight between 60 and 90</w:t>
      </w:r>
      <w:r w:rsidRPr="007D5F52">
        <w:t> </w:t>
      </w:r>
      <w:r w:rsidRPr="007D5F52">
        <w:rPr>
          <w:bCs/>
        </w:rPr>
        <w:t>kg. The effect of body weight on vericiguat exposure is not clinically meaningful.</w:t>
      </w:r>
      <w:bookmarkEnd w:id="32"/>
    </w:p>
    <w:p w14:paraId="11D96BAC" w14:textId="77777777" w:rsidR="003E720A" w:rsidRPr="007D5F52" w:rsidRDefault="003E720A" w:rsidP="006D7754">
      <w:pPr>
        <w:pStyle w:val="Heading4"/>
        <w:jc w:val="left"/>
      </w:pPr>
      <w:r w:rsidRPr="007D5F52">
        <w:t>Effects of Age, Gender, Ethnicity, Race, and Baseline NT-</w:t>
      </w:r>
      <w:proofErr w:type="spellStart"/>
      <w:r w:rsidRPr="007D5F52">
        <w:t>proBNP</w:t>
      </w:r>
      <w:proofErr w:type="spellEnd"/>
    </w:p>
    <w:p w14:paraId="5D046E03" w14:textId="22034DC7" w:rsidR="003E720A" w:rsidRPr="007D5F52" w:rsidRDefault="003E720A" w:rsidP="006D7754">
      <w:pPr>
        <w:jc w:val="left"/>
      </w:pPr>
      <w:r w:rsidRPr="007D5F52">
        <w:t>Based on a population pharmacokinetic analysis, age, gender, ethnicity, race, and baseline NT-</w:t>
      </w:r>
      <w:proofErr w:type="spellStart"/>
      <w:r w:rsidRPr="007D5F52">
        <w:t>proBNP</w:t>
      </w:r>
      <w:proofErr w:type="spellEnd"/>
      <w:r w:rsidRPr="007D5F52">
        <w:t xml:space="preserve"> do not have a clinically meaningful effect on the pharmacokinetics of vericiguat.</w:t>
      </w:r>
    </w:p>
    <w:p w14:paraId="0DFD62B4" w14:textId="77777777" w:rsidR="001A3992" w:rsidRPr="007D5F52" w:rsidRDefault="001A3992" w:rsidP="006D7754">
      <w:pPr>
        <w:pStyle w:val="Heading2"/>
        <w:spacing w:before="0" w:after="120"/>
        <w:jc w:val="left"/>
        <w:rPr>
          <w:rFonts w:cstheme="minorHAnsi"/>
        </w:rPr>
      </w:pPr>
      <w:bookmarkStart w:id="33" w:name="_Ref40457436"/>
      <w:bookmarkStart w:id="34" w:name="_Ref40963460"/>
      <w:r w:rsidRPr="007D5F52">
        <w:rPr>
          <w:rFonts w:cstheme="minorHAnsi"/>
        </w:rPr>
        <w:t>Preclinical safety data</w:t>
      </w:r>
      <w:bookmarkEnd w:id="33"/>
      <w:bookmarkEnd w:id="34"/>
    </w:p>
    <w:p w14:paraId="02C631E7" w14:textId="1AAF1D56" w:rsidR="00DC5366" w:rsidRPr="007D5F52" w:rsidRDefault="00DC5366" w:rsidP="006D7754">
      <w:pPr>
        <w:jc w:val="left"/>
      </w:pPr>
      <w:r w:rsidRPr="007D5F52">
        <w:lastRenderedPageBreak/>
        <w:t xml:space="preserve">Non-clinical data reveal no special hazard for humans based on conventional studies of safety pharmacology, repeated dose toxicity, </w:t>
      </w:r>
      <w:proofErr w:type="gramStart"/>
      <w:r w:rsidRPr="007D5F52">
        <w:t>genotoxicity</w:t>
      </w:r>
      <w:proofErr w:type="gramEnd"/>
      <w:r w:rsidR="0061587B">
        <w:t xml:space="preserve"> or</w:t>
      </w:r>
      <w:r w:rsidRPr="007D5F52">
        <w:t xml:space="preserve"> carcinogenic potential</w:t>
      </w:r>
      <w:r w:rsidR="0061587B">
        <w:t>.</w:t>
      </w:r>
    </w:p>
    <w:p w14:paraId="148E04D9" w14:textId="2FCBAAF9" w:rsidR="000E68B6" w:rsidRPr="0061587B" w:rsidRDefault="00DC5366" w:rsidP="006D7754">
      <w:pPr>
        <w:pStyle w:val="Heading3"/>
        <w:spacing w:before="0" w:after="120"/>
        <w:jc w:val="left"/>
        <w:rPr>
          <w:rFonts w:cstheme="minorHAnsi"/>
        </w:rPr>
      </w:pPr>
      <w:bookmarkStart w:id="35" w:name="_Ref70586451"/>
      <w:r w:rsidRPr="0061587B">
        <w:rPr>
          <w:rFonts w:cstheme="minorHAnsi"/>
        </w:rPr>
        <w:t>T</w:t>
      </w:r>
      <w:r w:rsidR="000E68B6" w:rsidRPr="0061587B">
        <w:rPr>
          <w:rFonts w:cstheme="minorHAnsi"/>
        </w:rPr>
        <w:t>oxicity</w:t>
      </w:r>
      <w:bookmarkEnd w:id="35"/>
    </w:p>
    <w:p w14:paraId="2CA1FF44" w14:textId="4B1CDA42" w:rsidR="00DC5366" w:rsidRPr="007D5F52" w:rsidRDefault="00DC5366" w:rsidP="006D7754">
      <w:pPr>
        <w:jc w:val="left"/>
      </w:pPr>
      <w:r w:rsidRPr="007D5F52">
        <w:t xml:space="preserve">In </w:t>
      </w:r>
      <w:proofErr w:type="gramStart"/>
      <w:r w:rsidR="00067692" w:rsidRPr="007D5F52">
        <w:t>rapidly-growing</w:t>
      </w:r>
      <w:proofErr w:type="gramEnd"/>
      <w:r w:rsidR="00067692" w:rsidRPr="007D5F52">
        <w:t xml:space="preserve"> </w:t>
      </w:r>
      <w:r w:rsidRPr="007D5F52">
        <w:t xml:space="preserve">adolescent rats, reversible bone effects consisting of hypertrophy of growth plate and hyperostosis and remodelling of metaphyseal and diaphyseal bone were seen that were mediated by a mode of action-related intracellular cGMP increase. These effects were not observed after chronic administration of vericiguat to adult rats and almost </w:t>
      </w:r>
      <w:r w:rsidR="00860C45" w:rsidRPr="007D5F52">
        <w:t>full-grown</w:t>
      </w:r>
      <w:r w:rsidRPr="007D5F52">
        <w:t xml:space="preserve"> dogs.</w:t>
      </w:r>
    </w:p>
    <w:p w14:paraId="4CC03F4C" w14:textId="0537AE98" w:rsidR="001A3992" w:rsidRPr="007D5F52" w:rsidRDefault="001A3992" w:rsidP="006D7754">
      <w:pPr>
        <w:pStyle w:val="Heading3"/>
        <w:spacing w:before="0" w:after="120"/>
        <w:jc w:val="left"/>
        <w:rPr>
          <w:rFonts w:cstheme="minorHAnsi"/>
        </w:rPr>
      </w:pPr>
      <w:r w:rsidRPr="007D5F52">
        <w:rPr>
          <w:rFonts w:cstheme="minorHAnsi"/>
        </w:rPr>
        <w:t>Genotoxicity</w:t>
      </w:r>
    </w:p>
    <w:p w14:paraId="4431C06E" w14:textId="2421DBCC" w:rsidR="000E68B6" w:rsidRPr="007D5F52" w:rsidRDefault="000E68B6" w:rsidP="006D7754">
      <w:pPr>
        <w:jc w:val="left"/>
      </w:pPr>
      <w:r w:rsidRPr="007D5F52">
        <w:t xml:space="preserve">Vericiguat was not genotoxic in the </w:t>
      </w:r>
      <w:r w:rsidRPr="007D5F52">
        <w:rPr>
          <w:i/>
        </w:rPr>
        <w:t>in vitro</w:t>
      </w:r>
      <w:r w:rsidRPr="007D5F52">
        <w:t xml:space="preserve"> microbial mutagenicity (Ames) assay, the </w:t>
      </w:r>
      <w:r w:rsidRPr="007D5F52">
        <w:rPr>
          <w:i/>
        </w:rPr>
        <w:t>in vitro</w:t>
      </w:r>
      <w:r w:rsidRPr="007D5F52">
        <w:t xml:space="preserve"> mouse lymphoma assay, and the </w:t>
      </w:r>
      <w:r w:rsidRPr="007D5F52">
        <w:rPr>
          <w:i/>
        </w:rPr>
        <w:t>in vivo</w:t>
      </w:r>
      <w:r w:rsidRPr="007D5F52">
        <w:t xml:space="preserve"> rat and mouse micronucleus assay.</w:t>
      </w:r>
    </w:p>
    <w:p w14:paraId="06493163" w14:textId="0993CCE2" w:rsidR="001A3992" w:rsidRPr="007D5F52" w:rsidRDefault="001A3992" w:rsidP="006D7754">
      <w:pPr>
        <w:pStyle w:val="Heading3"/>
        <w:spacing w:before="0" w:after="120"/>
        <w:jc w:val="left"/>
        <w:rPr>
          <w:rFonts w:cstheme="minorHAnsi"/>
        </w:rPr>
      </w:pPr>
      <w:r w:rsidRPr="007D5F52">
        <w:rPr>
          <w:rFonts w:cstheme="minorHAnsi"/>
        </w:rPr>
        <w:t>Carcinogenicity</w:t>
      </w:r>
    </w:p>
    <w:p w14:paraId="63C5ECED" w14:textId="674514BD" w:rsidR="000E68B6" w:rsidRPr="007D5F52" w:rsidRDefault="000E68B6" w:rsidP="006D7754">
      <w:pPr>
        <w:jc w:val="left"/>
      </w:pPr>
      <w:r w:rsidRPr="007D5F52">
        <w:t xml:space="preserve">Carcinogenicity was evaluated in 2-year studies conducted in CD1 mice and Wistar rats. Vericiguat did not show a carcinogenic effect in mice dosed </w:t>
      </w:r>
      <w:r w:rsidR="004039F9">
        <w:t xml:space="preserve">in the diet at </w:t>
      </w:r>
      <w:r w:rsidRPr="007D5F52">
        <w:t>up to 150 mg/kg/day (males) or up to 250 mg/kg/day (females). These doses were associated with exposures 149 (males) or 286 (females) times the human exposure (unbound AUC) at the MRHD of 10 mg/day.</w:t>
      </w:r>
    </w:p>
    <w:p w14:paraId="3501A90A" w14:textId="4DA336E3" w:rsidR="000E68B6" w:rsidRPr="007D5F52" w:rsidRDefault="000E68B6" w:rsidP="006D7754">
      <w:pPr>
        <w:jc w:val="left"/>
      </w:pPr>
      <w:r w:rsidRPr="007D5F52">
        <w:t xml:space="preserve">In the carcinogenicity study in rats, no vericiguat-related </w:t>
      </w:r>
      <w:r w:rsidR="00860C45" w:rsidRPr="007D5F52">
        <w:t>tumour</w:t>
      </w:r>
      <w:r w:rsidRPr="007D5F52">
        <w:t xml:space="preserve"> or hyperplastic findings were seen up to exposures of 12 times the human exposure at the MRHD. A non-statistical numerical increase of benign pheochromocytomas and Leydig cell </w:t>
      </w:r>
      <w:r w:rsidR="00860C45" w:rsidRPr="007D5F52">
        <w:t>tumours</w:t>
      </w:r>
      <w:r w:rsidRPr="007D5F52">
        <w:t xml:space="preserve"> as well as respective </w:t>
      </w:r>
      <w:proofErr w:type="spellStart"/>
      <w:r w:rsidRPr="007D5F52">
        <w:t>hyperplasias</w:t>
      </w:r>
      <w:proofErr w:type="spellEnd"/>
      <w:r w:rsidRPr="007D5F52">
        <w:t xml:space="preserve"> were observed in males after </w:t>
      </w:r>
      <w:r w:rsidR="0061587B">
        <w:t xml:space="preserve">oral </w:t>
      </w:r>
      <w:r w:rsidRPr="007D5F52">
        <w:t xml:space="preserve">administration of the high dose of 20 mg/kg/day leading to exposure of 41 times the human exposure at the MRHD. This is considered a consequence of a compensatory and recurrent activation of the renin angiotensin aldosterone and the adrenergic system due to a marked daily decrease in blood pressure over 2 years. Based on the known sensitivity of rats to develop these two </w:t>
      </w:r>
      <w:r w:rsidR="00213B75" w:rsidRPr="007D5F52">
        <w:t>tumour</w:t>
      </w:r>
      <w:r w:rsidRPr="007D5F52">
        <w:t xml:space="preserve"> types in contrast to humans and a documented pharmacological-based mechanism (seen also with other antihypertensive drugs) at supratherapeutic doses as well as adequate safety margins this is considered not relevant for patients.</w:t>
      </w:r>
    </w:p>
    <w:p w14:paraId="0627B8E5" w14:textId="155DED04" w:rsidR="000E68B6" w:rsidRPr="007D5F52" w:rsidRDefault="000E68B6" w:rsidP="006D7754">
      <w:pPr>
        <w:jc w:val="left"/>
      </w:pPr>
      <w:r w:rsidRPr="007D5F52">
        <w:t>Non-clinical data revealed no carcinogenic risk for humans at clinical doses.</w:t>
      </w:r>
    </w:p>
    <w:p w14:paraId="20E108AC" w14:textId="77777777" w:rsidR="0077523A" w:rsidRPr="0077523A" w:rsidRDefault="0077523A" w:rsidP="006D7754">
      <w:pPr>
        <w:pStyle w:val="Heading1"/>
        <w:spacing w:before="0" w:after="120"/>
        <w:jc w:val="left"/>
        <w:rPr>
          <w:rFonts w:cstheme="minorHAnsi"/>
        </w:rPr>
      </w:pPr>
      <w:bookmarkStart w:id="36" w:name="_Ref39823958"/>
      <w:r w:rsidRPr="0077523A">
        <w:rPr>
          <w:rFonts w:cstheme="minorHAnsi"/>
        </w:rPr>
        <w:t>Pharmaceutical particulars</w:t>
      </w:r>
    </w:p>
    <w:p w14:paraId="112A6976" w14:textId="68613F36" w:rsidR="001A3992" w:rsidRPr="007D5F52" w:rsidRDefault="001A3992" w:rsidP="006D7754">
      <w:pPr>
        <w:pStyle w:val="Heading2"/>
        <w:spacing w:before="0" w:after="120"/>
        <w:jc w:val="left"/>
        <w:rPr>
          <w:rFonts w:cstheme="minorHAnsi"/>
        </w:rPr>
      </w:pPr>
      <w:r w:rsidRPr="007D5F52">
        <w:rPr>
          <w:rFonts w:cstheme="minorHAnsi"/>
        </w:rPr>
        <w:t>List of excipients</w:t>
      </w:r>
      <w:bookmarkEnd w:id="36"/>
    </w:p>
    <w:p w14:paraId="21E7D7F3" w14:textId="77777777" w:rsidR="003C61A1" w:rsidRPr="007D5F52" w:rsidRDefault="003C61A1" w:rsidP="006D7754">
      <w:pPr>
        <w:pStyle w:val="Heading4"/>
        <w:jc w:val="left"/>
      </w:pPr>
      <w:r w:rsidRPr="007D5F52">
        <w:t>Tablet core</w:t>
      </w:r>
    </w:p>
    <w:p w14:paraId="565454C6" w14:textId="77777777" w:rsidR="003C61A1" w:rsidRPr="007D5F52" w:rsidRDefault="003C61A1" w:rsidP="006D7754">
      <w:pPr>
        <w:spacing w:after="0"/>
        <w:jc w:val="left"/>
      </w:pPr>
      <w:r w:rsidRPr="007D5F52">
        <w:t>Microcrystalline cellulose</w:t>
      </w:r>
    </w:p>
    <w:p w14:paraId="7C45256A" w14:textId="77777777" w:rsidR="003C61A1" w:rsidRPr="007D5F52" w:rsidRDefault="003C61A1" w:rsidP="006D7754">
      <w:pPr>
        <w:spacing w:after="0"/>
        <w:jc w:val="left"/>
      </w:pPr>
      <w:r w:rsidRPr="007D5F52">
        <w:t>Croscarmellose sodium</w:t>
      </w:r>
    </w:p>
    <w:p w14:paraId="03B94C85" w14:textId="77777777" w:rsidR="003C61A1" w:rsidRPr="007D5F52" w:rsidRDefault="003C61A1" w:rsidP="006D7754">
      <w:pPr>
        <w:spacing w:after="0"/>
        <w:jc w:val="left"/>
      </w:pPr>
      <w:r w:rsidRPr="007D5F52">
        <w:t xml:space="preserve">Hypromellose 5 </w:t>
      </w:r>
      <w:proofErr w:type="spellStart"/>
      <w:r w:rsidRPr="007D5F52">
        <w:t>cP</w:t>
      </w:r>
      <w:proofErr w:type="spellEnd"/>
    </w:p>
    <w:p w14:paraId="76B94B47" w14:textId="77777777" w:rsidR="003C61A1" w:rsidRPr="007D5F52" w:rsidRDefault="003C61A1" w:rsidP="006D7754">
      <w:pPr>
        <w:spacing w:after="0"/>
        <w:jc w:val="left"/>
      </w:pPr>
      <w:r w:rsidRPr="007D5F52">
        <w:t xml:space="preserve">Lactose monohydrate </w:t>
      </w:r>
    </w:p>
    <w:p w14:paraId="3D89CF24" w14:textId="77777777" w:rsidR="003C61A1" w:rsidRPr="007D5F52" w:rsidRDefault="003C61A1" w:rsidP="006D7754">
      <w:pPr>
        <w:spacing w:after="0"/>
        <w:jc w:val="left"/>
      </w:pPr>
      <w:r w:rsidRPr="007D5F52">
        <w:t>Magnesium stearate</w:t>
      </w:r>
    </w:p>
    <w:p w14:paraId="24112CCE" w14:textId="506B853B" w:rsidR="003C61A1" w:rsidRPr="007D5F52" w:rsidRDefault="003C61A1" w:rsidP="006D7754">
      <w:pPr>
        <w:spacing w:after="0"/>
        <w:jc w:val="left"/>
      </w:pPr>
      <w:r w:rsidRPr="007D5F52">
        <w:t>Sodium laur</w:t>
      </w:r>
      <w:r w:rsidR="00555315">
        <w:t>y</w:t>
      </w:r>
      <w:r w:rsidRPr="007D5F52">
        <w:t>l</w:t>
      </w:r>
      <w:r w:rsidR="00555315">
        <w:t xml:space="preserve"> </w:t>
      </w:r>
      <w:proofErr w:type="spellStart"/>
      <w:r w:rsidRPr="007D5F52">
        <w:t>sulfate</w:t>
      </w:r>
      <w:proofErr w:type="spellEnd"/>
    </w:p>
    <w:p w14:paraId="41F0B0C7" w14:textId="77777777" w:rsidR="003C61A1" w:rsidRPr="007D5F52" w:rsidRDefault="003C61A1" w:rsidP="006D7754">
      <w:pPr>
        <w:pStyle w:val="Heading4"/>
        <w:jc w:val="left"/>
      </w:pPr>
      <w:r w:rsidRPr="007D5F52">
        <w:lastRenderedPageBreak/>
        <w:t>Film-coat</w:t>
      </w:r>
    </w:p>
    <w:p w14:paraId="49BAA93F" w14:textId="77777777" w:rsidR="003C61A1" w:rsidRPr="007D5F52" w:rsidRDefault="003C61A1" w:rsidP="006D7754">
      <w:pPr>
        <w:spacing w:after="0"/>
        <w:jc w:val="left"/>
      </w:pPr>
      <w:r w:rsidRPr="007D5F52">
        <w:t xml:space="preserve">Hypromellose 5 </w:t>
      </w:r>
      <w:proofErr w:type="spellStart"/>
      <w:r w:rsidRPr="007D5F52">
        <w:t>cP</w:t>
      </w:r>
      <w:proofErr w:type="spellEnd"/>
    </w:p>
    <w:p w14:paraId="18FB9F65" w14:textId="47E30BF0" w:rsidR="003C61A1" w:rsidRPr="007D5F52" w:rsidRDefault="00555315" w:rsidP="006D7754">
      <w:pPr>
        <w:spacing w:after="0"/>
        <w:jc w:val="left"/>
      </w:pPr>
      <w:r>
        <w:t>Purified t</w:t>
      </w:r>
      <w:r w:rsidR="003C61A1" w:rsidRPr="007D5F52">
        <w:t>alc</w:t>
      </w:r>
    </w:p>
    <w:p w14:paraId="081EA070" w14:textId="77777777" w:rsidR="003C61A1" w:rsidRPr="007D5F52" w:rsidRDefault="003C61A1" w:rsidP="006D7754">
      <w:pPr>
        <w:spacing w:after="0"/>
        <w:jc w:val="left"/>
      </w:pPr>
      <w:r w:rsidRPr="007D5F52">
        <w:t>Titanium dioxide (E 171)</w:t>
      </w:r>
    </w:p>
    <w:p w14:paraId="19FDABC0" w14:textId="3787478B" w:rsidR="003C61A1" w:rsidRPr="007D5F52" w:rsidRDefault="003C61A1" w:rsidP="006D7754">
      <w:pPr>
        <w:spacing w:after="0"/>
        <w:jc w:val="left"/>
      </w:pPr>
      <w:r w:rsidRPr="007D5F52">
        <w:t>Iron oxide red (E 172) (VERQUVO</w:t>
      </w:r>
      <w:r w:rsidR="00BB3423" w:rsidRPr="007D5F52">
        <w:t>®</w:t>
      </w:r>
      <w:r w:rsidRPr="007D5F52">
        <w:t xml:space="preserve"> 5 mg only)</w:t>
      </w:r>
    </w:p>
    <w:p w14:paraId="25B85A39" w14:textId="65B23919" w:rsidR="003C61A1" w:rsidRPr="007D5F52" w:rsidRDefault="003C61A1" w:rsidP="006D7754">
      <w:pPr>
        <w:jc w:val="left"/>
      </w:pPr>
      <w:r w:rsidRPr="007D5F52">
        <w:t>Iron oxide yellow (E 172) (VERQUVO</w:t>
      </w:r>
      <w:r w:rsidR="00BB3423" w:rsidRPr="007D5F52">
        <w:t>®</w:t>
      </w:r>
      <w:r w:rsidRPr="007D5F52">
        <w:t xml:space="preserve"> 10 mg only)</w:t>
      </w:r>
    </w:p>
    <w:p w14:paraId="17F432FB" w14:textId="77777777" w:rsidR="001A3992" w:rsidRPr="007D5F52" w:rsidRDefault="001A3992" w:rsidP="006D7754">
      <w:pPr>
        <w:pStyle w:val="Heading2"/>
        <w:keepNext/>
        <w:keepLines/>
        <w:spacing w:before="0" w:after="120"/>
        <w:jc w:val="left"/>
        <w:rPr>
          <w:rFonts w:cstheme="minorHAnsi"/>
        </w:rPr>
      </w:pPr>
      <w:r w:rsidRPr="007D5F52">
        <w:rPr>
          <w:rFonts w:cstheme="minorHAnsi"/>
        </w:rPr>
        <w:t xml:space="preserve">Incompatibilities </w:t>
      </w:r>
    </w:p>
    <w:p w14:paraId="0E548454" w14:textId="68E2F254" w:rsidR="00497C85" w:rsidRPr="007D5F52" w:rsidRDefault="00497C85" w:rsidP="006D7754">
      <w:pPr>
        <w:jc w:val="left"/>
      </w:pPr>
      <w:r w:rsidRPr="007D5F52">
        <w:t xml:space="preserve">Incompatibilities were either not assessed or not identified as part of the registration of this medicine. </w:t>
      </w:r>
    </w:p>
    <w:p w14:paraId="5B654662" w14:textId="77777777" w:rsidR="001A3992" w:rsidRPr="007D5F52" w:rsidRDefault="001A3992" w:rsidP="006D7754">
      <w:pPr>
        <w:pStyle w:val="Heading2"/>
        <w:spacing w:before="0" w:after="120"/>
        <w:jc w:val="left"/>
        <w:rPr>
          <w:rFonts w:cstheme="minorHAnsi"/>
        </w:rPr>
      </w:pPr>
      <w:r w:rsidRPr="007D5F52">
        <w:rPr>
          <w:rFonts w:cstheme="minorHAnsi"/>
        </w:rPr>
        <w:t xml:space="preserve">Shelf life </w:t>
      </w:r>
    </w:p>
    <w:p w14:paraId="5749FC76" w14:textId="01745FBC" w:rsidR="00497C85" w:rsidRPr="007D5F52" w:rsidRDefault="00616D6D" w:rsidP="006D7754">
      <w:pPr>
        <w:jc w:val="left"/>
      </w:pPr>
      <w:r>
        <w:t>24</w:t>
      </w:r>
      <w:r w:rsidRPr="007D5F52">
        <w:t xml:space="preserve"> </w:t>
      </w:r>
      <w:r w:rsidR="001B2C82" w:rsidRPr="007D5F52">
        <w:t>months</w:t>
      </w:r>
    </w:p>
    <w:p w14:paraId="4C67130F" w14:textId="3DD9FB15" w:rsidR="001A3992" w:rsidRPr="007D5F52" w:rsidRDefault="001A3992" w:rsidP="006D7754">
      <w:pPr>
        <w:pStyle w:val="Heading2"/>
        <w:keepNext/>
        <w:keepLines/>
        <w:spacing w:before="0" w:after="120"/>
        <w:jc w:val="left"/>
        <w:rPr>
          <w:rFonts w:cstheme="minorHAnsi"/>
        </w:rPr>
      </w:pPr>
      <w:r w:rsidRPr="007D5F52">
        <w:rPr>
          <w:rFonts w:cstheme="minorHAnsi"/>
        </w:rPr>
        <w:t xml:space="preserve">Special precautions for storage </w:t>
      </w:r>
    </w:p>
    <w:p w14:paraId="6E8224A6" w14:textId="7317C7D0" w:rsidR="003C61A1" w:rsidRPr="007D5F52" w:rsidRDefault="003C61A1" w:rsidP="006D7754">
      <w:pPr>
        <w:jc w:val="left"/>
      </w:pPr>
      <w:r w:rsidRPr="007D5F52">
        <w:t>Store below 30°C</w:t>
      </w:r>
    </w:p>
    <w:p w14:paraId="2952F846" w14:textId="0500D05A" w:rsidR="001A3992" w:rsidRPr="007D5F52" w:rsidRDefault="001A3992" w:rsidP="006D7754">
      <w:pPr>
        <w:pStyle w:val="Heading2"/>
        <w:spacing w:before="0" w:after="120"/>
        <w:jc w:val="left"/>
        <w:rPr>
          <w:rFonts w:cstheme="minorHAnsi"/>
        </w:rPr>
      </w:pPr>
      <w:r w:rsidRPr="007D5F52">
        <w:rPr>
          <w:rFonts w:cstheme="minorHAnsi"/>
        </w:rPr>
        <w:t xml:space="preserve">Nature and contents of container </w:t>
      </w:r>
    </w:p>
    <w:p w14:paraId="1CCAFD30" w14:textId="79659A30" w:rsidR="00237F8F" w:rsidRPr="007D5F52" w:rsidRDefault="00237F8F" w:rsidP="006D7754">
      <w:pPr>
        <w:jc w:val="left"/>
      </w:pPr>
      <w:r w:rsidRPr="007D5F52">
        <w:t>PVC/PVDC/Aluminium foil blisters in cartons of 14</w:t>
      </w:r>
      <w:r w:rsidR="004B3E58">
        <w:t xml:space="preserve"> or</w:t>
      </w:r>
      <w:r w:rsidRPr="007D5F52">
        <w:t xml:space="preserve"> 28 film-coated tablets or perforated unit dose blisters in cartons of 100 × 1 film-coated tablets. </w:t>
      </w:r>
    </w:p>
    <w:p w14:paraId="325FE90A" w14:textId="26FA61C7" w:rsidR="00237F8F" w:rsidRPr="007D5F52" w:rsidRDefault="00237F8F" w:rsidP="006D7754">
      <w:pPr>
        <w:jc w:val="left"/>
      </w:pPr>
      <w:r w:rsidRPr="007D5F52">
        <w:t>PP/Aluminium foil blisters in cartons of 14</w:t>
      </w:r>
      <w:r w:rsidR="004B3E58">
        <w:t xml:space="preserve"> or</w:t>
      </w:r>
      <w:r w:rsidRPr="007D5F52">
        <w:t xml:space="preserve"> 28</w:t>
      </w:r>
      <w:r w:rsidR="004B3E58">
        <w:t xml:space="preserve"> </w:t>
      </w:r>
      <w:r w:rsidRPr="007D5F52">
        <w:t>film-coated tablets or perforated unit dose blisters in cartons of 100 × 1 film-coated tablets.</w:t>
      </w:r>
    </w:p>
    <w:p w14:paraId="0B45BBFB" w14:textId="04B27A93" w:rsidR="003C61A1" w:rsidRPr="007D5F52" w:rsidRDefault="00237F8F" w:rsidP="006D7754">
      <w:pPr>
        <w:jc w:val="left"/>
      </w:pPr>
      <w:r w:rsidRPr="007D5F52">
        <w:t>Not all pack sizes may be marketed.</w:t>
      </w:r>
    </w:p>
    <w:p w14:paraId="6F0B5664" w14:textId="77777777" w:rsidR="001A3992" w:rsidRPr="007D5F52" w:rsidRDefault="001A3992" w:rsidP="006D7754">
      <w:pPr>
        <w:pStyle w:val="Heading2"/>
        <w:spacing w:before="0" w:after="120"/>
        <w:jc w:val="left"/>
        <w:rPr>
          <w:rFonts w:cstheme="minorHAnsi"/>
        </w:rPr>
      </w:pPr>
      <w:r w:rsidRPr="007D5F52">
        <w:rPr>
          <w:rFonts w:cstheme="minorHAnsi"/>
        </w:rPr>
        <w:t xml:space="preserve">Special precautions for disposal </w:t>
      </w:r>
    </w:p>
    <w:p w14:paraId="511E8780" w14:textId="27059149" w:rsidR="002B424E" w:rsidRPr="007D5F52" w:rsidRDefault="002B424E" w:rsidP="006D7754">
      <w:pPr>
        <w:jc w:val="left"/>
      </w:pPr>
      <w:r w:rsidRPr="007D5F52">
        <w:t xml:space="preserve">In Australia, any unused medicine or waste material should be disposed of in accordance with local requirements. </w:t>
      </w:r>
    </w:p>
    <w:p w14:paraId="1B410C60" w14:textId="7AD7AA85" w:rsidR="001A3992" w:rsidRPr="007D5F52" w:rsidRDefault="001A3992" w:rsidP="006D7754">
      <w:pPr>
        <w:pStyle w:val="Heading2"/>
        <w:spacing w:before="0" w:after="120"/>
        <w:jc w:val="left"/>
        <w:rPr>
          <w:rFonts w:cstheme="minorHAnsi"/>
        </w:rPr>
      </w:pPr>
      <w:r w:rsidRPr="007D5F52">
        <w:rPr>
          <w:rFonts w:cstheme="minorHAnsi"/>
        </w:rPr>
        <w:t>Physicochemical properties</w:t>
      </w:r>
    </w:p>
    <w:p w14:paraId="4E598933" w14:textId="77777777" w:rsidR="005F6166" w:rsidRPr="007D5F52" w:rsidRDefault="005F6166" w:rsidP="006D7754">
      <w:pPr>
        <w:jc w:val="left"/>
      </w:pPr>
      <w:r w:rsidRPr="007D5F52">
        <w:t>Vericiguat is a white to yellowish powder that is freely soluble in dimethyl sulfoxide, slightly soluble in acetone, very slightly soluble in ethanol, acetonitrile, methanol, ethyl acetate, and practically insoluble in 2-propanol.</w:t>
      </w:r>
    </w:p>
    <w:p w14:paraId="3EB5A73A" w14:textId="1E1843D0" w:rsidR="005F6166" w:rsidRPr="007D5F52" w:rsidRDefault="005F6166" w:rsidP="006D7754">
      <w:pPr>
        <w:pStyle w:val="Heading3"/>
        <w:jc w:val="left"/>
      </w:pPr>
      <w:r w:rsidRPr="007D5F52">
        <w:t>Chemical name</w:t>
      </w:r>
    </w:p>
    <w:p w14:paraId="23EE354A" w14:textId="7AD73BC9" w:rsidR="005F6166" w:rsidRPr="007D5F52" w:rsidRDefault="005F6166" w:rsidP="006D7754">
      <w:pPr>
        <w:jc w:val="left"/>
      </w:pPr>
      <w:r w:rsidRPr="007D5F52">
        <w:t xml:space="preserve">The chemical name of vericiguat is methyl {4,6-diamino-2-[5-fluoro-1-(2-fluorobenzyl)-1H-pyrazolo[3,4-b] pyridin-3-yl] pyrimidin-5-yl} carbamate. </w:t>
      </w:r>
    </w:p>
    <w:p w14:paraId="29846E4E" w14:textId="33F51B08" w:rsidR="001A3992" w:rsidRPr="007D5F52" w:rsidRDefault="001A3992" w:rsidP="006D7754">
      <w:pPr>
        <w:pStyle w:val="Heading3"/>
        <w:spacing w:before="0" w:after="120"/>
        <w:jc w:val="left"/>
        <w:rPr>
          <w:rFonts w:cstheme="minorHAnsi"/>
        </w:rPr>
      </w:pPr>
      <w:r w:rsidRPr="007D5F52">
        <w:rPr>
          <w:rFonts w:cstheme="minorHAnsi"/>
        </w:rPr>
        <w:lastRenderedPageBreak/>
        <w:t>Chemical structure</w:t>
      </w:r>
    </w:p>
    <w:p w14:paraId="3340F6D1" w14:textId="77777777" w:rsidR="005E1952" w:rsidRPr="007D5F52" w:rsidRDefault="005E1952" w:rsidP="006D7754">
      <w:pPr>
        <w:jc w:val="left"/>
      </w:pPr>
      <w:r w:rsidRPr="007D5F52">
        <w:fldChar w:fldCharType="begin"/>
      </w:r>
      <w:r w:rsidRPr="007D5F52">
        <w:instrText xml:space="preserve"> INCLUDEPICTURE  "cid:image002.jpg@01D613E8.11E77450" \* MERGEFORMATINET </w:instrText>
      </w:r>
      <w:r w:rsidRPr="007D5F52">
        <w:fldChar w:fldCharType="separate"/>
      </w:r>
      <w:r w:rsidR="008E774F" w:rsidRPr="007D5F52">
        <w:fldChar w:fldCharType="begin"/>
      </w:r>
      <w:r w:rsidR="008E774F" w:rsidRPr="007D5F52">
        <w:instrText xml:space="preserve"> INCLUDEPICTURE  "cid:image002.jpg@01D613E8.11E77450" \* MERGEFORMATINET </w:instrText>
      </w:r>
      <w:r w:rsidR="008E774F" w:rsidRPr="007D5F52">
        <w:fldChar w:fldCharType="separate"/>
      </w:r>
      <w:r w:rsidR="0006006F" w:rsidRPr="007D5F52">
        <w:fldChar w:fldCharType="begin"/>
      </w:r>
      <w:r w:rsidR="0006006F" w:rsidRPr="007D5F52">
        <w:instrText xml:space="preserve"> INCLUDEPICTURE  "cid:image002.jpg@01D613E8.11E77450" \* MERGEFORMATINET </w:instrText>
      </w:r>
      <w:r w:rsidR="0006006F" w:rsidRPr="007D5F52">
        <w:fldChar w:fldCharType="separate"/>
      </w:r>
      <w:r w:rsidR="000D3423" w:rsidRPr="007D5F52">
        <w:fldChar w:fldCharType="begin"/>
      </w:r>
      <w:r w:rsidR="000D3423" w:rsidRPr="007D5F52">
        <w:instrText xml:space="preserve"> INCLUDEPICTURE  "cid:image002.jpg@01D613E8.11E77450" \* MERGEFORMATINET </w:instrText>
      </w:r>
      <w:r w:rsidR="000D3423" w:rsidRPr="007D5F52">
        <w:fldChar w:fldCharType="separate"/>
      </w:r>
      <w:r w:rsidR="00A85A88" w:rsidRPr="007D5F52">
        <w:fldChar w:fldCharType="begin"/>
      </w:r>
      <w:r w:rsidR="00A85A88" w:rsidRPr="007D5F52">
        <w:instrText xml:space="preserve"> INCLUDEPICTURE  "cid:image002.jpg@01D613E8.11E77450" \* MERGEFORMATINET </w:instrText>
      </w:r>
      <w:r w:rsidR="00A85A88" w:rsidRPr="007D5F52">
        <w:fldChar w:fldCharType="separate"/>
      </w:r>
      <w:r w:rsidR="008A7E88" w:rsidRPr="007D5F52">
        <w:fldChar w:fldCharType="begin"/>
      </w:r>
      <w:r w:rsidR="008A7E88" w:rsidRPr="007D5F52">
        <w:instrText xml:space="preserve"> INCLUDEPICTURE  "cid:image002.jpg@01D613E8.11E77450" \* MERGEFORMATINET </w:instrText>
      </w:r>
      <w:r w:rsidR="008A7E88" w:rsidRPr="007D5F52">
        <w:fldChar w:fldCharType="separate"/>
      </w:r>
      <w:r w:rsidR="00844127" w:rsidRPr="007D5F52">
        <w:fldChar w:fldCharType="begin"/>
      </w:r>
      <w:r w:rsidR="00844127" w:rsidRPr="007D5F52">
        <w:instrText xml:space="preserve"> INCLUDEPICTURE  "cid:image002.jpg@01D613E8.11E77450" \* MERGEFORMATINET </w:instrText>
      </w:r>
      <w:r w:rsidR="00844127" w:rsidRPr="007D5F52">
        <w:fldChar w:fldCharType="separate"/>
      </w:r>
      <w:r w:rsidR="00C574D5" w:rsidRPr="007D5F52">
        <w:fldChar w:fldCharType="begin"/>
      </w:r>
      <w:r w:rsidR="00C574D5" w:rsidRPr="007D5F52">
        <w:instrText xml:space="preserve"> INCLUDEPICTURE  "cid:image002.jpg@01D613E8.11E77450" \* MERGEFORMATINET </w:instrText>
      </w:r>
      <w:r w:rsidR="00C574D5" w:rsidRPr="007D5F52">
        <w:fldChar w:fldCharType="separate"/>
      </w:r>
      <w:r w:rsidR="00972F5C" w:rsidRPr="007D5F52">
        <w:fldChar w:fldCharType="begin"/>
      </w:r>
      <w:r w:rsidR="00972F5C" w:rsidRPr="007D5F52">
        <w:instrText xml:space="preserve"> INCLUDEPICTURE  "cid:image002.jpg@01D613E8.11E77450" \* MERGEFORMATINET </w:instrText>
      </w:r>
      <w:r w:rsidR="00972F5C" w:rsidRPr="007D5F52">
        <w:fldChar w:fldCharType="separate"/>
      </w:r>
      <w:r w:rsidR="00CD74F5" w:rsidRPr="007D5F52">
        <w:fldChar w:fldCharType="begin"/>
      </w:r>
      <w:r w:rsidR="00CD74F5" w:rsidRPr="007D5F52">
        <w:instrText xml:space="preserve"> INCLUDEPICTURE  "cid:image002.jpg@01D613E8.11E77450" \* MERGEFORMATINET </w:instrText>
      </w:r>
      <w:r w:rsidR="00CD74F5" w:rsidRPr="007D5F52">
        <w:fldChar w:fldCharType="separate"/>
      </w:r>
      <w:r w:rsidR="006E0F69" w:rsidRPr="007D5F52">
        <w:fldChar w:fldCharType="begin"/>
      </w:r>
      <w:r w:rsidR="006E0F69" w:rsidRPr="007D5F52">
        <w:instrText xml:space="preserve"> INCLUDEPICTURE  "cid:image002.jpg@01D613E8.11E77450" \* MERGEFORMATINET </w:instrText>
      </w:r>
      <w:r w:rsidR="006E0F69" w:rsidRPr="007D5F52">
        <w:fldChar w:fldCharType="separate"/>
      </w:r>
      <w:r w:rsidR="004F265A" w:rsidRPr="007D5F52">
        <w:fldChar w:fldCharType="begin"/>
      </w:r>
      <w:r w:rsidR="004F265A" w:rsidRPr="007D5F52">
        <w:instrText xml:space="preserve"> INCLUDEPICTURE  "cid:image002.jpg@01D613E8.11E77450" \* MERGEFORMATINET </w:instrText>
      </w:r>
      <w:r w:rsidR="004F265A" w:rsidRPr="007D5F52">
        <w:fldChar w:fldCharType="separate"/>
      </w:r>
      <w:r w:rsidR="00B80EF7" w:rsidRPr="007D5F52">
        <w:fldChar w:fldCharType="begin"/>
      </w:r>
      <w:r w:rsidR="00B80EF7" w:rsidRPr="007D5F52">
        <w:instrText xml:space="preserve"> INCLUDEPICTURE  "cid:image002.jpg@01D613E8.11E77450" \* MERGEFORMATINET </w:instrText>
      </w:r>
      <w:r w:rsidR="00B80EF7" w:rsidRPr="007D5F52">
        <w:fldChar w:fldCharType="separate"/>
      </w:r>
      <w:r w:rsidR="007A7601" w:rsidRPr="007D5F52">
        <w:fldChar w:fldCharType="begin"/>
      </w:r>
      <w:r w:rsidR="007A7601" w:rsidRPr="007D5F52">
        <w:instrText xml:space="preserve"> INCLUDEPICTURE  "cid:image002.jpg@01D613E8.11E77450" \* MERGEFORMATINET </w:instrText>
      </w:r>
      <w:r w:rsidR="007A7601" w:rsidRPr="007D5F52">
        <w:fldChar w:fldCharType="separate"/>
      </w:r>
      <w:r w:rsidR="007F5CCD" w:rsidRPr="007D5F52">
        <w:fldChar w:fldCharType="begin"/>
      </w:r>
      <w:r w:rsidR="007F5CCD" w:rsidRPr="007D5F52">
        <w:instrText xml:space="preserve"> INCLUDEPICTURE  "cid:image002.jpg@01D613E8.11E77450" \* MERGEFORMATINET </w:instrText>
      </w:r>
      <w:r w:rsidR="007F5CCD" w:rsidRPr="007D5F52">
        <w:fldChar w:fldCharType="separate"/>
      </w:r>
      <w:r w:rsidR="00163E8F" w:rsidRPr="007D5F52">
        <w:fldChar w:fldCharType="begin"/>
      </w:r>
      <w:r w:rsidR="00163E8F" w:rsidRPr="007D5F52">
        <w:instrText xml:space="preserve"> INCLUDEPICTURE  "cid:image002.jpg@01D613E8.11E77450" \* MERGEFORMATINET </w:instrText>
      </w:r>
      <w:r w:rsidR="00163E8F" w:rsidRPr="007D5F52">
        <w:fldChar w:fldCharType="separate"/>
      </w:r>
      <w:r w:rsidR="00B44856" w:rsidRPr="007D5F52">
        <w:fldChar w:fldCharType="begin"/>
      </w:r>
      <w:r w:rsidR="00B44856" w:rsidRPr="007D5F52">
        <w:instrText xml:space="preserve"> INCLUDEPICTURE  "cid:image002.jpg@01D613E8.11E77450" \* MERGEFORMATINET </w:instrText>
      </w:r>
      <w:r w:rsidR="00B44856" w:rsidRPr="007D5F52">
        <w:fldChar w:fldCharType="separate"/>
      </w:r>
      <w:r w:rsidR="00FF7EBF" w:rsidRPr="007D5F52">
        <w:fldChar w:fldCharType="begin"/>
      </w:r>
      <w:r w:rsidR="00FF7EBF" w:rsidRPr="007D5F52">
        <w:instrText xml:space="preserve"> INCLUDEPICTURE  "cid:image002.jpg@01D613E8.11E77450" \* MERGEFORMATINET </w:instrText>
      </w:r>
      <w:r w:rsidR="00FF7EBF" w:rsidRPr="007D5F52">
        <w:fldChar w:fldCharType="separate"/>
      </w:r>
      <w:r w:rsidR="00722CFB" w:rsidRPr="007D5F52">
        <w:fldChar w:fldCharType="begin"/>
      </w:r>
      <w:r w:rsidR="00722CFB" w:rsidRPr="007D5F52">
        <w:instrText xml:space="preserve"> INCLUDEPICTURE  "cid:image002.jpg@01D613E8.11E77450" \* MERGEFORMATINET </w:instrText>
      </w:r>
      <w:r w:rsidR="00722CFB" w:rsidRPr="007D5F52">
        <w:fldChar w:fldCharType="separate"/>
      </w:r>
      <w:r w:rsidR="009D45D1" w:rsidRPr="007D5F52">
        <w:fldChar w:fldCharType="begin"/>
      </w:r>
      <w:r w:rsidR="009D45D1" w:rsidRPr="007D5F52">
        <w:instrText xml:space="preserve"> INCLUDEPICTURE  "cid:image002.jpg@01D613E8.11E77450" \* MERGEFORMATINET </w:instrText>
      </w:r>
      <w:r w:rsidR="009D45D1" w:rsidRPr="007D5F52">
        <w:fldChar w:fldCharType="separate"/>
      </w:r>
      <w:r w:rsidR="00E2692B" w:rsidRPr="007D5F52">
        <w:fldChar w:fldCharType="begin"/>
      </w:r>
      <w:r w:rsidR="00E2692B" w:rsidRPr="007D5F52">
        <w:instrText xml:space="preserve"> INCLUDEPICTURE  "cid:image002.jpg@01D613E8.11E77450" \* MERGEFORMATINET </w:instrText>
      </w:r>
      <w:r w:rsidR="00E2692B" w:rsidRPr="007D5F52">
        <w:fldChar w:fldCharType="separate"/>
      </w:r>
      <w:r w:rsidR="00D22902" w:rsidRPr="007D5F52">
        <w:fldChar w:fldCharType="begin"/>
      </w:r>
      <w:r w:rsidR="00D22902" w:rsidRPr="007D5F52">
        <w:instrText xml:space="preserve"> INCLUDEPICTURE  "cid:image002.jpg@01D613E8.11E77450" \* MERGEFORMATINET </w:instrText>
      </w:r>
      <w:r w:rsidR="00D22902" w:rsidRPr="007D5F52">
        <w:fldChar w:fldCharType="separate"/>
      </w:r>
      <w:r w:rsidR="00813217" w:rsidRPr="007D5F52">
        <w:fldChar w:fldCharType="begin"/>
      </w:r>
      <w:r w:rsidR="00813217" w:rsidRPr="007D5F52">
        <w:instrText xml:space="preserve"> INCLUDEPICTURE  "cid:image002.jpg@01D613E8.11E77450" \* MERGEFORMATINET </w:instrText>
      </w:r>
      <w:r w:rsidR="00813217" w:rsidRPr="007D5F52">
        <w:fldChar w:fldCharType="separate"/>
      </w:r>
      <w:r w:rsidR="00CC2EEC" w:rsidRPr="007D5F52">
        <w:fldChar w:fldCharType="begin"/>
      </w:r>
      <w:r w:rsidR="00CC2EEC" w:rsidRPr="007D5F52">
        <w:instrText xml:space="preserve"> INCLUDEPICTURE  "cid:image002.jpg@01D613E8.11E77450" \* MERGEFORMATINET </w:instrText>
      </w:r>
      <w:r w:rsidR="00CC2EEC" w:rsidRPr="007D5F52">
        <w:fldChar w:fldCharType="separate"/>
      </w:r>
      <w:r w:rsidR="002A688D" w:rsidRPr="007D5F52">
        <w:fldChar w:fldCharType="begin"/>
      </w:r>
      <w:r w:rsidR="002A688D" w:rsidRPr="007D5F52">
        <w:instrText xml:space="preserve"> INCLUDEPICTURE  "cid:image002.jpg@01D613E8.11E77450" \* MERGEFORMATINET </w:instrText>
      </w:r>
      <w:r w:rsidR="002A688D" w:rsidRPr="007D5F52">
        <w:fldChar w:fldCharType="separate"/>
      </w:r>
      <w:r w:rsidR="001B2C82" w:rsidRPr="007D5F52">
        <w:fldChar w:fldCharType="begin"/>
      </w:r>
      <w:r w:rsidR="001B2C82" w:rsidRPr="007D5F52">
        <w:instrText xml:space="preserve"> INCLUDEPICTURE  "cid:image002.jpg@01D613E8.11E77450" \* MERGEFORMATINET </w:instrText>
      </w:r>
      <w:r w:rsidR="001B2C82" w:rsidRPr="007D5F52">
        <w:fldChar w:fldCharType="separate"/>
      </w:r>
      <w:r w:rsidR="006B1C51" w:rsidRPr="007D5F52">
        <w:fldChar w:fldCharType="begin"/>
      </w:r>
      <w:r w:rsidR="006B1C51" w:rsidRPr="007D5F52">
        <w:instrText xml:space="preserve"> INCLUDEPICTURE  "cid:image002.jpg@01D613E8.11E77450" \* MERGEFORMATINET </w:instrText>
      </w:r>
      <w:r w:rsidR="006B1C51" w:rsidRPr="007D5F52">
        <w:fldChar w:fldCharType="separate"/>
      </w:r>
      <w:r w:rsidR="00807975" w:rsidRPr="007D5F52">
        <w:fldChar w:fldCharType="begin"/>
      </w:r>
      <w:r w:rsidR="00807975" w:rsidRPr="007D5F52">
        <w:instrText xml:space="preserve"> INCLUDEPICTURE  "cid:image002.jpg@01D613E8.11E77450" \* MERGEFORMATINET </w:instrText>
      </w:r>
      <w:r w:rsidR="00807975" w:rsidRPr="007D5F52">
        <w:fldChar w:fldCharType="separate"/>
      </w:r>
      <w:r w:rsidR="00081CB5" w:rsidRPr="007D5F52">
        <w:fldChar w:fldCharType="begin"/>
      </w:r>
      <w:r w:rsidR="00081CB5" w:rsidRPr="007D5F52">
        <w:instrText xml:space="preserve"> INCLUDEPICTURE  "cid:image002.jpg@01D613E8.11E77450" \* MERGEFORMATINET </w:instrText>
      </w:r>
      <w:r w:rsidR="00081CB5" w:rsidRPr="007D5F52">
        <w:fldChar w:fldCharType="separate"/>
      </w:r>
      <w:r w:rsidR="0049535A" w:rsidRPr="007D5F52">
        <w:fldChar w:fldCharType="begin"/>
      </w:r>
      <w:r w:rsidR="0049535A" w:rsidRPr="007D5F52">
        <w:instrText xml:space="preserve"> INCLUDEPICTURE  "cid:image002.jpg@01D613E8.11E77450" \* MERGEFORMATINET </w:instrText>
      </w:r>
      <w:r w:rsidR="0049535A" w:rsidRPr="007D5F52">
        <w:fldChar w:fldCharType="separate"/>
      </w:r>
      <w:r w:rsidR="00BA6AD8" w:rsidRPr="007D5F52">
        <w:fldChar w:fldCharType="begin"/>
      </w:r>
      <w:r w:rsidR="00BA6AD8" w:rsidRPr="007D5F52">
        <w:instrText xml:space="preserve"> INCLUDEPICTURE  "cid:image002.jpg@01D613E8.11E77450" \* MERGEFORMATINET </w:instrText>
      </w:r>
      <w:r w:rsidR="00BA6AD8" w:rsidRPr="007D5F52">
        <w:fldChar w:fldCharType="separate"/>
      </w:r>
      <w:r w:rsidR="00392D58" w:rsidRPr="007D5F52">
        <w:fldChar w:fldCharType="begin"/>
      </w:r>
      <w:r w:rsidR="00392D58" w:rsidRPr="007D5F52">
        <w:instrText xml:space="preserve"> INCLUDEPICTURE  "cid:image002.jpg@01D613E8.11E77450" \* MERGEFORMATINET </w:instrText>
      </w:r>
      <w:r w:rsidR="00392D58" w:rsidRPr="007D5F52">
        <w:fldChar w:fldCharType="separate"/>
      </w:r>
      <w:r w:rsidR="000578F1" w:rsidRPr="007D5F52">
        <w:fldChar w:fldCharType="begin"/>
      </w:r>
      <w:r w:rsidR="000578F1" w:rsidRPr="007D5F52">
        <w:instrText xml:space="preserve"> INCLUDEPICTURE  "cid:image002.jpg@01D613E8.11E77450" \* MERGEFORMATINET </w:instrText>
      </w:r>
      <w:r w:rsidR="000578F1" w:rsidRPr="007D5F52">
        <w:fldChar w:fldCharType="separate"/>
      </w:r>
      <w:r w:rsidR="00F96E5A">
        <w:fldChar w:fldCharType="begin"/>
      </w:r>
      <w:r w:rsidR="00F96E5A">
        <w:instrText xml:space="preserve"> INCLUDEPICTURE  "cid:image002.jpg@01D613E8.11E77450" \* MERGEFORMATINET </w:instrText>
      </w:r>
      <w:r w:rsidR="00F96E5A">
        <w:fldChar w:fldCharType="separate"/>
      </w:r>
      <w:r w:rsidR="00555315">
        <w:fldChar w:fldCharType="begin"/>
      </w:r>
      <w:r w:rsidR="00555315">
        <w:instrText xml:space="preserve"> INCLUDEPICTURE  "cid:image002.jpg@01D613E8.11E77450" \* MERGEFORMATINET </w:instrText>
      </w:r>
      <w:r w:rsidR="00555315">
        <w:fldChar w:fldCharType="separate"/>
      </w:r>
      <w:r w:rsidR="004B3E58">
        <w:fldChar w:fldCharType="begin"/>
      </w:r>
      <w:r w:rsidR="004B3E58">
        <w:instrText xml:space="preserve"> INCLUDEPICTURE  "cid:image002.jpg@01D613E8.11E77450" \* MERGEFORMATINET </w:instrText>
      </w:r>
      <w:r w:rsidR="004B3E58">
        <w:fldChar w:fldCharType="separate"/>
      </w:r>
      <w:r w:rsidR="002F05C4">
        <w:fldChar w:fldCharType="begin"/>
      </w:r>
      <w:r w:rsidR="002F05C4">
        <w:instrText xml:space="preserve"> INCLUDEPICTURE  "cid:image002.jpg@01D613E8.11E77450" \* MERGEFORMATINET </w:instrText>
      </w:r>
      <w:r w:rsidR="002F05C4">
        <w:fldChar w:fldCharType="separate"/>
      </w:r>
      <w:r w:rsidR="00D37A00">
        <w:fldChar w:fldCharType="begin"/>
      </w:r>
      <w:r w:rsidR="00D37A00">
        <w:instrText xml:space="preserve"> INCLUDEPICTURE  "cid:image002.jpg@01D613E8.11E77450" \* MERGEFORMATINET </w:instrText>
      </w:r>
      <w:r w:rsidR="00D37A00">
        <w:fldChar w:fldCharType="separate"/>
      </w:r>
      <w:r w:rsidR="0021203D">
        <w:fldChar w:fldCharType="begin"/>
      </w:r>
      <w:r w:rsidR="0021203D">
        <w:instrText xml:space="preserve"> INCLUDEPICTURE  "cid:image002.jpg@01D613E8.11E77450" \* MERGEFORMATINET </w:instrText>
      </w:r>
      <w:r w:rsidR="0021203D">
        <w:fldChar w:fldCharType="separate"/>
      </w:r>
      <w:r w:rsidR="00D27CA9">
        <w:fldChar w:fldCharType="begin"/>
      </w:r>
      <w:r w:rsidR="00D27CA9">
        <w:instrText xml:space="preserve"> INCLUDEPICTURE  "cid:image002.jpg@01D613E8.11E77450" \* MERGEFORMATINET </w:instrText>
      </w:r>
      <w:r w:rsidR="00D27CA9">
        <w:fldChar w:fldCharType="separate"/>
      </w:r>
      <w:r w:rsidR="00F8106E">
        <w:fldChar w:fldCharType="begin"/>
      </w:r>
      <w:r w:rsidR="00F8106E">
        <w:instrText xml:space="preserve"> INCLUDEPICTURE  "cid:image002.jpg@01D613E8.11E77450" \* MERGEFORMATINET </w:instrText>
      </w:r>
      <w:r w:rsidR="00F8106E">
        <w:fldChar w:fldCharType="separate"/>
      </w:r>
      <w:r w:rsidR="00A820D9">
        <w:fldChar w:fldCharType="begin"/>
      </w:r>
      <w:r w:rsidR="00A820D9">
        <w:instrText xml:space="preserve"> INCLUDEPICTURE  "cid:image002.jpg@01D613E8.11E77450" \* MERGEFORMATINET </w:instrText>
      </w:r>
      <w:r w:rsidR="00A820D9">
        <w:fldChar w:fldCharType="separate"/>
      </w:r>
      <w:r w:rsidR="00EE6CB5">
        <w:fldChar w:fldCharType="begin"/>
      </w:r>
      <w:r w:rsidR="00EE6CB5">
        <w:instrText xml:space="preserve"> INCLUDEPICTURE  "cid:image002.jpg@01D613E8.11E77450" \* MERGEFORMATINET </w:instrText>
      </w:r>
      <w:r w:rsidR="00EE6CB5">
        <w:fldChar w:fldCharType="separate"/>
      </w:r>
      <w:r w:rsidR="001A33CE">
        <w:fldChar w:fldCharType="begin"/>
      </w:r>
      <w:r w:rsidR="001A33CE">
        <w:instrText xml:space="preserve"> INCLUDEPICTURE  "cid:image002.jpg@01D613E8.11E77450" \* MERGEFORMATINET </w:instrText>
      </w:r>
      <w:r w:rsidR="001A33CE">
        <w:fldChar w:fldCharType="separate"/>
      </w:r>
      <w:r w:rsidR="00CD1ED1">
        <w:fldChar w:fldCharType="begin"/>
      </w:r>
      <w:r w:rsidR="00CD1ED1">
        <w:instrText xml:space="preserve"> INCLUDEPICTURE  "cid:image002.jpg@01D613E8.11E77450" \* MERGEFORMATINET </w:instrText>
      </w:r>
      <w:r w:rsidR="00CD1ED1">
        <w:fldChar w:fldCharType="separate"/>
      </w:r>
      <w:r w:rsidR="00315B56">
        <w:fldChar w:fldCharType="begin"/>
      </w:r>
      <w:r w:rsidR="00315B56">
        <w:instrText xml:space="preserve"> INCLUDEPICTURE  "cid:image002.jpg@01D613E8.11E77450" \* MERGEFORMATINET </w:instrText>
      </w:r>
      <w:r w:rsidR="00315B56">
        <w:fldChar w:fldCharType="separate"/>
      </w:r>
      <w:r w:rsidR="009042AC">
        <w:fldChar w:fldCharType="begin"/>
      </w:r>
      <w:r w:rsidR="009042AC">
        <w:instrText xml:space="preserve"> INCLUDEPICTURE  "cid:image002.jpg@01D613E8.11E77450" \* MERGEFORMATINET </w:instrText>
      </w:r>
      <w:r w:rsidR="009042AC">
        <w:fldChar w:fldCharType="separate"/>
      </w:r>
      <w:r w:rsidR="009042AC">
        <w:fldChar w:fldCharType="begin"/>
      </w:r>
      <w:r w:rsidR="009042AC">
        <w:instrText xml:space="preserve"> INCLUDEPICTURE  "cid:image002.jpg@01D613E8.11E77450" \* MERGEFORMATINET </w:instrText>
      </w:r>
      <w:r w:rsidR="009042AC">
        <w:fldChar w:fldCharType="separate"/>
      </w:r>
      <w:r w:rsidR="00251FBC">
        <w:fldChar w:fldCharType="begin"/>
      </w:r>
      <w:r w:rsidR="00251FBC">
        <w:instrText xml:space="preserve"> INCLUDEPICTURE  "cid:image002.jpg@01D613E8.11E77450" \* MERGEFORMATINET </w:instrText>
      </w:r>
      <w:r w:rsidR="00251FBC">
        <w:fldChar w:fldCharType="separate"/>
      </w:r>
      <w:r w:rsidR="000B0964">
        <w:fldChar w:fldCharType="begin"/>
      </w:r>
      <w:r w:rsidR="000B0964">
        <w:instrText xml:space="preserve"> INCLUDEPICTURE  "cid:image002.jpg@01D613E8.11E77450" \* MERGEFORMATINET </w:instrText>
      </w:r>
      <w:r w:rsidR="000B0964">
        <w:fldChar w:fldCharType="separate"/>
      </w:r>
      <w:r w:rsidR="008376FB">
        <w:fldChar w:fldCharType="begin"/>
      </w:r>
      <w:r w:rsidR="008376FB">
        <w:instrText xml:space="preserve"> INCLUDEPICTURE  "cid:image002.jpg@01D613E8.11E77450" \* MERGEFORMATINET </w:instrText>
      </w:r>
      <w:r w:rsidR="008376FB">
        <w:fldChar w:fldCharType="separate"/>
      </w:r>
      <w:r w:rsidR="00C110E5">
        <w:fldChar w:fldCharType="begin"/>
      </w:r>
      <w:r w:rsidR="00C110E5">
        <w:instrText xml:space="preserve"> INCLUDEPICTURE  "cid:image002.jpg@01D613E8.11E77450" \* MERGEFORMATINET </w:instrText>
      </w:r>
      <w:r w:rsidR="00C110E5">
        <w:fldChar w:fldCharType="separate"/>
      </w:r>
      <w:r w:rsidR="00822CBB">
        <w:fldChar w:fldCharType="begin"/>
      </w:r>
      <w:r w:rsidR="00822CBB">
        <w:instrText xml:space="preserve"> INCLUDEPICTURE  "cid:image002.jpg@01D613E8.11E77450" \* MERGEFORMATINET </w:instrText>
      </w:r>
      <w:r w:rsidR="00822CBB">
        <w:fldChar w:fldCharType="separate"/>
      </w:r>
      <w:r w:rsidR="000306D3">
        <w:fldChar w:fldCharType="begin"/>
      </w:r>
      <w:r w:rsidR="000306D3">
        <w:instrText xml:space="preserve"> INCLUDEPICTURE  "cid:image002.jpg@01D613E8.11E77450" \* MERGEFORMATINET </w:instrText>
      </w:r>
      <w:r w:rsidR="000306D3">
        <w:fldChar w:fldCharType="separate"/>
      </w:r>
      <w:r w:rsidR="0070393D">
        <w:fldChar w:fldCharType="begin"/>
      </w:r>
      <w:r w:rsidR="0070393D">
        <w:instrText xml:space="preserve"> INCLUDEPICTURE  "cid:image002.jpg@01D613E8.11E77450" \* MERGEFORMATINET </w:instrText>
      </w:r>
      <w:r w:rsidR="0070393D">
        <w:fldChar w:fldCharType="separate"/>
      </w:r>
      <w:r w:rsidR="00315BD9">
        <w:fldChar w:fldCharType="begin"/>
      </w:r>
      <w:r w:rsidR="00315BD9">
        <w:instrText xml:space="preserve"> INCLUDEPICTURE  "cid:image002.jpg@01D613E8.11E77450" \* MERGEFORMATINET </w:instrText>
      </w:r>
      <w:r w:rsidR="00315BD9">
        <w:fldChar w:fldCharType="separate"/>
      </w:r>
      <w:r w:rsidR="00EB5650">
        <w:fldChar w:fldCharType="begin"/>
      </w:r>
      <w:r w:rsidR="00EB5650">
        <w:instrText xml:space="preserve"> INCLUDEPICTURE  "cid:image002.jpg@01D613E8.11E77450" \* MERGEFORMATINET </w:instrText>
      </w:r>
      <w:r w:rsidR="00EB5650">
        <w:fldChar w:fldCharType="separate"/>
      </w:r>
      <w:r w:rsidR="00BD6E76">
        <w:fldChar w:fldCharType="begin"/>
      </w:r>
      <w:r w:rsidR="00BD6E76">
        <w:instrText xml:space="preserve"> INCLUDEPICTURE  "cid:image002.jpg@01D613E8.11E77450" \* MERGEFORMATINET </w:instrText>
      </w:r>
      <w:r w:rsidR="00BD6E76">
        <w:fldChar w:fldCharType="separate"/>
      </w:r>
      <w:r w:rsidR="007E7668">
        <w:fldChar w:fldCharType="begin"/>
      </w:r>
      <w:r w:rsidR="007E7668">
        <w:instrText xml:space="preserve"> INCLUDEPICTURE  "cid:image002.jpg@01D613E8.11E77450" \* MERGEFORMATINET </w:instrText>
      </w:r>
      <w:r w:rsidR="007E7668">
        <w:fldChar w:fldCharType="separate"/>
      </w:r>
      <w:r w:rsidR="005A1501">
        <w:fldChar w:fldCharType="begin"/>
      </w:r>
      <w:r w:rsidR="005A1501">
        <w:instrText xml:space="preserve"> INCLUDEPICTURE  "cid:image002.jpg@01D613E8.11E77450" \* MERGEFORMATINET </w:instrText>
      </w:r>
      <w:r w:rsidR="005A1501">
        <w:fldChar w:fldCharType="separate"/>
      </w:r>
      <w:r w:rsidR="00ED4E8D">
        <w:fldChar w:fldCharType="begin"/>
      </w:r>
      <w:r w:rsidR="00ED4E8D">
        <w:instrText xml:space="preserve"> INCLUDEPICTURE  "cid:image002.jpg@01D613E8.11E77450" \* MERGEFORMATINET </w:instrText>
      </w:r>
      <w:r w:rsidR="00ED4E8D">
        <w:fldChar w:fldCharType="separate"/>
      </w:r>
      <w:r w:rsidR="00DB73A8">
        <w:fldChar w:fldCharType="begin"/>
      </w:r>
      <w:r w:rsidR="00DB73A8">
        <w:instrText xml:space="preserve"> INCLUDEPICTURE  "cid:image002.jpg@01D613E8.11E77450" \* MERGEFORMATINET </w:instrText>
      </w:r>
      <w:r w:rsidR="00DB73A8">
        <w:fldChar w:fldCharType="separate"/>
      </w:r>
      <w:r w:rsidR="00ED33A3">
        <w:fldChar w:fldCharType="begin"/>
      </w:r>
      <w:r w:rsidR="00ED33A3">
        <w:instrText xml:space="preserve"> INCLUDEPICTURE  "cid:image002.jpg@01D613E8.11E77450" \* MERGEFORMATINET </w:instrText>
      </w:r>
      <w:r w:rsidR="00ED33A3">
        <w:fldChar w:fldCharType="separate"/>
      </w:r>
      <w:r w:rsidR="00EF62D7">
        <w:fldChar w:fldCharType="begin"/>
      </w:r>
      <w:r w:rsidR="00EF62D7">
        <w:instrText xml:space="preserve"> INCLUDEPICTURE  "cid:image002.jpg@01D613E8.11E77450" \* MERGEFORMATINET </w:instrText>
      </w:r>
      <w:r w:rsidR="00EF62D7">
        <w:fldChar w:fldCharType="separate"/>
      </w:r>
      <w:r w:rsidR="005D7D83">
        <w:fldChar w:fldCharType="begin"/>
      </w:r>
      <w:r w:rsidR="005D7D83">
        <w:instrText xml:space="preserve"> INCLUDEPICTURE  "cid:image002.jpg@01D613E8.11E77450" \* MERGEFORMATINET </w:instrText>
      </w:r>
      <w:r w:rsidR="005D7D83">
        <w:fldChar w:fldCharType="separate"/>
      </w:r>
      <w:r w:rsidR="00E912B9">
        <w:fldChar w:fldCharType="begin"/>
      </w:r>
      <w:r w:rsidR="00E912B9">
        <w:instrText xml:space="preserve"> INCLUDEPICTURE  "cid:image002.jpg@01D613E8.11E77450" \* MERGEFORMATINET </w:instrText>
      </w:r>
      <w:r w:rsidR="00E912B9">
        <w:fldChar w:fldCharType="separate"/>
      </w:r>
      <w:r w:rsidR="004626FB">
        <w:fldChar w:fldCharType="begin"/>
      </w:r>
      <w:r w:rsidR="004626FB">
        <w:instrText xml:space="preserve"> INCLUDEPICTURE  "cid:image002.jpg@01D613E8.11E77450" \* MERGEFORMATINET </w:instrText>
      </w:r>
      <w:r w:rsidR="004626FB">
        <w:fldChar w:fldCharType="separate"/>
      </w:r>
      <w:r w:rsidR="00862CFD">
        <w:fldChar w:fldCharType="begin"/>
      </w:r>
      <w:r w:rsidR="00862CFD">
        <w:instrText xml:space="preserve"> INCLUDEPICTURE  "cid:image002.jpg@01D613E8.11E77450" \* MERGEFORMATINET </w:instrText>
      </w:r>
      <w:r w:rsidR="00862CFD">
        <w:fldChar w:fldCharType="separate"/>
      </w:r>
      <w:r w:rsidR="00114FFF">
        <w:fldChar w:fldCharType="begin"/>
      </w:r>
      <w:r w:rsidR="00114FFF">
        <w:instrText xml:space="preserve"> INCLUDEPICTURE  "cid:image002.jpg@01D613E8.11E77450" \* MERGEFORMATINET </w:instrText>
      </w:r>
      <w:r w:rsidR="00114FFF">
        <w:fldChar w:fldCharType="separate"/>
      </w:r>
      <w:r w:rsidR="0077523A">
        <w:fldChar w:fldCharType="begin"/>
      </w:r>
      <w:r w:rsidR="0077523A">
        <w:instrText xml:space="preserve"> INCLUDEPICTURE  "cid:image002.jpg@01D613E8.11E77450" \* MERGEFORMATINET </w:instrText>
      </w:r>
      <w:r w:rsidR="0077523A">
        <w:fldChar w:fldCharType="separate"/>
      </w:r>
      <w:r w:rsidR="005F3D27">
        <w:fldChar w:fldCharType="begin"/>
      </w:r>
      <w:r w:rsidR="005F3D27">
        <w:instrText xml:space="preserve"> INCLUDEPICTURE  "cid:image002.jpg@01D613E8.11E77450" \* MERGEFORMATINET </w:instrText>
      </w:r>
      <w:r w:rsidR="005F3D27">
        <w:fldChar w:fldCharType="separate"/>
      </w:r>
      <w:r w:rsidR="00421828">
        <w:fldChar w:fldCharType="begin"/>
      </w:r>
      <w:r w:rsidR="00421828">
        <w:instrText xml:space="preserve"> INCLUDEPICTURE  "cid:image002.jpg@01D613E8.11E77450" \* MERGEFORMATINET </w:instrText>
      </w:r>
      <w:r w:rsidR="00421828">
        <w:fldChar w:fldCharType="separate"/>
      </w:r>
      <w:r w:rsidR="00804EFC">
        <w:fldChar w:fldCharType="begin"/>
      </w:r>
      <w:r w:rsidR="00804EFC">
        <w:instrText xml:space="preserve"> INCLUDEPICTURE  "cid:image002.jpg@01D613E8.11E77450" \* MERGEFORMATINET </w:instrText>
      </w:r>
      <w:r w:rsidR="00804EFC">
        <w:fldChar w:fldCharType="separate"/>
      </w:r>
      <w:r w:rsidR="00FE50A2">
        <w:fldChar w:fldCharType="begin"/>
      </w:r>
      <w:r w:rsidR="00FE50A2">
        <w:instrText xml:space="preserve"> INCLUDEPICTURE  "cid:image002.jpg@01D613E8.11E77450" \* MERGEFORMATINET </w:instrText>
      </w:r>
      <w:r w:rsidR="00FE50A2">
        <w:fldChar w:fldCharType="separate"/>
      </w:r>
      <w:r w:rsidR="00D27B8D">
        <w:fldChar w:fldCharType="begin"/>
      </w:r>
      <w:r w:rsidR="00D27B8D">
        <w:instrText xml:space="preserve"> INCLUDEPICTURE  "cid:image002.jpg@01D613E8.11E77450" \* MERGEFORMATINET </w:instrText>
      </w:r>
      <w:r w:rsidR="00D27B8D">
        <w:fldChar w:fldCharType="separate"/>
      </w:r>
      <w:r w:rsidR="006662A4">
        <w:fldChar w:fldCharType="begin"/>
      </w:r>
      <w:r w:rsidR="006662A4">
        <w:instrText xml:space="preserve"> INCLUDEPICTURE  "cid:image002.jpg@01D613E8.11E77450" \* MERGEFORMATINET </w:instrText>
      </w:r>
      <w:r w:rsidR="006662A4">
        <w:fldChar w:fldCharType="separate"/>
      </w:r>
      <w:r w:rsidR="00DB4E07">
        <w:fldChar w:fldCharType="begin"/>
      </w:r>
      <w:r w:rsidR="00DB4E07">
        <w:instrText xml:space="preserve"> INCLUDEPICTURE  "cid:image002.jpg@01D613E8.11E77450" \* MERGEFORMATINET </w:instrText>
      </w:r>
      <w:r w:rsidR="00DB4E07">
        <w:fldChar w:fldCharType="separate"/>
      </w:r>
      <w:r w:rsidR="006D7754">
        <w:fldChar w:fldCharType="begin"/>
      </w:r>
      <w:r w:rsidR="006D7754">
        <w:instrText xml:space="preserve"> </w:instrText>
      </w:r>
      <w:r w:rsidR="006D7754">
        <w:instrText>INCLUDEPICTURE  "cid:image002.jpg@01D613E8.11E77450" \* MERGEFORMATINET</w:instrText>
      </w:r>
      <w:r w:rsidR="006D7754">
        <w:instrText xml:space="preserve"> </w:instrText>
      </w:r>
      <w:r w:rsidR="006D7754">
        <w:fldChar w:fldCharType="separate"/>
      </w:r>
      <w:r w:rsidR="001056A9">
        <w:pict w14:anchorId="35D57B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9.5pt;height:144.7pt">
            <v:imagedata r:id="rId18" r:href="rId19" croptop="6007f"/>
          </v:shape>
        </w:pict>
      </w:r>
      <w:r w:rsidR="006D7754">
        <w:fldChar w:fldCharType="end"/>
      </w:r>
      <w:r w:rsidR="00DB4E07">
        <w:fldChar w:fldCharType="end"/>
      </w:r>
      <w:r w:rsidR="006662A4">
        <w:fldChar w:fldCharType="end"/>
      </w:r>
      <w:r w:rsidR="00D27B8D">
        <w:fldChar w:fldCharType="end"/>
      </w:r>
      <w:r w:rsidR="00FE50A2">
        <w:fldChar w:fldCharType="end"/>
      </w:r>
      <w:r w:rsidR="00804EFC">
        <w:fldChar w:fldCharType="end"/>
      </w:r>
      <w:r w:rsidR="00421828">
        <w:fldChar w:fldCharType="end"/>
      </w:r>
      <w:r w:rsidR="005F3D27">
        <w:fldChar w:fldCharType="end"/>
      </w:r>
      <w:r w:rsidR="0077523A">
        <w:fldChar w:fldCharType="end"/>
      </w:r>
      <w:r w:rsidR="00114FFF">
        <w:fldChar w:fldCharType="end"/>
      </w:r>
      <w:r w:rsidR="00862CFD">
        <w:fldChar w:fldCharType="end"/>
      </w:r>
      <w:r w:rsidR="004626FB">
        <w:fldChar w:fldCharType="end"/>
      </w:r>
      <w:r w:rsidR="00E912B9">
        <w:fldChar w:fldCharType="end"/>
      </w:r>
      <w:r w:rsidR="005D7D83">
        <w:fldChar w:fldCharType="end"/>
      </w:r>
      <w:r w:rsidR="00EF62D7">
        <w:fldChar w:fldCharType="end"/>
      </w:r>
      <w:r w:rsidR="00ED33A3">
        <w:fldChar w:fldCharType="end"/>
      </w:r>
      <w:r w:rsidR="00DB73A8">
        <w:fldChar w:fldCharType="end"/>
      </w:r>
      <w:r w:rsidR="00ED4E8D">
        <w:fldChar w:fldCharType="end"/>
      </w:r>
      <w:r w:rsidR="005A1501">
        <w:fldChar w:fldCharType="end"/>
      </w:r>
      <w:r w:rsidR="007E7668">
        <w:fldChar w:fldCharType="end"/>
      </w:r>
      <w:r w:rsidR="00BD6E76">
        <w:fldChar w:fldCharType="end"/>
      </w:r>
      <w:r w:rsidR="00EB5650">
        <w:fldChar w:fldCharType="end"/>
      </w:r>
      <w:r w:rsidR="00315BD9">
        <w:fldChar w:fldCharType="end"/>
      </w:r>
      <w:r w:rsidR="0070393D">
        <w:fldChar w:fldCharType="end"/>
      </w:r>
      <w:r w:rsidR="000306D3">
        <w:fldChar w:fldCharType="end"/>
      </w:r>
      <w:r w:rsidR="00822CBB">
        <w:fldChar w:fldCharType="end"/>
      </w:r>
      <w:r w:rsidR="00C110E5">
        <w:fldChar w:fldCharType="end"/>
      </w:r>
      <w:r w:rsidR="008376FB">
        <w:fldChar w:fldCharType="end"/>
      </w:r>
      <w:r w:rsidR="000B0964">
        <w:fldChar w:fldCharType="end"/>
      </w:r>
      <w:r w:rsidR="00251FBC">
        <w:fldChar w:fldCharType="end"/>
      </w:r>
      <w:r w:rsidR="009042AC">
        <w:fldChar w:fldCharType="end"/>
      </w:r>
      <w:r w:rsidR="009042AC">
        <w:fldChar w:fldCharType="end"/>
      </w:r>
      <w:r w:rsidR="00315B56">
        <w:fldChar w:fldCharType="end"/>
      </w:r>
      <w:r w:rsidR="00CD1ED1">
        <w:fldChar w:fldCharType="end"/>
      </w:r>
      <w:r w:rsidR="001A33CE">
        <w:fldChar w:fldCharType="end"/>
      </w:r>
      <w:r w:rsidR="00EE6CB5">
        <w:fldChar w:fldCharType="end"/>
      </w:r>
      <w:r w:rsidR="00A820D9">
        <w:fldChar w:fldCharType="end"/>
      </w:r>
      <w:r w:rsidR="00F8106E">
        <w:fldChar w:fldCharType="end"/>
      </w:r>
      <w:r w:rsidR="00D27CA9">
        <w:fldChar w:fldCharType="end"/>
      </w:r>
      <w:r w:rsidR="0021203D">
        <w:fldChar w:fldCharType="end"/>
      </w:r>
      <w:r w:rsidR="00D37A00">
        <w:fldChar w:fldCharType="end"/>
      </w:r>
      <w:r w:rsidR="002F05C4">
        <w:fldChar w:fldCharType="end"/>
      </w:r>
      <w:r w:rsidR="004B3E58">
        <w:fldChar w:fldCharType="end"/>
      </w:r>
      <w:r w:rsidR="00555315">
        <w:fldChar w:fldCharType="end"/>
      </w:r>
      <w:r w:rsidR="00F96E5A">
        <w:fldChar w:fldCharType="end"/>
      </w:r>
      <w:r w:rsidR="000578F1" w:rsidRPr="007D5F52">
        <w:fldChar w:fldCharType="end"/>
      </w:r>
      <w:r w:rsidR="00392D58" w:rsidRPr="007D5F52">
        <w:fldChar w:fldCharType="end"/>
      </w:r>
      <w:r w:rsidR="00BA6AD8" w:rsidRPr="007D5F52">
        <w:fldChar w:fldCharType="end"/>
      </w:r>
      <w:r w:rsidR="0049535A" w:rsidRPr="007D5F52">
        <w:fldChar w:fldCharType="end"/>
      </w:r>
      <w:r w:rsidR="00081CB5" w:rsidRPr="007D5F52">
        <w:fldChar w:fldCharType="end"/>
      </w:r>
      <w:r w:rsidR="00807975" w:rsidRPr="007D5F52">
        <w:fldChar w:fldCharType="end"/>
      </w:r>
      <w:r w:rsidR="006B1C51" w:rsidRPr="007D5F52">
        <w:fldChar w:fldCharType="end"/>
      </w:r>
      <w:r w:rsidR="001B2C82" w:rsidRPr="007D5F52">
        <w:fldChar w:fldCharType="end"/>
      </w:r>
      <w:r w:rsidR="002A688D" w:rsidRPr="007D5F52">
        <w:fldChar w:fldCharType="end"/>
      </w:r>
      <w:r w:rsidR="00CC2EEC" w:rsidRPr="007D5F52">
        <w:fldChar w:fldCharType="end"/>
      </w:r>
      <w:r w:rsidR="00813217" w:rsidRPr="007D5F52">
        <w:fldChar w:fldCharType="end"/>
      </w:r>
      <w:r w:rsidR="00D22902" w:rsidRPr="007D5F52">
        <w:fldChar w:fldCharType="end"/>
      </w:r>
      <w:r w:rsidR="00E2692B" w:rsidRPr="007D5F52">
        <w:fldChar w:fldCharType="end"/>
      </w:r>
      <w:r w:rsidR="009D45D1" w:rsidRPr="007D5F52">
        <w:fldChar w:fldCharType="end"/>
      </w:r>
      <w:r w:rsidR="00722CFB" w:rsidRPr="007D5F52">
        <w:fldChar w:fldCharType="end"/>
      </w:r>
      <w:r w:rsidR="00FF7EBF" w:rsidRPr="007D5F52">
        <w:fldChar w:fldCharType="end"/>
      </w:r>
      <w:r w:rsidR="00B44856" w:rsidRPr="007D5F52">
        <w:fldChar w:fldCharType="end"/>
      </w:r>
      <w:r w:rsidR="00163E8F" w:rsidRPr="007D5F52">
        <w:fldChar w:fldCharType="end"/>
      </w:r>
      <w:r w:rsidR="007F5CCD" w:rsidRPr="007D5F52">
        <w:fldChar w:fldCharType="end"/>
      </w:r>
      <w:r w:rsidR="007A7601" w:rsidRPr="007D5F52">
        <w:fldChar w:fldCharType="end"/>
      </w:r>
      <w:r w:rsidR="00B80EF7" w:rsidRPr="007D5F52">
        <w:fldChar w:fldCharType="end"/>
      </w:r>
      <w:r w:rsidR="004F265A" w:rsidRPr="007D5F52">
        <w:fldChar w:fldCharType="end"/>
      </w:r>
      <w:r w:rsidR="006E0F69" w:rsidRPr="007D5F52">
        <w:fldChar w:fldCharType="end"/>
      </w:r>
      <w:r w:rsidR="00CD74F5" w:rsidRPr="007D5F52">
        <w:fldChar w:fldCharType="end"/>
      </w:r>
      <w:r w:rsidR="00972F5C" w:rsidRPr="007D5F52">
        <w:fldChar w:fldCharType="end"/>
      </w:r>
      <w:r w:rsidR="00C574D5" w:rsidRPr="007D5F52">
        <w:fldChar w:fldCharType="end"/>
      </w:r>
      <w:r w:rsidR="00844127" w:rsidRPr="007D5F52">
        <w:fldChar w:fldCharType="end"/>
      </w:r>
      <w:r w:rsidR="008A7E88" w:rsidRPr="007D5F52">
        <w:fldChar w:fldCharType="end"/>
      </w:r>
      <w:r w:rsidR="00A85A88" w:rsidRPr="007D5F52">
        <w:fldChar w:fldCharType="end"/>
      </w:r>
      <w:r w:rsidR="000D3423" w:rsidRPr="007D5F52">
        <w:fldChar w:fldCharType="end"/>
      </w:r>
      <w:r w:rsidR="0006006F" w:rsidRPr="007D5F52">
        <w:fldChar w:fldCharType="end"/>
      </w:r>
      <w:r w:rsidR="008E774F" w:rsidRPr="007D5F52">
        <w:fldChar w:fldCharType="end"/>
      </w:r>
      <w:r w:rsidRPr="007D5F52">
        <w:fldChar w:fldCharType="end"/>
      </w:r>
    </w:p>
    <w:p w14:paraId="5E49905B" w14:textId="57487673" w:rsidR="005E1952" w:rsidRPr="007D5F52" w:rsidRDefault="005F6166" w:rsidP="006D7754">
      <w:pPr>
        <w:jc w:val="left"/>
      </w:pPr>
      <w:r w:rsidRPr="007D5F52">
        <w:t xml:space="preserve">The molecular formula is </w:t>
      </w:r>
      <w:proofErr w:type="gramStart"/>
      <w:r w:rsidRPr="007D5F52">
        <w:t>C</w:t>
      </w:r>
      <w:r w:rsidRPr="007D5F52">
        <w:rPr>
          <w:vertAlign w:val="subscript"/>
        </w:rPr>
        <w:t>19</w:t>
      </w:r>
      <w:r w:rsidRPr="007D5F52">
        <w:t>H</w:t>
      </w:r>
      <w:r w:rsidRPr="007D5F52">
        <w:rPr>
          <w:vertAlign w:val="subscript"/>
        </w:rPr>
        <w:t>16</w:t>
      </w:r>
      <w:r w:rsidRPr="007D5F52">
        <w:t>F</w:t>
      </w:r>
      <w:r w:rsidRPr="007D5F52">
        <w:rPr>
          <w:vertAlign w:val="subscript"/>
        </w:rPr>
        <w:t>2</w:t>
      </w:r>
      <w:r w:rsidRPr="007D5F52">
        <w:t>N</w:t>
      </w:r>
      <w:r w:rsidRPr="007D5F52">
        <w:rPr>
          <w:vertAlign w:val="subscript"/>
        </w:rPr>
        <w:t>8</w:t>
      </w:r>
      <w:r w:rsidRPr="007D5F52">
        <w:t>O</w:t>
      </w:r>
      <w:r w:rsidRPr="007D5F52">
        <w:rPr>
          <w:vertAlign w:val="subscript"/>
        </w:rPr>
        <w:t>2</w:t>
      </w:r>
      <w:proofErr w:type="gramEnd"/>
      <w:r w:rsidRPr="007D5F52">
        <w:t xml:space="preserve"> and the molecular weight is 426.39 g/mol.</w:t>
      </w:r>
    </w:p>
    <w:p w14:paraId="58887F59" w14:textId="648993B0" w:rsidR="001A3992" w:rsidRPr="007D5F52" w:rsidRDefault="001A3992" w:rsidP="006D7754">
      <w:pPr>
        <w:pStyle w:val="Heading3"/>
        <w:spacing w:before="0" w:after="120"/>
        <w:jc w:val="left"/>
        <w:rPr>
          <w:rFonts w:cstheme="minorHAnsi"/>
        </w:rPr>
      </w:pPr>
      <w:r w:rsidRPr="007D5F52">
        <w:rPr>
          <w:rFonts w:cstheme="minorHAnsi"/>
        </w:rPr>
        <w:t>CAS number</w:t>
      </w:r>
    </w:p>
    <w:p w14:paraId="0CF3C246" w14:textId="51683CD5" w:rsidR="003C61A1" w:rsidRPr="007D5F52" w:rsidRDefault="003C61A1" w:rsidP="006D7754">
      <w:pPr>
        <w:jc w:val="left"/>
      </w:pPr>
      <w:r w:rsidRPr="007D5F52">
        <w:t>1350653-20-1</w:t>
      </w:r>
    </w:p>
    <w:p w14:paraId="078A7172" w14:textId="761E0E43" w:rsidR="001A3992" w:rsidRPr="007D5F52" w:rsidRDefault="001A3992" w:rsidP="006D7754">
      <w:pPr>
        <w:pStyle w:val="Heading1"/>
        <w:spacing w:before="0" w:after="120"/>
        <w:jc w:val="left"/>
        <w:rPr>
          <w:rFonts w:cstheme="minorHAnsi"/>
        </w:rPr>
      </w:pPr>
      <w:r w:rsidRPr="007D5F52">
        <w:rPr>
          <w:rFonts w:cstheme="minorHAnsi"/>
        </w:rPr>
        <w:t>Medicine schedule (Poisons Standard)</w:t>
      </w:r>
    </w:p>
    <w:p w14:paraId="7A161B72" w14:textId="1A9E704E" w:rsidR="00237F8F" w:rsidRPr="007D5F52" w:rsidRDefault="00237F8F" w:rsidP="006D7754">
      <w:pPr>
        <w:jc w:val="left"/>
      </w:pPr>
      <w:r w:rsidRPr="007D5F52">
        <w:t>S4 – Prescription Only Medicine</w:t>
      </w:r>
    </w:p>
    <w:p w14:paraId="652EDC68" w14:textId="6F83CF1B" w:rsidR="001A3992" w:rsidRPr="007D5F52" w:rsidRDefault="001A3992" w:rsidP="006D7754">
      <w:pPr>
        <w:pStyle w:val="Heading1"/>
        <w:spacing w:before="0" w:after="120"/>
        <w:jc w:val="left"/>
        <w:rPr>
          <w:rFonts w:cstheme="minorHAnsi"/>
        </w:rPr>
      </w:pPr>
      <w:r w:rsidRPr="007D5F52">
        <w:rPr>
          <w:rFonts w:cstheme="minorHAnsi"/>
        </w:rPr>
        <w:t>Sponsor</w:t>
      </w:r>
    </w:p>
    <w:p w14:paraId="00018D67" w14:textId="77777777" w:rsidR="00237F8F" w:rsidRPr="007D5F52" w:rsidRDefault="00237F8F" w:rsidP="006D7754">
      <w:pPr>
        <w:spacing w:after="0"/>
        <w:jc w:val="left"/>
      </w:pPr>
      <w:r w:rsidRPr="007D5F52">
        <w:t xml:space="preserve">Bayer Australia Ltd </w:t>
      </w:r>
    </w:p>
    <w:p w14:paraId="01EFB7D5" w14:textId="77777777" w:rsidR="00237F8F" w:rsidRPr="007D5F52" w:rsidRDefault="00237F8F" w:rsidP="006D7754">
      <w:pPr>
        <w:spacing w:after="0"/>
        <w:jc w:val="left"/>
      </w:pPr>
      <w:r w:rsidRPr="007D5F52">
        <w:t xml:space="preserve">ABN 22 000 318 714 </w:t>
      </w:r>
    </w:p>
    <w:p w14:paraId="166404C1" w14:textId="77777777" w:rsidR="00237F8F" w:rsidRPr="007D5F52" w:rsidRDefault="00237F8F" w:rsidP="006D7754">
      <w:pPr>
        <w:spacing w:after="0"/>
        <w:jc w:val="left"/>
      </w:pPr>
      <w:r w:rsidRPr="007D5F52">
        <w:t xml:space="preserve">875 Pacific Highway </w:t>
      </w:r>
    </w:p>
    <w:p w14:paraId="6497439A" w14:textId="77777777" w:rsidR="00237F8F" w:rsidRPr="007D5F52" w:rsidRDefault="00237F8F" w:rsidP="006D7754">
      <w:pPr>
        <w:spacing w:after="0"/>
        <w:jc w:val="left"/>
      </w:pPr>
      <w:r w:rsidRPr="007D5F52">
        <w:t xml:space="preserve">Pymble NSW 2073 </w:t>
      </w:r>
    </w:p>
    <w:p w14:paraId="2EAD3653" w14:textId="246D5D11" w:rsidR="00237F8F" w:rsidRPr="007D5F52" w:rsidRDefault="006D7754" w:rsidP="006D7754">
      <w:pPr>
        <w:jc w:val="left"/>
      </w:pPr>
      <w:hyperlink r:id="rId20" w:history="1">
        <w:r w:rsidR="00237F8F" w:rsidRPr="007D5F52">
          <w:rPr>
            <w:rStyle w:val="Hyperlink"/>
          </w:rPr>
          <w:t>www.bayer.com.au</w:t>
        </w:r>
      </w:hyperlink>
    </w:p>
    <w:p w14:paraId="51CA723F" w14:textId="635E0118" w:rsidR="001A3992" w:rsidRPr="007D5F52" w:rsidRDefault="001A3992" w:rsidP="006D7754">
      <w:pPr>
        <w:pStyle w:val="Heading1"/>
        <w:spacing w:before="0" w:after="120"/>
        <w:jc w:val="left"/>
        <w:rPr>
          <w:rFonts w:cstheme="minorHAnsi"/>
        </w:rPr>
      </w:pPr>
      <w:r w:rsidRPr="007D5F52">
        <w:rPr>
          <w:rFonts w:cstheme="minorHAnsi"/>
        </w:rPr>
        <w:t xml:space="preserve">Date of first approval  </w:t>
      </w:r>
    </w:p>
    <w:p w14:paraId="285CDCD2" w14:textId="1DA61113" w:rsidR="00237F8F" w:rsidRPr="007D5F52" w:rsidRDefault="00FE50A2" w:rsidP="006D7754">
      <w:pPr>
        <w:jc w:val="left"/>
      </w:pPr>
      <w:r>
        <w:t>15 November 2021</w:t>
      </w:r>
    </w:p>
    <w:p w14:paraId="5E8DCD60" w14:textId="77F162D5" w:rsidR="001A3992" w:rsidRPr="007D5F52" w:rsidRDefault="001A3992" w:rsidP="006D7754">
      <w:pPr>
        <w:pStyle w:val="Heading1"/>
        <w:spacing w:before="0" w:after="120"/>
        <w:jc w:val="left"/>
        <w:rPr>
          <w:rFonts w:cstheme="minorHAnsi"/>
        </w:rPr>
      </w:pPr>
      <w:r w:rsidRPr="007D5F52">
        <w:rPr>
          <w:rFonts w:cstheme="minorHAnsi"/>
        </w:rPr>
        <w:t xml:space="preserve">Date of revision </w:t>
      </w:r>
    </w:p>
    <w:p w14:paraId="02696FB5" w14:textId="0883D31D" w:rsidR="00237F8F" w:rsidRPr="007D5F52" w:rsidRDefault="00237F8F" w:rsidP="006D7754">
      <w:pPr>
        <w:jc w:val="left"/>
      </w:pPr>
      <w:r w:rsidRPr="007D5F52">
        <w:t>Not applicable.</w:t>
      </w:r>
    </w:p>
    <w:p w14:paraId="010CCAB3" w14:textId="77777777" w:rsidR="001A3992" w:rsidRPr="007D5F52" w:rsidRDefault="001A3992" w:rsidP="006D7754">
      <w:pPr>
        <w:pStyle w:val="Heading2"/>
        <w:numPr>
          <w:ilvl w:val="0"/>
          <w:numId w:val="0"/>
        </w:numPr>
        <w:spacing w:before="0" w:after="120"/>
        <w:jc w:val="left"/>
        <w:rPr>
          <w:rFonts w:cstheme="minorHAnsi"/>
        </w:rPr>
      </w:pPr>
      <w:r w:rsidRPr="007D5F52">
        <w:rPr>
          <w:rFonts w:cstheme="minorHAnsi"/>
        </w:rPr>
        <w:t>Summary table of changes</w:t>
      </w:r>
    </w:p>
    <w:tbl>
      <w:tblPr>
        <w:tblStyle w:val="LightGrid"/>
        <w:tblW w:w="0" w:type="auto"/>
        <w:tblCellMar>
          <w:top w:w="57" w:type="dxa"/>
          <w:bottom w:w="57" w:type="dxa"/>
        </w:tblCellMar>
        <w:tblLook w:val="06A0" w:firstRow="1" w:lastRow="0" w:firstColumn="1" w:lastColumn="0" w:noHBand="1" w:noVBand="1"/>
      </w:tblPr>
      <w:tblGrid>
        <w:gridCol w:w="1371"/>
        <w:gridCol w:w="7635"/>
      </w:tblGrid>
      <w:tr w:rsidR="00ED0937" w:rsidRPr="007D5F52" w14:paraId="3EB0846A" w14:textId="77777777" w:rsidTr="00237F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1" w:type="dxa"/>
            <w:shd w:val="clear" w:color="auto" w:fill="F2F2F2" w:themeFill="background1" w:themeFillShade="F2"/>
            <w:vAlign w:val="center"/>
          </w:tcPr>
          <w:p w14:paraId="62C8DAF0" w14:textId="77777777" w:rsidR="00ED0937" w:rsidRPr="007D5F52" w:rsidRDefault="00ED0937" w:rsidP="006D7754">
            <w:pPr>
              <w:jc w:val="left"/>
              <w:rPr>
                <w:rFonts w:cstheme="minorHAnsi"/>
                <w:sz w:val="20"/>
              </w:rPr>
            </w:pPr>
            <w:r w:rsidRPr="007D5F52">
              <w:rPr>
                <w:rFonts w:cstheme="minorHAnsi"/>
                <w:sz w:val="20"/>
              </w:rPr>
              <w:t>Section Changed</w:t>
            </w:r>
          </w:p>
        </w:tc>
        <w:tc>
          <w:tcPr>
            <w:tcW w:w="7635" w:type="dxa"/>
            <w:shd w:val="clear" w:color="auto" w:fill="F2F2F2" w:themeFill="background1" w:themeFillShade="F2"/>
            <w:vAlign w:val="center"/>
          </w:tcPr>
          <w:p w14:paraId="4E8425F2" w14:textId="77777777" w:rsidR="00ED0937" w:rsidRPr="007D5F52" w:rsidRDefault="00ED0937" w:rsidP="006D7754">
            <w:pPr>
              <w:jc w:val="left"/>
              <w:cnfStyle w:val="100000000000" w:firstRow="1" w:lastRow="0" w:firstColumn="0" w:lastColumn="0" w:oddVBand="0" w:evenVBand="0" w:oddHBand="0" w:evenHBand="0" w:firstRowFirstColumn="0" w:firstRowLastColumn="0" w:lastRowFirstColumn="0" w:lastRowLastColumn="0"/>
              <w:rPr>
                <w:rFonts w:cstheme="minorHAnsi"/>
                <w:sz w:val="20"/>
              </w:rPr>
            </w:pPr>
            <w:r w:rsidRPr="007D5F52">
              <w:rPr>
                <w:rFonts w:cstheme="minorHAnsi"/>
                <w:sz w:val="20"/>
              </w:rPr>
              <w:t>Summary of new information</w:t>
            </w:r>
          </w:p>
        </w:tc>
      </w:tr>
      <w:tr w:rsidR="00ED0937" w:rsidRPr="007D5F52" w14:paraId="6D169163" w14:textId="77777777" w:rsidTr="00237F8F">
        <w:tc>
          <w:tcPr>
            <w:cnfStyle w:val="001000000000" w:firstRow="0" w:lastRow="0" w:firstColumn="1" w:lastColumn="0" w:oddVBand="0" w:evenVBand="0" w:oddHBand="0" w:evenHBand="0" w:firstRowFirstColumn="0" w:firstRowLastColumn="0" w:lastRowFirstColumn="0" w:lastRowLastColumn="0"/>
            <w:tcW w:w="1371" w:type="dxa"/>
            <w:vAlign w:val="center"/>
          </w:tcPr>
          <w:p w14:paraId="14D4A5A3" w14:textId="77777777" w:rsidR="00ED0937" w:rsidRPr="007D5F52" w:rsidRDefault="00ED0937" w:rsidP="006D7754">
            <w:pPr>
              <w:jc w:val="left"/>
              <w:rPr>
                <w:rFonts w:cstheme="minorHAnsi"/>
              </w:rPr>
            </w:pPr>
          </w:p>
        </w:tc>
        <w:tc>
          <w:tcPr>
            <w:tcW w:w="7635" w:type="dxa"/>
            <w:vAlign w:val="center"/>
          </w:tcPr>
          <w:p w14:paraId="3CE30A7F" w14:textId="77777777" w:rsidR="00ED0937" w:rsidRPr="007D5F52" w:rsidRDefault="00ED0937" w:rsidP="006D7754">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rPr>
            </w:pPr>
          </w:p>
        </w:tc>
      </w:tr>
    </w:tbl>
    <w:p w14:paraId="0ADF530F" w14:textId="77777777" w:rsidR="001A3992" w:rsidRPr="007D5F52" w:rsidRDefault="001A3992" w:rsidP="006D7754">
      <w:pPr>
        <w:spacing w:after="120"/>
        <w:jc w:val="left"/>
        <w:rPr>
          <w:rFonts w:asciiTheme="majorHAnsi" w:hAnsiTheme="majorHAnsi" w:cstheme="minorHAnsi"/>
        </w:rPr>
      </w:pPr>
    </w:p>
    <w:sectPr w:rsidR="001A3992" w:rsidRPr="007D5F52">
      <w:headerReference w:type="default"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A573AB" w14:textId="77777777" w:rsidR="00421828" w:rsidRDefault="00421828" w:rsidP="001A3992">
      <w:pPr>
        <w:spacing w:after="0" w:line="240" w:lineRule="auto"/>
      </w:pPr>
      <w:r>
        <w:separator/>
      </w:r>
    </w:p>
  </w:endnote>
  <w:endnote w:type="continuationSeparator" w:id="0">
    <w:p w14:paraId="6376866E" w14:textId="77777777" w:rsidR="00421828" w:rsidRDefault="00421828" w:rsidP="001A3992">
      <w:pPr>
        <w:spacing w:after="0" w:line="240" w:lineRule="auto"/>
      </w:pPr>
      <w:r>
        <w:continuationSeparator/>
      </w:r>
    </w:p>
  </w:endnote>
  <w:endnote w:type="continuationNotice" w:id="1">
    <w:p w14:paraId="63EA1012" w14:textId="77777777" w:rsidR="00421828" w:rsidRDefault="004218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Wingdings 3">
    <w:altName w:val="Symbol"/>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3163430"/>
      <w:docPartObj>
        <w:docPartGallery w:val="Page Numbers (Bottom of Page)"/>
        <w:docPartUnique/>
      </w:docPartObj>
    </w:sdtPr>
    <w:sdtEndPr>
      <w:rPr>
        <w:noProof/>
        <w:sz w:val="20"/>
      </w:rPr>
    </w:sdtEndPr>
    <w:sdtContent>
      <w:p w14:paraId="0774D837" w14:textId="20FA88BA" w:rsidR="00421828" w:rsidRPr="00C87E4B" w:rsidRDefault="00421828" w:rsidP="00C87E4B">
        <w:pPr>
          <w:pStyle w:val="Footer"/>
          <w:jc w:val="left"/>
        </w:pPr>
        <w:r>
          <w:t>VERQUVO</w:t>
        </w:r>
        <w:r w:rsidRPr="00113420">
          <w:rPr>
            <w:vertAlign w:val="superscript"/>
          </w:rPr>
          <w:t>®</w:t>
        </w:r>
        <w:r>
          <w:t xml:space="preserve"> PI V</w:t>
        </w:r>
        <w:r w:rsidR="00804EFC">
          <w:t>1.0</w:t>
        </w:r>
        <w:r>
          <w:t>; CCDS 1</w:t>
        </w:r>
        <w:r>
          <w:rPr>
            <w:sz w:val="20"/>
          </w:rPr>
          <w:tab/>
        </w:r>
        <w:r>
          <w:rPr>
            <w:sz w:val="20"/>
          </w:rPr>
          <w:tab/>
        </w:r>
        <w:r w:rsidRPr="00B8074A">
          <w:rPr>
            <w:sz w:val="20"/>
          </w:rPr>
          <w:fldChar w:fldCharType="begin"/>
        </w:r>
        <w:r w:rsidRPr="00B8074A">
          <w:rPr>
            <w:sz w:val="20"/>
          </w:rPr>
          <w:instrText xml:space="preserve"> PAGE   \* MERGEFORMAT </w:instrText>
        </w:r>
        <w:r w:rsidRPr="00B8074A">
          <w:rPr>
            <w:sz w:val="20"/>
          </w:rPr>
          <w:fldChar w:fldCharType="separate"/>
        </w:r>
        <w:r>
          <w:rPr>
            <w:noProof/>
            <w:sz w:val="20"/>
          </w:rPr>
          <w:t>1</w:t>
        </w:r>
        <w:r w:rsidRPr="00B8074A">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1D5FB1" w14:textId="77777777" w:rsidR="00421828" w:rsidRDefault="00421828" w:rsidP="001A3992">
      <w:pPr>
        <w:spacing w:after="0" w:line="240" w:lineRule="auto"/>
      </w:pPr>
      <w:r>
        <w:separator/>
      </w:r>
    </w:p>
  </w:footnote>
  <w:footnote w:type="continuationSeparator" w:id="0">
    <w:p w14:paraId="469F4719" w14:textId="77777777" w:rsidR="00421828" w:rsidRDefault="00421828" w:rsidP="001A3992">
      <w:pPr>
        <w:spacing w:after="0" w:line="240" w:lineRule="auto"/>
      </w:pPr>
      <w:r>
        <w:continuationSeparator/>
      </w:r>
    </w:p>
  </w:footnote>
  <w:footnote w:type="continuationNotice" w:id="1">
    <w:p w14:paraId="6A80638F" w14:textId="77777777" w:rsidR="00421828" w:rsidRDefault="004218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shd w:val="clear" w:color="auto" w:fill="E4F2E0"/>
      <w:tblLook w:val="04A0" w:firstRow="1" w:lastRow="0" w:firstColumn="1" w:lastColumn="0" w:noHBand="0" w:noVBand="1"/>
    </w:tblPr>
    <w:tblGrid>
      <w:gridCol w:w="9016"/>
    </w:tblGrid>
    <w:tr w:rsidR="006D7754" w:rsidRPr="000B2145" w14:paraId="3BD0E2EF" w14:textId="77777777" w:rsidTr="00F765A7">
      <w:trPr>
        <w:trHeight w:val="1012"/>
      </w:trPr>
      <w:tc>
        <w:tcPr>
          <w:tcW w:w="9039" w:type="dxa"/>
          <w:shd w:val="clear" w:color="auto" w:fill="E4F2E0"/>
        </w:tcPr>
        <w:p w14:paraId="54D88456" w14:textId="77777777" w:rsidR="006D7754" w:rsidRPr="00EE2A41" w:rsidRDefault="006D7754" w:rsidP="006D7754">
          <w:pPr>
            <w:pStyle w:val="Footer"/>
            <w:rPr>
              <w:b/>
              <w:sz w:val="18"/>
              <w:szCs w:val="18"/>
            </w:rPr>
          </w:pPr>
          <w:bookmarkStart w:id="37" w:name="_Hlk80611440"/>
          <w:r w:rsidRPr="000E4791">
            <w:rPr>
              <w:b/>
              <w:sz w:val="18"/>
              <w:szCs w:val="18"/>
            </w:rPr>
            <w:t xml:space="preserve">Attachment </w:t>
          </w:r>
          <w:proofErr w:type="spellStart"/>
          <w:r w:rsidRPr="00EE2A41">
            <w:rPr>
              <w:b/>
              <w:sz w:val="18"/>
              <w:szCs w:val="18"/>
            </w:rPr>
            <w:t>AusPAR</w:t>
          </w:r>
          <w:proofErr w:type="spellEnd"/>
          <w:r w:rsidRPr="00EE2A41">
            <w:rPr>
              <w:b/>
              <w:sz w:val="18"/>
              <w:szCs w:val="18"/>
            </w:rPr>
            <w:t xml:space="preserve"> - </w:t>
          </w:r>
          <w:proofErr w:type="spellStart"/>
          <w:r w:rsidRPr="00EE2A41">
            <w:rPr>
              <w:b/>
              <w:sz w:val="18"/>
              <w:szCs w:val="18"/>
            </w:rPr>
            <w:t>Verquvo</w:t>
          </w:r>
          <w:proofErr w:type="spellEnd"/>
          <w:r w:rsidRPr="00EE2A41">
            <w:rPr>
              <w:b/>
              <w:sz w:val="18"/>
              <w:szCs w:val="18"/>
            </w:rPr>
            <w:t xml:space="preserve"> - vericiguat - Bayer Australia Ltd - PM-2020-03566-1-3</w:t>
          </w:r>
        </w:p>
        <w:p w14:paraId="1159C46A" w14:textId="77777777" w:rsidR="006D7754" w:rsidRPr="000E4791" w:rsidRDefault="006D7754" w:rsidP="006D7754">
          <w:pPr>
            <w:pStyle w:val="Footer"/>
            <w:rPr>
              <w:b/>
              <w:sz w:val="18"/>
              <w:szCs w:val="18"/>
            </w:rPr>
          </w:pPr>
          <w:r w:rsidRPr="00EE2A41">
            <w:rPr>
              <w:b/>
              <w:sz w:val="18"/>
              <w:szCs w:val="18"/>
            </w:rPr>
            <w:t>FINAL 7 July 2022</w:t>
          </w:r>
          <w:r w:rsidRPr="000E4791">
            <w:rPr>
              <w:b/>
            </w:rPr>
            <w:t>.</w:t>
          </w:r>
          <w:r w:rsidRPr="000E4791">
            <w:rPr>
              <w:b/>
              <w:sz w:val="18"/>
              <w:szCs w:val="18"/>
            </w:rPr>
            <w:t xml:space="preserve"> This is the Product Information that was approved with the submission described in this </w:t>
          </w:r>
          <w:proofErr w:type="spellStart"/>
          <w:r w:rsidRPr="000E4791">
            <w:rPr>
              <w:b/>
              <w:sz w:val="18"/>
              <w:szCs w:val="18"/>
            </w:rPr>
            <w:t>AusPAR</w:t>
          </w:r>
          <w:proofErr w:type="spellEnd"/>
          <w:r w:rsidRPr="000E4791">
            <w:rPr>
              <w:b/>
              <w:sz w:val="18"/>
              <w:szCs w:val="18"/>
            </w:rPr>
            <w:t>. It may have been superseded. For the most recent PI, please refer to the TGA website at &lt;</w:t>
          </w:r>
          <w:hyperlink r:id="rId1" w:history="1">
            <w:r w:rsidRPr="000E4791">
              <w:rPr>
                <w:rStyle w:val="Hyperlink"/>
                <w:b/>
                <w:sz w:val="18"/>
                <w:szCs w:val="18"/>
              </w:rPr>
              <w:t>https://www.tga.gov.au/product-information-pi</w:t>
            </w:r>
          </w:hyperlink>
          <w:r w:rsidRPr="000E4791">
            <w:rPr>
              <w:b/>
              <w:sz w:val="18"/>
              <w:szCs w:val="18"/>
              <w:u w:val="single"/>
            </w:rPr>
            <w:t>&gt;</w:t>
          </w:r>
        </w:p>
      </w:tc>
    </w:tr>
    <w:bookmarkEnd w:id="37"/>
  </w:tbl>
  <w:p w14:paraId="1BAACDAA" w14:textId="77777777" w:rsidR="006D7754" w:rsidRDefault="006D77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E2078BC"/>
    <w:multiLevelType w:val="hybridMultilevel"/>
    <w:tmpl w:val="5BBC8F00"/>
    <w:lvl w:ilvl="0" w:tplc="D1540A02">
      <w:numFmt w:val="bullet"/>
      <w:lvlText w:val="-"/>
      <w:lvlJc w:val="left"/>
      <w:pPr>
        <w:ind w:left="405" w:hanging="360"/>
      </w:pPr>
      <w:rPr>
        <w:rFonts w:ascii="Cambria" w:eastAsiaTheme="minorHAnsi" w:hAnsi="Cambria"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5037DFB"/>
    <w:multiLevelType w:val="hybridMultilevel"/>
    <w:tmpl w:val="D3F4E50C"/>
    <w:lvl w:ilvl="0" w:tplc="EE0844F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88760BE"/>
    <w:multiLevelType w:val="hybridMultilevel"/>
    <w:tmpl w:val="8188E14E"/>
    <w:lvl w:ilvl="0" w:tplc="6C30E436">
      <w:numFmt w:val="bullet"/>
      <w:lvlText w:val="-"/>
      <w:lvlJc w:val="left"/>
      <w:pPr>
        <w:ind w:left="405" w:hanging="360"/>
      </w:pPr>
      <w:rPr>
        <w:rFonts w:ascii="Cambria" w:eastAsiaTheme="minorHAnsi" w:hAnsi="Cambria"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15:restartNumberingAfterBreak="0">
    <w:nsid w:val="42CC401C"/>
    <w:multiLevelType w:val="hybridMultilevel"/>
    <w:tmpl w:val="83FE1B3E"/>
    <w:lvl w:ilvl="0" w:tplc="EE0844FA">
      <w:start w:val="1"/>
      <w:numFmt w:val="bullet"/>
      <w:lvlText w:val=""/>
      <w:lvlJc w:val="left"/>
      <w:pPr>
        <w:ind w:left="405" w:hanging="360"/>
      </w:pPr>
      <w:rPr>
        <w:rFonts w:ascii="Symbol" w:hAnsi="Symbo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7" w15:restartNumberingAfterBreak="0">
    <w:nsid w:val="48007B6E"/>
    <w:multiLevelType w:val="hybridMultilevel"/>
    <w:tmpl w:val="C4A23402"/>
    <w:lvl w:ilvl="0" w:tplc="202CA2B0">
      <w:numFmt w:val="bullet"/>
      <w:lvlText w:val="-"/>
      <w:lvlJc w:val="left"/>
      <w:pPr>
        <w:ind w:left="405" w:hanging="360"/>
      </w:pPr>
      <w:rPr>
        <w:rFonts w:ascii="Cambria" w:eastAsiaTheme="minorHAnsi" w:hAnsi="Cambria" w:cstheme="minorBidi"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8"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7EF2DF8"/>
    <w:multiLevelType w:val="hybridMultilevel"/>
    <w:tmpl w:val="8644498C"/>
    <w:lvl w:ilvl="0" w:tplc="EE0844F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9876615"/>
    <w:multiLevelType w:val="hybridMultilevel"/>
    <w:tmpl w:val="F90E185A"/>
    <w:lvl w:ilvl="0" w:tplc="4642E440">
      <w:start w:val="29"/>
      <w:numFmt w:val="bullet"/>
      <w:lvlText w:val="-"/>
      <w:lvlJc w:val="left"/>
      <w:pPr>
        <w:ind w:left="72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9BB3668"/>
    <w:multiLevelType w:val="hybridMultilevel"/>
    <w:tmpl w:val="9D08B3BA"/>
    <w:lvl w:ilvl="0" w:tplc="BAEA3EF4">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2" w15:restartNumberingAfterBreak="0">
    <w:nsid w:val="5F9C1BF7"/>
    <w:multiLevelType w:val="hybridMultilevel"/>
    <w:tmpl w:val="F0162CDA"/>
    <w:lvl w:ilvl="0" w:tplc="EE0844FA">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643E7CE2"/>
    <w:multiLevelType w:val="hybridMultilevel"/>
    <w:tmpl w:val="64BCF5EE"/>
    <w:lvl w:ilvl="0" w:tplc="EE0844F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0332797"/>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0"/>
  </w:num>
  <w:num w:numId="4">
    <w:abstractNumId w:val="8"/>
  </w:num>
  <w:num w:numId="5">
    <w:abstractNumId w:val="19"/>
  </w:num>
  <w:num w:numId="6">
    <w:abstractNumId w:val="17"/>
  </w:num>
  <w:num w:numId="7">
    <w:abstractNumId w:val="15"/>
  </w:num>
  <w:num w:numId="8">
    <w:abstractNumId w:val="18"/>
  </w:num>
  <w:num w:numId="9">
    <w:abstractNumId w:val="3"/>
  </w:num>
  <w:num w:numId="10">
    <w:abstractNumId w:val="14"/>
  </w:num>
  <w:num w:numId="11">
    <w:abstractNumId w:val="7"/>
  </w:num>
  <w:num w:numId="12">
    <w:abstractNumId w:val="9"/>
  </w:num>
  <w:num w:numId="13">
    <w:abstractNumId w:val="4"/>
  </w:num>
  <w:num w:numId="14">
    <w:abstractNumId w:val="10"/>
  </w:num>
  <w:num w:numId="15">
    <w:abstractNumId w:val="2"/>
  </w:num>
  <w:num w:numId="16">
    <w:abstractNumId w:val="5"/>
  </w:num>
  <w:num w:numId="17">
    <w:abstractNumId w:val="12"/>
  </w:num>
  <w:num w:numId="18">
    <w:abstractNumId w:val="6"/>
  </w:num>
  <w:num w:numId="19">
    <w:abstractNumId w:val="11"/>
  </w:num>
  <w:num w:numId="20">
    <w:abstractNumId w:val="13"/>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1617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708"/>
    <w:rsid w:val="000038BA"/>
    <w:rsid w:val="000306D3"/>
    <w:rsid w:val="000578F1"/>
    <w:rsid w:val="0006006F"/>
    <w:rsid w:val="00065514"/>
    <w:rsid w:val="00067692"/>
    <w:rsid w:val="00070696"/>
    <w:rsid w:val="00081CB5"/>
    <w:rsid w:val="00084EC1"/>
    <w:rsid w:val="000A0708"/>
    <w:rsid w:val="000B0964"/>
    <w:rsid w:val="000B6D2D"/>
    <w:rsid w:val="000C19BC"/>
    <w:rsid w:val="000D3423"/>
    <w:rsid w:val="000E68B6"/>
    <w:rsid w:val="000F5CA6"/>
    <w:rsid w:val="001056A9"/>
    <w:rsid w:val="00113420"/>
    <w:rsid w:val="00114412"/>
    <w:rsid w:val="00114FFF"/>
    <w:rsid w:val="00126A66"/>
    <w:rsid w:val="00127502"/>
    <w:rsid w:val="00163E8F"/>
    <w:rsid w:val="00182AC2"/>
    <w:rsid w:val="001A213C"/>
    <w:rsid w:val="001A33CE"/>
    <w:rsid w:val="001A3992"/>
    <w:rsid w:val="001B2C82"/>
    <w:rsid w:val="001E20BD"/>
    <w:rsid w:val="001F73B1"/>
    <w:rsid w:val="0020720E"/>
    <w:rsid w:val="0021203D"/>
    <w:rsid w:val="00213B75"/>
    <w:rsid w:val="002204CD"/>
    <w:rsid w:val="00222305"/>
    <w:rsid w:val="00237F8F"/>
    <w:rsid w:val="00251FBC"/>
    <w:rsid w:val="002757B1"/>
    <w:rsid w:val="00281CEF"/>
    <w:rsid w:val="0028304B"/>
    <w:rsid w:val="002A65CA"/>
    <w:rsid w:val="002A688D"/>
    <w:rsid w:val="002B424E"/>
    <w:rsid w:val="002C2F8C"/>
    <w:rsid w:val="002E277D"/>
    <w:rsid w:val="002F05C4"/>
    <w:rsid w:val="00311C71"/>
    <w:rsid w:val="00312176"/>
    <w:rsid w:val="00315B56"/>
    <w:rsid w:val="00315BD9"/>
    <w:rsid w:val="00321628"/>
    <w:rsid w:val="00321FC4"/>
    <w:rsid w:val="0032593E"/>
    <w:rsid w:val="0035480A"/>
    <w:rsid w:val="00362E7A"/>
    <w:rsid w:val="00374884"/>
    <w:rsid w:val="003759DD"/>
    <w:rsid w:val="00375DB2"/>
    <w:rsid w:val="00376E74"/>
    <w:rsid w:val="00386C9F"/>
    <w:rsid w:val="00392D58"/>
    <w:rsid w:val="003A1F7F"/>
    <w:rsid w:val="003A619E"/>
    <w:rsid w:val="003B0A26"/>
    <w:rsid w:val="003C61A1"/>
    <w:rsid w:val="003C6F0D"/>
    <w:rsid w:val="003D6FE4"/>
    <w:rsid w:val="003E26AA"/>
    <w:rsid w:val="003E4D08"/>
    <w:rsid w:val="003E720A"/>
    <w:rsid w:val="003F24A0"/>
    <w:rsid w:val="004032BD"/>
    <w:rsid w:val="004039F9"/>
    <w:rsid w:val="00404D8E"/>
    <w:rsid w:val="0040767F"/>
    <w:rsid w:val="00421828"/>
    <w:rsid w:val="00426A53"/>
    <w:rsid w:val="00430B22"/>
    <w:rsid w:val="00431ACD"/>
    <w:rsid w:val="004427EF"/>
    <w:rsid w:val="004430F8"/>
    <w:rsid w:val="00446B0C"/>
    <w:rsid w:val="00452D5C"/>
    <w:rsid w:val="004547D5"/>
    <w:rsid w:val="004626FB"/>
    <w:rsid w:val="00465393"/>
    <w:rsid w:val="00466359"/>
    <w:rsid w:val="0049535A"/>
    <w:rsid w:val="00497C85"/>
    <w:rsid w:val="004B3E58"/>
    <w:rsid w:val="004C7A64"/>
    <w:rsid w:val="004D0255"/>
    <w:rsid w:val="004D51F6"/>
    <w:rsid w:val="004D68B2"/>
    <w:rsid w:val="004F04B3"/>
    <w:rsid w:val="004F265A"/>
    <w:rsid w:val="00512BA0"/>
    <w:rsid w:val="00523A25"/>
    <w:rsid w:val="005243EC"/>
    <w:rsid w:val="005270D0"/>
    <w:rsid w:val="00534918"/>
    <w:rsid w:val="00555315"/>
    <w:rsid w:val="005555AA"/>
    <w:rsid w:val="005648F6"/>
    <w:rsid w:val="00584EB5"/>
    <w:rsid w:val="0058657D"/>
    <w:rsid w:val="00595762"/>
    <w:rsid w:val="005A1501"/>
    <w:rsid w:val="005A2D4D"/>
    <w:rsid w:val="005B19F1"/>
    <w:rsid w:val="005B3294"/>
    <w:rsid w:val="005D7D83"/>
    <w:rsid w:val="005E1952"/>
    <w:rsid w:val="005E66DA"/>
    <w:rsid w:val="005F3D27"/>
    <w:rsid w:val="005F6166"/>
    <w:rsid w:val="0061587B"/>
    <w:rsid w:val="00616D6D"/>
    <w:rsid w:val="0062785C"/>
    <w:rsid w:val="00633BF7"/>
    <w:rsid w:val="00646EF6"/>
    <w:rsid w:val="006662A4"/>
    <w:rsid w:val="00671F76"/>
    <w:rsid w:val="006770E9"/>
    <w:rsid w:val="00677840"/>
    <w:rsid w:val="00693E38"/>
    <w:rsid w:val="006A1019"/>
    <w:rsid w:val="006A278C"/>
    <w:rsid w:val="006B1C51"/>
    <w:rsid w:val="006C23E4"/>
    <w:rsid w:val="006D7754"/>
    <w:rsid w:val="006E0F69"/>
    <w:rsid w:val="006E5F38"/>
    <w:rsid w:val="006E6294"/>
    <w:rsid w:val="006F2727"/>
    <w:rsid w:val="006F33BE"/>
    <w:rsid w:val="00701C02"/>
    <w:rsid w:val="0070393D"/>
    <w:rsid w:val="00706362"/>
    <w:rsid w:val="00714091"/>
    <w:rsid w:val="007172D4"/>
    <w:rsid w:val="00722CFB"/>
    <w:rsid w:val="00722D28"/>
    <w:rsid w:val="00733E44"/>
    <w:rsid w:val="00737986"/>
    <w:rsid w:val="00752FCF"/>
    <w:rsid w:val="00767F13"/>
    <w:rsid w:val="00770FFE"/>
    <w:rsid w:val="0077523A"/>
    <w:rsid w:val="00786C3E"/>
    <w:rsid w:val="007902F9"/>
    <w:rsid w:val="00793F22"/>
    <w:rsid w:val="00797F08"/>
    <w:rsid w:val="007A7601"/>
    <w:rsid w:val="007A7D81"/>
    <w:rsid w:val="007B1EEF"/>
    <w:rsid w:val="007B7D99"/>
    <w:rsid w:val="007C0496"/>
    <w:rsid w:val="007C23AF"/>
    <w:rsid w:val="007D5F52"/>
    <w:rsid w:val="007D7089"/>
    <w:rsid w:val="007D7559"/>
    <w:rsid w:val="007E26AF"/>
    <w:rsid w:val="007E4DCC"/>
    <w:rsid w:val="007E693C"/>
    <w:rsid w:val="007E7668"/>
    <w:rsid w:val="007F0F6B"/>
    <w:rsid w:val="007F5CCD"/>
    <w:rsid w:val="00804EFC"/>
    <w:rsid w:val="00807975"/>
    <w:rsid w:val="00813217"/>
    <w:rsid w:val="00822CBB"/>
    <w:rsid w:val="0083205C"/>
    <w:rsid w:val="008376FB"/>
    <w:rsid w:val="008436A2"/>
    <w:rsid w:val="00844127"/>
    <w:rsid w:val="00854733"/>
    <w:rsid w:val="00860C45"/>
    <w:rsid w:val="00862CFD"/>
    <w:rsid w:val="008871DC"/>
    <w:rsid w:val="008A211E"/>
    <w:rsid w:val="008A7E88"/>
    <w:rsid w:val="008D03E3"/>
    <w:rsid w:val="008D1558"/>
    <w:rsid w:val="008D6347"/>
    <w:rsid w:val="008E774F"/>
    <w:rsid w:val="008F33FC"/>
    <w:rsid w:val="008F4E41"/>
    <w:rsid w:val="009042AC"/>
    <w:rsid w:val="00923B1B"/>
    <w:rsid w:val="00926EEF"/>
    <w:rsid w:val="0093385E"/>
    <w:rsid w:val="00956467"/>
    <w:rsid w:val="00960CD5"/>
    <w:rsid w:val="009716F4"/>
    <w:rsid w:val="00972F5C"/>
    <w:rsid w:val="00980DD7"/>
    <w:rsid w:val="00982570"/>
    <w:rsid w:val="009929A8"/>
    <w:rsid w:val="009A1A9F"/>
    <w:rsid w:val="009B5BBC"/>
    <w:rsid w:val="009D45D1"/>
    <w:rsid w:val="009D6D35"/>
    <w:rsid w:val="009F6109"/>
    <w:rsid w:val="00A06B20"/>
    <w:rsid w:val="00A1340E"/>
    <w:rsid w:val="00A15BBC"/>
    <w:rsid w:val="00A42E56"/>
    <w:rsid w:val="00A65473"/>
    <w:rsid w:val="00A657A5"/>
    <w:rsid w:val="00A67D6D"/>
    <w:rsid w:val="00A758BD"/>
    <w:rsid w:val="00A820D9"/>
    <w:rsid w:val="00A85A88"/>
    <w:rsid w:val="00A93CF4"/>
    <w:rsid w:val="00A95AE2"/>
    <w:rsid w:val="00AA291C"/>
    <w:rsid w:val="00AB5617"/>
    <w:rsid w:val="00AD5FE7"/>
    <w:rsid w:val="00AE5297"/>
    <w:rsid w:val="00AE7303"/>
    <w:rsid w:val="00AF693C"/>
    <w:rsid w:val="00AF7261"/>
    <w:rsid w:val="00B02348"/>
    <w:rsid w:val="00B127C2"/>
    <w:rsid w:val="00B12FC2"/>
    <w:rsid w:val="00B31D11"/>
    <w:rsid w:val="00B44856"/>
    <w:rsid w:val="00B4565F"/>
    <w:rsid w:val="00B726B4"/>
    <w:rsid w:val="00B761E1"/>
    <w:rsid w:val="00B80EF7"/>
    <w:rsid w:val="00B85E4E"/>
    <w:rsid w:val="00BA2D55"/>
    <w:rsid w:val="00BA6AD8"/>
    <w:rsid w:val="00BB204F"/>
    <w:rsid w:val="00BB3423"/>
    <w:rsid w:val="00BD6E76"/>
    <w:rsid w:val="00BD7CAD"/>
    <w:rsid w:val="00BE0614"/>
    <w:rsid w:val="00BE7F6F"/>
    <w:rsid w:val="00C110E5"/>
    <w:rsid w:val="00C15907"/>
    <w:rsid w:val="00C323FB"/>
    <w:rsid w:val="00C3298A"/>
    <w:rsid w:val="00C574D5"/>
    <w:rsid w:val="00C6747D"/>
    <w:rsid w:val="00C7743E"/>
    <w:rsid w:val="00C77DCD"/>
    <w:rsid w:val="00C84A1F"/>
    <w:rsid w:val="00C87E4B"/>
    <w:rsid w:val="00CA57AE"/>
    <w:rsid w:val="00CA6CCF"/>
    <w:rsid w:val="00CA7BF6"/>
    <w:rsid w:val="00CC2EEC"/>
    <w:rsid w:val="00CD1ED1"/>
    <w:rsid w:val="00CD33F7"/>
    <w:rsid w:val="00CD74F5"/>
    <w:rsid w:val="00CF19E4"/>
    <w:rsid w:val="00CF1CC7"/>
    <w:rsid w:val="00CF241F"/>
    <w:rsid w:val="00D22902"/>
    <w:rsid w:val="00D241BE"/>
    <w:rsid w:val="00D27B8D"/>
    <w:rsid w:val="00D27CA9"/>
    <w:rsid w:val="00D36A53"/>
    <w:rsid w:val="00D37A00"/>
    <w:rsid w:val="00D44BA0"/>
    <w:rsid w:val="00D44E9B"/>
    <w:rsid w:val="00D61698"/>
    <w:rsid w:val="00D61CB8"/>
    <w:rsid w:val="00D62E8A"/>
    <w:rsid w:val="00D6688C"/>
    <w:rsid w:val="00D66927"/>
    <w:rsid w:val="00D7129E"/>
    <w:rsid w:val="00D80F59"/>
    <w:rsid w:val="00D81754"/>
    <w:rsid w:val="00DB4E07"/>
    <w:rsid w:val="00DB73A8"/>
    <w:rsid w:val="00DC5366"/>
    <w:rsid w:val="00DD31EA"/>
    <w:rsid w:val="00DE4068"/>
    <w:rsid w:val="00DE478F"/>
    <w:rsid w:val="00DF5E99"/>
    <w:rsid w:val="00DF6C4B"/>
    <w:rsid w:val="00E00589"/>
    <w:rsid w:val="00E05649"/>
    <w:rsid w:val="00E22BAB"/>
    <w:rsid w:val="00E2692B"/>
    <w:rsid w:val="00E27BC7"/>
    <w:rsid w:val="00E369A8"/>
    <w:rsid w:val="00E44CC9"/>
    <w:rsid w:val="00E7474A"/>
    <w:rsid w:val="00E74A56"/>
    <w:rsid w:val="00E7617B"/>
    <w:rsid w:val="00E80F17"/>
    <w:rsid w:val="00E912B9"/>
    <w:rsid w:val="00E966CA"/>
    <w:rsid w:val="00EA6A0C"/>
    <w:rsid w:val="00EB3710"/>
    <w:rsid w:val="00EB5650"/>
    <w:rsid w:val="00ED0937"/>
    <w:rsid w:val="00ED33A3"/>
    <w:rsid w:val="00ED4E8D"/>
    <w:rsid w:val="00EE107F"/>
    <w:rsid w:val="00EE6CB5"/>
    <w:rsid w:val="00EF39D4"/>
    <w:rsid w:val="00EF62D7"/>
    <w:rsid w:val="00EF76D4"/>
    <w:rsid w:val="00F00AF0"/>
    <w:rsid w:val="00F120C9"/>
    <w:rsid w:val="00F2059F"/>
    <w:rsid w:val="00F2406E"/>
    <w:rsid w:val="00F27463"/>
    <w:rsid w:val="00F32A78"/>
    <w:rsid w:val="00F35D16"/>
    <w:rsid w:val="00F56BAB"/>
    <w:rsid w:val="00F803A6"/>
    <w:rsid w:val="00F8106E"/>
    <w:rsid w:val="00F8378C"/>
    <w:rsid w:val="00F83C1B"/>
    <w:rsid w:val="00F96E5A"/>
    <w:rsid w:val="00FE50A2"/>
    <w:rsid w:val="00FF4D51"/>
    <w:rsid w:val="00FF7E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ecimalSymbol w:val="."/>
  <w:listSeparator w:val=","/>
  <w14:docId w14:val="50137EC0"/>
  <w15:docId w15:val="{0CE63944-0954-4923-B9AF-36EADF1B7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FFE"/>
    <w:pPr>
      <w:jc w:val="both"/>
    </w:pPr>
  </w:style>
  <w:style w:type="paragraph" w:styleId="Heading1">
    <w:name w:val="heading 1"/>
    <w:basedOn w:val="Normal"/>
    <w:next w:val="Normal"/>
    <w:link w:val="Heading1Char"/>
    <w:uiPriority w:val="9"/>
    <w:qFormat/>
    <w:rsid w:val="001A3992"/>
    <w:pPr>
      <w:keepNext/>
      <w:keepLines/>
      <w:numPr>
        <w:numId w:val="1"/>
      </w:numPr>
      <w:spacing w:before="480" w:after="0"/>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iPriority w:val="9"/>
    <w:unhideWhenUsed/>
    <w:qFormat/>
    <w:rsid w:val="001A3992"/>
    <w:pPr>
      <w:numPr>
        <w:ilvl w:val="1"/>
        <w:numId w:val="1"/>
      </w:numPr>
      <w:spacing w:before="240"/>
      <w:ind w:left="578" w:hanging="578"/>
      <w:outlineLvl w:val="1"/>
    </w:pPr>
    <w:rPr>
      <w:rFonts w:asciiTheme="majorHAnsi" w:hAnsiTheme="majorHAnsi"/>
      <w:b/>
      <w:smallCaps/>
      <w:sz w:val="24"/>
    </w:rPr>
  </w:style>
  <w:style w:type="paragraph" w:styleId="Heading3">
    <w:name w:val="heading 3"/>
    <w:basedOn w:val="Normal"/>
    <w:next w:val="Normal"/>
    <w:link w:val="Heading3Char"/>
    <w:uiPriority w:val="9"/>
    <w:unhideWhenUsed/>
    <w:qFormat/>
    <w:rsid w:val="001A3992"/>
    <w:pPr>
      <w:keepNext/>
      <w:keepLines/>
      <w:spacing w:before="200" w:after="0"/>
      <w:ind w:left="227"/>
      <w:outlineLvl w:val="2"/>
    </w:pPr>
    <w:rPr>
      <w:rFonts w:asciiTheme="majorHAnsi" w:eastAsiaTheme="majorEastAsia" w:hAnsiTheme="majorHAnsi" w:cstheme="majorBidi"/>
      <w:b/>
      <w:bCs/>
    </w:rPr>
  </w:style>
  <w:style w:type="paragraph" w:styleId="Heading4">
    <w:name w:val="heading 4"/>
    <w:basedOn w:val="Heading3"/>
    <w:next w:val="Normal"/>
    <w:link w:val="Heading4Char"/>
    <w:uiPriority w:val="9"/>
    <w:unhideWhenUsed/>
    <w:qFormat/>
    <w:rsid w:val="004F04B3"/>
    <w:pPr>
      <w:outlineLvl w:val="3"/>
    </w:pPr>
    <w:rPr>
      <w:b w:val="0"/>
      <w:i/>
    </w:rPr>
  </w:style>
  <w:style w:type="paragraph" w:styleId="Heading5">
    <w:name w:val="heading 5"/>
    <w:basedOn w:val="Normal"/>
    <w:next w:val="Normal"/>
    <w:link w:val="Heading5Char"/>
    <w:uiPriority w:val="9"/>
    <w:semiHidden/>
    <w:unhideWhenUsed/>
    <w:qFormat/>
    <w:rsid w:val="001A399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992"/>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
    <w:rsid w:val="001A3992"/>
    <w:rPr>
      <w:rFonts w:asciiTheme="majorHAnsi" w:hAnsiTheme="majorHAnsi"/>
      <w:b/>
      <w:smallCaps/>
      <w:sz w:val="24"/>
    </w:rPr>
  </w:style>
  <w:style w:type="character" w:customStyle="1" w:styleId="Heading3Char">
    <w:name w:val="Heading 3 Char"/>
    <w:basedOn w:val="DefaultParagraphFont"/>
    <w:link w:val="Heading3"/>
    <w:uiPriority w:val="9"/>
    <w:rsid w:val="001A39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4F04B3"/>
    <w:rPr>
      <w:rFonts w:asciiTheme="majorHAnsi" w:eastAsiaTheme="majorEastAsia" w:hAnsiTheme="majorHAnsi" w:cstheme="majorBidi"/>
      <w:bCs/>
      <w:i/>
    </w:rPr>
  </w:style>
  <w:style w:type="character" w:customStyle="1" w:styleId="Heading5Char">
    <w:name w:val="Heading 5 Char"/>
    <w:basedOn w:val="DefaultParagraphFont"/>
    <w:link w:val="Heading5"/>
    <w:uiPriority w:val="9"/>
    <w:semiHidden/>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basedOn w:val="DefaultParagraphFont"/>
    <w:uiPriority w:val="99"/>
    <w:semiHidden/>
    <w:unhideWhenUsed/>
    <w:rsid w:val="001A3992"/>
    <w:rPr>
      <w:sz w:val="16"/>
      <w:szCs w:val="16"/>
    </w:rPr>
  </w:style>
  <w:style w:type="paragraph" w:styleId="CommentText">
    <w:name w:val="annotation text"/>
    <w:basedOn w:val="Normal"/>
    <w:link w:val="CommentTextChar"/>
    <w:uiPriority w:val="99"/>
    <w:unhideWhenUsed/>
    <w:rsid w:val="001A3992"/>
    <w:pPr>
      <w:spacing w:line="240" w:lineRule="auto"/>
    </w:pPr>
    <w:rPr>
      <w:rFonts w:ascii="Cambria" w:hAnsi="Cambria"/>
      <w:sz w:val="20"/>
      <w:szCs w:val="20"/>
    </w:rPr>
  </w:style>
  <w:style w:type="character" w:customStyle="1" w:styleId="CommentTextChar">
    <w:name w:val="Comment Text Char"/>
    <w:basedOn w:val="DefaultParagraphFont"/>
    <w:link w:val="CommentText"/>
    <w:uiPriority w:val="99"/>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nhideWhenUsed/>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Header">
    <w:name w:val="header"/>
    <w:basedOn w:val="Normal"/>
    <w:link w:val="HeaderChar"/>
    <w:uiPriority w:val="99"/>
    <w:unhideWhenUsed/>
    <w:rsid w:val="00CA6C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6CCF"/>
  </w:style>
  <w:style w:type="paragraph" w:customStyle="1" w:styleId="Body">
    <w:name w:val="Body"/>
    <w:basedOn w:val="Normal"/>
    <w:link w:val="BodyChar"/>
    <w:rsid w:val="00465393"/>
    <w:pPr>
      <w:spacing w:after="0" w:line="240" w:lineRule="auto"/>
      <w:ind w:firstLine="288"/>
      <w:jc w:val="left"/>
    </w:pPr>
    <w:rPr>
      <w:rFonts w:ascii="Arial" w:eastAsia="MS Mincho" w:hAnsi="Arial" w:cs="Times New Roman"/>
      <w:sz w:val="20"/>
      <w:szCs w:val="20"/>
      <w:lang w:val="en-US" w:eastAsia="ja-JP"/>
    </w:rPr>
  </w:style>
  <w:style w:type="character" w:customStyle="1" w:styleId="BodyChar">
    <w:name w:val="Body Char"/>
    <w:link w:val="Body"/>
    <w:rsid w:val="00465393"/>
    <w:rPr>
      <w:rFonts w:ascii="Arial" w:eastAsia="MS Mincho" w:hAnsi="Arial" w:cs="Times New Roman"/>
      <w:sz w:val="20"/>
      <w:szCs w:val="20"/>
      <w:lang w:val="en-US" w:eastAsia="ja-JP"/>
    </w:rPr>
  </w:style>
  <w:style w:type="paragraph" w:styleId="CommentSubject">
    <w:name w:val="annotation subject"/>
    <w:basedOn w:val="CommentText"/>
    <w:next w:val="CommentText"/>
    <w:link w:val="CommentSubjectChar"/>
    <w:uiPriority w:val="99"/>
    <w:semiHidden/>
    <w:unhideWhenUsed/>
    <w:rsid w:val="00D80F59"/>
    <w:rPr>
      <w:rFonts w:asciiTheme="minorHAnsi" w:hAnsiTheme="minorHAnsi"/>
      <w:b/>
      <w:bCs/>
    </w:rPr>
  </w:style>
  <w:style w:type="character" w:customStyle="1" w:styleId="CommentSubjectChar">
    <w:name w:val="Comment Subject Char"/>
    <w:basedOn w:val="CommentTextChar"/>
    <w:link w:val="CommentSubject"/>
    <w:uiPriority w:val="99"/>
    <w:semiHidden/>
    <w:rsid w:val="00D80F59"/>
    <w:rPr>
      <w:rFonts w:ascii="Cambria" w:hAnsi="Cambria"/>
      <w:b/>
      <w:bCs/>
      <w:sz w:val="20"/>
      <w:szCs w:val="20"/>
    </w:rPr>
  </w:style>
  <w:style w:type="paragraph" w:customStyle="1" w:styleId="Default">
    <w:name w:val="Default"/>
    <w:rsid w:val="008E774F"/>
    <w:pPr>
      <w:autoSpaceDE w:val="0"/>
      <w:autoSpaceDN w:val="0"/>
      <w:adjustRightInd w:val="0"/>
      <w:spacing w:after="0" w:line="240" w:lineRule="auto"/>
    </w:pPr>
    <w:rPr>
      <w:rFonts w:ascii="Times New Roman" w:eastAsia="SimSun" w:hAnsi="Times New Roman" w:cs="Times New Roman"/>
      <w:color w:val="000000"/>
      <w:sz w:val="24"/>
      <w:szCs w:val="24"/>
      <w:lang w:val="en-US" w:eastAsia="ko-KR"/>
    </w:rPr>
  </w:style>
  <w:style w:type="paragraph" w:styleId="Caption">
    <w:name w:val="caption"/>
    <w:basedOn w:val="Normal"/>
    <w:next w:val="Normal"/>
    <w:uiPriority w:val="35"/>
    <w:unhideWhenUsed/>
    <w:qFormat/>
    <w:rsid w:val="006F2727"/>
    <w:pPr>
      <w:spacing w:line="240" w:lineRule="auto"/>
    </w:pPr>
    <w:rPr>
      <w:i/>
      <w:iCs/>
      <w:color w:val="1F497D" w:themeColor="text2"/>
      <w:sz w:val="18"/>
      <w:szCs w:val="18"/>
    </w:rPr>
  </w:style>
  <w:style w:type="character" w:styleId="FollowedHyperlink">
    <w:name w:val="FollowedHyperlink"/>
    <w:basedOn w:val="DefaultParagraphFont"/>
    <w:uiPriority w:val="99"/>
    <w:semiHidden/>
    <w:unhideWhenUsed/>
    <w:rsid w:val="00446B0C"/>
    <w:rPr>
      <w:color w:val="800080" w:themeColor="followedHyperlink"/>
      <w:u w:val="single"/>
    </w:rPr>
  </w:style>
  <w:style w:type="paragraph" w:customStyle="1" w:styleId="Paragraph">
    <w:name w:val="Paragraph"/>
    <w:link w:val="ParagraphChar"/>
    <w:qFormat/>
    <w:rsid w:val="002757B1"/>
    <w:pPr>
      <w:spacing w:before="60" w:after="240" w:line="240" w:lineRule="auto"/>
    </w:pPr>
    <w:rPr>
      <w:rFonts w:ascii="Times New Roman" w:eastAsia="Times New Roman" w:hAnsi="Times New Roman" w:cs="Times New Roman"/>
      <w:sz w:val="24"/>
      <w:szCs w:val="24"/>
      <w:lang w:val="en-US"/>
    </w:rPr>
  </w:style>
  <w:style w:type="character" w:customStyle="1" w:styleId="ParagraphChar">
    <w:name w:val="Paragraph Char"/>
    <w:link w:val="Paragraph"/>
    <w:rsid w:val="002757B1"/>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EA6A0C"/>
    <w:rPr>
      <w:color w:val="605E5C"/>
      <w:shd w:val="clear" w:color="auto" w:fill="E1DFDD"/>
    </w:rPr>
  </w:style>
  <w:style w:type="paragraph" w:styleId="Revision">
    <w:name w:val="Revision"/>
    <w:hidden/>
    <w:uiPriority w:val="99"/>
    <w:semiHidden/>
    <w:rsid w:val="00E7474A"/>
    <w:pPr>
      <w:spacing w:after="0" w:line="240" w:lineRule="auto"/>
    </w:pPr>
  </w:style>
  <w:style w:type="table" w:styleId="TableGrid">
    <w:name w:val="Table Grid"/>
    <w:basedOn w:val="TableNormal"/>
    <w:uiPriority w:val="59"/>
    <w:rsid w:val="006D7754"/>
    <w:pPr>
      <w:spacing w:after="0" w:line="240" w:lineRule="auto"/>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0280618">
      <w:bodyDiv w:val="1"/>
      <w:marLeft w:val="0"/>
      <w:marRight w:val="0"/>
      <w:marTop w:val="0"/>
      <w:marBottom w:val="0"/>
      <w:divBdr>
        <w:top w:val="none" w:sz="0" w:space="0" w:color="auto"/>
        <w:left w:val="none" w:sz="0" w:space="0" w:color="auto"/>
        <w:bottom w:val="none" w:sz="0" w:space="0" w:color="auto"/>
        <w:right w:val="none" w:sz="0" w:space="0" w:color="auto"/>
      </w:divBdr>
    </w:div>
    <w:div w:id="1087535665">
      <w:bodyDiv w:val="1"/>
      <w:marLeft w:val="0"/>
      <w:marRight w:val="0"/>
      <w:marTop w:val="0"/>
      <w:marBottom w:val="0"/>
      <w:divBdr>
        <w:top w:val="none" w:sz="0" w:space="0" w:color="auto"/>
        <w:left w:val="none" w:sz="0" w:space="0" w:color="auto"/>
        <w:bottom w:val="none" w:sz="0" w:space="0" w:color="auto"/>
        <w:right w:val="none" w:sz="0" w:space="0" w:color="auto"/>
      </w:divBdr>
    </w:div>
    <w:div w:id="1147090938">
      <w:bodyDiv w:val="1"/>
      <w:marLeft w:val="0"/>
      <w:marRight w:val="0"/>
      <w:marTop w:val="0"/>
      <w:marBottom w:val="0"/>
      <w:divBdr>
        <w:top w:val="none" w:sz="0" w:space="0" w:color="auto"/>
        <w:left w:val="none" w:sz="0" w:space="0" w:color="auto"/>
        <w:bottom w:val="none" w:sz="0" w:space="0" w:color="auto"/>
        <w:right w:val="none" w:sz="0" w:space="0" w:color="auto"/>
      </w:divBdr>
    </w:div>
    <w:div w:id="1252928676">
      <w:bodyDiv w:val="1"/>
      <w:marLeft w:val="0"/>
      <w:marRight w:val="0"/>
      <w:marTop w:val="0"/>
      <w:marBottom w:val="0"/>
      <w:divBdr>
        <w:top w:val="none" w:sz="0" w:space="0" w:color="auto"/>
        <w:left w:val="none" w:sz="0" w:space="0" w:color="auto"/>
        <w:bottom w:val="none" w:sz="0" w:space="0" w:color="auto"/>
        <w:right w:val="none" w:sz="0" w:space="0" w:color="auto"/>
      </w:divBdr>
    </w:div>
    <w:div w:id="1324433748">
      <w:bodyDiv w:val="1"/>
      <w:marLeft w:val="0"/>
      <w:marRight w:val="0"/>
      <w:marTop w:val="0"/>
      <w:marBottom w:val="0"/>
      <w:divBdr>
        <w:top w:val="none" w:sz="0" w:space="0" w:color="auto"/>
        <w:left w:val="none" w:sz="0" w:space="0" w:color="auto"/>
        <w:bottom w:val="none" w:sz="0" w:space="0" w:color="auto"/>
        <w:right w:val="none" w:sz="0" w:space="0" w:color="auto"/>
      </w:divBdr>
    </w:div>
    <w:div w:id="197436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yperlink" Target="http://www.bayer.com.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tga.gov.au/reporting-problems"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cid:image002.jpg@01D613E8.11E77450"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tga.gov.au/reporting-problems"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7c593367-9bb5-4764-945e-f6a26d2260c4" ContentTypeId="0x0101" PreviousValue="false"/>
</file>

<file path=customXml/item2.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9249EF9DB58B9418FF03CEECB9ABDCA" ma:contentTypeVersion="0" ma:contentTypeDescription="Create a new document." ma:contentTypeScope="" ma:versionID="c43a67f78470fcd4e92f0441c595b158">
  <xsd:schema xmlns:xsd="http://www.w3.org/2001/XMLSchema" xmlns:xs="http://www.w3.org/2001/XMLSchema" xmlns:p="http://schemas.microsoft.com/office/2006/metadata/properties" xmlns:ns1="http://schemas.microsoft.com/sharepoint/v3" xmlns:ns2="e941b624-166c-4987-9ed6-d539972f16a8" xmlns:ns3="02781e6e-ce9e-477a-9353-e495a11ae737" targetNamespace="http://schemas.microsoft.com/office/2006/metadata/properties" ma:root="true" ma:fieldsID="6fe66f120603067d41ab2d8cc8221434" ns1:_="" ns2:_="" ns3:_="">
    <xsd:import namespace="http://schemas.microsoft.com/sharepoint/v3"/>
    <xsd:import namespace="e941b624-166c-4987-9ed6-d539972f16a8"/>
    <xsd:import namespace="02781e6e-ce9e-477a-9353-e495a11ae737"/>
    <xsd:element name="properties">
      <xsd:complexType>
        <xsd:sequence>
          <xsd:element name="documentManagement">
            <xsd:complexType>
              <xsd:all>
                <xsd:element ref="ns2:TaxCatchAll" minOccurs="0"/>
                <xsd:element ref="ns2:TaxCatchAllLabel" minOccurs="0"/>
                <xsd:element ref="ns2:gbbd9102adcd43839cd73b51972a464c" minOccurs="0"/>
                <xsd:element ref="ns1:_dlc_Exempt" minOccurs="0"/>
                <xsd:element ref="ns1:_dlc_ExpireDateSaved" minOccurs="0"/>
                <xsd:element ref="ns1:_dlc_Expire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2" nillable="true" ma:displayName="Exempt from Policy" ma:hidden="true" ma:internalName="_dlc_Exempt" ma:readOnly="true">
      <xsd:simpleType>
        <xsd:restriction base="dms:Unknown"/>
      </xsd:simpleType>
    </xsd:element>
    <xsd:element name="_dlc_ExpireDateSaved" ma:index="13" nillable="true" ma:displayName="Original Expiration Date" ma:hidden="true" ma:internalName="_dlc_ExpireDateSaved" ma:readOnly="true">
      <xsd:simpleType>
        <xsd:restriction base="dms:DateTime"/>
      </xsd:simpleType>
    </xsd:element>
    <xsd:element name="_dlc_ExpireDate" ma:index="14"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941b624-166c-4987-9ed6-d539972f16a8"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a39b6c9c-0720-4d54-8100-6fb7008b206f}" ma:internalName="TaxCatchAll" ma:showField="CatchAllData" ma:web="02781e6e-ce9e-477a-9353-e495a11ae73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a39b6c9c-0720-4d54-8100-6fb7008b206f}" ma:internalName="TaxCatchAllLabel" ma:readOnly="true" ma:showField="CatchAllDataLabel" ma:web="02781e6e-ce9e-477a-9353-e495a11ae737">
      <xsd:complexType>
        <xsd:complexContent>
          <xsd:extension base="dms:MultiChoiceLookup">
            <xsd:sequence>
              <xsd:element name="Value" type="dms:Lookup" maxOccurs="unbounded" minOccurs="0" nillable="true"/>
            </xsd:sequence>
          </xsd:extension>
        </xsd:complexContent>
      </xsd:complexType>
    </xsd:element>
    <xsd:element name="gbbd9102adcd43839cd73b51972a464c" ma:index="10" ma:taxonomy="true" ma:internalName="gbbd9102adcd43839cd73b51972a464c" ma:taxonomyFieldName="DataClassBayerRetention" ma:displayName="Data Class" ma:readOnly="false" ma:default="1;#Short-Term|6d967203-8346-4b9c-90f8-b3828a3fa508" ma:fieldId="{0bbd9102-adcd-4383-9cd7-3b51972a464c}" ma:sspId="7c593367-9bb5-4764-945e-f6a26d2260c4" ma:termSetId="a305235b-fecf-45b3-8300-71c0f432cbc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781e6e-ce9e-477a-9353-e495a11ae737"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e941b624-166c-4987-9ed6-d539972f16a8">
      <Value>1</Value>
    </TaxCatchAll>
    <gbbd9102adcd43839cd73b51972a464c xmlns="e941b624-166c-4987-9ed6-d539972f16a8">
      <Terms xmlns="http://schemas.microsoft.com/office/infopath/2007/PartnerControls">
        <TermInfo xmlns="http://schemas.microsoft.com/office/infopath/2007/PartnerControls">
          <TermName xmlns="http://schemas.microsoft.com/office/infopath/2007/PartnerControls">Short-Term</TermName>
          <TermId xmlns="http://schemas.microsoft.com/office/infopath/2007/PartnerControls">6d967203-8346-4b9c-90f8-b3828a3fa508</TermId>
        </TermInfo>
      </Terms>
    </gbbd9102adcd43839cd73b51972a464c>
    <_dlc_ExpireDateSaved xmlns="http://schemas.microsoft.com/sharepoint/v3" xsi:nil="true"/>
    <_dlc_ExpireDate xmlns="http://schemas.microsoft.com/sharepoint/v3">2033-09-07T14:53:37+00:00</_dlc_ExpireDate>
    <_dlc_DocId xmlns="02781e6e-ce9e-477a-9353-e495a11ae737">PXPAWVVXK2RU-1977316697-1653</_dlc_DocId>
    <_dlc_DocIdUrl xmlns="02781e6e-ce9e-477a-9353-e495a11ae737">
      <Url>http://sp-coll-bhc.bayer-ag.com/sites/222382/Cardio_Neph/Vericiguat/VeriResp/_layouts/15/DocIdRedir.aspx?ID=PXPAWVVXK2RU-1977316697-1653</Url>
      <Description>PXPAWVVXK2RU-1977316697-1653</Description>
    </_dlc_DocIdUrl>
  </documentManagement>
</p:properties>
</file>

<file path=customXml/item6.xml><?xml version="1.0" encoding="utf-8"?>
<?mso-contentType ?>
<p:Policy xmlns:p="office.server.policy" id="" local="true">
  <p:Name>Document</p:Name>
  <p:Description/>
  <p:Statement/>
  <p:PolicyItems>
    <p:PolicyItem featureId="Microsoft.Office.RecordsManagement.PolicyFeatures.Expiration" staticId="0x0101|-2126682137" UniqueId="ab3b55e9-aae5-4563-b264-599d7d4a4f77">
      <p:Name>Retention</p:Name>
      <p:Description>Automatic scheduling of content for processing, and performing a retention action on content that has reached its due date.</p:Description>
      <p:CustomData>
        <Schedules nextStageId="2">
          <Schedule type="Default">
            <stages>
              <data stageId="1">
                <formula id="Bayer SharePoint Retention Policy 2.1"/>
                <action type="action" id="Microsoft.Office.RecordsManagement.PolicyFeatures.Expiration.Action.MoveToRecycleBin"/>
              </data>
            </stages>
          </Schedule>
        </Schedules>
      </p:CustomData>
    </p:PolicyItem>
  </p:PolicyItems>
</p:Policy>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26CE8-7E08-4564-9D9D-AF4582B18C60}">
  <ds:schemaRefs>
    <ds:schemaRef ds:uri="Microsoft.SharePoint.Taxonomy.ContentTypeSync"/>
  </ds:schemaRefs>
</ds:datastoreItem>
</file>

<file path=customXml/itemProps2.xml><?xml version="1.0" encoding="utf-8"?>
<ds:datastoreItem xmlns:ds="http://schemas.openxmlformats.org/officeDocument/2006/customXml" ds:itemID="{48107EB7-ED3F-48BC-8E0E-9FA497E21504}">
  <ds:schemaRefs>
    <ds:schemaRef ds:uri="http://schemas.microsoft.com/sharepoint/events"/>
  </ds:schemaRefs>
</ds:datastoreItem>
</file>

<file path=customXml/itemProps3.xml><?xml version="1.0" encoding="utf-8"?>
<ds:datastoreItem xmlns:ds="http://schemas.openxmlformats.org/officeDocument/2006/customXml" ds:itemID="{94DBDC73-1610-44D9-B70A-8BE643B69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41b624-166c-4987-9ed6-d539972f16a8"/>
    <ds:schemaRef ds:uri="02781e6e-ce9e-477a-9353-e495a11ae7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A7A2AD-AD6F-4972-8E8B-DC8DFA08A09A}">
  <ds:schemaRefs>
    <ds:schemaRef ds:uri="http://schemas.microsoft.com/sharepoint/v3/contenttype/forms"/>
  </ds:schemaRefs>
</ds:datastoreItem>
</file>

<file path=customXml/itemProps5.xml><?xml version="1.0" encoding="utf-8"?>
<ds:datastoreItem xmlns:ds="http://schemas.openxmlformats.org/officeDocument/2006/customXml" ds:itemID="{4FB9EE24-29B1-4329-9761-E02E9609A9A8}">
  <ds:schemaRefs>
    <ds:schemaRef ds:uri="http://schemas.microsoft.com/office/2006/metadata/properties"/>
    <ds:schemaRef ds:uri="http://schemas.microsoft.com/office/infopath/2007/PartnerControls"/>
    <ds:schemaRef ds:uri="e941b624-166c-4987-9ed6-d539972f16a8"/>
    <ds:schemaRef ds:uri="http://schemas.microsoft.com/sharepoint/v3"/>
    <ds:schemaRef ds:uri="02781e6e-ce9e-477a-9353-e495a11ae737"/>
  </ds:schemaRefs>
</ds:datastoreItem>
</file>

<file path=customXml/itemProps6.xml><?xml version="1.0" encoding="utf-8"?>
<ds:datastoreItem xmlns:ds="http://schemas.openxmlformats.org/officeDocument/2006/customXml" ds:itemID="{5EDD745B-3622-457D-B1AB-F71DC9A98779}">
  <ds:schemaRefs>
    <ds:schemaRef ds:uri="office.server.policy"/>
  </ds:schemaRefs>
</ds:datastoreItem>
</file>

<file path=customXml/itemProps7.xml><?xml version="1.0" encoding="utf-8"?>
<ds:datastoreItem xmlns:ds="http://schemas.openxmlformats.org/officeDocument/2006/customXml" ds:itemID="{E2808AD5-E13A-44F7-9213-21EBC8071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7617</Words>
  <Characters>43802</Characters>
  <Application>Microsoft Office Word</Application>
  <DocSecurity>0</DocSecurity>
  <Lines>858</Lines>
  <Paragraphs>372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Attachment-Product information for Vericiguat</vt:lpstr>
      <vt:lpstr/>
    </vt:vector>
  </TitlesOfParts>
  <Company>Bayer Australia Ltd</Company>
  <LinksUpToDate>false</LinksUpToDate>
  <CharactersWithSpaces>51047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Attachment-Product information for Verquvo</dc:title>
  <dc:subject>prescription medicines</dc:subject>
  <dc:creator>Bayer Australia Ltd</dc:creator>
  <cp:lastPrinted>2021-07-13T04:06:00Z</cp:lastPrinted>
  <dcterms:created xsi:type="dcterms:W3CDTF">2022-07-18T06:19:00Z</dcterms:created>
  <dcterms:modified xsi:type="dcterms:W3CDTF">2022-07-18T06:21:00Z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850223-87a8-40c3-9eb2-432606efca2a_Enabled">
    <vt:lpwstr>True</vt:lpwstr>
  </property>
  <property fmtid="{D5CDD505-2E9C-101B-9397-08002B2CF9AE}" pid="3" name="MSIP_Label_7f850223-87a8-40c3-9eb2-432606efca2a_SiteId">
    <vt:lpwstr>fcb2b37b-5da0-466b-9b83-0014b67a7c78</vt:lpwstr>
  </property>
  <property fmtid="{D5CDD505-2E9C-101B-9397-08002B2CF9AE}" pid="4" name="MSIP_Label_7f850223-87a8-40c3-9eb2-432606efca2a_Owner">
    <vt:lpwstr>mitch.clarke@bayer.com</vt:lpwstr>
  </property>
  <property fmtid="{D5CDD505-2E9C-101B-9397-08002B2CF9AE}" pid="5" name="MSIP_Label_7f850223-87a8-40c3-9eb2-432606efca2a_SetDate">
    <vt:lpwstr>2020-05-06T04:19:29.4632401Z</vt:lpwstr>
  </property>
  <property fmtid="{D5CDD505-2E9C-101B-9397-08002B2CF9AE}" pid="6" name="MSIP_Label_7f850223-87a8-40c3-9eb2-432606efca2a_Name">
    <vt:lpwstr>NO CLASSIFICATION</vt:lpwstr>
  </property>
  <property fmtid="{D5CDD505-2E9C-101B-9397-08002B2CF9AE}" pid="7" name="MSIP_Label_7f850223-87a8-40c3-9eb2-432606efca2a_Application">
    <vt:lpwstr>Microsoft Azure Information Protection</vt:lpwstr>
  </property>
  <property fmtid="{D5CDD505-2E9C-101B-9397-08002B2CF9AE}" pid="8" name="MSIP_Label_7f850223-87a8-40c3-9eb2-432606efca2a_Extended_MSFT_Method">
    <vt:lpwstr>Automatic</vt:lpwstr>
  </property>
  <property fmtid="{D5CDD505-2E9C-101B-9397-08002B2CF9AE}" pid="9" name="Sensitivity">
    <vt:lpwstr>NO CLASSIFICATION</vt:lpwstr>
  </property>
  <property fmtid="{D5CDD505-2E9C-101B-9397-08002B2CF9AE}" pid="10" name="ContentTypeId">
    <vt:lpwstr>0x01010099249EF9DB58B9418FF03CEECB9ABDCA</vt:lpwstr>
  </property>
  <property fmtid="{D5CDD505-2E9C-101B-9397-08002B2CF9AE}" pid="11" name="_dlc_policyId">
    <vt:lpwstr>0x0101|-2126682137</vt:lpwstr>
  </property>
  <property fmtid="{D5CDD505-2E9C-101B-9397-08002B2CF9AE}" pid="12" name="ItemRetentionFormula">
    <vt:lpwstr>&lt;formula id="Bayer SharePoint Retention Policy 2.1" /&gt;</vt:lpwstr>
  </property>
  <property fmtid="{D5CDD505-2E9C-101B-9397-08002B2CF9AE}" pid="13" name="_dlc_DocIdItemGuid">
    <vt:lpwstr>e225cc48-0d8d-48e4-b501-21bf1d869e6f</vt:lpwstr>
  </property>
  <property fmtid="{D5CDD505-2E9C-101B-9397-08002B2CF9AE}" pid="14" name="DataClassBayerRetention">
    <vt:lpwstr>1;#Short-Term|6d967203-8346-4b9c-90f8-b3828a3fa508</vt:lpwstr>
  </property>
</Properties>
</file>