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D92C04" w14:paraId="18A36913" w14:textId="77777777" w:rsidTr="00BF1190">
        <w:trPr>
          <w:trHeight w:val="1863"/>
        </w:trPr>
        <w:tc>
          <w:tcPr>
            <w:tcW w:w="3652" w:type="dxa"/>
            <w:tcBorders>
              <w:top w:val="nil"/>
              <w:left w:val="nil"/>
              <w:bottom w:val="nil"/>
              <w:right w:val="nil"/>
            </w:tcBorders>
          </w:tcPr>
          <w:p w14:paraId="71D878E9" w14:textId="204B9C0D" w:rsidR="008E7846" w:rsidRPr="00D92C04" w:rsidRDefault="009B513C" w:rsidP="00096AA7">
            <w:pPr>
              <w:rPr>
                <w:rFonts w:ascii="Arial" w:hAnsi="Arial" w:cs="Arial"/>
                <w:b/>
                <w:color w:val="002C47"/>
                <w:sz w:val="36"/>
                <w:szCs w:val="36"/>
              </w:rPr>
            </w:pPr>
            <w:r>
              <w:rPr>
                <w:rFonts w:ascii="Arial" w:hAnsi="Arial" w:cs="Arial"/>
                <w:b/>
                <w:color w:val="002C47"/>
                <w:sz w:val="36"/>
                <w:szCs w:val="36"/>
              </w:rPr>
              <w:t>August</w:t>
            </w:r>
            <w:r w:rsidR="00245732" w:rsidRPr="00D92C04">
              <w:rPr>
                <w:rFonts w:ascii="Arial" w:hAnsi="Arial" w:cs="Arial"/>
                <w:b/>
                <w:color w:val="002C47"/>
                <w:sz w:val="36"/>
                <w:szCs w:val="36"/>
              </w:rPr>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D92C04" w14:paraId="141C13BD" w14:textId="77777777" w:rsidTr="0032583B">
        <w:trPr>
          <w:trHeight w:val="868"/>
        </w:trPr>
        <w:tc>
          <w:tcPr>
            <w:tcW w:w="9079" w:type="dxa"/>
          </w:tcPr>
          <w:p w14:paraId="5002BD11" w14:textId="773933E6" w:rsidR="0032583B" w:rsidRPr="00D92C04" w:rsidRDefault="0032583B" w:rsidP="00460036">
            <w:pPr>
              <w:pStyle w:val="Title"/>
              <w:rPr>
                <w:color w:val="FFFFFF" w:themeColor="background1"/>
              </w:rPr>
            </w:pPr>
            <w:r w:rsidRPr="00D92C04">
              <w:rPr>
                <w:color w:val="FFFFFF" w:themeColor="background1"/>
              </w:rPr>
              <w:t xml:space="preserve">Australian Public Assessment Report for </w:t>
            </w:r>
            <w:r w:rsidR="002478B9" w:rsidRPr="00D92C04">
              <w:rPr>
                <w:color w:val="FFFFFF" w:themeColor="background1"/>
              </w:rPr>
              <w:t>Zanubrutinib</w:t>
            </w:r>
          </w:p>
        </w:tc>
      </w:tr>
      <w:tr w:rsidR="0032583B" w:rsidRPr="00D92C04" w14:paraId="42425A20" w14:textId="77777777" w:rsidTr="0032583B">
        <w:tc>
          <w:tcPr>
            <w:tcW w:w="9079" w:type="dxa"/>
          </w:tcPr>
          <w:p w14:paraId="142DF5FB" w14:textId="605188CA" w:rsidR="0032583B" w:rsidRPr="00D92C04" w:rsidRDefault="0032583B" w:rsidP="00460036">
            <w:pPr>
              <w:pStyle w:val="Subtitle"/>
              <w:rPr>
                <w:color w:val="FFFFFF" w:themeColor="background1"/>
              </w:rPr>
            </w:pPr>
            <w:r w:rsidRPr="00D92C04">
              <w:rPr>
                <w:color w:val="FFFFFF" w:themeColor="background1"/>
              </w:rPr>
              <w:t xml:space="preserve">Proprietary Product Name: </w:t>
            </w:r>
            <w:r w:rsidR="002478B9" w:rsidRPr="00D92C04">
              <w:rPr>
                <w:color w:val="FFFFFF" w:themeColor="background1"/>
              </w:rPr>
              <w:t>Brukinsa</w:t>
            </w:r>
          </w:p>
        </w:tc>
      </w:tr>
      <w:tr w:rsidR="0032583B" w:rsidRPr="00D92C04" w14:paraId="395C2D36" w14:textId="77777777" w:rsidTr="0032583B">
        <w:trPr>
          <w:trHeight w:val="486"/>
        </w:trPr>
        <w:tc>
          <w:tcPr>
            <w:tcW w:w="9079" w:type="dxa"/>
          </w:tcPr>
          <w:p w14:paraId="06886375" w14:textId="086F2A88" w:rsidR="0032583B" w:rsidRPr="00D92C04" w:rsidRDefault="00460036" w:rsidP="0032583B">
            <w:pPr>
              <w:pStyle w:val="Subtitle"/>
              <w:rPr>
                <w:color w:val="FFFFFF" w:themeColor="background1"/>
              </w:rPr>
            </w:pPr>
            <w:r w:rsidRPr="00D92C04">
              <w:rPr>
                <w:color w:val="FFFFFF" w:themeColor="background1"/>
              </w:rPr>
              <w:t xml:space="preserve">Sponsor: </w:t>
            </w:r>
            <w:proofErr w:type="spellStart"/>
            <w:r w:rsidR="00245732" w:rsidRPr="00D92C04">
              <w:rPr>
                <w:color w:val="FFFFFF" w:themeColor="background1"/>
              </w:rPr>
              <w:t>BeiGene</w:t>
            </w:r>
            <w:proofErr w:type="spellEnd"/>
            <w:r w:rsidR="00245732" w:rsidRPr="00D92C04">
              <w:rPr>
                <w:color w:val="FFFFFF" w:themeColor="background1"/>
              </w:rPr>
              <w:t xml:space="preserve"> AUS Pty Ltd</w:t>
            </w:r>
          </w:p>
        </w:tc>
      </w:tr>
    </w:tbl>
    <w:p w14:paraId="203F42D1" w14:textId="77777777" w:rsidR="008E7846" w:rsidRPr="00D92C04" w:rsidRDefault="008E7846" w:rsidP="0085156D">
      <w:r w:rsidRPr="00D92C04">
        <w:br w:type="page"/>
      </w:r>
    </w:p>
    <w:p w14:paraId="35F3095E" w14:textId="77777777" w:rsidR="008E7846" w:rsidRPr="00D92C04" w:rsidRDefault="008E7846" w:rsidP="008E7846">
      <w:pPr>
        <w:pStyle w:val="NonTOCHeading2"/>
      </w:pPr>
      <w:r w:rsidRPr="00D92C04">
        <w:lastRenderedPageBreak/>
        <w:t>About the Therapeutic Goods Administration (TGA)</w:t>
      </w:r>
    </w:p>
    <w:p w14:paraId="47BB32E4" w14:textId="77777777" w:rsidR="008E7846" w:rsidRPr="00D92C04" w:rsidRDefault="008E7846" w:rsidP="00066510">
      <w:pPr>
        <w:pStyle w:val="ListBullet"/>
        <w:numPr>
          <w:ilvl w:val="0"/>
          <w:numId w:val="1"/>
        </w:numPr>
        <w:ind w:left="357" w:hanging="357"/>
      </w:pPr>
      <w:r w:rsidRPr="00D92C04">
        <w:t xml:space="preserve">The Therapeutic Goods Administration (TGA) is </w:t>
      </w:r>
      <w:r w:rsidR="00E624A5" w:rsidRPr="00D92C04">
        <w:t xml:space="preserve">part </w:t>
      </w:r>
      <w:r w:rsidRPr="00D92C04">
        <w:t>of the Australian Government Department of Health and is responsible for regulating medicines and medical devices.</w:t>
      </w:r>
    </w:p>
    <w:p w14:paraId="739C2333" w14:textId="77777777" w:rsidR="008E7846" w:rsidRPr="00D92C04" w:rsidRDefault="00C80137" w:rsidP="00066510">
      <w:pPr>
        <w:pStyle w:val="ListBullet"/>
        <w:numPr>
          <w:ilvl w:val="0"/>
          <w:numId w:val="1"/>
        </w:numPr>
        <w:ind w:left="357" w:hanging="357"/>
      </w:pPr>
      <w:r w:rsidRPr="00D92C04">
        <w:t xml:space="preserve">The </w:t>
      </w:r>
      <w:r w:rsidR="008E7846" w:rsidRPr="00D92C04">
        <w:t xml:space="preserve">TGA administers the </w:t>
      </w:r>
      <w:r w:rsidR="008E7846" w:rsidRPr="00D92C04">
        <w:rPr>
          <w:i/>
        </w:rPr>
        <w:t>Therapeutic Goods Act 1989</w:t>
      </w:r>
      <w:r w:rsidR="00785717" w:rsidRPr="00D92C04">
        <w:rPr>
          <w:i/>
        </w:rPr>
        <w:t xml:space="preserve"> </w:t>
      </w:r>
      <w:r w:rsidR="00785717" w:rsidRPr="00D92C04">
        <w:t>(the Act)</w:t>
      </w:r>
      <w:r w:rsidR="008E7846" w:rsidRPr="00D92C04">
        <w:t xml:space="preserve">, applying a risk management approach designed to ensure therapeutic goods supplied in Australia meet acceptable standards of quality, </w:t>
      </w:r>
      <w:proofErr w:type="gramStart"/>
      <w:r w:rsidR="008E7846" w:rsidRPr="00D92C04">
        <w:t>safety</w:t>
      </w:r>
      <w:proofErr w:type="gramEnd"/>
      <w:r w:rsidR="008E7846" w:rsidRPr="00D92C04">
        <w:t xml:space="preserve"> and efficacy (performance) when necessary.</w:t>
      </w:r>
    </w:p>
    <w:p w14:paraId="47FF5B94" w14:textId="77777777" w:rsidR="008E7846" w:rsidRPr="00D92C04" w:rsidRDefault="008E7846" w:rsidP="00066510">
      <w:pPr>
        <w:pStyle w:val="ListBullet"/>
        <w:numPr>
          <w:ilvl w:val="0"/>
          <w:numId w:val="1"/>
        </w:numPr>
        <w:ind w:left="357" w:hanging="357"/>
      </w:pPr>
      <w:r w:rsidRPr="00D92C04">
        <w:t>The work of the TGA is based on applying scientific and clinical expertise to decision-making, to ensure that the benefits to consumers outweigh any risks associated with the use of medicines and medical devices.</w:t>
      </w:r>
    </w:p>
    <w:p w14:paraId="2A6926F1" w14:textId="77777777" w:rsidR="008E7846" w:rsidRPr="00D92C04" w:rsidRDefault="008E7846" w:rsidP="00066510">
      <w:pPr>
        <w:pStyle w:val="ListBullet"/>
        <w:numPr>
          <w:ilvl w:val="0"/>
          <w:numId w:val="1"/>
        </w:numPr>
        <w:ind w:left="357" w:hanging="357"/>
      </w:pPr>
      <w:r w:rsidRPr="00D92C04">
        <w:t>The TGA relies on the public, healthcare professionals and industry to report problems with medicines or medical devices. TGA investigates reports received by it to determine any necessary regulatory action.</w:t>
      </w:r>
    </w:p>
    <w:p w14:paraId="1F07ADCA" w14:textId="03F95A81" w:rsidR="00441C3F" w:rsidRPr="00D92C04" w:rsidRDefault="008E7846" w:rsidP="00066510">
      <w:pPr>
        <w:pStyle w:val="ListBullet"/>
        <w:numPr>
          <w:ilvl w:val="0"/>
          <w:numId w:val="1"/>
        </w:numPr>
        <w:ind w:left="357" w:hanging="357"/>
      </w:pPr>
      <w:r w:rsidRPr="00D92C04">
        <w:t xml:space="preserve">To report a problem with a medicine or medical device, please see the information on </w:t>
      </w:r>
      <w:r w:rsidR="00441C3F" w:rsidRPr="00D92C04">
        <w:t>the TGA website &lt;</w:t>
      </w:r>
      <w:hyperlink r:id="rId8" w:history="1">
        <w:r w:rsidR="00441C3F" w:rsidRPr="00D92C04">
          <w:rPr>
            <w:rStyle w:val="Hyperlink"/>
          </w:rPr>
          <w:t>https://www.tga.gov.au</w:t>
        </w:r>
      </w:hyperlink>
      <w:r w:rsidR="00441C3F" w:rsidRPr="00D92C04">
        <w:t>&gt;.</w:t>
      </w:r>
    </w:p>
    <w:p w14:paraId="04A2E7BE" w14:textId="77777777" w:rsidR="008E7846" w:rsidRPr="00D92C04" w:rsidRDefault="008E7846" w:rsidP="00875A6B">
      <w:pPr>
        <w:pStyle w:val="NonTOCHeading2"/>
      </w:pPr>
      <w:r w:rsidRPr="00D92C04">
        <w:t xml:space="preserve">About </w:t>
      </w:r>
      <w:proofErr w:type="spellStart"/>
      <w:r w:rsidRPr="00D92C04">
        <w:t>AusPARs</w:t>
      </w:r>
      <w:proofErr w:type="spellEnd"/>
    </w:p>
    <w:p w14:paraId="78A110D4" w14:textId="77777777" w:rsidR="008E7846" w:rsidRPr="00D92C04" w:rsidRDefault="008E7846" w:rsidP="00066510">
      <w:pPr>
        <w:pStyle w:val="ListBullet"/>
        <w:numPr>
          <w:ilvl w:val="0"/>
          <w:numId w:val="1"/>
        </w:numPr>
        <w:ind w:left="357" w:hanging="357"/>
      </w:pPr>
      <w:r w:rsidRPr="00D92C04">
        <w:t>An Australian Public Assessment Re</w:t>
      </w:r>
      <w:r w:rsidR="00133A1B" w:rsidRPr="00D92C04">
        <w:t>port</w:t>
      </w:r>
      <w:r w:rsidRPr="00D92C04">
        <w:t xml:space="preserve"> (AusPAR) provides information about the evaluation of a prescription medicine and the considerations that led the TGA to approve or not approve a pr</w:t>
      </w:r>
      <w:r w:rsidR="00441C3F" w:rsidRPr="00D92C04">
        <w:t>escription medicine submission.</w:t>
      </w:r>
    </w:p>
    <w:p w14:paraId="560F86AE" w14:textId="77777777" w:rsidR="008E7846" w:rsidRPr="00D92C04" w:rsidRDefault="008E7846" w:rsidP="00066510">
      <w:pPr>
        <w:pStyle w:val="ListBullet"/>
        <w:numPr>
          <w:ilvl w:val="0"/>
          <w:numId w:val="1"/>
        </w:numPr>
        <w:ind w:left="357" w:hanging="357"/>
      </w:pPr>
      <w:proofErr w:type="spellStart"/>
      <w:r w:rsidRPr="00D92C04">
        <w:t>AusPARs</w:t>
      </w:r>
      <w:proofErr w:type="spellEnd"/>
      <w:r w:rsidRPr="00D92C04">
        <w:t xml:space="preserve"> are prepared and published by the TGA.</w:t>
      </w:r>
    </w:p>
    <w:p w14:paraId="2CAEB02E" w14:textId="77777777" w:rsidR="008E7846" w:rsidRPr="00D92C04" w:rsidRDefault="008E7846" w:rsidP="00066510">
      <w:pPr>
        <w:pStyle w:val="ListBullet"/>
        <w:numPr>
          <w:ilvl w:val="0"/>
          <w:numId w:val="1"/>
        </w:numPr>
        <w:ind w:left="357" w:hanging="357"/>
      </w:pPr>
      <w:r w:rsidRPr="00D92C04">
        <w:t xml:space="preserve">An AusPAR is prepared for submissions that relate to new chemical entities, generic medicines, major </w:t>
      </w:r>
      <w:proofErr w:type="gramStart"/>
      <w:r w:rsidRPr="00D92C04">
        <w:t>variations</w:t>
      </w:r>
      <w:proofErr w:type="gramEnd"/>
      <w:r w:rsidRPr="00D92C04">
        <w:t xml:space="preserve"> and extensions of indications.</w:t>
      </w:r>
    </w:p>
    <w:p w14:paraId="44A9AEED" w14:textId="77777777" w:rsidR="008E7846" w:rsidRPr="00D92C04" w:rsidRDefault="008E7846" w:rsidP="00066510">
      <w:pPr>
        <w:pStyle w:val="ListBullet"/>
        <w:numPr>
          <w:ilvl w:val="0"/>
          <w:numId w:val="1"/>
        </w:numPr>
        <w:ind w:left="357" w:hanging="357"/>
      </w:pPr>
      <w:r w:rsidRPr="00D92C04">
        <w:t>An AusPAR is a static document</w:t>
      </w:r>
      <w:r w:rsidR="00133A1B" w:rsidRPr="00D92C04">
        <w:t>;</w:t>
      </w:r>
      <w:r w:rsidRPr="00D92C04">
        <w:t xml:space="preserve"> it provide</w:t>
      </w:r>
      <w:r w:rsidR="00133A1B" w:rsidRPr="00D92C04">
        <w:t>s</w:t>
      </w:r>
      <w:r w:rsidRPr="00D92C04">
        <w:t xml:space="preserve"> information that relates to a submission at a particular point in time.</w:t>
      </w:r>
    </w:p>
    <w:p w14:paraId="3CA88840" w14:textId="77777777" w:rsidR="00B452CE" w:rsidRPr="00D92C04" w:rsidRDefault="008E7846" w:rsidP="00066510">
      <w:pPr>
        <w:pStyle w:val="ListBullet"/>
        <w:numPr>
          <w:ilvl w:val="0"/>
          <w:numId w:val="1"/>
        </w:numPr>
        <w:ind w:left="357" w:hanging="357"/>
      </w:pPr>
      <w:r w:rsidRPr="00D92C04">
        <w:t>A new AusPAR will be developed to reflect changes to indications and/or major variations to a prescription medicine subject to evaluation by the TGA.</w:t>
      </w:r>
    </w:p>
    <w:p w14:paraId="287FC409" w14:textId="77777777" w:rsidR="00924482" w:rsidRPr="00D92C04" w:rsidRDefault="00924482" w:rsidP="00F54B65">
      <w:pPr>
        <w:pStyle w:val="LegalSubheading"/>
        <w:spacing w:before="3120"/>
      </w:pPr>
      <w:r w:rsidRPr="00D92C04">
        <w:t>Copyright</w:t>
      </w:r>
    </w:p>
    <w:p w14:paraId="48905D5E" w14:textId="1011B71F" w:rsidR="00924482" w:rsidRPr="00D92C04" w:rsidRDefault="00924482" w:rsidP="00924482">
      <w:pPr>
        <w:pStyle w:val="LegalCopy"/>
      </w:pPr>
      <w:r w:rsidRPr="00D92C04">
        <w:rPr>
          <w:rFonts w:cs="Arial"/>
          <w:lang w:val="en-GB"/>
        </w:rPr>
        <w:t>© Commonwealth of Australia 20</w:t>
      </w:r>
      <w:r w:rsidR="00460036" w:rsidRPr="00D92C04">
        <w:rPr>
          <w:rFonts w:cs="Arial"/>
          <w:lang w:val="en-GB"/>
        </w:rPr>
        <w:t>2</w:t>
      </w:r>
      <w:r w:rsidR="00245732" w:rsidRPr="00D92C04">
        <w:rPr>
          <w:rFonts w:cs="Arial"/>
          <w:lang w:val="en-GB"/>
        </w:rPr>
        <w:t>2</w:t>
      </w:r>
      <w:r w:rsidRPr="00D92C04">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D92C04">
        <w:rPr>
          <w:rFonts w:cs="Arial"/>
          <w:i/>
          <w:lang w:val="en-GB"/>
        </w:rPr>
        <w:t>Copyright Act 1968</w:t>
      </w:r>
      <w:r w:rsidRPr="00D92C04">
        <w:rPr>
          <w:rFonts w:cs="Arial"/>
          <w:lang w:val="en-GB"/>
        </w:rPr>
        <w:t xml:space="preserve"> or allowed by this copyright notice, all other rights are </w:t>
      </w:r>
      <w:proofErr w:type="gramStart"/>
      <w:r w:rsidRPr="00D92C04">
        <w:rPr>
          <w:rFonts w:cs="Arial"/>
          <w:lang w:val="en-GB"/>
        </w:rPr>
        <w:t>reserved</w:t>
      </w:r>
      <w:proofErr w:type="gramEnd"/>
      <w:r w:rsidRPr="00D92C04">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D92C04">
        <w:rPr>
          <w:rFonts w:cs="Arial"/>
          <w:lang w:val="en-GB"/>
        </w:rPr>
        <w:t>Woden</w:t>
      </w:r>
      <w:proofErr w:type="spellEnd"/>
      <w:r w:rsidRPr="00D92C04">
        <w:rPr>
          <w:rFonts w:cs="Arial"/>
          <w:lang w:val="en-GB"/>
        </w:rPr>
        <w:t xml:space="preserve"> ACT 2606 or emailed to &lt;</w:t>
      </w:r>
      <w:hyperlink r:id="rId9" w:history="1">
        <w:r w:rsidRPr="00D92C04">
          <w:rPr>
            <w:rStyle w:val="Hyperlink"/>
            <w:rFonts w:cs="Arial"/>
            <w:lang w:val="en-GB"/>
          </w:rPr>
          <w:t>tga.copyright@tga.gov.au</w:t>
        </w:r>
      </w:hyperlink>
      <w:r w:rsidRPr="00D92C04">
        <w:rPr>
          <w:rFonts w:cs="Arial"/>
        </w:rPr>
        <w:t>&gt;.</w:t>
      </w:r>
    </w:p>
    <w:p w14:paraId="655ABFA7" w14:textId="77777777" w:rsidR="00924482" w:rsidRPr="00D92C04" w:rsidRDefault="00924482" w:rsidP="00924482">
      <w:pPr>
        <w:pStyle w:val="LegalCopy"/>
        <w:sectPr w:rsidR="00924482" w:rsidRPr="00D92C04"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5776812" w14:textId="77777777" w:rsidR="0089635C" w:rsidRPr="00D92C04" w:rsidRDefault="0089635C" w:rsidP="0010788A">
          <w:pPr>
            <w:pStyle w:val="Contents"/>
          </w:pPr>
          <w:r w:rsidRPr="00D92C04">
            <w:t>Contents</w:t>
          </w:r>
        </w:p>
        <w:p w14:paraId="1D9FD418" w14:textId="7B01296B" w:rsidR="00376AF2" w:rsidRDefault="00C525A2">
          <w:pPr>
            <w:pStyle w:val="TOC1"/>
            <w:rPr>
              <w:rFonts w:asciiTheme="minorHAnsi" w:eastAsiaTheme="minorEastAsia" w:hAnsiTheme="minorHAnsi" w:cstheme="minorBidi"/>
              <w:b w:val="0"/>
              <w:noProof/>
              <w:sz w:val="22"/>
              <w:lang w:eastAsia="en-AU"/>
            </w:rPr>
          </w:pPr>
          <w:r w:rsidRPr="00D92C04">
            <w:fldChar w:fldCharType="begin"/>
          </w:r>
          <w:r w:rsidRPr="00D92C04">
            <w:instrText xml:space="preserve"> TOC \h \z \t "Heading 2,1,Heading 3,2" </w:instrText>
          </w:r>
          <w:r w:rsidRPr="00D92C04">
            <w:fldChar w:fldCharType="separate"/>
          </w:r>
          <w:hyperlink w:anchor="_Toc111138561" w:history="1">
            <w:r w:rsidR="00376AF2" w:rsidRPr="00DC633C">
              <w:rPr>
                <w:rStyle w:val="Hyperlink"/>
                <w:noProof/>
              </w:rPr>
              <w:t>List of abbreviations</w:t>
            </w:r>
            <w:r w:rsidR="00376AF2">
              <w:rPr>
                <w:noProof/>
                <w:webHidden/>
              </w:rPr>
              <w:tab/>
            </w:r>
            <w:r w:rsidR="00376AF2">
              <w:rPr>
                <w:noProof/>
                <w:webHidden/>
              </w:rPr>
              <w:fldChar w:fldCharType="begin"/>
            </w:r>
            <w:r w:rsidR="00376AF2">
              <w:rPr>
                <w:noProof/>
                <w:webHidden/>
              </w:rPr>
              <w:instrText xml:space="preserve"> PAGEREF _Toc111138561 \h </w:instrText>
            </w:r>
            <w:r w:rsidR="00376AF2">
              <w:rPr>
                <w:noProof/>
                <w:webHidden/>
              </w:rPr>
            </w:r>
            <w:r w:rsidR="00376AF2">
              <w:rPr>
                <w:noProof/>
                <w:webHidden/>
              </w:rPr>
              <w:fldChar w:fldCharType="separate"/>
            </w:r>
            <w:r w:rsidR="00376AF2">
              <w:rPr>
                <w:noProof/>
                <w:webHidden/>
              </w:rPr>
              <w:t>4</w:t>
            </w:r>
            <w:r w:rsidR="00376AF2">
              <w:rPr>
                <w:noProof/>
                <w:webHidden/>
              </w:rPr>
              <w:fldChar w:fldCharType="end"/>
            </w:r>
          </w:hyperlink>
        </w:p>
        <w:p w14:paraId="1798652D" w14:textId="370BDF2D" w:rsidR="00376AF2" w:rsidRDefault="00492C1D">
          <w:pPr>
            <w:pStyle w:val="TOC1"/>
            <w:rPr>
              <w:rFonts w:asciiTheme="minorHAnsi" w:eastAsiaTheme="minorEastAsia" w:hAnsiTheme="minorHAnsi" w:cstheme="minorBidi"/>
              <w:b w:val="0"/>
              <w:noProof/>
              <w:sz w:val="22"/>
              <w:lang w:eastAsia="en-AU"/>
            </w:rPr>
          </w:pPr>
          <w:hyperlink w:anchor="_Toc111138562" w:history="1">
            <w:r w:rsidR="00376AF2" w:rsidRPr="00DC633C">
              <w:rPr>
                <w:rStyle w:val="Hyperlink"/>
                <w:noProof/>
              </w:rPr>
              <w:t>I. Introduction to product submission</w:t>
            </w:r>
            <w:r w:rsidR="00376AF2">
              <w:rPr>
                <w:noProof/>
                <w:webHidden/>
              </w:rPr>
              <w:tab/>
            </w:r>
            <w:r w:rsidR="00376AF2">
              <w:rPr>
                <w:noProof/>
                <w:webHidden/>
              </w:rPr>
              <w:fldChar w:fldCharType="begin"/>
            </w:r>
            <w:r w:rsidR="00376AF2">
              <w:rPr>
                <w:noProof/>
                <w:webHidden/>
              </w:rPr>
              <w:instrText xml:space="preserve"> PAGEREF _Toc111138562 \h </w:instrText>
            </w:r>
            <w:r w:rsidR="00376AF2">
              <w:rPr>
                <w:noProof/>
                <w:webHidden/>
              </w:rPr>
            </w:r>
            <w:r w:rsidR="00376AF2">
              <w:rPr>
                <w:noProof/>
                <w:webHidden/>
              </w:rPr>
              <w:fldChar w:fldCharType="separate"/>
            </w:r>
            <w:r w:rsidR="00376AF2">
              <w:rPr>
                <w:noProof/>
                <w:webHidden/>
              </w:rPr>
              <w:t>7</w:t>
            </w:r>
            <w:r w:rsidR="00376AF2">
              <w:rPr>
                <w:noProof/>
                <w:webHidden/>
              </w:rPr>
              <w:fldChar w:fldCharType="end"/>
            </w:r>
          </w:hyperlink>
        </w:p>
        <w:p w14:paraId="4C6E3BA0" w14:textId="51EC0C15" w:rsidR="00376AF2" w:rsidRDefault="00492C1D">
          <w:pPr>
            <w:pStyle w:val="TOC2"/>
            <w:rPr>
              <w:rFonts w:asciiTheme="minorHAnsi" w:eastAsiaTheme="minorEastAsia" w:hAnsiTheme="minorHAnsi" w:cstheme="minorBidi"/>
              <w:b w:val="0"/>
              <w:noProof/>
              <w:sz w:val="22"/>
              <w:lang w:eastAsia="en-AU"/>
            </w:rPr>
          </w:pPr>
          <w:hyperlink w:anchor="_Toc111138563" w:history="1">
            <w:r w:rsidR="00376AF2" w:rsidRPr="00DC633C">
              <w:rPr>
                <w:rStyle w:val="Hyperlink"/>
                <w:noProof/>
                <w:lang w:eastAsia="en-AU"/>
              </w:rPr>
              <w:t>Submission details</w:t>
            </w:r>
            <w:r w:rsidR="00376AF2">
              <w:rPr>
                <w:noProof/>
                <w:webHidden/>
              </w:rPr>
              <w:tab/>
            </w:r>
            <w:r w:rsidR="00376AF2">
              <w:rPr>
                <w:noProof/>
                <w:webHidden/>
              </w:rPr>
              <w:fldChar w:fldCharType="begin"/>
            </w:r>
            <w:r w:rsidR="00376AF2">
              <w:rPr>
                <w:noProof/>
                <w:webHidden/>
              </w:rPr>
              <w:instrText xml:space="preserve"> PAGEREF _Toc111138563 \h </w:instrText>
            </w:r>
            <w:r w:rsidR="00376AF2">
              <w:rPr>
                <w:noProof/>
                <w:webHidden/>
              </w:rPr>
            </w:r>
            <w:r w:rsidR="00376AF2">
              <w:rPr>
                <w:noProof/>
                <w:webHidden/>
              </w:rPr>
              <w:fldChar w:fldCharType="separate"/>
            </w:r>
            <w:r w:rsidR="00376AF2">
              <w:rPr>
                <w:noProof/>
                <w:webHidden/>
              </w:rPr>
              <w:t>7</w:t>
            </w:r>
            <w:r w:rsidR="00376AF2">
              <w:rPr>
                <w:noProof/>
                <w:webHidden/>
              </w:rPr>
              <w:fldChar w:fldCharType="end"/>
            </w:r>
          </w:hyperlink>
        </w:p>
        <w:p w14:paraId="3BF23F85" w14:textId="199D50DF" w:rsidR="00376AF2" w:rsidRDefault="00492C1D">
          <w:pPr>
            <w:pStyle w:val="TOC2"/>
            <w:rPr>
              <w:rFonts w:asciiTheme="minorHAnsi" w:eastAsiaTheme="minorEastAsia" w:hAnsiTheme="minorHAnsi" w:cstheme="minorBidi"/>
              <w:b w:val="0"/>
              <w:noProof/>
              <w:sz w:val="22"/>
              <w:lang w:eastAsia="en-AU"/>
            </w:rPr>
          </w:pPr>
          <w:hyperlink w:anchor="_Toc111138564" w:history="1">
            <w:r w:rsidR="00376AF2" w:rsidRPr="00DC633C">
              <w:rPr>
                <w:rStyle w:val="Hyperlink"/>
                <w:noProof/>
              </w:rPr>
              <w:t>Product background</w:t>
            </w:r>
            <w:r w:rsidR="00376AF2">
              <w:rPr>
                <w:noProof/>
                <w:webHidden/>
              </w:rPr>
              <w:tab/>
            </w:r>
            <w:r w:rsidR="00376AF2">
              <w:rPr>
                <w:noProof/>
                <w:webHidden/>
              </w:rPr>
              <w:fldChar w:fldCharType="begin"/>
            </w:r>
            <w:r w:rsidR="00376AF2">
              <w:rPr>
                <w:noProof/>
                <w:webHidden/>
              </w:rPr>
              <w:instrText xml:space="preserve"> PAGEREF _Toc111138564 \h </w:instrText>
            </w:r>
            <w:r w:rsidR="00376AF2">
              <w:rPr>
                <w:noProof/>
                <w:webHidden/>
              </w:rPr>
            </w:r>
            <w:r w:rsidR="00376AF2">
              <w:rPr>
                <w:noProof/>
                <w:webHidden/>
              </w:rPr>
              <w:fldChar w:fldCharType="separate"/>
            </w:r>
            <w:r w:rsidR="00376AF2">
              <w:rPr>
                <w:noProof/>
                <w:webHidden/>
              </w:rPr>
              <w:t>8</w:t>
            </w:r>
            <w:r w:rsidR="00376AF2">
              <w:rPr>
                <w:noProof/>
                <w:webHidden/>
              </w:rPr>
              <w:fldChar w:fldCharType="end"/>
            </w:r>
          </w:hyperlink>
        </w:p>
        <w:p w14:paraId="577B955A" w14:textId="1D7E5101" w:rsidR="00376AF2" w:rsidRDefault="00492C1D">
          <w:pPr>
            <w:pStyle w:val="TOC2"/>
            <w:rPr>
              <w:rFonts w:asciiTheme="minorHAnsi" w:eastAsiaTheme="minorEastAsia" w:hAnsiTheme="minorHAnsi" w:cstheme="minorBidi"/>
              <w:b w:val="0"/>
              <w:noProof/>
              <w:sz w:val="22"/>
              <w:lang w:eastAsia="en-AU"/>
            </w:rPr>
          </w:pPr>
          <w:hyperlink w:anchor="_Toc111138565" w:history="1">
            <w:r w:rsidR="00376AF2" w:rsidRPr="00DC633C">
              <w:rPr>
                <w:rStyle w:val="Hyperlink"/>
                <w:noProof/>
              </w:rPr>
              <w:t>Regulatory status</w:t>
            </w:r>
            <w:r w:rsidR="00376AF2">
              <w:rPr>
                <w:noProof/>
                <w:webHidden/>
              </w:rPr>
              <w:tab/>
            </w:r>
            <w:r w:rsidR="00376AF2">
              <w:rPr>
                <w:noProof/>
                <w:webHidden/>
              </w:rPr>
              <w:fldChar w:fldCharType="begin"/>
            </w:r>
            <w:r w:rsidR="00376AF2">
              <w:rPr>
                <w:noProof/>
                <w:webHidden/>
              </w:rPr>
              <w:instrText xml:space="preserve"> PAGEREF _Toc111138565 \h </w:instrText>
            </w:r>
            <w:r w:rsidR="00376AF2">
              <w:rPr>
                <w:noProof/>
                <w:webHidden/>
              </w:rPr>
            </w:r>
            <w:r w:rsidR="00376AF2">
              <w:rPr>
                <w:noProof/>
                <w:webHidden/>
              </w:rPr>
              <w:fldChar w:fldCharType="separate"/>
            </w:r>
            <w:r w:rsidR="00376AF2">
              <w:rPr>
                <w:noProof/>
                <w:webHidden/>
              </w:rPr>
              <w:t>10</w:t>
            </w:r>
            <w:r w:rsidR="00376AF2">
              <w:rPr>
                <w:noProof/>
                <w:webHidden/>
              </w:rPr>
              <w:fldChar w:fldCharType="end"/>
            </w:r>
          </w:hyperlink>
        </w:p>
        <w:p w14:paraId="3B1D74D6" w14:textId="140DDE62" w:rsidR="00376AF2" w:rsidRDefault="00492C1D">
          <w:pPr>
            <w:pStyle w:val="TOC2"/>
            <w:rPr>
              <w:rFonts w:asciiTheme="minorHAnsi" w:eastAsiaTheme="minorEastAsia" w:hAnsiTheme="minorHAnsi" w:cstheme="minorBidi"/>
              <w:b w:val="0"/>
              <w:noProof/>
              <w:sz w:val="22"/>
              <w:lang w:eastAsia="en-AU"/>
            </w:rPr>
          </w:pPr>
          <w:hyperlink w:anchor="_Toc111138566" w:history="1">
            <w:r w:rsidR="00376AF2" w:rsidRPr="00DC633C">
              <w:rPr>
                <w:rStyle w:val="Hyperlink"/>
                <w:noProof/>
              </w:rPr>
              <w:t>Product Information</w:t>
            </w:r>
            <w:r w:rsidR="00376AF2">
              <w:rPr>
                <w:noProof/>
                <w:webHidden/>
              </w:rPr>
              <w:tab/>
            </w:r>
            <w:r w:rsidR="00376AF2">
              <w:rPr>
                <w:noProof/>
                <w:webHidden/>
              </w:rPr>
              <w:fldChar w:fldCharType="begin"/>
            </w:r>
            <w:r w:rsidR="00376AF2">
              <w:rPr>
                <w:noProof/>
                <w:webHidden/>
              </w:rPr>
              <w:instrText xml:space="preserve"> PAGEREF _Toc111138566 \h </w:instrText>
            </w:r>
            <w:r w:rsidR="00376AF2">
              <w:rPr>
                <w:noProof/>
                <w:webHidden/>
              </w:rPr>
            </w:r>
            <w:r w:rsidR="00376AF2">
              <w:rPr>
                <w:noProof/>
                <w:webHidden/>
              </w:rPr>
              <w:fldChar w:fldCharType="separate"/>
            </w:r>
            <w:r w:rsidR="00376AF2">
              <w:rPr>
                <w:noProof/>
                <w:webHidden/>
              </w:rPr>
              <w:t>10</w:t>
            </w:r>
            <w:r w:rsidR="00376AF2">
              <w:rPr>
                <w:noProof/>
                <w:webHidden/>
              </w:rPr>
              <w:fldChar w:fldCharType="end"/>
            </w:r>
          </w:hyperlink>
        </w:p>
        <w:p w14:paraId="74181918" w14:textId="4CAA63BF" w:rsidR="00376AF2" w:rsidRDefault="00492C1D">
          <w:pPr>
            <w:pStyle w:val="TOC1"/>
            <w:rPr>
              <w:rFonts w:asciiTheme="minorHAnsi" w:eastAsiaTheme="minorEastAsia" w:hAnsiTheme="minorHAnsi" w:cstheme="minorBidi"/>
              <w:b w:val="0"/>
              <w:noProof/>
              <w:sz w:val="22"/>
              <w:lang w:eastAsia="en-AU"/>
            </w:rPr>
          </w:pPr>
          <w:hyperlink w:anchor="_Toc111138567" w:history="1">
            <w:r w:rsidR="00376AF2" w:rsidRPr="00DC633C">
              <w:rPr>
                <w:rStyle w:val="Hyperlink"/>
                <w:noProof/>
              </w:rPr>
              <w:t>II. Registration timeline</w:t>
            </w:r>
            <w:r w:rsidR="00376AF2">
              <w:rPr>
                <w:noProof/>
                <w:webHidden/>
              </w:rPr>
              <w:tab/>
            </w:r>
            <w:r w:rsidR="00376AF2">
              <w:rPr>
                <w:noProof/>
                <w:webHidden/>
              </w:rPr>
              <w:fldChar w:fldCharType="begin"/>
            </w:r>
            <w:r w:rsidR="00376AF2">
              <w:rPr>
                <w:noProof/>
                <w:webHidden/>
              </w:rPr>
              <w:instrText xml:space="preserve"> PAGEREF _Toc111138567 \h </w:instrText>
            </w:r>
            <w:r w:rsidR="00376AF2">
              <w:rPr>
                <w:noProof/>
                <w:webHidden/>
              </w:rPr>
            </w:r>
            <w:r w:rsidR="00376AF2">
              <w:rPr>
                <w:noProof/>
                <w:webHidden/>
              </w:rPr>
              <w:fldChar w:fldCharType="separate"/>
            </w:r>
            <w:r w:rsidR="00376AF2">
              <w:rPr>
                <w:noProof/>
                <w:webHidden/>
              </w:rPr>
              <w:t>11</w:t>
            </w:r>
            <w:r w:rsidR="00376AF2">
              <w:rPr>
                <w:noProof/>
                <w:webHidden/>
              </w:rPr>
              <w:fldChar w:fldCharType="end"/>
            </w:r>
          </w:hyperlink>
        </w:p>
        <w:p w14:paraId="5B87A860" w14:textId="3055564A" w:rsidR="00376AF2" w:rsidRDefault="00492C1D">
          <w:pPr>
            <w:pStyle w:val="TOC1"/>
            <w:rPr>
              <w:rFonts w:asciiTheme="minorHAnsi" w:eastAsiaTheme="minorEastAsia" w:hAnsiTheme="minorHAnsi" w:cstheme="minorBidi"/>
              <w:b w:val="0"/>
              <w:noProof/>
              <w:sz w:val="22"/>
              <w:lang w:eastAsia="en-AU"/>
            </w:rPr>
          </w:pPr>
          <w:hyperlink w:anchor="_Toc111138568" w:history="1">
            <w:r w:rsidR="00376AF2" w:rsidRPr="00DC633C">
              <w:rPr>
                <w:rStyle w:val="Hyperlink"/>
                <w:noProof/>
              </w:rPr>
              <w:t>III. Submission overview and risk/benefit assessment</w:t>
            </w:r>
            <w:r w:rsidR="00376AF2">
              <w:rPr>
                <w:noProof/>
                <w:webHidden/>
              </w:rPr>
              <w:tab/>
            </w:r>
            <w:r w:rsidR="00376AF2">
              <w:rPr>
                <w:noProof/>
                <w:webHidden/>
              </w:rPr>
              <w:fldChar w:fldCharType="begin"/>
            </w:r>
            <w:r w:rsidR="00376AF2">
              <w:rPr>
                <w:noProof/>
                <w:webHidden/>
              </w:rPr>
              <w:instrText xml:space="preserve"> PAGEREF _Toc111138568 \h </w:instrText>
            </w:r>
            <w:r w:rsidR="00376AF2">
              <w:rPr>
                <w:noProof/>
                <w:webHidden/>
              </w:rPr>
            </w:r>
            <w:r w:rsidR="00376AF2">
              <w:rPr>
                <w:noProof/>
                <w:webHidden/>
              </w:rPr>
              <w:fldChar w:fldCharType="separate"/>
            </w:r>
            <w:r w:rsidR="00376AF2">
              <w:rPr>
                <w:noProof/>
                <w:webHidden/>
              </w:rPr>
              <w:t>11</w:t>
            </w:r>
            <w:r w:rsidR="00376AF2">
              <w:rPr>
                <w:noProof/>
                <w:webHidden/>
              </w:rPr>
              <w:fldChar w:fldCharType="end"/>
            </w:r>
          </w:hyperlink>
        </w:p>
        <w:p w14:paraId="7E53520C" w14:textId="6D5AC0D8" w:rsidR="00376AF2" w:rsidRDefault="00492C1D">
          <w:pPr>
            <w:pStyle w:val="TOC2"/>
            <w:rPr>
              <w:rFonts w:asciiTheme="minorHAnsi" w:eastAsiaTheme="minorEastAsia" w:hAnsiTheme="minorHAnsi" w:cstheme="minorBidi"/>
              <w:b w:val="0"/>
              <w:noProof/>
              <w:sz w:val="22"/>
              <w:lang w:eastAsia="en-AU"/>
            </w:rPr>
          </w:pPr>
          <w:hyperlink w:anchor="_Toc111138569" w:history="1">
            <w:r w:rsidR="00376AF2" w:rsidRPr="00DC633C">
              <w:rPr>
                <w:rStyle w:val="Hyperlink"/>
                <w:noProof/>
              </w:rPr>
              <w:t>Quality</w:t>
            </w:r>
            <w:r w:rsidR="00376AF2">
              <w:rPr>
                <w:noProof/>
                <w:webHidden/>
              </w:rPr>
              <w:tab/>
            </w:r>
            <w:r w:rsidR="00376AF2">
              <w:rPr>
                <w:noProof/>
                <w:webHidden/>
              </w:rPr>
              <w:fldChar w:fldCharType="begin"/>
            </w:r>
            <w:r w:rsidR="00376AF2">
              <w:rPr>
                <w:noProof/>
                <w:webHidden/>
              </w:rPr>
              <w:instrText xml:space="preserve"> PAGEREF _Toc111138569 \h </w:instrText>
            </w:r>
            <w:r w:rsidR="00376AF2">
              <w:rPr>
                <w:noProof/>
                <w:webHidden/>
              </w:rPr>
            </w:r>
            <w:r w:rsidR="00376AF2">
              <w:rPr>
                <w:noProof/>
                <w:webHidden/>
              </w:rPr>
              <w:fldChar w:fldCharType="separate"/>
            </w:r>
            <w:r w:rsidR="00376AF2">
              <w:rPr>
                <w:noProof/>
                <w:webHidden/>
              </w:rPr>
              <w:t>12</w:t>
            </w:r>
            <w:r w:rsidR="00376AF2">
              <w:rPr>
                <w:noProof/>
                <w:webHidden/>
              </w:rPr>
              <w:fldChar w:fldCharType="end"/>
            </w:r>
          </w:hyperlink>
        </w:p>
        <w:p w14:paraId="5D7F9B21" w14:textId="4F717611" w:rsidR="00376AF2" w:rsidRDefault="00492C1D">
          <w:pPr>
            <w:pStyle w:val="TOC2"/>
            <w:rPr>
              <w:rFonts w:asciiTheme="minorHAnsi" w:eastAsiaTheme="minorEastAsia" w:hAnsiTheme="minorHAnsi" w:cstheme="minorBidi"/>
              <w:b w:val="0"/>
              <w:noProof/>
              <w:sz w:val="22"/>
              <w:lang w:eastAsia="en-AU"/>
            </w:rPr>
          </w:pPr>
          <w:hyperlink w:anchor="_Toc111138570" w:history="1">
            <w:r w:rsidR="00376AF2" w:rsidRPr="00DC633C">
              <w:rPr>
                <w:rStyle w:val="Hyperlink"/>
                <w:noProof/>
              </w:rPr>
              <w:t>Nonclinical</w:t>
            </w:r>
            <w:r w:rsidR="00376AF2">
              <w:rPr>
                <w:noProof/>
                <w:webHidden/>
              </w:rPr>
              <w:tab/>
            </w:r>
            <w:r w:rsidR="00376AF2">
              <w:rPr>
                <w:noProof/>
                <w:webHidden/>
              </w:rPr>
              <w:fldChar w:fldCharType="begin"/>
            </w:r>
            <w:r w:rsidR="00376AF2">
              <w:rPr>
                <w:noProof/>
                <w:webHidden/>
              </w:rPr>
              <w:instrText xml:space="preserve"> PAGEREF _Toc111138570 \h </w:instrText>
            </w:r>
            <w:r w:rsidR="00376AF2">
              <w:rPr>
                <w:noProof/>
                <w:webHidden/>
              </w:rPr>
            </w:r>
            <w:r w:rsidR="00376AF2">
              <w:rPr>
                <w:noProof/>
                <w:webHidden/>
              </w:rPr>
              <w:fldChar w:fldCharType="separate"/>
            </w:r>
            <w:r w:rsidR="00376AF2">
              <w:rPr>
                <w:noProof/>
                <w:webHidden/>
              </w:rPr>
              <w:t>13</w:t>
            </w:r>
            <w:r w:rsidR="00376AF2">
              <w:rPr>
                <w:noProof/>
                <w:webHidden/>
              </w:rPr>
              <w:fldChar w:fldCharType="end"/>
            </w:r>
          </w:hyperlink>
        </w:p>
        <w:p w14:paraId="036F3C19" w14:textId="02B50586" w:rsidR="00376AF2" w:rsidRDefault="00492C1D">
          <w:pPr>
            <w:pStyle w:val="TOC2"/>
            <w:rPr>
              <w:rFonts w:asciiTheme="minorHAnsi" w:eastAsiaTheme="minorEastAsia" w:hAnsiTheme="minorHAnsi" w:cstheme="minorBidi"/>
              <w:b w:val="0"/>
              <w:noProof/>
              <w:sz w:val="22"/>
              <w:lang w:eastAsia="en-AU"/>
            </w:rPr>
          </w:pPr>
          <w:hyperlink w:anchor="_Toc111138571" w:history="1">
            <w:r w:rsidR="00376AF2" w:rsidRPr="00DC633C">
              <w:rPr>
                <w:rStyle w:val="Hyperlink"/>
                <w:noProof/>
              </w:rPr>
              <w:t>Clinical</w:t>
            </w:r>
            <w:r w:rsidR="00376AF2">
              <w:rPr>
                <w:noProof/>
                <w:webHidden/>
              </w:rPr>
              <w:tab/>
            </w:r>
            <w:r w:rsidR="00376AF2">
              <w:rPr>
                <w:noProof/>
                <w:webHidden/>
              </w:rPr>
              <w:fldChar w:fldCharType="begin"/>
            </w:r>
            <w:r w:rsidR="00376AF2">
              <w:rPr>
                <w:noProof/>
                <w:webHidden/>
              </w:rPr>
              <w:instrText xml:space="preserve"> PAGEREF _Toc111138571 \h </w:instrText>
            </w:r>
            <w:r w:rsidR="00376AF2">
              <w:rPr>
                <w:noProof/>
                <w:webHidden/>
              </w:rPr>
            </w:r>
            <w:r w:rsidR="00376AF2">
              <w:rPr>
                <w:noProof/>
                <w:webHidden/>
              </w:rPr>
              <w:fldChar w:fldCharType="separate"/>
            </w:r>
            <w:r w:rsidR="00376AF2">
              <w:rPr>
                <w:noProof/>
                <w:webHidden/>
              </w:rPr>
              <w:t>14</w:t>
            </w:r>
            <w:r w:rsidR="00376AF2">
              <w:rPr>
                <w:noProof/>
                <w:webHidden/>
              </w:rPr>
              <w:fldChar w:fldCharType="end"/>
            </w:r>
          </w:hyperlink>
        </w:p>
        <w:p w14:paraId="5D614F44" w14:textId="4B8CB118" w:rsidR="00376AF2" w:rsidRDefault="00492C1D">
          <w:pPr>
            <w:pStyle w:val="TOC2"/>
            <w:rPr>
              <w:rFonts w:asciiTheme="minorHAnsi" w:eastAsiaTheme="minorEastAsia" w:hAnsiTheme="minorHAnsi" w:cstheme="minorBidi"/>
              <w:b w:val="0"/>
              <w:noProof/>
              <w:sz w:val="22"/>
              <w:lang w:eastAsia="en-AU"/>
            </w:rPr>
          </w:pPr>
          <w:hyperlink w:anchor="_Toc111138572" w:history="1">
            <w:r w:rsidR="00376AF2" w:rsidRPr="00DC633C">
              <w:rPr>
                <w:rStyle w:val="Hyperlink"/>
                <w:noProof/>
                <w:lang w:eastAsia="en-AU"/>
              </w:rPr>
              <w:t>Risk management plan</w:t>
            </w:r>
            <w:r w:rsidR="00376AF2">
              <w:rPr>
                <w:noProof/>
                <w:webHidden/>
              </w:rPr>
              <w:tab/>
            </w:r>
            <w:r w:rsidR="00376AF2">
              <w:rPr>
                <w:noProof/>
                <w:webHidden/>
              </w:rPr>
              <w:fldChar w:fldCharType="begin"/>
            </w:r>
            <w:r w:rsidR="00376AF2">
              <w:rPr>
                <w:noProof/>
                <w:webHidden/>
              </w:rPr>
              <w:instrText xml:space="preserve"> PAGEREF _Toc111138572 \h </w:instrText>
            </w:r>
            <w:r w:rsidR="00376AF2">
              <w:rPr>
                <w:noProof/>
                <w:webHidden/>
              </w:rPr>
            </w:r>
            <w:r w:rsidR="00376AF2">
              <w:rPr>
                <w:noProof/>
                <w:webHidden/>
              </w:rPr>
              <w:fldChar w:fldCharType="separate"/>
            </w:r>
            <w:r w:rsidR="00376AF2">
              <w:rPr>
                <w:noProof/>
                <w:webHidden/>
              </w:rPr>
              <w:t>29</w:t>
            </w:r>
            <w:r w:rsidR="00376AF2">
              <w:rPr>
                <w:noProof/>
                <w:webHidden/>
              </w:rPr>
              <w:fldChar w:fldCharType="end"/>
            </w:r>
          </w:hyperlink>
        </w:p>
        <w:p w14:paraId="792AC8C7" w14:textId="5DF6BA50" w:rsidR="00376AF2" w:rsidRDefault="00492C1D">
          <w:pPr>
            <w:pStyle w:val="TOC2"/>
            <w:rPr>
              <w:rFonts w:asciiTheme="minorHAnsi" w:eastAsiaTheme="minorEastAsia" w:hAnsiTheme="minorHAnsi" w:cstheme="minorBidi"/>
              <w:b w:val="0"/>
              <w:noProof/>
              <w:sz w:val="22"/>
              <w:lang w:eastAsia="en-AU"/>
            </w:rPr>
          </w:pPr>
          <w:hyperlink w:anchor="_Toc111138573" w:history="1">
            <w:r w:rsidR="00376AF2" w:rsidRPr="00DC633C">
              <w:rPr>
                <w:rStyle w:val="Hyperlink"/>
                <w:noProof/>
              </w:rPr>
              <w:t>Risk-benefit analysis</w:t>
            </w:r>
            <w:r w:rsidR="00376AF2">
              <w:rPr>
                <w:noProof/>
                <w:webHidden/>
              </w:rPr>
              <w:tab/>
            </w:r>
            <w:r w:rsidR="00376AF2">
              <w:rPr>
                <w:noProof/>
                <w:webHidden/>
              </w:rPr>
              <w:fldChar w:fldCharType="begin"/>
            </w:r>
            <w:r w:rsidR="00376AF2">
              <w:rPr>
                <w:noProof/>
                <w:webHidden/>
              </w:rPr>
              <w:instrText xml:space="preserve"> PAGEREF _Toc111138573 \h </w:instrText>
            </w:r>
            <w:r w:rsidR="00376AF2">
              <w:rPr>
                <w:noProof/>
                <w:webHidden/>
              </w:rPr>
            </w:r>
            <w:r w:rsidR="00376AF2">
              <w:rPr>
                <w:noProof/>
                <w:webHidden/>
              </w:rPr>
              <w:fldChar w:fldCharType="separate"/>
            </w:r>
            <w:r w:rsidR="00376AF2">
              <w:rPr>
                <w:noProof/>
                <w:webHidden/>
              </w:rPr>
              <w:t>30</w:t>
            </w:r>
            <w:r w:rsidR="00376AF2">
              <w:rPr>
                <w:noProof/>
                <w:webHidden/>
              </w:rPr>
              <w:fldChar w:fldCharType="end"/>
            </w:r>
          </w:hyperlink>
        </w:p>
        <w:p w14:paraId="79657BC4" w14:textId="2FC17AD9" w:rsidR="00376AF2" w:rsidRDefault="00492C1D">
          <w:pPr>
            <w:pStyle w:val="TOC2"/>
            <w:rPr>
              <w:rFonts w:asciiTheme="minorHAnsi" w:eastAsiaTheme="minorEastAsia" w:hAnsiTheme="minorHAnsi" w:cstheme="minorBidi"/>
              <w:b w:val="0"/>
              <w:noProof/>
              <w:sz w:val="22"/>
              <w:lang w:eastAsia="en-AU"/>
            </w:rPr>
          </w:pPr>
          <w:hyperlink w:anchor="_Toc111138574" w:history="1">
            <w:r w:rsidR="00376AF2" w:rsidRPr="00DC633C">
              <w:rPr>
                <w:rStyle w:val="Hyperlink"/>
                <w:noProof/>
              </w:rPr>
              <w:t>Outcome</w:t>
            </w:r>
            <w:r w:rsidR="00376AF2">
              <w:rPr>
                <w:noProof/>
                <w:webHidden/>
              </w:rPr>
              <w:tab/>
            </w:r>
            <w:r w:rsidR="00376AF2">
              <w:rPr>
                <w:noProof/>
                <w:webHidden/>
              </w:rPr>
              <w:fldChar w:fldCharType="begin"/>
            </w:r>
            <w:r w:rsidR="00376AF2">
              <w:rPr>
                <w:noProof/>
                <w:webHidden/>
              </w:rPr>
              <w:instrText xml:space="preserve"> PAGEREF _Toc111138574 \h </w:instrText>
            </w:r>
            <w:r w:rsidR="00376AF2">
              <w:rPr>
                <w:noProof/>
                <w:webHidden/>
              </w:rPr>
            </w:r>
            <w:r w:rsidR="00376AF2">
              <w:rPr>
                <w:noProof/>
                <w:webHidden/>
              </w:rPr>
              <w:fldChar w:fldCharType="separate"/>
            </w:r>
            <w:r w:rsidR="00376AF2">
              <w:rPr>
                <w:noProof/>
                <w:webHidden/>
              </w:rPr>
              <w:t>35</w:t>
            </w:r>
            <w:r w:rsidR="00376AF2">
              <w:rPr>
                <w:noProof/>
                <w:webHidden/>
              </w:rPr>
              <w:fldChar w:fldCharType="end"/>
            </w:r>
          </w:hyperlink>
        </w:p>
        <w:p w14:paraId="454A099C" w14:textId="1A470AAB" w:rsidR="00376AF2" w:rsidRDefault="00492C1D">
          <w:pPr>
            <w:pStyle w:val="TOC1"/>
            <w:rPr>
              <w:rFonts w:asciiTheme="minorHAnsi" w:eastAsiaTheme="minorEastAsia" w:hAnsiTheme="minorHAnsi" w:cstheme="minorBidi"/>
              <w:b w:val="0"/>
              <w:noProof/>
              <w:sz w:val="22"/>
              <w:lang w:eastAsia="en-AU"/>
            </w:rPr>
          </w:pPr>
          <w:hyperlink w:anchor="_Toc111138575" w:history="1">
            <w:r w:rsidR="00376AF2" w:rsidRPr="00DC633C">
              <w:rPr>
                <w:rStyle w:val="Hyperlink"/>
                <w:noProof/>
              </w:rPr>
              <w:t>Attachment 1. Product Information</w:t>
            </w:r>
            <w:r w:rsidR="00376AF2">
              <w:rPr>
                <w:noProof/>
                <w:webHidden/>
              </w:rPr>
              <w:tab/>
            </w:r>
            <w:r w:rsidR="00376AF2">
              <w:rPr>
                <w:noProof/>
                <w:webHidden/>
              </w:rPr>
              <w:fldChar w:fldCharType="begin"/>
            </w:r>
            <w:r w:rsidR="00376AF2">
              <w:rPr>
                <w:noProof/>
                <w:webHidden/>
              </w:rPr>
              <w:instrText xml:space="preserve"> PAGEREF _Toc111138575 \h </w:instrText>
            </w:r>
            <w:r w:rsidR="00376AF2">
              <w:rPr>
                <w:noProof/>
                <w:webHidden/>
              </w:rPr>
            </w:r>
            <w:r w:rsidR="00376AF2">
              <w:rPr>
                <w:noProof/>
                <w:webHidden/>
              </w:rPr>
              <w:fldChar w:fldCharType="separate"/>
            </w:r>
            <w:r w:rsidR="00376AF2">
              <w:rPr>
                <w:noProof/>
                <w:webHidden/>
              </w:rPr>
              <w:t>36</w:t>
            </w:r>
            <w:r w:rsidR="00376AF2">
              <w:rPr>
                <w:noProof/>
                <w:webHidden/>
              </w:rPr>
              <w:fldChar w:fldCharType="end"/>
            </w:r>
          </w:hyperlink>
        </w:p>
        <w:p w14:paraId="1065D901" w14:textId="445F85CE" w:rsidR="003A7F6C" w:rsidRPr="00D92C04" w:rsidRDefault="00C525A2" w:rsidP="00B811C6">
          <w:pPr>
            <w:pStyle w:val="TOC2"/>
          </w:pPr>
          <w:r w:rsidRPr="00D92C04">
            <w:fldChar w:fldCharType="end"/>
          </w:r>
        </w:p>
      </w:sdtContent>
    </w:sdt>
    <w:bookmarkStart w:id="2" w:name="_Toc314842482" w:displacedByCustomXml="prev"/>
    <w:p w14:paraId="2E42A39A" w14:textId="77777777" w:rsidR="00FD119B" w:rsidRPr="00D92C04" w:rsidRDefault="00FD119B">
      <w:pPr>
        <w:spacing w:before="0" w:after="200" w:line="0" w:lineRule="auto"/>
      </w:pPr>
      <w:r w:rsidRPr="00D92C04">
        <w:br w:type="page"/>
      </w:r>
    </w:p>
    <w:p w14:paraId="4D8B132D" w14:textId="77777777" w:rsidR="00FD119B" w:rsidRPr="00D92C04" w:rsidRDefault="00324E45" w:rsidP="004F0C4A">
      <w:pPr>
        <w:pStyle w:val="Heading2"/>
      </w:pPr>
      <w:bookmarkStart w:id="3" w:name="_Toc351716269"/>
      <w:bookmarkStart w:id="4" w:name="_Toc351718881"/>
      <w:bookmarkStart w:id="5" w:name="_Toc355338616"/>
      <w:bookmarkStart w:id="6" w:name="_Toc356306144"/>
      <w:bookmarkStart w:id="7" w:name="_Toc111138561"/>
      <w:r w:rsidRPr="00D92C04">
        <w:lastRenderedPageBreak/>
        <w:t>List of</w:t>
      </w:r>
      <w:r w:rsidR="00FD119B" w:rsidRPr="00D92C04">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D92C04" w14:paraId="2ABA41D3" w14:textId="77777777" w:rsidTr="00205706">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6909F63" w14:textId="77777777" w:rsidR="00FD119B" w:rsidRPr="00D92C04" w:rsidRDefault="00FD119B" w:rsidP="008D6F1C">
            <w:r w:rsidRPr="00D92C04">
              <w:t>Abbreviation</w:t>
            </w:r>
          </w:p>
        </w:tc>
        <w:tc>
          <w:tcPr>
            <w:tcW w:w="6604" w:type="dxa"/>
            <w:tcBorders>
              <w:top w:val="single" w:sz="4" w:space="0" w:color="auto"/>
              <w:left w:val="single" w:sz="4" w:space="0" w:color="auto"/>
              <w:bottom w:val="single" w:sz="4" w:space="0" w:color="auto"/>
              <w:right w:val="single" w:sz="4" w:space="0" w:color="auto"/>
            </w:tcBorders>
          </w:tcPr>
          <w:p w14:paraId="453F5C07" w14:textId="77777777" w:rsidR="00FD119B" w:rsidRPr="00D92C04" w:rsidRDefault="00FD119B" w:rsidP="008D6F1C">
            <w:r w:rsidRPr="00D92C04">
              <w:t>Meaning</w:t>
            </w:r>
          </w:p>
        </w:tc>
      </w:tr>
      <w:tr w:rsidR="008D6F1C" w:rsidRPr="00D92C04" w14:paraId="6990579E" w14:textId="77777777" w:rsidTr="008D6F1C">
        <w:tc>
          <w:tcPr>
            <w:tcW w:w="1890" w:type="dxa"/>
          </w:tcPr>
          <w:p w14:paraId="57D839F2" w14:textId="77777777" w:rsidR="008D6F1C" w:rsidRPr="00D92C04" w:rsidRDefault="008D6F1C" w:rsidP="008D6F1C">
            <w:r w:rsidRPr="00D92C04">
              <w:t>ACM</w:t>
            </w:r>
          </w:p>
        </w:tc>
        <w:tc>
          <w:tcPr>
            <w:tcW w:w="6604" w:type="dxa"/>
          </w:tcPr>
          <w:p w14:paraId="1D33DC1F" w14:textId="77777777" w:rsidR="008D6F1C" w:rsidRPr="00D92C04" w:rsidRDefault="008D6F1C" w:rsidP="008D6F1C">
            <w:r w:rsidRPr="00D92C04">
              <w:t>Advisory Committee on Medicines</w:t>
            </w:r>
          </w:p>
        </w:tc>
      </w:tr>
      <w:tr w:rsidR="008D6F1C" w:rsidRPr="00D92C04" w14:paraId="5E982E63" w14:textId="77777777" w:rsidTr="008D6F1C">
        <w:tc>
          <w:tcPr>
            <w:tcW w:w="1890" w:type="dxa"/>
          </w:tcPr>
          <w:p w14:paraId="617E37BD" w14:textId="77777777" w:rsidR="008D6F1C" w:rsidRPr="00D92C04" w:rsidRDefault="008D6F1C" w:rsidP="008D6F1C">
            <w:r w:rsidRPr="00D92C04">
              <w:t>AE</w:t>
            </w:r>
          </w:p>
        </w:tc>
        <w:tc>
          <w:tcPr>
            <w:tcW w:w="6604" w:type="dxa"/>
          </w:tcPr>
          <w:p w14:paraId="422D4AB7" w14:textId="77777777" w:rsidR="008D6F1C" w:rsidRPr="00D92C04" w:rsidRDefault="008D6F1C" w:rsidP="008D6F1C">
            <w:r w:rsidRPr="00D92C04">
              <w:t>Adverse event</w:t>
            </w:r>
          </w:p>
        </w:tc>
      </w:tr>
      <w:tr w:rsidR="008D6F1C" w:rsidRPr="00D92C04" w14:paraId="2D6175A1" w14:textId="77777777" w:rsidTr="008D6F1C">
        <w:tc>
          <w:tcPr>
            <w:tcW w:w="1890" w:type="dxa"/>
          </w:tcPr>
          <w:p w14:paraId="0F3878FD" w14:textId="77777777" w:rsidR="008D6F1C" w:rsidRPr="00D92C04" w:rsidRDefault="008D6F1C" w:rsidP="008D6F1C">
            <w:r w:rsidRPr="00D92C04">
              <w:t>ALT</w:t>
            </w:r>
          </w:p>
        </w:tc>
        <w:tc>
          <w:tcPr>
            <w:tcW w:w="6604" w:type="dxa"/>
          </w:tcPr>
          <w:p w14:paraId="04864068" w14:textId="77777777" w:rsidR="008D6F1C" w:rsidRPr="00D92C04" w:rsidRDefault="008D6F1C" w:rsidP="008D6F1C">
            <w:r w:rsidRPr="00D92C04">
              <w:t>Alanine aminotransferase</w:t>
            </w:r>
          </w:p>
        </w:tc>
      </w:tr>
      <w:tr w:rsidR="008D6F1C" w:rsidRPr="00D92C04" w14:paraId="459C64C4" w14:textId="77777777" w:rsidTr="008D6F1C">
        <w:tc>
          <w:tcPr>
            <w:tcW w:w="1890" w:type="dxa"/>
          </w:tcPr>
          <w:p w14:paraId="0EEA5C89" w14:textId="77777777" w:rsidR="008D6F1C" w:rsidRPr="00D92C04" w:rsidRDefault="008D6F1C" w:rsidP="008D6F1C">
            <w:r w:rsidRPr="00D92C04">
              <w:t>ARTG</w:t>
            </w:r>
          </w:p>
        </w:tc>
        <w:tc>
          <w:tcPr>
            <w:tcW w:w="6604" w:type="dxa"/>
          </w:tcPr>
          <w:p w14:paraId="4FECAC57" w14:textId="77777777" w:rsidR="008D6F1C" w:rsidRPr="00D92C04" w:rsidRDefault="008D6F1C" w:rsidP="008D6F1C">
            <w:r w:rsidRPr="00D92C04">
              <w:t>Australian Register of Therapeutic Goods</w:t>
            </w:r>
          </w:p>
        </w:tc>
      </w:tr>
      <w:tr w:rsidR="008D6F1C" w:rsidRPr="00D92C04" w14:paraId="49EC6739" w14:textId="77777777" w:rsidTr="008D6F1C">
        <w:tc>
          <w:tcPr>
            <w:tcW w:w="1890" w:type="dxa"/>
          </w:tcPr>
          <w:p w14:paraId="1BD280E8" w14:textId="77777777" w:rsidR="008D6F1C" w:rsidRPr="00D92C04" w:rsidRDefault="008D6F1C" w:rsidP="008D6F1C">
            <w:r w:rsidRPr="00D92C04">
              <w:t>ASA</w:t>
            </w:r>
          </w:p>
        </w:tc>
        <w:tc>
          <w:tcPr>
            <w:tcW w:w="6604" w:type="dxa"/>
          </w:tcPr>
          <w:p w14:paraId="75A8059E" w14:textId="77777777" w:rsidR="008D6F1C" w:rsidRPr="00D92C04" w:rsidRDefault="008D6F1C" w:rsidP="008D6F1C">
            <w:r w:rsidRPr="00D92C04">
              <w:t>Australian specific annex</w:t>
            </w:r>
          </w:p>
        </w:tc>
      </w:tr>
      <w:tr w:rsidR="008D6F1C" w:rsidRPr="00D92C04" w14:paraId="04E6AF3D" w14:textId="77777777" w:rsidTr="008D6F1C">
        <w:tc>
          <w:tcPr>
            <w:tcW w:w="1890" w:type="dxa"/>
          </w:tcPr>
          <w:p w14:paraId="0D40D40C" w14:textId="77777777" w:rsidR="008D6F1C" w:rsidRPr="00D92C04" w:rsidRDefault="008D6F1C" w:rsidP="008D6F1C">
            <w:r w:rsidRPr="00D92C04">
              <w:t>AUC</w:t>
            </w:r>
          </w:p>
        </w:tc>
        <w:tc>
          <w:tcPr>
            <w:tcW w:w="6604" w:type="dxa"/>
          </w:tcPr>
          <w:p w14:paraId="0B1377C6" w14:textId="77777777" w:rsidR="008D6F1C" w:rsidRPr="00D92C04" w:rsidRDefault="008D6F1C" w:rsidP="008D6F1C">
            <w:bookmarkStart w:id="8" w:name="_Hlk104992439"/>
            <w:r w:rsidRPr="00D92C04">
              <w:t>Area under the concentration time curve</w:t>
            </w:r>
            <w:bookmarkEnd w:id="8"/>
          </w:p>
        </w:tc>
      </w:tr>
      <w:tr w:rsidR="008D6F1C" w:rsidRPr="00D92C04" w14:paraId="4FE69800" w14:textId="77777777" w:rsidTr="008D6F1C">
        <w:tc>
          <w:tcPr>
            <w:tcW w:w="1890" w:type="dxa"/>
          </w:tcPr>
          <w:p w14:paraId="20DD7581" w14:textId="0889CE10" w:rsidR="008D6F1C" w:rsidRPr="00D92C04" w:rsidRDefault="008D6F1C" w:rsidP="008D6F1C">
            <w:r w:rsidRPr="00D92C04">
              <w:t>AUC</w:t>
            </w:r>
            <w:r w:rsidRPr="00D92C04">
              <w:rPr>
                <w:vertAlign w:val="subscript"/>
              </w:rPr>
              <w:t>0-8h</w:t>
            </w:r>
          </w:p>
        </w:tc>
        <w:tc>
          <w:tcPr>
            <w:tcW w:w="6604" w:type="dxa"/>
          </w:tcPr>
          <w:p w14:paraId="6AF18E22" w14:textId="29B2E0E7" w:rsidR="008D6F1C" w:rsidRPr="00D92C04" w:rsidRDefault="008D6F1C" w:rsidP="008D6F1C">
            <w:bookmarkStart w:id="9" w:name="_Hlk104992720"/>
            <w:r w:rsidRPr="00D92C04">
              <w:t>Area under the concentration time curve from time zero to 8</w:t>
            </w:r>
            <w:r w:rsidR="00B82D09">
              <w:t> </w:t>
            </w:r>
            <w:r w:rsidRPr="00D92C04">
              <w:t>hour</w:t>
            </w:r>
            <w:bookmarkEnd w:id="9"/>
            <w:r w:rsidR="00B82D09">
              <w:t>s</w:t>
            </w:r>
          </w:p>
        </w:tc>
      </w:tr>
      <w:tr w:rsidR="008D6F1C" w:rsidRPr="00D92C04" w14:paraId="20EA1B20" w14:textId="77777777" w:rsidTr="008D6F1C">
        <w:tc>
          <w:tcPr>
            <w:tcW w:w="1890" w:type="dxa"/>
          </w:tcPr>
          <w:p w14:paraId="5C621655" w14:textId="77777777" w:rsidR="008D6F1C" w:rsidRPr="00D92C04" w:rsidRDefault="008D6F1C" w:rsidP="008D6F1C">
            <w:r w:rsidRPr="00D92C04">
              <w:t>AUC</w:t>
            </w:r>
            <w:r w:rsidRPr="00D92C04">
              <w:rPr>
                <w:vertAlign w:val="subscript"/>
              </w:rPr>
              <w:t>0-inf</w:t>
            </w:r>
          </w:p>
        </w:tc>
        <w:tc>
          <w:tcPr>
            <w:tcW w:w="6604" w:type="dxa"/>
          </w:tcPr>
          <w:p w14:paraId="39FFAF05" w14:textId="77777777" w:rsidR="008D6F1C" w:rsidRPr="00D92C04" w:rsidRDefault="008D6F1C" w:rsidP="008D6F1C">
            <w:bookmarkStart w:id="10" w:name="_Hlk104993328"/>
            <w:r w:rsidRPr="00D92C04">
              <w:t>Area under the concentration time curve from time zero to infinity</w:t>
            </w:r>
            <w:bookmarkEnd w:id="10"/>
          </w:p>
        </w:tc>
      </w:tr>
      <w:tr w:rsidR="008D6F1C" w:rsidRPr="00D92C04" w14:paraId="185A0B70" w14:textId="77777777" w:rsidTr="008D6F1C">
        <w:tc>
          <w:tcPr>
            <w:tcW w:w="1890" w:type="dxa"/>
          </w:tcPr>
          <w:p w14:paraId="501F58F7" w14:textId="77777777" w:rsidR="008D6F1C" w:rsidRPr="00D92C04" w:rsidRDefault="008D6F1C" w:rsidP="008D6F1C">
            <w:proofErr w:type="spellStart"/>
            <w:r w:rsidRPr="00D92C04">
              <w:t>AUC</w:t>
            </w:r>
            <w:r w:rsidRPr="00D92C04">
              <w:rPr>
                <w:vertAlign w:val="subscript"/>
              </w:rPr>
              <w:t>ss</w:t>
            </w:r>
            <w:proofErr w:type="spellEnd"/>
          </w:p>
        </w:tc>
        <w:tc>
          <w:tcPr>
            <w:tcW w:w="6604" w:type="dxa"/>
          </w:tcPr>
          <w:p w14:paraId="5DA4DA5D" w14:textId="77777777" w:rsidR="008D6F1C" w:rsidRPr="00D92C04" w:rsidRDefault="008D6F1C" w:rsidP="008D6F1C">
            <w:r w:rsidRPr="00D92C04">
              <w:t>Area under the concentration time curve at steady state</w:t>
            </w:r>
          </w:p>
        </w:tc>
      </w:tr>
      <w:tr w:rsidR="008D6F1C" w:rsidRPr="00D92C04" w14:paraId="394A4082" w14:textId="77777777" w:rsidTr="008D6F1C">
        <w:tc>
          <w:tcPr>
            <w:tcW w:w="1890" w:type="dxa"/>
          </w:tcPr>
          <w:p w14:paraId="51757F82" w14:textId="77777777" w:rsidR="008D6F1C" w:rsidRPr="00D92C04" w:rsidRDefault="008D6F1C" w:rsidP="008D6F1C">
            <w:r w:rsidRPr="00D92C04">
              <w:t>BCS</w:t>
            </w:r>
          </w:p>
        </w:tc>
        <w:tc>
          <w:tcPr>
            <w:tcW w:w="6604" w:type="dxa"/>
          </w:tcPr>
          <w:p w14:paraId="23A9846E" w14:textId="77777777" w:rsidR="008D6F1C" w:rsidRPr="00D92C04" w:rsidRDefault="008D6F1C" w:rsidP="008D6F1C">
            <w:r w:rsidRPr="00D92C04">
              <w:t>Biopharmaceutics Classification System</w:t>
            </w:r>
          </w:p>
        </w:tc>
      </w:tr>
      <w:tr w:rsidR="008D6F1C" w:rsidRPr="00D92C04" w14:paraId="5548FB89" w14:textId="77777777" w:rsidTr="008D6F1C">
        <w:tc>
          <w:tcPr>
            <w:tcW w:w="1890" w:type="dxa"/>
          </w:tcPr>
          <w:p w14:paraId="70999F2E" w14:textId="77777777" w:rsidR="008D6F1C" w:rsidRPr="00D92C04" w:rsidRDefault="008D6F1C" w:rsidP="008D6F1C">
            <w:r w:rsidRPr="00D92C04">
              <w:t>BGB-3111</w:t>
            </w:r>
          </w:p>
        </w:tc>
        <w:tc>
          <w:tcPr>
            <w:tcW w:w="6604" w:type="dxa"/>
          </w:tcPr>
          <w:p w14:paraId="507C8D63" w14:textId="77777777" w:rsidR="008D6F1C" w:rsidRPr="00D92C04" w:rsidRDefault="008D6F1C" w:rsidP="008D6F1C">
            <w:r w:rsidRPr="00D92C04">
              <w:t>Sponsor’s drug development code</w:t>
            </w:r>
          </w:p>
        </w:tc>
      </w:tr>
      <w:tr w:rsidR="008D6F1C" w:rsidRPr="00D92C04" w14:paraId="38CB0A64" w14:textId="77777777" w:rsidTr="008D6F1C">
        <w:tc>
          <w:tcPr>
            <w:tcW w:w="1890" w:type="dxa"/>
          </w:tcPr>
          <w:p w14:paraId="6BE6982D" w14:textId="77777777" w:rsidR="008D6F1C" w:rsidRPr="00D92C04" w:rsidRDefault="008D6F1C" w:rsidP="008D6F1C">
            <w:r w:rsidRPr="00D92C04">
              <w:t>BTK</w:t>
            </w:r>
          </w:p>
        </w:tc>
        <w:tc>
          <w:tcPr>
            <w:tcW w:w="6604" w:type="dxa"/>
          </w:tcPr>
          <w:p w14:paraId="0868D549" w14:textId="77777777" w:rsidR="008D6F1C" w:rsidRPr="00D92C04" w:rsidRDefault="008D6F1C" w:rsidP="008D6F1C">
            <w:r w:rsidRPr="00D92C04">
              <w:t>Bruton’s tyrosine kinase</w:t>
            </w:r>
          </w:p>
        </w:tc>
      </w:tr>
      <w:tr w:rsidR="008D6F1C" w:rsidRPr="00D92C04" w14:paraId="0DAF1B2F" w14:textId="77777777" w:rsidTr="008D6F1C">
        <w:tc>
          <w:tcPr>
            <w:tcW w:w="1890" w:type="dxa"/>
          </w:tcPr>
          <w:p w14:paraId="605A72FF" w14:textId="77777777" w:rsidR="008D6F1C" w:rsidRPr="00D92C04" w:rsidRDefault="008D6F1C" w:rsidP="008D6F1C">
            <w:r w:rsidRPr="00D92C04">
              <w:t>CD20</w:t>
            </w:r>
          </w:p>
        </w:tc>
        <w:tc>
          <w:tcPr>
            <w:tcW w:w="6604" w:type="dxa"/>
          </w:tcPr>
          <w:p w14:paraId="08FA8438" w14:textId="77777777" w:rsidR="008D6F1C" w:rsidRPr="00D92C04" w:rsidRDefault="008D6F1C" w:rsidP="008D6F1C">
            <w:r w:rsidRPr="00D92C04">
              <w:t>Cluster of differentiation 20</w:t>
            </w:r>
          </w:p>
        </w:tc>
      </w:tr>
      <w:tr w:rsidR="008D6F1C" w:rsidRPr="00D92C04" w14:paraId="1606C046" w14:textId="77777777" w:rsidTr="008D6F1C">
        <w:tc>
          <w:tcPr>
            <w:tcW w:w="1890" w:type="dxa"/>
          </w:tcPr>
          <w:p w14:paraId="11B28E74" w14:textId="77777777" w:rsidR="008D6F1C" w:rsidRPr="00D92C04" w:rsidRDefault="008D6F1C" w:rsidP="008D6F1C">
            <w:r w:rsidRPr="00D92C04">
              <w:t>CHMP</w:t>
            </w:r>
          </w:p>
        </w:tc>
        <w:tc>
          <w:tcPr>
            <w:tcW w:w="6604" w:type="dxa"/>
          </w:tcPr>
          <w:p w14:paraId="0A0FAA59" w14:textId="77777777" w:rsidR="008D6F1C" w:rsidRPr="00D92C04" w:rsidRDefault="008D6F1C" w:rsidP="008D6F1C">
            <w:r w:rsidRPr="00D92C04">
              <w:t>Committee for Medicinal Products for Human Use (European Union)</w:t>
            </w:r>
          </w:p>
        </w:tc>
      </w:tr>
      <w:tr w:rsidR="008D6F1C" w:rsidRPr="00D92C04" w14:paraId="473DAF6B" w14:textId="77777777" w:rsidTr="008D6F1C">
        <w:tc>
          <w:tcPr>
            <w:tcW w:w="1890" w:type="dxa"/>
          </w:tcPr>
          <w:p w14:paraId="1C0AE9CA" w14:textId="77777777" w:rsidR="008D6F1C" w:rsidRPr="00D92C04" w:rsidRDefault="008D6F1C" w:rsidP="008D6F1C">
            <w:r w:rsidRPr="00D92C04">
              <w:t>CL/F</w:t>
            </w:r>
          </w:p>
        </w:tc>
        <w:tc>
          <w:tcPr>
            <w:tcW w:w="6604" w:type="dxa"/>
          </w:tcPr>
          <w:p w14:paraId="69B7B23D" w14:textId="77777777" w:rsidR="008D6F1C" w:rsidRPr="00D92C04" w:rsidRDefault="008D6F1C" w:rsidP="008D6F1C">
            <w:r w:rsidRPr="00D92C04">
              <w:t>Apparent clearance</w:t>
            </w:r>
          </w:p>
        </w:tc>
      </w:tr>
      <w:tr w:rsidR="008D6F1C" w:rsidRPr="00D92C04" w14:paraId="242487AD" w14:textId="77777777" w:rsidTr="008D6F1C">
        <w:tc>
          <w:tcPr>
            <w:tcW w:w="1890" w:type="dxa"/>
          </w:tcPr>
          <w:p w14:paraId="247F6CDF" w14:textId="77777777" w:rsidR="008D6F1C" w:rsidRPr="00D92C04" w:rsidRDefault="008D6F1C" w:rsidP="008D6F1C">
            <w:r w:rsidRPr="00D92C04">
              <w:t>C</w:t>
            </w:r>
            <w:r w:rsidRPr="00D92C04">
              <w:rPr>
                <w:vertAlign w:val="subscript"/>
              </w:rPr>
              <w:t>max</w:t>
            </w:r>
          </w:p>
        </w:tc>
        <w:tc>
          <w:tcPr>
            <w:tcW w:w="6604" w:type="dxa"/>
          </w:tcPr>
          <w:p w14:paraId="4780680D" w14:textId="6908FBEF" w:rsidR="008D6F1C" w:rsidRPr="00D92C04" w:rsidRDefault="008D6F1C">
            <w:bookmarkStart w:id="11" w:name="_Hlk104992627"/>
            <w:r w:rsidRPr="00D92C04">
              <w:t>Maximum observed concentration</w:t>
            </w:r>
            <w:bookmarkEnd w:id="11"/>
          </w:p>
        </w:tc>
      </w:tr>
      <w:tr w:rsidR="008D6F1C" w:rsidRPr="00D92C04" w14:paraId="1A5EBF8A" w14:textId="77777777" w:rsidTr="008D6F1C">
        <w:tc>
          <w:tcPr>
            <w:tcW w:w="1890" w:type="dxa"/>
          </w:tcPr>
          <w:p w14:paraId="2875C03B" w14:textId="77777777" w:rsidR="008D6F1C" w:rsidRPr="00D92C04" w:rsidRDefault="008D6F1C" w:rsidP="008D6F1C">
            <w:proofErr w:type="spellStart"/>
            <w:proofErr w:type="gramStart"/>
            <w:r w:rsidRPr="00D92C04">
              <w:t>C</w:t>
            </w:r>
            <w:r w:rsidRPr="00D92C04">
              <w:rPr>
                <w:vertAlign w:val="subscript"/>
              </w:rPr>
              <w:t>max,ss</w:t>
            </w:r>
            <w:proofErr w:type="spellEnd"/>
            <w:proofErr w:type="gramEnd"/>
          </w:p>
        </w:tc>
        <w:tc>
          <w:tcPr>
            <w:tcW w:w="6604" w:type="dxa"/>
          </w:tcPr>
          <w:p w14:paraId="485C5CBE" w14:textId="6DE54353" w:rsidR="008D6F1C" w:rsidRPr="00D92C04" w:rsidRDefault="008D6F1C" w:rsidP="008D6F1C">
            <w:r w:rsidRPr="00D92C04">
              <w:t>Maxim</w:t>
            </w:r>
            <w:r w:rsidR="00B82D09">
              <w:t>um</w:t>
            </w:r>
            <w:r w:rsidRPr="00D92C04">
              <w:t xml:space="preserve"> concentration at steady state</w:t>
            </w:r>
          </w:p>
        </w:tc>
      </w:tr>
      <w:tr w:rsidR="00D92C04" w:rsidRPr="00D92C04" w14:paraId="128BE4C3" w14:textId="77777777" w:rsidTr="008D6F1C">
        <w:tc>
          <w:tcPr>
            <w:tcW w:w="1890" w:type="dxa"/>
          </w:tcPr>
          <w:p w14:paraId="6266A694" w14:textId="43DA1701" w:rsidR="00D92C04" w:rsidRPr="00D92C04" w:rsidRDefault="00D92C04" w:rsidP="008D6F1C">
            <w:r w:rsidRPr="00D92C04">
              <w:t>CMI</w:t>
            </w:r>
          </w:p>
        </w:tc>
        <w:tc>
          <w:tcPr>
            <w:tcW w:w="6604" w:type="dxa"/>
          </w:tcPr>
          <w:p w14:paraId="17116CE9" w14:textId="4D4CDF59" w:rsidR="00D92C04" w:rsidRPr="00D92C04" w:rsidRDefault="00D92C04" w:rsidP="008D6F1C">
            <w:r w:rsidRPr="00D92C04">
              <w:t>Consumer Medicines Information</w:t>
            </w:r>
          </w:p>
        </w:tc>
      </w:tr>
      <w:tr w:rsidR="008D6F1C" w:rsidRPr="00D92C04" w14:paraId="28F96FBE" w14:textId="77777777" w:rsidTr="008D6F1C">
        <w:tc>
          <w:tcPr>
            <w:tcW w:w="1890" w:type="dxa"/>
          </w:tcPr>
          <w:p w14:paraId="3FE6D4CB" w14:textId="77777777" w:rsidR="008D6F1C" w:rsidRPr="00D92C04" w:rsidRDefault="008D6F1C" w:rsidP="008D6F1C">
            <w:r w:rsidRPr="00D92C04">
              <w:t>CNS</w:t>
            </w:r>
          </w:p>
        </w:tc>
        <w:tc>
          <w:tcPr>
            <w:tcW w:w="6604" w:type="dxa"/>
          </w:tcPr>
          <w:p w14:paraId="157E4A6A" w14:textId="77777777" w:rsidR="008D6F1C" w:rsidRPr="00D92C04" w:rsidRDefault="008D6F1C" w:rsidP="008D6F1C">
            <w:r w:rsidRPr="00D92C04">
              <w:t>Central nervous system</w:t>
            </w:r>
          </w:p>
        </w:tc>
      </w:tr>
      <w:tr w:rsidR="008D6F1C" w:rsidRPr="00D92C04" w14:paraId="52B2FD38" w14:textId="77777777" w:rsidTr="008D6F1C">
        <w:tc>
          <w:tcPr>
            <w:tcW w:w="1890" w:type="dxa"/>
          </w:tcPr>
          <w:p w14:paraId="04409E73" w14:textId="77777777" w:rsidR="008D6F1C" w:rsidRPr="00D92C04" w:rsidRDefault="008D6F1C" w:rsidP="008D6F1C">
            <w:r w:rsidRPr="00D92C04">
              <w:t>CPMP</w:t>
            </w:r>
          </w:p>
        </w:tc>
        <w:tc>
          <w:tcPr>
            <w:tcW w:w="6604" w:type="dxa"/>
          </w:tcPr>
          <w:p w14:paraId="3E0B4DC3" w14:textId="77777777" w:rsidR="008D6F1C" w:rsidRPr="00D92C04" w:rsidRDefault="008D6F1C" w:rsidP="008D6F1C">
            <w:r w:rsidRPr="00D92C04">
              <w:t>Committee for Proprietary Medicinal Products (European Union)</w:t>
            </w:r>
          </w:p>
        </w:tc>
      </w:tr>
      <w:tr w:rsidR="008D6F1C" w:rsidRPr="00D92C04" w14:paraId="20ADEEDE" w14:textId="77777777" w:rsidTr="008D6F1C">
        <w:tc>
          <w:tcPr>
            <w:tcW w:w="1890" w:type="dxa"/>
          </w:tcPr>
          <w:p w14:paraId="37A91CD8" w14:textId="77777777" w:rsidR="008D6F1C" w:rsidRPr="00D92C04" w:rsidRDefault="008D6F1C" w:rsidP="008D6F1C">
            <w:r w:rsidRPr="00D92C04">
              <w:t>CR</w:t>
            </w:r>
          </w:p>
        </w:tc>
        <w:tc>
          <w:tcPr>
            <w:tcW w:w="6604" w:type="dxa"/>
          </w:tcPr>
          <w:p w14:paraId="6DC45997" w14:textId="77777777" w:rsidR="008D6F1C" w:rsidRPr="00D92C04" w:rsidRDefault="008D6F1C" w:rsidP="008D6F1C">
            <w:bookmarkStart w:id="12" w:name="_Hlk104993463"/>
            <w:r w:rsidRPr="00D92C04">
              <w:t>Complete response</w:t>
            </w:r>
            <w:bookmarkEnd w:id="12"/>
          </w:p>
        </w:tc>
      </w:tr>
      <w:tr w:rsidR="008D6F1C" w:rsidRPr="00D92C04" w14:paraId="15D41852" w14:textId="77777777" w:rsidTr="008D6F1C">
        <w:tc>
          <w:tcPr>
            <w:tcW w:w="1890" w:type="dxa"/>
          </w:tcPr>
          <w:p w14:paraId="4BB17B9C" w14:textId="77777777" w:rsidR="008D6F1C" w:rsidRPr="00D92C04" w:rsidRDefault="008D6F1C" w:rsidP="008D6F1C">
            <w:r w:rsidRPr="00D92C04">
              <w:t>CXCR4</w:t>
            </w:r>
          </w:p>
        </w:tc>
        <w:tc>
          <w:tcPr>
            <w:tcW w:w="6604" w:type="dxa"/>
          </w:tcPr>
          <w:p w14:paraId="72DFFC04" w14:textId="60254D88" w:rsidR="008D6F1C" w:rsidRPr="00D92C04" w:rsidRDefault="008D6F1C" w:rsidP="008D6F1C">
            <w:r w:rsidRPr="00D92C04">
              <w:t xml:space="preserve">Chemokine receptor </w:t>
            </w:r>
            <w:r w:rsidR="00FC53F8">
              <w:t xml:space="preserve">type </w:t>
            </w:r>
            <w:r w:rsidRPr="00D92C04">
              <w:t>4</w:t>
            </w:r>
          </w:p>
        </w:tc>
      </w:tr>
      <w:tr w:rsidR="008D6F1C" w:rsidRPr="00D92C04" w14:paraId="0D6BDDAF" w14:textId="77777777" w:rsidTr="008D6F1C">
        <w:tc>
          <w:tcPr>
            <w:tcW w:w="1890" w:type="dxa"/>
          </w:tcPr>
          <w:p w14:paraId="04B5C6CD" w14:textId="77777777" w:rsidR="008D6F1C" w:rsidRPr="00D92C04" w:rsidRDefault="008D6F1C" w:rsidP="008D6F1C">
            <w:r w:rsidRPr="00D92C04">
              <w:t>CYP</w:t>
            </w:r>
          </w:p>
        </w:tc>
        <w:tc>
          <w:tcPr>
            <w:tcW w:w="6604" w:type="dxa"/>
          </w:tcPr>
          <w:p w14:paraId="4C98651D" w14:textId="77777777" w:rsidR="008D6F1C" w:rsidRPr="00D92C04" w:rsidRDefault="008D6F1C" w:rsidP="008D6F1C">
            <w:r w:rsidRPr="00D92C04">
              <w:t>Cytochrome P450</w:t>
            </w:r>
          </w:p>
        </w:tc>
      </w:tr>
      <w:tr w:rsidR="008D6F1C" w:rsidRPr="00D92C04" w14:paraId="5063DD24" w14:textId="77777777" w:rsidTr="008D6F1C">
        <w:tc>
          <w:tcPr>
            <w:tcW w:w="1890" w:type="dxa"/>
          </w:tcPr>
          <w:p w14:paraId="7E24355F" w14:textId="77777777" w:rsidR="008D6F1C" w:rsidRPr="00D92C04" w:rsidRDefault="008D6F1C" w:rsidP="008D6F1C">
            <w:r w:rsidRPr="00D92C04">
              <w:lastRenderedPageBreak/>
              <w:t>DLP</w:t>
            </w:r>
          </w:p>
        </w:tc>
        <w:tc>
          <w:tcPr>
            <w:tcW w:w="6604" w:type="dxa"/>
          </w:tcPr>
          <w:p w14:paraId="4E20838F" w14:textId="77777777" w:rsidR="008D6F1C" w:rsidRPr="00D92C04" w:rsidRDefault="008D6F1C" w:rsidP="008D6F1C">
            <w:r w:rsidRPr="00D92C04">
              <w:t>Data lock point</w:t>
            </w:r>
          </w:p>
        </w:tc>
      </w:tr>
      <w:tr w:rsidR="00D45571" w:rsidRPr="00D92C04" w14:paraId="73541BB5" w14:textId="77777777" w:rsidTr="008D6F1C">
        <w:tc>
          <w:tcPr>
            <w:tcW w:w="1890" w:type="dxa"/>
          </w:tcPr>
          <w:p w14:paraId="7025D9BB" w14:textId="49EC6875" w:rsidR="00D45571" w:rsidRPr="00D92C04" w:rsidRDefault="00D45571" w:rsidP="008D6F1C">
            <w:r w:rsidRPr="00D45571">
              <w:t>ERBB4</w:t>
            </w:r>
          </w:p>
        </w:tc>
        <w:tc>
          <w:tcPr>
            <w:tcW w:w="6604" w:type="dxa"/>
          </w:tcPr>
          <w:p w14:paraId="771ECAB9" w14:textId="1D6A25B8" w:rsidR="00D45571" w:rsidRPr="00D92C04" w:rsidRDefault="00D45571" w:rsidP="008D6F1C">
            <w:r>
              <w:t>E</w:t>
            </w:r>
            <w:r w:rsidRPr="00D45571">
              <w:t>rb-b2 receptor tyrosine kinase 4</w:t>
            </w:r>
          </w:p>
        </w:tc>
      </w:tr>
      <w:tr w:rsidR="008D6F1C" w:rsidRPr="00D92C04" w14:paraId="3E1D8116" w14:textId="77777777" w:rsidTr="008D6F1C">
        <w:tc>
          <w:tcPr>
            <w:tcW w:w="1890" w:type="dxa"/>
          </w:tcPr>
          <w:p w14:paraId="22277FE7" w14:textId="77777777" w:rsidR="008D6F1C" w:rsidRPr="00D92C04" w:rsidRDefault="008D6F1C" w:rsidP="008D6F1C">
            <w:r w:rsidRPr="00D92C04">
              <w:t>ECOG</w:t>
            </w:r>
          </w:p>
        </w:tc>
        <w:tc>
          <w:tcPr>
            <w:tcW w:w="6604" w:type="dxa"/>
          </w:tcPr>
          <w:p w14:paraId="606281E1" w14:textId="77777777" w:rsidR="008D6F1C" w:rsidRPr="00D92C04" w:rsidRDefault="008D6F1C" w:rsidP="008D6F1C">
            <w:r w:rsidRPr="00D92C04">
              <w:t>Eastern Cooperative Oncology Group</w:t>
            </w:r>
          </w:p>
        </w:tc>
      </w:tr>
      <w:tr w:rsidR="008D6F1C" w:rsidRPr="00D92C04" w14:paraId="4DC16693" w14:textId="77777777" w:rsidTr="008D6F1C">
        <w:tc>
          <w:tcPr>
            <w:tcW w:w="1890" w:type="dxa"/>
          </w:tcPr>
          <w:p w14:paraId="0CEDF57F" w14:textId="77777777" w:rsidR="008D6F1C" w:rsidRPr="00D92C04" w:rsidRDefault="008D6F1C" w:rsidP="008D6F1C">
            <w:r w:rsidRPr="00D92C04">
              <w:t>EGFR</w:t>
            </w:r>
          </w:p>
        </w:tc>
        <w:tc>
          <w:tcPr>
            <w:tcW w:w="6604" w:type="dxa"/>
          </w:tcPr>
          <w:p w14:paraId="1FEFCE13" w14:textId="77777777" w:rsidR="008D6F1C" w:rsidRPr="00D92C04" w:rsidRDefault="008D6F1C" w:rsidP="008D6F1C">
            <w:r w:rsidRPr="00D92C04">
              <w:t>Epidermal growth factor receptor</w:t>
            </w:r>
          </w:p>
        </w:tc>
      </w:tr>
      <w:tr w:rsidR="008D6F1C" w:rsidRPr="00D92C04" w14:paraId="4A747AD9" w14:textId="77777777" w:rsidTr="008D6F1C">
        <w:tc>
          <w:tcPr>
            <w:tcW w:w="1890" w:type="dxa"/>
          </w:tcPr>
          <w:p w14:paraId="0F88EDAC" w14:textId="77777777" w:rsidR="008D6F1C" w:rsidRPr="00D92C04" w:rsidRDefault="008D6F1C" w:rsidP="008D6F1C">
            <w:r w:rsidRPr="00D92C04">
              <w:t>EMA</w:t>
            </w:r>
          </w:p>
        </w:tc>
        <w:tc>
          <w:tcPr>
            <w:tcW w:w="6604" w:type="dxa"/>
          </w:tcPr>
          <w:p w14:paraId="131291EA" w14:textId="77777777" w:rsidR="008D6F1C" w:rsidRPr="00D92C04" w:rsidRDefault="008D6F1C" w:rsidP="008D6F1C">
            <w:r w:rsidRPr="00D92C04">
              <w:t>European Medicines Agency (European Union)</w:t>
            </w:r>
          </w:p>
        </w:tc>
      </w:tr>
      <w:tr w:rsidR="008D6F1C" w:rsidRPr="00D92C04" w14:paraId="38937C85" w14:textId="77777777" w:rsidTr="008D6F1C">
        <w:tc>
          <w:tcPr>
            <w:tcW w:w="1890" w:type="dxa"/>
          </w:tcPr>
          <w:p w14:paraId="7199C38D" w14:textId="77777777" w:rsidR="008D6F1C" w:rsidRPr="00D92C04" w:rsidRDefault="008D6F1C" w:rsidP="008D6F1C">
            <w:r w:rsidRPr="00D92C04">
              <w:t>EMEA</w:t>
            </w:r>
          </w:p>
        </w:tc>
        <w:tc>
          <w:tcPr>
            <w:tcW w:w="6604" w:type="dxa"/>
          </w:tcPr>
          <w:p w14:paraId="32EFE791" w14:textId="77777777" w:rsidR="008D6F1C" w:rsidRPr="00D92C04" w:rsidRDefault="008D6F1C" w:rsidP="008D6F1C">
            <w:r w:rsidRPr="00D92C04">
              <w:t>European Medicines Evaluation Agency (European Union)</w:t>
            </w:r>
          </w:p>
        </w:tc>
      </w:tr>
      <w:tr w:rsidR="008D6F1C" w:rsidRPr="00D92C04" w14:paraId="728D5111" w14:textId="77777777" w:rsidTr="008D6F1C">
        <w:tc>
          <w:tcPr>
            <w:tcW w:w="1890" w:type="dxa"/>
          </w:tcPr>
          <w:p w14:paraId="0D1CC1CD" w14:textId="77777777" w:rsidR="008D6F1C" w:rsidRPr="00D92C04" w:rsidRDefault="008D6F1C" w:rsidP="008D6F1C">
            <w:r w:rsidRPr="00D92C04">
              <w:t>EU</w:t>
            </w:r>
          </w:p>
        </w:tc>
        <w:tc>
          <w:tcPr>
            <w:tcW w:w="6604" w:type="dxa"/>
          </w:tcPr>
          <w:p w14:paraId="234393E4" w14:textId="77777777" w:rsidR="008D6F1C" w:rsidRPr="00D92C04" w:rsidRDefault="008D6F1C" w:rsidP="008D6F1C">
            <w:r w:rsidRPr="00D92C04">
              <w:t>European Union</w:t>
            </w:r>
          </w:p>
        </w:tc>
      </w:tr>
      <w:tr w:rsidR="008D6F1C" w:rsidRPr="00D92C04" w14:paraId="3E2E95D4" w14:textId="77777777" w:rsidTr="008D6F1C">
        <w:tc>
          <w:tcPr>
            <w:tcW w:w="1890" w:type="dxa"/>
          </w:tcPr>
          <w:p w14:paraId="326BDEB4" w14:textId="77777777" w:rsidR="008D6F1C" w:rsidRPr="00D92C04" w:rsidRDefault="008D6F1C" w:rsidP="008D6F1C">
            <w:r w:rsidRPr="00D92C04">
              <w:t>FDA</w:t>
            </w:r>
          </w:p>
        </w:tc>
        <w:tc>
          <w:tcPr>
            <w:tcW w:w="6604" w:type="dxa"/>
          </w:tcPr>
          <w:p w14:paraId="6F4B7E06" w14:textId="77777777" w:rsidR="008D6F1C" w:rsidRPr="00D92C04" w:rsidRDefault="008D6F1C" w:rsidP="008D6F1C">
            <w:r w:rsidRPr="00D92C04">
              <w:t>Food and Drug Administration (United States of America)</w:t>
            </w:r>
          </w:p>
        </w:tc>
      </w:tr>
      <w:tr w:rsidR="008D6F1C" w:rsidRPr="00D92C04" w14:paraId="2C5BB044" w14:textId="77777777" w:rsidTr="008D6F1C">
        <w:tc>
          <w:tcPr>
            <w:tcW w:w="1890" w:type="dxa"/>
          </w:tcPr>
          <w:p w14:paraId="1C36C45A" w14:textId="77777777" w:rsidR="008D6F1C" w:rsidRPr="00D92C04" w:rsidRDefault="008D6F1C" w:rsidP="008D6F1C">
            <w:r w:rsidRPr="00D92C04">
              <w:t>GvHD</w:t>
            </w:r>
          </w:p>
        </w:tc>
        <w:tc>
          <w:tcPr>
            <w:tcW w:w="6604" w:type="dxa"/>
          </w:tcPr>
          <w:p w14:paraId="7C177E78" w14:textId="77777777" w:rsidR="008D6F1C" w:rsidRPr="00D92C04" w:rsidRDefault="008D6F1C" w:rsidP="008D6F1C">
            <w:r w:rsidRPr="00D92C04">
              <w:t>Graft versus host disease</w:t>
            </w:r>
          </w:p>
        </w:tc>
      </w:tr>
      <w:tr w:rsidR="008D6F1C" w:rsidRPr="00D92C04" w14:paraId="19087F08" w14:textId="77777777" w:rsidTr="008D6F1C">
        <w:tc>
          <w:tcPr>
            <w:tcW w:w="1890" w:type="dxa"/>
          </w:tcPr>
          <w:p w14:paraId="5485DF1E" w14:textId="77777777" w:rsidR="008D6F1C" w:rsidRPr="00D92C04" w:rsidRDefault="008D6F1C" w:rsidP="008D6F1C">
            <w:r w:rsidRPr="00D92C04">
              <w:t>GVP</w:t>
            </w:r>
          </w:p>
        </w:tc>
        <w:tc>
          <w:tcPr>
            <w:tcW w:w="6604" w:type="dxa"/>
          </w:tcPr>
          <w:p w14:paraId="2ECD6781" w14:textId="77777777" w:rsidR="008D6F1C" w:rsidRPr="00D92C04" w:rsidRDefault="008D6F1C" w:rsidP="008D6F1C">
            <w:r w:rsidRPr="00D92C04">
              <w:t>Good Pharmacovigilance Practices</w:t>
            </w:r>
          </w:p>
        </w:tc>
      </w:tr>
      <w:tr w:rsidR="008D6F1C" w:rsidRPr="00D92C04" w14:paraId="14A95402" w14:textId="77777777" w:rsidTr="008D6F1C">
        <w:tc>
          <w:tcPr>
            <w:tcW w:w="1890" w:type="dxa"/>
          </w:tcPr>
          <w:p w14:paraId="75FE0E19" w14:textId="77777777" w:rsidR="008D6F1C" w:rsidRPr="00D92C04" w:rsidRDefault="008D6F1C" w:rsidP="008D6F1C">
            <w:r w:rsidRPr="00D92C04">
              <w:t>HPLC</w:t>
            </w:r>
          </w:p>
        </w:tc>
        <w:tc>
          <w:tcPr>
            <w:tcW w:w="6604" w:type="dxa"/>
          </w:tcPr>
          <w:p w14:paraId="2E6FDE21" w14:textId="77777777" w:rsidR="008D6F1C" w:rsidRPr="00D92C04" w:rsidRDefault="008D6F1C" w:rsidP="008D6F1C">
            <w:r w:rsidRPr="00D92C04">
              <w:t>High performance liquid chromatography</w:t>
            </w:r>
          </w:p>
        </w:tc>
      </w:tr>
      <w:tr w:rsidR="008D6F1C" w:rsidRPr="00D92C04" w14:paraId="3F81640A" w14:textId="77777777" w:rsidTr="008D6F1C">
        <w:tc>
          <w:tcPr>
            <w:tcW w:w="1890" w:type="dxa"/>
          </w:tcPr>
          <w:p w14:paraId="3F089729" w14:textId="77777777" w:rsidR="008D6F1C" w:rsidRPr="00D92C04" w:rsidRDefault="008D6F1C" w:rsidP="008D6F1C">
            <w:r w:rsidRPr="00D92C04">
              <w:t>IgA</w:t>
            </w:r>
          </w:p>
        </w:tc>
        <w:tc>
          <w:tcPr>
            <w:tcW w:w="6604" w:type="dxa"/>
          </w:tcPr>
          <w:p w14:paraId="479BCFD8" w14:textId="77777777" w:rsidR="008D6F1C" w:rsidRPr="00D92C04" w:rsidRDefault="008D6F1C" w:rsidP="008D6F1C">
            <w:r w:rsidRPr="00D92C04">
              <w:t>Immunoglobulin A</w:t>
            </w:r>
          </w:p>
        </w:tc>
      </w:tr>
      <w:tr w:rsidR="008D6F1C" w:rsidRPr="00D92C04" w14:paraId="15BCA87A" w14:textId="77777777" w:rsidTr="008D6F1C">
        <w:tc>
          <w:tcPr>
            <w:tcW w:w="1890" w:type="dxa"/>
          </w:tcPr>
          <w:p w14:paraId="61E7B3EA" w14:textId="77777777" w:rsidR="008D6F1C" w:rsidRPr="00D92C04" w:rsidRDefault="008D6F1C" w:rsidP="008D6F1C">
            <w:r w:rsidRPr="00D92C04">
              <w:t>IgG</w:t>
            </w:r>
          </w:p>
        </w:tc>
        <w:tc>
          <w:tcPr>
            <w:tcW w:w="6604" w:type="dxa"/>
          </w:tcPr>
          <w:p w14:paraId="10EE0183" w14:textId="77777777" w:rsidR="008D6F1C" w:rsidRPr="00D92C04" w:rsidRDefault="008D6F1C" w:rsidP="008D6F1C">
            <w:r w:rsidRPr="00D92C04">
              <w:t>Immunoglobulin G</w:t>
            </w:r>
          </w:p>
        </w:tc>
      </w:tr>
      <w:tr w:rsidR="008D6F1C" w:rsidRPr="00D92C04" w14:paraId="17D4E3FB" w14:textId="77777777" w:rsidTr="008D6F1C">
        <w:tc>
          <w:tcPr>
            <w:tcW w:w="1890" w:type="dxa"/>
          </w:tcPr>
          <w:p w14:paraId="01981868" w14:textId="77777777" w:rsidR="008D6F1C" w:rsidRPr="00D92C04" w:rsidRDefault="008D6F1C" w:rsidP="008D6F1C">
            <w:r w:rsidRPr="00D92C04">
              <w:t>IgM</w:t>
            </w:r>
          </w:p>
        </w:tc>
        <w:tc>
          <w:tcPr>
            <w:tcW w:w="6604" w:type="dxa"/>
          </w:tcPr>
          <w:p w14:paraId="42ECF737" w14:textId="77777777" w:rsidR="008D6F1C" w:rsidRPr="00D92C04" w:rsidRDefault="008D6F1C" w:rsidP="008D6F1C">
            <w:r w:rsidRPr="00D92C04">
              <w:t>Immunoglobulin M</w:t>
            </w:r>
          </w:p>
        </w:tc>
      </w:tr>
      <w:tr w:rsidR="008D6F1C" w:rsidRPr="00D92C04" w14:paraId="08787169" w14:textId="77777777" w:rsidTr="008D6F1C">
        <w:tc>
          <w:tcPr>
            <w:tcW w:w="1890" w:type="dxa"/>
          </w:tcPr>
          <w:p w14:paraId="5D3AE1CF" w14:textId="77777777" w:rsidR="008D6F1C" w:rsidRPr="00D92C04" w:rsidRDefault="008D6F1C" w:rsidP="008D6F1C">
            <w:r w:rsidRPr="00D92C04">
              <w:t>ITK</w:t>
            </w:r>
          </w:p>
        </w:tc>
        <w:tc>
          <w:tcPr>
            <w:tcW w:w="6604" w:type="dxa"/>
          </w:tcPr>
          <w:p w14:paraId="36F5A2EF" w14:textId="77777777" w:rsidR="008D6F1C" w:rsidRPr="00D92C04" w:rsidRDefault="008D6F1C" w:rsidP="008D6F1C">
            <w:r w:rsidRPr="00D92C04">
              <w:t>Interleukin-2 inducible T-cell kinase</w:t>
            </w:r>
          </w:p>
        </w:tc>
      </w:tr>
      <w:tr w:rsidR="008D6F1C" w:rsidRPr="00D92C04" w14:paraId="28AE1ED0" w14:textId="77777777" w:rsidTr="008D6F1C">
        <w:tc>
          <w:tcPr>
            <w:tcW w:w="1890" w:type="dxa"/>
          </w:tcPr>
          <w:p w14:paraId="0FA380AB" w14:textId="77777777" w:rsidR="008D6F1C" w:rsidRPr="00D92C04" w:rsidRDefault="008D6F1C" w:rsidP="008D6F1C">
            <w:r w:rsidRPr="00D92C04">
              <w:t>IRC</w:t>
            </w:r>
          </w:p>
        </w:tc>
        <w:tc>
          <w:tcPr>
            <w:tcW w:w="6604" w:type="dxa"/>
          </w:tcPr>
          <w:p w14:paraId="0E8BEA74" w14:textId="77777777" w:rsidR="008D6F1C" w:rsidRPr="00D92C04" w:rsidRDefault="008D6F1C" w:rsidP="008D6F1C">
            <w:bookmarkStart w:id="13" w:name="_Hlk104996639"/>
            <w:r w:rsidRPr="00D92C04">
              <w:t>Independent Review Committee</w:t>
            </w:r>
            <w:bookmarkEnd w:id="13"/>
          </w:p>
        </w:tc>
      </w:tr>
      <w:tr w:rsidR="008D6F1C" w:rsidRPr="00D92C04" w14:paraId="3FDF3527" w14:textId="77777777" w:rsidTr="008D6F1C">
        <w:tc>
          <w:tcPr>
            <w:tcW w:w="1890" w:type="dxa"/>
          </w:tcPr>
          <w:p w14:paraId="3AE0CDA8" w14:textId="77777777" w:rsidR="008D6F1C" w:rsidRPr="00D92C04" w:rsidRDefault="008D6F1C" w:rsidP="008D6F1C">
            <w:r w:rsidRPr="00D92C04">
              <w:t>ITT</w:t>
            </w:r>
          </w:p>
        </w:tc>
        <w:tc>
          <w:tcPr>
            <w:tcW w:w="6604" w:type="dxa"/>
          </w:tcPr>
          <w:p w14:paraId="5D3E736E" w14:textId="77777777" w:rsidR="008D6F1C" w:rsidRPr="00D92C04" w:rsidRDefault="008D6F1C" w:rsidP="008D6F1C">
            <w:r w:rsidRPr="00D92C04">
              <w:t>Intent(ion)-to-treat</w:t>
            </w:r>
          </w:p>
        </w:tc>
      </w:tr>
      <w:tr w:rsidR="008D6F1C" w:rsidRPr="00D92C04" w14:paraId="6CE1C5A7" w14:textId="77777777" w:rsidTr="008D6F1C">
        <w:tc>
          <w:tcPr>
            <w:tcW w:w="1890" w:type="dxa"/>
          </w:tcPr>
          <w:p w14:paraId="7106EC1C" w14:textId="77777777" w:rsidR="008D6F1C" w:rsidRPr="00D92C04" w:rsidRDefault="008D6F1C" w:rsidP="008D6F1C">
            <w:r w:rsidRPr="00D92C04">
              <w:t>IWWM</w:t>
            </w:r>
          </w:p>
        </w:tc>
        <w:tc>
          <w:tcPr>
            <w:tcW w:w="6604" w:type="dxa"/>
          </w:tcPr>
          <w:p w14:paraId="319CF14C" w14:textId="77777777" w:rsidR="008D6F1C" w:rsidRPr="00D92C04" w:rsidRDefault="008D6F1C" w:rsidP="008D6F1C">
            <w:bookmarkStart w:id="14" w:name="_Hlk104993692"/>
            <w:r w:rsidRPr="00D92C04">
              <w:t>International Workshop on Waldenström’s Macroglobulinaemia</w:t>
            </w:r>
            <w:bookmarkEnd w:id="14"/>
          </w:p>
        </w:tc>
      </w:tr>
      <w:tr w:rsidR="008D6F1C" w:rsidRPr="00D92C04" w14:paraId="4A7ABA9C" w14:textId="77777777" w:rsidTr="008D6F1C">
        <w:tc>
          <w:tcPr>
            <w:tcW w:w="1890" w:type="dxa"/>
          </w:tcPr>
          <w:p w14:paraId="2C6877BA" w14:textId="77777777" w:rsidR="008D6F1C" w:rsidRPr="00D92C04" w:rsidRDefault="008D6F1C" w:rsidP="008D6F1C">
            <w:r w:rsidRPr="00D92C04">
              <w:t>MRR</w:t>
            </w:r>
          </w:p>
        </w:tc>
        <w:tc>
          <w:tcPr>
            <w:tcW w:w="6604" w:type="dxa"/>
          </w:tcPr>
          <w:p w14:paraId="3EC5EF51" w14:textId="77777777" w:rsidR="008D6F1C" w:rsidRPr="00D92C04" w:rsidRDefault="008D6F1C" w:rsidP="008D6F1C">
            <w:bookmarkStart w:id="15" w:name="_Hlk104993584"/>
            <w:r w:rsidRPr="00D92C04">
              <w:t>Major response rate</w:t>
            </w:r>
            <w:bookmarkEnd w:id="15"/>
          </w:p>
        </w:tc>
      </w:tr>
      <w:tr w:rsidR="00A916C6" w:rsidRPr="00D92C04" w14:paraId="795CCB71" w14:textId="77777777" w:rsidTr="008D6F1C">
        <w:tc>
          <w:tcPr>
            <w:tcW w:w="1890" w:type="dxa"/>
          </w:tcPr>
          <w:p w14:paraId="1F4BC628" w14:textId="253C5B9B" w:rsidR="00A916C6" w:rsidRPr="00D92C04" w:rsidRDefault="00A916C6" w:rsidP="008D6F1C">
            <w:r w:rsidRPr="00D92C04">
              <w:t>mut</w:t>
            </w:r>
          </w:p>
        </w:tc>
        <w:tc>
          <w:tcPr>
            <w:tcW w:w="6604" w:type="dxa"/>
          </w:tcPr>
          <w:p w14:paraId="38FDBD88" w14:textId="3AC1DE3E" w:rsidR="00A916C6" w:rsidRPr="00D92C04" w:rsidRDefault="00A916C6" w:rsidP="008D6F1C">
            <w:r>
              <w:t>Mutation</w:t>
            </w:r>
          </w:p>
        </w:tc>
      </w:tr>
      <w:tr w:rsidR="008D6F1C" w:rsidRPr="00D92C04" w14:paraId="5C2DE254" w14:textId="77777777" w:rsidTr="008D6F1C">
        <w:tc>
          <w:tcPr>
            <w:tcW w:w="1890" w:type="dxa"/>
          </w:tcPr>
          <w:p w14:paraId="6155D7C0" w14:textId="77777777" w:rsidR="008D6F1C" w:rsidRPr="00D92C04" w:rsidRDefault="008D6F1C" w:rsidP="008D6F1C">
            <w:r w:rsidRPr="00D92C04">
              <w:t>MYD88</w:t>
            </w:r>
          </w:p>
        </w:tc>
        <w:tc>
          <w:tcPr>
            <w:tcW w:w="6604" w:type="dxa"/>
          </w:tcPr>
          <w:p w14:paraId="3542BBDD" w14:textId="6CA0D4C8" w:rsidR="008D6F1C" w:rsidRPr="00D92C04" w:rsidRDefault="008D6F1C" w:rsidP="008D6F1C">
            <w:bookmarkStart w:id="16" w:name="_Hlk104996259"/>
            <w:r w:rsidRPr="00D92C04">
              <w:t>Myeloid differentiation primary response 88</w:t>
            </w:r>
            <w:bookmarkEnd w:id="16"/>
          </w:p>
        </w:tc>
      </w:tr>
      <w:tr w:rsidR="008D6F1C" w:rsidRPr="00D92C04" w14:paraId="4688907C" w14:textId="77777777" w:rsidTr="008D6F1C">
        <w:tc>
          <w:tcPr>
            <w:tcW w:w="1890" w:type="dxa"/>
          </w:tcPr>
          <w:p w14:paraId="25960836" w14:textId="77777777" w:rsidR="008D6F1C" w:rsidRPr="00D92C04" w:rsidRDefault="008D6F1C" w:rsidP="008D6F1C">
            <w:r w:rsidRPr="00D92C04">
              <w:t>NCCN</w:t>
            </w:r>
          </w:p>
        </w:tc>
        <w:tc>
          <w:tcPr>
            <w:tcW w:w="6604" w:type="dxa"/>
          </w:tcPr>
          <w:p w14:paraId="07C5B39F" w14:textId="77777777" w:rsidR="008D6F1C" w:rsidRPr="00D92C04" w:rsidRDefault="008D6F1C" w:rsidP="008D6F1C">
            <w:r w:rsidRPr="00D92C04">
              <w:t>National Comprehensive Cancer Network (United States of America)</w:t>
            </w:r>
          </w:p>
        </w:tc>
      </w:tr>
      <w:tr w:rsidR="008D6F1C" w:rsidRPr="00D92C04" w14:paraId="613010E0" w14:textId="77777777" w:rsidTr="008D6F1C">
        <w:tc>
          <w:tcPr>
            <w:tcW w:w="1890" w:type="dxa"/>
          </w:tcPr>
          <w:p w14:paraId="001BC7F5" w14:textId="77777777" w:rsidR="008D6F1C" w:rsidRPr="00D92C04" w:rsidRDefault="008D6F1C" w:rsidP="008D6F1C">
            <w:r w:rsidRPr="00D92C04">
              <w:t>NYHA</w:t>
            </w:r>
          </w:p>
        </w:tc>
        <w:tc>
          <w:tcPr>
            <w:tcW w:w="6604" w:type="dxa"/>
          </w:tcPr>
          <w:p w14:paraId="44D2AC7D" w14:textId="77777777" w:rsidR="008D6F1C" w:rsidRPr="00D92C04" w:rsidRDefault="008D6F1C" w:rsidP="008D6F1C">
            <w:r w:rsidRPr="00D92C04">
              <w:t>New York Heart Association</w:t>
            </w:r>
          </w:p>
        </w:tc>
      </w:tr>
      <w:tr w:rsidR="008D6F1C" w:rsidRPr="00D92C04" w14:paraId="25A96BD8" w14:textId="77777777" w:rsidTr="008D6F1C">
        <w:tc>
          <w:tcPr>
            <w:tcW w:w="1890" w:type="dxa"/>
          </w:tcPr>
          <w:p w14:paraId="0C0444F5" w14:textId="77777777" w:rsidR="008D6F1C" w:rsidRPr="00D92C04" w:rsidRDefault="008D6F1C" w:rsidP="008D6F1C">
            <w:r w:rsidRPr="00D92C04">
              <w:t>PD</w:t>
            </w:r>
          </w:p>
        </w:tc>
        <w:tc>
          <w:tcPr>
            <w:tcW w:w="6604" w:type="dxa"/>
          </w:tcPr>
          <w:p w14:paraId="1AD62DD8" w14:textId="77777777" w:rsidR="008D6F1C" w:rsidRPr="00D92C04" w:rsidRDefault="008D6F1C" w:rsidP="008D6F1C">
            <w:r w:rsidRPr="00D92C04">
              <w:t>Pharmacodynamic(s)</w:t>
            </w:r>
          </w:p>
        </w:tc>
      </w:tr>
      <w:tr w:rsidR="008D6F1C" w:rsidRPr="00D92C04" w14:paraId="131324D7" w14:textId="77777777" w:rsidTr="008D6F1C">
        <w:tc>
          <w:tcPr>
            <w:tcW w:w="1890" w:type="dxa"/>
          </w:tcPr>
          <w:p w14:paraId="6F9B1608" w14:textId="77777777" w:rsidR="008D6F1C" w:rsidRPr="00D92C04" w:rsidRDefault="008D6F1C" w:rsidP="008D6F1C">
            <w:r w:rsidRPr="00D92C04">
              <w:t>PI</w:t>
            </w:r>
          </w:p>
        </w:tc>
        <w:tc>
          <w:tcPr>
            <w:tcW w:w="6604" w:type="dxa"/>
          </w:tcPr>
          <w:p w14:paraId="2BA92592" w14:textId="77777777" w:rsidR="008D6F1C" w:rsidRPr="00D92C04" w:rsidRDefault="008D6F1C" w:rsidP="008D6F1C">
            <w:r w:rsidRPr="00D92C04">
              <w:t>Product Information</w:t>
            </w:r>
          </w:p>
        </w:tc>
      </w:tr>
      <w:tr w:rsidR="008D6F1C" w:rsidRPr="00D92C04" w14:paraId="30426BF0" w14:textId="77777777" w:rsidTr="008D6F1C">
        <w:tc>
          <w:tcPr>
            <w:tcW w:w="1890" w:type="dxa"/>
          </w:tcPr>
          <w:p w14:paraId="6078F491" w14:textId="77777777" w:rsidR="008D6F1C" w:rsidRPr="00D92C04" w:rsidRDefault="008D6F1C" w:rsidP="008D6F1C">
            <w:r w:rsidRPr="00D92C04">
              <w:lastRenderedPageBreak/>
              <w:t>PK</w:t>
            </w:r>
          </w:p>
        </w:tc>
        <w:tc>
          <w:tcPr>
            <w:tcW w:w="6604" w:type="dxa"/>
          </w:tcPr>
          <w:p w14:paraId="1B4B3BD0" w14:textId="77777777" w:rsidR="008D6F1C" w:rsidRPr="00D92C04" w:rsidRDefault="008D6F1C" w:rsidP="008D6F1C">
            <w:bookmarkStart w:id="17" w:name="_Hlk104992760"/>
            <w:r w:rsidRPr="00D92C04">
              <w:t>Pharmacokinetic(s)</w:t>
            </w:r>
            <w:bookmarkEnd w:id="17"/>
          </w:p>
        </w:tc>
      </w:tr>
      <w:tr w:rsidR="008D6F1C" w:rsidRPr="00D92C04" w14:paraId="029F92B4" w14:textId="77777777" w:rsidTr="008D6F1C">
        <w:tc>
          <w:tcPr>
            <w:tcW w:w="1890" w:type="dxa"/>
          </w:tcPr>
          <w:p w14:paraId="7F3393B3" w14:textId="77777777" w:rsidR="008D6F1C" w:rsidRPr="00D92C04" w:rsidRDefault="008D6F1C" w:rsidP="008D6F1C">
            <w:proofErr w:type="spellStart"/>
            <w:r w:rsidRPr="00D92C04">
              <w:t>PopPK</w:t>
            </w:r>
            <w:proofErr w:type="spellEnd"/>
          </w:p>
        </w:tc>
        <w:tc>
          <w:tcPr>
            <w:tcW w:w="6604" w:type="dxa"/>
          </w:tcPr>
          <w:p w14:paraId="78B63F19" w14:textId="77777777" w:rsidR="008D6F1C" w:rsidRPr="00D92C04" w:rsidRDefault="008D6F1C" w:rsidP="008D6F1C">
            <w:bookmarkStart w:id="18" w:name="_Hlk104992538"/>
            <w:r w:rsidRPr="00D92C04">
              <w:t>Population pharmacokinetic(s)</w:t>
            </w:r>
            <w:bookmarkEnd w:id="18"/>
          </w:p>
        </w:tc>
      </w:tr>
      <w:tr w:rsidR="008D6F1C" w:rsidRPr="00D92C04" w14:paraId="0884C5BF" w14:textId="77777777" w:rsidTr="008D6F1C">
        <w:tc>
          <w:tcPr>
            <w:tcW w:w="1890" w:type="dxa"/>
          </w:tcPr>
          <w:p w14:paraId="3ECBB72B" w14:textId="77777777" w:rsidR="008D6F1C" w:rsidRPr="00D92C04" w:rsidRDefault="008D6F1C" w:rsidP="008D6F1C">
            <w:r w:rsidRPr="00D92C04">
              <w:t>PR</w:t>
            </w:r>
          </w:p>
        </w:tc>
        <w:tc>
          <w:tcPr>
            <w:tcW w:w="6604" w:type="dxa"/>
          </w:tcPr>
          <w:p w14:paraId="283EB3CF" w14:textId="77777777" w:rsidR="008D6F1C" w:rsidRPr="00D92C04" w:rsidRDefault="008D6F1C" w:rsidP="008D6F1C">
            <w:r w:rsidRPr="00D92C04">
              <w:t>Partial response</w:t>
            </w:r>
          </w:p>
        </w:tc>
      </w:tr>
      <w:tr w:rsidR="008D6F1C" w:rsidRPr="00D92C04" w14:paraId="59408267" w14:textId="77777777" w:rsidTr="008D6F1C">
        <w:tc>
          <w:tcPr>
            <w:tcW w:w="1890" w:type="dxa"/>
          </w:tcPr>
          <w:p w14:paraId="68A2F70B" w14:textId="77777777" w:rsidR="008D6F1C" w:rsidRPr="00D92C04" w:rsidRDefault="008D6F1C" w:rsidP="008D6F1C">
            <w:r w:rsidRPr="00D92C04">
              <w:t>PSUR</w:t>
            </w:r>
          </w:p>
        </w:tc>
        <w:tc>
          <w:tcPr>
            <w:tcW w:w="6604" w:type="dxa"/>
          </w:tcPr>
          <w:p w14:paraId="4EEC45D9" w14:textId="77777777" w:rsidR="008D6F1C" w:rsidRPr="00D92C04" w:rsidRDefault="008D6F1C" w:rsidP="008D6F1C">
            <w:r w:rsidRPr="00D92C04">
              <w:t>Periodic safety update report</w:t>
            </w:r>
          </w:p>
        </w:tc>
      </w:tr>
      <w:tr w:rsidR="008D6F1C" w:rsidRPr="00D92C04" w14:paraId="3EF81CA7" w14:textId="77777777" w:rsidTr="008D6F1C">
        <w:tc>
          <w:tcPr>
            <w:tcW w:w="1890" w:type="dxa"/>
          </w:tcPr>
          <w:p w14:paraId="1AD78AD4" w14:textId="77777777" w:rsidR="008D6F1C" w:rsidRPr="00D92C04" w:rsidRDefault="008D6F1C" w:rsidP="008D6F1C">
            <w:r w:rsidRPr="00D92C04">
              <w:t>Q/F</w:t>
            </w:r>
          </w:p>
        </w:tc>
        <w:tc>
          <w:tcPr>
            <w:tcW w:w="6604" w:type="dxa"/>
          </w:tcPr>
          <w:p w14:paraId="59F59F96" w14:textId="77777777" w:rsidR="008D6F1C" w:rsidRPr="00D92C04" w:rsidRDefault="008D6F1C" w:rsidP="008D6F1C">
            <w:bookmarkStart w:id="19" w:name="_Hlk104993124"/>
            <w:r w:rsidRPr="00D92C04">
              <w:t>Apparent inter-compartmental clearance</w:t>
            </w:r>
            <w:bookmarkEnd w:id="19"/>
          </w:p>
        </w:tc>
      </w:tr>
      <w:tr w:rsidR="008D6F1C" w:rsidRPr="00D92C04" w14:paraId="047956A9" w14:textId="77777777" w:rsidTr="008D6F1C">
        <w:tc>
          <w:tcPr>
            <w:tcW w:w="1890" w:type="dxa"/>
          </w:tcPr>
          <w:p w14:paraId="4F70005E" w14:textId="77777777" w:rsidR="008D6F1C" w:rsidRPr="00D92C04" w:rsidRDefault="008D6F1C" w:rsidP="008D6F1C">
            <w:proofErr w:type="spellStart"/>
            <w:r w:rsidRPr="00D92C04">
              <w:t>QTcF</w:t>
            </w:r>
            <w:proofErr w:type="spellEnd"/>
          </w:p>
        </w:tc>
        <w:tc>
          <w:tcPr>
            <w:tcW w:w="6604" w:type="dxa"/>
          </w:tcPr>
          <w:p w14:paraId="16CAFDDA" w14:textId="2C5B82C3" w:rsidR="008D6F1C" w:rsidRPr="00D92C04" w:rsidRDefault="00B82D09" w:rsidP="008D6F1C">
            <w:r>
              <w:t xml:space="preserve">Corrected </w:t>
            </w:r>
            <w:r w:rsidR="008D6F1C" w:rsidRPr="00D92C04">
              <w:t>QT</w:t>
            </w:r>
            <w:r>
              <w:t>-interval</w:t>
            </w:r>
            <w:r w:rsidR="008D6F1C" w:rsidRPr="00D92C04">
              <w:t xml:space="preserve"> using Fridericia’s formula</w:t>
            </w:r>
          </w:p>
        </w:tc>
      </w:tr>
      <w:tr w:rsidR="00DE7F0D" w:rsidRPr="00D92C04" w14:paraId="7C5D9EDD" w14:textId="77777777" w:rsidTr="008D6F1C">
        <w:tc>
          <w:tcPr>
            <w:tcW w:w="1890" w:type="dxa"/>
          </w:tcPr>
          <w:p w14:paraId="280F58BC" w14:textId="31EA60DC" w:rsidR="00DE7F0D" w:rsidRPr="00D92C04" w:rsidRDefault="00DE7F0D" w:rsidP="008D6F1C">
            <w:r w:rsidRPr="00DE7F0D">
              <w:t>r/r</w:t>
            </w:r>
          </w:p>
        </w:tc>
        <w:tc>
          <w:tcPr>
            <w:tcW w:w="6604" w:type="dxa"/>
          </w:tcPr>
          <w:p w14:paraId="6FCBE6AE" w14:textId="338B491B" w:rsidR="00DE7F0D" w:rsidRPr="00D92C04" w:rsidRDefault="00DE7F0D" w:rsidP="008D6F1C">
            <w:r>
              <w:t>R</w:t>
            </w:r>
            <w:r w:rsidRPr="00DE7F0D">
              <w:t>elapsed/refractory</w:t>
            </w:r>
          </w:p>
        </w:tc>
      </w:tr>
      <w:tr w:rsidR="008D6F1C" w:rsidRPr="00D92C04" w14:paraId="62ECAA83" w14:textId="77777777" w:rsidTr="008D6F1C">
        <w:tc>
          <w:tcPr>
            <w:tcW w:w="1890" w:type="dxa"/>
          </w:tcPr>
          <w:p w14:paraId="3DFE494B" w14:textId="77777777" w:rsidR="008D6F1C" w:rsidRPr="00D92C04" w:rsidRDefault="008D6F1C" w:rsidP="008D6F1C">
            <w:r w:rsidRPr="00D92C04">
              <w:t>SAE</w:t>
            </w:r>
          </w:p>
        </w:tc>
        <w:tc>
          <w:tcPr>
            <w:tcW w:w="6604" w:type="dxa"/>
          </w:tcPr>
          <w:p w14:paraId="5F4E890D" w14:textId="77777777" w:rsidR="008D6F1C" w:rsidRPr="00D92C04" w:rsidRDefault="008D6F1C" w:rsidP="008D6F1C">
            <w:r w:rsidRPr="00D92C04">
              <w:t>Serious adverse event</w:t>
            </w:r>
          </w:p>
        </w:tc>
      </w:tr>
      <w:tr w:rsidR="00D45571" w:rsidRPr="00D92C04" w14:paraId="141241D6" w14:textId="77777777" w:rsidTr="008D6F1C">
        <w:tc>
          <w:tcPr>
            <w:tcW w:w="1890" w:type="dxa"/>
          </w:tcPr>
          <w:p w14:paraId="061644D6" w14:textId="5A895E9B" w:rsidR="00D45571" w:rsidRPr="00D92C04" w:rsidRDefault="00D45571" w:rsidP="008D6F1C">
            <w:r w:rsidRPr="00D92C04">
              <w:t>TEC</w:t>
            </w:r>
          </w:p>
        </w:tc>
        <w:tc>
          <w:tcPr>
            <w:tcW w:w="6604" w:type="dxa"/>
          </w:tcPr>
          <w:p w14:paraId="1F5B7E8A" w14:textId="1630915D" w:rsidR="00D45571" w:rsidRPr="00D92C04" w:rsidRDefault="00D45571" w:rsidP="008D6F1C">
            <w:r>
              <w:t>T</w:t>
            </w:r>
            <w:r w:rsidRPr="00D45571">
              <w:t>ec protein tyrosine kinase</w:t>
            </w:r>
          </w:p>
        </w:tc>
      </w:tr>
      <w:tr w:rsidR="008D6F1C" w:rsidRPr="00D92C04" w14:paraId="1A78E6F0" w14:textId="77777777" w:rsidTr="008D6F1C">
        <w:tc>
          <w:tcPr>
            <w:tcW w:w="1890" w:type="dxa"/>
          </w:tcPr>
          <w:p w14:paraId="2C5647EC" w14:textId="77777777" w:rsidR="008D6F1C" w:rsidRPr="00D92C04" w:rsidRDefault="008D6F1C" w:rsidP="008D6F1C">
            <w:proofErr w:type="spellStart"/>
            <w:r w:rsidRPr="00D92C04">
              <w:t>T</w:t>
            </w:r>
            <w:r w:rsidRPr="00D45571">
              <w:rPr>
                <w:vertAlign w:val="subscript"/>
              </w:rPr>
              <w:t>max</w:t>
            </w:r>
            <w:proofErr w:type="spellEnd"/>
          </w:p>
        </w:tc>
        <w:tc>
          <w:tcPr>
            <w:tcW w:w="6604" w:type="dxa"/>
          </w:tcPr>
          <w:p w14:paraId="0511E488" w14:textId="54385A9D" w:rsidR="008D6F1C" w:rsidRPr="00D92C04" w:rsidRDefault="008D6F1C">
            <w:bookmarkStart w:id="20" w:name="_Hlk104992204"/>
            <w:r w:rsidRPr="00D92C04">
              <w:t>Time to maximum observed concentration</w:t>
            </w:r>
            <w:bookmarkEnd w:id="20"/>
          </w:p>
        </w:tc>
      </w:tr>
      <w:tr w:rsidR="008D6F1C" w:rsidRPr="00D92C04" w14:paraId="050032BF" w14:textId="77777777" w:rsidTr="008D6F1C">
        <w:tc>
          <w:tcPr>
            <w:tcW w:w="1890" w:type="dxa"/>
          </w:tcPr>
          <w:p w14:paraId="2B403B23" w14:textId="77777777" w:rsidR="008D6F1C" w:rsidRPr="00D92C04" w:rsidRDefault="008D6F1C" w:rsidP="008D6F1C">
            <w:r w:rsidRPr="00D92C04">
              <w:t>TRAE</w:t>
            </w:r>
          </w:p>
        </w:tc>
        <w:tc>
          <w:tcPr>
            <w:tcW w:w="6604" w:type="dxa"/>
          </w:tcPr>
          <w:p w14:paraId="5A297F29" w14:textId="6B09A6C3" w:rsidR="008D6F1C" w:rsidRPr="00D92C04" w:rsidRDefault="008D6F1C" w:rsidP="008D6F1C">
            <w:r w:rsidRPr="00D92C04">
              <w:t>Treatment</w:t>
            </w:r>
            <w:r w:rsidR="009A6514">
              <w:t>-</w:t>
            </w:r>
            <w:r w:rsidRPr="00D92C04">
              <w:t>related adverse event</w:t>
            </w:r>
          </w:p>
        </w:tc>
      </w:tr>
      <w:tr w:rsidR="008D6F1C" w:rsidRPr="00D92C04" w14:paraId="1427E24E" w14:textId="77777777" w:rsidTr="008D6F1C">
        <w:tc>
          <w:tcPr>
            <w:tcW w:w="1890" w:type="dxa"/>
          </w:tcPr>
          <w:p w14:paraId="73A77D9C" w14:textId="77777777" w:rsidR="008D6F1C" w:rsidRPr="00D92C04" w:rsidRDefault="008D6F1C" w:rsidP="008D6F1C">
            <w:r w:rsidRPr="00D92C04">
              <w:t>ULN</w:t>
            </w:r>
          </w:p>
        </w:tc>
        <w:tc>
          <w:tcPr>
            <w:tcW w:w="6604" w:type="dxa"/>
          </w:tcPr>
          <w:p w14:paraId="7B8ABAA9" w14:textId="77777777" w:rsidR="008D6F1C" w:rsidRPr="00D92C04" w:rsidRDefault="008D6F1C" w:rsidP="008D6F1C">
            <w:bookmarkStart w:id="21" w:name="_Hlk104463811"/>
            <w:r w:rsidRPr="00D92C04">
              <w:t>Upper limit normal</w:t>
            </w:r>
            <w:bookmarkEnd w:id="21"/>
          </w:p>
        </w:tc>
      </w:tr>
      <w:tr w:rsidR="008D6F1C" w:rsidRPr="00D92C04" w14:paraId="2C97E08F" w14:textId="77777777" w:rsidTr="008D6F1C">
        <w:tc>
          <w:tcPr>
            <w:tcW w:w="1890" w:type="dxa"/>
          </w:tcPr>
          <w:p w14:paraId="59217605" w14:textId="77777777" w:rsidR="008D6F1C" w:rsidRPr="00D92C04" w:rsidRDefault="008D6F1C" w:rsidP="008D6F1C">
            <w:r w:rsidRPr="00D92C04">
              <w:t>US(A)</w:t>
            </w:r>
          </w:p>
        </w:tc>
        <w:tc>
          <w:tcPr>
            <w:tcW w:w="6604" w:type="dxa"/>
          </w:tcPr>
          <w:p w14:paraId="73B973AE" w14:textId="2C24B498" w:rsidR="008D6F1C" w:rsidRPr="00D92C04" w:rsidRDefault="008D6F1C" w:rsidP="008D6F1C">
            <w:r w:rsidRPr="00D92C04">
              <w:t>United States (of America)</w:t>
            </w:r>
          </w:p>
        </w:tc>
      </w:tr>
      <w:tr w:rsidR="008D6F1C" w:rsidRPr="00D92C04" w14:paraId="51DD6A30" w14:textId="77777777" w:rsidTr="008D6F1C">
        <w:tc>
          <w:tcPr>
            <w:tcW w:w="1890" w:type="dxa"/>
          </w:tcPr>
          <w:p w14:paraId="598E9BA6" w14:textId="77777777" w:rsidR="008D6F1C" w:rsidRPr="00D92C04" w:rsidRDefault="008D6F1C" w:rsidP="008D6F1C">
            <w:proofErr w:type="spellStart"/>
            <w:r w:rsidRPr="00D92C04">
              <w:t>V</w:t>
            </w:r>
            <w:r w:rsidRPr="00D92C04">
              <w:rPr>
                <w:vertAlign w:val="subscript"/>
              </w:rPr>
              <w:t>c</w:t>
            </w:r>
            <w:proofErr w:type="spellEnd"/>
            <w:r w:rsidRPr="00D92C04">
              <w:t>/F</w:t>
            </w:r>
          </w:p>
        </w:tc>
        <w:tc>
          <w:tcPr>
            <w:tcW w:w="6604" w:type="dxa"/>
          </w:tcPr>
          <w:p w14:paraId="4EF61701" w14:textId="77777777" w:rsidR="008D6F1C" w:rsidRPr="00D92C04" w:rsidRDefault="008D6F1C" w:rsidP="008D6F1C">
            <w:bookmarkStart w:id="22" w:name="_Hlk104993007"/>
            <w:r w:rsidRPr="00D92C04">
              <w:t>Apparent volume of the central compartment</w:t>
            </w:r>
            <w:bookmarkEnd w:id="22"/>
          </w:p>
        </w:tc>
      </w:tr>
      <w:tr w:rsidR="008D6F1C" w:rsidRPr="00D92C04" w14:paraId="0E3B4C2C" w14:textId="77777777" w:rsidTr="008D6F1C">
        <w:tc>
          <w:tcPr>
            <w:tcW w:w="1890" w:type="dxa"/>
          </w:tcPr>
          <w:p w14:paraId="363F91B3" w14:textId="77777777" w:rsidR="008D6F1C" w:rsidRPr="00D92C04" w:rsidRDefault="008D6F1C" w:rsidP="008D6F1C">
            <w:r w:rsidRPr="00D92C04">
              <w:t>VGPR</w:t>
            </w:r>
          </w:p>
        </w:tc>
        <w:tc>
          <w:tcPr>
            <w:tcW w:w="6604" w:type="dxa"/>
          </w:tcPr>
          <w:p w14:paraId="3FC546D6" w14:textId="77777777" w:rsidR="008D6F1C" w:rsidRPr="00D92C04" w:rsidRDefault="008D6F1C" w:rsidP="008D6F1C">
            <w:bookmarkStart w:id="23" w:name="_Hlk104993520"/>
            <w:r w:rsidRPr="00D92C04">
              <w:t>Very good partial response</w:t>
            </w:r>
            <w:bookmarkEnd w:id="23"/>
          </w:p>
        </w:tc>
      </w:tr>
      <w:tr w:rsidR="008D6F1C" w:rsidRPr="00D92C04" w14:paraId="7EC54F36" w14:textId="77777777" w:rsidTr="008D6F1C">
        <w:tc>
          <w:tcPr>
            <w:tcW w:w="1890" w:type="dxa"/>
          </w:tcPr>
          <w:p w14:paraId="13E5F1F4" w14:textId="77777777" w:rsidR="008D6F1C" w:rsidRPr="00D92C04" w:rsidRDefault="008D6F1C" w:rsidP="008D6F1C">
            <w:proofErr w:type="spellStart"/>
            <w:r w:rsidRPr="00D92C04">
              <w:t>V</w:t>
            </w:r>
            <w:r w:rsidRPr="00D92C04">
              <w:rPr>
                <w:vertAlign w:val="subscript"/>
              </w:rPr>
              <w:t>p</w:t>
            </w:r>
            <w:proofErr w:type="spellEnd"/>
            <w:r w:rsidRPr="00D92C04">
              <w:t>/F</w:t>
            </w:r>
          </w:p>
        </w:tc>
        <w:tc>
          <w:tcPr>
            <w:tcW w:w="6604" w:type="dxa"/>
          </w:tcPr>
          <w:p w14:paraId="777FD96E" w14:textId="77777777" w:rsidR="008D6F1C" w:rsidRPr="00D92C04" w:rsidRDefault="008D6F1C" w:rsidP="008D6F1C">
            <w:bookmarkStart w:id="24" w:name="_Hlk104993050"/>
            <w:r w:rsidRPr="00D92C04">
              <w:t>Apparent volume of the peripheral compartment</w:t>
            </w:r>
            <w:bookmarkEnd w:id="24"/>
          </w:p>
        </w:tc>
      </w:tr>
      <w:tr w:rsidR="00E27896" w:rsidRPr="00D92C04" w14:paraId="310B76BD" w14:textId="77777777" w:rsidTr="008D6F1C">
        <w:tc>
          <w:tcPr>
            <w:tcW w:w="1890" w:type="dxa"/>
          </w:tcPr>
          <w:p w14:paraId="53C58970" w14:textId="476C0DEE" w:rsidR="00E27896" w:rsidRPr="00D92C04" w:rsidRDefault="00E27896" w:rsidP="008D6F1C">
            <w:r w:rsidRPr="00D92C04">
              <w:t>WHIM</w:t>
            </w:r>
          </w:p>
        </w:tc>
        <w:tc>
          <w:tcPr>
            <w:tcW w:w="6604" w:type="dxa"/>
          </w:tcPr>
          <w:p w14:paraId="5C367AA2" w14:textId="6A350487" w:rsidR="00E27896" w:rsidRPr="00D92C04" w:rsidRDefault="00E27896" w:rsidP="008D6F1C">
            <w:r>
              <w:t>W</w:t>
            </w:r>
            <w:r w:rsidRPr="00E27896">
              <w:t xml:space="preserve">arts, </w:t>
            </w:r>
            <w:proofErr w:type="spellStart"/>
            <w:r w:rsidRPr="00E27896">
              <w:t>hypogammaglobulin</w:t>
            </w:r>
            <w:r w:rsidR="00FD6EAB">
              <w:t>a</w:t>
            </w:r>
            <w:r w:rsidRPr="00E27896">
              <w:t>emia</w:t>
            </w:r>
            <w:proofErr w:type="spellEnd"/>
            <w:r w:rsidRPr="00E27896">
              <w:t xml:space="preserve">, immunodeficiency, and </w:t>
            </w:r>
            <w:proofErr w:type="spellStart"/>
            <w:r w:rsidRPr="00E27896">
              <w:t>myelokathexis</w:t>
            </w:r>
            <w:proofErr w:type="spellEnd"/>
          </w:p>
        </w:tc>
      </w:tr>
      <w:tr w:rsidR="008D6F1C" w:rsidRPr="00D92C04" w14:paraId="6D97C5FB" w14:textId="77777777" w:rsidTr="008D6F1C">
        <w:tc>
          <w:tcPr>
            <w:tcW w:w="1890" w:type="dxa"/>
          </w:tcPr>
          <w:p w14:paraId="727CCD5D" w14:textId="77777777" w:rsidR="008D6F1C" w:rsidRPr="00D92C04" w:rsidRDefault="008D6F1C" w:rsidP="008D6F1C">
            <w:r w:rsidRPr="00D92C04">
              <w:t>WM</w:t>
            </w:r>
          </w:p>
        </w:tc>
        <w:tc>
          <w:tcPr>
            <w:tcW w:w="6604" w:type="dxa"/>
          </w:tcPr>
          <w:p w14:paraId="38DF67A4" w14:textId="77777777" w:rsidR="008D6F1C" w:rsidRPr="00D92C04" w:rsidRDefault="008D6F1C" w:rsidP="008D6F1C">
            <w:r w:rsidRPr="00D92C04">
              <w:t>Waldenström’s macroglobulinaemia</w:t>
            </w:r>
          </w:p>
        </w:tc>
      </w:tr>
      <w:tr w:rsidR="008D6F1C" w:rsidRPr="00D92C04" w14:paraId="5413FBE2" w14:textId="77777777" w:rsidTr="008D6F1C">
        <w:tc>
          <w:tcPr>
            <w:tcW w:w="1890" w:type="dxa"/>
          </w:tcPr>
          <w:p w14:paraId="7293325B" w14:textId="77777777" w:rsidR="008D6F1C" w:rsidRPr="00D92C04" w:rsidRDefault="008D6F1C" w:rsidP="008D6F1C">
            <w:r w:rsidRPr="00D92C04">
              <w:t>WT</w:t>
            </w:r>
          </w:p>
        </w:tc>
        <w:tc>
          <w:tcPr>
            <w:tcW w:w="6604" w:type="dxa"/>
          </w:tcPr>
          <w:p w14:paraId="13FFB6C9" w14:textId="77777777" w:rsidR="008D6F1C" w:rsidRPr="00D92C04" w:rsidRDefault="008D6F1C" w:rsidP="008D6F1C">
            <w:r w:rsidRPr="00D92C04">
              <w:t>Wild type</w:t>
            </w:r>
          </w:p>
        </w:tc>
      </w:tr>
      <w:tr w:rsidR="008D6F1C" w:rsidRPr="00D92C04" w14:paraId="3070C4E7" w14:textId="7B20E559" w:rsidTr="008D6F1C">
        <w:tc>
          <w:tcPr>
            <w:tcW w:w="1890" w:type="dxa"/>
          </w:tcPr>
          <w:p w14:paraId="1DB2F627" w14:textId="6E966293" w:rsidR="008D6F1C" w:rsidRPr="00D92C04" w:rsidRDefault="008D6F1C" w:rsidP="008D6F1C">
            <w:r w:rsidRPr="00D92C04">
              <w:t>US(A)</w:t>
            </w:r>
          </w:p>
        </w:tc>
        <w:tc>
          <w:tcPr>
            <w:tcW w:w="6604" w:type="dxa"/>
          </w:tcPr>
          <w:p w14:paraId="759A02F7" w14:textId="1FC246C0" w:rsidR="008D6F1C" w:rsidRPr="00D92C04" w:rsidRDefault="008D6F1C" w:rsidP="008D6F1C">
            <w:r w:rsidRPr="00D92C04">
              <w:t>United States (of America)</w:t>
            </w:r>
          </w:p>
        </w:tc>
      </w:tr>
    </w:tbl>
    <w:p w14:paraId="36DECF7D" w14:textId="77777777" w:rsidR="00FD119B" w:rsidRPr="00D92C04" w:rsidRDefault="00FD119B" w:rsidP="00FD119B"/>
    <w:p w14:paraId="1CCABFDC" w14:textId="77777777" w:rsidR="00FD119B" w:rsidRPr="00D92C04" w:rsidRDefault="00FD119B" w:rsidP="00FD119B">
      <w:pPr>
        <w:spacing w:before="0" w:after="200" w:line="0" w:lineRule="auto"/>
        <w:rPr>
          <w:b/>
          <w:i/>
          <w:sz w:val="24"/>
          <w:szCs w:val="24"/>
        </w:rPr>
      </w:pPr>
      <w:r w:rsidRPr="00D92C04">
        <w:rPr>
          <w:b/>
          <w:i/>
          <w:sz w:val="24"/>
          <w:szCs w:val="24"/>
        </w:rPr>
        <w:br w:type="page"/>
      </w:r>
    </w:p>
    <w:p w14:paraId="0FD4B35F" w14:textId="77777777" w:rsidR="008E7846" w:rsidRPr="00D92C04" w:rsidRDefault="00F53C07" w:rsidP="008E7846">
      <w:pPr>
        <w:pStyle w:val="Heading2"/>
      </w:pPr>
      <w:bookmarkStart w:id="25" w:name="_Toc111138562"/>
      <w:r w:rsidRPr="00D92C04">
        <w:lastRenderedPageBreak/>
        <w:t>I.</w:t>
      </w:r>
      <w:r w:rsidR="008E7846" w:rsidRPr="00D92C04">
        <w:t xml:space="preserve"> Introduction to product submission</w:t>
      </w:r>
      <w:bookmarkEnd w:id="25"/>
      <w:bookmarkEnd w:id="2"/>
      <w:bookmarkEnd w:id="0"/>
    </w:p>
    <w:p w14:paraId="6DF20E23" w14:textId="77777777" w:rsidR="008E7846" w:rsidRPr="00D92C04" w:rsidRDefault="008E7846" w:rsidP="008E7846">
      <w:pPr>
        <w:pStyle w:val="Heading3"/>
        <w:rPr>
          <w:lang w:eastAsia="en-AU"/>
        </w:rPr>
      </w:pPr>
      <w:bookmarkStart w:id="26" w:name="_Toc247691502"/>
      <w:bookmarkStart w:id="27" w:name="_Toc314842483"/>
      <w:bookmarkStart w:id="28" w:name="_Toc111138563"/>
      <w:r w:rsidRPr="00D92C04">
        <w:rPr>
          <w:lang w:eastAsia="en-AU"/>
        </w:rPr>
        <w:t>Submission details</w:t>
      </w:r>
      <w:bookmarkEnd w:id="26"/>
      <w:bookmarkEnd w:id="27"/>
      <w:bookmarkEnd w:id="28"/>
    </w:p>
    <w:tbl>
      <w:tblPr>
        <w:tblW w:w="9214" w:type="dxa"/>
        <w:tblInd w:w="108" w:type="dxa"/>
        <w:tblLook w:val="01E0" w:firstRow="1" w:lastRow="1" w:firstColumn="1" w:lastColumn="1" w:noHBand="0" w:noVBand="0"/>
      </w:tblPr>
      <w:tblGrid>
        <w:gridCol w:w="2907"/>
        <w:gridCol w:w="6307"/>
      </w:tblGrid>
      <w:tr w:rsidR="008E7846" w:rsidRPr="00D92C04" w14:paraId="6E836524" w14:textId="77777777" w:rsidTr="003735BC">
        <w:tc>
          <w:tcPr>
            <w:tcW w:w="2907" w:type="dxa"/>
          </w:tcPr>
          <w:p w14:paraId="7A15519E" w14:textId="77777777" w:rsidR="008E7846" w:rsidRPr="00D92C04" w:rsidRDefault="001B5C90" w:rsidP="001B5C90">
            <w:pPr>
              <w:rPr>
                <w:i/>
              </w:rPr>
            </w:pPr>
            <w:r w:rsidRPr="00D92C04">
              <w:rPr>
                <w:i/>
              </w:rPr>
              <w:t>Type of s</w:t>
            </w:r>
            <w:r w:rsidR="008E7846" w:rsidRPr="00D92C04">
              <w:rPr>
                <w:i/>
              </w:rPr>
              <w:t>ubmission</w:t>
            </w:r>
            <w:r w:rsidRPr="00D92C04">
              <w:rPr>
                <w:i/>
              </w:rPr>
              <w:t>:</w:t>
            </w:r>
          </w:p>
        </w:tc>
        <w:tc>
          <w:tcPr>
            <w:tcW w:w="6307" w:type="dxa"/>
          </w:tcPr>
          <w:p w14:paraId="1EE912D0" w14:textId="4195296B" w:rsidR="008E7846" w:rsidRPr="00D92C04" w:rsidRDefault="008E7846" w:rsidP="001B5C90">
            <w:r w:rsidRPr="00D92C04">
              <w:t xml:space="preserve">New </w:t>
            </w:r>
            <w:r w:rsidR="001B5C90" w:rsidRPr="00D92C04">
              <w:t>c</w:t>
            </w:r>
            <w:r w:rsidRPr="00D92C04">
              <w:t xml:space="preserve">hemical </w:t>
            </w:r>
            <w:r w:rsidR="001B5C90" w:rsidRPr="00D92C04">
              <w:t>e</w:t>
            </w:r>
            <w:r w:rsidRPr="00D92C04">
              <w:t>ntity</w:t>
            </w:r>
          </w:p>
        </w:tc>
      </w:tr>
      <w:tr w:rsidR="00460036" w:rsidRPr="00D92C04" w14:paraId="08918DFF" w14:textId="77777777" w:rsidTr="003735BC">
        <w:tc>
          <w:tcPr>
            <w:tcW w:w="2907" w:type="dxa"/>
          </w:tcPr>
          <w:p w14:paraId="41CBFD08" w14:textId="12DD16A1" w:rsidR="00460036" w:rsidRPr="00D92C04" w:rsidRDefault="00460036" w:rsidP="003D1E62">
            <w:pPr>
              <w:rPr>
                <w:i/>
              </w:rPr>
            </w:pPr>
            <w:r w:rsidRPr="00D92C04">
              <w:rPr>
                <w:i/>
              </w:rPr>
              <w:t>Product name:</w:t>
            </w:r>
          </w:p>
        </w:tc>
        <w:tc>
          <w:tcPr>
            <w:tcW w:w="6307" w:type="dxa"/>
          </w:tcPr>
          <w:p w14:paraId="49B6E58F" w14:textId="5DCCB58B" w:rsidR="00460036" w:rsidRPr="00D92C04" w:rsidRDefault="002478B9" w:rsidP="001B5C90">
            <w:r w:rsidRPr="00D92C04">
              <w:t>Brukinsa</w:t>
            </w:r>
          </w:p>
        </w:tc>
      </w:tr>
      <w:tr w:rsidR="00460036" w:rsidRPr="00D92C04" w14:paraId="533D10ED" w14:textId="77777777" w:rsidTr="003735BC">
        <w:tc>
          <w:tcPr>
            <w:tcW w:w="2907" w:type="dxa"/>
          </w:tcPr>
          <w:p w14:paraId="53012A74" w14:textId="68807BD2" w:rsidR="00460036" w:rsidRPr="00D92C04" w:rsidRDefault="00460036" w:rsidP="003D1E62">
            <w:pPr>
              <w:rPr>
                <w:i/>
              </w:rPr>
            </w:pPr>
            <w:r w:rsidRPr="00D92C04">
              <w:rPr>
                <w:i/>
              </w:rPr>
              <w:t>Active ingredient:</w:t>
            </w:r>
          </w:p>
        </w:tc>
        <w:tc>
          <w:tcPr>
            <w:tcW w:w="6307" w:type="dxa"/>
          </w:tcPr>
          <w:p w14:paraId="6EC69488" w14:textId="33EF249E" w:rsidR="00460036" w:rsidRPr="00D92C04" w:rsidRDefault="002478B9" w:rsidP="001B5C90">
            <w:r w:rsidRPr="00D92C04">
              <w:t>Zanubrutinib</w:t>
            </w:r>
          </w:p>
        </w:tc>
      </w:tr>
      <w:tr w:rsidR="008E7846" w:rsidRPr="00D92C04" w14:paraId="6B54C992" w14:textId="77777777" w:rsidTr="003735BC">
        <w:tc>
          <w:tcPr>
            <w:tcW w:w="2907" w:type="dxa"/>
          </w:tcPr>
          <w:p w14:paraId="68BF471C" w14:textId="77777777" w:rsidR="008E7846" w:rsidRPr="00D92C04" w:rsidRDefault="008E7846" w:rsidP="003D1E62">
            <w:r w:rsidRPr="00D92C04">
              <w:rPr>
                <w:i/>
              </w:rPr>
              <w:t>Decision</w:t>
            </w:r>
            <w:r w:rsidRPr="00D92C04">
              <w:t>:</w:t>
            </w:r>
          </w:p>
        </w:tc>
        <w:tc>
          <w:tcPr>
            <w:tcW w:w="6307" w:type="dxa"/>
          </w:tcPr>
          <w:p w14:paraId="0D17F669" w14:textId="614C3734" w:rsidR="008E7846" w:rsidRPr="00D92C04" w:rsidRDefault="00460036" w:rsidP="001B5C90">
            <w:r w:rsidRPr="00D92C04">
              <w:t>Approved</w:t>
            </w:r>
          </w:p>
        </w:tc>
      </w:tr>
      <w:tr w:rsidR="008E7846" w:rsidRPr="00D92C04" w14:paraId="6B6D8CC1" w14:textId="77777777" w:rsidTr="003735BC">
        <w:tc>
          <w:tcPr>
            <w:tcW w:w="2907" w:type="dxa"/>
          </w:tcPr>
          <w:p w14:paraId="2EC5E56B" w14:textId="77777777" w:rsidR="008E7846" w:rsidRPr="00D92C04" w:rsidRDefault="008E7846" w:rsidP="001B5C90">
            <w:pPr>
              <w:rPr>
                <w:i/>
              </w:rPr>
            </w:pPr>
            <w:r w:rsidRPr="00D92C04">
              <w:rPr>
                <w:i/>
              </w:rPr>
              <w:t xml:space="preserve">Date of </w:t>
            </w:r>
            <w:r w:rsidR="001B5C90" w:rsidRPr="00D92C04">
              <w:rPr>
                <w:i/>
              </w:rPr>
              <w:t>d</w:t>
            </w:r>
            <w:r w:rsidRPr="00D92C04">
              <w:rPr>
                <w:i/>
              </w:rPr>
              <w:t>ecision:</w:t>
            </w:r>
          </w:p>
        </w:tc>
        <w:tc>
          <w:tcPr>
            <w:tcW w:w="6307" w:type="dxa"/>
          </w:tcPr>
          <w:p w14:paraId="78FF0B9D" w14:textId="2EF35966" w:rsidR="008E7846" w:rsidRPr="00D92C04" w:rsidRDefault="002478B9" w:rsidP="001B5C90">
            <w:r w:rsidRPr="00D92C04">
              <w:t>7 October 2021</w:t>
            </w:r>
          </w:p>
        </w:tc>
      </w:tr>
      <w:tr w:rsidR="00ED2922" w:rsidRPr="00D92C04" w14:paraId="7BF67815" w14:textId="77777777" w:rsidTr="003735BC">
        <w:tc>
          <w:tcPr>
            <w:tcW w:w="2907" w:type="dxa"/>
          </w:tcPr>
          <w:p w14:paraId="64BDB8BB" w14:textId="77777777" w:rsidR="00ED2922" w:rsidRPr="00D92C04" w:rsidRDefault="00ED2922" w:rsidP="001B5C90">
            <w:pPr>
              <w:rPr>
                <w:i/>
              </w:rPr>
            </w:pPr>
            <w:r w:rsidRPr="00D92C04">
              <w:rPr>
                <w:i/>
              </w:rPr>
              <w:t>Date of entry onto ARTG</w:t>
            </w:r>
            <w:r w:rsidR="00500337" w:rsidRPr="00D92C04">
              <w:rPr>
                <w:i/>
              </w:rPr>
              <w:t>:</w:t>
            </w:r>
          </w:p>
        </w:tc>
        <w:tc>
          <w:tcPr>
            <w:tcW w:w="6307" w:type="dxa"/>
          </w:tcPr>
          <w:p w14:paraId="5D64B812" w14:textId="4FF915F1" w:rsidR="00ED2922" w:rsidRPr="00D92C04" w:rsidRDefault="002478B9" w:rsidP="00D153D8">
            <w:pPr>
              <w:rPr>
                <w:i/>
              </w:rPr>
            </w:pPr>
            <w:r w:rsidRPr="00D92C04">
              <w:t>7 October 2021</w:t>
            </w:r>
            <w:r w:rsidR="00245732" w:rsidRPr="00D92C04">
              <w:rPr>
                <w:i/>
              </w:rPr>
              <w:t xml:space="preserve"> </w:t>
            </w:r>
          </w:p>
        </w:tc>
      </w:tr>
      <w:tr w:rsidR="00500337" w:rsidRPr="00D92C04" w14:paraId="6BC53EB1" w14:textId="77777777" w:rsidTr="003735BC">
        <w:tc>
          <w:tcPr>
            <w:tcW w:w="2907" w:type="dxa"/>
          </w:tcPr>
          <w:p w14:paraId="3969ACE6" w14:textId="460F14D5" w:rsidR="00500337" w:rsidRPr="00D92C04" w:rsidRDefault="00500337" w:rsidP="001B5C90">
            <w:pPr>
              <w:rPr>
                <w:i/>
              </w:rPr>
            </w:pPr>
            <w:r w:rsidRPr="00D92C04">
              <w:rPr>
                <w:i/>
              </w:rPr>
              <w:t>ARTG number:</w:t>
            </w:r>
          </w:p>
        </w:tc>
        <w:tc>
          <w:tcPr>
            <w:tcW w:w="6307" w:type="dxa"/>
          </w:tcPr>
          <w:p w14:paraId="261AC35B" w14:textId="31CD5817" w:rsidR="00500337" w:rsidRPr="00D92C04" w:rsidRDefault="002478B9" w:rsidP="00EC463D">
            <w:r w:rsidRPr="00D92C04">
              <w:t>338475</w:t>
            </w:r>
          </w:p>
        </w:tc>
      </w:tr>
      <w:tr w:rsidR="003735BC" w:rsidRPr="00D92C04" w14:paraId="5B71855D" w14:textId="77777777" w:rsidTr="003735BC">
        <w:tc>
          <w:tcPr>
            <w:tcW w:w="2907" w:type="dxa"/>
          </w:tcPr>
          <w:p w14:paraId="0902F4D4" w14:textId="77777777" w:rsidR="003735BC" w:rsidRPr="00D92C04" w:rsidRDefault="00FA5069" w:rsidP="001B5C90">
            <w:pPr>
              <w:rPr>
                <w:i/>
              </w:rPr>
            </w:pPr>
            <w:r w:rsidRPr="00D92C04">
              <w:rPr>
                <w:rFonts w:ascii="Wingdings 3" w:hAnsi="Wingdings 3"/>
                <w:sz w:val="34"/>
                <w:szCs w:val="34"/>
                <w:lang w:eastAsia="en-AU"/>
              </w:rPr>
              <w:t></w:t>
            </w:r>
            <w:r w:rsidR="003735BC" w:rsidRPr="00D92C04">
              <w:rPr>
                <w:i/>
              </w:rPr>
              <w:t>Black Triangle Scheme</w:t>
            </w:r>
            <w:r w:rsidR="004C4FBE" w:rsidRPr="00D92C04">
              <w:rPr>
                <w:i/>
              </w:rPr>
              <w:t>:</w:t>
            </w:r>
            <w:r w:rsidR="00460036" w:rsidRPr="00D92C04">
              <w:rPr>
                <w:rStyle w:val="FootnoteReference"/>
                <w:i/>
              </w:rPr>
              <w:footnoteReference w:id="1"/>
            </w:r>
          </w:p>
        </w:tc>
        <w:tc>
          <w:tcPr>
            <w:tcW w:w="6307" w:type="dxa"/>
          </w:tcPr>
          <w:p w14:paraId="51772B7A" w14:textId="2DB933B6" w:rsidR="003735BC" w:rsidRPr="00D92C04" w:rsidRDefault="003735BC" w:rsidP="003735BC">
            <w:r w:rsidRPr="00D92C04">
              <w:t>Yes</w:t>
            </w:r>
            <w:r w:rsidR="002478B9" w:rsidRPr="00D92C04">
              <w:t>.</w:t>
            </w:r>
          </w:p>
          <w:p w14:paraId="733BE29D" w14:textId="1ACD2410" w:rsidR="003735BC" w:rsidRPr="00D92C04" w:rsidRDefault="003735BC" w:rsidP="003735BC">
            <w:r w:rsidRPr="00D92C04">
              <w:t>This product will remain in the scheme for 5 years, starting on the date the product is first supplied in Australia</w:t>
            </w:r>
            <w:r w:rsidR="002478B9" w:rsidRPr="00D92C04">
              <w:t>.</w:t>
            </w:r>
          </w:p>
        </w:tc>
      </w:tr>
      <w:tr w:rsidR="008E7846" w:rsidRPr="00D92C04" w14:paraId="5FABD76F" w14:textId="77777777" w:rsidTr="00BF1190">
        <w:tc>
          <w:tcPr>
            <w:tcW w:w="2907" w:type="dxa"/>
          </w:tcPr>
          <w:p w14:paraId="454A2F50" w14:textId="77777777" w:rsidR="008E7846" w:rsidRPr="00D92C04" w:rsidRDefault="008E7846" w:rsidP="001B5C90">
            <w:pPr>
              <w:rPr>
                <w:i/>
              </w:rPr>
            </w:pPr>
            <w:r w:rsidRPr="00D92C04">
              <w:rPr>
                <w:i/>
              </w:rPr>
              <w:t xml:space="preserve">Sponsor’s </w:t>
            </w:r>
            <w:r w:rsidR="001B5C90" w:rsidRPr="00D92C04">
              <w:rPr>
                <w:i/>
              </w:rPr>
              <w:t>n</w:t>
            </w:r>
            <w:r w:rsidRPr="00D92C04">
              <w:rPr>
                <w:i/>
              </w:rPr>
              <w:t xml:space="preserve">ame and </w:t>
            </w:r>
            <w:r w:rsidR="001B5C90" w:rsidRPr="00D92C04">
              <w:rPr>
                <w:i/>
              </w:rPr>
              <w:t>a</w:t>
            </w:r>
            <w:r w:rsidRPr="00D92C04">
              <w:rPr>
                <w:i/>
              </w:rPr>
              <w:t>ddress:</w:t>
            </w:r>
          </w:p>
        </w:tc>
        <w:tc>
          <w:tcPr>
            <w:tcW w:w="6307" w:type="dxa"/>
          </w:tcPr>
          <w:p w14:paraId="3C85EE0F" w14:textId="77777777" w:rsidR="008E7846" w:rsidRPr="00D92C04" w:rsidRDefault="002478B9" w:rsidP="00E45619">
            <w:pPr>
              <w:rPr>
                <w:lang w:val="es-ES"/>
              </w:rPr>
            </w:pPr>
            <w:proofErr w:type="spellStart"/>
            <w:r w:rsidRPr="00D92C04">
              <w:rPr>
                <w:lang w:val="es-ES"/>
              </w:rPr>
              <w:t>BeiGene</w:t>
            </w:r>
            <w:proofErr w:type="spellEnd"/>
            <w:r w:rsidRPr="00D92C04">
              <w:rPr>
                <w:lang w:val="es-ES"/>
              </w:rPr>
              <w:t xml:space="preserve"> AUS </w:t>
            </w:r>
            <w:proofErr w:type="spellStart"/>
            <w:r w:rsidRPr="00D92C04">
              <w:rPr>
                <w:lang w:val="es-ES"/>
              </w:rPr>
              <w:t>Pty</w:t>
            </w:r>
            <w:proofErr w:type="spellEnd"/>
            <w:r w:rsidRPr="00D92C04">
              <w:rPr>
                <w:lang w:val="es-ES"/>
              </w:rPr>
              <w:t xml:space="preserve"> </w:t>
            </w:r>
            <w:proofErr w:type="spellStart"/>
            <w:r w:rsidRPr="00D92C04">
              <w:rPr>
                <w:lang w:val="es-ES"/>
              </w:rPr>
              <w:t>Ltd</w:t>
            </w:r>
            <w:proofErr w:type="spellEnd"/>
          </w:p>
          <w:p w14:paraId="6B5BD21E" w14:textId="77777777" w:rsidR="002478B9" w:rsidRPr="00D92C04" w:rsidRDefault="002478B9" w:rsidP="00E45619">
            <w:pPr>
              <w:rPr>
                <w:lang w:val="es-ES"/>
              </w:rPr>
            </w:pPr>
            <w:r w:rsidRPr="00D92C04">
              <w:rPr>
                <w:lang w:val="es-ES"/>
              </w:rPr>
              <w:t>1C/528 Compton Road</w:t>
            </w:r>
          </w:p>
          <w:p w14:paraId="4A05E841" w14:textId="3A445ACA" w:rsidR="002478B9" w:rsidRPr="00D92C04" w:rsidRDefault="002478B9" w:rsidP="00E45619">
            <w:proofErr w:type="spellStart"/>
            <w:r w:rsidRPr="00D92C04">
              <w:rPr>
                <w:lang w:val="es-ES"/>
              </w:rPr>
              <w:t>Stretton</w:t>
            </w:r>
            <w:proofErr w:type="spellEnd"/>
            <w:r w:rsidRPr="00D92C04">
              <w:rPr>
                <w:lang w:val="es-ES"/>
              </w:rPr>
              <w:t xml:space="preserve"> QLD 4116</w:t>
            </w:r>
          </w:p>
        </w:tc>
      </w:tr>
      <w:tr w:rsidR="008E7846" w:rsidRPr="00D92C04" w14:paraId="36D1B32C" w14:textId="77777777" w:rsidTr="00BF1190">
        <w:tc>
          <w:tcPr>
            <w:tcW w:w="2907" w:type="dxa"/>
          </w:tcPr>
          <w:p w14:paraId="5E74A4A6" w14:textId="75334CF1" w:rsidR="008E7846" w:rsidRPr="00D92C04" w:rsidRDefault="001B5C90" w:rsidP="00E45619">
            <w:pPr>
              <w:rPr>
                <w:i/>
              </w:rPr>
            </w:pPr>
            <w:r w:rsidRPr="00D92C04">
              <w:rPr>
                <w:i/>
              </w:rPr>
              <w:t>Dose form:</w:t>
            </w:r>
          </w:p>
        </w:tc>
        <w:tc>
          <w:tcPr>
            <w:tcW w:w="6307" w:type="dxa"/>
          </w:tcPr>
          <w:p w14:paraId="3BDD60A7" w14:textId="7F2EF970" w:rsidR="008E7846" w:rsidRPr="00D92C04" w:rsidRDefault="002478B9" w:rsidP="00E45619">
            <w:r w:rsidRPr="00D92C04">
              <w:t>Capsule</w:t>
            </w:r>
          </w:p>
        </w:tc>
      </w:tr>
      <w:tr w:rsidR="008E7846" w:rsidRPr="00D92C04" w14:paraId="3EC1CA0C" w14:textId="77777777" w:rsidTr="00BF1190">
        <w:tc>
          <w:tcPr>
            <w:tcW w:w="2907" w:type="dxa"/>
          </w:tcPr>
          <w:p w14:paraId="25D363EC" w14:textId="11570CC7" w:rsidR="008E7846" w:rsidRPr="00D92C04" w:rsidRDefault="00324E45" w:rsidP="00E45619">
            <w:pPr>
              <w:rPr>
                <w:i/>
              </w:rPr>
            </w:pPr>
            <w:r w:rsidRPr="00D92C04">
              <w:rPr>
                <w:i/>
              </w:rPr>
              <w:t>Strength:</w:t>
            </w:r>
          </w:p>
        </w:tc>
        <w:tc>
          <w:tcPr>
            <w:tcW w:w="6307" w:type="dxa"/>
          </w:tcPr>
          <w:p w14:paraId="39AD0C68" w14:textId="5BE64829" w:rsidR="008E7846" w:rsidRPr="00D92C04" w:rsidRDefault="002478B9" w:rsidP="00E45619">
            <w:r w:rsidRPr="00D92C04">
              <w:t>80 mg</w:t>
            </w:r>
          </w:p>
        </w:tc>
      </w:tr>
      <w:tr w:rsidR="008E7846" w:rsidRPr="00D92C04" w14:paraId="79D4D972" w14:textId="77777777" w:rsidTr="00BF1190">
        <w:tc>
          <w:tcPr>
            <w:tcW w:w="2907" w:type="dxa"/>
          </w:tcPr>
          <w:p w14:paraId="2B710727" w14:textId="51E66908" w:rsidR="008E7846" w:rsidRPr="00D92C04" w:rsidRDefault="008E7846" w:rsidP="00E45619">
            <w:pPr>
              <w:rPr>
                <w:i/>
              </w:rPr>
            </w:pPr>
            <w:r w:rsidRPr="00D92C04">
              <w:rPr>
                <w:i/>
              </w:rPr>
              <w:t>Container:</w:t>
            </w:r>
          </w:p>
        </w:tc>
        <w:tc>
          <w:tcPr>
            <w:tcW w:w="6307" w:type="dxa"/>
          </w:tcPr>
          <w:p w14:paraId="2A2C2003" w14:textId="48613B36" w:rsidR="008E7846" w:rsidRPr="00D92C04" w:rsidRDefault="002478B9" w:rsidP="00E45619">
            <w:r w:rsidRPr="00D92C04">
              <w:t>Bottle</w:t>
            </w:r>
          </w:p>
        </w:tc>
      </w:tr>
      <w:tr w:rsidR="008E7846" w:rsidRPr="00D92C04" w14:paraId="271E1759" w14:textId="77777777" w:rsidTr="00BF1190">
        <w:tc>
          <w:tcPr>
            <w:tcW w:w="2907" w:type="dxa"/>
          </w:tcPr>
          <w:p w14:paraId="75A6D9C1" w14:textId="4B87EF22" w:rsidR="008E7846" w:rsidRPr="00D92C04" w:rsidRDefault="008E7846" w:rsidP="00E45619">
            <w:pPr>
              <w:rPr>
                <w:i/>
              </w:rPr>
            </w:pPr>
            <w:r w:rsidRPr="00D92C04">
              <w:rPr>
                <w:i/>
              </w:rPr>
              <w:t>Pack size:</w:t>
            </w:r>
          </w:p>
        </w:tc>
        <w:tc>
          <w:tcPr>
            <w:tcW w:w="6307" w:type="dxa"/>
          </w:tcPr>
          <w:p w14:paraId="1CFCBE52" w14:textId="537368CF" w:rsidR="008E7846" w:rsidRPr="00D92C04" w:rsidRDefault="002478B9" w:rsidP="00E45619">
            <w:r w:rsidRPr="00D92C04">
              <w:t>120</w:t>
            </w:r>
          </w:p>
        </w:tc>
      </w:tr>
      <w:tr w:rsidR="008E7846" w:rsidRPr="00D92C04" w14:paraId="61406245" w14:textId="77777777" w:rsidTr="00BF1190">
        <w:tc>
          <w:tcPr>
            <w:tcW w:w="2907" w:type="dxa"/>
          </w:tcPr>
          <w:p w14:paraId="487276B7" w14:textId="77777777" w:rsidR="008E7846" w:rsidRPr="00D92C04" w:rsidRDefault="008E7846" w:rsidP="001B5C90">
            <w:pPr>
              <w:rPr>
                <w:i/>
              </w:rPr>
            </w:pPr>
            <w:r w:rsidRPr="00D92C04">
              <w:rPr>
                <w:i/>
              </w:rPr>
              <w:t xml:space="preserve">Approved </w:t>
            </w:r>
            <w:r w:rsidR="001B5C90" w:rsidRPr="00D92C04">
              <w:rPr>
                <w:i/>
              </w:rPr>
              <w:t>t</w:t>
            </w:r>
            <w:r w:rsidRPr="00D92C04">
              <w:rPr>
                <w:i/>
              </w:rPr>
              <w:t>herapeutic use:</w:t>
            </w:r>
          </w:p>
        </w:tc>
        <w:tc>
          <w:tcPr>
            <w:tcW w:w="6307" w:type="dxa"/>
          </w:tcPr>
          <w:p w14:paraId="5968B706" w14:textId="77777777" w:rsidR="002478B9" w:rsidRPr="00D92C04" w:rsidRDefault="002478B9" w:rsidP="002478B9">
            <w:pPr>
              <w:rPr>
                <w:b/>
                <w:bCs/>
                <w:i/>
                <w:iCs/>
              </w:rPr>
            </w:pPr>
            <w:r w:rsidRPr="00D92C04">
              <w:rPr>
                <w:b/>
                <w:bCs/>
                <w:i/>
                <w:iCs/>
              </w:rPr>
              <w:t>Waldenström’s macroglobulinemia (WM)</w:t>
            </w:r>
          </w:p>
          <w:p w14:paraId="6A412BF6" w14:textId="0A1A0899" w:rsidR="002478B9" w:rsidRPr="00D92C04" w:rsidRDefault="002478B9" w:rsidP="00E45619">
            <w:pPr>
              <w:rPr>
                <w:i/>
                <w:iCs/>
              </w:rPr>
            </w:pPr>
            <w:r w:rsidRPr="00D92C04">
              <w:rPr>
                <w:i/>
                <w:iCs/>
              </w:rPr>
              <w:t>Brukinsa is indicated for the treatment of adult patients with Waldenström’s macroglobulinaemia (WM) who have received at least one prior therapy, or in first line treatment for patients unsuitable for chemo-immunotherapy.</w:t>
            </w:r>
          </w:p>
        </w:tc>
      </w:tr>
      <w:tr w:rsidR="008E7846" w:rsidRPr="00D92C04" w14:paraId="1C75C36F" w14:textId="77777777" w:rsidTr="00BF1190">
        <w:tc>
          <w:tcPr>
            <w:tcW w:w="2907" w:type="dxa"/>
          </w:tcPr>
          <w:p w14:paraId="7E06CC1A" w14:textId="34F8C9CB" w:rsidR="008E7846" w:rsidRPr="00D92C04" w:rsidRDefault="008E7846" w:rsidP="00E45619">
            <w:pPr>
              <w:rPr>
                <w:i/>
              </w:rPr>
            </w:pPr>
            <w:r w:rsidRPr="00D92C04">
              <w:rPr>
                <w:i/>
              </w:rPr>
              <w:t>Route of administration:</w:t>
            </w:r>
          </w:p>
        </w:tc>
        <w:tc>
          <w:tcPr>
            <w:tcW w:w="6307" w:type="dxa"/>
          </w:tcPr>
          <w:p w14:paraId="65D0F5E2" w14:textId="46EDBC61" w:rsidR="008E7846" w:rsidRPr="00D92C04" w:rsidRDefault="002478B9" w:rsidP="00E45619">
            <w:r w:rsidRPr="00D92C04">
              <w:t>Oral</w:t>
            </w:r>
          </w:p>
        </w:tc>
      </w:tr>
      <w:tr w:rsidR="008E7846" w:rsidRPr="00D92C04" w14:paraId="0871E9FC" w14:textId="77777777" w:rsidTr="00BF1190">
        <w:tc>
          <w:tcPr>
            <w:tcW w:w="2907" w:type="dxa"/>
          </w:tcPr>
          <w:p w14:paraId="6CD7351D" w14:textId="77777777" w:rsidR="008E7846" w:rsidRPr="00D92C04" w:rsidRDefault="008E7846" w:rsidP="00E45619">
            <w:pPr>
              <w:rPr>
                <w:i/>
              </w:rPr>
            </w:pPr>
            <w:r w:rsidRPr="00D92C04">
              <w:rPr>
                <w:i/>
              </w:rPr>
              <w:t>Dosage:</w:t>
            </w:r>
          </w:p>
        </w:tc>
        <w:tc>
          <w:tcPr>
            <w:tcW w:w="6307" w:type="dxa"/>
          </w:tcPr>
          <w:p w14:paraId="28F0DD62" w14:textId="77777777" w:rsidR="002478B9" w:rsidRPr="00D92C04" w:rsidRDefault="002478B9" w:rsidP="002478B9">
            <w:r w:rsidRPr="00D92C04">
              <w:t>The recommended total daily oral dose of zanubrutinib is 320 mg. Zanubrutinib may be taken as either 320 mg (four 80 mg capsules) once daily, or as 160 mg (two 80 mg capsules) twice daily.</w:t>
            </w:r>
          </w:p>
          <w:p w14:paraId="6554FCC4" w14:textId="77777777" w:rsidR="00460036" w:rsidRPr="00D92C04" w:rsidRDefault="00460036" w:rsidP="00E45619">
            <w:r w:rsidRPr="00D92C04">
              <w:lastRenderedPageBreak/>
              <w:t>For further information regarding dosage, refer to the Product Information.</w:t>
            </w:r>
          </w:p>
        </w:tc>
      </w:tr>
      <w:tr w:rsidR="00460036" w:rsidRPr="00D92C04" w14:paraId="7CC3BF65" w14:textId="77777777" w:rsidTr="00BF1190">
        <w:tc>
          <w:tcPr>
            <w:tcW w:w="2907" w:type="dxa"/>
          </w:tcPr>
          <w:p w14:paraId="152A28EA" w14:textId="77777777" w:rsidR="00460036" w:rsidRPr="00D92C04" w:rsidRDefault="00460036" w:rsidP="00E45619">
            <w:pPr>
              <w:rPr>
                <w:i/>
              </w:rPr>
            </w:pPr>
            <w:r w:rsidRPr="00D92C04">
              <w:rPr>
                <w:i/>
              </w:rPr>
              <w:lastRenderedPageBreak/>
              <w:t>Pregnancy category:</w:t>
            </w:r>
          </w:p>
        </w:tc>
        <w:tc>
          <w:tcPr>
            <w:tcW w:w="6307" w:type="dxa"/>
          </w:tcPr>
          <w:p w14:paraId="0B26C09B" w14:textId="77777777" w:rsidR="002478B9" w:rsidRPr="00D92C04" w:rsidRDefault="002478B9" w:rsidP="002478B9">
            <w:r w:rsidRPr="00D92C04">
              <w:t>D</w:t>
            </w:r>
          </w:p>
          <w:p w14:paraId="68B7C04A" w14:textId="77777777" w:rsidR="002478B9" w:rsidRPr="00D92C04" w:rsidRDefault="002478B9" w:rsidP="002478B9">
            <w:r w:rsidRPr="00D92C0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18B54278" w14:textId="377C0F4E" w:rsidR="00460036" w:rsidRPr="00D92C04" w:rsidRDefault="00460036" w:rsidP="00460036">
            <w:r w:rsidRPr="00D92C04">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C9282AB" w14:textId="77777777" w:rsidR="008E7846" w:rsidRPr="00D92C04" w:rsidRDefault="008E7846" w:rsidP="008E7846">
      <w:pPr>
        <w:pStyle w:val="Heading3"/>
      </w:pPr>
      <w:bookmarkStart w:id="29" w:name="_Toc247691503"/>
      <w:bookmarkStart w:id="30" w:name="_Toc314842484"/>
      <w:bookmarkStart w:id="31" w:name="_Toc111138564"/>
      <w:r w:rsidRPr="00D92C04">
        <w:t>Product background</w:t>
      </w:r>
      <w:bookmarkEnd w:id="29"/>
      <w:bookmarkEnd w:id="30"/>
      <w:bookmarkEnd w:id="31"/>
    </w:p>
    <w:p w14:paraId="1BABD96D" w14:textId="74DB644B" w:rsidR="008E7846" w:rsidRPr="00D92C04" w:rsidRDefault="00250271" w:rsidP="00940A89">
      <w:r w:rsidRPr="00D92C04">
        <w:t xml:space="preserve">This AusPAR describes the application by </w:t>
      </w:r>
      <w:proofErr w:type="spellStart"/>
      <w:r w:rsidR="00205706" w:rsidRPr="00D92C04">
        <w:t>BeiGene</w:t>
      </w:r>
      <w:proofErr w:type="spellEnd"/>
      <w:r w:rsidR="00205706" w:rsidRPr="00D92C04">
        <w:t xml:space="preserve"> AUS Pty Ltd </w:t>
      </w:r>
      <w:r w:rsidRPr="00D92C04">
        <w:t xml:space="preserve">(the sponsor) to register </w:t>
      </w:r>
      <w:r w:rsidR="002478B9" w:rsidRPr="00D92C04">
        <w:t xml:space="preserve">Brukinsa </w:t>
      </w:r>
      <w:r w:rsidRPr="00D92C04">
        <w:t>(</w:t>
      </w:r>
      <w:r w:rsidR="002478B9" w:rsidRPr="00D92C04">
        <w:t>zanubrutinib</w:t>
      </w:r>
      <w:r w:rsidRPr="00D92C04">
        <w:t xml:space="preserve">) </w:t>
      </w:r>
      <w:r w:rsidR="00882CE7" w:rsidRPr="00D92C04">
        <w:t>80 mg</w:t>
      </w:r>
      <w:r w:rsidRPr="00D92C04">
        <w:t xml:space="preserve">, </w:t>
      </w:r>
      <w:r w:rsidR="00882CE7" w:rsidRPr="00D92C04">
        <w:t>capsule</w:t>
      </w:r>
      <w:r w:rsidRPr="00D92C04">
        <w:t xml:space="preserve"> for the following proposed indication</w:t>
      </w:r>
      <w:r w:rsidR="00CF5DAD" w:rsidRPr="00D92C04">
        <w:t>:</w:t>
      </w:r>
    </w:p>
    <w:p w14:paraId="0D6E7E28" w14:textId="4832470D" w:rsidR="00205706" w:rsidRPr="00D92C04" w:rsidRDefault="009A54DE" w:rsidP="00205706">
      <w:pPr>
        <w:ind w:left="720"/>
        <w:rPr>
          <w:i/>
          <w:iCs/>
        </w:rPr>
      </w:pPr>
      <w:r w:rsidRPr="00D92C04">
        <w:rPr>
          <w:i/>
          <w:iCs/>
        </w:rPr>
        <w:t xml:space="preserve">Brukinsa </w:t>
      </w:r>
      <w:r w:rsidR="00205706" w:rsidRPr="00D92C04">
        <w:rPr>
          <w:i/>
          <w:iCs/>
        </w:rPr>
        <w:t xml:space="preserve">is indicated for the treatment of adult patients with </w:t>
      </w:r>
      <w:r w:rsidRPr="00D92C04">
        <w:rPr>
          <w:i/>
          <w:iCs/>
        </w:rPr>
        <w:t>Waldenström</w:t>
      </w:r>
      <w:r w:rsidR="00205706" w:rsidRPr="00D92C04">
        <w:rPr>
          <w:i/>
          <w:iCs/>
        </w:rPr>
        <w:t>’s macroglobulinaemia (WM) who have received at least one prior therapy, or in first line treatment for patients unsuitable for chemoimmunotherapy.</w:t>
      </w:r>
    </w:p>
    <w:p w14:paraId="6CDDDFD1" w14:textId="2FC85425" w:rsidR="00205706" w:rsidRPr="00D92C04" w:rsidRDefault="00205706" w:rsidP="00205706">
      <w:bookmarkStart w:id="32" w:name="_Hlk104389425"/>
      <w:r w:rsidRPr="00D92C04">
        <w:t>Waldenström</w:t>
      </w:r>
      <w:bookmarkEnd w:id="32"/>
      <w:r w:rsidRPr="00D92C04">
        <w:t>’s macroglobulinemia (WM) is a generally indolent and relatively rare B</w:t>
      </w:r>
      <w:r w:rsidR="009A54DE" w:rsidRPr="00D92C04">
        <w:noBreakHyphen/>
      </w:r>
      <w:r w:rsidRPr="00D92C04">
        <w:t xml:space="preserve">cell malignancy, characterised by the overproduction and bone marrow infiltration of monoclonal, </w:t>
      </w:r>
      <w:r w:rsidR="00FE3607" w:rsidRPr="00D92C04">
        <w:t>immunoglobulin M (</w:t>
      </w:r>
      <w:r w:rsidRPr="00D92C04">
        <w:t>IgM</w:t>
      </w:r>
      <w:r w:rsidR="00FE3607" w:rsidRPr="00D92C04">
        <w:t>)</w:t>
      </w:r>
      <w:r w:rsidR="009A54DE" w:rsidRPr="00D92C04">
        <w:t xml:space="preserve"> </w:t>
      </w:r>
      <w:r w:rsidRPr="00D92C04">
        <w:t xml:space="preserve">secreting, lymphoplasmacytic cells. The presence of monoclonal IgM protein adds a unique dimension to the disorder because it can result in </w:t>
      </w:r>
      <w:proofErr w:type="spellStart"/>
      <w:r w:rsidRPr="00D92C04">
        <w:t>hyperviscosity</w:t>
      </w:r>
      <w:proofErr w:type="spellEnd"/>
      <w:r w:rsidRPr="00D92C04">
        <w:t xml:space="preserve"> syndrome, peripheral neuropathy, haemolytic anaemia, and immune complex vasculitis. In contrast to other lymphoid malignancies, the morbidity and mortality associated with WM is typically due to excessive concentration of serum IgM, rather than mass effect from tumour infiltration, and detection of IgM forms the basis of response assessment.</w:t>
      </w:r>
    </w:p>
    <w:p w14:paraId="16E04B2A" w14:textId="3D284308" w:rsidR="00205706" w:rsidRPr="00D92C04" w:rsidRDefault="00205706" w:rsidP="00205706">
      <w:r w:rsidRPr="00D92C04">
        <w:t xml:space="preserve">Activating mutations </w:t>
      </w:r>
      <w:r w:rsidR="00A916C6">
        <w:t xml:space="preserve">(mut) </w:t>
      </w:r>
      <w:r w:rsidRPr="00D92C04">
        <w:t xml:space="preserve">in the </w:t>
      </w:r>
      <w:r w:rsidR="00FE3607" w:rsidRPr="00D92C04">
        <w:t>myeloid differentiation primary response 88 (</w:t>
      </w:r>
      <w:r w:rsidRPr="00D92C04">
        <w:rPr>
          <w:i/>
          <w:iCs/>
        </w:rPr>
        <w:t>MYD88</w:t>
      </w:r>
      <w:r w:rsidR="00FE3607" w:rsidRPr="00D92C04">
        <w:t>)</w:t>
      </w:r>
      <w:r w:rsidRPr="00D92C04">
        <w:t xml:space="preserve"> gene (</w:t>
      </w:r>
      <w:r w:rsidR="00FC53F8">
        <w:t xml:space="preserve">denoted as </w:t>
      </w:r>
      <w:r w:rsidR="00282154">
        <w:rPr>
          <w:i/>
          <w:iCs/>
        </w:rPr>
        <w:t>MYD</w:t>
      </w:r>
      <w:r w:rsidR="00FE3607" w:rsidRPr="00D92C04">
        <w:rPr>
          <w:i/>
          <w:iCs/>
        </w:rPr>
        <w:t>88</w:t>
      </w:r>
      <w:r w:rsidR="00FE3607" w:rsidRPr="00717109">
        <w:rPr>
          <w:i/>
          <w:iCs/>
          <w:vertAlign w:val="superscript"/>
        </w:rPr>
        <w:t>mut</w:t>
      </w:r>
      <w:r w:rsidRPr="00D92C04">
        <w:t xml:space="preserve">) are present in 67% to 90% of cases of WM. A second set of mutations with prognostic significance, found </w:t>
      </w:r>
      <w:r w:rsidR="00282154">
        <w:t>in</w:t>
      </w:r>
      <w:r w:rsidRPr="00D92C04">
        <w:t xml:space="preserve"> </w:t>
      </w:r>
      <w:r w:rsidR="00282154" w:rsidRPr="009B513C">
        <w:rPr>
          <w:i/>
        </w:rPr>
        <w:t>CXCR-4</w:t>
      </w:r>
      <w:r w:rsidR="00282154">
        <w:t xml:space="preserve">, the gene encoding for the C-X-C </w:t>
      </w:r>
      <w:r w:rsidRPr="00D92C04">
        <w:t xml:space="preserve">chemokine receptor </w:t>
      </w:r>
      <w:r w:rsidR="00282154">
        <w:t xml:space="preserve">type </w:t>
      </w:r>
      <w:r w:rsidRPr="00D92C04">
        <w:t>4</w:t>
      </w:r>
      <w:r w:rsidR="00282154">
        <w:t xml:space="preserve"> </w:t>
      </w:r>
      <w:r w:rsidRPr="00D92C04">
        <w:t xml:space="preserve">are seen in approximately 30% of cases. Either or </w:t>
      </w:r>
      <w:proofErr w:type="gramStart"/>
      <w:r w:rsidRPr="00D92C04">
        <w:t>both of these</w:t>
      </w:r>
      <w:proofErr w:type="gramEnd"/>
      <w:r w:rsidRPr="00D92C04">
        <w:t xml:space="preserve"> mutations can be found in patients.</w:t>
      </w:r>
    </w:p>
    <w:p w14:paraId="35B05603" w14:textId="78399155" w:rsidR="00205706" w:rsidRPr="00D92C04" w:rsidRDefault="009A54DE" w:rsidP="00205706">
      <w:r w:rsidRPr="00D92C04">
        <w:t xml:space="preserve">Waldenström’s macroglobulinemia (WM) </w:t>
      </w:r>
      <w:r w:rsidR="00205706" w:rsidRPr="00D92C04">
        <w:t xml:space="preserve">has an overall incidence of </w:t>
      </w:r>
      <w:r w:rsidRPr="00D92C04">
        <w:t>one</w:t>
      </w:r>
      <w:r w:rsidR="00205706" w:rsidRPr="00D92C04">
        <w:t xml:space="preserve"> in 260,000 persons per year in the United States</w:t>
      </w:r>
      <w:r w:rsidR="002D60E3" w:rsidRPr="00D92C04">
        <w:t xml:space="preserve"> of America</w:t>
      </w:r>
      <w:r w:rsidR="00205706" w:rsidRPr="00D92C04">
        <w:t xml:space="preserve"> </w:t>
      </w:r>
      <w:r w:rsidRPr="00D92C04">
        <w:t xml:space="preserve">(USA) </w:t>
      </w:r>
      <w:r w:rsidR="00205706" w:rsidRPr="00D92C04">
        <w:t>and a prevalence estimate of about 1.4 in every 10,000 persons in the European Union</w:t>
      </w:r>
      <w:r w:rsidRPr="00D92C04">
        <w:t xml:space="preserve"> (EU)</w:t>
      </w:r>
      <w:r w:rsidR="00205706" w:rsidRPr="00D92C04">
        <w:t>.</w:t>
      </w:r>
      <w:r w:rsidR="00955D78">
        <w:rPr>
          <w:rStyle w:val="FootnoteReference"/>
        </w:rPr>
        <w:footnoteReference w:id="2"/>
      </w:r>
      <w:r w:rsidR="00205706" w:rsidRPr="00D92C04">
        <w:t xml:space="preserve"> In Australia, the incidence of WM has been estimated to be 0.16 to 0.32 per 100,000 in males and 0.11 to 0.22 per 100,000 in females.</w:t>
      </w:r>
      <w:r w:rsidR="00955D78">
        <w:rPr>
          <w:rStyle w:val="FootnoteReference"/>
        </w:rPr>
        <w:footnoteReference w:id="3"/>
      </w:r>
      <w:r w:rsidR="00205706" w:rsidRPr="00D92C04">
        <w:t xml:space="preserve"> WM is a disease of the elderly, with a median age of 63 to 68 years. </w:t>
      </w:r>
      <w:r w:rsidR="00205706" w:rsidRPr="00D92C04">
        <w:lastRenderedPageBreak/>
        <w:t>There is a male predominance, with incidence twice as high in men than in women, and higher in whites than blacks and other races.</w:t>
      </w:r>
    </w:p>
    <w:p w14:paraId="48E07D11" w14:textId="25988633" w:rsidR="00205706" w:rsidRPr="00D92C04" w:rsidRDefault="00205706" w:rsidP="00205706">
      <w:r w:rsidRPr="00D92C04">
        <w:t xml:space="preserve">Although WM is classified as an indolent disease, it poses a major clinical challenge for the treating physician, as it often causes considerable morbidity in the mostly elderly patient population. Despite substantial progress in treating WM patients, only few patients achieve complete remission, and relapse has not been preventable despite improved therapeutic tools such as the first-in-class </w:t>
      </w:r>
      <w:r w:rsidR="002D60E3" w:rsidRPr="00D92C04">
        <w:t>Bruton’s tyrosine kinase (</w:t>
      </w:r>
      <w:r w:rsidRPr="00D92C04">
        <w:t>BTK</w:t>
      </w:r>
      <w:r w:rsidR="002D60E3" w:rsidRPr="00D92C04">
        <w:t>)</w:t>
      </w:r>
      <w:r w:rsidRPr="00D92C04">
        <w:t xml:space="preserve"> inhibitor ibrutinib.</w:t>
      </w:r>
    </w:p>
    <w:p w14:paraId="74920CDC" w14:textId="28BC3248" w:rsidR="00205706" w:rsidRPr="00D92C04" w:rsidRDefault="00205706" w:rsidP="00205706">
      <w:r w:rsidRPr="00D92C04">
        <w:t>Therapeutic approaches for WM have historically been based on alkylating agents, anti</w:t>
      </w:r>
      <w:r w:rsidR="009A54DE" w:rsidRPr="00D92C04">
        <w:noBreakHyphen/>
      </w:r>
      <w:r w:rsidR="006125CF" w:rsidRPr="00D92C04">
        <w:t>cluster of differentiation 20 (</w:t>
      </w:r>
      <w:r w:rsidR="00F57354">
        <w:t>anti-</w:t>
      </w:r>
      <w:r w:rsidRPr="00D92C04">
        <w:t>CD20</w:t>
      </w:r>
      <w:r w:rsidR="006125CF" w:rsidRPr="00D92C04">
        <w:t>)</w:t>
      </w:r>
      <w:r w:rsidRPr="00D92C04">
        <w:t xml:space="preserve"> therapies, purine analogues, and proteasome inhibitors, used either as single agents or in combination, with the goal of long</w:t>
      </w:r>
      <w:r w:rsidR="00F57354">
        <w:t>-</w:t>
      </w:r>
      <w:r w:rsidRPr="00D92C04">
        <w:t xml:space="preserve">term control of plasma IgM levels, to which the morbidity and mortality associated with WM are related. Frontline treatments include dexamethasone, rituximab, and cyclophosphamide; bortezomib and rituximab; bortezomib, dexamethasone and rituximab; </w:t>
      </w:r>
      <w:proofErr w:type="spellStart"/>
      <w:r w:rsidRPr="00D92C04">
        <w:t>bendamustine</w:t>
      </w:r>
      <w:proofErr w:type="spellEnd"/>
      <w:r w:rsidRPr="00D92C04">
        <w:t xml:space="preserve"> and rituximab; rituximab alone; fludarabine.</w:t>
      </w:r>
    </w:p>
    <w:p w14:paraId="2204491D" w14:textId="33BE68DE" w:rsidR="00205706" w:rsidRPr="00D92C04" w:rsidRDefault="00205706" w:rsidP="00205706">
      <w:r w:rsidRPr="00D92C04">
        <w:t>Targeting B-cell receptor signalling through BTK inhibition represents a new approach for the management of B</w:t>
      </w:r>
      <w:r w:rsidR="009A54DE" w:rsidRPr="00D92C04">
        <w:t>-</w:t>
      </w:r>
      <w:r w:rsidRPr="00D92C04">
        <w:t>cell malignancies, including WM. An advantage of BTK inhibitors is that they offer a relatively non-myelosuppressive, non-immunosuppressive treatment option, avoiding two of the major toxicities of conventional therapies that confound the management of patients with these diseases. The first-in-class BTK inhibitor, ibrutinib, was approved for the treatment of patients with WM by the US Food and Drug Administration (FDA) and the European Medicines Agency (EMA) in 2015. Ibrutinib</w:t>
      </w:r>
      <w:r w:rsidR="00F039E5" w:rsidRPr="00D92C04">
        <w:t>;</w:t>
      </w:r>
      <w:r w:rsidR="00F039E5" w:rsidRPr="00D92C04">
        <w:rPr>
          <w:rStyle w:val="FootnoteReference"/>
        </w:rPr>
        <w:footnoteReference w:id="4"/>
      </w:r>
      <w:r w:rsidRPr="00D92C04">
        <w:t xml:space="preserve"> was approved </w:t>
      </w:r>
      <w:r w:rsidR="0036314A">
        <w:t>for use in</w:t>
      </w:r>
      <w:r w:rsidRPr="00D92C04">
        <w:t xml:space="preserve"> Australia in December 2016</w:t>
      </w:r>
      <w:r w:rsidR="00F57354">
        <w:t>;</w:t>
      </w:r>
      <w:r w:rsidR="00F57354">
        <w:rPr>
          <w:rStyle w:val="FootnoteReference"/>
        </w:rPr>
        <w:footnoteReference w:id="5"/>
      </w:r>
      <w:r w:rsidRPr="00D92C04">
        <w:t xml:space="preserve"> for the treatment of patients with WM who have received at least one prior therapy, or in first</w:t>
      </w:r>
      <w:r w:rsidR="008F2780" w:rsidRPr="00D92C04">
        <w:t xml:space="preserve"> </w:t>
      </w:r>
      <w:r w:rsidRPr="00D92C04">
        <w:t>line treatment of patients unsuitable for combination chemo-immunotherapy.</w:t>
      </w:r>
    </w:p>
    <w:p w14:paraId="4EC76C12" w14:textId="4F68D7EF" w:rsidR="00205706" w:rsidRPr="00D92C04" w:rsidRDefault="00205706" w:rsidP="00205706">
      <w:r w:rsidRPr="00D92C04">
        <w:t>Despite the benefit of ibrutinib treatment in patients with WM, adverse events, particularly cardiac events such as atrial fibrillation and hypertension, can be treatment</w:t>
      </w:r>
      <w:r w:rsidR="009A54DE" w:rsidRPr="00D92C04">
        <w:t xml:space="preserve"> </w:t>
      </w:r>
      <w:r w:rsidRPr="00D92C04">
        <w:t>limiting. Specific adverse events that have been associated with ibrutinib treatment discontinuation or disruption include atrial fibrillation, hypertension, bleeding, diarrhoea, and arthralgia. The sponsor is therefore of the opinion that while ibrutinib is active in WM, there remains a need for BTK inhibitors with improved pharmacologic properties resulting in high efficacy response rates with greater selectivity, and yielding a superior safety profile relative to ibrutinib in the treatment of WM.</w:t>
      </w:r>
    </w:p>
    <w:p w14:paraId="5389D26B" w14:textId="789392F0" w:rsidR="00205706" w:rsidRPr="00D92C04" w:rsidRDefault="00205706" w:rsidP="00205706">
      <w:r w:rsidRPr="00D92C04">
        <w:t>Zanubrutinib is a novel, oral, second generation BTK inhibitor designed to be more selective and have more favourable pharmacokinetic</w:t>
      </w:r>
      <w:r w:rsidR="005240F1" w:rsidRPr="00D92C04">
        <w:t xml:space="preserve"> (PK)</w:t>
      </w:r>
      <w:r w:rsidRPr="00D92C04">
        <w:t xml:space="preserve"> and pharmacodynamic </w:t>
      </w:r>
      <w:r w:rsidR="005240F1" w:rsidRPr="00D92C04">
        <w:t xml:space="preserve">(PD) </w:t>
      </w:r>
      <w:r w:rsidRPr="00D92C04">
        <w:t xml:space="preserve">properties than the approved first-in-class BTK inhibitor, ibrutinib. In preclinical studies, zanubrutinib demonstrated superior oral bioavailability, and achieved higher plasma exposure and more complete BTK inhibition in tissues than ibrutinib. In kinase inhibition and cell-based assays, </w:t>
      </w:r>
      <w:r w:rsidR="00EB5CAC">
        <w:t>zanubrutinib</w:t>
      </w:r>
      <w:r w:rsidR="00EB5CAC" w:rsidRPr="00D92C04">
        <w:t xml:space="preserve"> </w:t>
      </w:r>
      <w:r w:rsidRPr="00D92C04">
        <w:t>was more selective than ibrutinib for inhibition of BTK, exhibiting less off-target activity against epidermal growth factor receptor (EGFR), tyrosine kinase expressed in hepatocellular carcinoma, interleukin-2</w:t>
      </w:r>
      <w:r w:rsidR="009A54DE" w:rsidRPr="00D92C04">
        <w:t xml:space="preserve"> </w:t>
      </w:r>
      <w:r w:rsidRPr="00D92C04">
        <w:t>inducible T</w:t>
      </w:r>
      <w:r w:rsidR="009A54DE" w:rsidRPr="00D92C04">
        <w:t>-</w:t>
      </w:r>
      <w:r w:rsidRPr="00D92C04">
        <w:t>cell kinase (ITK) and other kinases, the inhibition of which have been implicated in ibrutinib</w:t>
      </w:r>
      <w:r w:rsidR="004F58C8">
        <w:noBreakHyphen/>
      </w:r>
      <w:r w:rsidRPr="00D92C04">
        <w:t>associated toxicities such as rash and diarrhoea (EGFR inhibition), bleeding, and atrial fibrillation.</w:t>
      </w:r>
    </w:p>
    <w:p w14:paraId="4E0D7AF2" w14:textId="50790C2E" w:rsidR="008E7846" w:rsidRPr="00D92C04" w:rsidRDefault="00386150" w:rsidP="008E7846">
      <w:pPr>
        <w:pStyle w:val="Heading3"/>
      </w:pPr>
      <w:bookmarkStart w:id="33" w:name="_Toc314842485"/>
      <w:bookmarkStart w:id="34" w:name="_Toc247691504"/>
      <w:bookmarkStart w:id="35" w:name="_Toc111138565"/>
      <w:r w:rsidRPr="00D92C04">
        <w:lastRenderedPageBreak/>
        <w:t>Regulatory s</w:t>
      </w:r>
      <w:r w:rsidR="008E7846" w:rsidRPr="00D92C04">
        <w:t>tatu</w:t>
      </w:r>
      <w:r w:rsidR="00473BA2">
        <w:t>s</w:t>
      </w:r>
      <w:bookmarkEnd w:id="33"/>
      <w:bookmarkEnd w:id="34"/>
      <w:bookmarkEnd w:id="35"/>
    </w:p>
    <w:p w14:paraId="763267E2" w14:textId="6017E884" w:rsidR="00940A89" w:rsidRDefault="00006FAB" w:rsidP="00940A89">
      <w:bookmarkStart w:id="36" w:name="_Toc247691505"/>
      <w:bookmarkStart w:id="37" w:name="_Toc314842486"/>
      <w:r w:rsidRPr="00D92C04">
        <w:t xml:space="preserve">This product </w:t>
      </w:r>
      <w:r w:rsidR="00CB6A4A">
        <w:t>was</w:t>
      </w:r>
      <w:r w:rsidRPr="00D92C04">
        <w:t xml:space="preserve"> considered </w:t>
      </w:r>
      <w:r w:rsidR="00CB6A4A">
        <w:t>a</w:t>
      </w:r>
      <w:r w:rsidRPr="00D92C04">
        <w:t xml:space="preserve"> new chemical entity for Australian regulatory purposes.</w:t>
      </w:r>
    </w:p>
    <w:p w14:paraId="5C519D7E" w14:textId="193C922C" w:rsidR="00CB6A4A" w:rsidRDefault="00CB6A4A" w:rsidP="00F27F62">
      <w:r w:rsidRPr="00CB6A4A">
        <w:t>At the time this submission was evaluated, another similar submission (</w:t>
      </w:r>
      <w:r>
        <w:t>Submission PM</w:t>
      </w:r>
      <w:r>
        <w:noBreakHyphen/>
      </w:r>
      <w:r w:rsidRPr="00473BA2">
        <w:t>2020-03076-1-6</w:t>
      </w:r>
      <w:r w:rsidRPr="00CB6A4A">
        <w:t>) was also under evaluation for the following indication:</w:t>
      </w:r>
    </w:p>
    <w:p w14:paraId="708D6971" w14:textId="77777777" w:rsidR="00473BA2" w:rsidRPr="00473BA2" w:rsidRDefault="00473BA2" w:rsidP="00473BA2">
      <w:pPr>
        <w:ind w:left="720"/>
        <w:rPr>
          <w:i/>
        </w:rPr>
      </w:pPr>
      <w:r w:rsidRPr="00473BA2">
        <w:rPr>
          <w:i/>
        </w:rPr>
        <w:t>Mantle cell lymphoma (MCL)</w:t>
      </w:r>
    </w:p>
    <w:p w14:paraId="7C12F7ED" w14:textId="77777777" w:rsidR="00473BA2" w:rsidRPr="00473BA2" w:rsidRDefault="00473BA2" w:rsidP="00473BA2">
      <w:pPr>
        <w:ind w:left="720"/>
        <w:rPr>
          <w:i/>
        </w:rPr>
      </w:pPr>
      <w:r w:rsidRPr="00473BA2">
        <w:rPr>
          <w:i/>
        </w:rPr>
        <w:t>Brukinsa is indicated for the treatment of adult patients with mantle cell lymphoma (MCL) who have received at least one prior therapy.</w:t>
      </w:r>
    </w:p>
    <w:p w14:paraId="3D8F727C" w14:textId="7EBE443E" w:rsidR="00F27F62" w:rsidRDefault="00473BA2" w:rsidP="00473BA2">
      <w:pPr>
        <w:ind w:left="720"/>
        <w:rPr>
          <w:i/>
        </w:rPr>
      </w:pPr>
      <w:r w:rsidRPr="00473BA2">
        <w:rPr>
          <w:i/>
        </w:rPr>
        <w:t>This indication was approved via the provisional approval pathway, based on objective response rate. Continued approval for this indication depends on verification and description of clinical benefit in the confirmatory trials.</w:t>
      </w:r>
    </w:p>
    <w:p w14:paraId="528B74B8" w14:textId="6F924AFB" w:rsidR="00F27F62" w:rsidRPr="00D92C04" w:rsidRDefault="00CB6A4A" w:rsidP="00940A89">
      <w:r w:rsidRPr="00CB6A4A">
        <w:t xml:space="preserve">Brukinsa (zanubrutinib) was considered a new chemical entity for both submissions. </w:t>
      </w:r>
      <w:r w:rsidR="00F27F62">
        <w:t xml:space="preserve">An AusPAR for this parallel </w:t>
      </w:r>
      <w:r>
        <w:t>submission</w:t>
      </w:r>
      <w:r w:rsidR="00F27F62">
        <w:t xml:space="preserve"> is also available on the TGA website).</w:t>
      </w:r>
      <w:r w:rsidR="00F27F62">
        <w:rPr>
          <w:rStyle w:val="FootnoteReference"/>
        </w:rPr>
        <w:footnoteReference w:id="6"/>
      </w:r>
    </w:p>
    <w:p w14:paraId="1166466A" w14:textId="11E471FC" w:rsidR="00006FAB" w:rsidRPr="00D92C04" w:rsidRDefault="00006FAB" w:rsidP="00006FAB">
      <w:r w:rsidRPr="00D92C04">
        <w:t xml:space="preserve">At the time the TGA considered this application, </w:t>
      </w:r>
      <w:r w:rsidR="001D16DB" w:rsidRPr="00D92C04">
        <w:t xml:space="preserve">a </w:t>
      </w:r>
      <w:r w:rsidRPr="00D92C04">
        <w:t xml:space="preserve">similar application had been approved </w:t>
      </w:r>
      <w:r w:rsidR="001D16DB" w:rsidRPr="00D92C04">
        <w:t>in Canada on 1 March 2021. Similar applications were un</w:t>
      </w:r>
      <w:r w:rsidRPr="00D92C04">
        <w:t>der consideration in</w:t>
      </w:r>
      <w:r w:rsidR="001D16DB" w:rsidRPr="00D92C04">
        <w:t xml:space="preserve"> the EU</w:t>
      </w:r>
      <w:r w:rsidRPr="00D92C04">
        <w:t xml:space="preserve"> (</w:t>
      </w:r>
      <w:r w:rsidR="001D16DB" w:rsidRPr="00D92C04">
        <w:t>submitted on 29 May 2020</w:t>
      </w:r>
      <w:r w:rsidRPr="00D92C04">
        <w:t>)</w:t>
      </w:r>
      <w:r w:rsidR="001D16DB" w:rsidRPr="00D92C04">
        <w:t xml:space="preserve">, USA (submitted on 18 December 2020), Switzerland (submitted on 4 June 2021) </w:t>
      </w:r>
      <w:r w:rsidR="009A54DE" w:rsidRPr="00D92C04">
        <w:t xml:space="preserve">and </w:t>
      </w:r>
      <w:r w:rsidR="001D16DB" w:rsidRPr="00D92C04">
        <w:t>Singapore (submitted on 25 November 2020).</w:t>
      </w:r>
    </w:p>
    <w:p w14:paraId="17EFC93F" w14:textId="214C6652" w:rsidR="00324E45" w:rsidRPr="00376AF2" w:rsidRDefault="00324E45" w:rsidP="00376AF2">
      <w:pPr>
        <w:pStyle w:val="TableTitle"/>
      </w:pPr>
      <w:r w:rsidRPr="00376AF2">
        <w:t xml:space="preserve">Table </w:t>
      </w:r>
      <w:fldSimple w:instr=" SEQ Table \* ARABIC ">
        <w:r w:rsidR="00376AF2">
          <w:rPr>
            <w:noProof/>
          </w:rPr>
          <w:t>1</w:t>
        </w:r>
      </w:fldSimple>
      <w:r w:rsidRPr="00376AF2">
        <w:t>: International regulatory status</w:t>
      </w:r>
    </w:p>
    <w:tbl>
      <w:tblPr>
        <w:tblStyle w:val="TableTGAblue"/>
        <w:tblW w:w="0" w:type="auto"/>
        <w:tblLook w:val="04A0" w:firstRow="1" w:lastRow="0" w:firstColumn="1" w:lastColumn="0" w:noHBand="0" w:noVBand="1"/>
      </w:tblPr>
      <w:tblGrid>
        <w:gridCol w:w="1555"/>
        <w:gridCol w:w="2268"/>
        <w:gridCol w:w="1842"/>
        <w:gridCol w:w="2829"/>
      </w:tblGrid>
      <w:tr w:rsidR="001D16DB" w:rsidRPr="00D92C04" w14:paraId="53416F68" w14:textId="77777777" w:rsidTr="001D16DB">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65083D37" w14:textId="77777777" w:rsidR="00006FAB" w:rsidRPr="00D92C04" w:rsidRDefault="00006FAB" w:rsidP="00006FAB">
            <w:pPr>
              <w:ind w:left="0" w:right="0"/>
            </w:pPr>
            <w:r w:rsidRPr="00D92C04">
              <w:t>Region</w:t>
            </w:r>
          </w:p>
        </w:tc>
        <w:tc>
          <w:tcPr>
            <w:tcW w:w="2268" w:type="dxa"/>
            <w:tcBorders>
              <w:top w:val="single" w:sz="4" w:space="0" w:color="auto"/>
              <w:left w:val="single" w:sz="4" w:space="0" w:color="auto"/>
              <w:bottom w:val="single" w:sz="4" w:space="0" w:color="auto"/>
              <w:right w:val="single" w:sz="4" w:space="0" w:color="auto"/>
            </w:tcBorders>
          </w:tcPr>
          <w:p w14:paraId="08216430" w14:textId="77777777" w:rsidR="00006FAB" w:rsidRPr="00D92C04" w:rsidRDefault="00006FAB" w:rsidP="00006FAB">
            <w:pPr>
              <w:ind w:left="0" w:right="0"/>
            </w:pPr>
            <w:r w:rsidRPr="00D92C04">
              <w:t>Submission date</w:t>
            </w:r>
          </w:p>
        </w:tc>
        <w:tc>
          <w:tcPr>
            <w:tcW w:w="1842" w:type="dxa"/>
            <w:tcBorders>
              <w:top w:val="single" w:sz="4" w:space="0" w:color="auto"/>
              <w:left w:val="single" w:sz="4" w:space="0" w:color="auto"/>
              <w:bottom w:val="single" w:sz="4" w:space="0" w:color="auto"/>
              <w:right w:val="single" w:sz="4" w:space="0" w:color="auto"/>
            </w:tcBorders>
          </w:tcPr>
          <w:p w14:paraId="040D4CEC" w14:textId="77777777" w:rsidR="00006FAB" w:rsidRPr="00D92C04" w:rsidRDefault="00006FAB" w:rsidP="00006FAB">
            <w:pPr>
              <w:ind w:left="0" w:right="0"/>
            </w:pPr>
            <w:r w:rsidRPr="00D92C04">
              <w:t>Status</w:t>
            </w:r>
          </w:p>
        </w:tc>
        <w:tc>
          <w:tcPr>
            <w:tcW w:w="2829" w:type="dxa"/>
            <w:tcBorders>
              <w:top w:val="single" w:sz="4" w:space="0" w:color="auto"/>
              <w:left w:val="single" w:sz="4" w:space="0" w:color="auto"/>
              <w:bottom w:val="single" w:sz="4" w:space="0" w:color="auto"/>
              <w:right w:val="single" w:sz="4" w:space="0" w:color="auto"/>
            </w:tcBorders>
          </w:tcPr>
          <w:p w14:paraId="0D4CB827" w14:textId="77777777" w:rsidR="00006FAB" w:rsidRPr="00D92C04" w:rsidRDefault="00006FAB" w:rsidP="00006FAB">
            <w:pPr>
              <w:ind w:left="0" w:right="0"/>
            </w:pPr>
            <w:r w:rsidRPr="00D92C04">
              <w:t>Approved indications</w:t>
            </w:r>
          </w:p>
        </w:tc>
      </w:tr>
      <w:tr w:rsidR="00006FAB" w:rsidRPr="00D92C04" w14:paraId="7BEF6911" w14:textId="77777777" w:rsidTr="001D16DB">
        <w:tc>
          <w:tcPr>
            <w:tcW w:w="1555" w:type="dxa"/>
            <w:tcBorders>
              <w:top w:val="single" w:sz="4" w:space="0" w:color="auto"/>
            </w:tcBorders>
          </w:tcPr>
          <w:p w14:paraId="105BCE50" w14:textId="103A5605" w:rsidR="00006FAB" w:rsidRPr="00D92C04" w:rsidRDefault="001D16DB" w:rsidP="00006FAB">
            <w:pPr>
              <w:ind w:left="0" w:right="0"/>
            </w:pPr>
            <w:r w:rsidRPr="00D92C04">
              <w:t>European Union</w:t>
            </w:r>
          </w:p>
        </w:tc>
        <w:tc>
          <w:tcPr>
            <w:tcW w:w="2268" w:type="dxa"/>
            <w:tcBorders>
              <w:top w:val="single" w:sz="4" w:space="0" w:color="auto"/>
            </w:tcBorders>
          </w:tcPr>
          <w:p w14:paraId="2D068B43" w14:textId="01B11C80" w:rsidR="00006FAB" w:rsidRPr="00D92C04" w:rsidRDefault="001D16DB" w:rsidP="001D16DB">
            <w:pPr>
              <w:ind w:left="0"/>
            </w:pPr>
            <w:r w:rsidRPr="00D92C04">
              <w:t>29 May 2020</w:t>
            </w:r>
          </w:p>
        </w:tc>
        <w:tc>
          <w:tcPr>
            <w:tcW w:w="1842" w:type="dxa"/>
            <w:tcBorders>
              <w:top w:val="single" w:sz="4" w:space="0" w:color="auto"/>
            </w:tcBorders>
          </w:tcPr>
          <w:p w14:paraId="6F1945A8" w14:textId="45AE762D" w:rsidR="00006FAB" w:rsidRPr="00D92C04" w:rsidRDefault="001D16DB" w:rsidP="00006FAB">
            <w:pPr>
              <w:ind w:left="0" w:right="0"/>
            </w:pPr>
            <w:r w:rsidRPr="00D92C04">
              <w:t>Under consideration</w:t>
            </w:r>
          </w:p>
        </w:tc>
        <w:tc>
          <w:tcPr>
            <w:tcW w:w="2829" w:type="dxa"/>
            <w:tcBorders>
              <w:top w:val="single" w:sz="4" w:space="0" w:color="auto"/>
            </w:tcBorders>
          </w:tcPr>
          <w:p w14:paraId="37922057" w14:textId="50F88925" w:rsidR="00006FAB" w:rsidRPr="00D92C04" w:rsidRDefault="001D16DB" w:rsidP="00006FAB">
            <w:pPr>
              <w:ind w:left="0" w:right="0"/>
            </w:pPr>
            <w:r w:rsidRPr="00D92C04">
              <w:t>Under consideration</w:t>
            </w:r>
          </w:p>
        </w:tc>
      </w:tr>
      <w:tr w:rsidR="001D16DB" w:rsidRPr="00D92C04" w14:paraId="4218FEE2" w14:textId="77777777" w:rsidTr="001D16DB">
        <w:tc>
          <w:tcPr>
            <w:tcW w:w="1555" w:type="dxa"/>
          </w:tcPr>
          <w:p w14:paraId="2A9EAB9C" w14:textId="6563F85F" w:rsidR="001D16DB" w:rsidRPr="00D92C04" w:rsidRDefault="001D16DB" w:rsidP="001D16DB">
            <w:pPr>
              <w:ind w:left="0" w:right="0"/>
            </w:pPr>
            <w:r w:rsidRPr="00D92C04">
              <w:t>United States of America</w:t>
            </w:r>
          </w:p>
        </w:tc>
        <w:tc>
          <w:tcPr>
            <w:tcW w:w="2268" w:type="dxa"/>
          </w:tcPr>
          <w:p w14:paraId="242A5205" w14:textId="1B192A65" w:rsidR="001D16DB" w:rsidRPr="00D92C04" w:rsidRDefault="001D16DB" w:rsidP="001D16DB">
            <w:pPr>
              <w:ind w:left="0"/>
            </w:pPr>
            <w:r w:rsidRPr="00D92C04">
              <w:t>18 December 2020</w:t>
            </w:r>
          </w:p>
        </w:tc>
        <w:tc>
          <w:tcPr>
            <w:tcW w:w="1842" w:type="dxa"/>
          </w:tcPr>
          <w:p w14:paraId="06995533" w14:textId="77777777" w:rsidR="001D16DB" w:rsidRPr="00D92C04" w:rsidRDefault="001D16DB" w:rsidP="001D16DB">
            <w:pPr>
              <w:ind w:left="0" w:right="0"/>
            </w:pPr>
            <w:r w:rsidRPr="00D92C04">
              <w:t>Under consideration</w:t>
            </w:r>
          </w:p>
        </w:tc>
        <w:tc>
          <w:tcPr>
            <w:tcW w:w="2829" w:type="dxa"/>
          </w:tcPr>
          <w:p w14:paraId="43662EAA" w14:textId="77777777" w:rsidR="001D16DB" w:rsidRPr="00D92C04" w:rsidRDefault="001D16DB" w:rsidP="001D16DB">
            <w:pPr>
              <w:ind w:left="0" w:right="0"/>
            </w:pPr>
            <w:r w:rsidRPr="00D92C04">
              <w:t>Under consideration</w:t>
            </w:r>
          </w:p>
        </w:tc>
      </w:tr>
      <w:tr w:rsidR="001D16DB" w:rsidRPr="00D92C04" w14:paraId="24E4494E" w14:textId="77777777" w:rsidTr="001D16DB">
        <w:tc>
          <w:tcPr>
            <w:tcW w:w="1555" w:type="dxa"/>
          </w:tcPr>
          <w:p w14:paraId="352E6AA8" w14:textId="43E00D2F" w:rsidR="001D16DB" w:rsidRPr="00D92C04" w:rsidRDefault="001D16DB" w:rsidP="001D16DB">
            <w:pPr>
              <w:ind w:left="0"/>
            </w:pPr>
            <w:r w:rsidRPr="00D92C04">
              <w:t>Canada</w:t>
            </w:r>
          </w:p>
        </w:tc>
        <w:tc>
          <w:tcPr>
            <w:tcW w:w="2268" w:type="dxa"/>
          </w:tcPr>
          <w:p w14:paraId="50BE923C" w14:textId="2475FD6C" w:rsidR="001D16DB" w:rsidRPr="00D92C04" w:rsidRDefault="001D16DB" w:rsidP="001D16DB">
            <w:pPr>
              <w:ind w:left="0"/>
            </w:pPr>
            <w:r w:rsidRPr="00D92C04">
              <w:t>12 August 2020</w:t>
            </w:r>
          </w:p>
        </w:tc>
        <w:tc>
          <w:tcPr>
            <w:tcW w:w="1842" w:type="dxa"/>
          </w:tcPr>
          <w:p w14:paraId="39FCF485" w14:textId="2190A7C0" w:rsidR="001D16DB" w:rsidRPr="00D92C04" w:rsidRDefault="001D16DB" w:rsidP="001D16DB">
            <w:pPr>
              <w:ind w:left="0"/>
            </w:pPr>
            <w:r w:rsidRPr="00D92C04">
              <w:t>Approved 1 March 2021</w:t>
            </w:r>
          </w:p>
        </w:tc>
        <w:tc>
          <w:tcPr>
            <w:tcW w:w="2829" w:type="dxa"/>
          </w:tcPr>
          <w:p w14:paraId="383D5B4C" w14:textId="51F172E8" w:rsidR="001D16DB" w:rsidRPr="00D92C04" w:rsidRDefault="001D16DB" w:rsidP="001D16DB">
            <w:pPr>
              <w:ind w:left="0"/>
              <w:rPr>
                <w:i/>
                <w:iCs/>
              </w:rPr>
            </w:pPr>
            <w:r w:rsidRPr="00D92C04">
              <w:rPr>
                <w:i/>
                <w:iCs/>
              </w:rPr>
              <w:t>Brukinsa (zanubrutinib) is indicated for the treatment of adult patients with Waldenström’s macroglobulinemia (WM).</w:t>
            </w:r>
          </w:p>
        </w:tc>
      </w:tr>
      <w:tr w:rsidR="001D16DB" w:rsidRPr="00D92C04" w14:paraId="1656CCDD" w14:textId="77777777" w:rsidTr="001D16DB">
        <w:tc>
          <w:tcPr>
            <w:tcW w:w="1555" w:type="dxa"/>
          </w:tcPr>
          <w:p w14:paraId="323F56A9" w14:textId="5D509540" w:rsidR="001D16DB" w:rsidRPr="00D92C04" w:rsidRDefault="001D16DB" w:rsidP="001D16DB">
            <w:pPr>
              <w:ind w:left="0"/>
            </w:pPr>
            <w:r w:rsidRPr="00D92C04">
              <w:t>Switzerland</w:t>
            </w:r>
          </w:p>
        </w:tc>
        <w:tc>
          <w:tcPr>
            <w:tcW w:w="2268" w:type="dxa"/>
          </w:tcPr>
          <w:p w14:paraId="42EC62C4" w14:textId="56963B19" w:rsidR="001D16DB" w:rsidRPr="00D92C04" w:rsidRDefault="001D16DB" w:rsidP="001D16DB">
            <w:pPr>
              <w:ind w:left="0"/>
            </w:pPr>
            <w:r w:rsidRPr="00D92C04">
              <w:t>4 June 2021</w:t>
            </w:r>
          </w:p>
        </w:tc>
        <w:tc>
          <w:tcPr>
            <w:tcW w:w="1842" w:type="dxa"/>
          </w:tcPr>
          <w:p w14:paraId="0195DD16" w14:textId="11C2AFD2" w:rsidR="001D16DB" w:rsidRPr="00D92C04" w:rsidRDefault="001D16DB" w:rsidP="001D16DB">
            <w:pPr>
              <w:ind w:left="0"/>
            </w:pPr>
            <w:r w:rsidRPr="00D92C04">
              <w:t>Under consideration</w:t>
            </w:r>
          </w:p>
        </w:tc>
        <w:tc>
          <w:tcPr>
            <w:tcW w:w="2829" w:type="dxa"/>
          </w:tcPr>
          <w:p w14:paraId="6D4F4D56" w14:textId="33C69851" w:rsidR="001D16DB" w:rsidRPr="00D92C04" w:rsidRDefault="001D16DB" w:rsidP="001D16DB">
            <w:pPr>
              <w:ind w:left="0"/>
            </w:pPr>
            <w:r w:rsidRPr="00D92C04">
              <w:t>Under consideration</w:t>
            </w:r>
          </w:p>
        </w:tc>
      </w:tr>
      <w:tr w:rsidR="001D16DB" w:rsidRPr="00D92C04" w14:paraId="0D63CF7D" w14:textId="77777777" w:rsidTr="001D16DB">
        <w:tc>
          <w:tcPr>
            <w:tcW w:w="1555" w:type="dxa"/>
          </w:tcPr>
          <w:p w14:paraId="2B37DDD4" w14:textId="4F5B6D1B" w:rsidR="001D16DB" w:rsidRPr="00D92C04" w:rsidRDefault="001D16DB" w:rsidP="001D16DB">
            <w:pPr>
              <w:ind w:left="0"/>
            </w:pPr>
            <w:r w:rsidRPr="00D92C04">
              <w:t>Singapore</w:t>
            </w:r>
          </w:p>
        </w:tc>
        <w:tc>
          <w:tcPr>
            <w:tcW w:w="2268" w:type="dxa"/>
          </w:tcPr>
          <w:p w14:paraId="1945D7D3" w14:textId="3DC46E41" w:rsidR="001D16DB" w:rsidRPr="00D92C04" w:rsidRDefault="001D16DB" w:rsidP="001D16DB">
            <w:pPr>
              <w:ind w:left="0"/>
            </w:pPr>
            <w:r w:rsidRPr="00D92C04">
              <w:t>25 November 2020</w:t>
            </w:r>
          </w:p>
        </w:tc>
        <w:tc>
          <w:tcPr>
            <w:tcW w:w="1842" w:type="dxa"/>
          </w:tcPr>
          <w:p w14:paraId="277569E8" w14:textId="74DFB566" w:rsidR="001D16DB" w:rsidRPr="00D92C04" w:rsidRDefault="001D16DB" w:rsidP="001D16DB">
            <w:pPr>
              <w:ind w:left="0"/>
            </w:pPr>
            <w:r w:rsidRPr="00D92C04">
              <w:t>Under consideration</w:t>
            </w:r>
          </w:p>
        </w:tc>
        <w:tc>
          <w:tcPr>
            <w:tcW w:w="2829" w:type="dxa"/>
          </w:tcPr>
          <w:p w14:paraId="5E6CC238" w14:textId="453EFE0B" w:rsidR="001D16DB" w:rsidRPr="00D92C04" w:rsidRDefault="001D16DB" w:rsidP="001D16DB">
            <w:pPr>
              <w:ind w:left="0"/>
            </w:pPr>
            <w:r w:rsidRPr="00D92C04">
              <w:t>Under consideration</w:t>
            </w:r>
          </w:p>
        </w:tc>
      </w:tr>
    </w:tbl>
    <w:p w14:paraId="53F6F6BF" w14:textId="77777777" w:rsidR="008E7846" w:rsidRPr="00D92C04" w:rsidRDefault="008E7846" w:rsidP="00940A89">
      <w:pPr>
        <w:pStyle w:val="Heading3"/>
      </w:pPr>
      <w:bookmarkStart w:id="38" w:name="_Toc111138566"/>
      <w:r w:rsidRPr="00D92C04">
        <w:t>Product Information</w:t>
      </w:r>
      <w:bookmarkEnd w:id="36"/>
      <w:bookmarkEnd w:id="37"/>
      <w:bookmarkEnd w:id="38"/>
    </w:p>
    <w:p w14:paraId="4464E4A3" w14:textId="70365C99" w:rsidR="00940A89" w:rsidRPr="00D92C04" w:rsidRDefault="006136D7" w:rsidP="00940A89">
      <w:bookmarkStart w:id="39" w:name="_Toc247691506"/>
      <w:bookmarkStart w:id="40" w:name="_Toc314842487"/>
      <w:r w:rsidRPr="00D92C04">
        <w:t xml:space="preserve">The Product Information (PI) approved with the submission which is described in this AusPAR can be found as Attachment 1. For the most recent PI, please refer to the TGA website at </w:t>
      </w:r>
      <w:r w:rsidR="00441C3F" w:rsidRPr="00D92C04">
        <w:t>&lt;</w:t>
      </w:r>
      <w:hyperlink r:id="rId13" w:history="1">
        <w:r w:rsidR="00441C3F" w:rsidRPr="00D92C04">
          <w:rPr>
            <w:rStyle w:val="Hyperlink"/>
          </w:rPr>
          <w:t>https://www.tga.gov.au/product-information-pi</w:t>
        </w:r>
      </w:hyperlink>
      <w:r w:rsidR="00441C3F" w:rsidRPr="00D92C04">
        <w:t>&gt;</w:t>
      </w:r>
      <w:r w:rsidR="00940A89" w:rsidRPr="00D92C04">
        <w:t>.</w:t>
      </w:r>
    </w:p>
    <w:p w14:paraId="4D6965D7" w14:textId="77777777" w:rsidR="00500337" w:rsidRPr="00D92C04" w:rsidRDefault="00500337" w:rsidP="00500337">
      <w:pPr>
        <w:pStyle w:val="Heading2"/>
      </w:pPr>
      <w:bookmarkStart w:id="41" w:name="_Toc504480011"/>
      <w:bookmarkStart w:id="42" w:name="_Toc111138567"/>
      <w:r w:rsidRPr="00D92C04">
        <w:lastRenderedPageBreak/>
        <w:t>II. Registration timeline</w:t>
      </w:r>
      <w:bookmarkEnd w:id="41"/>
      <w:bookmarkEnd w:id="42"/>
    </w:p>
    <w:p w14:paraId="5F74D407" w14:textId="03F59B67" w:rsidR="00500337" w:rsidRPr="00D92C04" w:rsidRDefault="00500337" w:rsidP="00500337">
      <w:r w:rsidRPr="00D92C04">
        <w:t>The following table captures the key steps and dates for this application</w:t>
      </w:r>
      <w:r w:rsidR="009A54DE" w:rsidRPr="00D92C04">
        <w:t>,</w:t>
      </w:r>
      <w:r w:rsidRPr="00D92C04">
        <w:t xml:space="preserve"> and which are detailed and discussed in this AusPAR.</w:t>
      </w:r>
    </w:p>
    <w:p w14:paraId="5FB295F4" w14:textId="27308E45" w:rsidR="006A58A8" w:rsidRPr="00376AF2" w:rsidRDefault="008D3C1A" w:rsidP="00376AF2">
      <w:pPr>
        <w:pStyle w:val="TableTitle"/>
      </w:pPr>
      <w:r w:rsidRPr="00376AF2">
        <w:t xml:space="preserve">Table </w:t>
      </w:r>
      <w:fldSimple w:instr=" SEQ Table \* ARABIC ">
        <w:r w:rsidR="00376AF2">
          <w:rPr>
            <w:noProof/>
          </w:rPr>
          <w:t>2</w:t>
        </w:r>
      </w:fldSimple>
      <w:r w:rsidRPr="00376AF2">
        <w:t>:</w:t>
      </w:r>
      <w:r w:rsidR="006A58A8" w:rsidRPr="00376AF2">
        <w:t xml:space="preserve"> Timeline for Submission </w:t>
      </w:r>
      <w:r w:rsidR="001D16DB" w:rsidRPr="00376AF2">
        <w:t>PM-2020-02814-1-6</w:t>
      </w:r>
    </w:p>
    <w:tbl>
      <w:tblPr>
        <w:tblStyle w:val="TableTGAblue"/>
        <w:tblW w:w="0" w:type="auto"/>
        <w:tblLook w:val="04A0" w:firstRow="1" w:lastRow="0" w:firstColumn="1" w:lastColumn="0" w:noHBand="0" w:noVBand="1"/>
      </w:tblPr>
      <w:tblGrid>
        <w:gridCol w:w="5098"/>
        <w:gridCol w:w="3396"/>
      </w:tblGrid>
      <w:tr w:rsidR="00500337" w:rsidRPr="00D92C04" w14:paraId="1AD3D53F" w14:textId="77777777" w:rsidTr="008F14D5">
        <w:trPr>
          <w:cnfStyle w:val="100000000000" w:firstRow="1" w:lastRow="0" w:firstColumn="0" w:lastColumn="0" w:oddVBand="0" w:evenVBand="0" w:oddHBand="0" w:evenHBand="0" w:firstRowFirstColumn="0" w:firstRowLastColumn="0" w:lastRowFirstColumn="0" w:lastRowLastColumn="0"/>
          <w:cantSplit/>
        </w:trPr>
        <w:tc>
          <w:tcPr>
            <w:tcW w:w="5098" w:type="dxa"/>
            <w:tcBorders>
              <w:top w:val="single" w:sz="4" w:space="0" w:color="auto"/>
              <w:left w:val="single" w:sz="4" w:space="0" w:color="auto"/>
              <w:bottom w:val="single" w:sz="4" w:space="0" w:color="auto"/>
              <w:right w:val="single" w:sz="4" w:space="0" w:color="auto"/>
            </w:tcBorders>
          </w:tcPr>
          <w:p w14:paraId="7796A465" w14:textId="77777777" w:rsidR="00500337" w:rsidRPr="00D92C04" w:rsidRDefault="00500337" w:rsidP="00500337">
            <w:pPr>
              <w:ind w:left="0" w:right="0"/>
            </w:pPr>
            <w:r w:rsidRPr="00D92C04">
              <w:t>Description</w:t>
            </w:r>
          </w:p>
        </w:tc>
        <w:tc>
          <w:tcPr>
            <w:tcW w:w="3396" w:type="dxa"/>
            <w:tcBorders>
              <w:top w:val="single" w:sz="4" w:space="0" w:color="auto"/>
              <w:left w:val="single" w:sz="4" w:space="0" w:color="auto"/>
              <w:bottom w:val="single" w:sz="4" w:space="0" w:color="auto"/>
              <w:right w:val="single" w:sz="4" w:space="0" w:color="auto"/>
            </w:tcBorders>
          </w:tcPr>
          <w:p w14:paraId="692DBDB6" w14:textId="77777777" w:rsidR="00500337" w:rsidRPr="00D92C04" w:rsidRDefault="00500337" w:rsidP="00500337">
            <w:pPr>
              <w:ind w:left="0" w:right="0"/>
            </w:pPr>
            <w:r w:rsidRPr="00D92C04">
              <w:t>Date</w:t>
            </w:r>
          </w:p>
        </w:tc>
      </w:tr>
      <w:tr w:rsidR="002478B9" w:rsidRPr="00D92C04" w14:paraId="0C21F1A4" w14:textId="77777777" w:rsidTr="008F14D5">
        <w:tc>
          <w:tcPr>
            <w:tcW w:w="5098" w:type="dxa"/>
            <w:tcBorders>
              <w:top w:val="single" w:sz="4" w:space="0" w:color="auto"/>
            </w:tcBorders>
          </w:tcPr>
          <w:p w14:paraId="4BA89B77" w14:textId="77777777" w:rsidR="002478B9" w:rsidRPr="00D92C04" w:rsidRDefault="002478B9" w:rsidP="002478B9">
            <w:pPr>
              <w:ind w:left="0" w:right="0"/>
            </w:pPr>
            <w:r w:rsidRPr="00D92C04">
              <w:t>Submission dossier accepted and first round evaluation commenced</w:t>
            </w:r>
          </w:p>
        </w:tc>
        <w:tc>
          <w:tcPr>
            <w:tcW w:w="3396" w:type="dxa"/>
            <w:tcBorders>
              <w:top w:val="single" w:sz="4" w:space="0" w:color="auto"/>
            </w:tcBorders>
          </w:tcPr>
          <w:p w14:paraId="1E610C4F" w14:textId="7ABF25A7" w:rsidR="002478B9" w:rsidRPr="00D92C04" w:rsidRDefault="002478B9" w:rsidP="002478B9">
            <w:pPr>
              <w:ind w:left="0" w:right="0"/>
            </w:pPr>
            <w:r w:rsidRPr="00D92C04">
              <w:rPr>
                <w:color w:val="auto"/>
              </w:rPr>
              <w:t>31 July 2020</w:t>
            </w:r>
          </w:p>
        </w:tc>
      </w:tr>
      <w:tr w:rsidR="002478B9" w:rsidRPr="00D92C04" w14:paraId="5A5CD180" w14:textId="77777777" w:rsidTr="008F14D5">
        <w:tc>
          <w:tcPr>
            <w:tcW w:w="5098" w:type="dxa"/>
          </w:tcPr>
          <w:p w14:paraId="0D3FEA3C" w14:textId="77777777" w:rsidR="002478B9" w:rsidRPr="00D92C04" w:rsidRDefault="002478B9" w:rsidP="002478B9">
            <w:pPr>
              <w:ind w:left="0" w:right="0"/>
            </w:pPr>
            <w:r w:rsidRPr="00D92C04">
              <w:t>First round evaluation completed</w:t>
            </w:r>
          </w:p>
        </w:tc>
        <w:tc>
          <w:tcPr>
            <w:tcW w:w="3396" w:type="dxa"/>
          </w:tcPr>
          <w:p w14:paraId="6809C87A" w14:textId="12145F99" w:rsidR="002478B9" w:rsidRPr="00D92C04" w:rsidRDefault="002478B9" w:rsidP="002478B9">
            <w:pPr>
              <w:ind w:left="0" w:right="0"/>
            </w:pPr>
            <w:r w:rsidRPr="00D92C04">
              <w:rPr>
                <w:color w:val="auto"/>
              </w:rPr>
              <w:t>24 December 2020</w:t>
            </w:r>
          </w:p>
        </w:tc>
      </w:tr>
      <w:tr w:rsidR="002478B9" w:rsidRPr="00D92C04" w14:paraId="66EEEA45" w14:textId="77777777" w:rsidTr="008F14D5">
        <w:tc>
          <w:tcPr>
            <w:tcW w:w="5098" w:type="dxa"/>
          </w:tcPr>
          <w:p w14:paraId="35DE0BE5" w14:textId="77777777" w:rsidR="002478B9" w:rsidRPr="00D92C04" w:rsidRDefault="002478B9" w:rsidP="002478B9">
            <w:pPr>
              <w:ind w:left="0" w:right="0"/>
            </w:pPr>
            <w:r w:rsidRPr="00D92C04">
              <w:t>Sponsor provides responses on questions raised in first round evaluation</w:t>
            </w:r>
          </w:p>
        </w:tc>
        <w:tc>
          <w:tcPr>
            <w:tcW w:w="3396" w:type="dxa"/>
          </w:tcPr>
          <w:p w14:paraId="227B155A" w14:textId="32A421A9" w:rsidR="002478B9" w:rsidRPr="00D92C04" w:rsidRDefault="002478B9" w:rsidP="002478B9">
            <w:pPr>
              <w:ind w:left="0" w:right="0"/>
            </w:pPr>
            <w:r w:rsidRPr="00D92C04">
              <w:rPr>
                <w:color w:val="auto"/>
              </w:rPr>
              <w:t>26 February 2021</w:t>
            </w:r>
          </w:p>
        </w:tc>
      </w:tr>
      <w:tr w:rsidR="002478B9" w:rsidRPr="00D92C04" w14:paraId="3462A563" w14:textId="77777777" w:rsidTr="008F14D5">
        <w:tc>
          <w:tcPr>
            <w:tcW w:w="5098" w:type="dxa"/>
          </w:tcPr>
          <w:p w14:paraId="769E4B54" w14:textId="77777777" w:rsidR="002478B9" w:rsidRPr="00D92C04" w:rsidRDefault="002478B9" w:rsidP="002478B9">
            <w:pPr>
              <w:ind w:left="0" w:right="0"/>
            </w:pPr>
            <w:r w:rsidRPr="00D92C04">
              <w:t>Second round evaluation completed</w:t>
            </w:r>
          </w:p>
        </w:tc>
        <w:tc>
          <w:tcPr>
            <w:tcW w:w="3396" w:type="dxa"/>
          </w:tcPr>
          <w:p w14:paraId="31BCD5CB" w14:textId="5DAC2942" w:rsidR="002478B9" w:rsidRPr="00D92C04" w:rsidRDefault="002478B9" w:rsidP="002478B9">
            <w:pPr>
              <w:ind w:left="0" w:right="0"/>
            </w:pPr>
            <w:r w:rsidRPr="00D92C04">
              <w:rPr>
                <w:color w:val="auto"/>
              </w:rPr>
              <w:t>15 April 2021</w:t>
            </w:r>
          </w:p>
        </w:tc>
      </w:tr>
      <w:tr w:rsidR="002478B9" w:rsidRPr="00D92C04" w14:paraId="0F1CA94A" w14:textId="77777777" w:rsidTr="008F14D5">
        <w:tc>
          <w:tcPr>
            <w:tcW w:w="5098" w:type="dxa"/>
          </w:tcPr>
          <w:p w14:paraId="476F9C3C" w14:textId="49BBF3F5" w:rsidR="002478B9" w:rsidRPr="00D92C04" w:rsidRDefault="002478B9" w:rsidP="002478B9">
            <w:pPr>
              <w:ind w:left="0" w:right="0"/>
            </w:pPr>
            <w:r w:rsidRPr="00D92C04">
              <w:t>Delegate’s Overall benefit-risk assessment and request for Advisory Committee advice</w:t>
            </w:r>
          </w:p>
        </w:tc>
        <w:tc>
          <w:tcPr>
            <w:tcW w:w="3396" w:type="dxa"/>
          </w:tcPr>
          <w:p w14:paraId="1FC97866" w14:textId="30B7B327" w:rsidR="002478B9" w:rsidRPr="00D92C04" w:rsidRDefault="002478B9" w:rsidP="002478B9">
            <w:pPr>
              <w:ind w:left="0" w:right="0"/>
            </w:pPr>
            <w:r w:rsidRPr="00D92C04">
              <w:rPr>
                <w:color w:val="auto"/>
              </w:rPr>
              <w:t>6 July 2021</w:t>
            </w:r>
          </w:p>
        </w:tc>
      </w:tr>
      <w:tr w:rsidR="002478B9" w:rsidRPr="00D92C04" w14:paraId="53712A6C" w14:textId="77777777" w:rsidTr="008F14D5">
        <w:tc>
          <w:tcPr>
            <w:tcW w:w="5098" w:type="dxa"/>
          </w:tcPr>
          <w:p w14:paraId="59973341" w14:textId="77777777" w:rsidR="002478B9" w:rsidRPr="00D92C04" w:rsidRDefault="002478B9" w:rsidP="002478B9">
            <w:pPr>
              <w:ind w:left="0" w:right="0"/>
            </w:pPr>
            <w:r w:rsidRPr="00D92C04">
              <w:t>Sponsor’s pre-Advisory Committee response</w:t>
            </w:r>
          </w:p>
        </w:tc>
        <w:tc>
          <w:tcPr>
            <w:tcW w:w="3396" w:type="dxa"/>
          </w:tcPr>
          <w:p w14:paraId="1896275F" w14:textId="1260A168" w:rsidR="002478B9" w:rsidRPr="00D92C04" w:rsidRDefault="002478B9" w:rsidP="002478B9">
            <w:pPr>
              <w:ind w:left="0" w:right="0"/>
            </w:pPr>
            <w:r w:rsidRPr="00D92C04">
              <w:rPr>
                <w:color w:val="auto"/>
              </w:rPr>
              <w:t>14 July 2021</w:t>
            </w:r>
          </w:p>
        </w:tc>
      </w:tr>
      <w:tr w:rsidR="002478B9" w:rsidRPr="00D92C04" w14:paraId="1667F450" w14:textId="77777777" w:rsidTr="008F14D5">
        <w:tc>
          <w:tcPr>
            <w:tcW w:w="5098" w:type="dxa"/>
          </w:tcPr>
          <w:p w14:paraId="377552F1" w14:textId="77777777" w:rsidR="002478B9" w:rsidRPr="00D92C04" w:rsidRDefault="002478B9" w:rsidP="002478B9">
            <w:pPr>
              <w:ind w:left="0" w:right="0"/>
            </w:pPr>
            <w:r w:rsidRPr="00D92C04">
              <w:t>Advisory Committee meeting</w:t>
            </w:r>
          </w:p>
        </w:tc>
        <w:tc>
          <w:tcPr>
            <w:tcW w:w="3396" w:type="dxa"/>
          </w:tcPr>
          <w:p w14:paraId="2AFBBBFF" w14:textId="201CDC23" w:rsidR="002478B9" w:rsidRPr="00D92C04" w:rsidRDefault="002478B9" w:rsidP="002478B9">
            <w:pPr>
              <w:ind w:left="0" w:right="0"/>
            </w:pPr>
            <w:r w:rsidRPr="00D92C04">
              <w:rPr>
                <w:color w:val="auto"/>
              </w:rPr>
              <w:t>5 and 6 August 2021</w:t>
            </w:r>
          </w:p>
        </w:tc>
      </w:tr>
      <w:tr w:rsidR="002478B9" w:rsidRPr="00D92C04" w14:paraId="63EFDAC5" w14:textId="77777777" w:rsidTr="008F14D5">
        <w:tc>
          <w:tcPr>
            <w:tcW w:w="5098" w:type="dxa"/>
          </w:tcPr>
          <w:p w14:paraId="2D147043" w14:textId="77777777" w:rsidR="002478B9" w:rsidRPr="00D92C04" w:rsidRDefault="002478B9" w:rsidP="002478B9">
            <w:pPr>
              <w:ind w:left="0" w:right="0"/>
            </w:pPr>
            <w:r w:rsidRPr="00D92C04">
              <w:t>Registration decision (Outcome)</w:t>
            </w:r>
          </w:p>
        </w:tc>
        <w:tc>
          <w:tcPr>
            <w:tcW w:w="3396" w:type="dxa"/>
          </w:tcPr>
          <w:p w14:paraId="042393F5" w14:textId="0E35FDE3" w:rsidR="002478B9" w:rsidRPr="00D92C04" w:rsidRDefault="002478B9" w:rsidP="002478B9">
            <w:pPr>
              <w:ind w:left="0" w:right="0"/>
            </w:pPr>
            <w:r w:rsidRPr="00D92C04">
              <w:rPr>
                <w:color w:val="auto"/>
              </w:rPr>
              <w:t>7 October 2021</w:t>
            </w:r>
          </w:p>
        </w:tc>
      </w:tr>
      <w:tr w:rsidR="002478B9" w:rsidRPr="00D92C04" w14:paraId="2ADC4426" w14:textId="77777777" w:rsidTr="008F14D5">
        <w:tc>
          <w:tcPr>
            <w:tcW w:w="5098" w:type="dxa"/>
          </w:tcPr>
          <w:p w14:paraId="03A89D53" w14:textId="77777777" w:rsidR="002478B9" w:rsidRPr="00D92C04" w:rsidRDefault="002478B9" w:rsidP="002478B9">
            <w:pPr>
              <w:ind w:left="0" w:right="0"/>
            </w:pPr>
            <w:r w:rsidRPr="00D92C04">
              <w:t>Completion of administrative activities and registration on the ARTG</w:t>
            </w:r>
          </w:p>
        </w:tc>
        <w:tc>
          <w:tcPr>
            <w:tcW w:w="3396" w:type="dxa"/>
          </w:tcPr>
          <w:p w14:paraId="76A81FE3" w14:textId="4859B8C5" w:rsidR="002478B9" w:rsidRPr="00D92C04" w:rsidRDefault="002478B9" w:rsidP="002478B9">
            <w:pPr>
              <w:ind w:left="0" w:right="0"/>
            </w:pPr>
            <w:r w:rsidRPr="00D92C04">
              <w:rPr>
                <w:color w:val="auto"/>
              </w:rPr>
              <w:t>7 October 2021</w:t>
            </w:r>
          </w:p>
        </w:tc>
      </w:tr>
      <w:tr w:rsidR="002478B9" w:rsidRPr="00D92C04" w14:paraId="3F668069" w14:textId="77777777" w:rsidTr="008F14D5">
        <w:tc>
          <w:tcPr>
            <w:tcW w:w="5098" w:type="dxa"/>
          </w:tcPr>
          <w:p w14:paraId="5F2F22DF" w14:textId="77777777" w:rsidR="002478B9" w:rsidRPr="00D92C04" w:rsidRDefault="002478B9" w:rsidP="002478B9">
            <w:pPr>
              <w:ind w:left="0" w:right="0"/>
            </w:pPr>
            <w:r w:rsidRPr="00D92C04">
              <w:t>Number of working days from submission dossier acceptance to registration decision*</w:t>
            </w:r>
          </w:p>
        </w:tc>
        <w:tc>
          <w:tcPr>
            <w:tcW w:w="3396" w:type="dxa"/>
          </w:tcPr>
          <w:p w14:paraId="2E59A047" w14:textId="35122619" w:rsidR="002478B9" w:rsidRPr="00D92C04" w:rsidRDefault="002478B9" w:rsidP="002478B9">
            <w:pPr>
              <w:ind w:left="0" w:right="0"/>
            </w:pPr>
            <w:r w:rsidRPr="00D92C04">
              <w:rPr>
                <w:color w:val="auto"/>
              </w:rPr>
              <w:t>240</w:t>
            </w:r>
          </w:p>
        </w:tc>
      </w:tr>
    </w:tbl>
    <w:p w14:paraId="5A5913F6" w14:textId="5AFB4D3B" w:rsidR="00500337" w:rsidRPr="00D92C04" w:rsidRDefault="00500337" w:rsidP="00500337">
      <w:pPr>
        <w:pStyle w:val="TableDescription"/>
      </w:pPr>
      <w:r w:rsidRPr="00D92C04">
        <w:t>*</w:t>
      </w:r>
      <w:r w:rsidR="00BF3774" w:rsidRPr="00D92C04">
        <w:t xml:space="preserve">Statutory </w:t>
      </w:r>
      <w:r w:rsidRPr="00D92C04">
        <w:t>timeframe for standard applications is 2</w:t>
      </w:r>
      <w:r w:rsidR="00BF3774" w:rsidRPr="00D92C04">
        <w:t>55</w:t>
      </w:r>
      <w:r w:rsidRPr="00D92C04">
        <w:t xml:space="preserve"> working days</w:t>
      </w:r>
    </w:p>
    <w:p w14:paraId="402E8DF3" w14:textId="77777777" w:rsidR="008E7846" w:rsidRPr="00D92C04" w:rsidRDefault="00456765" w:rsidP="008E7846">
      <w:pPr>
        <w:pStyle w:val="Heading2"/>
      </w:pPr>
      <w:bookmarkStart w:id="43" w:name="_Toc196046504"/>
      <w:bookmarkStart w:id="44" w:name="_Toc247691527"/>
      <w:bookmarkStart w:id="45" w:name="_Toc314842510"/>
      <w:bookmarkStart w:id="46" w:name="_Toc111138568"/>
      <w:bookmarkStart w:id="47" w:name="_Toc163441390"/>
      <w:bookmarkEnd w:id="39"/>
      <w:bookmarkEnd w:id="40"/>
      <w:bookmarkEnd w:id="1"/>
      <w:r w:rsidRPr="00D92C04">
        <w:t>I</w:t>
      </w:r>
      <w:r w:rsidR="00DA64CB" w:rsidRPr="00D92C04">
        <w:t>I</w:t>
      </w:r>
      <w:r w:rsidR="008E7846" w:rsidRPr="00D92C04">
        <w:t xml:space="preserve">I. </w:t>
      </w:r>
      <w:r w:rsidR="00006FAB" w:rsidRPr="00D92C04">
        <w:t xml:space="preserve">Submission overview </w:t>
      </w:r>
      <w:r w:rsidR="008E7846" w:rsidRPr="00D92C04">
        <w:t>and risk/benefit assessment</w:t>
      </w:r>
      <w:bookmarkEnd w:id="43"/>
      <w:bookmarkEnd w:id="44"/>
      <w:bookmarkEnd w:id="45"/>
      <w:bookmarkEnd w:id="46"/>
    </w:p>
    <w:p w14:paraId="55086AC2" w14:textId="175A4B05" w:rsidR="00006FAB" w:rsidRPr="00D92C04" w:rsidRDefault="00006FAB" w:rsidP="00006FAB">
      <w:bookmarkStart w:id="48" w:name="_Toc247691528"/>
      <w:r w:rsidRPr="00D92C04">
        <w:t>The submission was summarised in the following Delegate’s overview and recommendations.</w:t>
      </w:r>
    </w:p>
    <w:p w14:paraId="66448B65" w14:textId="77777777" w:rsidR="00A53023" w:rsidRPr="00D92C04" w:rsidRDefault="00A53023" w:rsidP="00A53023">
      <w:bookmarkStart w:id="49" w:name="_Hlk97819128"/>
      <w:r w:rsidRPr="00D92C04">
        <w:t>Relevant guidelines or guidance documents referred to by the Delegate are listed below:</w:t>
      </w:r>
    </w:p>
    <w:bookmarkEnd w:id="49"/>
    <w:p w14:paraId="58DD77FF" w14:textId="607CA0AA" w:rsidR="00A53023" w:rsidRPr="00D92C04" w:rsidRDefault="00F44626" w:rsidP="00A53023">
      <w:pPr>
        <w:pStyle w:val="ListBullet"/>
      </w:pPr>
      <w:r w:rsidRPr="00D92C04">
        <w:t>National Comprehensive Cancer Network (</w:t>
      </w:r>
      <w:r w:rsidR="00A53023" w:rsidRPr="00D92C04">
        <w:t>NCCN</w:t>
      </w:r>
      <w:r w:rsidRPr="00D92C04">
        <w:t>)</w:t>
      </w:r>
      <w:r w:rsidR="00CA2F90">
        <w:t xml:space="preserve">, </w:t>
      </w:r>
      <w:proofErr w:type="spellStart"/>
      <w:r w:rsidR="00CA2F90" w:rsidRPr="00CA2F90">
        <w:t>Waldenström</w:t>
      </w:r>
      <w:proofErr w:type="spellEnd"/>
      <w:r w:rsidR="00CA2F90" w:rsidRPr="00CA2F90">
        <w:t xml:space="preserve"> Macroglobulinemia / Lymphoplasmacytic Lymphoma</w:t>
      </w:r>
      <w:r w:rsidR="00A53023" w:rsidRPr="00D92C04">
        <w:t xml:space="preserve"> </w:t>
      </w:r>
      <w:r w:rsidR="00CA2F90" w:rsidRPr="00D92C04">
        <w:t>Guidelines</w:t>
      </w:r>
      <w:r w:rsidR="00CA2F90">
        <w:t>,</w:t>
      </w:r>
      <w:r w:rsidR="00A53023" w:rsidRPr="00D92C04">
        <w:t xml:space="preserve"> V</w:t>
      </w:r>
      <w:r w:rsidR="00CA2F90">
        <w:t xml:space="preserve">ersion </w:t>
      </w:r>
      <w:r w:rsidR="00A53023" w:rsidRPr="00D92C04">
        <w:t>1.2022</w:t>
      </w:r>
      <w:r w:rsidR="001A069C" w:rsidRPr="00D92C04">
        <w:t>.</w:t>
      </w:r>
    </w:p>
    <w:p w14:paraId="7E7EE7C2" w14:textId="4C10B271" w:rsidR="00A53023" w:rsidRPr="00D92C04" w:rsidRDefault="000A1C0B" w:rsidP="00A53023">
      <w:pPr>
        <w:pStyle w:val="ListBullet"/>
      </w:pPr>
      <w:r w:rsidRPr="00D92C04">
        <w:t>European Medicines Evaluation Agency (</w:t>
      </w:r>
      <w:r w:rsidR="00F44626" w:rsidRPr="00D92C04">
        <w:t>EMEA</w:t>
      </w:r>
      <w:r w:rsidRPr="00D92C04">
        <w:t>)</w:t>
      </w:r>
      <w:r w:rsidR="00F44626" w:rsidRPr="00D92C04">
        <w:t xml:space="preserve">, </w:t>
      </w:r>
      <w:r w:rsidRPr="00D92C04">
        <w:t>Committee for Proprietary Medicinal Products (CPMP), Points to Consider on Switching Between Superiority and Non</w:t>
      </w:r>
      <w:r w:rsidRPr="00D92C04">
        <w:noBreakHyphen/>
        <w:t xml:space="preserve">inferiority, </w:t>
      </w:r>
      <w:r w:rsidR="00A53023" w:rsidRPr="00D92C04">
        <w:t>CPMP/EWP/482/99</w:t>
      </w:r>
      <w:r w:rsidRPr="00D92C04">
        <w:t>, 27 July 2000.</w:t>
      </w:r>
    </w:p>
    <w:p w14:paraId="5BA1FBE7" w14:textId="3894CF9D" w:rsidR="00A53023" w:rsidRPr="00D92C04" w:rsidRDefault="000A1C0B" w:rsidP="00A53023">
      <w:pPr>
        <w:pStyle w:val="ListBullet"/>
      </w:pPr>
      <w:r w:rsidRPr="00D92C04">
        <w:t xml:space="preserve">European Medicines Agency (EMA), </w:t>
      </w:r>
      <w:r w:rsidR="00A53023" w:rsidRPr="00D92C04">
        <w:t xml:space="preserve">Committee for </w:t>
      </w:r>
      <w:r w:rsidRPr="00D92C04">
        <w:t xml:space="preserve">Medicinal Products </w:t>
      </w:r>
      <w:r w:rsidR="00A53023" w:rsidRPr="00D92C04">
        <w:t xml:space="preserve">for </w:t>
      </w:r>
      <w:r w:rsidRPr="00D92C04">
        <w:t xml:space="preserve">Human Use (CHMP), Draft Agenda for the Meeting on 21-24 June 2021, </w:t>
      </w:r>
      <w:r w:rsidR="00A53023" w:rsidRPr="00D92C04">
        <w:t>EMA/CHMP/347670/2021</w:t>
      </w:r>
      <w:r w:rsidRPr="00D92C04">
        <w:t>, 21 June 2021.</w:t>
      </w:r>
    </w:p>
    <w:p w14:paraId="7AF770DA" w14:textId="77777777" w:rsidR="008E7846" w:rsidRPr="00D92C04" w:rsidRDefault="008E7846" w:rsidP="008E7846">
      <w:pPr>
        <w:pStyle w:val="Heading3"/>
      </w:pPr>
      <w:bookmarkStart w:id="50" w:name="_Toc314842511"/>
      <w:bookmarkStart w:id="51" w:name="_Toc111138569"/>
      <w:r w:rsidRPr="00D92C04">
        <w:lastRenderedPageBreak/>
        <w:t>Quality</w:t>
      </w:r>
      <w:bookmarkEnd w:id="48"/>
      <w:bookmarkEnd w:id="50"/>
      <w:bookmarkEnd w:id="51"/>
    </w:p>
    <w:p w14:paraId="636B2EB2" w14:textId="7C9F1AE8" w:rsidR="00A53023" w:rsidRPr="00D92C04" w:rsidRDefault="00A53023" w:rsidP="00A53023">
      <w:r w:rsidRPr="00D92C04">
        <w:t>The submission seeks registration of immediate release 80</w:t>
      </w:r>
      <w:r w:rsidR="009A54DE" w:rsidRPr="00D92C04">
        <w:t> </w:t>
      </w:r>
      <w:r w:rsidRPr="00D92C04">
        <w:t xml:space="preserve">mg hard capsules in </w:t>
      </w:r>
      <w:r w:rsidR="00F71806" w:rsidRPr="00D92C04">
        <w:t>a</w:t>
      </w:r>
      <w:r w:rsidRPr="00D92C04">
        <w:t xml:space="preserve"> </w:t>
      </w:r>
      <w:proofErr w:type="gramStart"/>
      <w:r w:rsidR="009A54DE" w:rsidRPr="00D92C04">
        <w:t>high density</w:t>
      </w:r>
      <w:proofErr w:type="gramEnd"/>
      <w:r w:rsidR="009A54DE" w:rsidRPr="00D92C04">
        <w:t xml:space="preserve"> polyethylene </w:t>
      </w:r>
      <w:r w:rsidRPr="00D92C04">
        <w:t xml:space="preserve">bottle with a child resistant closure. The </w:t>
      </w:r>
      <w:r w:rsidR="009A54DE" w:rsidRPr="00D92C04">
        <w:t xml:space="preserve">quality </w:t>
      </w:r>
      <w:r w:rsidRPr="00D92C04">
        <w:t>evaluator recommended approval from a chemistry and quality perspective</w:t>
      </w:r>
      <w:r w:rsidR="004645FB" w:rsidRPr="00D92C04">
        <w:t>.</w:t>
      </w:r>
      <w:r w:rsidRPr="00D92C04">
        <w:t xml:space="preserve"> The following is summary of the findings:</w:t>
      </w:r>
    </w:p>
    <w:p w14:paraId="21EB4892" w14:textId="77777777" w:rsidR="00A53023" w:rsidRPr="00D92C04" w:rsidRDefault="00A53023" w:rsidP="00A53023">
      <w:pPr>
        <w:pStyle w:val="ListBullet"/>
      </w:pPr>
      <w:r w:rsidRPr="00D92C04">
        <w:t>Zanubrutinib is structurally related to other antineoplastic protein kinase inhibitors including ibrutinib, acalabrutinib and bosutinib.</w:t>
      </w:r>
    </w:p>
    <w:p w14:paraId="5A4BBDB6" w14:textId="1CAC8C10" w:rsidR="00A53023" w:rsidRPr="00D92C04" w:rsidRDefault="00A53023" w:rsidP="00A53023">
      <w:pPr>
        <w:pStyle w:val="ListBullet"/>
      </w:pPr>
      <w:r w:rsidRPr="00D92C04">
        <w:t>The drug substance is Biopharmaceutics Classification System (BCS) class II (low solubility, high permeability).</w:t>
      </w:r>
      <w:r w:rsidR="000A1C0B" w:rsidRPr="00D92C04">
        <w:rPr>
          <w:rStyle w:val="FootnoteReference"/>
        </w:rPr>
        <w:footnoteReference w:id="7"/>
      </w:r>
    </w:p>
    <w:p w14:paraId="26B9E38F" w14:textId="1460B982" w:rsidR="00A53023" w:rsidRPr="00D92C04" w:rsidRDefault="00A53023" w:rsidP="00A53023">
      <w:pPr>
        <w:pStyle w:val="ListBullet"/>
      </w:pPr>
      <w:r w:rsidRPr="00D92C04">
        <w:t xml:space="preserve">The drug substance is produced by chemical synthesis in a </w:t>
      </w:r>
      <w:proofErr w:type="gramStart"/>
      <w:r w:rsidRPr="00D92C04">
        <w:t>six stage</w:t>
      </w:r>
      <w:proofErr w:type="gramEnd"/>
      <w:r w:rsidRPr="00D92C04">
        <w:t xml:space="preserve"> process from two defined starting materials. Synthetic steps include condensation, reduction, deprotection, chiral isolation, </w:t>
      </w:r>
      <w:proofErr w:type="gramStart"/>
      <w:r w:rsidRPr="00D92C04">
        <w:t>hydrolysis</w:t>
      </w:r>
      <w:proofErr w:type="gramEnd"/>
      <w:r w:rsidRPr="00D92C04">
        <w:t xml:space="preserve"> and addition under enantioselective conditions before seed</w:t>
      </w:r>
      <w:r w:rsidR="004645FB" w:rsidRPr="00D92C04">
        <w:t xml:space="preserve"> </w:t>
      </w:r>
      <w:r w:rsidRPr="00D92C04">
        <w:t>crystallisation and drying. Six intermediates are isolated in the process. The un-milled drug substance (</w:t>
      </w:r>
      <w:r w:rsidR="000A1C0B" w:rsidRPr="00D92C04">
        <w:t xml:space="preserve">sponsor’s drug development code: </w:t>
      </w:r>
      <w:r w:rsidRPr="00D92C04">
        <w:t xml:space="preserve">BGB-3111) is then </w:t>
      </w:r>
      <w:proofErr w:type="spellStart"/>
      <w:r w:rsidRPr="00D92C04">
        <w:t>micronised</w:t>
      </w:r>
      <w:proofErr w:type="spellEnd"/>
      <w:r w:rsidRPr="00D92C04">
        <w:t xml:space="preserve"> by jet-milling.</w:t>
      </w:r>
    </w:p>
    <w:p w14:paraId="445BA2C4" w14:textId="66ED1474" w:rsidR="00A53023" w:rsidRPr="00D92C04" w:rsidRDefault="00A53023" w:rsidP="00A53023">
      <w:pPr>
        <w:pStyle w:val="ListBullet"/>
      </w:pPr>
      <w:r w:rsidRPr="00D92C04">
        <w:t xml:space="preserve">The manufacturing process description includes process parameters and in-process controls for all steps. The drug substance specification adequately controls </w:t>
      </w:r>
      <w:r w:rsidR="004645FB" w:rsidRPr="00D92C04">
        <w:t>appearance, identification, assay, water content, chiral purity, polymorphism</w:t>
      </w:r>
      <w:r w:rsidRPr="00D92C04">
        <w:t xml:space="preserve">, </w:t>
      </w:r>
      <w:r w:rsidR="004645FB" w:rsidRPr="00D92C04">
        <w:t>related substances, residual solvents, elemental impurities, loss on drying, residue on ignition and particle size distribution</w:t>
      </w:r>
      <w:r w:rsidRPr="00D92C04">
        <w:t>.</w:t>
      </w:r>
    </w:p>
    <w:p w14:paraId="0A800D6D" w14:textId="7ED82865" w:rsidR="00A53023" w:rsidRPr="00D92C04" w:rsidRDefault="00A53023" w:rsidP="00A53023">
      <w:pPr>
        <w:pStyle w:val="ListBullet"/>
      </w:pPr>
      <w:r w:rsidRPr="00D92C04">
        <w:t xml:space="preserve">The retest period is 24 months for this drug substance stored below 30°C in </w:t>
      </w:r>
      <w:r w:rsidR="00F71806" w:rsidRPr="00D92C04">
        <w:t>a</w:t>
      </w:r>
      <w:r w:rsidRPr="00D92C04">
        <w:t xml:space="preserve"> </w:t>
      </w:r>
      <w:proofErr w:type="gramStart"/>
      <w:r w:rsidR="004645FB" w:rsidRPr="00D92C04">
        <w:t>low density</w:t>
      </w:r>
      <w:proofErr w:type="gramEnd"/>
      <w:r w:rsidR="004645FB" w:rsidRPr="00D92C04">
        <w:t xml:space="preserve"> polyethylene</w:t>
      </w:r>
      <w:r w:rsidRPr="00D92C04">
        <w:t xml:space="preserve"> bag, tied with a nylon tie within a second </w:t>
      </w:r>
      <w:r w:rsidR="004645FB" w:rsidRPr="00D92C04">
        <w:t>low density polyethylene</w:t>
      </w:r>
      <w:r w:rsidRPr="00D92C04">
        <w:t xml:space="preserve"> bag and anti-tamper tie within a fibre drum and lid with tamper</w:t>
      </w:r>
      <w:r w:rsidR="004645FB" w:rsidRPr="00D92C04">
        <w:t xml:space="preserve"> </w:t>
      </w:r>
      <w:r w:rsidRPr="00D92C04">
        <w:t>evident seal.</w:t>
      </w:r>
    </w:p>
    <w:p w14:paraId="400699B6" w14:textId="710A0CDB" w:rsidR="00A53023" w:rsidRPr="00D92C04" w:rsidRDefault="00A53023" w:rsidP="00A53023">
      <w:pPr>
        <w:pStyle w:val="ListBullet"/>
      </w:pPr>
      <w:r w:rsidRPr="00D92C04">
        <w:t>The capsule appearance is</w:t>
      </w:r>
      <w:r w:rsidR="004645FB" w:rsidRPr="00D92C04">
        <w:t xml:space="preserve"> </w:t>
      </w:r>
      <w:r w:rsidRPr="00D92C04">
        <w:t>Size 0, white to off-white opaque capsule of 22 mm in length, printed with ‘ZANU 80’ in black ink containing white to off-white powder.</w:t>
      </w:r>
    </w:p>
    <w:p w14:paraId="5843B3C2" w14:textId="4ACDBABF" w:rsidR="00A53023" w:rsidRPr="00D92C04" w:rsidRDefault="00A53023" w:rsidP="00A53023">
      <w:pPr>
        <w:pStyle w:val="ListBullet"/>
      </w:pPr>
      <w:r w:rsidRPr="00D92C04">
        <w:t>The capsule length is 21.7 ± 0.3 mm, diameter 7.64 mm. The capsules contain no overfill.</w:t>
      </w:r>
    </w:p>
    <w:p w14:paraId="3853EEBF" w14:textId="215A07E0" w:rsidR="00A53023" w:rsidRPr="00D92C04" w:rsidRDefault="00A53023" w:rsidP="00A53023">
      <w:pPr>
        <w:pStyle w:val="ListBullet"/>
      </w:pPr>
      <w:r w:rsidRPr="00D92C04">
        <w:t>The capsule fill contains the drug substance, microcrystalline cellulose, croscarmellose sodium, colloidal anhydrous silica, magnesium stearate and sodium lauryl sulfate. The fill is contained within a hard gelatin capsule and printed with a printing ink. The gelatin is of porcine and bovine origin.</w:t>
      </w:r>
    </w:p>
    <w:p w14:paraId="06FAE3FE" w14:textId="15ECF35F" w:rsidR="00A53023" w:rsidRPr="00D92C04" w:rsidRDefault="00A53023" w:rsidP="00A53023">
      <w:pPr>
        <w:pStyle w:val="ListBullet"/>
      </w:pPr>
      <w:r w:rsidRPr="00D92C04">
        <w:t>The proposed capsule formulation is the same as used in the pivotal clinical study. The proposed formulation is made by direct blending and encapsulation. The process has not changed from clinical to the proposed commercial process.</w:t>
      </w:r>
    </w:p>
    <w:p w14:paraId="62092924" w14:textId="2C98D6E9" w:rsidR="00A53023" w:rsidRPr="00D92C04" w:rsidRDefault="00A53023" w:rsidP="00A53023">
      <w:pPr>
        <w:pStyle w:val="ListBullet"/>
      </w:pPr>
      <w:r w:rsidRPr="00D92C04">
        <w:t xml:space="preserve">The finished product specification includes tests and limits </w:t>
      </w:r>
      <w:r w:rsidR="004645FB" w:rsidRPr="00D92C04">
        <w:t>for appearance, identificatio</w:t>
      </w:r>
      <w:r w:rsidRPr="00D92C04">
        <w:t xml:space="preserve">n by </w:t>
      </w:r>
      <w:proofErr w:type="spellStart"/>
      <w:r w:rsidR="009F0824" w:rsidRPr="00D92C04">
        <w:t>fourier</w:t>
      </w:r>
      <w:proofErr w:type="spellEnd"/>
      <w:r w:rsidR="009F0824" w:rsidRPr="00D92C04">
        <w:t xml:space="preserve"> transform infrared spectroscopy</w:t>
      </w:r>
      <w:r w:rsidRPr="00D92C04">
        <w:t xml:space="preserve">, </w:t>
      </w:r>
      <w:r w:rsidR="009F0824" w:rsidRPr="00D92C04">
        <w:t>high performance liquid chromatography (</w:t>
      </w:r>
      <w:r w:rsidRPr="00D92C04">
        <w:t>HPLC</w:t>
      </w:r>
      <w:r w:rsidR="009F0824" w:rsidRPr="00D92C04">
        <w:t>)</w:t>
      </w:r>
      <w:r w:rsidRPr="00D92C04">
        <w:t xml:space="preserve"> and chiral HPLC, </w:t>
      </w:r>
      <w:r w:rsidR="004645FB" w:rsidRPr="00D92C04">
        <w:t xml:space="preserve">assay, related substances, content uniformity, dissolution, microbial quality, chiral </w:t>
      </w:r>
      <w:proofErr w:type="gramStart"/>
      <w:r w:rsidR="004645FB" w:rsidRPr="00D92C04">
        <w:t>purity</w:t>
      </w:r>
      <w:proofErr w:type="gramEnd"/>
      <w:r w:rsidR="004645FB" w:rsidRPr="00D92C04">
        <w:t xml:space="preserve"> and impurities.</w:t>
      </w:r>
    </w:p>
    <w:p w14:paraId="147C27D1" w14:textId="0DA605AB" w:rsidR="00A53023" w:rsidRPr="00D92C04" w:rsidRDefault="00A53023" w:rsidP="00A53023">
      <w:pPr>
        <w:pStyle w:val="ListBullet"/>
      </w:pPr>
      <w:r w:rsidRPr="00D92C04">
        <w:t>There are two specified impurities and no specified degradation products.</w:t>
      </w:r>
    </w:p>
    <w:p w14:paraId="5B73C1B3" w14:textId="68E90C5C" w:rsidR="00A53023" w:rsidRPr="00D92C04" w:rsidRDefault="00A53023" w:rsidP="00A53023">
      <w:pPr>
        <w:pStyle w:val="ListBullet"/>
      </w:pPr>
      <w:r w:rsidRPr="00D92C04">
        <w:t>Stability data were provided to support the proposed shelf life of the drug product of 30 months when stored below 30°C with the condition ‘</w:t>
      </w:r>
      <w:r w:rsidR="004645FB" w:rsidRPr="00D92C04">
        <w:t>store in original container’</w:t>
      </w:r>
      <w:r w:rsidRPr="00D92C04">
        <w:t>.</w:t>
      </w:r>
    </w:p>
    <w:p w14:paraId="12864749" w14:textId="77777777" w:rsidR="008E7846" w:rsidRPr="00D92C04" w:rsidRDefault="008E7846" w:rsidP="008E7846">
      <w:pPr>
        <w:pStyle w:val="Heading3"/>
      </w:pPr>
      <w:bookmarkStart w:id="52" w:name="_Toc314842512"/>
      <w:bookmarkStart w:id="53" w:name="_Toc111138570"/>
      <w:r w:rsidRPr="00D92C04">
        <w:lastRenderedPageBreak/>
        <w:t>Nonclinical</w:t>
      </w:r>
      <w:bookmarkEnd w:id="52"/>
      <w:bookmarkEnd w:id="53"/>
    </w:p>
    <w:p w14:paraId="053AEFAB" w14:textId="75698FA9" w:rsidR="00A53023" w:rsidRPr="00D92C04" w:rsidRDefault="00A53023" w:rsidP="00A53023">
      <w:r w:rsidRPr="00D92C04">
        <w:t xml:space="preserve">The nonclinical evaluation has been undertaken for </w:t>
      </w:r>
      <w:r w:rsidR="000A1C0B" w:rsidRPr="00D92C04">
        <w:t>S</w:t>
      </w:r>
      <w:r w:rsidRPr="00D92C04">
        <w:t>ubmission</w:t>
      </w:r>
      <w:r w:rsidR="000A1C0B" w:rsidRPr="00D92C04">
        <w:t xml:space="preserve"> PM-2020-03076</w:t>
      </w:r>
      <w:r w:rsidR="00C81E51">
        <w:t>-</w:t>
      </w:r>
      <w:r w:rsidR="000A1C0B" w:rsidRPr="00D92C04">
        <w:t>1-6</w:t>
      </w:r>
      <w:r w:rsidR="00C81E51">
        <w:t>;</w:t>
      </w:r>
      <w:r w:rsidR="00C81E51">
        <w:rPr>
          <w:rStyle w:val="FootnoteReference"/>
        </w:rPr>
        <w:footnoteReference w:id="8"/>
      </w:r>
      <w:r w:rsidRPr="00D92C04">
        <w:t xml:space="preserve"> </w:t>
      </w:r>
      <w:r w:rsidR="00C81E51">
        <w:t>evaluated in parallel with this submission</w:t>
      </w:r>
      <w:r w:rsidRPr="00D92C04">
        <w:t>. The nonclinical evaluator did not raise an objection to the registration of zanubrutinib from a nonclinical perspective.</w:t>
      </w:r>
    </w:p>
    <w:p w14:paraId="4109264C" w14:textId="76A57B09" w:rsidR="00A53023" w:rsidRPr="00D92C04" w:rsidRDefault="00A53023" w:rsidP="00A53023">
      <w:r w:rsidRPr="00D92C04">
        <w:t xml:space="preserve">The </w:t>
      </w:r>
      <w:r w:rsidR="00E35BB2" w:rsidRPr="00D92C04">
        <w:t xml:space="preserve">nonclinical </w:t>
      </w:r>
      <w:r w:rsidRPr="00D92C04">
        <w:t xml:space="preserve">evaluation had no </w:t>
      </w:r>
      <w:r w:rsidR="002C5BCE" w:rsidRPr="00D92C04">
        <w:t>concern</w:t>
      </w:r>
      <w:r w:rsidR="00C81E51">
        <w:t>s</w:t>
      </w:r>
      <w:r w:rsidRPr="00D92C04">
        <w:t xml:space="preserve"> regarding the overall quality of the submission, the scope of the nonclinical program and </w:t>
      </w:r>
      <w:r w:rsidR="009F0824" w:rsidRPr="00D92C04">
        <w:t>Good Laboratory Practice;</w:t>
      </w:r>
      <w:r w:rsidR="009F0824" w:rsidRPr="00D92C04">
        <w:rPr>
          <w:rStyle w:val="FootnoteReference"/>
        </w:rPr>
        <w:footnoteReference w:id="9"/>
      </w:r>
      <w:r w:rsidRPr="00D92C04">
        <w:t xml:space="preserve"> compliance of the studies.</w:t>
      </w:r>
    </w:p>
    <w:p w14:paraId="170F0DC6" w14:textId="5CB0647D" w:rsidR="00A53023" w:rsidRPr="00D92C04" w:rsidRDefault="00A53023" w:rsidP="00A53023">
      <w:r w:rsidRPr="00D92C04">
        <w:rPr>
          <w:i/>
          <w:iCs/>
        </w:rPr>
        <w:t>In vitro</w:t>
      </w:r>
      <w:r w:rsidRPr="00D92C04">
        <w:t xml:space="preserve">, zanubrutinib inhibited the BTK receptor with nanomolar affinity. Zanubrutinib inhibited the autophosphorylation of BTK and inhibited tumour growth in </w:t>
      </w:r>
      <w:r w:rsidR="00E35BB2" w:rsidRPr="00D92C04">
        <w:t>mantle cell lymphoma</w:t>
      </w:r>
      <w:r w:rsidRPr="00D92C04">
        <w:t xml:space="preserve"> and diffuse large B-cell lymphoma cell-lines. </w:t>
      </w:r>
      <w:r w:rsidRPr="00D92C04">
        <w:rPr>
          <w:i/>
          <w:iCs/>
        </w:rPr>
        <w:t>In vivo</w:t>
      </w:r>
      <w:r w:rsidRPr="00D92C04">
        <w:t>, zanubrutinib showed dose</w:t>
      </w:r>
      <w:r w:rsidR="00E35BB2" w:rsidRPr="00D92C04">
        <w:t xml:space="preserve"> </w:t>
      </w:r>
      <w:r w:rsidRPr="00D92C04">
        <w:t>dependent inhibition in tumour growth and an increase in life</w:t>
      </w:r>
      <w:r w:rsidR="00E35BB2" w:rsidRPr="00D92C04">
        <w:t xml:space="preserve"> </w:t>
      </w:r>
      <w:r w:rsidRPr="00D92C04">
        <w:t>span in xenograft mouse models of B-cell malignancies. No animal studies were submitted to directly support the WM indication.</w:t>
      </w:r>
    </w:p>
    <w:p w14:paraId="37902871" w14:textId="3DA134EC" w:rsidR="00A53023" w:rsidRPr="00D92C04" w:rsidRDefault="00A53023" w:rsidP="00A53023">
      <w:r w:rsidRPr="00D92C04">
        <w:t xml:space="preserve">In secondary screens against 326 human kinases, zanubrutinib had inhibitory activity against 13 kinases, excluding BTK. </w:t>
      </w:r>
      <w:r w:rsidR="009679E6" w:rsidRPr="00D92C04">
        <w:t xml:space="preserve">Zanubrutinib is likely to inhibit </w:t>
      </w:r>
      <w:r w:rsidR="00D45571" w:rsidRPr="00D45571">
        <w:t xml:space="preserve">bone marrow X kinase </w:t>
      </w:r>
      <w:r w:rsidR="009679E6" w:rsidRPr="00D92C04">
        <w:t>/</w:t>
      </w:r>
      <w:r w:rsidR="00D45571" w:rsidRPr="00D45571">
        <w:t xml:space="preserve"> </w:t>
      </w:r>
      <w:r w:rsidR="00D45571">
        <w:t>e</w:t>
      </w:r>
      <w:r w:rsidR="00D45571" w:rsidRPr="00D45571">
        <w:t>pithelial and endothelial tyrosine kinase</w:t>
      </w:r>
      <w:r w:rsidR="009679E6" w:rsidRPr="00D92C04">
        <w:t xml:space="preserve">, </w:t>
      </w:r>
      <w:r w:rsidR="00D45571" w:rsidRPr="00D45571">
        <w:t>B</w:t>
      </w:r>
      <w:r w:rsidR="00D45571">
        <w:t>-</w:t>
      </w:r>
      <w:r w:rsidR="00D45571" w:rsidRPr="00D45571">
        <w:t>lymphocyte kinase</w:t>
      </w:r>
      <w:r w:rsidR="009679E6" w:rsidRPr="00D92C04">
        <w:t xml:space="preserve">, </w:t>
      </w:r>
      <w:r w:rsidR="00D45571">
        <w:t>e</w:t>
      </w:r>
      <w:r w:rsidR="00D45571" w:rsidRPr="00D45571">
        <w:t xml:space="preserve">rb-b2 receptor tyrosine kinase 4 </w:t>
      </w:r>
      <w:r w:rsidR="00D45571">
        <w:t>(</w:t>
      </w:r>
      <w:r w:rsidR="009679E6" w:rsidRPr="00D92C04">
        <w:t>ERBB4</w:t>
      </w:r>
      <w:r w:rsidR="00D45571">
        <w:t>)</w:t>
      </w:r>
      <w:r w:rsidR="009679E6" w:rsidRPr="00D92C04">
        <w:t>/</w:t>
      </w:r>
      <w:bookmarkStart w:id="54" w:name="_Hlk105002336"/>
      <w:r w:rsidR="00D45571" w:rsidRPr="00D45571">
        <w:t xml:space="preserve">human epidermal growth factor receptor </w:t>
      </w:r>
      <w:bookmarkEnd w:id="54"/>
      <w:r w:rsidR="00D45571" w:rsidRPr="00D45571">
        <w:t>4</w:t>
      </w:r>
      <w:r w:rsidR="009679E6" w:rsidRPr="00D92C04">
        <w:t xml:space="preserve">, </w:t>
      </w:r>
      <w:r w:rsidR="00D45571">
        <w:t>t</w:t>
      </w:r>
      <w:r w:rsidR="00D45571" w:rsidRPr="00D45571">
        <w:t xml:space="preserve">ec protein tyrosine kinase </w:t>
      </w:r>
      <w:r w:rsidR="00D45571">
        <w:t>(</w:t>
      </w:r>
      <w:r w:rsidR="009679E6" w:rsidRPr="00D92C04">
        <w:t>TEC</w:t>
      </w:r>
      <w:r w:rsidR="00D45571">
        <w:t>)</w:t>
      </w:r>
      <w:r w:rsidR="009679E6" w:rsidRPr="00D92C04">
        <w:t xml:space="preserve">, EGFR, TXK, </w:t>
      </w:r>
      <w:r w:rsidR="00D45571" w:rsidRPr="00D45571">
        <w:t>breast tumour kinase</w:t>
      </w:r>
      <w:r w:rsidR="00D45571" w:rsidRPr="00D92C04">
        <w:t xml:space="preserve"> </w:t>
      </w:r>
      <w:r w:rsidR="009679E6" w:rsidRPr="00D92C04">
        <w:t xml:space="preserve">and ITK; may slightly inhibit </w:t>
      </w:r>
      <w:r w:rsidR="002C60FF" w:rsidRPr="002C60FF">
        <w:t>fetal growth restriction</w:t>
      </w:r>
      <w:r w:rsidR="009679E6" w:rsidRPr="00D92C04">
        <w:t xml:space="preserve">, </w:t>
      </w:r>
      <w:r w:rsidR="002C60FF" w:rsidRPr="002C60FF">
        <w:t>lymphocyte</w:t>
      </w:r>
      <w:r w:rsidR="002C60FF">
        <w:t xml:space="preserve"> </w:t>
      </w:r>
      <w:r w:rsidR="002C60FF" w:rsidRPr="002C60FF">
        <w:t xml:space="preserve">specific protein tyrosine kinase </w:t>
      </w:r>
      <w:r w:rsidR="009679E6" w:rsidRPr="00D92C04">
        <w:t xml:space="preserve">and </w:t>
      </w:r>
      <w:proofErr w:type="spellStart"/>
      <w:r w:rsidR="002C60FF">
        <w:t>f</w:t>
      </w:r>
      <w:r w:rsidR="002C60FF" w:rsidRPr="002C60FF">
        <w:t>yn</w:t>
      </w:r>
      <w:proofErr w:type="spellEnd"/>
      <w:r w:rsidR="009A6514">
        <w:t>-</w:t>
      </w:r>
      <w:r w:rsidR="002C60FF" w:rsidRPr="002C60FF">
        <w:t xml:space="preserve">related kinase </w:t>
      </w:r>
      <w:r w:rsidR="009679E6" w:rsidRPr="00D92C04">
        <w:t>/</w:t>
      </w:r>
      <w:r w:rsidR="002C60FF" w:rsidRPr="002C60FF">
        <w:t xml:space="preserve"> protein tyrosine kinase 5</w:t>
      </w:r>
      <w:r w:rsidR="009679E6" w:rsidRPr="00D92C04">
        <w:t xml:space="preserve">; and is unlikely to inhibit </w:t>
      </w:r>
      <w:r w:rsidR="002C60FF">
        <w:t>J</w:t>
      </w:r>
      <w:r w:rsidR="002C60FF" w:rsidRPr="002C60FF">
        <w:t>anus kinase</w:t>
      </w:r>
      <w:r w:rsidR="002C60FF">
        <w:t xml:space="preserve"> 3</w:t>
      </w:r>
      <w:r w:rsidR="009679E6" w:rsidRPr="00D92C04">
        <w:t xml:space="preserve"> and </w:t>
      </w:r>
      <w:r w:rsidR="002C60FF" w:rsidRPr="002C60FF">
        <w:t xml:space="preserve">human epidermal growth factor receptor </w:t>
      </w:r>
      <w:r w:rsidR="002C60FF">
        <w:t>2 kinases</w:t>
      </w:r>
      <w:r w:rsidR="009679E6" w:rsidRPr="00D92C04">
        <w:t xml:space="preserve"> at the proposed clinical dose</w:t>
      </w:r>
      <w:r w:rsidRPr="00D92C04">
        <w:t>. Inhibition of multiple kinases present on B-</w:t>
      </w:r>
      <w:r w:rsidR="00E35BB2" w:rsidRPr="00D92C04">
        <w:t>cell</w:t>
      </w:r>
      <w:r w:rsidRPr="00D92C04">
        <w:t xml:space="preserve"> and T-cell lineages by zanubrutinib may result in altered and/or compromised immune response to certain infections. </w:t>
      </w:r>
      <w:r w:rsidR="009679E6" w:rsidRPr="00D92C04">
        <w:t xml:space="preserve">ERBB4 </w:t>
      </w:r>
      <w:r w:rsidRPr="00D92C04">
        <w:t xml:space="preserve">and TEC appear to have cardioprotective roles and TEC plays a role in platelet activation. The secondary </w:t>
      </w:r>
      <w:r w:rsidR="00C81E51">
        <w:t>pharmacodynamic</w:t>
      </w:r>
      <w:r w:rsidR="00C81E51" w:rsidRPr="00D92C04">
        <w:t xml:space="preserve"> </w:t>
      </w:r>
      <w:r w:rsidR="00FD6EAB">
        <w:t xml:space="preserve">(PD) </w:t>
      </w:r>
      <w:r w:rsidRPr="00D92C04">
        <w:t>studies did not include general screening for potential off</w:t>
      </w:r>
      <w:r w:rsidR="00FD01FF" w:rsidRPr="00D92C04">
        <w:t xml:space="preserve"> </w:t>
      </w:r>
      <w:r w:rsidRPr="00D92C04">
        <w:t xml:space="preserve">target effects on a large panel of receptors, enzymes, </w:t>
      </w:r>
      <w:proofErr w:type="gramStart"/>
      <w:r w:rsidRPr="00D92C04">
        <w:t>transporters</w:t>
      </w:r>
      <w:proofErr w:type="gramEnd"/>
      <w:r w:rsidRPr="00D92C04">
        <w:t xml:space="preserve"> and ion channels. This is considered a deficiency.</w:t>
      </w:r>
    </w:p>
    <w:p w14:paraId="306C43C7" w14:textId="4BBB64F9" w:rsidR="00A53023" w:rsidRPr="00D92C04" w:rsidRDefault="00A53023" w:rsidP="00A53023">
      <w:r w:rsidRPr="00D92C04">
        <w:t xml:space="preserve">No adverse effects on </w:t>
      </w:r>
      <w:r w:rsidR="00B03F50" w:rsidRPr="00D92C04">
        <w:t>central nervous system (</w:t>
      </w:r>
      <w:r w:rsidRPr="00D92C04">
        <w:t>CNS</w:t>
      </w:r>
      <w:r w:rsidR="00B03F50" w:rsidRPr="00D92C04">
        <w:t>)</w:t>
      </w:r>
      <w:r w:rsidRPr="00D92C04">
        <w:t>, respiratory or cardiovascular function were seen in adequately conducted safety pharmacology studies. Bleeding episodes and atrial fibrillation observed in patients may be due to off-target effects.</w:t>
      </w:r>
    </w:p>
    <w:p w14:paraId="44710322" w14:textId="55EC31E7" w:rsidR="00A53023" w:rsidRPr="00D92C04" w:rsidRDefault="00A53023" w:rsidP="00A53023">
      <w:r w:rsidRPr="00D92C04">
        <w:t xml:space="preserve">Zanubrutinib was rapidly absorbed with a similar </w:t>
      </w:r>
      <w:r w:rsidR="00B03F50" w:rsidRPr="00D92C04">
        <w:t>time to maximum observed concentration (</w:t>
      </w:r>
      <w:proofErr w:type="spellStart"/>
      <w:r w:rsidRPr="00D92C04">
        <w:t>T</w:t>
      </w:r>
      <w:r w:rsidRPr="00D92C04">
        <w:rPr>
          <w:vertAlign w:val="subscript"/>
        </w:rPr>
        <w:t>max</w:t>
      </w:r>
      <w:proofErr w:type="spellEnd"/>
      <w:r w:rsidR="00B03F50" w:rsidRPr="00D92C04">
        <w:t xml:space="preserve">) </w:t>
      </w:r>
      <w:r w:rsidRPr="00D92C04">
        <w:t>(≤</w:t>
      </w:r>
      <w:r w:rsidR="00E35BB2" w:rsidRPr="00D92C04">
        <w:t xml:space="preserve"> </w:t>
      </w:r>
      <w:r w:rsidRPr="00D92C04">
        <w:t>2 h</w:t>
      </w:r>
      <w:r w:rsidR="00E35BB2" w:rsidRPr="00D92C04">
        <w:t>ours</w:t>
      </w:r>
      <w:r w:rsidRPr="00D92C04">
        <w:t>) in animal (rats and dogs) species and humans. Bioavailability was moderate in dogs and female rats, whereas it was low in male rats. The terminal elimination half-life was short in both rats and dogs following IV dosing (≤</w:t>
      </w:r>
      <w:r w:rsidR="00C81E51">
        <w:t> </w:t>
      </w:r>
      <w:r w:rsidRPr="00D92C04">
        <w:t>1.1</w:t>
      </w:r>
      <w:r w:rsidR="00C81E51">
        <w:t> </w:t>
      </w:r>
      <w:r w:rsidRPr="00D92C04">
        <w:t>h</w:t>
      </w:r>
      <w:r w:rsidR="00E35BB2" w:rsidRPr="00D92C04">
        <w:t>ours</w:t>
      </w:r>
      <w:r w:rsidRPr="00D92C04">
        <w:t>) and moderate in rats, dogs and humans following oral dosing (1</w:t>
      </w:r>
      <w:r w:rsidR="00E35BB2" w:rsidRPr="00D92C04">
        <w:t xml:space="preserve"> to </w:t>
      </w:r>
      <w:r w:rsidRPr="00D92C04">
        <w:t>4 h</w:t>
      </w:r>
      <w:r w:rsidR="00E35BB2" w:rsidRPr="00D92C04">
        <w:t>ours</w:t>
      </w:r>
      <w:r w:rsidRPr="00D92C04">
        <w:t>). Plasma protein binding of zanubrutinib was high in laboratory animal species (&gt;</w:t>
      </w:r>
      <w:r w:rsidR="00E35BB2" w:rsidRPr="00D92C04">
        <w:t xml:space="preserve"> </w:t>
      </w:r>
      <w:r w:rsidRPr="00D92C04">
        <w:t xml:space="preserve">92% in mice, rats, </w:t>
      </w:r>
      <w:proofErr w:type="gramStart"/>
      <w:r w:rsidRPr="00D92C04">
        <w:t>dogs</w:t>
      </w:r>
      <w:proofErr w:type="gramEnd"/>
      <w:r w:rsidRPr="00D92C04">
        <w:t xml:space="preserve"> and monkeys) and humans (93.5</w:t>
      </w:r>
      <w:r w:rsidR="00E35BB2" w:rsidRPr="00D92C04">
        <w:t xml:space="preserve">% to </w:t>
      </w:r>
      <w:r w:rsidRPr="00D92C04">
        <w:t xml:space="preserve">95%). Tissue distribution of zanubrutinib was wide in rats and dogs but penetration into brain was limited. The predominant circulating metabolite in human plasma was acrylic acid. Significant metabolites in rat plasma were also identified in humans. </w:t>
      </w:r>
      <w:r w:rsidR="00B03F50" w:rsidRPr="00D92C04">
        <w:t>Cytochrome P450 (CYP);</w:t>
      </w:r>
      <w:r w:rsidR="00B03F50" w:rsidRPr="00D92C04">
        <w:rPr>
          <w:rStyle w:val="FootnoteReference"/>
        </w:rPr>
        <w:footnoteReference w:id="10"/>
      </w:r>
      <w:r w:rsidR="00B03F50" w:rsidRPr="00D92C04">
        <w:t xml:space="preserve"> 3A4</w:t>
      </w:r>
      <w:r w:rsidRPr="00D92C04">
        <w:t xml:space="preserve"> </w:t>
      </w:r>
      <w:r w:rsidRPr="00D92C04">
        <w:lastRenderedPageBreak/>
        <w:t>is the main enzyme involved in zanubrutinib metabolism. Drug</w:t>
      </w:r>
      <w:r w:rsidR="009A6514">
        <w:t>-</w:t>
      </w:r>
      <w:r w:rsidRPr="00D92C04">
        <w:t>related material was excreted predominantly via faeces (</w:t>
      </w:r>
      <w:r w:rsidR="00E35BB2" w:rsidRPr="00D92C04">
        <w:t xml:space="preserve">approximately </w:t>
      </w:r>
      <w:r w:rsidRPr="00D92C04">
        <w:t>90%) in humans and rats after oral administration. Biliary excretion of metabolites was demonstrated in rats.</w:t>
      </w:r>
    </w:p>
    <w:p w14:paraId="023E1C93" w14:textId="59A6D60E" w:rsidR="00A53023" w:rsidRPr="00D92C04" w:rsidRDefault="00A53023" w:rsidP="00A53023">
      <w:r w:rsidRPr="00D92C04">
        <w:t>Inhibitors</w:t>
      </w:r>
      <w:r w:rsidR="008C2D07" w:rsidRPr="00D92C04">
        <w:t xml:space="preserve"> or </w:t>
      </w:r>
      <w:r w:rsidRPr="00D92C04">
        <w:t>inducers of CYP3A are expected to significantly alter zanubrutinib exposure in clinical use. Strong P-glycoprotein inhibitors</w:t>
      </w:r>
      <w:r w:rsidR="008C2D07" w:rsidRPr="00D92C04">
        <w:t xml:space="preserve"> or </w:t>
      </w:r>
      <w:r w:rsidRPr="00D92C04">
        <w:t xml:space="preserve">inducers may alter the </w:t>
      </w:r>
      <w:r w:rsidRPr="00D92C04">
        <w:rPr>
          <w:i/>
          <w:iCs/>
        </w:rPr>
        <w:t>in vivo</w:t>
      </w:r>
      <w:r w:rsidRPr="00D92C04">
        <w:t xml:space="preserve"> distribution profile of zanubrutinib. </w:t>
      </w:r>
      <w:r w:rsidRPr="00D92C04">
        <w:rPr>
          <w:i/>
          <w:iCs/>
        </w:rPr>
        <w:t>In vitro</w:t>
      </w:r>
      <w:r w:rsidRPr="00D92C04">
        <w:t xml:space="preserve"> data also indicate the potential for zanubrutinib to increase exposures to co-administered drugs that are CYP2C8 substrates. Zanubrutinib weakly induces </w:t>
      </w:r>
      <w:proofErr w:type="gramStart"/>
      <w:r w:rsidRPr="00D92C04">
        <w:t>CYP2C19</w:t>
      </w:r>
      <w:proofErr w:type="gramEnd"/>
      <w:r w:rsidRPr="00D92C04">
        <w:t xml:space="preserve"> and it has a net weak induction effect on CYP3A enzymes. It is likely to decrease exposures of</w:t>
      </w:r>
      <w:r w:rsidR="005B3E68" w:rsidRPr="00D92C04">
        <w:t xml:space="preserve"> </w:t>
      </w:r>
      <w:r w:rsidRPr="00D92C04">
        <w:t>substrates of these isozymes. Zanubrutinib is likely to increase exposure of P-glycoprotein substrates by inhibition of these efflux pumps in gut.</w:t>
      </w:r>
    </w:p>
    <w:p w14:paraId="23DADB44" w14:textId="52F02501" w:rsidR="00A53023" w:rsidRPr="00D92C04" w:rsidRDefault="00A53023" w:rsidP="00A53023">
      <w:r w:rsidRPr="00D92C04">
        <w:t>Zanubrutinib had a low order of acute oral toxicity in rats and dogs.</w:t>
      </w:r>
    </w:p>
    <w:p w14:paraId="1E1A8B76" w14:textId="1F86BD25" w:rsidR="00A53023" w:rsidRPr="00D92C04" w:rsidRDefault="00A53023" w:rsidP="00A53023">
      <w:r w:rsidRPr="00D92C04">
        <w:t>Repeat-dose toxicity studies by the clinical route (</w:t>
      </w:r>
      <w:r w:rsidR="006A2C52">
        <w:t>orally</w:t>
      </w:r>
      <w:r w:rsidRPr="00D92C04">
        <w:t>) were conducted in rats (up to 6</w:t>
      </w:r>
      <w:r w:rsidR="008C2D07" w:rsidRPr="00D92C04">
        <w:t> </w:t>
      </w:r>
      <w:r w:rsidRPr="00D92C04">
        <w:t xml:space="preserve">months duration) and dogs (up to 9 months duration). Maximum exposures </w:t>
      </w:r>
      <w:r w:rsidR="00B03F50" w:rsidRPr="00D92C04">
        <w:t xml:space="preserve">area under the concentration time curve </w:t>
      </w:r>
      <w:r w:rsidRPr="00D92C04">
        <w:t xml:space="preserve">(AUC) were adequate in the pivotal studies. Target organs for toxicity were the skin (both species), lymphoid tissues (both species), </w:t>
      </w:r>
      <w:r w:rsidR="008C2D07" w:rsidRPr="00D92C04">
        <w:t>gastrointestinal</w:t>
      </w:r>
      <w:r w:rsidRPr="00D92C04">
        <w:t xml:space="preserve"> tract (rats), adrenal glands (rats), pancreas (rats), lungs (rats), thyroid gland (rats) and skeletal muscle (rats). Effects in the adrenal and thyroid glands are not expected to be clinically relevant. Findings of clinical relevance included </w:t>
      </w:r>
      <w:r w:rsidR="008C2D07" w:rsidRPr="00D92C04">
        <w:t xml:space="preserve">gastrointestinal </w:t>
      </w:r>
      <w:r w:rsidRPr="00D92C04">
        <w:t>disturbances, skin lesions and haemorrhage. Based on the primary pharmacology of the drug, an immunosuppressive effect is expected in patients (B-cell and immunoglobulin deficiencies).</w:t>
      </w:r>
    </w:p>
    <w:p w14:paraId="7B64EA7B" w14:textId="0337C01F" w:rsidR="00A53023" w:rsidRPr="00D92C04" w:rsidRDefault="00A53023" w:rsidP="00A53023">
      <w:r w:rsidRPr="00D92C04">
        <w:t xml:space="preserve">Zanubrutinib was not mutagenic in the bacterial mutation assay or clastogenic </w:t>
      </w:r>
      <w:r w:rsidRPr="00D92C04">
        <w:rPr>
          <w:i/>
          <w:iCs/>
        </w:rPr>
        <w:t>in vitro</w:t>
      </w:r>
      <w:r w:rsidRPr="00D92C04">
        <w:t xml:space="preserve"> (in </w:t>
      </w:r>
      <w:r w:rsidR="008C2D07" w:rsidRPr="00D92C04">
        <w:t>Chinese hamster ovary</w:t>
      </w:r>
      <w:r w:rsidRPr="00D92C04">
        <w:t xml:space="preserve"> cells) or </w:t>
      </w:r>
      <w:r w:rsidRPr="00D92C04">
        <w:rPr>
          <w:i/>
          <w:iCs/>
        </w:rPr>
        <w:t>in vivo</w:t>
      </w:r>
      <w:r w:rsidRPr="00D92C04">
        <w:t xml:space="preserve"> (in the rat micronucleus test). No carcinogenicity studies have been conducted with zanubrutinib. This is acceptable given the proposed indication.</w:t>
      </w:r>
    </w:p>
    <w:p w14:paraId="69846EDC" w14:textId="62C4E1F3" w:rsidR="00A53023" w:rsidRPr="00D92C04" w:rsidRDefault="00A53023" w:rsidP="00A53023">
      <w:r w:rsidRPr="00D92C04">
        <w:t>Pregnancy Category D</w:t>
      </w:r>
      <w:r w:rsidR="009B052A" w:rsidRPr="00D92C04">
        <w:t>;</w:t>
      </w:r>
      <w:r w:rsidR="009B052A" w:rsidRPr="00D92C04">
        <w:rPr>
          <w:rStyle w:val="FootnoteReference"/>
        </w:rPr>
        <w:footnoteReference w:id="11"/>
      </w:r>
      <w:r w:rsidRPr="00D92C04">
        <w:t xml:space="preserve"> is recommended. Female fertility was unaffected in rats, however </w:t>
      </w:r>
      <w:r w:rsidR="008D6F1C" w:rsidRPr="00D92C04">
        <w:t>embryotoxicity</w:t>
      </w:r>
      <w:r w:rsidRPr="00D92C04">
        <w:t xml:space="preserve"> and abnormal sperm morphology were reported at zanubrutinib exposure levels around 19</w:t>
      </w:r>
      <w:r w:rsidR="008C2D07" w:rsidRPr="00D92C04">
        <w:t xml:space="preserve"> to </w:t>
      </w:r>
      <w:r w:rsidRPr="00D92C04">
        <w:t>32 times those anticipated clinically. Zanubrutinib was teratogenic (2</w:t>
      </w:r>
      <w:r w:rsidR="008C2D07" w:rsidRPr="00D92C04">
        <w:t> </w:t>
      </w:r>
      <w:r w:rsidRPr="00D92C04">
        <w:t>or 3</w:t>
      </w:r>
      <w:r w:rsidR="008C2D07" w:rsidRPr="00D92C04">
        <w:t xml:space="preserve"> </w:t>
      </w:r>
      <w:r w:rsidRPr="00D92C04">
        <w:t xml:space="preserve">chambered hearts) in rats at 4 times the anticipated clinical exposure. Zanubrutinib was </w:t>
      </w:r>
      <w:r w:rsidR="008C2D07" w:rsidRPr="00D92C04">
        <w:t>embryotoxic</w:t>
      </w:r>
      <w:r w:rsidRPr="00D92C04">
        <w:t xml:space="preserve"> in rabbits at maternotoxic doses around 25</w:t>
      </w:r>
      <w:r w:rsidR="008C2D07" w:rsidRPr="00D92C04">
        <w:t xml:space="preserve"> </w:t>
      </w:r>
      <w:r w:rsidRPr="00D92C04">
        <w:t>times those anticipated clinically. Ocular abnormalities were observed in rat pups from dams dosed from gestation through weaning (</w:t>
      </w:r>
      <w:r w:rsidR="00B03F50" w:rsidRPr="00D92C04">
        <w:t>the no-observed</w:t>
      </w:r>
      <w:r w:rsidR="008D6F1C" w:rsidRPr="00D92C04">
        <w:t xml:space="preserve"> </w:t>
      </w:r>
      <w:r w:rsidR="00B03F50" w:rsidRPr="00D92C04">
        <w:t>adverse</w:t>
      </w:r>
      <w:r w:rsidR="008D6F1C" w:rsidRPr="00D92C04">
        <w:t xml:space="preserve"> </w:t>
      </w:r>
      <w:r w:rsidR="00B03F50" w:rsidRPr="00D92C04">
        <w:t>effect level is</w:t>
      </w:r>
      <w:r w:rsidRPr="00D92C04">
        <w:t xml:space="preserve"> not established). The significance of which is unclear.</w:t>
      </w:r>
    </w:p>
    <w:p w14:paraId="189DE9A2" w14:textId="77777777" w:rsidR="00A53023" w:rsidRPr="00D92C04" w:rsidRDefault="00A53023" w:rsidP="00A53023">
      <w:r w:rsidRPr="00D92C04">
        <w:t>The proposed limits for impurities in the drug product have been adequately qualified or are controlled to the applicable qualification threshold.</w:t>
      </w:r>
    </w:p>
    <w:p w14:paraId="18F5C3A2" w14:textId="77777777" w:rsidR="008E7846" w:rsidRPr="00D92C04" w:rsidRDefault="008E7846" w:rsidP="00D27DB6">
      <w:pPr>
        <w:pStyle w:val="Heading3"/>
        <w:pageBreakBefore/>
      </w:pPr>
      <w:bookmarkStart w:id="55" w:name="_Toc247691530"/>
      <w:bookmarkStart w:id="56" w:name="_Toc314842513"/>
      <w:bookmarkStart w:id="57" w:name="_Toc111138571"/>
      <w:r w:rsidRPr="00D92C04">
        <w:lastRenderedPageBreak/>
        <w:t>Clinical</w:t>
      </w:r>
      <w:bookmarkEnd w:id="55"/>
      <w:bookmarkEnd w:id="56"/>
      <w:bookmarkEnd w:id="57"/>
    </w:p>
    <w:p w14:paraId="0D864E6B" w14:textId="667F061C" w:rsidR="00A53023" w:rsidRPr="00D92C04" w:rsidRDefault="00A53023" w:rsidP="00A53023">
      <w:bookmarkStart w:id="58" w:name="_Toc12019955"/>
      <w:bookmarkStart w:id="59" w:name="_Toc314842514"/>
      <w:r w:rsidRPr="00D92C04">
        <w:t>The clinical dossier consisted of the following studies:</w:t>
      </w:r>
    </w:p>
    <w:p w14:paraId="19865BEA" w14:textId="42B113F9" w:rsidR="00F52A8A" w:rsidRPr="00D92C04" w:rsidRDefault="00F52A8A" w:rsidP="00F52A8A">
      <w:pPr>
        <w:pStyle w:val="ListBullet"/>
      </w:pPr>
      <w:r w:rsidRPr="00D92C04">
        <w:rPr>
          <w:lang w:eastAsia="ja-JP"/>
        </w:rPr>
        <w:t xml:space="preserve">Two Phase I studies: </w:t>
      </w:r>
      <w:r w:rsidR="00795708" w:rsidRPr="00D92C04">
        <w:rPr>
          <w:lang w:eastAsia="ja-JP"/>
        </w:rPr>
        <w:t xml:space="preserve">Study </w:t>
      </w:r>
      <w:r w:rsidRPr="00D92C04">
        <w:t xml:space="preserve">BGB-3111-1002 and </w:t>
      </w:r>
      <w:r w:rsidR="00795708" w:rsidRPr="00D92C04">
        <w:rPr>
          <w:lang w:eastAsia="ja-JP"/>
        </w:rPr>
        <w:t xml:space="preserve">Study </w:t>
      </w:r>
      <w:r w:rsidRPr="00D92C04">
        <w:t>BGB-311</w:t>
      </w:r>
      <w:r w:rsidR="004E2E0C">
        <w:t>1</w:t>
      </w:r>
      <w:r w:rsidRPr="00D92C04">
        <w:t>-AU-003</w:t>
      </w:r>
    </w:p>
    <w:p w14:paraId="526954A4" w14:textId="68C57FDA" w:rsidR="00795708" w:rsidRPr="00D92C04" w:rsidRDefault="00795708" w:rsidP="00F52A8A">
      <w:pPr>
        <w:pStyle w:val="ListBullet"/>
      </w:pPr>
      <w:r w:rsidRPr="00D92C04">
        <w:t xml:space="preserve">Five </w:t>
      </w:r>
      <w:r w:rsidR="00B65356" w:rsidRPr="00D92C04">
        <w:t>Phase II</w:t>
      </w:r>
      <w:r w:rsidR="00F52A8A" w:rsidRPr="00D92C04">
        <w:t xml:space="preserve"> studies: </w:t>
      </w:r>
      <w:r w:rsidRPr="00D92C04">
        <w:rPr>
          <w:lang w:eastAsia="ja-JP"/>
        </w:rPr>
        <w:t xml:space="preserve">Study </w:t>
      </w:r>
      <w:r w:rsidR="00F52A8A" w:rsidRPr="00D92C04">
        <w:t>BGB-31</w:t>
      </w:r>
      <w:r w:rsidR="004E2E0C">
        <w:t>1</w:t>
      </w:r>
      <w:r w:rsidR="00F52A8A" w:rsidRPr="00D92C04">
        <w:t>1-AU-003,</w:t>
      </w:r>
      <w:r w:rsidR="00B65356" w:rsidRPr="00D92C04">
        <w:t xml:space="preserve"> </w:t>
      </w:r>
      <w:r w:rsidRPr="00D92C04">
        <w:rPr>
          <w:lang w:eastAsia="ja-JP"/>
        </w:rPr>
        <w:t xml:space="preserve">Study </w:t>
      </w:r>
      <w:r w:rsidR="00B65356" w:rsidRPr="00D92C04">
        <w:t>BGB-311</w:t>
      </w:r>
      <w:r w:rsidR="004E2E0C">
        <w:t>1</w:t>
      </w:r>
      <w:r w:rsidR="00B65356" w:rsidRPr="00D92C04">
        <w:t>-210 (Study 210)</w:t>
      </w:r>
      <w:r w:rsidR="00F52A8A" w:rsidRPr="00D92C04">
        <w:t xml:space="preserve">, </w:t>
      </w:r>
      <w:r w:rsidRPr="00D92C04">
        <w:rPr>
          <w:lang w:eastAsia="ja-JP"/>
        </w:rPr>
        <w:t xml:space="preserve">Study </w:t>
      </w:r>
      <w:r w:rsidR="00A53023" w:rsidRPr="00D92C04">
        <w:t>BGB</w:t>
      </w:r>
      <w:r w:rsidRPr="00D92C04">
        <w:noBreakHyphen/>
      </w:r>
      <w:r w:rsidR="00A53023" w:rsidRPr="00D92C04">
        <w:t>3111-205</w:t>
      </w:r>
      <w:r w:rsidR="00F52A8A" w:rsidRPr="00D92C04">
        <w:t xml:space="preserve">, </w:t>
      </w:r>
      <w:r w:rsidRPr="00D92C04">
        <w:rPr>
          <w:lang w:eastAsia="ja-JP"/>
        </w:rPr>
        <w:t xml:space="preserve">Study </w:t>
      </w:r>
      <w:r w:rsidR="00A53023" w:rsidRPr="00D92C04">
        <w:t xml:space="preserve">BGB-3111-206 and </w:t>
      </w:r>
      <w:r w:rsidRPr="00D92C04">
        <w:rPr>
          <w:lang w:eastAsia="ja-JP"/>
        </w:rPr>
        <w:t xml:space="preserve">Study </w:t>
      </w:r>
      <w:r w:rsidR="00A53023" w:rsidRPr="00D92C04">
        <w:t>BGB-3111-210</w:t>
      </w:r>
    </w:p>
    <w:p w14:paraId="60E40472" w14:textId="7BC6C0AF" w:rsidR="00F52A8A" w:rsidRPr="00D92C04" w:rsidRDefault="00795708" w:rsidP="00F52A8A">
      <w:pPr>
        <w:pStyle w:val="ListBullet"/>
      </w:pPr>
      <w:r w:rsidRPr="00D92C04">
        <w:t xml:space="preserve">One </w:t>
      </w:r>
      <w:r w:rsidR="00F52A8A" w:rsidRPr="00D92C04">
        <w:t xml:space="preserve">Phase III </w:t>
      </w:r>
      <w:r w:rsidR="008D3C1A" w:rsidRPr="00D92C04">
        <w:t xml:space="preserve">study: Study </w:t>
      </w:r>
      <w:r w:rsidR="00F52A8A" w:rsidRPr="00D92C04">
        <w:t>BGB-311</w:t>
      </w:r>
      <w:r w:rsidR="004E2E0C">
        <w:t>1</w:t>
      </w:r>
      <w:r w:rsidR="00F52A8A" w:rsidRPr="00D92C04">
        <w:t>-302 (</w:t>
      </w:r>
      <w:r w:rsidR="008D3C1A" w:rsidRPr="00D92C04">
        <w:t xml:space="preserve">also known as the </w:t>
      </w:r>
      <w:r w:rsidR="00F52A8A" w:rsidRPr="00D92C04">
        <w:t>ASPEN</w:t>
      </w:r>
      <w:r w:rsidR="008D3C1A" w:rsidRPr="00D92C04">
        <w:t xml:space="preserve"> trial</w:t>
      </w:r>
      <w:r w:rsidR="00F52A8A" w:rsidRPr="00D92C04">
        <w:t>)</w:t>
      </w:r>
    </w:p>
    <w:bookmarkEnd w:id="58"/>
    <w:p w14:paraId="097F59B7" w14:textId="77777777" w:rsidR="00A53023" w:rsidRPr="00D92C04" w:rsidRDefault="00A53023" w:rsidP="00A53023">
      <w:r w:rsidRPr="00D92C04">
        <w:t>The clinical evaluator recommended approval of the submission. It was communicated to the sponsor at the time of evaluation this conclusion did not necessarily represent the view of the Delegate.</w:t>
      </w:r>
    </w:p>
    <w:p w14:paraId="75A178B3" w14:textId="104DFF26" w:rsidR="00A53023" w:rsidRPr="00D92C04" w:rsidRDefault="00A53023" w:rsidP="00951405">
      <w:pPr>
        <w:pStyle w:val="Heading4"/>
      </w:pPr>
      <w:r w:rsidRPr="00D92C04">
        <w:t>Pharmacology</w:t>
      </w:r>
    </w:p>
    <w:p w14:paraId="4EA06635" w14:textId="78BFC09C" w:rsidR="00A53023" w:rsidRPr="00D92C04" w:rsidRDefault="00A53023" w:rsidP="00951405">
      <w:pPr>
        <w:pStyle w:val="Heading5"/>
      </w:pPr>
      <w:r w:rsidRPr="00D92C04">
        <w:t>Pharmacokinetics</w:t>
      </w:r>
    </w:p>
    <w:p w14:paraId="7A7DF0C4" w14:textId="43540376" w:rsidR="00A53023" w:rsidRPr="00D92C04" w:rsidRDefault="00A53023" w:rsidP="00A53023">
      <w:r w:rsidRPr="00D92C04">
        <w:t xml:space="preserve">The summarised findings from the evaluation of the </w:t>
      </w:r>
      <w:r w:rsidR="00C81E51">
        <w:t>pharmacokinetic (</w:t>
      </w:r>
      <w:r w:rsidR="005240F1" w:rsidRPr="00D92C04">
        <w:t>PK</w:t>
      </w:r>
      <w:r w:rsidR="00C81E51">
        <w:t>)</w:t>
      </w:r>
      <w:r w:rsidRPr="00D92C04">
        <w:t xml:space="preserve"> of zanubrutinib are included below.</w:t>
      </w:r>
    </w:p>
    <w:p w14:paraId="4C8A9686" w14:textId="5A96FE71" w:rsidR="00A53023" w:rsidRPr="00D92C04" w:rsidRDefault="00A53023" w:rsidP="00A53023">
      <w:r w:rsidRPr="00D92C04">
        <w:t xml:space="preserve">The </w:t>
      </w:r>
      <w:r w:rsidR="008C55DD" w:rsidRPr="00D92C04">
        <w:t xml:space="preserve">clinical </w:t>
      </w:r>
      <w:r w:rsidRPr="00D92C04">
        <w:t>evaluator accepted the sponsor’s justification for not providing data to demonstrate absolute bioavailability for zanubrutinib.</w:t>
      </w:r>
    </w:p>
    <w:p w14:paraId="7BBD6E50" w14:textId="18368726" w:rsidR="00A53023" w:rsidRPr="00D92C04" w:rsidRDefault="00A53023" w:rsidP="00A53023">
      <w:r w:rsidRPr="00D92C04">
        <w:t xml:space="preserve">After a single oral 320 mg </w:t>
      </w:r>
      <w:r w:rsidR="008C55DD" w:rsidRPr="00D92C04">
        <w:t>once daily</w:t>
      </w:r>
      <w:r w:rsidRPr="00D92C04">
        <w:t xml:space="preserve"> dose in healthy adult subjects following a </w:t>
      </w:r>
      <w:r w:rsidR="008C55DD" w:rsidRPr="00D92C04">
        <w:t>high fat</w:t>
      </w:r>
      <w:r w:rsidRPr="00D92C04">
        <w:t xml:space="preserve"> or </w:t>
      </w:r>
      <w:proofErr w:type="gramStart"/>
      <w:r w:rsidR="008C55DD" w:rsidRPr="00D92C04">
        <w:t>low fat</w:t>
      </w:r>
      <w:proofErr w:type="gramEnd"/>
      <w:r w:rsidR="008C55DD" w:rsidRPr="00D92C04">
        <w:t xml:space="preserve"> </w:t>
      </w:r>
      <w:r w:rsidRPr="00D92C04">
        <w:t xml:space="preserve">meal or under fasted conditions the median </w:t>
      </w:r>
      <w:proofErr w:type="spellStart"/>
      <w:r w:rsidRPr="00D92C04">
        <w:t>T</w:t>
      </w:r>
      <w:r w:rsidRPr="00D92C04">
        <w:rPr>
          <w:vertAlign w:val="subscript"/>
        </w:rPr>
        <w:t>max</w:t>
      </w:r>
      <w:proofErr w:type="spellEnd"/>
      <w:r w:rsidRPr="00D92C04">
        <w:t xml:space="preserve"> values were 3.02, 2.00 and 2.00</w:t>
      </w:r>
      <w:r w:rsidR="008C55DD" w:rsidRPr="00D92C04">
        <w:t> </w:t>
      </w:r>
      <w:r w:rsidRPr="00D92C04">
        <w:t>h</w:t>
      </w:r>
      <w:r w:rsidR="008C55DD" w:rsidRPr="00D92C04">
        <w:t>ours</w:t>
      </w:r>
      <w:r w:rsidRPr="00D92C04">
        <w:t xml:space="preserve">, respectively and the </w:t>
      </w:r>
      <w:r w:rsidR="00B03F50" w:rsidRPr="00D92C04">
        <w:t>population pharmacokinetics (</w:t>
      </w:r>
      <w:proofErr w:type="spellStart"/>
      <w:r w:rsidRPr="00D92C04">
        <w:t>PopPK</w:t>
      </w:r>
      <w:proofErr w:type="spellEnd"/>
      <w:r w:rsidR="00B03F50" w:rsidRPr="00D92C04">
        <w:t>)</w:t>
      </w:r>
      <w:r w:rsidRPr="00D92C04">
        <w:t xml:space="preserve"> estimate of </w:t>
      </w:r>
      <w:r w:rsidR="00C81E51">
        <w:t>the absorption rate constant</w:t>
      </w:r>
      <w:r w:rsidR="00C81E51" w:rsidRPr="00D92C04">
        <w:t xml:space="preserve"> </w:t>
      </w:r>
      <w:r w:rsidRPr="00D92C04">
        <w:t>was 0.526 h</w:t>
      </w:r>
      <w:r w:rsidR="009B052A" w:rsidRPr="00D92C04">
        <w:t>our</w:t>
      </w:r>
      <w:r w:rsidRPr="00FD6EAB">
        <w:rPr>
          <w:vertAlign w:val="superscript"/>
        </w:rPr>
        <w:t>-1</w:t>
      </w:r>
      <w:r w:rsidRPr="00D92C04">
        <w:t>. Increased zanubrutinib exposure after low and high</w:t>
      </w:r>
      <w:r w:rsidR="008C55DD" w:rsidRPr="00D92C04">
        <w:t xml:space="preserve"> </w:t>
      </w:r>
      <w:r w:rsidRPr="00D92C04">
        <w:t>fat meals compared to the fasted were considered unlikely to be clinically significant. The evaluator supported dosing with or without food.</w:t>
      </w:r>
    </w:p>
    <w:p w14:paraId="2D3DF8E3" w14:textId="0AF23CBE" w:rsidR="00A53023" w:rsidRPr="00D92C04" w:rsidRDefault="00A53023" w:rsidP="00A53023">
      <w:r w:rsidRPr="00D92C04">
        <w:t>Zanubrutinib appeared to increase dose proportionally 40 to 320 mg to patients with B</w:t>
      </w:r>
      <w:r w:rsidR="008C55DD" w:rsidRPr="00D92C04">
        <w:noBreakHyphen/>
      </w:r>
      <w:r w:rsidRPr="00D92C04">
        <w:t>cell malignancies, although the evaluator concluded that due to the small sample sizes and high interpatient variability, linearity is more indicative than conclusive. There was limited systemic accumulation with multiple-dose administrations of 40 to 320 mg.</w:t>
      </w:r>
    </w:p>
    <w:p w14:paraId="3D81DFD3" w14:textId="2F4EE944" w:rsidR="00A53023" w:rsidRPr="00D92C04" w:rsidRDefault="00A53023" w:rsidP="00A53023">
      <w:r w:rsidRPr="00D92C04">
        <w:t xml:space="preserve">The proposed dosing is 320 mg </w:t>
      </w:r>
      <w:r w:rsidR="008C55DD" w:rsidRPr="00D92C04">
        <w:t>once daily</w:t>
      </w:r>
      <w:r w:rsidRPr="00D92C04">
        <w:t xml:space="preserve"> or 160 mg </w:t>
      </w:r>
      <w:r w:rsidR="008C55DD" w:rsidRPr="00D92C04">
        <w:t>twice daily</w:t>
      </w:r>
      <w:r w:rsidRPr="00D92C04">
        <w:t xml:space="preserve">. Following multiple dosing in the same population, the </w:t>
      </w:r>
      <w:r w:rsidR="008C55DD" w:rsidRPr="00D92C04">
        <w:t>geometric mean</w:t>
      </w:r>
      <w:r w:rsidRPr="00D92C04">
        <w:t xml:space="preserve"> </w:t>
      </w:r>
      <w:r w:rsidR="005240F1" w:rsidRPr="00D92C04">
        <w:t>maximum observed concentration (</w:t>
      </w:r>
      <w:r w:rsidRPr="00D92C04">
        <w:t>C</w:t>
      </w:r>
      <w:r w:rsidRPr="00D92C04">
        <w:rPr>
          <w:vertAlign w:val="subscript"/>
        </w:rPr>
        <w:t>max</w:t>
      </w:r>
      <w:r w:rsidR="005240F1" w:rsidRPr="00D92C04">
        <w:t xml:space="preserve">) </w:t>
      </w:r>
      <w:r w:rsidRPr="00D92C04">
        <w:t xml:space="preserve">and </w:t>
      </w:r>
      <w:r w:rsidR="005240F1" w:rsidRPr="00D92C04">
        <w:t>area under the concentration time curve from time zero to 8 hour</w:t>
      </w:r>
      <w:r w:rsidR="009B513C">
        <w:t>s</w:t>
      </w:r>
      <w:r w:rsidR="005240F1" w:rsidRPr="00D92C04">
        <w:t xml:space="preserve"> (</w:t>
      </w:r>
      <w:r w:rsidRPr="00D92C04">
        <w:t>AUC</w:t>
      </w:r>
      <w:r w:rsidRPr="00D92C04">
        <w:rPr>
          <w:vertAlign w:val="subscript"/>
        </w:rPr>
        <w:t>0-8h</w:t>
      </w:r>
      <w:r w:rsidR="005240F1" w:rsidRPr="00D92C04">
        <w:t xml:space="preserve">) </w:t>
      </w:r>
      <w:r w:rsidRPr="00D92C04">
        <w:t>values were 533</w:t>
      </w:r>
      <w:r w:rsidR="008C55DD" w:rsidRPr="00D92C04">
        <w:t> </w:t>
      </w:r>
      <w:r w:rsidRPr="00D92C04">
        <w:t>ng/mL and 1706</w:t>
      </w:r>
      <w:r w:rsidR="008C55DD" w:rsidRPr="00D92C04">
        <w:t> </w:t>
      </w:r>
      <w:r w:rsidRPr="00D92C04">
        <w:t>ng</w:t>
      </w:r>
      <w:r w:rsidR="008C55DD" w:rsidRPr="00D92C04">
        <w:t xml:space="preserve"> </w:t>
      </w:r>
      <w:r w:rsidRPr="00D92C04">
        <w:t xml:space="preserve">h/mL, respectively, following 320 mg </w:t>
      </w:r>
      <w:r w:rsidR="008C55DD" w:rsidRPr="00D92C04">
        <w:t>once daily</w:t>
      </w:r>
      <w:r w:rsidRPr="00D92C04">
        <w:t xml:space="preserve"> dosing and 299</w:t>
      </w:r>
      <w:r w:rsidR="008C55DD" w:rsidRPr="00D92C04">
        <w:t> </w:t>
      </w:r>
      <w:r w:rsidRPr="00D92C04">
        <w:t>ng/mL and 944 ng</w:t>
      </w:r>
      <w:r w:rsidR="008C55DD" w:rsidRPr="00D92C04">
        <w:t xml:space="preserve"> </w:t>
      </w:r>
      <w:r w:rsidRPr="00D92C04">
        <w:t xml:space="preserve">h/mL, respectively, following 160 mg </w:t>
      </w:r>
      <w:r w:rsidR="008C55DD" w:rsidRPr="00D92C04">
        <w:t>twice daily</w:t>
      </w:r>
      <w:r w:rsidRPr="00D92C04">
        <w:t xml:space="preserve"> dosing.</w:t>
      </w:r>
    </w:p>
    <w:p w14:paraId="3A7486CE" w14:textId="55556EFD" w:rsidR="00A53023" w:rsidRPr="00D92C04" w:rsidRDefault="00A53023" w:rsidP="00A53023">
      <w:r w:rsidRPr="00D92C04">
        <w:t>Around 94.2% of zanubrutinib bound to human plasma proteins in a concentration</w:t>
      </w:r>
      <w:r w:rsidR="008C55DD" w:rsidRPr="00D92C04">
        <w:t xml:space="preserve"> </w:t>
      </w:r>
      <w:r w:rsidRPr="00D92C04">
        <w:t>independent manner, and distribution to erythrocytes was low.</w:t>
      </w:r>
    </w:p>
    <w:p w14:paraId="23646EEB" w14:textId="09C1AC74" w:rsidR="00A53023" w:rsidRPr="00D92C04" w:rsidRDefault="00A53023" w:rsidP="00A53023">
      <w:r w:rsidRPr="00D92C04">
        <w:t xml:space="preserve">Zanubrutinib is primarily metabolised by CYP3A with minor contributions from </w:t>
      </w:r>
      <w:r w:rsidR="008C55DD" w:rsidRPr="00D92C04">
        <w:t>P</w:t>
      </w:r>
      <w:r w:rsidRPr="00D92C04">
        <w:t xml:space="preserve">hase II enzymes such </w:t>
      </w:r>
      <w:r w:rsidR="008C55DD" w:rsidRPr="00D92C04">
        <w:t>glutathione S transferase</w:t>
      </w:r>
      <w:r w:rsidRPr="00D92C04">
        <w:t xml:space="preserve">s, and the contribution of </w:t>
      </w:r>
      <w:r w:rsidR="008C55DD" w:rsidRPr="00D92C04">
        <w:t>uridine 5'-diphospho-glucuronosyltransferase</w:t>
      </w:r>
      <w:r w:rsidRPr="00D92C04">
        <w:t>s is minimal.</w:t>
      </w:r>
      <w:r w:rsidR="005B3E68" w:rsidRPr="00D92C04">
        <w:t xml:space="preserve"> </w:t>
      </w:r>
      <w:r w:rsidRPr="00D92C04">
        <w:t>Zanubrutinib and its metabolites were excreted primarily in faeces, with no major active metabolites in circulation.</w:t>
      </w:r>
    </w:p>
    <w:p w14:paraId="5EFFFE4B" w14:textId="77777777" w:rsidR="00A53023" w:rsidRPr="00D92C04" w:rsidRDefault="00A53023" w:rsidP="00A53023">
      <w:r w:rsidRPr="00D92C04">
        <w:t>Given CYP3A plays a major role in the metabolism of zanubrutinib and that there is a growing body of literature examining the effects of functional mutations in CYP3A4 on drug metabolism, the evaluator was unable to agree with the sponsor that genetic polymorphism will not have significant effects on its metabolism.</w:t>
      </w:r>
    </w:p>
    <w:p w14:paraId="1DCB63AE" w14:textId="69563C21" w:rsidR="00A53023" w:rsidRPr="00D92C04" w:rsidRDefault="008C55DD" w:rsidP="00951405">
      <w:pPr>
        <w:pStyle w:val="Heading6"/>
      </w:pPr>
      <w:r w:rsidRPr="00D92C04">
        <w:t>Drug-drug interactions</w:t>
      </w:r>
    </w:p>
    <w:p w14:paraId="1EBBDB49" w14:textId="77777777" w:rsidR="00A53023" w:rsidRPr="00D92C04" w:rsidRDefault="00A53023" w:rsidP="00A53023">
      <w:r w:rsidRPr="00D92C04">
        <w:t xml:space="preserve">Zanubrutinib is a sensitive CYP3A substrate, as compared to when it is administered alone. Exposure decreased by approximately 14-fold when zanubrutinib was co-administered </w:t>
      </w:r>
      <w:r w:rsidRPr="00D92C04">
        <w:lastRenderedPageBreak/>
        <w:t xml:space="preserve">with </w:t>
      </w:r>
      <w:proofErr w:type="spellStart"/>
      <w:r w:rsidRPr="00D92C04">
        <w:t>rifampin</w:t>
      </w:r>
      <w:proofErr w:type="spellEnd"/>
      <w:r w:rsidRPr="00D92C04">
        <w:t xml:space="preserve"> and increased approximately 3.78-fold when co-administered with itraconazole.</w:t>
      </w:r>
    </w:p>
    <w:p w14:paraId="27D84787" w14:textId="654DE67E" w:rsidR="00A53023" w:rsidRPr="00D92C04" w:rsidRDefault="00A53023" w:rsidP="00A53023">
      <w:r w:rsidRPr="00D92C04">
        <w:t xml:space="preserve">Multiple 160 mg </w:t>
      </w:r>
      <w:r w:rsidR="008C55DD" w:rsidRPr="00D92C04">
        <w:t>twice daily</w:t>
      </w:r>
      <w:r w:rsidRPr="00D92C04">
        <w:t xml:space="preserve"> doses had no clinically significant effects on warfarin, digoxin or rosuvastatin PK. Omeprazole co-administration had no effect on the PK of zanubrutinib but zanubrutinib reduced midazolam and omeprazole AUC by approximately 36 to 47% indicating it has some inhibitory effects on CYP3A and CYP2C19.</w:t>
      </w:r>
    </w:p>
    <w:p w14:paraId="2F3CCEE0" w14:textId="4DB798C7" w:rsidR="00A53023" w:rsidRPr="00D92C04" w:rsidRDefault="008C55DD" w:rsidP="00951405">
      <w:pPr>
        <w:pStyle w:val="Heading6"/>
      </w:pPr>
      <w:r w:rsidRPr="00D92C04">
        <w:t>Population pharmacokinetics</w:t>
      </w:r>
    </w:p>
    <w:p w14:paraId="4AD93021" w14:textId="7AD9DA44" w:rsidR="00A53023" w:rsidRPr="00D92C04" w:rsidRDefault="008C55DD" w:rsidP="00A53023">
      <w:r w:rsidRPr="00D92C04">
        <w:t>Population pharmacokinetic (</w:t>
      </w:r>
      <w:proofErr w:type="spellStart"/>
      <w:r w:rsidR="00A53023" w:rsidRPr="00D92C04">
        <w:t>PopPK</w:t>
      </w:r>
      <w:proofErr w:type="spellEnd"/>
      <w:r w:rsidRPr="00D92C04">
        <w:t>)</w:t>
      </w:r>
      <w:r w:rsidR="00A53023" w:rsidRPr="00D92C04">
        <w:t xml:space="preserve"> modelling based on 6 Phase I, 2 Phase II and </w:t>
      </w:r>
      <w:r w:rsidRPr="00D92C04">
        <w:t>one</w:t>
      </w:r>
      <w:r w:rsidR="00A53023" w:rsidRPr="00D92C04">
        <w:t xml:space="preserve"> Phase III trials indicated that across the dose range of 20 mg to 320 mg the zanubrutinib PK was best described by a two-compartment model with first</w:t>
      </w:r>
      <w:r w:rsidRPr="00D92C04">
        <w:t xml:space="preserve"> </w:t>
      </w:r>
      <w:r w:rsidR="00A53023" w:rsidRPr="00D92C04">
        <w:t>order elimination from the central compartment and redistribution from the peripheral compartment.</w:t>
      </w:r>
    </w:p>
    <w:p w14:paraId="09184A24" w14:textId="3503868F" w:rsidR="00A53023" w:rsidRPr="00D92C04" w:rsidRDefault="00A53023" w:rsidP="00A53023">
      <w:r w:rsidRPr="00D92C04">
        <w:t xml:space="preserve">Race, baseline age, body weight, </w:t>
      </w:r>
      <w:r w:rsidR="008C55DD" w:rsidRPr="00D92C04">
        <w:t>aspartate aminotransferase</w:t>
      </w:r>
      <w:r w:rsidRPr="00D92C04">
        <w:t xml:space="preserve">, </w:t>
      </w:r>
      <w:r w:rsidR="008C55DD" w:rsidRPr="00D92C04">
        <w:t>bilirubin</w:t>
      </w:r>
      <w:r w:rsidRPr="00D92C04">
        <w:t xml:space="preserve">, </w:t>
      </w:r>
      <w:r w:rsidR="008C55DD" w:rsidRPr="00D92C04">
        <w:t>creatinine clearance</w:t>
      </w:r>
      <w:r w:rsidRPr="00D92C04">
        <w:t>, gender, tumour type and use of acid-reducing agents did not statistically significant effect zanubrutinib PK.</w:t>
      </w:r>
    </w:p>
    <w:p w14:paraId="03E10CFD" w14:textId="3BFB6CC4" w:rsidR="00A53023" w:rsidRPr="00D92C04" w:rsidRDefault="00A53023" w:rsidP="00A53023">
      <w:r w:rsidRPr="00D92C04">
        <w:t xml:space="preserve">Baseline </w:t>
      </w:r>
      <w:r w:rsidR="008C55DD" w:rsidRPr="00D92C04">
        <w:t>alanine aminotransferase (</w:t>
      </w:r>
      <w:r w:rsidRPr="00D92C04">
        <w:t>ALT</w:t>
      </w:r>
      <w:r w:rsidR="008C55DD" w:rsidRPr="00D92C04">
        <w:t>)</w:t>
      </w:r>
      <w:r w:rsidRPr="00D92C04">
        <w:t xml:space="preserve"> and health status were significant covariates on </w:t>
      </w:r>
      <w:r w:rsidR="008C55DD" w:rsidRPr="00D92C04">
        <w:t>apparent clearance (</w:t>
      </w:r>
      <w:r w:rsidRPr="00D92C04">
        <w:t>CL/F</w:t>
      </w:r>
      <w:r w:rsidR="008C55DD" w:rsidRPr="00D92C04">
        <w:t>)</w:t>
      </w:r>
      <w:r w:rsidRPr="00D92C04">
        <w:t xml:space="preserve">, so that for patients who were within the </w:t>
      </w:r>
      <w:r w:rsidR="009B052A" w:rsidRPr="00D92C04">
        <w:t>tenth</w:t>
      </w:r>
      <w:r w:rsidRPr="00D92C04">
        <w:t xml:space="preserve"> and </w:t>
      </w:r>
      <w:r w:rsidR="009B052A" w:rsidRPr="00D92C04">
        <w:t>ninetieth</w:t>
      </w:r>
      <w:r w:rsidRPr="00D92C04">
        <w:t xml:space="preserve"> percentiles for ALT, CL/F values were 11.8% higher and 12.8% lower, respectively, </w:t>
      </w:r>
      <w:proofErr w:type="gramStart"/>
      <w:r w:rsidRPr="00D92C04">
        <w:t>whereas,</w:t>
      </w:r>
      <w:proofErr w:type="gramEnd"/>
      <w:r w:rsidRPr="00D92C04">
        <w:t xml:space="preserve"> CL/F was 30.4% lower in healthy subjects than in patients with B-cell malignancies.</w:t>
      </w:r>
    </w:p>
    <w:p w14:paraId="6BBC0B71" w14:textId="2E08E4D3" w:rsidR="00A53023" w:rsidRPr="00D92C04" w:rsidRDefault="00A53023" w:rsidP="00A53023">
      <w:r w:rsidRPr="00D92C04">
        <w:t xml:space="preserve">From the </w:t>
      </w:r>
      <w:proofErr w:type="spellStart"/>
      <w:r w:rsidRPr="00D92C04">
        <w:t>popPK</w:t>
      </w:r>
      <w:proofErr w:type="spellEnd"/>
      <w:r w:rsidRPr="00D92C04">
        <w:t xml:space="preserve"> modelling a typical patient with an ALT level of 18 U/L, the estimated </w:t>
      </w:r>
      <w:r w:rsidR="005240F1" w:rsidRPr="00D92C04">
        <w:t>apparent volume of the central compartment (</w:t>
      </w:r>
      <w:proofErr w:type="spellStart"/>
      <w:r w:rsidRPr="00D92C04">
        <w:t>V</w:t>
      </w:r>
      <w:r w:rsidRPr="00D92C04">
        <w:rPr>
          <w:vertAlign w:val="subscript"/>
        </w:rPr>
        <w:t>c</w:t>
      </w:r>
      <w:proofErr w:type="spellEnd"/>
      <w:r w:rsidRPr="00D92C04">
        <w:t>/F</w:t>
      </w:r>
      <w:r w:rsidR="005240F1" w:rsidRPr="00D92C04">
        <w:t>)</w:t>
      </w:r>
      <w:r w:rsidRPr="00D92C04">
        <w:t xml:space="preserve"> and </w:t>
      </w:r>
      <w:r w:rsidR="005240F1" w:rsidRPr="00D92C04">
        <w:t>apparent volume of the peripheral compartment (</w:t>
      </w:r>
      <w:proofErr w:type="spellStart"/>
      <w:r w:rsidRPr="00D92C04">
        <w:t>V</w:t>
      </w:r>
      <w:r w:rsidRPr="00D92C04">
        <w:rPr>
          <w:vertAlign w:val="subscript"/>
        </w:rPr>
        <w:t>p</w:t>
      </w:r>
      <w:proofErr w:type="spellEnd"/>
      <w:r w:rsidRPr="00D92C04">
        <w:t>/F</w:t>
      </w:r>
      <w:r w:rsidR="005240F1" w:rsidRPr="00D92C04">
        <w:t>)</w:t>
      </w:r>
      <w:r w:rsidRPr="00D92C04">
        <w:t xml:space="preserve"> were 112 L and 345 L, respectively.</w:t>
      </w:r>
    </w:p>
    <w:p w14:paraId="280FDD79" w14:textId="3324EFDC" w:rsidR="00A53023" w:rsidRPr="00D92C04" w:rsidRDefault="00A53023" w:rsidP="00A53023">
      <w:r w:rsidRPr="00D92C04">
        <w:t xml:space="preserve">Estimates of the inter-individual variability on CL/F, </w:t>
      </w:r>
      <w:proofErr w:type="spellStart"/>
      <w:r w:rsidR="005240F1" w:rsidRPr="00D92C04">
        <w:t>V</w:t>
      </w:r>
      <w:r w:rsidR="005240F1" w:rsidRPr="00D92C04">
        <w:rPr>
          <w:vertAlign w:val="subscript"/>
        </w:rPr>
        <w:t>c</w:t>
      </w:r>
      <w:proofErr w:type="spellEnd"/>
      <w:r w:rsidR="005240F1" w:rsidRPr="00D92C04">
        <w:t>/F</w:t>
      </w:r>
      <w:r w:rsidRPr="00D92C04">
        <w:t xml:space="preserve">, </w:t>
      </w:r>
      <w:proofErr w:type="spellStart"/>
      <w:r w:rsidRPr="00D92C04">
        <w:t>V</w:t>
      </w:r>
      <w:r w:rsidRPr="00D92C04">
        <w:rPr>
          <w:vertAlign w:val="subscript"/>
        </w:rPr>
        <w:t>p</w:t>
      </w:r>
      <w:proofErr w:type="spellEnd"/>
      <w:r w:rsidRPr="00D92C04">
        <w:t xml:space="preserve">/F, </w:t>
      </w:r>
      <w:r w:rsidR="005240F1" w:rsidRPr="00D92C04">
        <w:t>apparent inter</w:t>
      </w:r>
      <w:r w:rsidR="005240F1" w:rsidRPr="00D92C04">
        <w:noBreakHyphen/>
        <w:t>compartmental clearance (</w:t>
      </w:r>
      <w:r w:rsidRPr="00D92C04">
        <w:t>Q/F</w:t>
      </w:r>
      <w:r w:rsidR="005240F1" w:rsidRPr="00D92C04">
        <w:t>)</w:t>
      </w:r>
      <w:r w:rsidRPr="00D92C04">
        <w:t xml:space="preserve"> and </w:t>
      </w:r>
      <w:r w:rsidR="005240F1" w:rsidRPr="00D92C04">
        <w:t xml:space="preserve">duration </w:t>
      </w:r>
      <w:r w:rsidRPr="00D92C04">
        <w:t xml:space="preserve">were 36.7%, 37.1%, 102%, 86.4% and 62.3%, respectively. The estimated inter-occasion variability on CL/F and </w:t>
      </w:r>
      <w:proofErr w:type="spellStart"/>
      <w:r w:rsidR="005240F1" w:rsidRPr="00D92C04">
        <w:t>V</w:t>
      </w:r>
      <w:r w:rsidR="005240F1" w:rsidRPr="00D92C04">
        <w:rPr>
          <w:vertAlign w:val="subscript"/>
        </w:rPr>
        <w:t>c</w:t>
      </w:r>
      <w:proofErr w:type="spellEnd"/>
      <w:r w:rsidR="005240F1" w:rsidRPr="00D92C04">
        <w:t>/F</w:t>
      </w:r>
      <w:r w:rsidRPr="00D92C04">
        <w:t xml:space="preserve"> were 28.6% and 67.5%, respectively and the proportional residual error was 44.9%.</w:t>
      </w:r>
    </w:p>
    <w:p w14:paraId="03B02255" w14:textId="62AF138D" w:rsidR="00A53023" w:rsidRPr="00D92C04" w:rsidRDefault="00A53023" w:rsidP="00951405">
      <w:pPr>
        <w:pStyle w:val="Heading6"/>
        <w:rPr>
          <w:rFonts w:eastAsia="TimesNewRoman"/>
        </w:rPr>
      </w:pPr>
      <w:r w:rsidRPr="00D92C04">
        <w:rPr>
          <w:rFonts w:eastAsia="TimesNewRoman"/>
        </w:rPr>
        <w:t xml:space="preserve">Special </w:t>
      </w:r>
      <w:r w:rsidR="008C55DD" w:rsidRPr="00D92C04">
        <w:rPr>
          <w:rFonts w:eastAsia="TimesNewRoman"/>
        </w:rPr>
        <w:t>p</w:t>
      </w:r>
      <w:r w:rsidRPr="00D92C04">
        <w:rPr>
          <w:rFonts w:eastAsia="TimesNewRoman"/>
        </w:rPr>
        <w:t>opulation</w:t>
      </w:r>
      <w:r w:rsidR="00C8358E">
        <w:rPr>
          <w:rFonts w:eastAsia="TimesNewRoman"/>
        </w:rPr>
        <w:t>s</w:t>
      </w:r>
    </w:p>
    <w:p w14:paraId="1721D346" w14:textId="6ADF032D" w:rsidR="00A53023" w:rsidRPr="00D92C04" w:rsidRDefault="00A53023" w:rsidP="00A53023">
      <w:r w:rsidRPr="00D92C04">
        <w:t xml:space="preserve">In the </w:t>
      </w:r>
      <w:proofErr w:type="spellStart"/>
      <w:r w:rsidRPr="00D92C04">
        <w:t>PopPK</w:t>
      </w:r>
      <w:proofErr w:type="spellEnd"/>
      <w:r w:rsidRPr="00D92C04">
        <w:t xml:space="preserve"> analysis</w:t>
      </w:r>
      <w:r w:rsidR="00C8358E">
        <w:t>,</w:t>
      </w:r>
      <w:r w:rsidRPr="00D92C04">
        <w:t xml:space="preserve"> </w:t>
      </w:r>
      <w:proofErr w:type="spellStart"/>
      <w:r w:rsidRPr="00D92C04">
        <w:t>AUC</w:t>
      </w:r>
      <w:r w:rsidRPr="00D92C04">
        <w:rPr>
          <w:vertAlign w:val="subscript"/>
        </w:rPr>
        <w:t>ss</w:t>
      </w:r>
      <w:proofErr w:type="spellEnd"/>
      <w:r w:rsidRPr="00D92C04">
        <w:t xml:space="preserve"> and </w:t>
      </w:r>
      <w:r w:rsidR="005240F1" w:rsidRPr="00D92C04">
        <w:t>maxim</w:t>
      </w:r>
      <w:r w:rsidR="009B513C">
        <w:t>um</w:t>
      </w:r>
      <w:r w:rsidR="005240F1" w:rsidRPr="00D92C04">
        <w:t xml:space="preserve"> concentration at steady state (</w:t>
      </w:r>
      <w:proofErr w:type="spellStart"/>
      <w:proofErr w:type="gramStart"/>
      <w:r w:rsidRPr="00D92C04">
        <w:t>C</w:t>
      </w:r>
      <w:r w:rsidRPr="00D92C04">
        <w:rPr>
          <w:vertAlign w:val="subscript"/>
        </w:rPr>
        <w:t>max,ss</w:t>
      </w:r>
      <w:proofErr w:type="spellEnd"/>
      <w:proofErr w:type="gramEnd"/>
      <w:r w:rsidR="005240F1" w:rsidRPr="00D92C04">
        <w:t>)</w:t>
      </w:r>
      <w:r w:rsidRPr="00D92C04">
        <w:t xml:space="preserve"> were 43.7% and 26.8% higher, respectively, in healthy volunteers than in patients with B-cell malignancies.</w:t>
      </w:r>
    </w:p>
    <w:p w14:paraId="07B2E758" w14:textId="0C929185" w:rsidR="00A53023" w:rsidRPr="00D92C04" w:rsidRDefault="00AC3DF1" w:rsidP="00A53023">
      <w:r w:rsidRPr="00D92C04">
        <w:t>Maximum observed concentration (</w:t>
      </w:r>
      <w:r w:rsidR="00A53023" w:rsidRPr="00D92C04">
        <w:t>C</w:t>
      </w:r>
      <w:r w:rsidR="00A53023" w:rsidRPr="00D92C04">
        <w:rPr>
          <w:vertAlign w:val="subscript"/>
        </w:rPr>
        <w:t>max</w:t>
      </w:r>
      <w:r w:rsidRPr="00D92C04">
        <w:t xml:space="preserve">) </w:t>
      </w:r>
      <w:r w:rsidR="00A53023" w:rsidRPr="00D92C04">
        <w:t xml:space="preserve">was 1.05-, 1.53- and 1.28-fold higher in subjects with mild, </w:t>
      </w:r>
      <w:proofErr w:type="gramStart"/>
      <w:r w:rsidR="00A53023" w:rsidRPr="00D92C04">
        <w:t>moderate</w:t>
      </w:r>
      <w:proofErr w:type="gramEnd"/>
      <w:r w:rsidR="00A53023" w:rsidRPr="00D92C04">
        <w:t xml:space="preserve"> and severe hepatic impairment, respectively than healthy subjects and the corresponding values for </w:t>
      </w:r>
      <w:r w:rsidR="005240F1" w:rsidRPr="00D92C04">
        <w:t>area under the concentration time curve from time zero to infinity (</w:t>
      </w:r>
      <w:r w:rsidR="00A53023" w:rsidRPr="00D92C04">
        <w:t>AUC</w:t>
      </w:r>
      <w:r w:rsidR="00A53023" w:rsidRPr="00D92C04">
        <w:rPr>
          <w:vertAlign w:val="subscript"/>
        </w:rPr>
        <w:t>0-inf</w:t>
      </w:r>
      <w:r w:rsidR="005240F1" w:rsidRPr="00D92C04">
        <w:t xml:space="preserve">) </w:t>
      </w:r>
      <w:r w:rsidR="00A53023" w:rsidRPr="00D92C04">
        <w:t>were 1.11-, 1.21- and 1.60-fold, respectively.</w:t>
      </w:r>
    </w:p>
    <w:p w14:paraId="7561D64F" w14:textId="7EEB72D3" w:rsidR="00A53023" w:rsidRPr="00D92C04" w:rsidRDefault="00A53023" w:rsidP="00A53023">
      <w:r w:rsidRPr="00D92C04">
        <w:t xml:space="preserve">No studies have been undertaken in subjects with renal impairment. The </w:t>
      </w:r>
      <w:proofErr w:type="spellStart"/>
      <w:r w:rsidRPr="00D92C04">
        <w:t>popPK</w:t>
      </w:r>
      <w:proofErr w:type="spellEnd"/>
      <w:r w:rsidRPr="00D92C04">
        <w:t xml:space="preserve"> analysis indicated mild and moderate renal impairment do not affect exposure in patients with B</w:t>
      </w:r>
      <w:r w:rsidR="00C8358E">
        <w:noBreakHyphen/>
      </w:r>
      <w:r w:rsidRPr="00D92C04">
        <w:t xml:space="preserve">cell malignancies, but dataset limitations precluded a definitive conclusion for severe renal impairment or </w:t>
      </w:r>
      <w:r w:rsidR="00AC3DF1" w:rsidRPr="00D92C04">
        <w:t>end stage renal disease</w:t>
      </w:r>
      <w:r w:rsidRPr="00D92C04">
        <w:t>.</w:t>
      </w:r>
    </w:p>
    <w:p w14:paraId="45678F82" w14:textId="7D324046" w:rsidR="00A53023" w:rsidRPr="00D92C04" w:rsidRDefault="00A53023" w:rsidP="00951405">
      <w:pPr>
        <w:pStyle w:val="Heading5"/>
      </w:pPr>
      <w:r w:rsidRPr="00D92C04">
        <w:t>Pharmacodynamics</w:t>
      </w:r>
    </w:p>
    <w:p w14:paraId="30F93CFA" w14:textId="09165486" w:rsidR="00A53023" w:rsidRPr="00D92C04" w:rsidRDefault="00A53023" w:rsidP="00A53023">
      <w:r w:rsidRPr="00D92C04">
        <w:t xml:space="preserve">The </w:t>
      </w:r>
      <w:r w:rsidR="00C8358E">
        <w:t>pharmacodynamics (</w:t>
      </w:r>
      <w:r w:rsidRPr="00D92C04">
        <w:t>PD</w:t>
      </w:r>
      <w:r w:rsidR="00C8358E">
        <w:t>)</w:t>
      </w:r>
      <w:r w:rsidRPr="00D92C04">
        <w:t xml:space="preserve"> findings for zanubrutinib were concluded in the clinical evaluation:</w:t>
      </w:r>
    </w:p>
    <w:p w14:paraId="64A518FC" w14:textId="29A1076F" w:rsidR="00A53023" w:rsidRPr="00D92C04" w:rsidRDefault="00A53023" w:rsidP="00A53023">
      <w:pPr>
        <w:pStyle w:val="ListBullet"/>
      </w:pPr>
      <w:r w:rsidRPr="00D92C04">
        <w:t>It acts by inhibiting BTK</w:t>
      </w:r>
      <w:r w:rsidR="00C8358E">
        <w:noBreakHyphen/>
      </w:r>
      <w:r w:rsidRPr="00D92C04">
        <w:t xml:space="preserve">mediated activation of pathways necessary for B-cell proliferation, trafficking, </w:t>
      </w:r>
      <w:proofErr w:type="gramStart"/>
      <w:r w:rsidRPr="00D92C04">
        <w:t>chemotaxis</w:t>
      </w:r>
      <w:proofErr w:type="gramEnd"/>
      <w:r w:rsidRPr="00D92C04">
        <w:t xml:space="preserve"> and adhesion.</w:t>
      </w:r>
    </w:p>
    <w:p w14:paraId="2CBC7768" w14:textId="1FC01FB8" w:rsidR="00A53023" w:rsidRPr="00D92C04" w:rsidRDefault="00A53023" w:rsidP="00A53023">
      <w:pPr>
        <w:pStyle w:val="ListBullet"/>
        <w:rPr>
          <w:rFonts w:cs="Calibri"/>
          <w:bCs/>
        </w:rPr>
      </w:pPr>
      <w:r w:rsidRPr="00D92C04">
        <w:rPr>
          <w:rFonts w:cs="Calibri"/>
        </w:rPr>
        <w:t xml:space="preserve">In </w:t>
      </w:r>
      <w:r w:rsidR="00AC3DF1" w:rsidRPr="00D92C04">
        <w:rPr>
          <w:rFonts w:cs="Calibri"/>
        </w:rPr>
        <w:t>peripheral blood mononuclear cell</w:t>
      </w:r>
      <w:r w:rsidRPr="00D92C04">
        <w:rPr>
          <w:rFonts w:cs="Calibri"/>
        </w:rPr>
        <w:t>s isolated from patients with B-cell malignancies, induced maximum BTK occupancy after single and multiple-doses from 40 mg to 320</w:t>
      </w:r>
      <w:r w:rsidR="00AC3DF1" w:rsidRPr="00D92C04">
        <w:rPr>
          <w:rFonts w:cs="Calibri"/>
        </w:rPr>
        <w:t> </w:t>
      </w:r>
      <w:r w:rsidRPr="00D92C04">
        <w:rPr>
          <w:rFonts w:cs="Calibri"/>
        </w:rPr>
        <w:t>mg.</w:t>
      </w:r>
    </w:p>
    <w:p w14:paraId="553D8DEC" w14:textId="5A526F85" w:rsidR="00A53023" w:rsidRPr="00D92C04" w:rsidRDefault="00A53023" w:rsidP="00A53023">
      <w:pPr>
        <w:pStyle w:val="ListBullet"/>
        <w:rPr>
          <w:rFonts w:cs="Calibri"/>
          <w:bCs/>
        </w:rPr>
      </w:pPr>
      <w:r w:rsidRPr="00D92C04">
        <w:rPr>
          <w:rFonts w:cs="Calibri"/>
        </w:rPr>
        <w:lastRenderedPageBreak/>
        <w:t xml:space="preserve">In lymph nodes, BTK occupancy was 100% and 94% after 160 mg </w:t>
      </w:r>
      <w:r w:rsidR="008C55DD" w:rsidRPr="00D92C04">
        <w:t>twice daily</w:t>
      </w:r>
      <w:r w:rsidRPr="00D92C04">
        <w:rPr>
          <w:rFonts w:cs="Calibri"/>
        </w:rPr>
        <w:t xml:space="preserve"> and 320</w:t>
      </w:r>
      <w:r w:rsidR="00AC3DF1" w:rsidRPr="00D92C04">
        <w:rPr>
          <w:rFonts w:cs="Calibri"/>
        </w:rPr>
        <w:t> </w:t>
      </w:r>
      <w:r w:rsidRPr="00D92C04">
        <w:rPr>
          <w:rFonts w:cs="Calibri"/>
        </w:rPr>
        <w:t xml:space="preserve">mg </w:t>
      </w:r>
      <w:r w:rsidR="008C55DD" w:rsidRPr="00D92C04">
        <w:t>once daily</w:t>
      </w:r>
      <w:r w:rsidRPr="00D92C04">
        <w:rPr>
          <w:rFonts w:cs="Calibri"/>
        </w:rPr>
        <w:t>, respectively</w:t>
      </w:r>
      <w:r w:rsidR="005B3E68" w:rsidRPr="00D92C04">
        <w:rPr>
          <w:rFonts w:cs="Calibri"/>
        </w:rPr>
        <w:t>.</w:t>
      </w:r>
    </w:p>
    <w:p w14:paraId="357A78F7" w14:textId="21A6EDB1" w:rsidR="00A53023" w:rsidRPr="00D92C04" w:rsidRDefault="00A53023" w:rsidP="00A53023">
      <w:pPr>
        <w:pStyle w:val="ListBullet"/>
      </w:pPr>
      <w:r w:rsidRPr="00D92C04">
        <w:t xml:space="preserve">There was minimal effect on </w:t>
      </w:r>
      <w:r w:rsidR="005240F1" w:rsidRPr="00D92C04">
        <w:t>heart rate</w:t>
      </w:r>
      <w:r w:rsidRPr="00D92C04">
        <w:t xml:space="preserve"> and QT</w:t>
      </w:r>
      <w:r w:rsidR="00C8358E">
        <w:noBreakHyphen/>
      </w:r>
      <w:r w:rsidRPr="00D92C04">
        <w:t>interval</w:t>
      </w:r>
      <w:r w:rsidR="00B27CC9" w:rsidRPr="00D92C04">
        <w:rPr>
          <w:rStyle w:val="FootnoteReference"/>
        </w:rPr>
        <w:footnoteReference w:id="12"/>
      </w:r>
      <w:r w:rsidRPr="00D92C04">
        <w:t xml:space="preserve"> from 480 mg and 160 mg doses.</w:t>
      </w:r>
    </w:p>
    <w:p w14:paraId="367F7A97" w14:textId="43243206" w:rsidR="00A53023" w:rsidRPr="00D92C04" w:rsidRDefault="00A53023" w:rsidP="00A53023">
      <w:pPr>
        <w:pStyle w:val="ListBullet"/>
        <w:rPr>
          <w:rFonts w:eastAsia="TimesNewRoman" w:cs="Calibri"/>
        </w:rPr>
      </w:pPr>
      <w:r w:rsidRPr="00D92C04">
        <w:t xml:space="preserve">In patients with B-cell malignancies, there were no apparent E-R relationships between zanubrutinib exposure and the probability of </w:t>
      </w:r>
      <w:r w:rsidR="005240F1" w:rsidRPr="00D92C04">
        <w:rPr>
          <w:rFonts w:eastAsia="TimesNewRoman" w:cs="Calibri"/>
          <w:color w:val="000000"/>
        </w:rPr>
        <w:t xml:space="preserve">complete response (CR) </w:t>
      </w:r>
      <w:r w:rsidRPr="00D92C04">
        <w:rPr>
          <w:rFonts w:eastAsia="TimesNewRoman" w:cs="Calibri"/>
          <w:color w:val="000000"/>
        </w:rPr>
        <w:t>/</w:t>
      </w:r>
      <w:r w:rsidR="005240F1" w:rsidRPr="00D92C04">
        <w:t xml:space="preserve"> </w:t>
      </w:r>
      <w:r w:rsidR="005240F1" w:rsidRPr="00D92C04">
        <w:rPr>
          <w:rFonts w:eastAsia="TimesNewRoman" w:cs="Calibri"/>
          <w:color w:val="000000"/>
        </w:rPr>
        <w:t>very good partial response (</w:t>
      </w:r>
      <w:r w:rsidRPr="00D92C04">
        <w:rPr>
          <w:rFonts w:eastAsia="TimesNewRoman" w:cs="Calibri"/>
          <w:color w:val="000000"/>
        </w:rPr>
        <w:t>VGPR</w:t>
      </w:r>
      <w:r w:rsidR="005240F1" w:rsidRPr="00D92C04">
        <w:rPr>
          <w:rFonts w:eastAsia="TimesNewRoman" w:cs="Calibri"/>
          <w:color w:val="000000"/>
        </w:rPr>
        <w:t>)</w:t>
      </w:r>
      <w:r w:rsidRPr="00D92C04">
        <w:rPr>
          <w:rFonts w:eastAsia="TimesNewRoman" w:cs="Calibri"/>
          <w:color w:val="000000"/>
        </w:rPr>
        <w:t xml:space="preserve">, </w:t>
      </w:r>
      <w:r w:rsidR="00492336" w:rsidRPr="00D92C04">
        <w:rPr>
          <w:rFonts w:eastAsia="TimesNewRoman" w:cs="Calibri"/>
          <w:color w:val="000000"/>
        </w:rPr>
        <w:t>major response rate (</w:t>
      </w:r>
      <w:r w:rsidRPr="00D92C04">
        <w:rPr>
          <w:rFonts w:eastAsia="TimesNewRoman" w:cs="Calibri"/>
          <w:color w:val="000000"/>
        </w:rPr>
        <w:t>MRR</w:t>
      </w:r>
      <w:r w:rsidR="00492336" w:rsidRPr="00D92C04">
        <w:rPr>
          <w:rFonts w:eastAsia="TimesNewRoman" w:cs="Calibri"/>
          <w:color w:val="000000"/>
        </w:rPr>
        <w:t>)</w:t>
      </w:r>
      <w:r w:rsidRPr="00D92C04">
        <w:rPr>
          <w:rFonts w:eastAsia="TimesNewRoman" w:cs="Calibri"/>
          <w:color w:val="000000"/>
        </w:rPr>
        <w:t>,</w:t>
      </w:r>
      <w:r w:rsidR="00CF6B35" w:rsidRPr="00D92C04">
        <w:t xml:space="preserve"> </w:t>
      </w:r>
      <w:r w:rsidR="00CF6B35" w:rsidRPr="00D92C04">
        <w:rPr>
          <w:rFonts w:eastAsia="TimesNewRoman" w:cs="Calibri"/>
          <w:color w:val="000000"/>
        </w:rPr>
        <w:t>overall response rate</w:t>
      </w:r>
      <w:r w:rsidRPr="00D92C04">
        <w:rPr>
          <w:rFonts w:eastAsia="TimesNewRoman" w:cs="Calibri"/>
          <w:color w:val="000000"/>
        </w:rPr>
        <w:t xml:space="preserve"> or QT effects or</w:t>
      </w:r>
      <w:r w:rsidRPr="00D92C04">
        <w:rPr>
          <w:rFonts w:eastAsia="TimesNewRoman" w:cs="Calibri"/>
        </w:rPr>
        <w:t xml:space="preserve"> any of the </w:t>
      </w:r>
      <w:r w:rsidR="00492336" w:rsidRPr="00D92C04">
        <w:rPr>
          <w:rFonts w:eastAsia="TimesNewRoman" w:cs="Calibri"/>
        </w:rPr>
        <w:t>adverse events (</w:t>
      </w:r>
      <w:r w:rsidRPr="00D92C04">
        <w:rPr>
          <w:rFonts w:eastAsia="TimesNewRoman" w:cs="Calibri"/>
        </w:rPr>
        <w:t>AEs</w:t>
      </w:r>
      <w:r w:rsidR="00492336" w:rsidRPr="00D92C04">
        <w:rPr>
          <w:rFonts w:eastAsia="TimesNewRoman" w:cs="Calibri"/>
        </w:rPr>
        <w:t>)</w:t>
      </w:r>
      <w:r w:rsidRPr="00D92C04">
        <w:rPr>
          <w:rFonts w:eastAsia="TimesNewRoman" w:cs="Calibri"/>
        </w:rPr>
        <w:t xml:space="preserve"> of interest.</w:t>
      </w:r>
    </w:p>
    <w:p w14:paraId="538ECB0C" w14:textId="77777777" w:rsidR="00A53023" w:rsidRPr="00D92C04" w:rsidRDefault="00A53023" w:rsidP="00951405">
      <w:pPr>
        <w:pStyle w:val="Heading4"/>
      </w:pPr>
      <w:r w:rsidRPr="00D92C04">
        <w:t>Efficacy</w:t>
      </w:r>
    </w:p>
    <w:p w14:paraId="28105D2F" w14:textId="7F99717B" w:rsidR="00A53023" w:rsidRPr="00D92C04" w:rsidRDefault="00A53023" w:rsidP="00A53023">
      <w:r w:rsidRPr="00D92C04">
        <w:t>To support the clinical efficacy of zanubrutinib in WM the sponsor included two primary studies</w:t>
      </w:r>
      <w:r w:rsidR="00C8358E">
        <w:t xml:space="preserve"> and one additional study</w:t>
      </w:r>
      <w:r w:rsidRPr="00D92C04">
        <w:t>:</w:t>
      </w:r>
    </w:p>
    <w:p w14:paraId="16D3950A" w14:textId="009042AD" w:rsidR="00A53023" w:rsidRPr="00D92C04" w:rsidRDefault="00795708" w:rsidP="00A53023">
      <w:pPr>
        <w:pStyle w:val="ListBullet"/>
      </w:pPr>
      <w:r w:rsidRPr="00D92C04">
        <w:t xml:space="preserve">Study </w:t>
      </w:r>
      <w:r w:rsidR="00A53023" w:rsidRPr="00D92C04">
        <w:t>BGB-311</w:t>
      </w:r>
      <w:r w:rsidR="004E2E0C">
        <w:t>1</w:t>
      </w:r>
      <w:r w:rsidR="00A53023" w:rsidRPr="00D92C04">
        <w:t>-302 (</w:t>
      </w:r>
      <w:r w:rsidRPr="00D92C04">
        <w:t xml:space="preserve">the </w:t>
      </w:r>
      <w:r w:rsidR="00A53023" w:rsidRPr="00D92C04">
        <w:t>ASPEN</w:t>
      </w:r>
      <w:r w:rsidRPr="00D92C04">
        <w:t xml:space="preserve"> trial</w:t>
      </w:r>
      <w:r w:rsidR="00A53023" w:rsidRPr="00D92C04">
        <w:t xml:space="preserve">) a Phase </w:t>
      </w:r>
      <w:r w:rsidRPr="00D92C04">
        <w:t>III</w:t>
      </w:r>
      <w:r w:rsidR="00A53023" w:rsidRPr="00D92C04">
        <w:t>, randomised, open</w:t>
      </w:r>
      <w:r w:rsidRPr="00D92C04">
        <w:t xml:space="preserve"> </w:t>
      </w:r>
      <w:r w:rsidR="00A53023" w:rsidRPr="00D92C04">
        <w:t xml:space="preserve">label, multicentre study to compare ibrutinib and zanubrutinib in </w:t>
      </w:r>
      <w:r w:rsidR="00DE7F0D" w:rsidRPr="00DE7F0D">
        <w:t>relapsed/refractory</w:t>
      </w:r>
      <w:r w:rsidR="00DE7F0D">
        <w:t xml:space="preserve"> (</w:t>
      </w:r>
      <w:r w:rsidR="00A53023" w:rsidRPr="00D92C04">
        <w:t>r/r</w:t>
      </w:r>
      <w:r w:rsidR="00DE7F0D">
        <w:t>)</w:t>
      </w:r>
      <w:r w:rsidR="00A53023" w:rsidRPr="00D92C04">
        <w:t xml:space="preserve"> and treatment</w:t>
      </w:r>
      <w:r w:rsidR="009A6514">
        <w:t>-</w:t>
      </w:r>
      <w:r w:rsidR="00A53023" w:rsidRPr="00D92C04">
        <w:t>naïve WM</w:t>
      </w:r>
      <w:r w:rsidR="005B3E68" w:rsidRPr="00D92C04">
        <w:t>.</w:t>
      </w:r>
    </w:p>
    <w:p w14:paraId="4E09669E" w14:textId="1BF953E7" w:rsidR="00A53023" w:rsidRPr="00D92C04" w:rsidRDefault="00795708" w:rsidP="00A53023">
      <w:pPr>
        <w:pStyle w:val="ListBullet"/>
      </w:pPr>
      <w:r w:rsidRPr="00D92C04">
        <w:t xml:space="preserve">Study </w:t>
      </w:r>
      <w:r w:rsidR="00A53023" w:rsidRPr="00D92C04">
        <w:t>BGB-311</w:t>
      </w:r>
      <w:r w:rsidR="004E2E0C">
        <w:t>1</w:t>
      </w:r>
      <w:r w:rsidR="00A53023" w:rsidRPr="00D92C04">
        <w:t xml:space="preserve">-AU-003 a Phase </w:t>
      </w:r>
      <w:r w:rsidRPr="00D92C04">
        <w:t>I</w:t>
      </w:r>
      <w:r w:rsidR="00A53023" w:rsidRPr="00D92C04">
        <w:t>/</w:t>
      </w:r>
      <w:r w:rsidRPr="00D92C04">
        <w:t>II</w:t>
      </w:r>
      <w:r w:rsidR="00A53023" w:rsidRPr="00D92C04">
        <w:t>, single arm, multicentre, dose escalation (Part 1) and cohort expansion (Part 2) study to investigate the safety and PK of zanubrutinib in B-cell malignancies</w:t>
      </w:r>
      <w:r w:rsidR="005B3E68" w:rsidRPr="00D92C04">
        <w:t>.</w:t>
      </w:r>
    </w:p>
    <w:p w14:paraId="59B287E6" w14:textId="1CD67E5C" w:rsidR="00A53023" w:rsidRPr="00D92C04" w:rsidRDefault="00795708" w:rsidP="00A53023">
      <w:pPr>
        <w:pStyle w:val="ListBullet"/>
      </w:pPr>
      <w:r w:rsidRPr="00D92C04">
        <w:t xml:space="preserve">Study </w:t>
      </w:r>
      <w:r w:rsidR="00A53023" w:rsidRPr="00D92C04">
        <w:t>BGB-311</w:t>
      </w:r>
      <w:r w:rsidR="004E2E0C">
        <w:t>1</w:t>
      </w:r>
      <w:r w:rsidR="00A53023" w:rsidRPr="00D92C04">
        <w:t xml:space="preserve">-210 a Phase </w:t>
      </w:r>
      <w:r w:rsidRPr="00D92C04">
        <w:t>II</w:t>
      </w:r>
      <w:r w:rsidR="00A53023" w:rsidRPr="00D92C04">
        <w:t>, single</w:t>
      </w:r>
      <w:r w:rsidRPr="00D92C04">
        <w:t xml:space="preserve"> </w:t>
      </w:r>
      <w:r w:rsidR="00A53023" w:rsidRPr="00D92C04">
        <w:t>arm, multicentre, efficacy and safety study of zanubrutinib in Chinese patients with r/r WM was included as an additional supportive study</w:t>
      </w:r>
      <w:r w:rsidR="005B3E68" w:rsidRPr="00D92C04">
        <w:t>.</w:t>
      </w:r>
    </w:p>
    <w:p w14:paraId="31146DDA" w14:textId="6BBA4F7C" w:rsidR="00A53023" w:rsidRPr="00D92C04" w:rsidRDefault="008D3C1A" w:rsidP="00951405">
      <w:pPr>
        <w:pStyle w:val="Heading5"/>
      </w:pPr>
      <w:r w:rsidRPr="00D92C04">
        <w:t>Study BGB-311</w:t>
      </w:r>
      <w:r w:rsidR="004E2E0C">
        <w:t>1</w:t>
      </w:r>
      <w:r w:rsidRPr="00D92C04">
        <w:t>-302</w:t>
      </w:r>
    </w:p>
    <w:p w14:paraId="77C7223A" w14:textId="517F2B62" w:rsidR="00A53023" w:rsidRPr="00D92C04" w:rsidRDefault="008D3C1A" w:rsidP="00A53023">
      <w:r w:rsidRPr="00D92C04">
        <w:t>Study BGB-311</w:t>
      </w:r>
      <w:r w:rsidR="004E2E0C">
        <w:t>1</w:t>
      </w:r>
      <w:r w:rsidRPr="00D92C04">
        <w:t xml:space="preserve">-302 (the ASPEN trial) </w:t>
      </w:r>
      <w:r w:rsidR="00A53023" w:rsidRPr="00D92C04">
        <w:t xml:space="preserve">is an ongoing </w:t>
      </w:r>
      <w:r w:rsidR="00795708" w:rsidRPr="00D92C04">
        <w:t>Phase III</w:t>
      </w:r>
      <w:r w:rsidR="00A53023" w:rsidRPr="00D92C04">
        <w:t>, randomised, open</w:t>
      </w:r>
      <w:r w:rsidRPr="00D92C04">
        <w:t xml:space="preserve"> </w:t>
      </w:r>
      <w:r w:rsidR="00A53023" w:rsidRPr="00D92C04">
        <w:t xml:space="preserve">label, multicentre, multinational, superiority study comparing the efficacy and safety of zanubrutinib 160 mg </w:t>
      </w:r>
      <w:r w:rsidR="008C55DD" w:rsidRPr="00D92C04">
        <w:t>twice daily</w:t>
      </w:r>
      <w:r w:rsidR="00A53023" w:rsidRPr="00D92C04">
        <w:t xml:space="preserve"> and ibrutinib 420 mg </w:t>
      </w:r>
      <w:r w:rsidR="008C55DD" w:rsidRPr="00D92C04">
        <w:t>once daily</w:t>
      </w:r>
      <w:r w:rsidR="00A53023" w:rsidRPr="00D92C04">
        <w:t xml:space="preserve"> with WM. The study schema is </w:t>
      </w:r>
      <w:r w:rsidRPr="00D92C04">
        <w:t xml:space="preserve">shown in </w:t>
      </w:r>
      <w:r w:rsidRPr="00D92C04">
        <w:fldChar w:fldCharType="begin"/>
      </w:r>
      <w:r w:rsidRPr="00D92C04">
        <w:instrText xml:space="preserve"> REF _Ref104462474 \h  \* MERGEFORMAT </w:instrText>
      </w:r>
      <w:r w:rsidRPr="00D92C04">
        <w:fldChar w:fldCharType="separate"/>
      </w:r>
      <w:r w:rsidR="00376AF2" w:rsidRPr="00376AF2">
        <w:t xml:space="preserve">Figure </w:t>
      </w:r>
      <w:r w:rsidR="00376AF2">
        <w:t>1</w:t>
      </w:r>
      <w:r w:rsidRPr="00D92C04">
        <w:fldChar w:fldCharType="end"/>
      </w:r>
      <w:r w:rsidRPr="00D92C04">
        <w:t xml:space="preserve"> below.</w:t>
      </w:r>
    </w:p>
    <w:p w14:paraId="2D7909B3" w14:textId="20608911" w:rsidR="00A53023" w:rsidRPr="00376AF2" w:rsidRDefault="00A53023" w:rsidP="00376AF2">
      <w:pPr>
        <w:pStyle w:val="FigureTitle"/>
      </w:pPr>
      <w:bookmarkStart w:id="60" w:name="_Ref104462474"/>
      <w:r w:rsidRPr="00376AF2">
        <w:t xml:space="preserve">Figure </w:t>
      </w:r>
      <w:fldSimple w:instr=" SEQ Figure \* ARABIC ">
        <w:r w:rsidR="00376AF2">
          <w:rPr>
            <w:noProof/>
          </w:rPr>
          <w:t>1</w:t>
        </w:r>
      </w:fldSimple>
      <w:bookmarkEnd w:id="60"/>
      <w:r w:rsidR="008D3C1A" w:rsidRPr="00376AF2">
        <w:t>: Study BGB-311</w:t>
      </w:r>
      <w:r w:rsidR="004E2E0C" w:rsidRPr="00376AF2">
        <w:t>1</w:t>
      </w:r>
      <w:r w:rsidR="008D3C1A" w:rsidRPr="00376AF2">
        <w:t xml:space="preserve">-302 </w:t>
      </w:r>
      <w:r w:rsidRPr="00376AF2">
        <w:t xml:space="preserve">Study </w:t>
      </w:r>
      <w:r w:rsidR="008D3C1A" w:rsidRPr="00376AF2">
        <w:t>s</w:t>
      </w:r>
      <w:r w:rsidRPr="00376AF2">
        <w:t>chematic</w:t>
      </w:r>
    </w:p>
    <w:p w14:paraId="20F82672" w14:textId="6696445A" w:rsidR="002D4714" w:rsidRDefault="002D4714" w:rsidP="00376AF2">
      <w:r>
        <w:rPr>
          <w:noProof/>
          <w:lang w:val="en-GB" w:eastAsia="en-GB"/>
        </w:rPr>
        <w:drawing>
          <wp:inline distT="0" distB="0" distL="0" distR="0" wp14:anchorId="0DFF0515" wp14:editId="3B2C4607">
            <wp:extent cx="4277802" cy="1550854"/>
            <wp:effectExtent l="0" t="0" r="8890" b="0"/>
            <wp:docPr id="5" name="Picture 5" descr="Figure 1: Study BGB-3111-302 Study schematic&#10;&#10;Study BGB-3111-302 consists of 2 cohorts.&#10;&#10;Cohort 1 are Waldenström’s macroglobulinaemia patients with mutated myeloid differentiation primary response 88 gene also known as MYD88 gene. Stratification factors included chemokine receptor 4 mutational status and number of prior lines of therapy. Cohort 1 consist of 201 patients, who are either treatment naïve, have relapsed, or been refractory to prior therapy. Cohort 1 are randomised 1:1 to Arm A (102 in zanubrutinib arm) and Arm B (99 in ibrutinib arm).&#10;&#10;Cohort 2 are Waldenström’s macroglobulinaemia patients with wild type MYD88 gene. A total of 28 patient which 26 are wild type and two are unknown. Cohort 2 contains Arm C only, which all 28 patients were treated with zanubru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tudy BGB-3111-302 Study schematic&#10;&#10;Study BGB-3111-302 consists of 2 cohorts.&#10;&#10;Cohort 1 are Waldenström’s macroglobulinaemia patients with mutated myeloid differentiation primary response 88 gene also known as MYD88 gene. Stratification factors included chemokine receptor 4 mutational status and number of prior lines of therapy. Cohort 1 consist of 201 patients, who are either treatment naïve, have relapsed, or been refractory to prior therapy. Cohort 1 are randomised 1:1 to Arm A (102 in zanubrutinib arm) and Arm B (99 in ibrutinib arm).&#10;&#10;Cohort 2 are Waldenström’s macroglobulinaemia patients with wild type MYD88 gene. A total of 28 patient which 26 are wild type and two are unknown. Cohort 2 contains Arm C only, which all 28 patients were treated with zanubrutinib."/>
                    <pic:cNvPicPr/>
                  </pic:nvPicPr>
                  <pic:blipFill>
                    <a:blip r:embed="rId14"/>
                    <a:stretch>
                      <a:fillRect/>
                    </a:stretch>
                  </pic:blipFill>
                  <pic:spPr>
                    <a:xfrm>
                      <a:off x="0" y="0"/>
                      <a:ext cx="4355125" cy="1578886"/>
                    </a:xfrm>
                    <a:prstGeom prst="rect">
                      <a:avLst/>
                    </a:prstGeom>
                  </pic:spPr>
                </pic:pic>
              </a:graphicData>
            </a:graphic>
          </wp:inline>
        </w:drawing>
      </w:r>
    </w:p>
    <w:p w14:paraId="6C793A04" w14:textId="659F9FA6" w:rsidR="002D4714" w:rsidRPr="00376AF2" w:rsidRDefault="003940BC" w:rsidP="00376AF2">
      <w:pPr>
        <w:pStyle w:val="FigureDescription"/>
      </w:pPr>
      <w:r w:rsidRPr="00376AF2">
        <w:t xml:space="preserve">Abbreviations: </w:t>
      </w:r>
      <w:r w:rsidR="002D4714" w:rsidRPr="00376AF2">
        <w:t xml:space="preserve">BID = twice daily; CXCR4 = chemokine receptor </w:t>
      </w:r>
      <w:r w:rsidR="009B513C" w:rsidRPr="00376AF2">
        <w:t xml:space="preserve">type </w:t>
      </w:r>
      <w:r w:rsidR="002D4714" w:rsidRPr="00376AF2">
        <w:t xml:space="preserve">4; MYD88 = </w:t>
      </w:r>
      <w:r w:rsidR="00A051A1" w:rsidRPr="00376AF2">
        <w:t>myeloid differentiation primary response 88 gene</w:t>
      </w:r>
      <w:r w:rsidR="002D4714" w:rsidRPr="00376AF2">
        <w:t xml:space="preserve">; </w:t>
      </w:r>
      <w:r w:rsidR="00A051A1" w:rsidRPr="00376AF2">
        <w:t>MUT = mutant</w:t>
      </w:r>
      <w:r w:rsidR="002D4714" w:rsidRPr="00376AF2">
        <w:t>; PD = progressive disease; QD = once daily; R = randomisation; RR = relapsed or refractory; TN = treatment</w:t>
      </w:r>
      <w:r w:rsidR="009A6514" w:rsidRPr="00376AF2">
        <w:t>-</w:t>
      </w:r>
      <w:r w:rsidR="00A051A1" w:rsidRPr="00376AF2">
        <w:t>naïve</w:t>
      </w:r>
      <w:r w:rsidR="002D4714" w:rsidRPr="00376AF2">
        <w:t xml:space="preserve">; UNK = unknown; WHIM = warts, </w:t>
      </w:r>
      <w:proofErr w:type="spellStart"/>
      <w:r w:rsidR="002D4714" w:rsidRPr="00376AF2">
        <w:t>hypogammaglobulin</w:t>
      </w:r>
      <w:r w:rsidR="00AB40BC" w:rsidRPr="00376AF2">
        <w:t>a</w:t>
      </w:r>
      <w:r w:rsidR="002D4714" w:rsidRPr="00376AF2">
        <w:t>emia</w:t>
      </w:r>
      <w:proofErr w:type="spellEnd"/>
      <w:r w:rsidR="002D4714" w:rsidRPr="00376AF2">
        <w:t xml:space="preserve">, immunodeficiency, and </w:t>
      </w:r>
      <w:proofErr w:type="spellStart"/>
      <w:r w:rsidR="002D4714" w:rsidRPr="00376AF2">
        <w:t>myelokathexis</w:t>
      </w:r>
      <w:proofErr w:type="spellEnd"/>
      <w:r w:rsidR="002D4714" w:rsidRPr="00376AF2">
        <w:t xml:space="preserve"> syndrome; WT = wild type</w:t>
      </w:r>
      <w:r w:rsidR="00A051A1" w:rsidRPr="00376AF2">
        <w:t>.</w:t>
      </w:r>
    </w:p>
    <w:p w14:paraId="1775F0F8" w14:textId="43AB97AA" w:rsidR="00A53023" w:rsidRPr="00376AF2" w:rsidRDefault="002D4714" w:rsidP="00376AF2">
      <w:pPr>
        <w:pStyle w:val="FigureDescription"/>
      </w:pPr>
      <w:r w:rsidRPr="00376AF2">
        <w:t>*</w:t>
      </w:r>
      <w:r w:rsidR="00A051A1" w:rsidRPr="00376AF2">
        <w:t xml:space="preserve"> Treatment</w:t>
      </w:r>
      <w:r w:rsidR="009A6514" w:rsidRPr="00376AF2">
        <w:t>-</w:t>
      </w:r>
      <w:r w:rsidR="00A051A1" w:rsidRPr="00376AF2">
        <w:t>naïve</w:t>
      </w:r>
      <w:r w:rsidRPr="00376AF2">
        <w:t>: treatment</w:t>
      </w:r>
      <w:r w:rsidR="006E2E61" w:rsidRPr="00376AF2">
        <w:t>-</w:t>
      </w:r>
      <w:r w:rsidR="00A051A1" w:rsidRPr="00376AF2">
        <w:t xml:space="preserve">naïve </w:t>
      </w:r>
      <w:r w:rsidRPr="00376AF2">
        <w:t>and unsuitable for chemoimmunotherapy (up to 20% of overall population)</w:t>
      </w:r>
    </w:p>
    <w:p w14:paraId="22AA24E0" w14:textId="21DCB848" w:rsidR="00A53023" w:rsidRPr="00D92C04" w:rsidRDefault="00A53023" w:rsidP="00A53023">
      <w:r w:rsidRPr="00D92C04">
        <w:lastRenderedPageBreak/>
        <w:t>Treatment was to continue until progressive disease, unacceptable toxicity or death, withdrawal of consent, loss to follow-up, or study termination by the sponsor.</w:t>
      </w:r>
    </w:p>
    <w:p w14:paraId="0AD6A282" w14:textId="78DFB08F" w:rsidR="00A53023" w:rsidRPr="00D92C04" w:rsidRDefault="00B82BE8" w:rsidP="00B82BE8">
      <w:pPr>
        <w:pStyle w:val="Heading6"/>
      </w:pPr>
      <w:r w:rsidRPr="00D92C04">
        <w:t>Inclusion criteria</w:t>
      </w:r>
    </w:p>
    <w:p w14:paraId="545DEBC6" w14:textId="1F630E9B" w:rsidR="00B82BE8" w:rsidRPr="00D92C04" w:rsidRDefault="00B82BE8" w:rsidP="00B82BE8">
      <w:pPr>
        <w:pStyle w:val="ListBullet"/>
      </w:pPr>
      <w:r w:rsidRPr="00D92C04">
        <w:t>Clinical and definitive histologic diagnosis of WM. Patients must either have had relapsed</w:t>
      </w:r>
      <w:r w:rsidR="00D572E3" w:rsidRPr="00D92C04">
        <w:t xml:space="preserve"> or </w:t>
      </w:r>
      <w:r w:rsidRPr="00D92C04">
        <w:t xml:space="preserve">refractory disease </w:t>
      </w:r>
      <w:r w:rsidR="00492336" w:rsidRPr="00D92C04">
        <w:t>or</w:t>
      </w:r>
      <w:r w:rsidRPr="00D92C04">
        <w:t xml:space="preserve"> been treatment</w:t>
      </w:r>
      <w:r w:rsidR="006E2E61">
        <w:t>-</w:t>
      </w:r>
      <w:r w:rsidR="00A051A1">
        <w:t>n</w:t>
      </w:r>
      <w:r w:rsidR="00A051A1" w:rsidRPr="00A051A1">
        <w:t>aïve</w:t>
      </w:r>
      <w:r w:rsidRPr="00D92C04">
        <w:t xml:space="preserve"> and considered by their treating physician to be unsuitable for standard chemoimmunotherapy regimens.</w:t>
      </w:r>
    </w:p>
    <w:p w14:paraId="322AF8B3" w14:textId="04C144DA" w:rsidR="00B82BE8" w:rsidRPr="00D92C04" w:rsidRDefault="00B82BE8" w:rsidP="00B82BE8">
      <w:pPr>
        <w:pStyle w:val="ListBullet2"/>
      </w:pPr>
      <w:r w:rsidRPr="00D92C04">
        <w:t xml:space="preserve">For patients who had received no prior therapy for WM: </w:t>
      </w:r>
      <w:r w:rsidR="00D572E3" w:rsidRPr="00D92C04">
        <w:t xml:space="preserve">‘unsuitable’ </w:t>
      </w:r>
      <w:r w:rsidRPr="00D92C04">
        <w:t>for treatment with a standard chemoimmunotherapy regimen must have been a physician</w:t>
      </w:r>
      <w:r w:rsidR="00D572E3" w:rsidRPr="00D92C04">
        <w:t xml:space="preserve"> </w:t>
      </w:r>
      <w:r w:rsidRPr="00D92C04">
        <w:t>determined status based on co-morbidities and risk factors. Physicians needed to provide and document organ system(s) and specific reason(s) for the patient being considered unsuitable. Patient preference did not meet the eligibility requirement for a treatment</w:t>
      </w:r>
      <w:r w:rsidR="006E2E61">
        <w:t>-</w:t>
      </w:r>
      <w:r w:rsidR="00A051A1">
        <w:t>n</w:t>
      </w:r>
      <w:r w:rsidR="00A051A1" w:rsidRPr="00A051A1">
        <w:t>aïve</w:t>
      </w:r>
      <w:r w:rsidRPr="00D92C04">
        <w:t xml:space="preserve"> patient to be unsuitable for treatment with a standard chemoimmunotherapy regimen.</w:t>
      </w:r>
    </w:p>
    <w:p w14:paraId="3593C8D7" w14:textId="0FB6182F" w:rsidR="00B82BE8" w:rsidRPr="00D92C04" w:rsidRDefault="00B82BE8" w:rsidP="00B82BE8">
      <w:pPr>
        <w:pStyle w:val="ListBullet"/>
      </w:pPr>
      <w:r w:rsidRPr="00D92C04">
        <w:t xml:space="preserve">Meeting </w:t>
      </w:r>
      <w:r w:rsidR="00D572E3" w:rsidRPr="00D92C04">
        <w:t>no less than one</w:t>
      </w:r>
      <w:r w:rsidRPr="00D92C04">
        <w:t xml:space="preserve"> criterion for treatment according to consensus panel criteria from the </w:t>
      </w:r>
      <w:r w:rsidR="00492336" w:rsidRPr="00D92C04">
        <w:t>International Workshop on Waldenström’s Macroglobulinaemia (</w:t>
      </w:r>
      <w:r w:rsidRPr="00D92C04">
        <w:t>IWWM</w:t>
      </w:r>
      <w:r w:rsidR="00492336" w:rsidRPr="00D92C04">
        <w:t>)</w:t>
      </w:r>
      <w:r w:rsidRPr="00D92C04">
        <w:t>-7</w:t>
      </w:r>
      <w:r w:rsidR="00D572E3" w:rsidRPr="00D92C04">
        <w:t>.</w:t>
      </w:r>
      <w:r w:rsidR="00AB40BC">
        <w:rPr>
          <w:rStyle w:val="FootnoteReference"/>
        </w:rPr>
        <w:footnoteReference w:id="13"/>
      </w:r>
    </w:p>
    <w:p w14:paraId="018CA378" w14:textId="702F2932" w:rsidR="00B82BE8" w:rsidRPr="00D92C04" w:rsidRDefault="00B82BE8" w:rsidP="00B82BE8">
      <w:pPr>
        <w:pStyle w:val="ListBullet"/>
      </w:pPr>
      <w:r w:rsidRPr="00D92C04">
        <w:t>Measurable disease, as defined by serum IgM level &gt; 0.5 g/dL</w:t>
      </w:r>
      <w:r w:rsidR="00D572E3" w:rsidRPr="00D92C04">
        <w:t>.</w:t>
      </w:r>
    </w:p>
    <w:p w14:paraId="0B67F163" w14:textId="332A1332" w:rsidR="00B82BE8" w:rsidRPr="00D92C04" w:rsidRDefault="00B82BE8" w:rsidP="00B82BE8">
      <w:pPr>
        <w:pStyle w:val="ListBullet"/>
      </w:pPr>
      <w:r w:rsidRPr="00D92C04">
        <w:t>Age ≥ 18 years old</w:t>
      </w:r>
      <w:r w:rsidR="00D572E3" w:rsidRPr="00D92C04">
        <w:t>.</w:t>
      </w:r>
    </w:p>
    <w:p w14:paraId="2DA41EAF" w14:textId="4476182E" w:rsidR="00B82BE8" w:rsidRPr="00D92C04" w:rsidRDefault="00B82BE8" w:rsidP="00B82BE8">
      <w:pPr>
        <w:pStyle w:val="ListBullet"/>
      </w:pPr>
      <w:r w:rsidRPr="00D92C04">
        <w:t>Eastern Cooperative Oncology Group (ECOG) Performance Status</w:t>
      </w:r>
      <w:r w:rsidR="00E766F1" w:rsidRPr="00D92C04">
        <w:t>;</w:t>
      </w:r>
      <w:r w:rsidR="00E766F1" w:rsidRPr="00D92C04">
        <w:rPr>
          <w:rStyle w:val="FootnoteReference"/>
        </w:rPr>
        <w:footnoteReference w:id="14"/>
      </w:r>
      <w:r w:rsidRPr="00D92C04">
        <w:t xml:space="preserve"> 0 to 2</w:t>
      </w:r>
      <w:r w:rsidR="00D572E3" w:rsidRPr="00D92C04">
        <w:t>.</w:t>
      </w:r>
    </w:p>
    <w:p w14:paraId="0C39FC00" w14:textId="0031B4CB" w:rsidR="00B82BE8" w:rsidRPr="00D92C04" w:rsidRDefault="00B82BE8" w:rsidP="00B82BE8">
      <w:pPr>
        <w:pStyle w:val="ListBullet"/>
      </w:pPr>
      <w:r w:rsidRPr="00D92C04">
        <w:t>Adequate bone marrow function defined as:</w:t>
      </w:r>
    </w:p>
    <w:p w14:paraId="278554B8" w14:textId="4A66748E" w:rsidR="00B82BE8" w:rsidRPr="00D92C04" w:rsidRDefault="00D572E3" w:rsidP="00B82BE8">
      <w:pPr>
        <w:pStyle w:val="ListBullet2"/>
      </w:pPr>
      <w:r w:rsidRPr="00D92C04">
        <w:t>n</w:t>
      </w:r>
      <w:r w:rsidR="00B82BE8" w:rsidRPr="00D92C04">
        <w:t>eutrophils ≥ 0.75 x 10</w:t>
      </w:r>
      <w:r w:rsidR="00B82BE8" w:rsidRPr="00D92C04">
        <w:rPr>
          <w:vertAlign w:val="superscript"/>
        </w:rPr>
        <w:t>9</w:t>
      </w:r>
      <w:r w:rsidR="00B82BE8" w:rsidRPr="00D92C04">
        <w:t xml:space="preserve">/L, independent of growth factor support within 7 days of study </w:t>
      </w:r>
      <w:proofErr w:type="gramStart"/>
      <w:r w:rsidR="00B82BE8" w:rsidRPr="00D92C04">
        <w:t>entry</w:t>
      </w:r>
      <w:r w:rsidRPr="00D92C04">
        <w:t>;</w:t>
      </w:r>
      <w:proofErr w:type="gramEnd"/>
    </w:p>
    <w:p w14:paraId="410FE854" w14:textId="47EEFA2D" w:rsidR="00B82BE8" w:rsidRPr="00D92C04" w:rsidRDefault="00D572E3" w:rsidP="00B82BE8">
      <w:pPr>
        <w:pStyle w:val="ListBullet2"/>
      </w:pPr>
      <w:r w:rsidRPr="00D92C04">
        <w:t>p</w:t>
      </w:r>
      <w:r w:rsidR="00B82BE8" w:rsidRPr="00D92C04">
        <w:t>latelets ≥ 50 x 10</w:t>
      </w:r>
      <w:r w:rsidR="00B82BE8" w:rsidRPr="00D92C04">
        <w:rPr>
          <w:vertAlign w:val="superscript"/>
        </w:rPr>
        <w:t>9</w:t>
      </w:r>
      <w:r w:rsidR="00B82BE8" w:rsidRPr="00D92C04">
        <w:t>/L, independent of growth factor support or transfusion within 7 days of study entry</w:t>
      </w:r>
      <w:r w:rsidRPr="00D92C04">
        <w:t>.</w:t>
      </w:r>
    </w:p>
    <w:p w14:paraId="1A50B9AB" w14:textId="7FE5CA55" w:rsidR="00B82BE8" w:rsidRPr="00D92C04" w:rsidRDefault="00B82BE8" w:rsidP="00B82BE8">
      <w:pPr>
        <w:pStyle w:val="ListBullet"/>
      </w:pPr>
      <w:r w:rsidRPr="00D92C04">
        <w:t xml:space="preserve">Creatinine clearance of ≥ 30 mL/min (estimated by Cockcroft-Gault equation or </w:t>
      </w:r>
      <w:r w:rsidR="00B27CC9" w:rsidRPr="00D92C04">
        <w:t xml:space="preserve">estimated glomerular filtration rate </w:t>
      </w:r>
      <w:r w:rsidRPr="00D92C04">
        <w:t xml:space="preserve">by </w:t>
      </w:r>
      <w:r w:rsidR="00B27CC9" w:rsidRPr="00D92C04">
        <w:t>modification of diet in renal disease</w:t>
      </w:r>
      <w:r w:rsidRPr="00D92C04">
        <w:t>) based on ideal body mass</w:t>
      </w:r>
      <w:r w:rsidR="00D572E3" w:rsidRPr="00D92C04">
        <w:t>.</w:t>
      </w:r>
    </w:p>
    <w:p w14:paraId="25EF9A82" w14:textId="58403DA8" w:rsidR="00B82BE8" w:rsidRPr="00D92C04" w:rsidRDefault="005240F1" w:rsidP="00B82BE8">
      <w:pPr>
        <w:pStyle w:val="ListBullet"/>
      </w:pPr>
      <w:r w:rsidRPr="00D92C04">
        <w:t xml:space="preserve">Aspartate aminotransferase </w:t>
      </w:r>
      <w:r w:rsidR="00B82BE8" w:rsidRPr="00D92C04">
        <w:t xml:space="preserve">and ALT ≤ 3 x </w:t>
      </w:r>
      <w:r w:rsidR="00D572E3" w:rsidRPr="00D92C04">
        <w:t>upper limit normal (</w:t>
      </w:r>
      <w:r w:rsidR="00B82BE8" w:rsidRPr="00D92C04">
        <w:t>ULN</w:t>
      </w:r>
      <w:r w:rsidR="00D572E3" w:rsidRPr="00D92C04">
        <w:t>).</w:t>
      </w:r>
    </w:p>
    <w:p w14:paraId="74072858" w14:textId="0FCFFF1F" w:rsidR="00B82BE8" w:rsidRPr="00D92C04" w:rsidRDefault="00B82BE8" w:rsidP="00B82BE8">
      <w:pPr>
        <w:pStyle w:val="ListBullet"/>
      </w:pPr>
      <w:r w:rsidRPr="00D92C04">
        <w:t>Bilirubin ≤ 2 x ULN (unless documented Gilbert’s syndrome)</w:t>
      </w:r>
      <w:r w:rsidR="00D572E3" w:rsidRPr="00D92C04">
        <w:t>.</w:t>
      </w:r>
    </w:p>
    <w:p w14:paraId="51A39DDF" w14:textId="04EC86DB" w:rsidR="00B82BE8" w:rsidRPr="00D92C04" w:rsidRDefault="00B27CC9" w:rsidP="00B82BE8">
      <w:pPr>
        <w:pStyle w:val="ListBullet"/>
      </w:pPr>
      <w:r w:rsidRPr="00D92C04">
        <w:t>International normalised ratio</w:t>
      </w:r>
      <w:r w:rsidR="00B82BE8" w:rsidRPr="00D92C04">
        <w:t xml:space="preserve"> ≤ 1.5 x ULN and </w:t>
      </w:r>
      <w:r w:rsidRPr="00D92C04">
        <w:t xml:space="preserve">activated partial thromboplastin time </w:t>
      </w:r>
      <w:r w:rsidR="00B82BE8" w:rsidRPr="00D92C04">
        <w:t>≤</w:t>
      </w:r>
      <w:r w:rsidRPr="00D92C04">
        <w:t> </w:t>
      </w:r>
      <w:r w:rsidR="00B82BE8" w:rsidRPr="00D92C04">
        <w:t xml:space="preserve">1.5 x </w:t>
      </w:r>
      <w:r w:rsidR="00D572E3" w:rsidRPr="00D92C04">
        <w:t>ULN</w:t>
      </w:r>
      <w:r w:rsidR="00B82BE8" w:rsidRPr="00D92C04">
        <w:t>.</w:t>
      </w:r>
    </w:p>
    <w:p w14:paraId="0CEC4F0E" w14:textId="06493B52" w:rsidR="00B82BE8" w:rsidRPr="00D92C04" w:rsidRDefault="00B82BE8" w:rsidP="00B82BE8">
      <w:pPr>
        <w:pStyle w:val="ListBullet"/>
      </w:pPr>
      <w:r w:rsidRPr="00D92C04">
        <w:t>If relapsed after autologous stem cell transplant were eligible if they were≥3 months post-transplant and if after allogeneic transplant were ≥</w:t>
      </w:r>
      <w:r w:rsidR="00D572E3" w:rsidRPr="00D92C04">
        <w:t xml:space="preserve"> </w:t>
      </w:r>
      <w:r w:rsidRPr="00D92C04">
        <w:t xml:space="preserve">6 months post-transplant. </w:t>
      </w:r>
      <w:r w:rsidR="00D572E3" w:rsidRPr="00D92C04">
        <w:t>Also,</w:t>
      </w:r>
      <w:r w:rsidRPr="00D92C04">
        <w:t xml:space="preserve"> they should have had no active infections or active acute </w:t>
      </w:r>
      <w:r w:rsidR="00B27CC9" w:rsidRPr="00D92C04">
        <w:t xml:space="preserve">graft versus host </w:t>
      </w:r>
      <w:r w:rsidR="00B27CC9" w:rsidRPr="00D92C04">
        <w:lastRenderedPageBreak/>
        <w:t>disease (</w:t>
      </w:r>
      <w:r w:rsidRPr="00D92C04">
        <w:t>GvHD</w:t>
      </w:r>
      <w:r w:rsidR="00B27CC9" w:rsidRPr="00D92C04">
        <w:t>)</w:t>
      </w:r>
      <w:r w:rsidRPr="00D92C04">
        <w:t xml:space="preserve"> of any grade and no chronic GvHD other than mild skin, oral, or ocular GvHD not requiring systemic immunosuppression.</w:t>
      </w:r>
    </w:p>
    <w:p w14:paraId="60A173CC" w14:textId="397AF778" w:rsidR="00B82BE8" w:rsidRPr="00D92C04" w:rsidRDefault="00B82BE8" w:rsidP="00B82BE8">
      <w:pPr>
        <w:pStyle w:val="ListBullet"/>
      </w:pPr>
      <w:r w:rsidRPr="00D92C04">
        <w:t>Life expectancy of &gt; 4 months</w:t>
      </w:r>
      <w:r w:rsidR="00D572E3" w:rsidRPr="00D92C04">
        <w:t>.</w:t>
      </w:r>
    </w:p>
    <w:p w14:paraId="352D3660" w14:textId="0BF124FE" w:rsidR="00B82BE8" w:rsidRPr="00D92C04" w:rsidRDefault="00B82BE8" w:rsidP="00B82BE8">
      <w:pPr>
        <w:pStyle w:val="Heading6"/>
        <w:rPr>
          <w:lang w:val="en-US"/>
        </w:rPr>
      </w:pPr>
      <w:r w:rsidRPr="00D92C04">
        <w:rPr>
          <w:lang w:val="en-US"/>
        </w:rPr>
        <w:t>Exclusion criteria</w:t>
      </w:r>
    </w:p>
    <w:p w14:paraId="48C09A92" w14:textId="0E475673" w:rsidR="00B82BE8" w:rsidRPr="00D92C04" w:rsidRDefault="00B82BE8" w:rsidP="00B82BE8">
      <w:pPr>
        <w:pStyle w:val="ListBullet"/>
      </w:pPr>
      <w:r w:rsidRPr="00D92C04">
        <w:t>Prior exposure to a BTK inhibitor.</w:t>
      </w:r>
    </w:p>
    <w:p w14:paraId="1FF6A384" w14:textId="3D747AB4" w:rsidR="00B82BE8" w:rsidRPr="00D92C04" w:rsidRDefault="00B82BE8" w:rsidP="00B82BE8">
      <w:pPr>
        <w:pStyle w:val="ListBullet"/>
      </w:pPr>
      <w:r w:rsidRPr="00D92C04">
        <w:t>Evidence of disease transformation at the time of study entry</w:t>
      </w:r>
      <w:r w:rsidR="00D572E3" w:rsidRPr="00D92C04">
        <w:t>.</w:t>
      </w:r>
    </w:p>
    <w:p w14:paraId="53EBB593" w14:textId="38942980" w:rsidR="00B82BE8" w:rsidRPr="00D92C04" w:rsidRDefault="00B82BE8" w:rsidP="00B82BE8">
      <w:pPr>
        <w:pStyle w:val="ListBullet"/>
      </w:pPr>
      <w:r w:rsidRPr="00D92C04">
        <w:t xml:space="preserve">Corticosteroids given with antineoplastic intent within 7 days, or chemotherapy, targeted therapy, or radiation therapy within 4 weeks, or </w:t>
      </w:r>
      <w:proofErr w:type="gramStart"/>
      <w:r w:rsidRPr="00D92C04">
        <w:t>antibody</w:t>
      </w:r>
      <w:r w:rsidR="00D572E3" w:rsidRPr="00D92C04">
        <w:t xml:space="preserve"> </w:t>
      </w:r>
      <w:r w:rsidRPr="00D92C04">
        <w:t>based</w:t>
      </w:r>
      <w:proofErr w:type="gramEnd"/>
      <w:r w:rsidRPr="00D92C04">
        <w:t xml:space="preserve"> therapy within 4 weeks of the start of study drug</w:t>
      </w:r>
      <w:r w:rsidR="00D572E3" w:rsidRPr="00D92C04">
        <w:t>.</w:t>
      </w:r>
    </w:p>
    <w:p w14:paraId="14A1B234" w14:textId="7BC5D918" w:rsidR="00B82BE8" w:rsidRPr="00D92C04" w:rsidRDefault="00B82BE8" w:rsidP="00B82BE8">
      <w:pPr>
        <w:pStyle w:val="ListBullet"/>
      </w:pPr>
      <w:r w:rsidRPr="00D92C04">
        <w:t xml:space="preserve">Ongoing toxicity of ≥ Grade 2 from prior anticancer therapy (except for alopecia, absolute neutrophil </w:t>
      </w:r>
      <w:proofErr w:type="gramStart"/>
      <w:r w:rsidRPr="00D92C04">
        <w:t>count</w:t>
      </w:r>
      <w:proofErr w:type="gramEnd"/>
      <w:r w:rsidRPr="00D92C04">
        <w:t xml:space="preserve"> and platelets). For </w:t>
      </w:r>
      <w:r w:rsidR="00D572E3" w:rsidRPr="00D92C04">
        <w:t xml:space="preserve">absolute neutrophil count </w:t>
      </w:r>
      <w:r w:rsidRPr="00D92C04">
        <w:t>and platelets, inclusion criteria 5</w:t>
      </w:r>
      <w:r w:rsidR="009B052A" w:rsidRPr="00D92C04">
        <w:t>;</w:t>
      </w:r>
      <w:r w:rsidR="009B052A" w:rsidRPr="00D92C04">
        <w:rPr>
          <w:rStyle w:val="FootnoteReference"/>
        </w:rPr>
        <w:footnoteReference w:id="15"/>
      </w:r>
      <w:r w:rsidRPr="00D92C04">
        <w:t xml:space="preserve"> was followed.</w:t>
      </w:r>
    </w:p>
    <w:p w14:paraId="1A3E3AA7" w14:textId="2708F2BC" w:rsidR="00B82BE8" w:rsidRPr="00D92C04" w:rsidRDefault="00B82BE8" w:rsidP="00B82BE8">
      <w:pPr>
        <w:pStyle w:val="ListBullet"/>
      </w:pPr>
      <w:r w:rsidRPr="00D92C04">
        <w:t xml:space="preserve">History of other active malignancies within 2 years of study entry, with exception of adequately treated </w:t>
      </w:r>
      <w:r w:rsidRPr="00D92C04">
        <w:rPr>
          <w:i/>
          <w:iCs/>
        </w:rPr>
        <w:t>in</w:t>
      </w:r>
      <w:r w:rsidR="00D572E3" w:rsidRPr="00D92C04">
        <w:rPr>
          <w:i/>
          <w:iCs/>
        </w:rPr>
        <w:t xml:space="preserve"> </w:t>
      </w:r>
      <w:r w:rsidRPr="00D92C04">
        <w:rPr>
          <w:i/>
          <w:iCs/>
        </w:rPr>
        <w:t>situ</w:t>
      </w:r>
      <w:r w:rsidRPr="00D92C04">
        <w:t xml:space="preserve"> carcinoma of cervix; locali</w:t>
      </w:r>
      <w:r w:rsidR="00D572E3" w:rsidRPr="00D92C04">
        <w:t>s</w:t>
      </w:r>
      <w:r w:rsidRPr="00D92C04">
        <w:t>ed basal cell or squamous cell carcinoma of skin; previous malignancy confined and treated locally (surgery or other modality) with curative intent</w:t>
      </w:r>
      <w:r w:rsidR="00D572E3" w:rsidRPr="00D92C04">
        <w:t>.</w:t>
      </w:r>
    </w:p>
    <w:p w14:paraId="605CD043" w14:textId="41A967B9" w:rsidR="00B82BE8" w:rsidRPr="00D92C04" w:rsidRDefault="00B82BE8" w:rsidP="00B82BE8">
      <w:pPr>
        <w:pStyle w:val="ListBullet"/>
      </w:pPr>
      <w:r w:rsidRPr="00D92C04">
        <w:t xml:space="preserve">Currently active, clinically significant cardiovascular disease such as uncontrolled arrhythmia, congestive heart failure, any Class 3 or 4 cardiac disease (congestive heart failure) as defined by the </w:t>
      </w:r>
      <w:r w:rsidR="00D572E3" w:rsidRPr="00D92C04">
        <w:t>New York Heart Association</w:t>
      </w:r>
      <w:r w:rsidR="009B052A" w:rsidRPr="00D92C04">
        <w:t xml:space="preserve"> (NYHA)</w:t>
      </w:r>
      <w:r w:rsidR="00D572E3" w:rsidRPr="00D92C04">
        <w:t xml:space="preserve"> </w:t>
      </w:r>
      <w:r w:rsidRPr="00D92C04">
        <w:t>Functional Classification,</w:t>
      </w:r>
      <w:r w:rsidR="009B052A" w:rsidRPr="00D92C04">
        <w:rPr>
          <w:rStyle w:val="FootnoteReference"/>
        </w:rPr>
        <w:footnoteReference w:id="16"/>
      </w:r>
      <w:r w:rsidRPr="00D92C04">
        <w:t xml:space="preserve"> or history of myocardial infarction within 6 months of screening</w:t>
      </w:r>
      <w:r w:rsidR="00D572E3" w:rsidRPr="00D92C04">
        <w:t>.</w:t>
      </w:r>
    </w:p>
    <w:p w14:paraId="63AE9200" w14:textId="092CFFCF" w:rsidR="00B82BE8" w:rsidRPr="00D92C04" w:rsidRDefault="00B82BE8" w:rsidP="00B82BE8">
      <w:pPr>
        <w:pStyle w:val="ListBullet"/>
      </w:pPr>
      <w:r w:rsidRPr="00D92C04">
        <w:t>QT</w:t>
      </w:r>
      <w:r w:rsidR="00AB40BC">
        <w:t>-interval</w:t>
      </w:r>
      <w:r w:rsidRPr="00D92C04">
        <w:t xml:space="preserve"> corrected </w:t>
      </w:r>
      <w:r w:rsidR="00B27CC9" w:rsidRPr="00D92C04">
        <w:t xml:space="preserve">using the </w:t>
      </w:r>
      <w:r w:rsidRPr="00D92C04">
        <w:t>Fridericia’s formula (</w:t>
      </w:r>
      <w:proofErr w:type="spellStart"/>
      <w:r w:rsidRPr="00D92C04">
        <w:t>QTcF</w:t>
      </w:r>
      <w:proofErr w:type="spellEnd"/>
      <w:r w:rsidRPr="00D92C04">
        <w:t xml:space="preserve">) prolongation (defined as a </w:t>
      </w:r>
      <w:proofErr w:type="spellStart"/>
      <w:r w:rsidRPr="00D92C04">
        <w:t>QTcF</w:t>
      </w:r>
      <w:proofErr w:type="spellEnd"/>
      <w:r w:rsidR="00B27CC9" w:rsidRPr="00D92C04">
        <w:t> </w:t>
      </w:r>
      <w:r w:rsidRPr="00D92C04">
        <w:t>&gt;</w:t>
      </w:r>
      <w:r w:rsidR="00B27CC9" w:rsidRPr="00D92C04">
        <w:t> </w:t>
      </w:r>
      <w:r w:rsidRPr="00D92C04">
        <w:t>480</w:t>
      </w:r>
      <w:r w:rsidR="00D572E3" w:rsidRPr="00D92C04">
        <w:t> </w:t>
      </w:r>
      <w:proofErr w:type="spellStart"/>
      <w:r w:rsidRPr="00D92C04">
        <w:t>ms</w:t>
      </w:r>
      <w:proofErr w:type="spellEnd"/>
      <w:r w:rsidRPr="00D92C04">
        <w:t>)</w:t>
      </w:r>
      <w:r w:rsidR="00D572E3" w:rsidRPr="00D92C04">
        <w:t>.</w:t>
      </w:r>
    </w:p>
    <w:p w14:paraId="3B23E6E9" w14:textId="1974E555" w:rsidR="00B82BE8" w:rsidRPr="00D92C04" w:rsidRDefault="00B82BE8" w:rsidP="00B82BE8">
      <w:pPr>
        <w:pStyle w:val="ListBullet"/>
      </w:pPr>
      <w:r w:rsidRPr="00D92C04">
        <w:t xml:space="preserve">Active, clinically significant electrocardiogram abnormalities including </w:t>
      </w:r>
      <w:r w:rsidR="00D572E3" w:rsidRPr="00D92C04">
        <w:t>second</w:t>
      </w:r>
      <w:r w:rsidRPr="00D92C04">
        <w:t xml:space="preserve"> degree Type II atrioventricular block, or </w:t>
      </w:r>
      <w:proofErr w:type="gramStart"/>
      <w:r w:rsidR="00D572E3" w:rsidRPr="00D92C04">
        <w:t>third</w:t>
      </w:r>
      <w:r w:rsidRPr="00D92C04">
        <w:t xml:space="preserve"> degree</w:t>
      </w:r>
      <w:proofErr w:type="gramEnd"/>
      <w:r w:rsidRPr="00D92C04">
        <w:t xml:space="preserve"> atrioventricular block</w:t>
      </w:r>
      <w:r w:rsidR="00D572E3" w:rsidRPr="00D92C04">
        <w:t>.</w:t>
      </w:r>
    </w:p>
    <w:p w14:paraId="6B5E5B79" w14:textId="71B8A64A" w:rsidR="00B82BE8" w:rsidRPr="00D92C04" w:rsidRDefault="00B82BE8" w:rsidP="00B82BE8">
      <w:pPr>
        <w:pStyle w:val="ListBullet"/>
      </w:pPr>
      <w:r w:rsidRPr="00D92C04">
        <w:t>Uncontrolled active systemic infection or recent infection requiring parenteral antimicrobial therapy completed ≤ 14 days before first dose of study drug</w:t>
      </w:r>
      <w:r w:rsidR="00D572E3" w:rsidRPr="00D92C04">
        <w:t>.</w:t>
      </w:r>
    </w:p>
    <w:p w14:paraId="1DE82134" w14:textId="41A3AEFE" w:rsidR="00B82BE8" w:rsidRPr="00D92C04" w:rsidRDefault="00B82BE8" w:rsidP="00B82BE8">
      <w:pPr>
        <w:pStyle w:val="ListBullet"/>
      </w:pPr>
      <w:r w:rsidRPr="00D92C04">
        <w:t xml:space="preserve">Known infection with </w:t>
      </w:r>
      <w:r w:rsidR="00D572E3" w:rsidRPr="00D92C04">
        <w:t>human immunodeficiency virus</w:t>
      </w:r>
      <w:r w:rsidRPr="00D92C04">
        <w:t>, or serologic status reflecting active hepatitis B or hepatitis C infection</w:t>
      </w:r>
      <w:r w:rsidR="00D572E3" w:rsidRPr="00D92C04">
        <w:t>.</w:t>
      </w:r>
    </w:p>
    <w:p w14:paraId="6D4E7F43" w14:textId="01D65848" w:rsidR="00B82BE8" w:rsidRPr="00D92C04" w:rsidRDefault="00B82BE8" w:rsidP="00B82BE8">
      <w:pPr>
        <w:pStyle w:val="ListBullet"/>
      </w:pPr>
      <w:r w:rsidRPr="00D92C04">
        <w:t>Taking any medications which were strong CYP3A inhibitors or strong CYP3A inducers</w:t>
      </w:r>
      <w:r w:rsidR="00D572E3" w:rsidRPr="00D92C04">
        <w:t>.</w:t>
      </w:r>
    </w:p>
    <w:p w14:paraId="77751018" w14:textId="05D7E0C0" w:rsidR="00B82BE8" w:rsidRPr="00D92C04" w:rsidRDefault="00B82BE8" w:rsidP="00B82BE8">
      <w:pPr>
        <w:pStyle w:val="ListBullet"/>
      </w:pPr>
      <w:r w:rsidRPr="00D92C04">
        <w:t>Taking warfarin or other vitamin K antagonists</w:t>
      </w:r>
      <w:r w:rsidR="00D572E3" w:rsidRPr="00D92C04">
        <w:t>.</w:t>
      </w:r>
    </w:p>
    <w:p w14:paraId="60F75224" w14:textId="2EE590E4" w:rsidR="00B82BE8" w:rsidRPr="00D92C04" w:rsidRDefault="00B82BE8" w:rsidP="00B82BE8">
      <w:pPr>
        <w:pStyle w:val="ListBullet"/>
      </w:pPr>
      <w:r w:rsidRPr="00D92C04">
        <w:t xml:space="preserve">Known CNS </w:t>
      </w:r>
      <w:r w:rsidR="00B27CC9" w:rsidRPr="00D92C04">
        <w:t>haemorrhage</w:t>
      </w:r>
      <w:r w:rsidRPr="00D92C04">
        <w:t xml:space="preserve"> or stroke ≤ 6 months before study entry</w:t>
      </w:r>
      <w:r w:rsidR="00D572E3" w:rsidRPr="00D92C04">
        <w:t>.</w:t>
      </w:r>
    </w:p>
    <w:p w14:paraId="3D24D307" w14:textId="3C565E02" w:rsidR="00B82BE8" w:rsidRPr="00D92C04" w:rsidRDefault="00B03F50" w:rsidP="00B82BE8">
      <w:pPr>
        <w:pStyle w:val="ListBullet"/>
      </w:pPr>
      <w:r w:rsidRPr="00D92C04">
        <w:t>Central nervous system (CNS)</w:t>
      </w:r>
      <w:r w:rsidR="00B82BE8" w:rsidRPr="00D92C04">
        <w:t xml:space="preserve"> involvement by WM. Patients with a previous history of CNS involvement must have undergone </w:t>
      </w:r>
      <w:r w:rsidR="00D572E3" w:rsidRPr="00D92C04">
        <w:t xml:space="preserve">magnetic resonance imaging </w:t>
      </w:r>
      <w:r w:rsidR="00B82BE8" w:rsidRPr="00D92C04">
        <w:t xml:space="preserve">and </w:t>
      </w:r>
      <w:r w:rsidR="00D572E3" w:rsidRPr="00D92C04">
        <w:t xml:space="preserve">cerebrospinal fluid </w:t>
      </w:r>
      <w:r w:rsidR="00B82BE8" w:rsidRPr="00D92C04">
        <w:t xml:space="preserve">cytology studies to document no evidence of </w:t>
      </w:r>
      <w:r w:rsidRPr="00D92C04">
        <w:t xml:space="preserve">CNS </w:t>
      </w:r>
      <w:r w:rsidR="00B82BE8" w:rsidRPr="00D92C04">
        <w:t>disease prior to study entry.</w:t>
      </w:r>
    </w:p>
    <w:p w14:paraId="6813DCAF" w14:textId="77777777" w:rsidR="00B82BE8" w:rsidRPr="00D92C04" w:rsidRDefault="00A53023" w:rsidP="00B82BE8">
      <w:pPr>
        <w:pStyle w:val="Heading6"/>
      </w:pPr>
      <w:r w:rsidRPr="00D92C04">
        <w:lastRenderedPageBreak/>
        <w:t>Baseline characteristics</w:t>
      </w:r>
    </w:p>
    <w:p w14:paraId="77B77D5F" w14:textId="0D7C8F9E" w:rsidR="00A53023" w:rsidRPr="00D92C04" w:rsidRDefault="00A53023" w:rsidP="00A53023">
      <w:r w:rsidRPr="00D92C04">
        <w:t xml:space="preserve">Most patients were male (66.7%), White (91.0%), a median age of 70 years, and </w:t>
      </w:r>
      <w:r w:rsidR="00AB40BC">
        <w:t>had an</w:t>
      </w:r>
      <w:r w:rsidR="00AB40BC" w:rsidRPr="00D92C04">
        <w:t xml:space="preserve"> </w:t>
      </w:r>
      <w:r w:rsidRPr="00D92C04">
        <w:t xml:space="preserve">ECOG </w:t>
      </w:r>
      <w:r w:rsidR="00FD6EAB">
        <w:t xml:space="preserve">Performance </w:t>
      </w:r>
      <w:r w:rsidR="00FD6EAB" w:rsidRPr="00D92C04">
        <w:t>Status</w:t>
      </w:r>
      <w:r w:rsidRPr="00D92C04">
        <w:t xml:space="preserve"> </w:t>
      </w:r>
      <w:r w:rsidR="00AB40BC">
        <w:t xml:space="preserve">score </w:t>
      </w:r>
      <w:r w:rsidRPr="00D92C04">
        <w:t>of 0 or 1 (93.5%). The median time from initial diagnosis to first dose of study drug was 4.94 and 4.25 years in the ibrutinib and zanubrutinib groups, respectively. Median baseline IgM level was 34.15 and 31.75 g/L, respectively. In Cohort 2, the median time from initial diagnosis to first dose of study drug was 3.65 years. Median baseline IgM level was 28.50 g/L.</w:t>
      </w:r>
    </w:p>
    <w:p w14:paraId="55519B13" w14:textId="7B50D319" w:rsidR="00A53023" w:rsidRPr="00D92C04" w:rsidRDefault="00A53023" w:rsidP="00A53023">
      <w:r w:rsidRPr="00D92C04">
        <w:t>In Cohort 1</w:t>
      </w:r>
      <w:r w:rsidR="003940BC">
        <w:t>,</w:t>
      </w:r>
      <w:r w:rsidR="003940BC">
        <w:rPr>
          <w:i/>
          <w:iCs/>
        </w:rPr>
        <w:t xml:space="preserve"> MYD</w:t>
      </w:r>
      <w:r w:rsidR="00FE3607" w:rsidRPr="00D92C04">
        <w:rPr>
          <w:i/>
          <w:iCs/>
        </w:rPr>
        <w:t>88</w:t>
      </w:r>
      <w:r w:rsidR="00FE3607" w:rsidRPr="00717109">
        <w:rPr>
          <w:i/>
          <w:iCs/>
          <w:vertAlign w:val="superscript"/>
        </w:rPr>
        <w:t>mut</w:t>
      </w:r>
      <w:r w:rsidRPr="00D92C04">
        <w:t xml:space="preserve"> patients were randomised to zanubrutinib or ibrutinib 1:1. </w:t>
      </w:r>
      <w:r w:rsidR="00A84BF6" w:rsidRPr="00D92C04">
        <w:t xml:space="preserve">stratification factors </w:t>
      </w:r>
      <w:r w:rsidRPr="00D92C04">
        <w:t xml:space="preserve">in this cohort included </w:t>
      </w:r>
      <w:r w:rsidRPr="009A6514">
        <w:rPr>
          <w:i/>
        </w:rPr>
        <w:t>CXCR4</w:t>
      </w:r>
      <w:r w:rsidRPr="00D92C04">
        <w:t xml:space="preserve"> status (CXCR4</w:t>
      </w:r>
      <w:r w:rsidR="003940BC">
        <w:t xml:space="preserve"> WHIM</w:t>
      </w:r>
      <w:r w:rsidR="00E27896">
        <w:t xml:space="preserve"> </w:t>
      </w:r>
      <w:r w:rsidR="003940BC">
        <w:t>(</w:t>
      </w:r>
      <w:r w:rsidR="00E27896" w:rsidRPr="00E27896">
        <w:t xml:space="preserve">warts, </w:t>
      </w:r>
      <w:proofErr w:type="spellStart"/>
      <w:r w:rsidR="00E27896" w:rsidRPr="00E27896">
        <w:t>hypogammaglobulin</w:t>
      </w:r>
      <w:r w:rsidR="00AB40BC">
        <w:t>a</w:t>
      </w:r>
      <w:r w:rsidR="00E27896" w:rsidRPr="00E27896">
        <w:t>emia</w:t>
      </w:r>
      <w:proofErr w:type="spellEnd"/>
      <w:r w:rsidR="00E27896" w:rsidRPr="00E27896">
        <w:t xml:space="preserve">, immunodeficiency, and </w:t>
      </w:r>
      <w:proofErr w:type="spellStart"/>
      <w:r w:rsidR="00E27896" w:rsidRPr="00E27896">
        <w:t>myelokathexis</w:t>
      </w:r>
      <w:proofErr w:type="spellEnd"/>
      <w:r w:rsidR="003940BC">
        <w:t>)</w:t>
      </w:r>
      <w:r w:rsidRPr="00D92C04">
        <w:t xml:space="preserve"> </w:t>
      </w:r>
      <w:r w:rsidR="00A84BF6" w:rsidRPr="00D92C04">
        <w:t>versus</w:t>
      </w:r>
      <w:r w:rsidRPr="00D92C04">
        <w:t xml:space="preserve"> </w:t>
      </w:r>
      <w:r w:rsidRPr="009A6514">
        <w:rPr>
          <w:iCs/>
        </w:rPr>
        <w:t>CXCR4</w:t>
      </w:r>
      <w:r w:rsidR="003940BC">
        <w:rPr>
          <w:iCs/>
        </w:rPr>
        <w:t xml:space="preserve"> WT</w:t>
      </w:r>
      <w:r w:rsidR="00B45866" w:rsidRPr="009A6514">
        <w:rPr>
          <w:iCs/>
        </w:rPr>
        <w:t xml:space="preserve"> </w:t>
      </w:r>
      <w:r w:rsidR="003940BC">
        <w:rPr>
          <w:iCs/>
        </w:rPr>
        <w:t>(</w:t>
      </w:r>
      <w:r w:rsidR="00B45866" w:rsidRPr="009A6514">
        <w:rPr>
          <w:iCs/>
        </w:rPr>
        <w:t>wild type)</w:t>
      </w:r>
      <w:r w:rsidRPr="003940BC">
        <w:t xml:space="preserve"> </w:t>
      </w:r>
      <w:r w:rsidR="00A84BF6" w:rsidRPr="00D92C04">
        <w:t>versus</w:t>
      </w:r>
      <w:r w:rsidRPr="00D92C04">
        <w:t xml:space="preserve"> </w:t>
      </w:r>
      <w:r w:rsidR="003940BC">
        <w:t xml:space="preserve">status </w:t>
      </w:r>
      <w:r w:rsidRPr="00D92C04">
        <w:t xml:space="preserve">unknown) and number of prior lines of therapy (0 </w:t>
      </w:r>
      <w:r w:rsidR="00A84BF6" w:rsidRPr="00D92C04">
        <w:t>versus</w:t>
      </w:r>
      <w:r w:rsidRPr="00D92C04">
        <w:t xml:space="preserve"> 1</w:t>
      </w:r>
      <w:r w:rsidR="00A84BF6" w:rsidRPr="00D92C04">
        <w:t xml:space="preserve"> to </w:t>
      </w:r>
      <w:r w:rsidRPr="00D92C04">
        <w:t xml:space="preserve">3 </w:t>
      </w:r>
      <w:r w:rsidR="00A84BF6" w:rsidRPr="00D92C04">
        <w:t>versus</w:t>
      </w:r>
      <w:r w:rsidRPr="00D92C04">
        <w:t xml:space="preserve"> &gt; 3). All </w:t>
      </w:r>
      <w:r w:rsidRPr="00D92C04">
        <w:rPr>
          <w:i/>
          <w:iCs/>
        </w:rPr>
        <w:t>MYD88</w:t>
      </w:r>
      <w:r w:rsidRPr="009A6514">
        <w:rPr>
          <w:i/>
          <w:iCs/>
          <w:vertAlign w:val="superscript"/>
        </w:rPr>
        <w:t>WT</w:t>
      </w:r>
      <w:r w:rsidRPr="00D92C04">
        <w:t xml:space="preserve"> patients were included in the single arm Cohort 2.</w:t>
      </w:r>
    </w:p>
    <w:p w14:paraId="36B70198" w14:textId="44508745" w:rsidR="00A53023" w:rsidRPr="00D92C04" w:rsidRDefault="00A53023" w:rsidP="00D27DB6">
      <w:pPr>
        <w:ind w:right="-285"/>
      </w:pPr>
      <w:r w:rsidRPr="00D92C04">
        <w:t>Patient disposition is summarised diagrammatically</w:t>
      </w:r>
      <w:r w:rsidR="00A84BF6" w:rsidRPr="00D92C04">
        <w:t xml:space="preserve"> in </w:t>
      </w:r>
      <w:r w:rsidR="00A84BF6" w:rsidRPr="00D92C04">
        <w:fldChar w:fldCharType="begin"/>
      </w:r>
      <w:r w:rsidR="00A84BF6" w:rsidRPr="00D92C04">
        <w:instrText xml:space="preserve"> REF _Ref104465738 \h  \* MERGEFORMAT </w:instrText>
      </w:r>
      <w:r w:rsidR="00A84BF6" w:rsidRPr="00D92C04">
        <w:fldChar w:fldCharType="separate"/>
      </w:r>
      <w:r w:rsidR="00376AF2" w:rsidRPr="00376AF2">
        <w:t xml:space="preserve">Figure </w:t>
      </w:r>
      <w:r w:rsidR="00376AF2">
        <w:t>2</w:t>
      </w:r>
      <w:r w:rsidR="00A84BF6" w:rsidRPr="00D92C04">
        <w:fldChar w:fldCharType="end"/>
      </w:r>
      <w:r w:rsidRPr="00D92C04">
        <w:t xml:space="preserve"> for Cohort 1 followed by </w:t>
      </w:r>
      <w:r w:rsidR="00AB665D" w:rsidRPr="00D92C04">
        <w:fldChar w:fldCharType="begin"/>
      </w:r>
      <w:r w:rsidR="00AB665D" w:rsidRPr="00D92C04">
        <w:instrText xml:space="preserve"> REF _Ref104469232 \h  \* MERGEFORMAT </w:instrText>
      </w:r>
      <w:r w:rsidR="00AB665D" w:rsidRPr="00D92C04">
        <w:fldChar w:fldCharType="separate"/>
      </w:r>
      <w:r w:rsidR="00376AF2" w:rsidRPr="00376AF2">
        <w:t xml:space="preserve">Figure </w:t>
      </w:r>
      <w:r w:rsidR="00376AF2">
        <w:t>3</w:t>
      </w:r>
      <w:r w:rsidR="00AB665D" w:rsidRPr="00D92C04">
        <w:fldChar w:fldCharType="end"/>
      </w:r>
      <w:r w:rsidR="00AB665D" w:rsidRPr="00D92C04">
        <w:t xml:space="preserve"> for </w:t>
      </w:r>
      <w:r w:rsidRPr="00D92C04">
        <w:t>Cohort 2.</w:t>
      </w:r>
    </w:p>
    <w:p w14:paraId="017464CD" w14:textId="6F0C0356" w:rsidR="00F7740F" w:rsidRPr="00376AF2" w:rsidRDefault="00A53023" w:rsidP="00376AF2">
      <w:pPr>
        <w:pStyle w:val="FigureTitle"/>
      </w:pPr>
      <w:bookmarkStart w:id="61" w:name="_Ref104465738"/>
      <w:r w:rsidRPr="00376AF2">
        <w:t xml:space="preserve">Figure </w:t>
      </w:r>
      <w:fldSimple w:instr=" SEQ Figure \* ARABIC ">
        <w:r w:rsidR="00376AF2">
          <w:rPr>
            <w:noProof/>
          </w:rPr>
          <w:t>2</w:t>
        </w:r>
      </w:fldSimple>
      <w:bookmarkEnd w:id="61"/>
      <w:r w:rsidR="00A84BF6" w:rsidRPr="00376AF2">
        <w:t>:</w:t>
      </w:r>
      <w:r w:rsidRPr="00376AF2">
        <w:t xml:space="preserve"> </w:t>
      </w:r>
      <w:r w:rsidR="00A84BF6" w:rsidRPr="00376AF2">
        <w:t>Study BGB-311</w:t>
      </w:r>
      <w:r w:rsidR="004E2E0C" w:rsidRPr="00376AF2">
        <w:t>1</w:t>
      </w:r>
      <w:r w:rsidR="00A84BF6" w:rsidRPr="00376AF2">
        <w:t xml:space="preserve">-302 </w:t>
      </w:r>
      <w:r w:rsidRPr="00376AF2">
        <w:t xml:space="preserve">Patient </w:t>
      </w:r>
      <w:r w:rsidR="00A84BF6" w:rsidRPr="00376AF2">
        <w:t xml:space="preserve">disposition flow diagram for </w:t>
      </w:r>
      <w:r w:rsidRPr="00376AF2">
        <w:t>Cohort 1</w:t>
      </w:r>
    </w:p>
    <w:p w14:paraId="25C4E7F5" w14:textId="466A921E" w:rsidR="00A53023" w:rsidRPr="000551E0" w:rsidRDefault="00F7740F" w:rsidP="00376AF2">
      <w:r>
        <w:rPr>
          <w:noProof/>
          <w:lang w:val="en-GB" w:eastAsia="en-GB"/>
        </w:rPr>
        <w:drawing>
          <wp:inline distT="0" distB="0" distL="0" distR="0" wp14:anchorId="18AFA1DF" wp14:editId="786EA2EC">
            <wp:extent cx="4723075" cy="2169370"/>
            <wp:effectExtent l="0" t="0" r="1905" b="2540"/>
            <wp:docPr id="7" name="Picture 7" descr="Figure 2: Study BGB-3111-302 Patient disposition flow diagram for Cohort 1&#10;&#10;In Cohort 1, 201 patients were randomised (99 in the ibrutinib arm and 102 in the zanubrutinib arm). A total of 37 patients were treatment-naive (18 in the ibrutinib treatment arm and 19 in the zanubrutinib treatment arm) and 164 patients were relapsed/refractory (81 in the ibrutinib treatment arm and 83 in the zanubrutinib treatment arm). Two relapsed/refractory patients were randomised but not treated, one in the zanubrutinib treatment arm and one in the ibrutinib treatment arm. A total of 158 patients were continuing study treatment (77 patients in the ibrutinib treatment arm and 81 patients in the zanubrutinib treatment arm) as of the data cut off date.&#10;&#10;The most common reasons for discontinuation were adverse events (9 ibrutinib treated patients versus 4 in zanubrutinib treated patients) and progressive disease (5 in ibrutinib treated patients versus 7 zanubrutinib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Study BGB-3111-302 Patient disposition flow diagram for Cohort 1&#10;&#10;In Cohort 1, 201 patients were randomised (99 in the ibrutinib arm and 102 in the zanubrutinib arm). A total of 37 patients were treatment-naive (18 in the ibrutinib treatment arm and 19 in the zanubrutinib treatment arm) and 164 patients were relapsed/refractory (81 in the ibrutinib treatment arm and 83 in the zanubrutinib treatment arm). Two relapsed/refractory patients were randomised but not treated, one in the zanubrutinib treatment arm and one in the ibrutinib treatment arm. A total of 158 patients were continuing study treatment (77 patients in the ibrutinib treatment arm and 81 patients in the zanubrutinib treatment arm) as of the data cut off date.&#10;&#10;The most common reasons for discontinuation were adverse events (9 ibrutinib treated patients versus 4 in zanubrutinib treated patients) and progressive disease (5 in ibrutinib treated patients versus 7 zanubrutinib treated patients)."/>
                    <pic:cNvPicPr/>
                  </pic:nvPicPr>
                  <pic:blipFill>
                    <a:blip r:embed="rId15"/>
                    <a:stretch>
                      <a:fillRect/>
                    </a:stretch>
                  </pic:blipFill>
                  <pic:spPr>
                    <a:xfrm>
                      <a:off x="0" y="0"/>
                      <a:ext cx="4747627" cy="2180647"/>
                    </a:xfrm>
                    <a:prstGeom prst="rect">
                      <a:avLst/>
                    </a:prstGeom>
                  </pic:spPr>
                </pic:pic>
              </a:graphicData>
            </a:graphic>
          </wp:inline>
        </w:drawing>
      </w:r>
    </w:p>
    <w:p w14:paraId="4D097A83" w14:textId="5B603AFC" w:rsidR="00F7740F" w:rsidRPr="00376AF2" w:rsidRDefault="003940BC" w:rsidP="00376AF2">
      <w:pPr>
        <w:pStyle w:val="FigureDescription"/>
      </w:pPr>
      <w:r w:rsidRPr="00376AF2">
        <w:t xml:space="preserve">Abbreviations: </w:t>
      </w:r>
      <w:r w:rsidR="00F7740F" w:rsidRPr="00376AF2">
        <w:t xml:space="preserve">AE = adverse event; Inv = investigator; N = population size; PD = progressive disease; </w:t>
      </w:r>
      <w:proofErr w:type="spellStart"/>
      <w:r w:rsidR="00F7740F" w:rsidRPr="00376AF2">
        <w:t>pt</w:t>
      </w:r>
      <w:proofErr w:type="spellEnd"/>
      <w:r w:rsidR="00F7740F" w:rsidRPr="00376AF2">
        <w:t> = patient; R/R = relapsed/refractory; TN = treatment</w:t>
      </w:r>
      <w:r w:rsidR="006E2E61" w:rsidRPr="00376AF2">
        <w:t>-</w:t>
      </w:r>
      <w:r w:rsidR="00F7740F" w:rsidRPr="00376AF2">
        <w:t>naïve</w:t>
      </w:r>
    </w:p>
    <w:p w14:paraId="321E13E8" w14:textId="54181E0B" w:rsidR="00A53023" w:rsidRPr="00376AF2" w:rsidRDefault="00F7740F" w:rsidP="00376AF2">
      <w:pPr>
        <w:pStyle w:val="FigureDescription"/>
      </w:pPr>
      <w:r w:rsidRPr="00376AF2">
        <w:t>Data cut-off: 31 August 2019.</w:t>
      </w:r>
    </w:p>
    <w:p w14:paraId="29C61204" w14:textId="2A65213E" w:rsidR="00A53023" w:rsidRPr="00376AF2" w:rsidRDefault="00A53023" w:rsidP="00376AF2">
      <w:pPr>
        <w:pStyle w:val="FigureTitle"/>
      </w:pPr>
      <w:bookmarkStart w:id="62" w:name="_Ref104469232"/>
      <w:r w:rsidRPr="00376AF2">
        <w:t xml:space="preserve">Figure </w:t>
      </w:r>
      <w:fldSimple w:instr=" SEQ Figure \* ARABIC ">
        <w:r w:rsidR="00376AF2">
          <w:rPr>
            <w:noProof/>
          </w:rPr>
          <w:t>3</w:t>
        </w:r>
      </w:fldSimple>
      <w:bookmarkEnd w:id="62"/>
      <w:r w:rsidR="009A7D73" w:rsidRPr="00376AF2">
        <w:t xml:space="preserve">: </w:t>
      </w:r>
      <w:r w:rsidR="00A84BF6" w:rsidRPr="00376AF2">
        <w:t>Study BGB-31</w:t>
      </w:r>
      <w:r w:rsidR="004E2E0C" w:rsidRPr="00376AF2">
        <w:t>1</w:t>
      </w:r>
      <w:r w:rsidR="00A84BF6" w:rsidRPr="00376AF2">
        <w:t xml:space="preserve">1-302 </w:t>
      </w:r>
      <w:r w:rsidRPr="00376AF2">
        <w:t xml:space="preserve">Patient </w:t>
      </w:r>
      <w:r w:rsidR="00A84BF6" w:rsidRPr="00376AF2">
        <w:t xml:space="preserve">disposition flow diagram for </w:t>
      </w:r>
      <w:r w:rsidRPr="00376AF2">
        <w:t>Cohort 2</w:t>
      </w:r>
    </w:p>
    <w:p w14:paraId="6B7FEE36" w14:textId="748814B3" w:rsidR="00F7740F" w:rsidRPr="000551E0" w:rsidRDefault="00F7740F" w:rsidP="00376AF2">
      <w:r>
        <w:rPr>
          <w:noProof/>
          <w:lang w:val="en-GB" w:eastAsia="en-GB"/>
        </w:rPr>
        <w:drawing>
          <wp:inline distT="0" distB="0" distL="0" distR="0" wp14:anchorId="238EFC55" wp14:editId="1FB24BE7">
            <wp:extent cx="2683328" cy="2101163"/>
            <wp:effectExtent l="0" t="0" r="6985" b="0"/>
            <wp:docPr id="8" name="Picture 8" descr="Figure 3: Study BGB-3111-302 Patient disposition flow diagram for Cohort 2&#10;&#10;In Cohort 2, a total of 28 patients were enrolled and are in the safety population. 26 of these patients were confirmed wild type. All enrolled patients were treated with zanubrutinib. Two enrolled patients are not evaluable (MYD88 unknown), and 26 are in the efficacy population. A total of 17 patients were continuing study treatment as of the data cut off date. 11 patients were off study treatment. Discontinuation of study treatment due to progressive disease (6 patients), adverse event (2 patients), patient’s decision (one patient) and investigator’s decision (2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Study BGB-3111-302 Patient disposition flow diagram for Cohort 2&#10;&#10;In Cohort 2, a total of 28 patients were enrolled and are in the safety population. 26 of these patients were confirmed wild type. All enrolled patients were treated with zanubrutinib. Two enrolled patients are not evaluable (MYD88 unknown), and 26 are in the efficacy population. A total of 17 patients were continuing study treatment as of the data cut off date. 11 patients were off study treatment. Discontinuation of study treatment due to progressive disease (6 patients), adverse event (2 patients), patient’s decision (one patient) and investigator’s decision (2 patients)."/>
                    <pic:cNvPicPr/>
                  </pic:nvPicPr>
                  <pic:blipFill>
                    <a:blip r:embed="rId16"/>
                    <a:stretch>
                      <a:fillRect/>
                    </a:stretch>
                  </pic:blipFill>
                  <pic:spPr>
                    <a:xfrm>
                      <a:off x="0" y="0"/>
                      <a:ext cx="2683328" cy="2101163"/>
                    </a:xfrm>
                    <a:prstGeom prst="rect">
                      <a:avLst/>
                    </a:prstGeom>
                  </pic:spPr>
                </pic:pic>
              </a:graphicData>
            </a:graphic>
          </wp:inline>
        </w:drawing>
      </w:r>
    </w:p>
    <w:p w14:paraId="64593AFE" w14:textId="2BC92815" w:rsidR="00F7740F" w:rsidRPr="00376AF2" w:rsidRDefault="003940BC" w:rsidP="00376AF2">
      <w:pPr>
        <w:pStyle w:val="FigureDescription"/>
      </w:pPr>
      <w:r w:rsidRPr="00376AF2">
        <w:t xml:space="preserve">Abbreviations: </w:t>
      </w:r>
      <w:r w:rsidR="00F7740F" w:rsidRPr="00376AF2">
        <w:t xml:space="preserve">AE = adverse event; Inv = investigator; N = population size; PD = progressive disease; </w:t>
      </w:r>
      <w:proofErr w:type="spellStart"/>
      <w:r w:rsidR="00F7740F" w:rsidRPr="00376AF2">
        <w:t>unk</w:t>
      </w:r>
      <w:proofErr w:type="spellEnd"/>
      <w:r w:rsidR="00F7740F" w:rsidRPr="00376AF2">
        <w:t xml:space="preserve"> = unknown; WT = wild type.</w:t>
      </w:r>
    </w:p>
    <w:p w14:paraId="6256E960" w14:textId="10001AF3" w:rsidR="00A53023" w:rsidRPr="00376AF2" w:rsidRDefault="00F7740F" w:rsidP="00376AF2">
      <w:pPr>
        <w:pStyle w:val="FigureDescription"/>
      </w:pPr>
      <w:r w:rsidRPr="00376AF2">
        <w:t>Data cut-off: 31 August 2019.</w:t>
      </w:r>
    </w:p>
    <w:p w14:paraId="4FE6AE82" w14:textId="77777777" w:rsidR="00A53023" w:rsidRPr="00D92C04" w:rsidRDefault="00A53023" w:rsidP="00A53023">
      <w:r w:rsidRPr="00D92C04">
        <w:lastRenderedPageBreak/>
        <w:t>Important protocol deviations occurred in 2.0% and 4.9% with of the ibrutinib and zanubrutinib arms in Cohort 1.</w:t>
      </w:r>
    </w:p>
    <w:p w14:paraId="5FC19840" w14:textId="01ED0207" w:rsidR="00A53023" w:rsidRPr="00D92C04" w:rsidRDefault="00A53023" w:rsidP="009A6514">
      <w:pPr>
        <w:pStyle w:val="Heading6"/>
      </w:pPr>
      <w:r w:rsidRPr="00D92C04">
        <w:t xml:space="preserve">Statistical </w:t>
      </w:r>
      <w:r w:rsidR="00AB665D" w:rsidRPr="00D92C04">
        <w:t>m</w:t>
      </w:r>
      <w:r w:rsidRPr="00D92C04">
        <w:t>ethods</w:t>
      </w:r>
    </w:p>
    <w:p w14:paraId="20FAC617" w14:textId="2C3252FD" w:rsidR="00A53023" w:rsidRPr="00D92C04" w:rsidRDefault="00A53023" w:rsidP="00A53023">
      <w:r w:rsidRPr="00D92C04">
        <w:t xml:space="preserve">The hierarchy of testing for the primary endpoint of </w:t>
      </w:r>
      <w:r w:rsidR="005C13F3">
        <w:t>very good partial response (</w:t>
      </w:r>
      <w:r w:rsidRPr="00D92C04">
        <w:t>VGPR</w:t>
      </w:r>
      <w:r w:rsidR="005C13F3">
        <w:t>)</w:t>
      </w:r>
      <w:r w:rsidRPr="00D92C04">
        <w:t>/</w:t>
      </w:r>
      <w:r w:rsidR="005C13F3">
        <w:t>complete response (</w:t>
      </w:r>
      <w:r w:rsidRPr="00D92C04">
        <w:t>CR</w:t>
      </w:r>
      <w:r w:rsidR="005C13F3">
        <w:t>)</w:t>
      </w:r>
      <w:r w:rsidRPr="00D92C04">
        <w:t xml:space="preserve"> commenced with the </w:t>
      </w:r>
      <w:r w:rsidR="005C13F3">
        <w:t>relapsed/refractory (</w:t>
      </w:r>
      <w:r w:rsidRPr="00D92C04">
        <w:t>r/r</w:t>
      </w:r>
      <w:r w:rsidR="005C13F3">
        <w:t>)</w:t>
      </w:r>
      <w:r w:rsidRPr="00D92C04">
        <w:t xml:space="preserve"> </w:t>
      </w:r>
      <w:r w:rsidR="00B45866" w:rsidRPr="00D92C04">
        <w:t>intention-to-treat (</w:t>
      </w:r>
      <w:r w:rsidRPr="00D92C04">
        <w:t>ITT</w:t>
      </w:r>
      <w:r w:rsidR="00B45866" w:rsidRPr="00D92C04">
        <w:t>)</w:t>
      </w:r>
      <w:r w:rsidR="00B45866" w:rsidRPr="00D92C04">
        <w:rPr>
          <w:rStyle w:val="FootnoteReference"/>
        </w:rPr>
        <w:footnoteReference w:id="17"/>
      </w:r>
      <w:r w:rsidRPr="00D92C04">
        <w:t xml:space="preserve"> population then moved to the ITT analysis set. If the result at the r/r analysis was statistically significant testing would be performed in the ITT analysis set at </w:t>
      </w:r>
      <w:r w:rsidR="00AB665D" w:rsidRPr="00D92C04">
        <w:t>one</w:t>
      </w:r>
      <w:r w:rsidR="009A6514">
        <w:t>-</w:t>
      </w:r>
      <w:r w:rsidRPr="00D92C04">
        <w:t>sided alpha of 0.025</w:t>
      </w:r>
      <w:r w:rsidR="00AB665D" w:rsidRPr="00D92C04">
        <w:t>.</w:t>
      </w:r>
    </w:p>
    <w:p w14:paraId="4F8E16FA" w14:textId="3CDF6B90" w:rsidR="00A53023" w:rsidRPr="00D92C04" w:rsidRDefault="00A53023" w:rsidP="00A53023">
      <w:r w:rsidRPr="00D92C04">
        <w:t xml:space="preserve">Non-inferiority for </w:t>
      </w:r>
      <w:r w:rsidR="005C13F3">
        <w:t>the major response rate</w:t>
      </w:r>
      <w:r w:rsidR="003940BC">
        <w:t xml:space="preserve"> (MRR) of</w:t>
      </w:r>
      <w:r w:rsidRPr="00D92C04">
        <w:t xml:space="preserve"> </w:t>
      </w:r>
      <w:r w:rsidR="00B45866" w:rsidRPr="00D92C04">
        <w:t>partial response</w:t>
      </w:r>
      <w:r w:rsidR="000C04BD" w:rsidRPr="00D92C04">
        <w:t xml:space="preserve"> (PR)</w:t>
      </w:r>
      <w:r w:rsidR="003940BC">
        <w:t xml:space="preserve">, </w:t>
      </w:r>
      <w:r w:rsidRPr="00D92C04">
        <w:t>VGPR</w:t>
      </w:r>
      <w:r w:rsidR="003940BC">
        <w:t xml:space="preserve">. or </w:t>
      </w:r>
      <w:r w:rsidRPr="00D92C04">
        <w:t xml:space="preserve">CR by </w:t>
      </w:r>
      <w:r w:rsidR="00B45866" w:rsidRPr="00D92C04">
        <w:t>Independent Review Committee (</w:t>
      </w:r>
      <w:r w:rsidRPr="00D92C04">
        <w:t>IRC</w:t>
      </w:r>
      <w:r w:rsidR="00B45866" w:rsidRPr="00D92C04">
        <w:t>)</w:t>
      </w:r>
      <w:r w:rsidRPr="00D92C04">
        <w:t xml:space="preserve"> was to be tested with a 12% </w:t>
      </w:r>
      <w:r w:rsidR="00AB665D" w:rsidRPr="00D92C04">
        <w:t xml:space="preserve">non-inferiority </w:t>
      </w:r>
      <w:r w:rsidRPr="00D92C04">
        <w:t xml:space="preserve">margin only if the primary endpoint was statistically significant in the analysis set in which the VGPF/CR rate was superior. If the lower bound of the 95% CI was greater than </w:t>
      </w:r>
      <w:r w:rsidR="003940BC">
        <w:noBreakHyphen/>
      </w:r>
      <w:r w:rsidRPr="00D92C04">
        <w:t>12% it could be concluded that zanubrutinib was non-inferior to ibrutinib for MRR.</w:t>
      </w:r>
    </w:p>
    <w:p w14:paraId="19145E9F" w14:textId="375F59F6" w:rsidR="00A53023" w:rsidRPr="00D92C04" w:rsidRDefault="00A53023" w:rsidP="00A53023">
      <w:r w:rsidRPr="00D92C04">
        <w:t xml:space="preserve">Two </w:t>
      </w:r>
      <w:r w:rsidRPr="00D92C04">
        <w:rPr>
          <w:i/>
          <w:iCs/>
        </w:rPr>
        <w:t>post</w:t>
      </w:r>
      <w:r w:rsidR="00AB665D" w:rsidRPr="00D92C04">
        <w:rPr>
          <w:i/>
          <w:iCs/>
        </w:rPr>
        <w:t xml:space="preserve"> </w:t>
      </w:r>
      <w:r w:rsidRPr="00D92C04">
        <w:rPr>
          <w:i/>
          <w:iCs/>
        </w:rPr>
        <w:t>hoc</w:t>
      </w:r>
      <w:r w:rsidRPr="00D92C04">
        <w:t xml:space="preserve"> efficacy analysis </w:t>
      </w:r>
      <w:proofErr w:type="gramStart"/>
      <w:r w:rsidRPr="00D92C04">
        <w:t>were</w:t>
      </w:r>
      <w:proofErr w:type="gramEnd"/>
      <w:r w:rsidRPr="00D92C04">
        <w:t xml:space="preserve"> conducted:</w:t>
      </w:r>
    </w:p>
    <w:p w14:paraId="3D7EBF85" w14:textId="600B09E2" w:rsidR="00A53023" w:rsidRPr="00D92C04" w:rsidRDefault="00A53023" w:rsidP="00A53023">
      <w:pPr>
        <w:pStyle w:val="ListBullet"/>
      </w:pPr>
      <w:r w:rsidRPr="00D92C04">
        <w:t>Non-inferiority for VGPF/CR using a -4.5% margin</w:t>
      </w:r>
      <w:r w:rsidR="00AB665D" w:rsidRPr="00D92C04">
        <w:t>.</w:t>
      </w:r>
    </w:p>
    <w:p w14:paraId="42862F47" w14:textId="308870E1" w:rsidR="00A53023" w:rsidRPr="00D92C04" w:rsidRDefault="00A53023" w:rsidP="00A53023">
      <w:pPr>
        <w:pStyle w:val="ListBullet"/>
      </w:pPr>
      <w:r w:rsidRPr="00D92C04">
        <w:t>Comparison of baseline adjusted IgM levels over time for the two treatment arms using a likelihood-based linear mixed model for related measures and a non</w:t>
      </w:r>
      <w:r w:rsidR="00AB665D" w:rsidRPr="00D92C04">
        <w:noBreakHyphen/>
      </w:r>
      <w:r w:rsidRPr="00D92C04">
        <w:t>parametric comparison of comparison of the plasma AUC of IgM over time by the Mantel-Haenszel test.</w:t>
      </w:r>
    </w:p>
    <w:p w14:paraId="30D08817" w14:textId="77777777" w:rsidR="00A53023" w:rsidRPr="00D92C04" w:rsidRDefault="00A53023" w:rsidP="00A53023">
      <w:r w:rsidRPr="00D92C04">
        <w:t>Cohort 2 was an exploratory arm of the study.</w:t>
      </w:r>
    </w:p>
    <w:p w14:paraId="4B01B744" w14:textId="77777777" w:rsidR="00A53023" w:rsidRPr="00D92C04" w:rsidRDefault="00A53023" w:rsidP="009A6514">
      <w:pPr>
        <w:pStyle w:val="Heading6"/>
      </w:pPr>
      <w:r w:rsidRPr="00D92C04">
        <w:t>Efficacy endpoints</w:t>
      </w:r>
    </w:p>
    <w:p w14:paraId="1BE08E89" w14:textId="622E47C1" w:rsidR="00A53023" w:rsidRPr="00D92C04" w:rsidRDefault="00A53023" w:rsidP="00A53023">
      <w:r w:rsidRPr="00D92C04">
        <w:t>The primary analysis was based on the data cut</w:t>
      </w:r>
      <w:r w:rsidR="00AB665D" w:rsidRPr="00D92C04">
        <w:t>-</w:t>
      </w:r>
      <w:r w:rsidRPr="00D92C04">
        <w:t>of</w:t>
      </w:r>
      <w:r w:rsidR="00AB665D" w:rsidRPr="00D92C04">
        <w:t>f</w:t>
      </w:r>
      <w:r w:rsidR="00D16502" w:rsidRPr="00D92C04">
        <w:t xml:space="preserve"> of</w:t>
      </w:r>
      <w:r w:rsidRPr="00D92C04">
        <w:t xml:space="preserve"> 31 August 2019. The sponsor provided an updated data analysis </w:t>
      </w:r>
      <w:r w:rsidR="003940BC">
        <w:t xml:space="preserve">from August 2020 </w:t>
      </w:r>
      <w:r w:rsidRPr="00D92C04">
        <w:t xml:space="preserve">in response to </w:t>
      </w:r>
      <w:r w:rsidR="003940BC">
        <w:t xml:space="preserve">TGA </w:t>
      </w:r>
      <w:r w:rsidRPr="00D92C04">
        <w:t>questions.</w:t>
      </w:r>
    </w:p>
    <w:p w14:paraId="10C8E7A7" w14:textId="7BF5B641" w:rsidR="00A53023" w:rsidRPr="00D92C04" w:rsidRDefault="00A53023" w:rsidP="00A53023">
      <w:r w:rsidRPr="00D92C04">
        <w:t xml:space="preserve">The primary endpoint of VGPR or CR rate superiority required testing in the r/r analysis set prior to testing in the ITT analysis set. The primary overall combined response was used to assess the primary endpoint of the study. </w:t>
      </w:r>
      <w:r w:rsidR="004202BE" w:rsidRPr="00D92C04">
        <w:t>T</w:t>
      </w:r>
      <w:r w:rsidRPr="00D92C04">
        <w:t>he categorical response definitions of the endpoints</w:t>
      </w:r>
      <w:r w:rsidR="004202BE" w:rsidRPr="00D92C04">
        <w:t xml:space="preserve"> </w:t>
      </w:r>
      <w:r w:rsidRPr="00D92C04">
        <w:t>were based on the IWWM-6 and included extramedullary disease. Analyses were also conducted for overall IgM response that used IgM reduction and immunofixation for response assessment.</w:t>
      </w:r>
    </w:p>
    <w:p w14:paraId="066BA8E5" w14:textId="42615B8E" w:rsidR="00A53023" w:rsidRPr="00D92C04" w:rsidRDefault="00A53023" w:rsidP="00A53023">
      <w:r w:rsidRPr="00D92C04">
        <w:t>Response assessments were performed every 4 weeks (every cycle) starting from Cycle</w:t>
      </w:r>
      <w:r w:rsidR="004202BE" w:rsidRPr="00D92C04">
        <w:t> </w:t>
      </w:r>
      <w:r w:rsidRPr="00D92C04">
        <w:t>2, Day</w:t>
      </w:r>
      <w:r w:rsidR="004202BE" w:rsidRPr="00D92C04">
        <w:t> </w:t>
      </w:r>
      <w:r w:rsidRPr="00D92C04">
        <w:t>1 for the first 48 weeks (12 cycles) then every 12 weeks (every 3 cycles) thereafter.</w:t>
      </w:r>
    </w:p>
    <w:p w14:paraId="6B3B07A5" w14:textId="2483AC27" w:rsidR="00A53023" w:rsidRPr="00D92C04" w:rsidRDefault="00A53023" w:rsidP="00A53023">
      <w:r w:rsidRPr="00D92C04">
        <w:t xml:space="preserve">The secondary endpoints for Cohort 1 included MRR, duration of response, rate of CR or VGPR by </w:t>
      </w:r>
      <w:r w:rsidR="00B45866" w:rsidRPr="00D92C04">
        <w:t>investigator</w:t>
      </w:r>
      <w:r w:rsidRPr="00D92C04">
        <w:t xml:space="preserve">, </w:t>
      </w:r>
      <w:r w:rsidR="002B0B88" w:rsidRPr="00D92C04">
        <w:t>progression free survival</w:t>
      </w:r>
      <w:r w:rsidRPr="00D92C04">
        <w:t>, resolution of treatment</w:t>
      </w:r>
      <w:r w:rsidR="004202BE" w:rsidRPr="00D92C04">
        <w:t xml:space="preserve"> </w:t>
      </w:r>
      <w:r w:rsidRPr="00D92C04">
        <w:t xml:space="preserve">precipitating symptoms, anti-lymphoma effects and incidence and timing and severity of </w:t>
      </w:r>
      <w:r w:rsidR="000C04BD" w:rsidRPr="00D92C04">
        <w:t>treatment</w:t>
      </w:r>
      <w:r w:rsidR="005C13F3">
        <w:noBreakHyphen/>
      </w:r>
      <w:r w:rsidR="000C04BD" w:rsidRPr="00D92C04">
        <w:t>related adverse events (</w:t>
      </w:r>
      <w:r w:rsidRPr="00D92C04">
        <w:t>TRAEs</w:t>
      </w:r>
      <w:r w:rsidR="000C04BD" w:rsidRPr="00D92C04">
        <w:t>)</w:t>
      </w:r>
      <w:r w:rsidRPr="00D92C04">
        <w:t>. The exploratory endpoints of Cohort</w:t>
      </w:r>
      <w:r w:rsidR="004202BE" w:rsidRPr="00D92C04">
        <w:t> </w:t>
      </w:r>
      <w:r w:rsidRPr="00D92C04">
        <w:t>1 include time</w:t>
      </w:r>
      <w:r w:rsidR="004202BE" w:rsidRPr="00D92C04">
        <w:t xml:space="preserve"> </w:t>
      </w:r>
      <w:r w:rsidRPr="00D92C04">
        <w:t xml:space="preserve">to response, overall survival, time to next treatment, change in </w:t>
      </w:r>
      <w:proofErr w:type="gramStart"/>
      <w:r w:rsidRPr="00D92C04">
        <w:t>quality of life</w:t>
      </w:r>
      <w:proofErr w:type="gramEnd"/>
      <w:r w:rsidRPr="00D92C04">
        <w:t xml:space="preserve"> measures and medical resource utilisation</w:t>
      </w:r>
    </w:p>
    <w:p w14:paraId="52A13675" w14:textId="145CB650" w:rsidR="00A53023" w:rsidRPr="00D92C04" w:rsidRDefault="00A53023" w:rsidP="00D27DB6">
      <w:pPr>
        <w:ind w:right="-427"/>
      </w:pPr>
      <w:r w:rsidRPr="00D92C04">
        <w:t>The primary endpoint was CR/VGPR (by IRC) based on the best overall response, analysed in the r/r analysis set in Cohort 1 (</w:t>
      </w:r>
      <w:r w:rsidR="000C1542">
        <w:rPr>
          <w:i/>
          <w:iCs/>
        </w:rPr>
        <w:t>MYD</w:t>
      </w:r>
      <w:r w:rsidR="000C04BD" w:rsidRPr="00D92C04">
        <w:rPr>
          <w:i/>
          <w:iCs/>
        </w:rPr>
        <w:t>88</w:t>
      </w:r>
      <w:r w:rsidR="000C04BD" w:rsidRPr="00FD6EAB">
        <w:rPr>
          <w:i/>
          <w:iCs/>
          <w:vertAlign w:val="superscript"/>
        </w:rPr>
        <w:t>mut</w:t>
      </w:r>
      <w:r w:rsidRPr="00D92C04">
        <w:t>) conducted approximately 12 months after the assignment of the last r/r patient, and 92% of the r/r analysis population had ≥</w:t>
      </w:r>
      <w:r w:rsidR="004202BE" w:rsidRPr="00D92C04">
        <w:t> </w:t>
      </w:r>
      <w:r w:rsidRPr="00D92C04">
        <w:t>15</w:t>
      </w:r>
      <w:r w:rsidR="004202BE" w:rsidRPr="00D92C04">
        <w:t> </w:t>
      </w:r>
      <w:r w:rsidRPr="00D92C04">
        <w:t>months follow up.</w:t>
      </w:r>
    </w:p>
    <w:p w14:paraId="0DB3078A" w14:textId="0D0DB3F6" w:rsidR="00A53023" w:rsidRPr="00D92C04" w:rsidRDefault="00A53023" w:rsidP="00A53023">
      <w:r w:rsidRPr="00D92C04">
        <w:lastRenderedPageBreak/>
        <w:t xml:space="preserve">The primary endpoint, VGPR/CR in the relapsed/refractory population in Cohort 1 by IRC was 19.8% and 28.9% in the ibrutinib and zanubrutinib treatment arms, respectively, with an estimated difference adjusted for the stratification factors and age group was 10.7% </w:t>
      </w:r>
      <w:r w:rsidR="00D572E3" w:rsidRPr="00D92C04">
        <w:t>(</w:t>
      </w:r>
      <w:r w:rsidRPr="00D92C04">
        <w:t>95% CI: -2.5, 23.9), p</w:t>
      </w:r>
      <w:r w:rsidR="004202BE" w:rsidRPr="00D92C04">
        <w:t xml:space="preserve"> </w:t>
      </w:r>
      <w:r w:rsidRPr="00D92C04">
        <w:t>=</w:t>
      </w:r>
      <w:r w:rsidR="004202BE" w:rsidRPr="00D92C04">
        <w:t xml:space="preserve"> </w:t>
      </w:r>
      <w:r w:rsidRPr="00D92C04">
        <w:t>0.1160</w:t>
      </w:r>
      <w:r w:rsidR="00D572E3" w:rsidRPr="00D92C04">
        <w:t>)</w:t>
      </w:r>
      <w:r w:rsidRPr="00D92C04">
        <w:t>.</w:t>
      </w:r>
    </w:p>
    <w:p w14:paraId="2834F53A" w14:textId="435155CD" w:rsidR="00A53023" w:rsidRPr="00D92C04" w:rsidRDefault="00A53023" w:rsidP="00A53023">
      <w:r w:rsidRPr="00D92C04">
        <w:t xml:space="preserve">The same comparison for the overall Cohort 1 population was 19.2% and 28.4% in the ibrutinib and zanubrutinib treatment arms, respectively, with an adjusted risk difference of 10.2% </w:t>
      </w:r>
      <w:r w:rsidR="00D572E3" w:rsidRPr="00D92C04">
        <w:t>(</w:t>
      </w:r>
      <w:r w:rsidRPr="00D92C04">
        <w:t>95% CI: -1.5, 22.0), p</w:t>
      </w:r>
      <w:r w:rsidR="004202BE" w:rsidRPr="00D92C04">
        <w:t xml:space="preserve"> </w:t>
      </w:r>
      <w:r w:rsidRPr="00D92C04">
        <w:t>=</w:t>
      </w:r>
      <w:r w:rsidR="004202BE" w:rsidRPr="00D92C04">
        <w:t xml:space="preserve"> </w:t>
      </w:r>
      <w:r w:rsidRPr="00D92C04">
        <w:t>0.0921</w:t>
      </w:r>
      <w:r w:rsidR="00D572E3" w:rsidRPr="00D92C04">
        <w:t>)</w:t>
      </w:r>
      <w:r w:rsidRPr="00D92C04">
        <w:t>.</w:t>
      </w:r>
    </w:p>
    <w:p w14:paraId="12B07F79" w14:textId="5D4B9D02" w:rsidR="00A53023" w:rsidRPr="00D92C04" w:rsidRDefault="00A53023" w:rsidP="00A53023">
      <w:r w:rsidRPr="00D92C04">
        <w:t xml:space="preserve">A summary of the efficacy findings is included in </w:t>
      </w:r>
      <w:r w:rsidR="004202BE" w:rsidRPr="00D92C04">
        <w:fldChar w:fldCharType="begin"/>
      </w:r>
      <w:r w:rsidR="004202BE" w:rsidRPr="00D92C04">
        <w:instrText xml:space="preserve"> REF _Ref104469582 \h </w:instrText>
      </w:r>
      <w:r w:rsidR="009A7D73" w:rsidRPr="00D92C04">
        <w:instrText xml:space="preserve"> \* MERGEFORMAT </w:instrText>
      </w:r>
      <w:r w:rsidR="004202BE" w:rsidRPr="00D92C04">
        <w:fldChar w:fldCharType="separate"/>
      </w:r>
      <w:r w:rsidR="00376AF2" w:rsidRPr="00376AF2">
        <w:t xml:space="preserve">Table </w:t>
      </w:r>
      <w:r w:rsidR="00376AF2">
        <w:t>3</w:t>
      </w:r>
      <w:r w:rsidR="004202BE" w:rsidRPr="00D92C04">
        <w:fldChar w:fldCharType="end"/>
      </w:r>
      <w:r w:rsidRPr="00D92C04">
        <w:t>, below.</w:t>
      </w:r>
    </w:p>
    <w:p w14:paraId="181710CA" w14:textId="77777777" w:rsidR="00A53023" w:rsidRPr="00D92C04" w:rsidRDefault="00A53023" w:rsidP="00A53023">
      <w:r w:rsidRPr="00D92C04">
        <w:t>The results for the primary endpoint were similar using overall IgM only (by IRC) as compared to the overall combined assessments. Median duration of response was not reached for VGPR/CR.</w:t>
      </w:r>
    </w:p>
    <w:p w14:paraId="3A7CFD7E" w14:textId="4002D9C4" w:rsidR="00A53023" w:rsidRPr="00376AF2" w:rsidRDefault="00A53023" w:rsidP="00376AF2">
      <w:pPr>
        <w:pStyle w:val="TableTitle"/>
      </w:pPr>
      <w:bookmarkStart w:id="63" w:name="_Ref104469582"/>
      <w:r w:rsidRPr="00376AF2">
        <w:t xml:space="preserve">Table </w:t>
      </w:r>
      <w:fldSimple w:instr=" SEQ Table \* ARABIC ">
        <w:r w:rsidR="00376AF2">
          <w:rPr>
            <w:noProof/>
          </w:rPr>
          <w:t>3</w:t>
        </w:r>
      </w:fldSimple>
      <w:bookmarkEnd w:id="63"/>
      <w:r w:rsidR="009A7D73" w:rsidRPr="00376AF2">
        <w:t>:</w:t>
      </w:r>
      <w:r w:rsidRPr="00376AF2">
        <w:t xml:space="preserve"> </w:t>
      </w:r>
      <w:r w:rsidR="009A7D73" w:rsidRPr="00376AF2">
        <w:t>Study BGB-311</w:t>
      </w:r>
      <w:r w:rsidR="004E2E0C" w:rsidRPr="00376AF2">
        <w:t>1</w:t>
      </w:r>
      <w:r w:rsidR="009A7D73" w:rsidRPr="00376AF2">
        <w:t xml:space="preserve">-302 </w:t>
      </w:r>
      <w:r w:rsidRPr="00376AF2">
        <w:t xml:space="preserve">Efficacy </w:t>
      </w:r>
      <w:r w:rsidR="009A7D73" w:rsidRPr="00376AF2">
        <w:t>results, primary analysis, relapsed/refractory and overall population, overall combined response criteria</w:t>
      </w:r>
    </w:p>
    <w:p w14:paraId="7E190071" w14:textId="7D0A156F" w:rsidR="00510109" w:rsidRDefault="00510109" w:rsidP="00376AF2">
      <w:r>
        <w:rPr>
          <w:noProof/>
          <w:lang w:val="en-GB" w:eastAsia="en-GB"/>
        </w:rPr>
        <w:drawing>
          <wp:inline distT="0" distB="0" distL="0" distR="0" wp14:anchorId="4C1BCAD4" wp14:editId="041C7AD2">
            <wp:extent cx="5400040" cy="3408680"/>
            <wp:effectExtent l="0" t="0" r="0" b="1270"/>
            <wp:docPr id="1" name="Picture 1" descr="Table 3: Study BGB-3111-302 Efficacy results, primary analysis, relapsed/refractory and overall population, overall combined respons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 Study BGB-3111-302 Efficacy results, primary analysis, relapsed/refractory and overall population, overall combined response criteria"/>
                    <pic:cNvPicPr/>
                  </pic:nvPicPr>
                  <pic:blipFill>
                    <a:blip r:embed="rId17"/>
                    <a:stretch>
                      <a:fillRect/>
                    </a:stretch>
                  </pic:blipFill>
                  <pic:spPr>
                    <a:xfrm>
                      <a:off x="0" y="0"/>
                      <a:ext cx="5400040" cy="3408680"/>
                    </a:xfrm>
                    <a:prstGeom prst="rect">
                      <a:avLst/>
                    </a:prstGeom>
                  </pic:spPr>
                </pic:pic>
              </a:graphicData>
            </a:graphic>
          </wp:inline>
        </w:drawing>
      </w:r>
    </w:p>
    <w:p w14:paraId="4382C6F4" w14:textId="631DD8C4" w:rsidR="00510109" w:rsidRDefault="000C1542" w:rsidP="000551E0">
      <w:pPr>
        <w:pStyle w:val="TableDescription"/>
      </w:pPr>
      <w:r w:rsidRPr="000C1542">
        <w:t xml:space="preserve">Abbreviations: </w:t>
      </w:r>
      <w:r w:rsidR="00510109" w:rsidRPr="00510109">
        <w:t>CI</w:t>
      </w:r>
      <w:r w:rsidR="00510109">
        <w:t xml:space="preserve"> =</w:t>
      </w:r>
      <w:r w:rsidR="00510109" w:rsidRPr="00510109">
        <w:t xml:space="preserve"> confidence interval; </w:t>
      </w:r>
      <w:r w:rsidR="00423415">
        <w:t xml:space="preserve">CR = complete response; MR = minor response; </w:t>
      </w:r>
      <w:r w:rsidR="00510109" w:rsidRPr="00510109">
        <w:t>MRR</w:t>
      </w:r>
      <w:r w:rsidR="00510109">
        <w:t xml:space="preserve"> = </w:t>
      </w:r>
      <w:r w:rsidR="00510109" w:rsidRPr="00510109">
        <w:t xml:space="preserve">major response rate; </w:t>
      </w:r>
      <w:r w:rsidR="00423415">
        <w:t xml:space="preserve">N = population size, n = sample size; </w:t>
      </w:r>
      <w:r w:rsidR="00510109" w:rsidRPr="00510109">
        <w:t>NE</w:t>
      </w:r>
      <w:r w:rsidR="00510109">
        <w:t xml:space="preserve"> =</w:t>
      </w:r>
      <w:r w:rsidR="00510109" w:rsidRPr="00510109">
        <w:t xml:space="preserve"> not </w:t>
      </w:r>
      <w:r w:rsidR="00510109">
        <w:t>evaluable</w:t>
      </w:r>
      <w:r w:rsidR="00510109" w:rsidRPr="00510109">
        <w:t>; ORR</w:t>
      </w:r>
      <w:r w:rsidR="00510109">
        <w:t xml:space="preserve"> =</w:t>
      </w:r>
      <w:r w:rsidR="00510109" w:rsidRPr="00510109">
        <w:t xml:space="preserve"> overall response rate</w:t>
      </w:r>
      <w:r w:rsidR="00423415">
        <w:t xml:space="preserve">; PD = progressive disease; PR = partial response; SD = stable disease; </w:t>
      </w:r>
      <w:r w:rsidR="00510109">
        <w:t>VGPR = very good partial response</w:t>
      </w:r>
    </w:p>
    <w:p w14:paraId="73E367E8" w14:textId="77777777" w:rsidR="00510109" w:rsidRPr="00510109" w:rsidRDefault="00510109" w:rsidP="000551E0">
      <w:pPr>
        <w:pStyle w:val="TableDescription"/>
      </w:pPr>
      <w:r w:rsidRPr="00510109">
        <w:t>Percentages are based on N.</w:t>
      </w:r>
    </w:p>
    <w:p w14:paraId="7616237E" w14:textId="6A597709" w:rsidR="00510109" w:rsidRPr="00510109" w:rsidRDefault="00510109" w:rsidP="000551E0">
      <w:pPr>
        <w:pStyle w:val="TableDescription"/>
      </w:pPr>
      <w:r w:rsidRPr="00510109">
        <w:t xml:space="preserve">Cohort 1 includes patients with activating mutations in </w:t>
      </w:r>
      <w:r>
        <w:t>m</w:t>
      </w:r>
      <w:r w:rsidRPr="00510109">
        <w:t xml:space="preserve">yeloid differentiation primary response 88 gene </w:t>
      </w:r>
      <w:r>
        <w:t>(</w:t>
      </w:r>
      <w:r w:rsidRPr="00510109">
        <w:rPr>
          <w:i/>
          <w:iCs/>
        </w:rPr>
        <w:t>MYD88</w:t>
      </w:r>
      <w:r>
        <w:t>)</w:t>
      </w:r>
      <w:r w:rsidRPr="00510109">
        <w:t>.</w:t>
      </w:r>
    </w:p>
    <w:p w14:paraId="4A5C8E7C" w14:textId="77777777" w:rsidR="00510109" w:rsidRPr="00510109" w:rsidRDefault="00510109" w:rsidP="000551E0">
      <w:pPr>
        <w:pStyle w:val="TableDescription"/>
      </w:pPr>
      <w:r w:rsidRPr="00510109">
        <w:t xml:space="preserve">Cohort 2 includes patients with wild type and unknown </w:t>
      </w:r>
      <w:r w:rsidRPr="00510109">
        <w:rPr>
          <w:i/>
          <w:iCs/>
        </w:rPr>
        <w:t>MYD88</w:t>
      </w:r>
      <w:r w:rsidRPr="00510109">
        <w:t>.</w:t>
      </w:r>
    </w:p>
    <w:p w14:paraId="5BD312AC" w14:textId="63EE5B1E" w:rsidR="00510109" w:rsidRPr="00510109" w:rsidRDefault="00510109" w:rsidP="000551E0">
      <w:pPr>
        <w:pStyle w:val="TableDescription"/>
      </w:pPr>
      <w:proofErr w:type="spellStart"/>
      <w:r w:rsidRPr="00510109">
        <w:t>a</w:t>
      </w:r>
      <w:proofErr w:type="spellEnd"/>
      <w:r w:rsidRPr="00510109">
        <w:t xml:space="preserve"> Includes not estimable, unknown, and disease flare.</w:t>
      </w:r>
    </w:p>
    <w:p w14:paraId="4B803257" w14:textId="77777777" w:rsidR="00510109" w:rsidRPr="00510109" w:rsidRDefault="00510109" w:rsidP="000551E0">
      <w:pPr>
        <w:pStyle w:val="TableDescription"/>
      </w:pPr>
      <w:r w:rsidRPr="00510109">
        <w:t>b Includes patients who discontinued study prior to the first response assessment.</w:t>
      </w:r>
    </w:p>
    <w:p w14:paraId="101815FD" w14:textId="77777777" w:rsidR="00510109" w:rsidRPr="00510109" w:rsidRDefault="00510109" w:rsidP="000551E0">
      <w:pPr>
        <w:pStyle w:val="TableDescription"/>
      </w:pPr>
      <w:r w:rsidRPr="00510109">
        <w:t>c 95% CI is calculated using the Clopper-Pearson method.</w:t>
      </w:r>
    </w:p>
    <w:p w14:paraId="180D6CEC" w14:textId="508597AA" w:rsidR="00510109" w:rsidRPr="00510109" w:rsidRDefault="00510109" w:rsidP="000551E0">
      <w:pPr>
        <w:pStyle w:val="TableDescription"/>
      </w:pPr>
      <w:r w:rsidRPr="00510109">
        <w:t xml:space="preserve">d Mantel-Haenszel common risk difference with the 95% </w:t>
      </w:r>
      <w:r>
        <w:t>CI</w:t>
      </w:r>
      <w:r w:rsidRPr="00510109">
        <w:t xml:space="preserve"> calculated using a normal approximation and Sato's standard error stratified by the</w:t>
      </w:r>
      <w:r>
        <w:t xml:space="preserve"> </w:t>
      </w:r>
      <w:r w:rsidRPr="00510109">
        <w:t xml:space="preserve">stratification factors per IRT (strata </w:t>
      </w:r>
      <w:r w:rsidR="00423415" w:rsidRPr="00423415">
        <w:t xml:space="preserve">chemokine receptor </w:t>
      </w:r>
      <w:r w:rsidR="009B513C" w:rsidRPr="009B513C">
        <w:t xml:space="preserve">type </w:t>
      </w:r>
      <w:r w:rsidR="00423415" w:rsidRPr="00423415">
        <w:t>4</w:t>
      </w:r>
      <w:r w:rsidR="00423415">
        <w:t xml:space="preserve"> (</w:t>
      </w:r>
      <w:r w:rsidRPr="00423415">
        <w:rPr>
          <w:i/>
          <w:iCs/>
        </w:rPr>
        <w:t>CXCR4</w:t>
      </w:r>
      <w:r w:rsidR="00423415">
        <w:t>)</w:t>
      </w:r>
      <w:r w:rsidRPr="00510109">
        <w:t xml:space="preserve"> </w:t>
      </w:r>
      <w:r w:rsidR="00423415" w:rsidRPr="00510109">
        <w:t xml:space="preserve">wild type </w:t>
      </w:r>
      <w:r w:rsidRPr="00510109">
        <w:t xml:space="preserve">and </w:t>
      </w:r>
      <w:r w:rsidR="00423415" w:rsidRPr="00510109">
        <w:t xml:space="preserve">unknown </w:t>
      </w:r>
      <w:r w:rsidRPr="00510109">
        <w:t>are combined) and age group (</w:t>
      </w:r>
      <w:r w:rsidR="00423415">
        <w:t>≤</w:t>
      </w:r>
      <w:r w:rsidRPr="00510109">
        <w:t xml:space="preserve"> 65 and &gt; 65). Ibrutinib is the reference group.</w:t>
      </w:r>
    </w:p>
    <w:p w14:paraId="561845F1" w14:textId="047328C3" w:rsidR="00510109" w:rsidRPr="00510109" w:rsidRDefault="00510109" w:rsidP="000551E0">
      <w:pPr>
        <w:pStyle w:val="TableDescription"/>
      </w:pPr>
      <w:r w:rsidRPr="00510109">
        <w:t xml:space="preserve">e Based on </w:t>
      </w:r>
      <w:r w:rsidR="00423415" w:rsidRPr="00510109">
        <w:t xml:space="preserve">Cochran-Mantel-Haenszel </w:t>
      </w:r>
      <w:r w:rsidRPr="00510109">
        <w:t xml:space="preserve">test stratified by the stratification factors per IRT (strata </w:t>
      </w:r>
      <w:r w:rsidRPr="00423415">
        <w:rPr>
          <w:i/>
          <w:iCs/>
        </w:rPr>
        <w:t>CXCR4</w:t>
      </w:r>
      <w:r w:rsidRPr="00510109">
        <w:t xml:space="preserve"> </w:t>
      </w:r>
      <w:r w:rsidR="00423415" w:rsidRPr="00510109">
        <w:t xml:space="preserve">wild type </w:t>
      </w:r>
      <w:r w:rsidRPr="00510109">
        <w:t xml:space="preserve">and </w:t>
      </w:r>
      <w:r w:rsidR="00423415">
        <w:t>unknown</w:t>
      </w:r>
      <w:r w:rsidRPr="00510109">
        <w:t xml:space="preserve"> are combined) and age group (</w:t>
      </w:r>
      <w:r w:rsidR="00423415">
        <w:t>≤</w:t>
      </w:r>
      <w:r w:rsidRPr="00510109">
        <w:t xml:space="preserve"> 65 and &gt; 65).</w:t>
      </w:r>
    </w:p>
    <w:p w14:paraId="06E54434" w14:textId="093B8201" w:rsidR="00510109" w:rsidRPr="00510109" w:rsidRDefault="00510109" w:rsidP="000551E0">
      <w:pPr>
        <w:pStyle w:val="TableDescription"/>
      </w:pPr>
      <w:r w:rsidRPr="00510109">
        <w:lastRenderedPageBreak/>
        <w:t>Data cut</w:t>
      </w:r>
      <w:r w:rsidR="00423415">
        <w:t>-</w:t>
      </w:r>
      <w:r w:rsidRPr="00510109">
        <w:t>off: 31</w:t>
      </w:r>
      <w:r w:rsidR="00423415">
        <w:t xml:space="preserve"> August </w:t>
      </w:r>
      <w:r w:rsidRPr="00510109">
        <w:t>2019</w:t>
      </w:r>
      <w:r w:rsidR="00423415">
        <w:t>.</w:t>
      </w:r>
    </w:p>
    <w:p w14:paraId="209B353F" w14:textId="22A32529" w:rsidR="00A53023" w:rsidRPr="00D92C04" w:rsidRDefault="00A53023" w:rsidP="00A53023">
      <w:r w:rsidRPr="00D92C04">
        <w:t>The key secondary endpoint was a non-inferiority comparison of MRR</w:t>
      </w:r>
      <w:r w:rsidR="00492336" w:rsidRPr="00D92C04">
        <w:t xml:space="preserve"> (</w:t>
      </w:r>
      <w:r w:rsidR="00CF6B35" w:rsidRPr="00D92C04">
        <w:t xml:space="preserve">partial response </w:t>
      </w:r>
      <w:r w:rsidRPr="00D92C04">
        <w:t xml:space="preserve">or better). In the r/r population of Cohort 1 the risk difference for zanubrutinib </w:t>
      </w:r>
      <w:r w:rsidR="00A84BF6" w:rsidRPr="00D92C04">
        <w:t>versus</w:t>
      </w:r>
      <w:r w:rsidRPr="00D92C04">
        <w:t xml:space="preserve"> ibrutinib was -3.5% (95% CI: -16.0%, 9.0%) and for the overall population -0.5% (95% CI: -12.2%, 11.1%).</w:t>
      </w:r>
    </w:p>
    <w:p w14:paraId="7D56685B" w14:textId="2ACE64A2" w:rsidR="00A53023" w:rsidRPr="00D92C04" w:rsidRDefault="00A53023" w:rsidP="00A53023">
      <w:r w:rsidRPr="00D92C04">
        <w:t xml:space="preserve">Per investigator assessment, the VGPR/CR results were </w:t>
      </w:r>
      <w:proofErr w:type="gramStart"/>
      <w:r w:rsidRPr="00D92C04">
        <w:t>similar to</w:t>
      </w:r>
      <w:proofErr w:type="gramEnd"/>
      <w:r w:rsidRPr="00D92C04">
        <w:t xml:space="preserve"> IRC in both Cohort 1 and Cohort 2:</w:t>
      </w:r>
    </w:p>
    <w:p w14:paraId="76EE6D48" w14:textId="5D816D56" w:rsidR="00A53023" w:rsidRPr="00D92C04" w:rsidRDefault="00A53023" w:rsidP="00A53023">
      <w:pPr>
        <w:pStyle w:val="ListBullet"/>
      </w:pPr>
      <w:r w:rsidRPr="00D92C04">
        <w:t xml:space="preserve">Cohort 1 r/r population: zanubrutinib 28.9% </w:t>
      </w:r>
      <w:r w:rsidR="00A84BF6" w:rsidRPr="00D92C04">
        <w:t>versus</w:t>
      </w:r>
      <w:r w:rsidRPr="00D92C04">
        <w:t xml:space="preserve"> ibrutinib 17.3% (risk difference 12.9%, 95% CI: 0%, 25.9%).</w:t>
      </w:r>
    </w:p>
    <w:p w14:paraId="33E357AC" w14:textId="12333CC0" w:rsidR="00A53023" w:rsidRPr="00D92C04" w:rsidRDefault="00A53023" w:rsidP="00A53023">
      <w:pPr>
        <w:pStyle w:val="ListBullet"/>
      </w:pPr>
      <w:r w:rsidRPr="00D92C04">
        <w:t xml:space="preserve">Cohort 1 overall population: zanubrutinib 28.4% </w:t>
      </w:r>
      <w:r w:rsidR="00A84BF6" w:rsidRPr="00D92C04">
        <w:t>versus</w:t>
      </w:r>
      <w:r w:rsidRPr="00D92C04">
        <w:t xml:space="preserve"> ibrutinib 17.2% (risk difference 12.1%, 95% CI: 0.5, 23.7; nominal p</w:t>
      </w:r>
      <w:r w:rsidR="00CF6B35" w:rsidRPr="00D92C04">
        <w:t xml:space="preserve"> </w:t>
      </w:r>
      <w:r w:rsidRPr="00D92C04">
        <w:t>=</w:t>
      </w:r>
      <w:r w:rsidR="00CF6B35" w:rsidRPr="00D92C04">
        <w:t xml:space="preserve"> </w:t>
      </w:r>
      <w:r w:rsidRPr="00D92C04">
        <w:t>0.0437).</w:t>
      </w:r>
    </w:p>
    <w:p w14:paraId="33A72658" w14:textId="52AE5D80" w:rsidR="00A53023" w:rsidRPr="00D92C04" w:rsidRDefault="00A53023" w:rsidP="00A53023">
      <w:pPr>
        <w:pStyle w:val="ListBullet"/>
      </w:pPr>
      <w:r w:rsidRPr="00D92C04">
        <w:t>Cohort 2 overall combined response r/r population 33.3%, overall population 26.9%</w:t>
      </w:r>
      <w:r w:rsidR="00CF6B35" w:rsidRPr="00D92C04">
        <w:t>.</w:t>
      </w:r>
    </w:p>
    <w:p w14:paraId="2E76D509" w14:textId="2408FC82" w:rsidR="00A53023" w:rsidRPr="00D92C04" w:rsidRDefault="00A53023" w:rsidP="00A53023">
      <w:r w:rsidRPr="00D92C04">
        <w:t>Median progression</w:t>
      </w:r>
      <w:r w:rsidR="000C1542">
        <w:t>-</w:t>
      </w:r>
      <w:r w:rsidRPr="00D92C04">
        <w:t>free survival had not been reached. In the overall analysis for Cohort</w:t>
      </w:r>
      <w:r w:rsidR="00CF6B35" w:rsidRPr="00D92C04">
        <w:t> </w:t>
      </w:r>
      <w:r w:rsidRPr="00D92C04">
        <w:t>1, event</w:t>
      </w:r>
      <w:r w:rsidR="00CF6B35" w:rsidRPr="00D92C04">
        <w:t xml:space="preserve"> </w:t>
      </w:r>
      <w:r w:rsidRPr="00D92C04">
        <w:t xml:space="preserve">free rate at 12 months was 87.2% (95% CI: 78.6%, 92.5%) </w:t>
      </w:r>
      <w:r w:rsidR="00A84BF6" w:rsidRPr="00D92C04">
        <w:t>versus</w:t>
      </w:r>
      <w:r w:rsidRPr="00D92C04">
        <w:t xml:space="preserve"> 89.7% (95% CI: 81.7% </w:t>
      </w:r>
      <w:r w:rsidR="00A84BF6" w:rsidRPr="00D92C04">
        <w:t>versus</w:t>
      </w:r>
      <w:r w:rsidRPr="00D92C04">
        <w:t xml:space="preserve"> 94.3%) and at 24 months was 81.5% (95% CI: 71.1%, 88.5%) </w:t>
      </w:r>
      <w:r w:rsidR="00A84BF6" w:rsidRPr="00D92C04">
        <w:t>versus</w:t>
      </w:r>
      <w:r w:rsidRPr="00D92C04">
        <w:t xml:space="preserve"> 79.4% (95% CI: 62.2%, 88.0%) for ibrutinib and zanubrutinib, respectively.</w:t>
      </w:r>
    </w:p>
    <w:p w14:paraId="1FD796A9" w14:textId="4C7C1CF4" w:rsidR="00A53023" w:rsidRPr="00D92C04" w:rsidRDefault="00A53023" w:rsidP="00A53023">
      <w:r w:rsidRPr="00D92C04">
        <w:t xml:space="preserve">Overall survival was exploratory and for Cohort 1 in the overall analysis at 12 months was 93.9% (95% CI: 86.8%, 97.2%) </w:t>
      </w:r>
      <w:r w:rsidR="00A84BF6" w:rsidRPr="00D92C04">
        <w:t>versus</w:t>
      </w:r>
      <w:r w:rsidRPr="00D92C04">
        <w:t xml:space="preserve"> 97.0% (95% CI: 90.9% </w:t>
      </w:r>
      <w:r w:rsidR="00A84BF6" w:rsidRPr="00D92C04">
        <w:t>versus</w:t>
      </w:r>
      <w:r w:rsidRPr="00D92C04">
        <w:t xml:space="preserve"> 99.0%) and at 24</w:t>
      </w:r>
      <w:r w:rsidR="00CF6B35" w:rsidRPr="00D92C04">
        <w:t> </w:t>
      </w:r>
      <w:r w:rsidRPr="00D92C04">
        <w:t xml:space="preserve">months was 91.0% (95% CI: 82.5%, 95.5%) </w:t>
      </w:r>
      <w:r w:rsidR="00A84BF6" w:rsidRPr="00D92C04">
        <w:t>versus</w:t>
      </w:r>
      <w:r w:rsidRPr="00D92C04">
        <w:t xml:space="preserve"> 89.5% (95% CI: 76.4%, 95.5%) for ibrutinib and zanubrutinib, respectively.</w:t>
      </w:r>
    </w:p>
    <w:p w14:paraId="2CBB8373" w14:textId="3075B98B" w:rsidR="00A53023" w:rsidRDefault="000C04BD" w:rsidP="00A53023">
      <w:r w:rsidRPr="00D92C04">
        <w:t>Immunoglobulin M</w:t>
      </w:r>
      <w:r w:rsidR="00A53023" w:rsidRPr="00D92C04">
        <w:t xml:space="preserve"> measured over the course of the study was similar for ibrutinib and </w:t>
      </w:r>
      <w:proofErr w:type="spellStart"/>
      <w:r w:rsidR="00A53023" w:rsidRPr="00D92C04">
        <w:t>zanubrutinib</w:t>
      </w:r>
      <w:proofErr w:type="spellEnd"/>
      <w:r w:rsidR="00A53023" w:rsidRPr="00D92C04">
        <w:t xml:space="preserve"> (</w:t>
      </w:r>
      <w:r w:rsidR="00423415">
        <w:fldChar w:fldCharType="begin"/>
      </w:r>
      <w:r w:rsidR="00423415">
        <w:instrText xml:space="preserve"> REF _Ref105001134 \h </w:instrText>
      </w:r>
      <w:r w:rsidR="00423415">
        <w:fldChar w:fldCharType="separate"/>
      </w:r>
      <w:r w:rsidR="00376AF2" w:rsidRPr="00376AF2">
        <w:t xml:space="preserve">Figure </w:t>
      </w:r>
      <w:r w:rsidR="00376AF2">
        <w:rPr>
          <w:noProof/>
        </w:rPr>
        <w:t>4</w:t>
      </w:r>
      <w:r w:rsidR="00423415">
        <w:fldChar w:fldCharType="end"/>
      </w:r>
      <w:r w:rsidR="00423415">
        <w:t>).</w:t>
      </w:r>
    </w:p>
    <w:p w14:paraId="0E938B2D" w14:textId="367C7582" w:rsidR="00423415" w:rsidRPr="00376AF2" w:rsidRDefault="00423415" w:rsidP="00376AF2">
      <w:pPr>
        <w:pStyle w:val="FigureTitle"/>
      </w:pPr>
      <w:bookmarkStart w:id="64" w:name="_Ref105001134"/>
      <w:r w:rsidRPr="00376AF2">
        <w:t xml:space="preserve">Figure </w:t>
      </w:r>
      <w:fldSimple w:instr=" SEQ Figure \* ARABIC ">
        <w:r w:rsidR="00376AF2">
          <w:rPr>
            <w:noProof/>
          </w:rPr>
          <w:t>4</w:t>
        </w:r>
      </w:fldSimple>
      <w:bookmarkEnd w:id="64"/>
      <w:r w:rsidRPr="00376AF2">
        <w:t>: Study BGB-311</w:t>
      </w:r>
      <w:r w:rsidR="004E2E0C" w:rsidRPr="00376AF2">
        <w:t>1</w:t>
      </w:r>
      <w:r w:rsidRPr="00376AF2">
        <w:t>-302 Changes in serum immunoglobulin M over time Cohort 1 overall analysis</w:t>
      </w:r>
    </w:p>
    <w:p w14:paraId="163F12EE" w14:textId="41B536B1" w:rsidR="00423415" w:rsidRDefault="00423415" w:rsidP="00376AF2">
      <w:r>
        <w:rPr>
          <w:noProof/>
          <w:lang w:val="en-GB" w:eastAsia="en-GB"/>
        </w:rPr>
        <w:drawing>
          <wp:inline distT="0" distB="0" distL="0" distR="0" wp14:anchorId="4BE9990A" wp14:editId="6A4370A7">
            <wp:extent cx="5400040" cy="2154392"/>
            <wp:effectExtent l="0" t="0" r="0" b="0"/>
            <wp:docPr id="65" name="Picture 65" descr="Figure 4: Study BGB-3111-302 Changes in serum immunoglobulin M over time Cohort 1 overa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4: Study BGB-3111-302 Changes in serum immunoglobulin M over time Cohort 1 overall analysis"/>
                    <pic:cNvPicPr/>
                  </pic:nvPicPr>
                  <pic:blipFill>
                    <a:blip r:embed="rId18"/>
                    <a:stretch>
                      <a:fillRect/>
                    </a:stretch>
                  </pic:blipFill>
                  <pic:spPr>
                    <a:xfrm>
                      <a:off x="0" y="0"/>
                      <a:ext cx="5400040" cy="2154392"/>
                    </a:xfrm>
                    <a:prstGeom prst="rect">
                      <a:avLst/>
                    </a:prstGeom>
                  </pic:spPr>
                </pic:pic>
              </a:graphicData>
            </a:graphic>
          </wp:inline>
        </w:drawing>
      </w:r>
    </w:p>
    <w:p w14:paraId="5FFFFCCA" w14:textId="2BE5EAE4" w:rsidR="00423415" w:rsidRPr="00376AF2" w:rsidRDefault="000C1542" w:rsidP="00376AF2">
      <w:pPr>
        <w:pStyle w:val="FigureDescription"/>
      </w:pPr>
      <w:r w:rsidRPr="00376AF2">
        <w:t xml:space="preserve">Abbreviation: </w:t>
      </w:r>
      <w:r w:rsidR="00423415" w:rsidRPr="00376AF2">
        <w:t>IgM = immunoglobulin M.</w:t>
      </w:r>
    </w:p>
    <w:p w14:paraId="30AE9324" w14:textId="64CA1465" w:rsidR="00A53023" w:rsidRPr="00D92C04" w:rsidRDefault="00A53023" w:rsidP="00A53023">
      <w:r w:rsidRPr="00D92C04">
        <w:t xml:space="preserve">A </w:t>
      </w:r>
      <w:r w:rsidRPr="00D92C04">
        <w:rPr>
          <w:i/>
          <w:iCs/>
        </w:rPr>
        <w:t>post</w:t>
      </w:r>
      <w:r w:rsidR="00CF6B35" w:rsidRPr="00D92C04">
        <w:rPr>
          <w:i/>
          <w:iCs/>
        </w:rPr>
        <w:t xml:space="preserve"> </w:t>
      </w:r>
      <w:r w:rsidRPr="00D92C04">
        <w:rPr>
          <w:i/>
          <w:iCs/>
        </w:rPr>
        <w:t>hoc</w:t>
      </w:r>
      <w:r w:rsidRPr="00D92C04">
        <w:t xml:space="preserve"> non-inferiority comparison for the primary analysis (VPFR/CR by IRC) using a margin of -4.5% revealed the lower bound of the 95% CI for the r/r population and overall population of Cohort 1 was within this boundary.</w:t>
      </w:r>
    </w:p>
    <w:p w14:paraId="344FA70B" w14:textId="5AE4AE89" w:rsidR="00A53023" w:rsidRPr="00D92C04" w:rsidRDefault="00A53023" w:rsidP="009A6514">
      <w:pPr>
        <w:pStyle w:val="Heading6"/>
      </w:pPr>
      <w:r w:rsidRPr="00D92C04">
        <w:t>Updated efficacy</w:t>
      </w:r>
      <w:r w:rsidR="000C1542">
        <w:t xml:space="preserve"> data</w:t>
      </w:r>
    </w:p>
    <w:p w14:paraId="6EC8181A" w14:textId="77777777" w:rsidR="00A53023" w:rsidRPr="00D92C04" w:rsidRDefault="00A53023" w:rsidP="00A53023">
      <w:r w:rsidRPr="00D92C04">
        <w:t>The updated efficacy analysis from the August 2020 data cut was presented similarly to the primary analysis. At the time of analysis, 66.7% of the ibrutinib and 74.5 % of the zanubrutinib patients remained on treatment in Cohort 1. There were no CRs in either treatment group.</w:t>
      </w:r>
    </w:p>
    <w:p w14:paraId="0D5185C0" w14:textId="6D79D205" w:rsidR="00A53023" w:rsidRPr="00D92C04" w:rsidRDefault="000C04BD" w:rsidP="00A53023">
      <w:r w:rsidRPr="00D92C04">
        <w:lastRenderedPageBreak/>
        <w:t>Very good partial response (</w:t>
      </w:r>
      <w:r w:rsidR="00A53023" w:rsidRPr="00D92C04">
        <w:t>VGPR</w:t>
      </w:r>
      <w:r w:rsidRPr="00D92C04">
        <w:t>)</w:t>
      </w:r>
      <w:r w:rsidR="00A53023" w:rsidRPr="00D92C04">
        <w:t xml:space="preserve"> or CR (by </w:t>
      </w:r>
      <w:r w:rsidR="00B45866" w:rsidRPr="00D92C04">
        <w:t>investigator</w:t>
      </w:r>
      <w:r w:rsidR="00A53023" w:rsidRPr="00D92C04">
        <w:t xml:space="preserve"> per overall combined assessment):</w:t>
      </w:r>
    </w:p>
    <w:p w14:paraId="0B84C43C" w14:textId="377D5C08" w:rsidR="00A53023" w:rsidRPr="00D92C04" w:rsidRDefault="00A53023" w:rsidP="00A53023">
      <w:pPr>
        <w:pStyle w:val="ListBullet"/>
      </w:pPr>
      <w:r w:rsidRPr="00D92C04">
        <w:t xml:space="preserve">Cohort 1 r/r population: 21.0% ibrutinib </w:t>
      </w:r>
      <w:r w:rsidR="00A84BF6" w:rsidRPr="00D92C04">
        <w:t>versus</w:t>
      </w:r>
      <w:r w:rsidRPr="00D92C04">
        <w:t xml:space="preserve"> 33.7% zanubrutinib. Risk difference 14.3% (95%CI: 0.6%, 27.9%)</w:t>
      </w:r>
      <w:r w:rsidR="00CF6B35" w:rsidRPr="00D92C04">
        <w:t>.</w:t>
      </w:r>
    </w:p>
    <w:p w14:paraId="7F68EF16" w14:textId="5F40639D" w:rsidR="00A53023" w:rsidRPr="00D92C04" w:rsidRDefault="00A53023" w:rsidP="00A53023">
      <w:pPr>
        <w:pStyle w:val="ListBullet"/>
      </w:pPr>
      <w:r w:rsidRPr="00D92C04">
        <w:t xml:space="preserve">Cohort 1 overall population: 20.2% ibrutinib </w:t>
      </w:r>
      <w:r w:rsidR="00A84BF6" w:rsidRPr="00D92C04">
        <w:t>versus</w:t>
      </w:r>
      <w:r w:rsidRPr="00D92C04">
        <w:t xml:space="preserve"> 33.3% zanubrutinib. Risk difference 14.2% (95%CI: 2.0%, 26.4%)</w:t>
      </w:r>
      <w:r w:rsidR="00CF6B35" w:rsidRPr="00D92C04">
        <w:t>.</w:t>
      </w:r>
    </w:p>
    <w:p w14:paraId="77A90F28" w14:textId="443A6D87" w:rsidR="00A53023" w:rsidRPr="00D92C04" w:rsidRDefault="00A53023" w:rsidP="00A53023">
      <w:pPr>
        <w:pStyle w:val="ListBullet"/>
      </w:pPr>
      <w:r w:rsidRPr="00D92C04">
        <w:t>Cohort 2: 30.8% (95%CI: 14.3%, 51.8%)</w:t>
      </w:r>
      <w:r w:rsidR="00CF6B35" w:rsidRPr="00D92C04">
        <w:t>.</w:t>
      </w:r>
    </w:p>
    <w:p w14:paraId="2BB76E97" w14:textId="23715AD0" w:rsidR="00A53023" w:rsidRPr="00D92C04" w:rsidRDefault="00A53023" w:rsidP="00A53023">
      <w:r w:rsidRPr="00D92C04">
        <w:t xml:space="preserve">Median </w:t>
      </w:r>
      <w:r w:rsidR="00CF6B35" w:rsidRPr="00D92C04">
        <w:t xml:space="preserve">duration of response </w:t>
      </w:r>
      <w:r w:rsidRPr="00D92C04">
        <w:t>was not yet reached.</w:t>
      </w:r>
    </w:p>
    <w:p w14:paraId="371A507A" w14:textId="533A980A" w:rsidR="00A53023" w:rsidRPr="00D92C04" w:rsidRDefault="000C04BD" w:rsidP="00A53023">
      <w:r w:rsidRPr="00D92C04">
        <w:t>Major response rate (</w:t>
      </w:r>
      <w:r w:rsidR="00A53023" w:rsidRPr="00D92C04">
        <w:t>MRR</w:t>
      </w:r>
      <w:r w:rsidRPr="00D92C04">
        <w:t>)</w:t>
      </w:r>
      <w:r w:rsidR="00A53023" w:rsidRPr="00D92C04">
        <w:t xml:space="preserve"> (by </w:t>
      </w:r>
      <w:r w:rsidR="00B45866" w:rsidRPr="00D92C04">
        <w:t>investigator</w:t>
      </w:r>
      <w:r w:rsidR="00A53023" w:rsidRPr="00D92C04">
        <w:t xml:space="preserve"> per overall combined assessment, risk difference):</w:t>
      </w:r>
    </w:p>
    <w:p w14:paraId="078E25F3" w14:textId="71F5E287" w:rsidR="00A53023" w:rsidRPr="00D92C04" w:rsidRDefault="00A53023" w:rsidP="00A53023">
      <w:pPr>
        <w:pStyle w:val="ListBullet"/>
      </w:pPr>
      <w:r w:rsidRPr="00D92C04">
        <w:t xml:space="preserve">Cohort 1 r/r population: 80.2% ibrutinib </w:t>
      </w:r>
      <w:r w:rsidR="00A84BF6" w:rsidRPr="00D92C04">
        <w:t>versus</w:t>
      </w:r>
      <w:r w:rsidRPr="00D92C04">
        <w:t xml:space="preserve"> 78.3% zanubrutinib. Risk difference </w:t>
      </w:r>
      <w:r w:rsidR="00CF6B35" w:rsidRPr="00D92C04">
        <w:noBreakHyphen/>
      </w:r>
      <w:r w:rsidRPr="00D92C04">
        <w:t>4.2% (95%CI: -16.6%, 8.3%)</w:t>
      </w:r>
      <w:r w:rsidR="00CF6B35" w:rsidRPr="00D92C04">
        <w:t>.</w:t>
      </w:r>
    </w:p>
    <w:p w14:paraId="735295A5" w14:textId="2BF37FF9" w:rsidR="00A53023" w:rsidRPr="00D92C04" w:rsidRDefault="00A53023" w:rsidP="00A53023">
      <w:pPr>
        <w:pStyle w:val="ListBullet"/>
      </w:pPr>
      <w:r w:rsidRPr="00D92C04">
        <w:t xml:space="preserve">Cohort 1 overall population: 20.2% ibrutinib </w:t>
      </w:r>
      <w:r w:rsidR="00A84BF6" w:rsidRPr="00D92C04">
        <w:t>versus</w:t>
      </w:r>
      <w:r w:rsidRPr="00D92C04">
        <w:t xml:space="preserve"> 33.3% zanubrutinib. Risk difference 1.0% (95%CI: -10.6%, 12.5%)</w:t>
      </w:r>
      <w:r w:rsidR="00CF6B35" w:rsidRPr="00D92C04">
        <w:t>.</w:t>
      </w:r>
    </w:p>
    <w:p w14:paraId="4243C7E3" w14:textId="01003DB9" w:rsidR="00A53023" w:rsidRPr="00D92C04" w:rsidRDefault="00A53023" w:rsidP="00A53023">
      <w:pPr>
        <w:pStyle w:val="ListBullet"/>
      </w:pPr>
      <w:r w:rsidRPr="00D92C04">
        <w:t>Cohort 2: 53.8% (95%CI: 33.4%, 73.4%)</w:t>
      </w:r>
      <w:r w:rsidR="00CF6B35" w:rsidRPr="00D92C04">
        <w:t>.</w:t>
      </w:r>
    </w:p>
    <w:p w14:paraId="3D582D80" w14:textId="2440D589" w:rsidR="00A53023" w:rsidRPr="00D92C04" w:rsidRDefault="00CF6B35" w:rsidP="00A53023">
      <w:r w:rsidRPr="00D92C04">
        <w:t>Overall response rate</w:t>
      </w:r>
      <w:r w:rsidR="00A53023" w:rsidRPr="00D92C04">
        <w:t xml:space="preserve"> (by </w:t>
      </w:r>
      <w:r w:rsidR="00B45866" w:rsidRPr="00D92C04">
        <w:t>investigator</w:t>
      </w:r>
      <w:r w:rsidR="00A53023" w:rsidRPr="00D92C04">
        <w:t xml:space="preserve"> per overall combined assessment):</w:t>
      </w:r>
    </w:p>
    <w:p w14:paraId="7AD65FC3" w14:textId="27EB6C91" w:rsidR="00A53023" w:rsidRPr="00D92C04" w:rsidRDefault="00A53023" w:rsidP="00A53023">
      <w:pPr>
        <w:pStyle w:val="ListBullet"/>
      </w:pPr>
      <w:r w:rsidRPr="00D92C04">
        <w:t xml:space="preserve">Cohort 1 r/r population: 95.1% ibrutinib </w:t>
      </w:r>
      <w:r w:rsidR="00A84BF6" w:rsidRPr="00D92C04">
        <w:t>versus</w:t>
      </w:r>
      <w:r w:rsidRPr="00D92C04">
        <w:t xml:space="preserve"> 94.0% zanubrutinib.</w:t>
      </w:r>
    </w:p>
    <w:p w14:paraId="0D24BAFF" w14:textId="4E6B011B" w:rsidR="00A53023" w:rsidRPr="00D92C04" w:rsidRDefault="00A53023" w:rsidP="00A53023">
      <w:pPr>
        <w:pStyle w:val="ListBullet"/>
      </w:pPr>
      <w:r w:rsidRPr="00D92C04">
        <w:t xml:space="preserve">Cohort 1 overall population: 93.9% ibrutinib </w:t>
      </w:r>
      <w:r w:rsidR="00A84BF6" w:rsidRPr="00D92C04">
        <w:t>versus</w:t>
      </w:r>
      <w:r w:rsidRPr="00D92C04">
        <w:t xml:space="preserve"> 95.1% zanubrutinib.</w:t>
      </w:r>
    </w:p>
    <w:p w14:paraId="5526858D" w14:textId="77777777" w:rsidR="00A53023" w:rsidRPr="00D92C04" w:rsidRDefault="00A53023" w:rsidP="00A53023">
      <w:pPr>
        <w:pStyle w:val="ListBullet"/>
      </w:pPr>
      <w:r w:rsidRPr="00D92C04">
        <w:t>Cohort 2: 80.8% (95%CI: 60.6%, 93.4%)</w:t>
      </w:r>
    </w:p>
    <w:p w14:paraId="41DE65EA" w14:textId="3845A676" w:rsidR="00A53023" w:rsidRPr="00D92C04" w:rsidRDefault="00A53023" w:rsidP="00951405">
      <w:pPr>
        <w:pStyle w:val="Heading5"/>
      </w:pPr>
      <w:r w:rsidRPr="00D92C04">
        <w:t xml:space="preserve">Study </w:t>
      </w:r>
      <w:r w:rsidR="00F52A8A" w:rsidRPr="00D92C04">
        <w:t>BGB-311</w:t>
      </w:r>
      <w:r w:rsidR="004E2E0C">
        <w:t>1</w:t>
      </w:r>
      <w:r w:rsidR="00F52A8A" w:rsidRPr="00D92C04">
        <w:t>-AU-003</w:t>
      </w:r>
    </w:p>
    <w:p w14:paraId="0BF886DF" w14:textId="12B2D208" w:rsidR="00A53023" w:rsidRPr="00D92C04" w:rsidRDefault="00A53023" w:rsidP="00A53023">
      <w:r w:rsidRPr="00D92C04">
        <w:t xml:space="preserve">This </w:t>
      </w:r>
      <w:r w:rsidR="00795708" w:rsidRPr="00D92C04">
        <w:t>Phase</w:t>
      </w:r>
      <w:r w:rsidRPr="00D92C04">
        <w:t xml:space="preserve"> </w:t>
      </w:r>
      <w:r w:rsidR="00795708" w:rsidRPr="00D92C04">
        <w:t>I</w:t>
      </w:r>
      <w:r w:rsidRPr="00D92C04">
        <w:t>/</w:t>
      </w:r>
      <w:r w:rsidR="00795708" w:rsidRPr="00D92C04">
        <w:t>II</w:t>
      </w:r>
      <w:r w:rsidRPr="00D92C04">
        <w:t xml:space="preserve"> dose escalation and dose consolidation study of zanubrutinib in patients with B-</w:t>
      </w:r>
      <w:r w:rsidR="00D16502" w:rsidRPr="00D92C04">
        <w:t>c</w:t>
      </w:r>
      <w:r w:rsidRPr="00D92C04">
        <w:t xml:space="preserve">ell malignancies that included 78 patients with </w:t>
      </w:r>
      <w:proofErr w:type="spellStart"/>
      <w:r w:rsidR="000C1542">
        <w:t>Waldenstrom’s</w:t>
      </w:r>
      <w:proofErr w:type="spellEnd"/>
      <w:r w:rsidR="000C1542">
        <w:t xml:space="preserve"> </w:t>
      </w:r>
      <w:proofErr w:type="spellStart"/>
      <w:r w:rsidR="000C1542">
        <w:t>macroalbuminaemia</w:t>
      </w:r>
      <w:proofErr w:type="spellEnd"/>
      <w:r w:rsidR="000C1542">
        <w:t xml:space="preserve"> </w:t>
      </w:r>
      <w:r w:rsidR="00FD6EAB">
        <w:t>(</w:t>
      </w:r>
      <w:r w:rsidRPr="00D92C04">
        <w:t>WM</w:t>
      </w:r>
      <w:r w:rsidR="00FD6EAB">
        <w:t>)</w:t>
      </w:r>
      <w:r w:rsidRPr="00D92C04">
        <w:t xml:space="preserve"> including 54 patients with </w:t>
      </w:r>
      <w:r w:rsidR="000C1542">
        <w:t>relapsed or refractory (</w:t>
      </w:r>
      <w:r w:rsidRPr="00D92C04">
        <w:t>r/r</w:t>
      </w:r>
      <w:r w:rsidR="000C1542">
        <w:t>)</w:t>
      </w:r>
      <w:r w:rsidRPr="00D92C04">
        <w:t xml:space="preserve"> WM. Genotyping from 70/78 patients showed 52.6% had the </w:t>
      </w:r>
      <w:r w:rsidR="000C1542">
        <w:rPr>
          <w:i/>
          <w:iCs/>
        </w:rPr>
        <w:t>MYD</w:t>
      </w:r>
      <w:r w:rsidR="000C1542" w:rsidRPr="00D92C04">
        <w:rPr>
          <w:i/>
          <w:iCs/>
        </w:rPr>
        <w:t>88</w:t>
      </w:r>
      <w:r w:rsidR="000C1542" w:rsidRPr="00717109">
        <w:rPr>
          <w:i/>
          <w:iCs/>
          <w:vertAlign w:val="superscript"/>
        </w:rPr>
        <w:t>mut</w:t>
      </w:r>
      <w:r w:rsidRPr="00D92C04">
        <w:t>/</w:t>
      </w:r>
      <w:r w:rsidRPr="00D92C04">
        <w:rPr>
          <w:i/>
          <w:iCs/>
        </w:rPr>
        <w:t>CXCR4</w:t>
      </w:r>
      <w:r w:rsidRPr="00717109">
        <w:rPr>
          <w:i/>
          <w:iCs/>
          <w:vertAlign w:val="superscript"/>
        </w:rPr>
        <w:t>WT</w:t>
      </w:r>
      <w:r w:rsidRPr="00D92C04">
        <w:t xml:space="preserve"> genotype. The </w:t>
      </w:r>
      <w:r w:rsidR="00795708" w:rsidRPr="00D92C04">
        <w:t>Phase</w:t>
      </w:r>
      <w:r w:rsidRPr="00D92C04">
        <w:t xml:space="preserve"> </w:t>
      </w:r>
      <w:r w:rsidR="00795708" w:rsidRPr="00D92C04">
        <w:t>II</w:t>
      </w:r>
      <w:r w:rsidRPr="00D92C04">
        <w:t xml:space="preserve"> cohort expansion specifically recruited patients with r/r WM into Cohort 2d, and r/r WM and treatment</w:t>
      </w:r>
      <w:r w:rsidR="006E2E61">
        <w:t>-</w:t>
      </w:r>
      <w:r w:rsidRPr="00D92C04">
        <w:t>naïve patients who were unsuitable for standard chemotherapy into Cohort 2f. The median time from initial diagnosis to study time was 4.31</w:t>
      </w:r>
      <w:r w:rsidR="00D16502" w:rsidRPr="00D92C04">
        <w:t> </w:t>
      </w:r>
      <w:r w:rsidRPr="00D92C04">
        <w:t>years, the median number of prior therapies was 2, most commonly anti</w:t>
      </w:r>
      <w:r w:rsidR="000C1542">
        <w:t>-</w:t>
      </w:r>
      <w:r w:rsidRPr="00D92C04">
        <w:t xml:space="preserve">CD20 antibodies, alkylating </w:t>
      </w:r>
      <w:proofErr w:type="gramStart"/>
      <w:r w:rsidRPr="00D92C04">
        <w:t>agents</w:t>
      </w:r>
      <w:proofErr w:type="gramEnd"/>
      <w:r w:rsidRPr="00D92C04">
        <w:t xml:space="preserve"> and glucocorticoids.</w:t>
      </w:r>
    </w:p>
    <w:p w14:paraId="585AC9B7" w14:textId="07CBD0BC" w:rsidR="00A53023" w:rsidRPr="00D92C04" w:rsidRDefault="00A53023" w:rsidP="00A53023">
      <w:r w:rsidRPr="00D92C04">
        <w:t>The median treatment duration was 26 months for the total WM group and 28.8 months for the r/r</w:t>
      </w:r>
      <w:r w:rsidR="000C1542">
        <w:t xml:space="preserve"> WM</w:t>
      </w:r>
      <w:r w:rsidRPr="00D92C04">
        <w:t xml:space="preserve"> group. The starting dose of zanubrutinib was 160 mg </w:t>
      </w:r>
      <w:r w:rsidR="008C55DD" w:rsidRPr="00D92C04">
        <w:t>twice daily</w:t>
      </w:r>
      <w:r w:rsidRPr="00D92C04">
        <w:t xml:space="preserve"> in 68.5% and 320 mg </w:t>
      </w:r>
      <w:r w:rsidR="008C55DD" w:rsidRPr="00D92C04">
        <w:t>once daily</w:t>
      </w:r>
      <w:r w:rsidRPr="00D92C04">
        <w:t xml:space="preserve"> 24.1%. Median study follow-up was 30.3 months for the total WM group and 35.8 months for the r/r WM group.</w:t>
      </w:r>
    </w:p>
    <w:p w14:paraId="2DF94DDE" w14:textId="6C102471" w:rsidR="00A53023" w:rsidRPr="00D92C04" w:rsidRDefault="00A53023" w:rsidP="00A53023">
      <w:r w:rsidRPr="00D92C04">
        <w:t xml:space="preserve">Almost equal proportions of 31.5% of the r/r </w:t>
      </w:r>
      <w:r w:rsidR="000C1542">
        <w:t xml:space="preserve">WM population </w:t>
      </w:r>
      <w:r w:rsidRPr="00D92C04">
        <w:t>and 28.2% of the total WM population who discontinued did so due to adverse events and disease progression.</w:t>
      </w:r>
    </w:p>
    <w:p w14:paraId="502D1610" w14:textId="2FCA1EA2" w:rsidR="00A53023" w:rsidRPr="00D92C04" w:rsidRDefault="00A53023" w:rsidP="00A53023">
      <w:r w:rsidRPr="00D92C04">
        <w:t>Primary endpoint (data from patients who received ≥ 1 dose of zanubrutinib, had baseline IgM or M-protein ≥ 5 g/L and with no prior exposure to a BTK inhibitor, n</w:t>
      </w:r>
      <w:r w:rsidR="00D16502" w:rsidRPr="00D92C04">
        <w:t xml:space="preserve"> </w:t>
      </w:r>
      <w:r w:rsidRPr="00D92C04">
        <w:t>=</w:t>
      </w:r>
      <w:r w:rsidR="00D16502" w:rsidRPr="00D92C04">
        <w:t xml:space="preserve"> </w:t>
      </w:r>
      <w:r w:rsidRPr="00D92C04">
        <w:t>49) w</w:t>
      </w:r>
      <w:r w:rsidR="000C1542">
        <w:t>ith either a</w:t>
      </w:r>
      <w:r w:rsidRPr="00D92C04">
        <w:t xml:space="preserve"> </w:t>
      </w:r>
      <w:r w:rsidR="000C1542">
        <w:t>very good partial response (</w:t>
      </w:r>
      <w:r w:rsidRPr="00D92C04">
        <w:t>VG</w:t>
      </w:r>
      <w:r w:rsidR="000C1542">
        <w:t>P</w:t>
      </w:r>
      <w:r w:rsidRPr="00D92C04">
        <w:t>R</w:t>
      </w:r>
      <w:r w:rsidR="000C1542">
        <w:t>)</w:t>
      </w:r>
      <w:r w:rsidRPr="00D92C04">
        <w:t xml:space="preserve"> or </w:t>
      </w:r>
      <w:r w:rsidR="000C1542">
        <w:t>complete response (</w:t>
      </w:r>
      <w:r w:rsidRPr="00D92C04">
        <w:t>CR</w:t>
      </w:r>
      <w:r w:rsidR="000C1542">
        <w:t>)</w:t>
      </w:r>
      <w:r w:rsidRPr="00D92C04">
        <w:t>:</w:t>
      </w:r>
    </w:p>
    <w:p w14:paraId="6CB44A89" w14:textId="795D622A" w:rsidR="00A53023" w:rsidRPr="00D92C04" w:rsidRDefault="0038159E" w:rsidP="00A53023">
      <w:pPr>
        <w:pStyle w:val="ListBullet"/>
      </w:pPr>
      <w:r>
        <w:t xml:space="preserve">patients with </w:t>
      </w:r>
      <w:r w:rsidR="00A53023" w:rsidRPr="00D92C04">
        <w:t>VGPR or CR (total WM</w:t>
      </w:r>
      <w:r w:rsidR="000C1542">
        <w:t xml:space="preserve"> population</w:t>
      </w:r>
      <w:r w:rsidR="00A53023" w:rsidRPr="00D92C04">
        <w:t>)</w:t>
      </w:r>
      <w:r w:rsidR="000C1542">
        <w:t>:</w:t>
      </w:r>
      <w:r w:rsidR="00A53023" w:rsidRPr="00D92C04">
        <w:t xml:space="preserve"> 45.2% (95% CI: 33.5%, 57.3%)</w:t>
      </w:r>
      <w:r w:rsidR="00D16502" w:rsidRPr="00D92C04">
        <w:t>.</w:t>
      </w:r>
    </w:p>
    <w:p w14:paraId="5B9C6B18" w14:textId="024B846E" w:rsidR="00A53023" w:rsidRPr="00D92C04" w:rsidRDefault="0038159E" w:rsidP="00A53023">
      <w:pPr>
        <w:pStyle w:val="ListBullet"/>
      </w:pPr>
      <w:r>
        <w:t xml:space="preserve">patients with </w:t>
      </w:r>
      <w:r w:rsidR="00A53023" w:rsidRPr="00D92C04">
        <w:t>VGPR or CR (r/r WM</w:t>
      </w:r>
      <w:r w:rsidR="000C1542">
        <w:t xml:space="preserve"> population</w:t>
      </w:r>
      <w:r w:rsidR="00A53023" w:rsidRPr="00D92C04">
        <w:t>)</w:t>
      </w:r>
      <w:r w:rsidR="000C1542">
        <w:t>:</w:t>
      </w:r>
      <w:r w:rsidR="00A53023" w:rsidRPr="00D92C04">
        <w:t xml:space="preserve"> 51.0% (95% CI: 36.3%, 65.6%)</w:t>
      </w:r>
      <w:r w:rsidR="00D16502" w:rsidRPr="00D92C04">
        <w:t>.</w:t>
      </w:r>
    </w:p>
    <w:p w14:paraId="1AC56557" w14:textId="3FC3313C" w:rsidR="00A53023" w:rsidRPr="00D92C04" w:rsidRDefault="0038159E" w:rsidP="00A53023">
      <w:pPr>
        <w:pStyle w:val="ListBullet"/>
      </w:pPr>
      <w:r>
        <w:t xml:space="preserve">patients with </w:t>
      </w:r>
      <w:r w:rsidR="00A53023" w:rsidRPr="00D92C04">
        <w:t xml:space="preserve">CR: </w:t>
      </w:r>
      <w:r w:rsidR="000C04BD" w:rsidRPr="00D92C04">
        <w:t>one</w:t>
      </w:r>
      <w:r w:rsidR="00A53023" w:rsidRPr="00D92C04">
        <w:t xml:space="preserve"> patient in the r/r WM group, </w:t>
      </w:r>
      <w:r w:rsidR="00D16502" w:rsidRPr="00D92C04">
        <w:t>zero</w:t>
      </w:r>
      <w:r w:rsidR="00A53023" w:rsidRPr="00D92C04">
        <w:t xml:space="preserve"> patient</w:t>
      </w:r>
      <w:r>
        <w:t>s</w:t>
      </w:r>
      <w:r w:rsidR="00A53023" w:rsidRPr="00D92C04">
        <w:t xml:space="preserve"> in the treatment</w:t>
      </w:r>
      <w:r>
        <w:t>-</w:t>
      </w:r>
      <w:r w:rsidR="00A53023" w:rsidRPr="00D92C04">
        <w:t>naïve group</w:t>
      </w:r>
      <w:r w:rsidR="00D16502" w:rsidRPr="00D92C04">
        <w:t>.</w:t>
      </w:r>
    </w:p>
    <w:p w14:paraId="21CD8A7B" w14:textId="5E0FD805" w:rsidR="00A53023" w:rsidRPr="00D92C04" w:rsidRDefault="0038159E" w:rsidP="00A53023">
      <w:pPr>
        <w:pStyle w:val="ListBullet"/>
      </w:pPr>
      <w:r>
        <w:t xml:space="preserve">eight of </w:t>
      </w:r>
      <w:r w:rsidR="00A53023" w:rsidRPr="00D92C04">
        <w:t>24 patients in the treatment</w:t>
      </w:r>
      <w:r w:rsidR="006E2E61">
        <w:t>-</w:t>
      </w:r>
      <w:r w:rsidR="00A53023" w:rsidRPr="00D92C04">
        <w:t>naïve group achieved VGPR</w:t>
      </w:r>
      <w:r w:rsidR="00D16502" w:rsidRPr="00D92C04">
        <w:t>.</w:t>
      </w:r>
    </w:p>
    <w:p w14:paraId="65465C49" w14:textId="34A4EFFF" w:rsidR="00A53023" w:rsidRPr="00D92C04" w:rsidRDefault="00A53023" w:rsidP="00A53023">
      <w:r w:rsidRPr="00D92C04">
        <w:t xml:space="preserve">Other endpoints included </w:t>
      </w:r>
      <w:r w:rsidR="00D16502" w:rsidRPr="00D92C04">
        <w:t xml:space="preserve">major response </w:t>
      </w:r>
      <w:r w:rsidRPr="00D92C04">
        <w:t>(</w:t>
      </w:r>
      <w:r w:rsidR="0038159E">
        <w:t>partial response (</w:t>
      </w:r>
      <w:r w:rsidRPr="00D92C04">
        <w:t>PR</w:t>
      </w:r>
      <w:r w:rsidR="0038159E">
        <w:t>)</w:t>
      </w:r>
      <w:r w:rsidRPr="00D92C04">
        <w:t xml:space="preserve"> or better):</w:t>
      </w:r>
    </w:p>
    <w:p w14:paraId="574F40EC" w14:textId="5B7F914A" w:rsidR="00A53023" w:rsidRPr="00D92C04" w:rsidRDefault="00A53023" w:rsidP="00A53023">
      <w:pPr>
        <w:pStyle w:val="ListBullet"/>
      </w:pPr>
      <w:r w:rsidRPr="00D92C04">
        <w:lastRenderedPageBreak/>
        <w:t xml:space="preserve">total WM </w:t>
      </w:r>
      <w:r w:rsidR="0038159E">
        <w:t xml:space="preserve">population: </w:t>
      </w:r>
      <w:r w:rsidRPr="00D92C04">
        <w:t>82.2% (95% CI: 71.5%, 90.2%),</w:t>
      </w:r>
    </w:p>
    <w:p w14:paraId="167A86DD" w14:textId="1DF53498" w:rsidR="00A53023" w:rsidRPr="00D92C04" w:rsidRDefault="00A53023" w:rsidP="00A53023">
      <w:pPr>
        <w:pStyle w:val="ListBullet"/>
      </w:pPr>
      <w:r w:rsidRPr="00D92C04">
        <w:t xml:space="preserve">r/r WM </w:t>
      </w:r>
      <w:r w:rsidR="0038159E">
        <w:t xml:space="preserve">population: </w:t>
      </w:r>
      <w:r w:rsidRPr="00D92C04">
        <w:t>79.6% (95% CI: 65.7%, 89.8%</w:t>
      </w:r>
      <w:proofErr w:type="gramStart"/>
      <w:r w:rsidRPr="00D92C04">
        <w:t>);</w:t>
      </w:r>
      <w:proofErr w:type="gramEnd"/>
    </w:p>
    <w:p w14:paraId="759479B0" w14:textId="2B868979" w:rsidR="00A53023" w:rsidRPr="00D92C04" w:rsidRDefault="0038159E" w:rsidP="00A53023">
      <w:pPr>
        <w:pStyle w:val="ListBullet"/>
      </w:pPr>
      <w:r>
        <w:t xml:space="preserve">twenty-one of </w:t>
      </w:r>
      <w:r w:rsidR="00A53023" w:rsidRPr="00D92C04">
        <w:t>24 in the treatment</w:t>
      </w:r>
      <w:r w:rsidR="006E2E61">
        <w:t>-</w:t>
      </w:r>
      <w:r w:rsidR="00A53023" w:rsidRPr="00D92C04">
        <w:t>naïve group</w:t>
      </w:r>
    </w:p>
    <w:p w14:paraId="5C0D57FC" w14:textId="630FD701" w:rsidR="00A53023" w:rsidRPr="00D92C04" w:rsidRDefault="00A53023" w:rsidP="00951405">
      <w:pPr>
        <w:pStyle w:val="Heading5"/>
      </w:pPr>
      <w:r w:rsidRPr="00D92C04">
        <w:t xml:space="preserve">Study </w:t>
      </w:r>
      <w:r w:rsidR="00F52A8A" w:rsidRPr="00D92C04">
        <w:t>BGB-311</w:t>
      </w:r>
      <w:r w:rsidR="004E2E0C">
        <w:t>1</w:t>
      </w:r>
      <w:r w:rsidR="00F52A8A" w:rsidRPr="00D92C04">
        <w:t>-210</w:t>
      </w:r>
    </w:p>
    <w:p w14:paraId="06F552EA" w14:textId="5DF4C82A" w:rsidR="00A53023" w:rsidRPr="00D92C04" w:rsidRDefault="00A53023" w:rsidP="00A53023">
      <w:r w:rsidRPr="00D92C04">
        <w:t xml:space="preserve">This is an ongoing, Phase </w:t>
      </w:r>
      <w:r w:rsidR="00795708" w:rsidRPr="00D92C04">
        <w:t>II</w:t>
      </w:r>
      <w:r w:rsidRPr="00D92C04">
        <w:t>, single</w:t>
      </w:r>
      <w:r w:rsidR="00D16502" w:rsidRPr="00D92C04">
        <w:t xml:space="preserve"> </w:t>
      </w:r>
      <w:r w:rsidRPr="00D92C04">
        <w:t xml:space="preserve">arm, multicentre, efficacy and safety study of 160 mg </w:t>
      </w:r>
      <w:r w:rsidR="008C55DD" w:rsidRPr="00D92C04">
        <w:t>twice daily</w:t>
      </w:r>
      <w:r w:rsidRPr="00D92C04">
        <w:t xml:space="preserve"> zanubrutinib in 44 adult Chinese patients with documented who had failed to achieve a minor response or who had documented progressive disease after the most recent treatment and who had at least </w:t>
      </w:r>
      <w:r w:rsidR="00D16502" w:rsidRPr="00D92C04">
        <w:t>one</w:t>
      </w:r>
      <w:r w:rsidRPr="00D92C04">
        <w:t xml:space="preserve"> line of a standard chemotherapy containing regimen. This was presented as a supportive efficacy study.</w:t>
      </w:r>
    </w:p>
    <w:p w14:paraId="0C7A91DC" w14:textId="5E353632" w:rsidR="00A53023" w:rsidRPr="00D92C04" w:rsidRDefault="00A53023" w:rsidP="00D16502">
      <w:r w:rsidRPr="00D92C04">
        <w:t xml:space="preserve">Patients had a median age of 65 years, were mostly male (61.4%) and had a median of </w:t>
      </w:r>
      <w:r w:rsidR="0038159E" w:rsidRPr="00D92C04">
        <w:t>two</w:t>
      </w:r>
      <w:r w:rsidR="00D16502" w:rsidRPr="00D92C04">
        <w:t> </w:t>
      </w:r>
      <w:r w:rsidRPr="00D92C04">
        <w:t>prior anticancer regimens. The median time from progression from last therapy to first study drug was 1.22 years: 70% had a best response of stable disease or progressive disease with their last therapy, with 25% having a best response of progressive disease. Disease characteristics include anaemia (75%), extramedullary disease (72.7%), IgM</w:t>
      </w:r>
      <w:r w:rsidR="00D16502" w:rsidRPr="00D92C04">
        <w:t> </w:t>
      </w:r>
      <w:r w:rsidRPr="00D92C04">
        <w:t>≥</w:t>
      </w:r>
      <w:r w:rsidR="00D16502" w:rsidRPr="00D92C04">
        <w:t> </w:t>
      </w:r>
      <w:r w:rsidRPr="00D92C04">
        <w:t>40</w:t>
      </w:r>
      <w:r w:rsidR="00D16502" w:rsidRPr="00D92C04">
        <w:t> </w:t>
      </w:r>
      <w:r w:rsidRPr="00D92C04">
        <w:t xml:space="preserve">g/L (43.2%) and 77.3% with serum β2- </w:t>
      </w:r>
      <w:proofErr w:type="spellStart"/>
      <w:r w:rsidRPr="00D92C04">
        <w:t>microglobulin</w:t>
      </w:r>
      <w:proofErr w:type="spellEnd"/>
      <w:r w:rsidRPr="00D92C04">
        <w:t xml:space="preserve"> &gt;</w:t>
      </w:r>
      <w:r w:rsidR="00D16502" w:rsidRPr="00D92C04">
        <w:t> </w:t>
      </w:r>
      <w:r w:rsidRPr="00D92C04">
        <w:t xml:space="preserve">3 mg/L. By genotype 72.7% were </w:t>
      </w:r>
      <w:r w:rsidRPr="00D92C04">
        <w:rPr>
          <w:i/>
          <w:iCs/>
        </w:rPr>
        <w:t>MYD88</w:t>
      </w:r>
      <w:r w:rsidRPr="00FD6EAB">
        <w:rPr>
          <w:i/>
          <w:iCs/>
          <w:vertAlign w:val="superscript"/>
        </w:rPr>
        <w:t>L265P</w:t>
      </w:r>
      <w:r w:rsidRPr="00D92C04">
        <w:t>/</w:t>
      </w:r>
      <w:r w:rsidRPr="00D92C04">
        <w:rPr>
          <w:i/>
          <w:iCs/>
        </w:rPr>
        <w:t>CXCR4</w:t>
      </w:r>
      <w:r w:rsidRPr="00717109">
        <w:rPr>
          <w:i/>
          <w:iCs/>
          <w:vertAlign w:val="superscript"/>
        </w:rPr>
        <w:t>WT</w:t>
      </w:r>
      <w:r w:rsidRPr="00D92C04">
        <w:t xml:space="preserve">, 11.4% were </w:t>
      </w:r>
      <w:r w:rsidRPr="00D92C04">
        <w:rPr>
          <w:i/>
          <w:iCs/>
        </w:rPr>
        <w:t>MYD88</w:t>
      </w:r>
      <w:r w:rsidRPr="00717109">
        <w:rPr>
          <w:i/>
          <w:iCs/>
          <w:vertAlign w:val="superscript"/>
        </w:rPr>
        <w:t>L265P</w:t>
      </w:r>
      <w:r w:rsidRPr="00D92C04">
        <w:rPr>
          <w:i/>
          <w:iCs/>
        </w:rPr>
        <w:t>/CXCR4</w:t>
      </w:r>
      <w:r w:rsidRPr="00FD6EAB">
        <w:rPr>
          <w:i/>
          <w:iCs/>
          <w:vertAlign w:val="superscript"/>
        </w:rPr>
        <w:t>WT</w:t>
      </w:r>
      <w:r w:rsidRPr="00D92C04">
        <w:t xml:space="preserve"> and 15.9% were </w:t>
      </w:r>
      <w:r w:rsidRPr="00D92C04">
        <w:rPr>
          <w:i/>
          <w:iCs/>
        </w:rPr>
        <w:t>MYD88</w:t>
      </w:r>
      <w:r w:rsidRPr="00FD6EAB">
        <w:rPr>
          <w:i/>
          <w:iCs/>
          <w:vertAlign w:val="superscript"/>
        </w:rPr>
        <w:t>WT</w:t>
      </w:r>
      <w:r w:rsidRPr="00D92C04">
        <w:t>.</w:t>
      </w:r>
      <w:r w:rsidR="0038159E">
        <w:rPr>
          <w:rStyle w:val="FootnoteReference"/>
        </w:rPr>
        <w:footnoteReference w:id="18"/>
      </w:r>
    </w:p>
    <w:p w14:paraId="553A56E6" w14:textId="3A6CFF72" w:rsidR="00A53023" w:rsidRPr="00D92C04" w:rsidRDefault="00A53023" w:rsidP="00A53023">
      <w:r w:rsidRPr="00D92C04">
        <w:t xml:space="preserve">Discontinuation had occurred in 36.4% (16 patients), mostly with progressive disease, and a further </w:t>
      </w:r>
      <w:r w:rsidR="0038159E" w:rsidRPr="00D92C04">
        <w:t>five</w:t>
      </w:r>
      <w:r w:rsidRPr="00D92C04">
        <w:t xml:space="preserve"> patients had died while on study treatment. One patient was found ineligible on central review of enrolment criteria.</w:t>
      </w:r>
    </w:p>
    <w:p w14:paraId="3A249550" w14:textId="00D14498" w:rsidR="00A53023" w:rsidRPr="00D92C04" w:rsidRDefault="00A53023" w:rsidP="00D16502">
      <w:pPr>
        <w:pStyle w:val="Heading6"/>
      </w:pPr>
      <w:r w:rsidRPr="00D92C04">
        <w:t>Key findings</w:t>
      </w:r>
    </w:p>
    <w:p w14:paraId="2880FD26" w14:textId="2B6D13DD" w:rsidR="00A53023" w:rsidRPr="00D92C04" w:rsidRDefault="00A53023" w:rsidP="00A53023">
      <w:pPr>
        <w:pStyle w:val="ListBullet"/>
      </w:pPr>
      <w:r w:rsidRPr="00D92C04">
        <w:t>Median treatment duration</w:t>
      </w:r>
      <w:r w:rsidR="0038159E">
        <w:t>:</w:t>
      </w:r>
      <w:r w:rsidRPr="00D92C04">
        <w:t xml:space="preserve"> 404.5 days</w:t>
      </w:r>
      <w:r w:rsidR="00D16502" w:rsidRPr="00D92C04">
        <w:t>.</w:t>
      </w:r>
    </w:p>
    <w:p w14:paraId="777C6189" w14:textId="5D55918A" w:rsidR="00A53023" w:rsidRPr="00D92C04" w:rsidRDefault="00A53023" w:rsidP="00A53023">
      <w:pPr>
        <w:pStyle w:val="ListBullet"/>
      </w:pPr>
      <w:r w:rsidRPr="00D92C04">
        <w:t xml:space="preserve">Primary endpoint </w:t>
      </w:r>
      <w:r w:rsidR="0038159E">
        <w:t xml:space="preserve">of complete response (CR), very good partial response (VGPR), or partial response (PR; considered </w:t>
      </w:r>
      <w:r w:rsidRPr="00D92C04">
        <w:t>major response by IRC</w:t>
      </w:r>
      <w:r w:rsidR="0038159E">
        <w:t>)</w:t>
      </w:r>
      <w:r w:rsidRPr="00D92C04">
        <w:t xml:space="preserve"> according to IWWM-6 response criteria: 69.8% (95% CI: 53.87% to 82.82%; </w:t>
      </w:r>
      <w:r w:rsidR="00D16502" w:rsidRPr="00D92C04">
        <w:t>one</w:t>
      </w:r>
      <w:r w:rsidR="0038159E">
        <w:t>-</w:t>
      </w:r>
      <w:r w:rsidRPr="00D92C04">
        <w:t>sided p-value &lt;</w:t>
      </w:r>
      <w:r w:rsidR="00D16502" w:rsidRPr="00D92C04">
        <w:t> </w:t>
      </w:r>
      <w:r w:rsidRPr="00D92C04">
        <w:t>0.0001)</w:t>
      </w:r>
      <w:r w:rsidR="00D16502" w:rsidRPr="00D92C04">
        <w:t>.</w:t>
      </w:r>
    </w:p>
    <w:p w14:paraId="79B6B097" w14:textId="36BD3280" w:rsidR="00A53023" w:rsidRPr="00D92C04" w:rsidRDefault="0038159E" w:rsidP="00A53023">
      <w:pPr>
        <w:pStyle w:val="ListBullet"/>
      </w:pPr>
      <w:r>
        <w:t>Patients with VGPR:</w:t>
      </w:r>
      <w:r w:rsidRPr="00D92C04">
        <w:t xml:space="preserve"> </w:t>
      </w:r>
      <w:r w:rsidR="00A53023" w:rsidRPr="00D92C04">
        <w:t>32.6%</w:t>
      </w:r>
      <w:r w:rsidR="00D16502" w:rsidRPr="00D92C04">
        <w:t>.</w:t>
      </w:r>
    </w:p>
    <w:p w14:paraId="70A17961" w14:textId="0BC32595" w:rsidR="00A53023" w:rsidRPr="00D92C04" w:rsidRDefault="00A53023" w:rsidP="00A53023">
      <w:pPr>
        <w:pStyle w:val="ListBullet"/>
      </w:pPr>
      <w:r w:rsidRPr="00D92C04">
        <w:t>IgM response (</w:t>
      </w:r>
      <w:r w:rsidR="0038159E">
        <w:t xml:space="preserve">by </w:t>
      </w:r>
      <w:r w:rsidRPr="00D92C04">
        <w:t>IRC): 32.6% achieved ≥</w:t>
      </w:r>
      <w:r w:rsidR="0038159E">
        <w:t xml:space="preserve"> </w:t>
      </w:r>
      <w:r w:rsidRPr="00D92C04">
        <w:t xml:space="preserve">90% reduction from </w:t>
      </w:r>
      <w:r w:rsidR="00E441D9" w:rsidRPr="00D92C04">
        <w:t>Baseline</w:t>
      </w:r>
      <w:r w:rsidRPr="00D92C04">
        <w:t xml:space="preserve"> (23.3% normalised serum IgM)</w:t>
      </w:r>
      <w:r w:rsidR="00D16502" w:rsidRPr="00D92C04">
        <w:t>.</w:t>
      </w:r>
    </w:p>
    <w:p w14:paraId="7DBA670F" w14:textId="3898AD27" w:rsidR="00A53023" w:rsidRDefault="00A53023" w:rsidP="00951405">
      <w:pPr>
        <w:pStyle w:val="Heading4"/>
      </w:pPr>
      <w:r w:rsidRPr="00D92C04">
        <w:t>Safety</w:t>
      </w:r>
    </w:p>
    <w:p w14:paraId="54378A7B" w14:textId="37AD2D4C" w:rsidR="0038159E" w:rsidRPr="00FC53F8" w:rsidRDefault="0038159E" w:rsidP="006E2E61">
      <w:pPr>
        <w:pStyle w:val="Heading5"/>
      </w:pPr>
      <w:r>
        <w:t>Study BGB-311-302</w:t>
      </w:r>
    </w:p>
    <w:p w14:paraId="7310AF25" w14:textId="765E101E" w:rsidR="00A53023" w:rsidRPr="00D92C04" w:rsidRDefault="00D16502" w:rsidP="00A53023">
      <w:r w:rsidRPr="00D92C04">
        <w:fldChar w:fldCharType="begin"/>
      </w:r>
      <w:r w:rsidRPr="00D92C04">
        <w:instrText xml:space="preserve"> REF _Ref104472825 \h  \* MERGEFORMAT </w:instrText>
      </w:r>
      <w:r w:rsidRPr="00D92C04">
        <w:fldChar w:fldCharType="separate"/>
      </w:r>
      <w:r w:rsidR="00376AF2" w:rsidRPr="00376AF2">
        <w:t xml:space="preserve">Table </w:t>
      </w:r>
      <w:r w:rsidR="00376AF2">
        <w:t>4</w:t>
      </w:r>
      <w:r w:rsidRPr="00D92C04">
        <w:fldChar w:fldCharType="end"/>
      </w:r>
      <w:r w:rsidR="00A53023" w:rsidRPr="00D92C04">
        <w:t xml:space="preserve"> below summarises the safety findings from </w:t>
      </w:r>
      <w:r w:rsidR="0038159E" w:rsidRPr="00D92C04">
        <w:t>Study BGB-311</w:t>
      </w:r>
      <w:r w:rsidR="0038159E">
        <w:t>1</w:t>
      </w:r>
      <w:r w:rsidR="0038159E" w:rsidRPr="00D92C04">
        <w:t xml:space="preserve">-302 </w:t>
      </w:r>
      <w:r w:rsidR="0038159E">
        <w:t xml:space="preserve">(the </w:t>
      </w:r>
      <w:r w:rsidR="00A53023" w:rsidRPr="00D92C04">
        <w:t xml:space="preserve">ASPEN </w:t>
      </w:r>
      <w:r w:rsidRPr="00D92C04">
        <w:t>trial</w:t>
      </w:r>
      <w:r w:rsidR="0038159E">
        <w:t>)</w:t>
      </w:r>
      <w:r w:rsidR="00A53023" w:rsidRPr="00D92C04">
        <w:t xml:space="preserve">. Where </w:t>
      </w:r>
      <w:r w:rsidR="00C64164">
        <w:t xml:space="preserve">adverse </w:t>
      </w:r>
      <w:r w:rsidR="00A53023" w:rsidRPr="00D92C04">
        <w:t>events</w:t>
      </w:r>
      <w:r w:rsidR="00C64164">
        <w:t xml:space="preserve"> (AEs)</w:t>
      </w:r>
      <w:r w:rsidR="00A53023" w:rsidRPr="00D92C04">
        <w:t xml:space="preserve"> are reported in the </w:t>
      </w:r>
      <w:r w:rsidRPr="00D92C04">
        <w:t>clinical evaluation report</w:t>
      </w:r>
      <w:r w:rsidR="00A53023" w:rsidRPr="00D92C04">
        <w:t xml:space="preserve"> for events from Cohort 1 with proportions reported for Cohort 2 these have been included in the </w:t>
      </w:r>
      <w:r w:rsidRPr="00D92C04">
        <w:fldChar w:fldCharType="begin"/>
      </w:r>
      <w:r w:rsidRPr="00D92C04">
        <w:instrText xml:space="preserve"> REF _Ref104472825 \h  \* MERGEFORMAT </w:instrText>
      </w:r>
      <w:r w:rsidRPr="00D92C04">
        <w:fldChar w:fldCharType="separate"/>
      </w:r>
      <w:r w:rsidR="00376AF2" w:rsidRPr="00376AF2">
        <w:t xml:space="preserve">Table </w:t>
      </w:r>
      <w:r w:rsidR="00376AF2">
        <w:t>4</w:t>
      </w:r>
      <w:r w:rsidRPr="00D92C04">
        <w:fldChar w:fldCharType="end"/>
      </w:r>
      <w:r w:rsidR="00A53023" w:rsidRPr="00D92C04">
        <w:t>, below.</w:t>
      </w:r>
    </w:p>
    <w:p w14:paraId="621C12A7" w14:textId="2DF2D85B" w:rsidR="00A53023" w:rsidRPr="00376AF2" w:rsidRDefault="00A53023" w:rsidP="00376AF2">
      <w:pPr>
        <w:pStyle w:val="TableTitle"/>
      </w:pPr>
      <w:bookmarkStart w:id="65" w:name="_Ref104472825"/>
      <w:r w:rsidRPr="00376AF2">
        <w:t xml:space="preserve">Table </w:t>
      </w:r>
      <w:fldSimple w:instr=" SEQ Table \* ARABIC ">
        <w:r w:rsidR="00376AF2">
          <w:rPr>
            <w:noProof/>
          </w:rPr>
          <w:t>4</w:t>
        </w:r>
      </w:fldSimple>
      <w:bookmarkEnd w:id="65"/>
      <w:r w:rsidR="009A7D73" w:rsidRPr="00376AF2">
        <w:t>: Study BGB-311</w:t>
      </w:r>
      <w:r w:rsidR="004E2E0C" w:rsidRPr="00376AF2">
        <w:t>1</w:t>
      </w:r>
      <w:r w:rsidR="009A7D73" w:rsidRPr="00376AF2">
        <w:t xml:space="preserve">-302 </w:t>
      </w:r>
      <w:r w:rsidRPr="00376AF2">
        <w:t xml:space="preserve">Safety </w:t>
      </w:r>
      <w:r w:rsidR="009A7D73" w:rsidRPr="00376AF2">
        <w:t>summary</w:t>
      </w:r>
    </w:p>
    <w:tbl>
      <w:tblPr>
        <w:tblStyle w:val="TableTGAblue"/>
        <w:tblW w:w="0" w:type="auto"/>
        <w:tblCellMar>
          <w:left w:w="28" w:type="dxa"/>
          <w:right w:w="28" w:type="dxa"/>
        </w:tblCellMar>
        <w:tblLook w:val="04A0" w:firstRow="1" w:lastRow="0" w:firstColumn="1" w:lastColumn="0" w:noHBand="0" w:noVBand="1"/>
      </w:tblPr>
      <w:tblGrid>
        <w:gridCol w:w="4314"/>
        <w:gridCol w:w="1332"/>
        <w:gridCol w:w="1296"/>
        <w:gridCol w:w="1542"/>
      </w:tblGrid>
      <w:tr w:rsidR="00A53023" w:rsidRPr="00D92C04" w14:paraId="13FEA702" w14:textId="77777777" w:rsidTr="000551E0">
        <w:trPr>
          <w:cnfStyle w:val="100000000000" w:firstRow="1" w:lastRow="0" w:firstColumn="0" w:lastColumn="0" w:oddVBand="0" w:evenVBand="0" w:oddHBand="0" w:evenHBand="0" w:firstRowFirstColumn="0" w:firstRowLastColumn="0" w:lastRowFirstColumn="0" w:lastRowLastColumn="0"/>
        </w:trPr>
        <w:tc>
          <w:tcPr>
            <w:tcW w:w="4314" w:type="dxa"/>
          </w:tcPr>
          <w:p w14:paraId="6A048661" w14:textId="77777777" w:rsidR="00A53023" w:rsidRPr="00D92C04" w:rsidRDefault="00A53023" w:rsidP="00A53023">
            <w:pPr>
              <w:pStyle w:val="Tabletext"/>
              <w:spacing w:before="0" w:after="0" w:line="240" w:lineRule="auto"/>
              <w:ind w:left="0" w:right="0"/>
              <w:contextualSpacing/>
              <w:rPr>
                <w:rFonts w:asciiTheme="minorHAnsi" w:hAnsiTheme="minorHAnsi" w:cs="Calibri"/>
                <w:color w:val="auto"/>
              </w:rPr>
            </w:pPr>
          </w:p>
        </w:tc>
        <w:tc>
          <w:tcPr>
            <w:tcW w:w="1332" w:type="dxa"/>
          </w:tcPr>
          <w:p w14:paraId="4AA41ECA" w14:textId="77777777" w:rsidR="00A53023" w:rsidRPr="00D92C04" w:rsidRDefault="00A53023" w:rsidP="00A53023">
            <w:pPr>
              <w:pStyle w:val="Tabletext"/>
              <w:spacing w:before="0" w:after="0" w:line="240" w:lineRule="auto"/>
              <w:ind w:left="0" w:right="0"/>
              <w:jc w:val="center"/>
              <w:rPr>
                <w:rFonts w:ascii="Calibri" w:hAnsi="Calibri" w:cs="Calibri"/>
                <w:bCs/>
                <w:lang w:val="en-US"/>
              </w:rPr>
            </w:pPr>
            <w:r w:rsidRPr="00D92C04">
              <w:rPr>
                <w:rFonts w:ascii="Calibri" w:hAnsi="Calibri" w:cs="Calibri"/>
                <w:bCs/>
                <w:lang w:val="en-US"/>
              </w:rPr>
              <w:t>Cohort 1 zanubrutinib</w:t>
            </w:r>
          </w:p>
          <w:p w14:paraId="153E0646" w14:textId="77777777" w:rsidR="00A53023" w:rsidRPr="00D92C04" w:rsidRDefault="00A53023" w:rsidP="00A53023">
            <w:pPr>
              <w:pStyle w:val="Tabletext"/>
              <w:spacing w:before="0" w:after="0" w:line="240" w:lineRule="auto"/>
              <w:ind w:left="0" w:right="0"/>
              <w:jc w:val="center"/>
              <w:rPr>
                <w:rFonts w:ascii="Calibri" w:hAnsi="Calibri" w:cs="Calibri"/>
                <w:bCs/>
                <w:lang w:val="en-US"/>
              </w:rPr>
            </w:pPr>
            <w:r w:rsidRPr="00D92C04">
              <w:rPr>
                <w:rFonts w:ascii="Calibri" w:hAnsi="Calibri" w:cs="Calibri"/>
                <w:bCs/>
                <w:lang w:val="en-US"/>
              </w:rPr>
              <w:t>(</w:t>
            </w:r>
            <w:bookmarkStart w:id="66" w:name="_Hlk105001163"/>
            <w:r w:rsidRPr="00D92C04">
              <w:rPr>
                <w:rFonts w:ascii="Calibri" w:hAnsi="Calibri" w:cs="Calibri"/>
                <w:bCs/>
                <w:lang w:val="en-US"/>
              </w:rPr>
              <w:t>n</w:t>
            </w:r>
            <w:bookmarkEnd w:id="66"/>
            <w:r w:rsidRPr="00D92C04">
              <w:rPr>
                <w:rFonts w:ascii="Calibri" w:hAnsi="Calibri" w:cs="Calibri"/>
                <w:bCs/>
                <w:lang w:val="en-US"/>
              </w:rPr>
              <w:t>=101)</w:t>
            </w:r>
          </w:p>
        </w:tc>
        <w:tc>
          <w:tcPr>
            <w:tcW w:w="1296" w:type="dxa"/>
          </w:tcPr>
          <w:p w14:paraId="07836B92" w14:textId="77777777" w:rsidR="00A53023" w:rsidRPr="00D92C04" w:rsidRDefault="00A53023" w:rsidP="00A53023">
            <w:pPr>
              <w:pStyle w:val="Tabletext"/>
              <w:spacing w:before="0" w:after="0" w:line="240" w:lineRule="auto"/>
              <w:ind w:left="0" w:right="0"/>
              <w:jc w:val="center"/>
              <w:rPr>
                <w:rFonts w:ascii="Calibri" w:hAnsi="Calibri" w:cs="Calibri"/>
                <w:bCs/>
                <w:lang w:val="en-US"/>
              </w:rPr>
            </w:pPr>
            <w:r w:rsidRPr="00D92C04">
              <w:rPr>
                <w:rFonts w:ascii="Calibri" w:hAnsi="Calibri" w:cs="Calibri"/>
                <w:bCs/>
                <w:lang w:val="en-US"/>
              </w:rPr>
              <w:t>Cohort 1</w:t>
            </w:r>
          </w:p>
          <w:p w14:paraId="57C28619" w14:textId="77777777" w:rsidR="00A53023" w:rsidRPr="00D92C04" w:rsidRDefault="00A53023" w:rsidP="00A53023">
            <w:pPr>
              <w:pStyle w:val="Tabletext"/>
              <w:spacing w:before="0" w:after="0" w:line="240" w:lineRule="auto"/>
              <w:ind w:left="0" w:right="0"/>
              <w:jc w:val="center"/>
              <w:rPr>
                <w:rFonts w:ascii="Calibri" w:hAnsi="Calibri" w:cs="Calibri"/>
                <w:bCs/>
                <w:lang w:val="en-US"/>
              </w:rPr>
            </w:pPr>
            <w:r w:rsidRPr="00D92C04">
              <w:rPr>
                <w:rFonts w:ascii="Calibri" w:hAnsi="Calibri" w:cs="Calibri"/>
                <w:bCs/>
                <w:lang w:val="en-US"/>
              </w:rPr>
              <w:t>ibrutinib</w:t>
            </w:r>
          </w:p>
          <w:p w14:paraId="5C9F408D" w14:textId="77777777" w:rsidR="00A53023" w:rsidRPr="00D92C04" w:rsidRDefault="00A53023" w:rsidP="00A53023">
            <w:pPr>
              <w:pStyle w:val="Tabletext"/>
              <w:spacing w:before="0" w:after="0" w:line="240" w:lineRule="auto"/>
              <w:ind w:left="0" w:right="0"/>
              <w:jc w:val="center"/>
              <w:rPr>
                <w:rFonts w:ascii="Calibri" w:hAnsi="Calibri" w:cs="Calibri"/>
                <w:bCs/>
                <w:lang w:val="en-US"/>
              </w:rPr>
            </w:pPr>
            <w:r w:rsidRPr="00D92C04">
              <w:rPr>
                <w:rFonts w:ascii="Calibri" w:hAnsi="Calibri" w:cs="Calibri"/>
                <w:bCs/>
                <w:lang w:val="en-US"/>
              </w:rPr>
              <w:t>(n=)</w:t>
            </w:r>
          </w:p>
        </w:tc>
        <w:tc>
          <w:tcPr>
            <w:tcW w:w="1542" w:type="dxa"/>
          </w:tcPr>
          <w:p w14:paraId="647C4866" w14:textId="77777777" w:rsidR="00A53023" w:rsidRPr="00D92C04" w:rsidRDefault="00A53023" w:rsidP="00A53023">
            <w:pPr>
              <w:pStyle w:val="Tabletext"/>
              <w:spacing w:before="0" w:after="0" w:line="240" w:lineRule="auto"/>
              <w:jc w:val="center"/>
              <w:rPr>
                <w:rFonts w:ascii="Calibri" w:hAnsi="Calibri" w:cs="Calibri"/>
                <w:bCs/>
                <w:lang w:val="en-US"/>
              </w:rPr>
            </w:pPr>
            <w:r w:rsidRPr="00D92C04">
              <w:rPr>
                <w:rFonts w:ascii="Calibri" w:hAnsi="Calibri" w:cs="Calibri"/>
                <w:bCs/>
                <w:lang w:val="en-US"/>
              </w:rPr>
              <w:t>Cohort 2</w:t>
            </w:r>
          </w:p>
          <w:p w14:paraId="0EF24F78" w14:textId="550DF595" w:rsidR="00A53023" w:rsidRPr="00D92C04" w:rsidRDefault="00A53023" w:rsidP="00A53023">
            <w:pPr>
              <w:pStyle w:val="Tabletext"/>
              <w:spacing w:before="0" w:after="0" w:line="240" w:lineRule="auto"/>
              <w:jc w:val="center"/>
              <w:rPr>
                <w:rFonts w:ascii="Calibri" w:hAnsi="Calibri" w:cs="Calibri"/>
                <w:bCs/>
                <w:lang w:val="en-US"/>
              </w:rPr>
            </w:pPr>
            <w:r w:rsidRPr="00D92C04">
              <w:rPr>
                <w:rFonts w:ascii="Calibri" w:hAnsi="Calibri" w:cs="Calibri"/>
                <w:bCs/>
                <w:lang w:val="en-US"/>
              </w:rPr>
              <w:t>zanubrutinib</w:t>
            </w:r>
          </w:p>
          <w:p w14:paraId="00DF5CFB" w14:textId="77777777" w:rsidR="00A53023" w:rsidRPr="00D92C04" w:rsidRDefault="00A53023" w:rsidP="00A53023">
            <w:pPr>
              <w:pStyle w:val="Tabletext"/>
              <w:spacing w:before="0" w:after="0" w:line="240" w:lineRule="auto"/>
              <w:jc w:val="center"/>
              <w:rPr>
                <w:rFonts w:ascii="Calibri" w:hAnsi="Calibri" w:cs="Calibri"/>
                <w:bCs/>
                <w:lang w:val="en-US"/>
              </w:rPr>
            </w:pPr>
            <w:r w:rsidRPr="00D92C04">
              <w:rPr>
                <w:rFonts w:ascii="Calibri" w:hAnsi="Calibri" w:cs="Calibri"/>
                <w:bCs/>
                <w:lang w:val="en-US"/>
              </w:rPr>
              <w:t xml:space="preserve"> (n=28)</w:t>
            </w:r>
          </w:p>
        </w:tc>
      </w:tr>
      <w:tr w:rsidR="00A53023" w:rsidRPr="00D92C04" w14:paraId="7168A472" w14:textId="77777777" w:rsidTr="000551E0">
        <w:tc>
          <w:tcPr>
            <w:tcW w:w="6942" w:type="dxa"/>
            <w:gridSpan w:val="3"/>
          </w:tcPr>
          <w:p w14:paraId="2B59B672" w14:textId="77777777" w:rsidR="00A53023" w:rsidRPr="00D92C04" w:rsidRDefault="00A53023" w:rsidP="00A53023">
            <w:pPr>
              <w:pStyle w:val="Tabletext"/>
              <w:spacing w:before="0" w:after="0" w:line="240" w:lineRule="auto"/>
              <w:contextualSpacing/>
              <w:rPr>
                <w:rFonts w:ascii="Calibri" w:hAnsi="Calibri" w:cs="Calibri"/>
                <w:color w:val="auto"/>
              </w:rPr>
            </w:pPr>
            <w:r w:rsidRPr="00D92C04">
              <w:rPr>
                <w:rFonts w:ascii="Calibri" w:hAnsi="Calibri" w:cs="Calibri"/>
                <w:b/>
                <w:color w:val="auto"/>
              </w:rPr>
              <w:t>Exposure</w:t>
            </w:r>
          </w:p>
        </w:tc>
        <w:tc>
          <w:tcPr>
            <w:tcW w:w="1542" w:type="dxa"/>
          </w:tcPr>
          <w:p w14:paraId="2BB8F3AB"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0BE6F6F3" w14:textId="77777777" w:rsidTr="000551E0">
        <w:tc>
          <w:tcPr>
            <w:tcW w:w="4314" w:type="dxa"/>
          </w:tcPr>
          <w:p w14:paraId="5679B03F" w14:textId="77777777" w:rsidR="00A53023" w:rsidRPr="00D92C04" w:rsidRDefault="00A53023" w:rsidP="00A53023">
            <w:pPr>
              <w:pStyle w:val="Tabletext"/>
              <w:spacing w:before="0" w:after="0" w:line="240" w:lineRule="auto"/>
              <w:ind w:left="0" w:right="0"/>
              <w:contextualSpacing/>
              <w:rPr>
                <w:rFonts w:ascii="Calibri" w:hAnsi="Calibri" w:cs="Calibri"/>
                <w:color w:val="auto"/>
              </w:rPr>
            </w:pPr>
            <w:r w:rsidRPr="00D92C04">
              <w:rPr>
                <w:rFonts w:ascii="Calibri" w:hAnsi="Calibri" w:cs="Calibri"/>
                <w:color w:val="auto"/>
              </w:rPr>
              <w:t>Median duration of exposure, months</w:t>
            </w:r>
          </w:p>
        </w:tc>
        <w:tc>
          <w:tcPr>
            <w:tcW w:w="1332" w:type="dxa"/>
          </w:tcPr>
          <w:p w14:paraId="156B48AA"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18.7</w:t>
            </w:r>
          </w:p>
        </w:tc>
        <w:tc>
          <w:tcPr>
            <w:tcW w:w="1296" w:type="dxa"/>
          </w:tcPr>
          <w:p w14:paraId="4FCF6B30"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18.6</w:t>
            </w:r>
          </w:p>
        </w:tc>
        <w:tc>
          <w:tcPr>
            <w:tcW w:w="1542" w:type="dxa"/>
          </w:tcPr>
          <w:p w14:paraId="634FEA93"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16.4</w:t>
            </w:r>
          </w:p>
        </w:tc>
      </w:tr>
      <w:tr w:rsidR="00A53023" w:rsidRPr="00D92C04" w14:paraId="043099CD" w14:textId="77777777" w:rsidTr="000551E0">
        <w:tc>
          <w:tcPr>
            <w:tcW w:w="4314" w:type="dxa"/>
          </w:tcPr>
          <w:p w14:paraId="369C912F" w14:textId="77777777" w:rsidR="00A53023" w:rsidRPr="00D92C04" w:rsidRDefault="00A53023" w:rsidP="00A53023">
            <w:pPr>
              <w:pStyle w:val="Tabletext"/>
              <w:spacing w:before="0" w:after="0" w:line="240" w:lineRule="auto"/>
              <w:ind w:left="0"/>
              <w:contextualSpacing/>
              <w:rPr>
                <w:rFonts w:ascii="Calibri" w:hAnsi="Calibri" w:cs="Calibri"/>
              </w:rPr>
            </w:pPr>
            <w:r w:rsidRPr="00D92C04">
              <w:rPr>
                <w:rFonts w:ascii="Calibri" w:hAnsi="Calibri" w:cs="Calibri"/>
              </w:rPr>
              <w:t>Median intensity of treatment</w:t>
            </w:r>
          </w:p>
        </w:tc>
        <w:tc>
          <w:tcPr>
            <w:tcW w:w="1332" w:type="dxa"/>
          </w:tcPr>
          <w:p w14:paraId="2F7A87CD"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97%</w:t>
            </w:r>
          </w:p>
        </w:tc>
        <w:tc>
          <w:tcPr>
            <w:tcW w:w="1296" w:type="dxa"/>
          </w:tcPr>
          <w:p w14:paraId="0AB88124"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98%</w:t>
            </w:r>
          </w:p>
        </w:tc>
        <w:tc>
          <w:tcPr>
            <w:tcW w:w="1542" w:type="dxa"/>
          </w:tcPr>
          <w:p w14:paraId="633F085C"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97%</w:t>
            </w:r>
          </w:p>
        </w:tc>
      </w:tr>
      <w:tr w:rsidR="00A53023" w:rsidRPr="00D92C04" w14:paraId="43FA133F" w14:textId="77777777" w:rsidTr="000551E0">
        <w:tc>
          <w:tcPr>
            <w:tcW w:w="6942" w:type="dxa"/>
            <w:gridSpan w:val="3"/>
          </w:tcPr>
          <w:p w14:paraId="578901EC" w14:textId="77777777" w:rsidR="00A53023" w:rsidRPr="00D92C04" w:rsidRDefault="00A53023" w:rsidP="00A53023">
            <w:pPr>
              <w:pStyle w:val="Tabletext"/>
              <w:spacing w:before="0" w:after="0" w:line="240" w:lineRule="auto"/>
              <w:contextualSpacing/>
              <w:rPr>
                <w:rFonts w:ascii="Calibri" w:hAnsi="Calibri" w:cs="Calibri"/>
                <w:b/>
                <w:color w:val="auto"/>
              </w:rPr>
            </w:pPr>
            <w:r w:rsidRPr="00D92C04">
              <w:rPr>
                <w:rFonts w:ascii="Calibri" w:hAnsi="Calibri" w:cs="Calibri"/>
                <w:b/>
                <w:color w:val="auto"/>
              </w:rPr>
              <w:t>Deaths</w:t>
            </w:r>
          </w:p>
        </w:tc>
        <w:tc>
          <w:tcPr>
            <w:tcW w:w="1542" w:type="dxa"/>
          </w:tcPr>
          <w:p w14:paraId="3E1B9A45"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03C6E637" w14:textId="77777777" w:rsidTr="000551E0">
        <w:tc>
          <w:tcPr>
            <w:tcW w:w="4314" w:type="dxa"/>
          </w:tcPr>
          <w:p w14:paraId="6BC12AFB" w14:textId="77777777" w:rsidR="00A53023" w:rsidRPr="00D92C04" w:rsidRDefault="00A53023" w:rsidP="00A53023">
            <w:pPr>
              <w:pStyle w:val="Tabletext"/>
              <w:spacing w:before="0" w:after="0" w:line="240" w:lineRule="auto"/>
              <w:ind w:left="0" w:right="0"/>
              <w:contextualSpacing/>
              <w:rPr>
                <w:rFonts w:ascii="Calibri" w:hAnsi="Calibri" w:cs="Calibri"/>
                <w:color w:val="auto"/>
              </w:rPr>
            </w:pPr>
            <w:r w:rsidRPr="00D92C04">
              <w:rPr>
                <w:rFonts w:ascii="Calibri" w:hAnsi="Calibri" w:cs="Calibri"/>
                <w:color w:val="auto"/>
              </w:rPr>
              <w:t>Patients who had a fatal (treatment-emergent) adverse event, n (%)</w:t>
            </w:r>
          </w:p>
        </w:tc>
        <w:tc>
          <w:tcPr>
            <w:tcW w:w="1332" w:type="dxa"/>
          </w:tcPr>
          <w:p w14:paraId="6C9AC9E1"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color w:val="auto"/>
              </w:rPr>
            </w:pPr>
            <w:r w:rsidRPr="00D92C04">
              <w:rPr>
                <w:rFonts w:ascii="Calibri" w:hAnsi="Calibri" w:cs="Calibri"/>
                <w:color w:val="auto"/>
              </w:rPr>
              <w:t>1 (1.0%)</w:t>
            </w:r>
          </w:p>
        </w:tc>
        <w:tc>
          <w:tcPr>
            <w:tcW w:w="1296" w:type="dxa"/>
          </w:tcPr>
          <w:p w14:paraId="093FAFC2"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4 (4.1%)</w:t>
            </w:r>
          </w:p>
        </w:tc>
        <w:tc>
          <w:tcPr>
            <w:tcW w:w="1542" w:type="dxa"/>
          </w:tcPr>
          <w:p w14:paraId="6B46520E"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0</w:t>
            </w:r>
          </w:p>
        </w:tc>
      </w:tr>
      <w:tr w:rsidR="00A53023" w:rsidRPr="00D92C04" w14:paraId="75CC87BC" w14:textId="77777777" w:rsidTr="000551E0">
        <w:tc>
          <w:tcPr>
            <w:tcW w:w="6942" w:type="dxa"/>
            <w:gridSpan w:val="3"/>
          </w:tcPr>
          <w:p w14:paraId="007A7AAA" w14:textId="77777777" w:rsidR="00A53023" w:rsidRPr="00D92C04" w:rsidRDefault="00A53023" w:rsidP="00A53023">
            <w:pPr>
              <w:pStyle w:val="Tabletext"/>
              <w:spacing w:before="0" w:after="0" w:line="240" w:lineRule="auto"/>
              <w:contextualSpacing/>
              <w:rPr>
                <w:rFonts w:ascii="Calibri" w:hAnsi="Calibri" w:cs="Calibri"/>
                <w:b/>
                <w:color w:val="9160CB" w:themeColor="accent5" w:themeTint="99"/>
                <w:sz w:val="14"/>
              </w:rPr>
            </w:pPr>
            <w:bookmarkStart w:id="67" w:name="_Hlk105001169"/>
            <w:r w:rsidRPr="00D92C04">
              <w:rPr>
                <w:rFonts w:ascii="Calibri" w:hAnsi="Calibri" w:cs="Calibri"/>
                <w:b/>
                <w:color w:val="auto"/>
              </w:rPr>
              <w:lastRenderedPageBreak/>
              <w:t>Treatment-emergent adverse events (TEAEs)</w:t>
            </w:r>
            <w:bookmarkEnd w:id="67"/>
          </w:p>
        </w:tc>
        <w:tc>
          <w:tcPr>
            <w:tcW w:w="1542" w:type="dxa"/>
          </w:tcPr>
          <w:p w14:paraId="75C08573"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6B953852" w14:textId="77777777" w:rsidTr="000551E0">
        <w:tc>
          <w:tcPr>
            <w:tcW w:w="4314" w:type="dxa"/>
          </w:tcPr>
          <w:p w14:paraId="42801F86" w14:textId="77777777" w:rsidR="00A53023" w:rsidRPr="00D92C04" w:rsidRDefault="00A53023" w:rsidP="00A53023">
            <w:pPr>
              <w:pStyle w:val="Tabletext"/>
              <w:spacing w:before="0" w:after="0" w:line="240" w:lineRule="auto"/>
              <w:ind w:left="0" w:right="0"/>
              <w:contextualSpacing/>
              <w:rPr>
                <w:rFonts w:ascii="Calibri" w:hAnsi="Calibri" w:cs="Calibri"/>
                <w:color w:val="9160CB" w:themeColor="accent5" w:themeTint="99"/>
              </w:rPr>
            </w:pPr>
            <w:r w:rsidRPr="00D92C04">
              <w:rPr>
                <w:rFonts w:ascii="Calibri" w:hAnsi="Calibri" w:cs="Calibri"/>
                <w:color w:val="auto"/>
              </w:rPr>
              <w:t>Subjects with at least one TEAE, %</w:t>
            </w:r>
          </w:p>
        </w:tc>
        <w:tc>
          <w:tcPr>
            <w:tcW w:w="1332" w:type="dxa"/>
          </w:tcPr>
          <w:p w14:paraId="484624A2"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color w:val="9160CB" w:themeColor="accent5" w:themeTint="99"/>
              </w:rPr>
            </w:pPr>
            <w:r w:rsidRPr="00D92C04">
              <w:rPr>
                <w:rFonts w:ascii="Calibri" w:hAnsi="Calibri" w:cs="Calibri"/>
                <w:color w:val="auto"/>
              </w:rPr>
              <w:t>97</w:t>
            </w:r>
          </w:p>
        </w:tc>
        <w:tc>
          <w:tcPr>
            <w:tcW w:w="1296" w:type="dxa"/>
          </w:tcPr>
          <w:p w14:paraId="45F8233B" w14:textId="77777777" w:rsidR="00A53023" w:rsidRPr="00D92C04" w:rsidRDefault="00A53023" w:rsidP="00A53023">
            <w:pPr>
              <w:pStyle w:val="Tabletext"/>
              <w:spacing w:before="0" w:after="0" w:line="240" w:lineRule="auto"/>
              <w:ind w:left="0" w:right="0"/>
              <w:contextualSpacing/>
              <w:jc w:val="center"/>
              <w:rPr>
                <w:rFonts w:ascii="Calibri" w:hAnsi="Calibri" w:cs="Calibri"/>
                <w:color w:val="auto"/>
              </w:rPr>
            </w:pPr>
            <w:r w:rsidRPr="00D92C04">
              <w:rPr>
                <w:rFonts w:ascii="Calibri" w:hAnsi="Calibri" w:cs="Calibri"/>
                <w:color w:val="auto"/>
              </w:rPr>
              <w:t>90</w:t>
            </w:r>
          </w:p>
        </w:tc>
        <w:tc>
          <w:tcPr>
            <w:tcW w:w="1542" w:type="dxa"/>
          </w:tcPr>
          <w:p w14:paraId="5B6C7A1B"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85.7</w:t>
            </w:r>
          </w:p>
        </w:tc>
      </w:tr>
      <w:tr w:rsidR="00A53023" w:rsidRPr="00D92C04" w14:paraId="4714B38A" w14:textId="77777777" w:rsidTr="000551E0">
        <w:tc>
          <w:tcPr>
            <w:tcW w:w="6942" w:type="dxa"/>
            <w:gridSpan w:val="3"/>
          </w:tcPr>
          <w:p w14:paraId="569E8BD0" w14:textId="77777777" w:rsidR="00A53023" w:rsidRPr="00D92C04" w:rsidRDefault="00A53023" w:rsidP="00A53023">
            <w:pPr>
              <w:pStyle w:val="Tabletext"/>
              <w:tabs>
                <w:tab w:val="left" w:pos="3148"/>
              </w:tabs>
              <w:spacing w:before="0" w:after="0" w:line="240" w:lineRule="auto"/>
              <w:ind w:left="0" w:right="0"/>
              <w:contextualSpacing/>
              <w:rPr>
                <w:rFonts w:ascii="Calibri" w:hAnsi="Calibri" w:cs="Calibri"/>
                <w:color w:val="9160CB" w:themeColor="accent5" w:themeTint="99"/>
              </w:rPr>
            </w:pPr>
            <w:r w:rsidRPr="00D92C04">
              <w:rPr>
                <w:rFonts w:ascii="Calibri" w:hAnsi="Calibri" w:cs="Calibri"/>
                <w:color w:val="auto"/>
              </w:rPr>
              <w:t>Most common TEAEs (&gt;10% in either arm):</w:t>
            </w:r>
          </w:p>
        </w:tc>
        <w:tc>
          <w:tcPr>
            <w:tcW w:w="1542" w:type="dxa"/>
          </w:tcPr>
          <w:p w14:paraId="1B66854E" w14:textId="77777777" w:rsidR="00A53023" w:rsidRPr="00D92C04" w:rsidRDefault="00A53023" w:rsidP="00A53023">
            <w:pPr>
              <w:pStyle w:val="Tabletext"/>
              <w:tabs>
                <w:tab w:val="left" w:pos="3148"/>
              </w:tabs>
              <w:spacing w:before="0" w:after="0" w:line="240" w:lineRule="auto"/>
              <w:contextualSpacing/>
              <w:rPr>
                <w:rFonts w:ascii="Calibri" w:hAnsi="Calibri" w:cs="Calibri"/>
                <w:color w:val="auto"/>
              </w:rPr>
            </w:pPr>
          </w:p>
        </w:tc>
      </w:tr>
      <w:tr w:rsidR="00A53023" w:rsidRPr="00D92C04" w14:paraId="490CD774" w14:textId="77777777" w:rsidTr="000551E0">
        <w:tc>
          <w:tcPr>
            <w:tcW w:w="4314" w:type="dxa"/>
          </w:tcPr>
          <w:p w14:paraId="00388370"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diarrhoea, %</w:t>
            </w:r>
          </w:p>
        </w:tc>
        <w:tc>
          <w:tcPr>
            <w:tcW w:w="1332" w:type="dxa"/>
          </w:tcPr>
          <w:p w14:paraId="13170C0C"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20.8</w:t>
            </w:r>
          </w:p>
        </w:tc>
        <w:tc>
          <w:tcPr>
            <w:tcW w:w="1296" w:type="dxa"/>
          </w:tcPr>
          <w:p w14:paraId="7635F03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31.6</w:t>
            </w:r>
          </w:p>
        </w:tc>
        <w:tc>
          <w:tcPr>
            <w:tcW w:w="1542" w:type="dxa"/>
          </w:tcPr>
          <w:p w14:paraId="0E4D5D9C"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28.6</w:t>
            </w:r>
          </w:p>
        </w:tc>
      </w:tr>
      <w:tr w:rsidR="00A53023" w:rsidRPr="00D92C04" w14:paraId="6824BC4B" w14:textId="77777777" w:rsidTr="000551E0">
        <w:tc>
          <w:tcPr>
            <w:tcW w:w="4314" w:type="dxa"/>
          </w:tcPr>
          <w:p w14:paraId="0CB2564F"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 xml:space="preserve">upper respiratory tract </w:t>
            </w:r>
            <w:proofErr w:type="gramStart"/>
            <w:r w:rsidRPr="00D92C04">
              <w:rPr>
                <w:rFonts w:cs="Calibri"/>
                <w:i/>
              </w:rPr>
              <w:t>infection,%</w:t>
            </w:r>
            <w:proofErr w:type="gramEnd"/>
          </w:p>
        </w:tc>
        <w:tc>
          <w:tcPr>
            <w:tcW w:w="1332" w:type="dxa"/>
          </w:tcPr>
          <w:p w14:paraId="30A5CE0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28.6</w:t>
            </w:r>
          </w:p>
        </w:tc>
        <w:tc>
          <w:tcPr>
            <w:tcW w:w="1296" w:type="dxa"/>
          </w:tcPr>
          <w:p w14:paraId="63DD6DEE"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23.8</w:t>
            </w:r>
          </w:p>
        </w:tc>
        <w:tc>
          <w:tcPr>
            <w:tcW w:w="1542" w:type="dxa"/>
          </w:tcPr>
          <w:p w14:paraId="40CF34AE"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21.4</w:t>
            </w:r>
          </w:p>
        </w:tc>
      </w:tr>
      <w:tr w:rsidR="00A53023" w:rsidRPr="00D92C04" w14:paraId="5E26A51B" w14:textId="77777777" w:rsidTr="000551E0">
        <w:tc>
          <w:tcPr>
            <w:tcW w:w="4314" w:type="dxa"/>
          </w:tcPr>
          <w:p w14:paraId="64587537" w14:textId="77777777" w:rsidR="00A53023" w:rsidRPr="00D92C04" w:rsidRDefault="00A53023" w:rsidP="00A53023">
            <w:pPr>
              <w:pStyle w:val="Tabletext"/>
              <w:spacing w:before="0" w:after="0" w:line="240" w:lineRule="auto"/>
              <w:ind w:left="0" w:right="57"/>
              <w:contextualSpacing/>
              <w:jc w:val="right"/>
              <w:rPr>
                <w:rFonts w:cs="Calibri"/>
                <w:i/>
                <w:color w:val="9160CB" w:themeColor="accent5" w:themeTint="99"/>
              </w:rPr>
            </w:pPr>
            <w:r w:rsidRPr="00D92C04">
              <w:rPr>
                <w:rFonts w:cs="Calibri"/>
                <w:i/>
                <w:color w:val="auto"/>
              </w:rPr>
              <w:t>neutropenia, %</w:t>
            </w:r>
          </w:p>
        </w:tc>
        <w:tc>
          <w:tcPr>
            <w:tcW w:w="1332" w:type="dxa"/>
          </w:tcPr>
          <w:p w14:paraId="3095B55E"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9160CB" w:themeColor="accent5" w:themeTint="99"/>
              </w:rPr>
            </w:pPr>
            <w:r w:rsidRPr="00D92C04">
              <w:rPr>
                <w:rFonts w:ascii="Calibri" w:hAnsi="Calibri" w:cs="Calibri"/>
                <w:i/>
                <w:color w:val="auto"/>
              </w:rPr>
              <w:t>24.8</w:t>
            </w:r>
          </w:p>
        </w:tc>
        <w:tc>
          <w:tcPr>
            <w:tcW w:w="1296" w:type="dxa"/>
          </w:tcPr>
          <w:p w14:paraId="7A5BB0AF"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9160CB" w:themeColor="accent5" w:themeTint="99"/>
              </w:rPr>
            </w:pPr>
            <w:r w:rsidRPr="00D92C04">
              <w:rPr>
                <w:rFonts w:ascii="Calibri" w:hAnsi="Calibri" w:cs="Calibri"/>
                <w:i/>
                <w:color w:val="auto"/>
              </w:rPr>
              <w:t>12.2</w:t>
            </w:r>
          </w:p>
        </w:tc>
        <w:tc>
          <w:tcPr>
            <w:tcW w:w="1542" w:type="dxa"/>
          </w:tcPr>
          <w:p w14:paraId="2A962C1A"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14.3</w:t>
            </w:r>
          </w:p>
        </w:tc>
      </w:tr>
      <w:tr w:rsidR="00A53023" w:rsidRPr="00D92C04" w14:paraId="1721A2BF" w14:textId="77777777" w:rsidTr="000551E0">
        <w:tc>
          <w:tcPr>
            <w:tcW w:w="4314" w:type="dxa"/>
          </w:tcPr>
          <w:p w14:paraId="0B98D77A"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color w:val="auto"/>
              </w:rPr>
              <w:t>contusion, %</w:t>
            </w:r>
          </w:p>
        </w:tc>
        <w:tc>
          <w:tcPr>
            <w:tcW w:w="1332" w:type="dxa"/>
          </w:tcPr>
          <w:p w14:paraId="018F0E8F"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12.9</w:t>
            </w:r>
          </w:p>
        </w:tc>
        <w:tc>
          <w:tcPr>
            <w:tcW w:w="1296" w:type="dxa"/>
          </w:tcPr>
          <w:p w14:paraId="682E3001"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23.5</w:t>
            </w:r>
          </w:p>
        </w:tc>
        <w:tc>
          <w:tcPr>
            <w:tcW w:w="1542" w:type="dxa"/>
          </w:tcPr>
          <w:p w14:paraId="4EF48F13"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21.4</w:t>
            </w:r>
          </w:p>
        </w:tc>
      </w:tr>
      <w:tr w:rsidR="00A53023" w:rsidRPr="00D92C04" w14:paraId="141E25BB" w14:textId="77777777" w:rsidTr="000551E0">
        <w:tc>
          <w:tcPr>
            <w:tcW w:w="4314" w:type="dxa"/>
          </w:tcPr>
          <w:p w14:paraId="006D40DF"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rPr>
              <w:t>muscle spasms, %</w:t>
            </w:r>
          </w:p>
        </w:tc>
        <w:tc>
          <w:tcPr>
            <w:tcW w:w="1332" w:type="dxa"/>
          </w:tcPr>
          <w:p w14:paraId="7A5E696C"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rPr>
              <w:t>9.9</w:t>
            </w:r>
          </w:p>
        </w:tc>
        <w:tc>
          <w:tcPr>
            <w:tcW w:w="1296" w:type="dxa"/>
          </w:tcPr>
          <w:p w14:paraId="12FF6034"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9160CB" w:themeColor="accent5" w:themeTint="99"/>
              </w:rPr>
            </w:pPr>
            <w:r w:rsidRPr="00D92C04">
              <w:rPr>
                <w:rFonts w:ascii="Calibri" w:hAnsi="Calibri" w:cs="Calibri"/>
                <w:i/>
              </w:rPr>
              <w:t>23.5</w:t>
            </w:r>
          </w:p>
        </w:tc>
        <w:tc>
          <w:tcPr>
            <w:tcW w:w="1542" w:type="dxa"/>
          </w:tcPr>
          <w:p w14:paraId="6A1A7598"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6F094F4E" w14:textId="77777777" w:rsidTr="000551E0">
        <w:tc>
          <w:tcPr>
            <w:tcW w:w="4314" w:type="dxa"/>
          </w:tcPr>
          <w:p w14:paraId="639A44C8"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peripheral oedema, %</w:t>
            </w:r>
          </w:p>
        </w:tc>
        <w:tc>
          <w:tcPr>
            <w:tcW w:w="1332" w:type="dxa"/>
          </w:tcPr>
          <w:p w14:paraId="304DA24C"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8.9</w:t>
            </w:r>
          </w:p>
        </w:tc>
        <w:tc>
          <w:tcPr>
            <w:tcW w:w="1296" w:type="dxa"/>
          </w:tcPr>
          <w:p w14:paraId="2D57F7D5"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19.4</w:t>
            </w:r>
          </w:p>
        </w:tc>
        <w:tc>
          <w:tcPr>
            <w:tcW w:w="1542" w:type="dxa"/>
          </w:tcPr>
          <w:p w14:paraId="22CB5F0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30A829B2" w14:textId="77777777" w:rsidTr="000551E0">
        <w:tc>
          <w:tcPr>
            <w:tcW w:w="4314" w:type="dxa"/>
          </w:tcPr>
          <w:p w14:paraId="53345347"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epistaxis, %</w:t>
            </w:r>
          </w:p>
        </w:tc>
        <w:tc>
          <w:tcPr>
            <w:tcW w:w="1332" w:type="dxa"/>
          </w:tcPr>
          <w:p w14:paraId="196BB30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53BF93B1"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19.4</w:t>
            </w:r>
          </w:p>
        </w:tc>
        <w:tc>
          <w:tcPr>
            <w:tcW w:w="1542" w:type="dxa"/>
          </w:tcPr>
          <w:p w14:paraId="7791D513"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3.6</w:t>
            </w:r>
          </w:p>
        </w:tc>
      </w:tr>
      <w:tr w:rsidR="00A53023" w:rsidRPr="00D92C04" w14:paraId="5DA4577D" w14:textId="77777777" w:rsidTr="000551E0">
        <w:tc>
          <w:tcPr>
            <w:tcW w:w="4314" w:type="dxa"/>
          </w:tcPr>
          <w:p w14:paraId="3E546BCE"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constipation, %</w:t>
            </w:r>
          </w:p>
        </w:tc>
        <w:tc>
          <w:tcPr>
            <w:tcW w:w="1332" w:type="dxa"/>
          </w:tcPr>
          <w:p w14:paraId="47B8850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7.1</w:t>
            </w:r>
          </w:p>
        </w:tc>
        <w:tc>
          <w:tcPr>
            <w:tcW w:w="1296" w:type="dxa"/>
          </w:tcPr>
          <w:p w14:paraId="0CD3D9BA"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15.8</w:t>
            </w:r>
          </w:p>
        </w:tc>
        <w:tc>
          <w:tcPr>
            <w:tcW w:w="1542" w:type="dxa"/>
          </w:tcPr>
          <w:p w14:paraId="36545DE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44E59C91" w14:textId="77777777" w:rsidTr="000551E0">
        <w:tc>
          <w:tcPr>
            <w:tcW w:w="4314" w:type="dxa"/>
          </w:tcPr>
          <w:p w14:paraId="04BD430F"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fatigue, %</w:t>
            </w:r>
          </w:p>
        </w:tc>
        <w:tc>
          <w:tcPr>
            <w:tcW w:w="1332" w:type="dxa"/>
          </w:tcPr>
          <w:p w14:paraId="6BC2587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18.8</w:t>
            </w:r>
          </w:p>
        </w:tc>
        <w:tc>
          <w:tcPr>
            <w:tcW w:w="1296" w:type="dxa"/>
          </w:tcPr>
          <w:p w14:paraId="19C881A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15.3</w:t>
            </w:r>
          </w:p>
        </w:tc>
        <w:tc>
          <w:tcPr>
            <w:tcW w:w="1542" w:type="dxa"/>
          </w:tcPr>
          <w:p w14:paraId="3C23CFB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7E665F40" w14:textId="77777777" w:rsidTr="000551E0">
        <w:tc>
          <w:tcPr>
            <w:tcW w:w="4314" w:type="dxa"/>
          </w:tcPr>
          <w:p w14:paraId="37B439C6"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cough, %</w:t>
            </w:r>
          </w:p>
        </w:tc>
        <w:tc>
          <w:tcPr>
            <w:tcW w:w="1332" w:type="dxa"/>
          </w:tcPr>
          <w:p w14:paraId="18192544"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17B76E5C"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17.3</w:t>
            </w:r>
          </w:p>
        </w:tc>
        <w:tc>
          <w:tcPr>
            <w:tcW w:w="1542" w:type="dxa"/>
          </w:tcPr>
          <w:p w14:paraId="73116BE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17.9</w:t>
            </w:r>
          </w:p>
        </w:tc>
      </w:tr>
      <w:tr w:rsidR="00A53023" w:rsidRPr="00D92C04" w14:paraId="62C38860" w14:textId="77777777" w:rsidTr="000551E0">
        <w:tc>
          <w:tcPr>
            <w:tcW w:w="4314" w:type="dxa"/>
          </w:tcPr>
          <w:p w14:paraId="386119B4" w14:textId="77777777" w:rsidR="00A53023" w:rsidRPr="00D92C04" w:rsidRDefault="00A53023" w:rsidP="00A53023">
            <w:pPr>
              <w:pStyle w:val="Tabletext"/>
              <w:spacing w:before="0" w:after="0" w:line="240" w:lineRule="auto"/>
              <w:ind w:right="57"/>
              <w:contextualSpacing/>
              <w:jc w:val="right"/>
              <w:rPr>
                <w:rFonts w:cs="Calibri"/>
                <w:i/>
              </w:rPr>
            </w:pPr>
            <w:proofErr w:type="gramStart"/>
            <w:r w:rsidRPr="00D92C04">
              <w:rPr>
                <w:rFonts w:cs="Calibri"/>
                <w:i/>
              </w:rPr>
              <w:t>rash,%</w:t>
            </w:r>
            <w:proofErr w:type="gramEnd"/>
          </w:p>
        </w:tc>
        <w:tc>
          <w:tcPr>
            <w:tcW w:w="1332" w:type="dxa"/>
          </w:tcPr>
          <w:p w14:paraId="0023E72F"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7C68B2EA"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16.3</w:t>
            </w:r>
          </w:p>
        </w:tc>
        <w:tc>
          <w:tcPr>
            <w:tcW w:w="1542" w:type="dxa"/>
          </w:tcPr>
          <w:p w14:paraId="57A4A7BB"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758AF199" w14:textId="77777777" w:rsidTr="000551E0">
        <w:tc>
          <w:tcPr>
            <w:tcW w:w="4314" w:type="dxa"/>
          </w:tcPr>
          <w:p w14:paraId="0253A3BE"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arthralgia, %</w:t>
            </w:r>
          </w:p>
        </w:tc>
        <w:tc>
          <w:tcPr>
            <w:tcW w:w="1332" w:type="dxa"/>
          </w:tcPr>
          <w:p w14:paraId="5DBD73D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48119AFB"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16.3</w:t>
            </w:r>
          </w:p>
        </w:tc>
        <w:tc>
          <w:tcPr>
            <w:tcW w:w="1542" w:type="dxa"/>
          </w:tcPr>
          <w:p w14:paraId="66736F8A"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0CE1C109" w14:textId="77777777" w:rsidTr="000551E0">
        <w:tc>
          <w:tcPr>
            <w:tcW w:w="4314" w:type="dxa"/>
          </w:tcPr>
          <w:p w14:paraId="6E636D12"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hypertension, %</w:t>
            </w:r>
          </w:p>
        </w:tc>
        <w:tc>
          <w:tcPr>
            <w:tcW w:w="1332" w:type="dxa"/>
          </w:tcPr>
          <w:p w14:paraId="775C3A5B"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2837A7C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16.3</w:t>
            </w:r>
          </w:p>
        </w:tc>
        <w:tc>
          <w:tcPr>
            <w:tcW w:w="1542" w:type="dxa"/>
          </w:tcPr>
          <w:p w14:paraId="7A2C345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754291A2" w14:textId="77777777" w:rsidTr="000551E0">
        <w:tc>
          <w:tcPr>
            <w:tcW w:w="4314" w:type="dxa"/>
          </w:tcPr>
          <w:p w14:paraId="4BB72373"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nasopharyngitis</w:t>
            </w:r>
          </w:p>
        </w:tc>
        <w:tc>
          <w:tcPr>
            <w:tcW w:w="1332" w:type="dxa"/>
          </w:tcPr>
          <w:p w14:paraId="4BD7E0EC"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33DC9806"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7.1</w:t>
            </w:r>
          </w:p>
        </w:tc>
        <w:tc>
          <w:tcPr>
            <w:tcW w:w="1542" w:type="dxa"/>
          </w:tcPr>
          <w:p w14:paraId="30C0F34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7.1</w:t>
            </w:r>
          </w:p>
        </w:tc>
      </w:tr>
      <w:tr w:rsidR="00A53023" w:rsidRPr="00D92C04" w14:paraId="4B45A77C" w14:textId="77777777" w:rsidTr="000551E0">
        <w:tc>
          <w:tcPr>
            <w:tcW w:w="4314" w:type="dxa"/>
          </w:tcPr>
          <w:p w14:paraId="15D9EAB1" w14:textId="77777777" w:rsidR="00A53023" w:rsidRPr="00D92C04" w:rsidRDefault="00A53023" w:rsidP="00A53023">
            <w:pPr>
              <w:pStyle w:val="Tabletext"/>
              <w:spacing w:before="0" w:after="0" w:line="240" w:lineRule="auto"/>
              <w:ind w:right="57"/>
              <w:contextualSpacing/>
              <w:jc w:val="right"/>
              <w:rPr>
                <w:rFonts w:cs="Calibri"/>
                <w:i/>
              </w:rPr>
            </w:pPr>
            <w:proofErr w:type="gramStart"/>
            <w:r w:rsidRPr="00D92C04">
              <w:rPr>
                <w:rFonts w:cs="Calibri"/>
                <w:i/>
              </w:rPr>
              <w:t>dyspnoea,%</w:t>
            </w:r>
            <w:proofErr w:type="gramEnd"/>
          </w:p>
        </w:tc>
        <w:tc>
          <w:tcPr>
            <w:tcW w:w="1332" w:type="dxa"/>
          </w:tcPr>
          <w:p w14:paraId="640D3F12"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13.9</w:t>
            </w:r>
          </w:p>
        </w:tc>
        <w:tc>
          <w:tcPr>
            <w:tcW w:w="1296" w:type="dxa"/>
          </w:tcPr>
          <w:p w14:paraId="6B398D46"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6.1</w:t>
            </w:r>
          </w:p>
        </w:tc>
        <w:tc>
          <w:tcPr>
            <w:tcW w:w="1542" w:type="dxa"/>
          </w:tcPr>
          <w:p w14:paraId="19ED9A50"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3.6</w:t>
            </w:r>
          </w:p>
        </w:tc>
      </w:tr>
      <w:tr w:rsidR="00A53023" w:rsidRPr="00D92C04" w14:paraId="5E5A06A9" w14:textId="77777777" w:rsidTr="000551E0">
        <w:tc>
          <w:tcPr>
            <w:tcW w:w="4314" w:type="dxa"/>
          </w:tcPr>
          <w:p w14:paraId="4A371145"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nausea, %</w:t>
            </w:r>
          </w:p>
        </w:tc>
        <w:tc>
          <w:tcPr>
            <w:tcW w:w="1332" w:type="dxa"/>
          </w:tcPr>
          <w:p w14:paraId="3D9E5A02"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14.9</w:t>
            </w:r>
          </w:p>
        </w:tc>
        <w:tc>
          <w:tcPr>
            <w:tcW w:w="1296" w:type="dxa"/>
          </w:tcPr>
          <w:p w14:paraId="7EEFE5A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13.3</w:t>
            </w:r>
          </w:p>
        </w:tc>
        <w:tc>
          <w:tcPr>
            <w:tcW w:w="1542" w:type="dxa"/>
          </w:tcPr>
          <w:p w14:paraId="544B0DB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3.6</w:t>
            </w:r>
          </w:p>
        </w:tc>
      </w:tr>
      <w:tr w:rsidR="00A53023" w:rsidRPr="00D92C04" w14:paraId="610F28C0" w14:textId="77777777" w:rsidTr="000551E0">
        <w:tc>
          <w:tcPr>
            <w:tcW w:w="4314" w:type="dxa"/>
          </w:tcPr>
          <w:p w14:paraId="3EBE71CA"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headache, %</w:t>
            </w:r>
          </w:p>
        </w:tc>
        <w:tc>
          <w:tcPr>
            <w:tcW w:w="1332" w:type="dxa"/>
          </w:tcPr>
          <w:p w14:paraId="2B20178B"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14.9</w:t>
            </w:r>
          </w:p>
        </w:tc>
        <w:tc>
          <w:tcPr>
            <w:tcW w:w="1296" w:type="dxa"/>
          </w:tcPr>
          <w:p w14:paraId="0933FC14"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11.2</w:t>
            </w:r>
          </w:p>
        </w:tc>
        <w:tc>
          <w:tcPr>
            <w:tcW w:w="1542" w:type="dxa"/>
          </w:tcPr>
          <w:p w14:paraId="2A5A30CE"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353FEC12" w14:textId="77777777" w:rsidTr="000551E0">
        <w:tc>
          <w:tcPr>
            <w:tcW w:w="4314" w:type="dxa"/>
          </w:tcPr>
          <w:p w14:paraId="1D9B2665"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atrial fibrillation, %</w:t>
            </w:r>
          </w:p>
        </w:tc>
        <w:tc>
          <w:tcPr>
            <w:tcW w:w="1332" w:type="dxa"/>
          </w:tcPr>
          <w:p w14:paraId="641C9F98"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2</w:t>
            </w:r>
          </w:p>
        </w:tc>
        <w:tc>
          <w:tcPr>
            <w:tcW w:w="1296" w:type="dxa"/>
          </w:tcPr>
          <w:p w14:paraId="39237F2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c>
          <w:tcPr>
            <w:tcW w:w="1542" w:type="dxa"/>
            <w:shd w:val="clear" w:color="auto" w:fill="F2F2F2" w:themeFill="background1" w:themeFillShade="F2"/>
          </w:tcPr>
          <w:p w14:paraId="21D2F64F"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76A8F3B0" w14:textId="77777777" w:rsidTr="000551E0">
        <w:tc>
          <w:tcPr>
            <w:tcW w:w="4314" w:type="dxa"/>
          </w:tcPr>
          <w:p w14:paraId="7050514B"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back pain, %</w:t>
            </w:r>
          </w:p>
        </w:tc>
        <w:tc>
          <w:tcPr>
            <w:tcW w:w="1332" w:type="dxa"/>
          </w:tcPr>
          <w:p w14:paraId="544B938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13.9</w:t>
            </w:r>
          </w:p>
        </w:tc>
        <w:tc>
          <w:tcPr>
            <w:tcW w:w="1296" w:type="dxa"/>
          </w:tcPr>
          <w:p w14:paraId="72673718"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6.1</w:t>
            </w:r>
          </w:p>
        </w:tc>
        <w:tc>
          <w:tcPr>
            <w:tcW w:w="1542" w:type="dxa"/>
          </w:tcPr>
          <w:p w14:paraId="7CB9957E"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2E5F3C1D" w14:textId="77777777" w:rsidTr="000551E0">
        <w:tc>
          <w:tcPr>
            <w:tcW w:w="4314" w:type="dxa"/>
          </w:tcPr>
          <w:p w14:paraId="4A999CF3"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vomiting, %</w:t>
            </w:r>
          </w:p>
        </w:tc>
        <w:tc>
          <w:tcPr>
            <w:tcW w:w="1332" w:type="dxa"/>
          </w:tcPr>
          <w:p w14:paraId="0226F36B"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8.9</w:t>
            </w:r>
          </w:p>
        </w:tc>
        <w:tc>
          <w:tcPr>
            <w:tcW w:w="1296" w:type="dxa"/>
          </w:tcPr>
          <w:p w14:paraId="2B54FAE2"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13.3</w:t>
            </w:r>
          </w:p>
        </w:tc>
        <w:tc>
          <w:tcPr>
            <w:tcW w:w="1542" w:type="dxa"/>
            <w:shd w:val="clear" w:color="auto" w:fill="F2F2F2" w:themeFill="background1" w:themeFillShade="F2"/>
          </w:tcPr>
          <w:p w14:paraId="76296D9E"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48CC89EA" w14:textId="77777777" w:rsidTr="000551E0">
        <w:tc>
          <w:tcPr>
            <w:tcW w:w="4314" w:type="dxa"/>
          </w:tcPr>
          <w:p w14:paraId="1691E5CD"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dizziness, %</w:t>
            </w:r>
          </w:p>
        </w:tc>
        <w:tc>
          <w:tcPr>
            <w:tcW w:w="1332" w:type="dxa"/>
          </w:tcPr>
          <w:p w14:paraId="7629A4F6"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36AA7A1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9.2</w:t>
            </w:r>
          </w:p>
        </w:tc>
        <w:tc>
          <w:tcPr>
            <w:tcW w:w="1542" w:type="dxa"/>
          </w:tcPr>
          <w:p w14:paraId="451B710B"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3.6</w:t>
            </w:r>
          </w:p>
        </w:tc>
      </w:tr>
      <w:tr w:rsidR="00A53023" w:rsidRPr="00D92C04" w14:paraId="020A2DA5" w14:textId="77777777" w:rsidTr="000551E0">
        <w:tc>
          <w:tcPr>
            <w:tcW w:w="4314" w:type="dxa"/>
          </w:tcPr>
          <w:p w14:paraId="69D3A475"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pyrexia, %</w:t>
            </w:r>
          </w:p>
        </w:tc>
        <w:tc>
          <w:tcPr>
            <w:tcW w:w="1332" w:type="dxa"/>
          </w:tcPr>
          <w:p w14:paraId="7758FD29"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12.9</w:t>
            </w:r>
          </w:p>
        </w:tc>
        <w:tc>
          <w:tcPr>
            <w:tcW w:w="1296" w:type="dxa"/>
          </w:tcPr>
          <w:p w14:paraId="2BF4F3E0"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12.2</w:t>
            </w:r>
          </w:p>
        </w:tc>
        <w:tc>
          <w:tcPr>
            <w:tcW w:w="1542" w:type="dxa"/>
          </w:tcPr>
          <w:p w14:paraId="6F3C941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21.4</w:t>
            </w:r>
          </w:p>
        </w:tc>
      </w:tr>
      <w:tr w:rsidR="00A53023" w:rsidRPr="00D92C04" w14:paraId="3BFB5E09" w14:textId="77777777" w:rsidTr="000551E0">
        <w:tc>
          <w:tcPr>
            <w:tcW w:w="4314" w:type="dxa"/>
          </w:tcPr>
          <w:p w14:paraId="5B85CD02"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color w:val="auto"/>
              </w:rPr>
              <w:t>pneumonia %</w:t>
            </w:r>
          </w:p>
        </w:tc>
        <w:tc>
          <w:tcPr>
            <w:tcW w:w="1332" w:type="dxa"/>
          </w:tcPr>
          <w:p w14:paraId="3716BD2A"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2</w:t>
            </w:r>
          </w:p>
        </w:tc>
        <w:tc>
          <w:tcPr>
            <w:tcW w:w="1296" w:type="dxa"/>
          </w:tcPr>
          <w:p w14:paraId="7E63D343"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12.2</w:t>
            </w:r>
          </w:p>
        </w:tc>
        <w:tc>
          <w:tcPr>
            <w:tcW w:w="1542" w:type="dxa"/>
            <w:shd w:val="clear" w:color="auto" w:fill="F2F2F2" w:themeFill="background1" w:themeFillShade="F2"/>
          </w:tcPr>
          <w:p w14:paraId="56ACBDD4"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15D9AB0F" w14:textId="77777777" w:rsidTr="000551E0">
        <w:tc>
          <w:tcPr>
            <w:tcW w:w="4314" w:type="dxa"/>
          </w:tcPr>
          <w:p w14:paraId="355347F3" w14:textId="77777777" w:rsidR="00A53023" w:rsidRPr="00D92C04" w:rsidRDefault="00A53023" w:rsidP="00A53023">
            <w:pPr>
              <w:pStyle w:val="Tabletext"/>
              <w:spacing w:before="0" w:after="0" w:line="240" w:lineRule="auto"/>
              <w:ind w:right="57"/>
              <w:contextualSpacing/>
              <w:jc w:val="right"/>
              <w:rPr>
                <w:rFonts w:cs="Calibri"/>
                <w:i/>
              </w:rPr>
            </w:pPr>
            <w:r w:rsidRPr="00D92C04">
              <w:rPr>
                <w:rFonts w:cs="Calibri"/>
                <w:i/>
              </w:rPr>
              <w:t>pain in extremity, %</w:t>
            </w:r>
          </w:p>
        </w:tc>
        <w:tc>
          <w:tcPr>
            <w:tcW w:w="1332" w:type="dxa"/>
          </w:tcPr>
          <w:p w14:paraId="56FC1675"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1FF676E6"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7.1</w:t>
            </w:r>
          </w:p>
        </w:tc>
        <w:tc>
          <w:tcPr>
            <w:tcW w:w="1542" w:type="dxa"/>
            <w:shd w:val="clear" w:color="auto" w:fill="F2F2F2" w:themeFill="background1" w:themeFillShade="F2"/>
          </w:tcPr>
          <w:p w14:paraId="4D3C1AB7" w14:textId="77777777" w:rsidR="00A53023" w:rsidRPr="00D92C04" w:rsidRDefault="00A53023" w:rsidP="00A53023">
            <w:pPr>
              <w:pStyle w:val="Tabletext"/>
              <w:spacing w:before="0" w:after="0" w:line="240" w:lineRule="auto"/>
              <w:contextualSpacing/>
              <w:jc w:val="center"/>
              <w:rPr>
                <w:rFonts w:ascii="Calibri" w:hAnsi="Calibri" w:cs="Calibri"/>
                <w:i/>
                <w:color w:val="9160CB" w:themeColor="accent5" w:themeTint="99"/>
              </w:rPr>
            </w:pPr>
          </w:p>
        </w:tc>
      </w:tr>
      <w:tr w:rsidR="00A53023" w:rsidRPr="00D92C04" w14:paraId="064F8E7C" w14:textId="77777777" w:rsidTr="000551E0">
        <w:tc>
          <w:tcPr>
            <w:tcW w:w="4314" w:type="dxa"/>
          </w:tcPr>
          <w:p w14:paraId="5A842A5A"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color w:val="auto"/>
              </w:rPr>
              <w:t>anaemia, %</w:t>
            </w:r>
          </w:p>
        </w:tc>
        <w:tc>
          <w:tcPr>
            <w:tcW w:w="1332" w:type="dxa"/>
          </w:tcPr>
          <w:p w14:paraId="1B59989D"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11.9</w:t>
            </w:r>
          </w:p>
        </w:tc>
        <w:tc>
          <w:tcPr>
            <w:tcW w:w="1296" w:type="dxa"/>
          </w:tcPr>
          <w:p w14:paraId="57407150"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10.2</w:t>
            </w:r>
          </w:p>
        </w:tc>
        <w:tc>
          <w:tcPr>
            <w:tcW w:w="1542" w:type="dxa"/>
          </w:tcPr>
          <w:p w14:paraId="5E47DF54"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21.4</w:t>
            </w:r>
          </w:p>
        </w:tc>
      </w:tr>
      <w:tr w:rsidR="00A53023" w:rsidRPr="00D92C04" w14:paraId="71153061" w14:textId="77777777" w:rsidTr="000551E0">
        <w:tc>
          <w:tcPr>
            <w:tcW w:w="4314" w:type="dxa"/>
          </w:tcPr>
          <w:p w14:paraId="3519CCEA"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color w:val="auto"/>
              </w:rPr>
              <w:t xml:space="preserve">urinary tract </w:t>
            </w:r>
            <w:proofErr w:type="gramStart"/>
            <w:r w:rsidRPr="00D92C04">
              <w:rPr>
                <w:rFonts w:cs="Calibri"/>
                <w:i/>
                <w:color w:val="auto"/>
              </w:rPr>
              <w:t>infection,%</w:t>
            </w:r>
            <w:proofErr w:type="gramEnd"/>
          </w:p>
        </w:tc>
        <w:tc>
          <w:tcPr>
            <w:tcW w:w="1332" w:type="dxa"/>
          </w:tcPr>
          <w:p w14:paraId="39D70ABE"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9.9</w:t>
            </w:r>
          </w:p>
        </w:tc>
        <w:tc>
          <w:tcPr>
            <w:tcW w:w="1296" w:type="dxa"/>
          </w:tcPr>
          <w:p w14:paraId="09C3FDC8"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10.2</w:t>
            </w:r>
          </w:p>
        </w:tc>
        <w:tc>
          <w:tcPr>
            <w:tcW w:w="1542" w:type="dxa"/>
          </w:tcPr>
          <w:p w14:paraId="3EEBA491"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14.3</w:t>
            </w:r>
          </w:p>
        </w:tc>
      </w:tr>
      <w:tr w:rsidR="00A53023" w:rsidRPr="00D92C04" w14:paraId="5AA92896" w14:textId="77777777" w:rsidTr="000551E0">
        <w:tc>
          <w:tcPr>
            <w:tcW w:w="4314" w:type="dxa"/>
          </w:tcPr>
          <w:p w14:paraId="54EDF40B" w14:textId="77777777" w:rsidR="00A53023" w:rsidRPr="00D92C04" w:rsidRDefault="00A53023" w:rsidP="00A53023">
            <w:pPr>
              <w:pStyle w:val="Tabletext"/>
              <w:spacing w:before="0" w:after="0" w:line="240" w:lineRule="auto"/>
              <w:ind w:left="0" w:right="57"/>
              <w:contextualSpacing/>
              <w:jc w:val="right"/>
              <w:rPr>
                <w:rFonts w:cs="Calibri"/>
                <w:i/>
                <w:color w:val="auto"/>
              </w:rPr>
            </w:pPr>
            <w:r w:rsidRPr="00D92C04">
              <w:rPr>
                <w:rFonts w:cs="Calibri"/>
                <w:i/>
                <w:color w:val="auto"/>
              </w:rPr>
              <w:t>thrombocytopenia, %</w:t>
            </w:r>
          </w:p>
        </w:tc>
        <w:tc>
          <w:tcPr>
            <w:tcW w:w="1332" w:type="dxa"/>
          </w:tcPr>
          <w:p w14:paraId="47B83F1C"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9.9</w:t>
            </w:r>
          </w:p>
        </w:tc>
        <w:tc>
          <w:tcPr>
            <w:tcW w:w="1296" w:type="dxa"/>
          </w:tcPr>
          <w:p w14:paraId="0259EB58"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10.2</w:t>
            </w:r>
          </w:p>
        </w:tc>
        <w:tc>
          <w:tcPr>
            <w:tcW w:w="1542" w:type="dxa"/>
          </w:tcPr>
          <w:p w14:paraId="4EA63E19" w14:textId="77777777" w:rsidR="00A53023" w:rsidRPr="00D92C04" w:rsidRDefault="00A53023" w:rsidP="00A53023">
            <w:pPr>
              <w:pStyle w:val="Tabletext"/>
              <w:spacing w:before="0" w:after="0" w:line="240" w:lineRule="auto"/>
              <w:contextualSpacing/>
              <w:jc w:val="center"/>
              <w:rPr>
                <w:rFonts w:ascii="Calibri" w:hAnsi="Calibri" w:cs="Calibri"/>
                <w:i/>
                <w:color w:val="9160CB" w:themeColor="accent5" w:themeTint="99"/>
              </w:rPr>
            </w:pPr>
            <w:r w:rsidRPr="00D92C04">
              <w:rPr>
                <w:rFonts w:ascii="Calibri" w:hAnsi="Calibri" w:cs="Calibri"/>
                <w:i/>
                <w:color w:val="auto"/>
              </w:rPr>
              <w:t>10.7</w:t>
            </w:r>
          </w:p>
        </w:tc>
      </w:tr>
      <w:tr w:rsidR="00A53023" w:rsidRPr="00D92C04" w14:paraId="5D74E2B3" w14:textId="77777777" w:rsidTr="000551E0">
        <w:tc>
          <w:tcPr>
            <w:tcW w:w="4314" w:type="dxa"/>
          </w:tcPr>
          <w:p w14:paraId="2686FBBA" w14:textId="77777777" w:rsidR="00A53023" w:rsidRPr="00D92C04" w:rsidRDefault="00A53023" w:rsidP="00A53023">
            <w:pPr>
              <w:pStyle w:val="Tabletext"/>
              <w:spacing w:before="0" w:after="0" w:line="240" w:lineRule="auto"/>
              <w:ind w:right="57"/>
              <w:contextualSpacing/>
              <w:jc w:val="right"/>
              <w:rPr>
                <w:rFonts w:cs="Calibri"/>
                <w:i/>
                <w:color w:val="auto"/>
              </w:rPr>
            </w:pPr>
            <w:r w:rsidRPr="00D92C04">
              <w:rPr>
                <w:rFonts w:cs="Calibri"/>
                <w:i/>
                <w:color w:val="auto"/>
              </w:rPr>
              <w:t>haematuria %</w:t>
            </w:r>
          </w:p>
        </w:tc>
        <w:tc>
          <w:tcPr>
            <w:tcW w:w="1332" w:type="dxa"/>
          </w:tcPr>
          <w:p w14:paraId="2373E45E"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color w:val="auto"/>
              </w:rPr>
            </w:pPr>
            <w:r w:rsidRPr="00D92C04">
              <w:rPr>
                <w:rFonts w:ascii="Calibri" w:hAnsi="Calibri" w:cs="Calibri"/>
                <w:i/>
                <w:color w:val="auto"/>
              </w:rPr>
              <w:t>6.9</w:t>
            </w:r>
          </w:p>
        </w:tc>
        <w:tc>
          <w:tcPr>
            <w:tcW w:w="1296" w:type="dxa"/>
          </w:tcPr>
          <w:p w14:paraId="300C9CCD"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10.2</w:t>
            </w:r>
          </w:p>
        </w:tc>
        <w:tc>
          <w:tcPr>
            <w:tcW w:w="1542" w:type="dxa"/>
            <w:shd w:val="clear" w:color="auto" w:fill="F2F2F2" w:themeFill="background1" w:themeFillShade="F2"/>
          </w:tcPr>
          <w:p w14:paraId="6EE83638" w14:textId="77777777" w:rsidR="00A53023" w:rsidRPr="00D92C04" w:rsidRDefault="00A53023" w:rsidP="00A53023">
            <w:pPr>
              <w:pStyle w:val="Tabletext"/>
              <w:spacing w:before="0" w:after="0" w:line="240" w:lineRule="auto"/>
              <w:contextualSpacing/>
              <w:jc w:val="center"/>
              <w:rPr>
                <w:rFonts w:ascii="Calibri" w:hAnsi="Calibri" w:cs="Calibri"/>
                <w:i/>
                <w:color w:val="9160CB" w:themeColor="accent5" w:themeTint="99"/>
              </w:rPr>
            </w:pPr>
          </w:p>
        </w:tc>
      </w:tr>
      <w:tr w:rsidR="00A53023" w:rsidRPr="00D92C04" w14:paraId="1FB355F1" w14:textId="77777777" w:rsidTr="000551E0">
        <w:tc>
          <w:tcPr>
            <w:tcW w:w="6942" w:type="dxa"/>
            <w:gridSpan w:val="3"/>
          </w:tcPr>
          <w:p w14:paraId="6829DDA4" w14:textId="77777777" w:rsidR="00A53023" w:rsidRPr="00D92C04" w:rsidRDefault="00A53023" w:rsidP="00A53023">
            <w:pPr>
              <w:pStyle w:val="Tabletext"/>
              <w:spacing w:before="0" w:after="0" w:line="240" w:lineRule="auto"/>
              <w:contextualSpacing/>
              <w:rPr>
                <w:rFonts w:ascii="Calibri" w:hAnsi="Calibri" w:cs="Calibri"/>
                <w:color w:val="auto"/>
              </w:rPr>
            </w:pPr>
            <w:r w:rsidRPr="00D92C04">
              <w:rPr>
                <w:rFonts w:ascii="Calibri" w:hAnsi="Calibri" w:cs="Calibri"/>
                <w:b/>
                <w:color w:val="auto"/>
              </w:rPr>
              <w:t>Serious TEAEs (SAE)</w:t>
            </w:r>
          </w:p>
        </w:tc>
        <w:tc>
          <w:tcPr>
            <w:tcW w:w="1542" w:type="dxa"/>
          </w:tcPr>
          <w:p w14:paraId="2928DD02"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695F180E" w14:textId="77777777" w:rsidTr="000551E0">
        <w:tc>
          <w:tcPr>
            <w:tcW w:w="4314" w:type="dxa"/>
          </w:tcPr>
          <w:p w14:paraId="3DF4CB94" w14:textId="77777777" w:rsidR="00A53023" w:rsidRPr="00D92C04" w:rsidRDefault="00A53023" w:rsidP="00A53023">
            <w:pPr>
              <w:pStyle w:val="Tabletext"/>
              <w:spacing w:before="0" w:after="0" w:line="240" w:lineRule="auto"/>
              <w:ind w:left="0"/>
              <w:contextualSpacing/>
              <w:rPr>
                <w:rFonts w:ascii="Calibri" w:hAnsi="Calibri" w:cs="Calibri"/>
                <w:color w:val="auto"/>
              </w:rPr>
            </w:pPr>
            <w:r w:rsidRPr="00D92C04">
              <w:rPr>
                <w:rFonts w:ascii="Calibri" w:hAnsi="Calibri" w:cs="Calibri"/>
                <w:color w:val="auto"/>
              </w:rPr>
              <w:t>Subjects with at least one SAE, %</w:t>
            </w:r>
          </w:p>
        </w:tc>
        <w:tc>
          <w:tcPr>
            <w:tcW w:w="1332" w:type="dxa"/>
          </w:tcPr>
          <w:p w14:paraId="7332BC1D"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color w:val="auto"/>
              </w:rPr>
            </w:pPr>
            <w:r w:rsidRPr="00D92C04">
              <w:rPr>
                <w:rFonts w:ascii="Calibri" w:hAnsi="Calibri" w:cs="Calibri"/>
                <w:color w:val="auto"/>
              </w:rPr>
              <w:t>39.6</w:t>
            </w:r>
          </w:p>
        </w:tc>
        <w:tc>
          <w:tcPr>
            <w:tcW w:w="1296" w:type="dxa"/>
          </w:tcPr>
          <w:p w14:paraId="7C678C15" w14:textId="77777777" w:rsidR="00A53023" w:rsidRPr="00D92C04" w:rsidRDefault="00A53023" w:rsidP="00A53023">
            <w:pPr>
              <w:pStyle w:val="Tabletext"/>
              <w:spacing w:before="0" w:after="0" w:line="240" w:lineRule="auto"/>
              <w:contextualSpacing/>
              <w:jc w:val="center"/>
              <w:rPr>
                <w:rFonts w:ascii="Calibri" w:hAnsi="Calibri" w:cs="Calibri"/>
                <w:color w:val="auto"/>
              </w:rPr>
            </w:pPr>
            <w:r w:rsidRPr="00D92C04">
              <w:rPr>
                <w:rFonts w:ascii="Calibri" w:hAnsi="Calibri" w:cs="Calibri"/>
                <w:color w:val="auto"/>
              </w:rPr>
              <w:t>40.8</w:t>
            </w:r>
          </w:p>
        </w:tc>
        <w:tc>
          <w:tcPr>
            <w:tcW w:w="1542" w:type="dxa"/>
          </w:tcPr>
          <w:p w14:paraId="2B760308"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39.3</w:t>
            </w:r>
          </w:p>
        </w:tc>
      </w:tr>
      <w:tr w:rsidR="00A53023" w:rsidRPr="00D92C04" w14:paraId="20E246B4" w14:textId="77777777" w:rsidTr="000551E0">
        <w:tc>
          <w:tcPr>
            <w:tcW w:w="6942" w:type="dxa"/>
            <w:gridSpan w:val="3"/>
          </w:tcPr>
          <w:p w14:paraId="002ABC3D" w14:textId="77777777" w:rsidR="00A53023" w:rsidRPr="00D92C04" w:rsidRDefault="00A53023" w:rsidP="00A53023">
            <w:pPr>
              <w:pStyle w:val="Tabletext"/>
              <w:tabs>
                <w:tab w:val="left" w:pos="3148"/>
              </w:tabs>
              <w:spacing w:before="0" w:after="0" w:line="240" w:lineRule="auto"/>
              <w:ind w:left="0" w:right="0"/>
              <w:contextualSpacing/>
              <w:rPr>
                <w:rFonts w:ascii="Calibri" w:hAnsi="Calibri" w:cs="Calibri"/>
                <w:color w:val="auto"/>
              </w:rPr>
            </w:pPr>
            <w:r w:rsidRPr="00D92C04">
              <w:rPr>
                <w:rFonts w:ascii="Calibri" w:hAnsi="Calibri" w:cs="Calibri"/>
                <w:color w:val="auto"/>
              </w:rPr>
              <w:t xml:space="preserve">Most common SAEs (&gt;2% in either arm, </w:t>
            </w:r>
            <w:proofErr w:type="gramStart"/>
            <w:r w:rsidRPr="00D92C04">
              <w:rPr>
                <w:rFonts w:ascii="Calibri" w:hAnsi="Calibri" w:cs="Calibri"/>
                <w:color w:val="auto"/>
              </w:rPr>
              <w:t>and</w:t>
            </w:r>
            <w:proofErr w:type="gramEnd"/>
            <w:r w:rsidRPr="00D92C04">
              <w:rPr>
                <w:rFonts w:ascii="Calibri" w:hAnsi="Calibri" w:cs="Calibri"/>
                <w:color w:val="auto"/>
              </w:rPr>
              <w:t xml:space="preserve"> &gt; 1 patient):</w:t>
            </w:r>
          </w:p>
        </w:tc>
        <w:tc>
          <w:tcPr>
            <w:tcW w:w="1542" w:type="dxa"/>
          </w:tcPr>
          <w:p w14:paraId="028419E6" w14:textId="77777777" w:rsidR="00A53023" w:rsidRPr="00D92C04" w:rsidRDefault="00A53023" w:rsidP="00A53023">
            <w:pPr>
              <w:pStyle w:val="Tabletext"/>
              <w:tabs>
                <w:tab w:val="left" w:pos="3148"/>
              </w:tabs>
              <w:spacing w:before="0" w:after="0" w:line="240" w:lineRule="auto"/>
              <w:contextualSpacing/>
              <w:rPr>
                <w:rFonts w:ascii="Calibri" w:hAnsi="Calibri" w:cs="Calibri"/>
              </w:rPr>
            </w:pPr>
          </w:p>
        </w:tc>
      </w:tr>
      <w:tr w:rsidR="00A53023" w:rsidRPr="00D92C04" w14:paraId="228B7698" w14:textId="77777777" w:rsidTr="000551E0">
        <w:tc>
          <w:tcPr>
            <w:tcW w:w="4314" w:type="dxa"/>
          </w:tcPr>
          <w:p w14:paraId="23BF2772" w14:textId="77777777" w:rsidR="00A53023" w:rsidRPr="00D92C04" w:rsidRDefault="00A53023" w:rsidP="00A53023">
            <w:pPr>
              <w:pStyle w:val="Tabletext"/>
              <w:spacing w:before="0" w:after="0" w:line="240" w:lineRule="auto"/>
              <w:ind w:left="0" w:right="57"/>
              <w:contextualSpacing/>
              <w:jc w:val="right"/>
              <w:rPr>
                <w:rFonts w:ascii="Calibri" w:hAnsi="Calibri" w:cs="Calibri"/>
                <w:i/>
                <w:color w:val="auto"/>
              </w:rPr>
            </w:pPr>
            <w:r w:rsidRPr="00D92C04">
              <w:rPr>
                <w:rFonts w:ascii="Calibri" w:hAnsi="Calibri" w:cs="Calibri"/>
                <w:i/>
                <w:color w:val="auto"/>
              </w:rPr>
              <w:t>Febrile neutropenia, %</w:t>
            </w:r>
          </w:p>
        </w:tc>
        <w:tc>
          <w:tcPr>
            <w:tcW w:w="1332" w:type="dxa"/>
          </w:tcPr>
          <w:p w14:paraId="7758FF9D"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3</w:t>
            </w:r>
          </w:p>
        </w:tc>
        <w:tc>
          <w:tcPr>
            <w:tcW w:w="1296" w:type="dxa"/>
          </w:tcPr>
          <w:p w14:paraId="2C531F43"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0</w:t>
            </w:r>
          </w:p>
        </w:tc>
        <w:tc>
          <w:tcPr>
            <w:tcW w:w="1542" w:type="dxa"/>
            <w:shd w:val="clear" w:color="auto" w:fill="F2F2F2" w:themeFill="background1" w:themeFillShade="F2"/>
          </w:tcPr>
          <w:p w14:paraId="0BE31AE5"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p>
        </w:tc>
      </w:tr>
      <w:tr w:rsidR="00A53023" w:rsidRPr="00D92C04" w14:paraId="0E722269" w14:textId="77777777" w:rsidTr="000551E0">
        <w:tc>
          <w:tcPr>
            <w:tcW w:w="4314" w:type="dxa"/>
          </w:tcPr>
          <w:p w14:paraId="5B516FEC" w14:textId="77777777" w:rsidR="00A53023" w:rsidRPr="00D92C04" w:rsidRDefault="00A53023" w:rsidP="00A53023">
            <w:pPr>
              <w:pStyle w:val="Tabletext"/>
              <w:spacing w:before="0" w:after="0" w:line="240" w:lineRule="auto"/>
              <w:ind w:right="57"/>
              <w:contextualSpacing/>
              <w:jc w:val="right"/>
              <w:rPr>
                <w:rFonts w:ascii="Calibri" w:hAnsi="Calibri" w:cs="Calibri"/>
                <w:i/>
                <w:color w:val="auto"/>
              </w:rPr>
            </w:pPr>
            <w:r w:rsidRPr="00D92C04">
              <w:rPr>
                <w:rFonts w:ascii="Calibri" w:hAnsi="Calibri" w:cs="Calibri"/>
                <w:i/>
                <w:color w:val="auto"/>
              </w:rPr>
              <w:t>neutropenia, %</w:t>
            </w:r>
          </w:p>
        </w:tc>
        <w:tc>
          <w:tcPr>
            <w:tcW w:w="1332" w:type="dxa"/>
          </w:tcPr>
          <w:p w14:paraId="5E3F8E3E"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color w:val="auto"/>
              </w:rPr>
            </w:pPr>
            <w:r w:rsidRPr="00D92C04">
              <w:rPr>
                <w:rFonts w:ascii="Calibri" w:hAnsi="Calibri" w:cs="Calibri"/>
                <w:i/>
                <w:color w:val="auto"/>
              </w:rPr>
              <w:t>3</w:t>
            </w:r>
          </w:p>
        </w:tc>
        <w:tc>
          <w:tcPr>
            <w:tcW w:w="1296" w:type="dxa"/>
          </w:tcPr>
          <w:p w14:paraId="4740D4BD"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0</w:t>
            </w:r>
          </w:p>
        </w:tc>
        <w:tc>
          <w:tcPr>
            <w:tcW w:w="1542" w:type="dxa"/>
            <w:shd w:val="clear" w:color="auto" w:fill="F2F2F2" w:themeFill="background1" w:themeFillShade="F2"/>
          </w:tcPr>
          <w:p w14:paraId="1D2E25F0"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p>
        </w:tc>
      </w:tr>
      <w:tr w:rsidR="00A53023" w:rsidRPr="00D92C04" w14:paraId="74CFEEF7" w14:textId="77777777" w:rsidTr="000551E0">
        <w:tc>
          <w:tcPr>
            <w:tcW w:w="4314" w:type="dxa"/>
          </w:tcPr>
          <w:p w14:paraId="4B9ECECA" w14:textId="77777777" w:rsidR="00A53023" w:rsidRPr="00D92C04" w:rsidRDefault="00A53023" w:rsidP="00A53023">
            <w:pPr>
              <w:pStyle w:val="Tabletext"/>
              <w:spacing w:before="0" w:after="0" w:line="240" w:lineRule="auto"/>
              <w:ind w:left="0" w:right="57"/>
              <w:contextualSpacing/>
              <w:jc w:val="right"/>
              <w:rPr>
                <w:rFonts w:ascii="Calibri" w:hAnsi="Calibri" w:cs="Calibri"/>
                <w:i/>
                <w:color w:val="auto"/>
              </w:rPr>
            </w:pPr>
            <w:r w:rsidRPr="00D92C04">
              <w:rPr>
                <w:rFonts w:ascii="Calibri" w:hAnsi="Calibri" w:cs="Calibri"/>
                <w:i/>
                <w:color w:val="auto"/>
              </w:rPr>
              <w:t>influenza %</w:t>
            </w:r>
          </w:p>
        </w:tc>
        <w:tc>
          <w:tcPr>
            <w:tcW w:w="1332" w:type="dxa"/>
          </w:tcPr>
          <w:p w14:paraId="26700183"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3</w:t>
            </w:r>
          </w:p>
        </w:tc>
        <w:tc>
          <w:tcPr>
            <w:tcW w:w="1296" w:type="dxa"/>
          </w:tcPr>
          <w:p w14:paraId="31F6C82C" w14:textId="77777777" w:rsidR="00A53023" w:rsidRPr="00D92C04" w:rsidRDefault="00A53023" w:rsidP="00A53023">
            <w:pPr>
              <w:pStyle w:val="Tabletext"/>
              <w:spacing w:before="0" w:after="0" w:line="240" w:lineRule="auto"/>
              <w:ind w:left="0" w:right="0"/>
              <w:contextualSpacing/>
              <w:jc w:val="center"/>
              <w:rPr>
                <w:rFonts w:ascii="Calibri" w:hAnsi="Calibri" w:cs="Calibri"/>
                <w:i/>
                <w:color w:val="auto"/>
              </w:rPr>
            </w:pPr>
            <w:r w:rsidRPr="00D92C04">
              <w:rPr>
                <w:rFonts w:ascii="Calibri" w:hAnsi="Calibri" w:cs="Calibri"/>
                <w:i/>
                <w:color w:val="auto"/>
              </w:rPr>
              <w:t>1</w:t>
            </w:r>
          </w:p>
        </w:tc>
        <w:tc>
          <w:tcPr>
            <w:tcW w:w="1542" w:type="dxa"/>
            <w:shd w:val="clear" w:color="auto" w:fill="F2F2F2" w:themeFill="background1" w:themeFillShade="F2"/>
          </w:tcPr>
          <w:p w14:paraId="636A01B2"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p>
        </w:tc>
      </w:tr>
      <w:tr w:rsidR="00A53023" w:rsidRPr="00D92C04" w14:paraId="57FC9C51" w14:textId="77777777" w:rsidTr="000551E0">
        <w:tc>
          <w:tcPr>
            <w:tcW w:w="4314" w:type="dxa"/>
          </w:tcPr>
          <w:p w14:paraId="680F69BF"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pneumonia, %</w:t>
            </w:r>
          </w:p>
        </w:tc>
        <w:tc>
          <w:tcPr>
            <w:tcW w:w="1332" w:type="dxa"/>
          </w:tcPr>
          <w:p w14:paraId="3258B382"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w:t>
            </w:r>
          </w:p>
        </w:tc>
        <w:tc>
          <w:tcPr>
            <w:tcW w:w="1296" w:type="dxa"/>
          </w:tcPr>
          <w:p w14:paraId="0FEB4404" w14:textId="77777777" w:rsidR="00A53023" w:rsidRPr="00D92C04" w:rsidRDefault="00A53023" w:rsidP="00A53023">
            <w:pPr>
              <w:pStyle w:val="Tabletext"/>
              <w:spacing w:before="0" w:after="0" w:line="240" w:lineRule="auto"/>
              <w:contextualSpacing/>
              <w:jc w:val="center"/>
              <w:rPr>
                <w:rFonts w:ascii="Calibri" w:hAnsi="Calibri" w:cs="Calibri"/>
                <w:i/>
              </w:rPr>
            </w:pPr>
          </w:p>
        </w:tc>
        <w:tc>
          <w:tcPr>
            <w:tcW w:w="1542" w:type="dxa"/>
          </w:tcPr>
          <w:p w14:paraId="4F9D135C"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0E30C7C7" w14:textId="77777777" w:rsidTr="000551E0">
        <w:tc>
          <w:tcPr>
            <w:tcW w:w="6942" w:type="dxa"/>
            <w:gridSpan w:val="3"/>
          </w:tcPr>
          <w:p w14:paraId="1105BED9" w14:textId="77777777" w:rsidR="00A53023" w:rsidRPr="00D92C04" w:rsidRDefault="00A53023" w:rsidP="00A53023">
            <w:pPr>
              <w:pStyle w:val="Tabletext"/>
              <w:spacing w:before="0" w:after="0" w:line="240" w:lineRule="auto"/>
              <w:contextualSpacing/>
              <w:rPr>
                <w:rFonts w:ascii="Calibri" w:hAnsi="Calibri" w:cs="Calibri"/>
                <w:b/>
                <w:color w:val="auto"/>
              </w:rPr>
            </w:pPr>
            <w:r w:rsidRPr="00D92C04">
              <w:rPr>
                <w:rFonts w:ascii="Calibri" w:hAnsi="Calibri" w:cs="Calibri"/>
                <w:b/>
                <w:color w:val="auto"/>
              </w:rPr>
              <w:t>Higher grade TEAEs</w:t>
            </w:r>
          </w:p>
        </w:tc>
        <w:tc>
          <w:tcPr>
            <w:tcW w:w="1542" w:type="dxa"/>
          </w:tcPr>
          <w:p w14:paraId="24774222"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780041EB" w14:textId="77777777" w:rsidTr="000551E0">
        <w:tc>
          <w:tcPr>
            <w:tcW w:w="4314" w:type="dxa"/>
          </w:tcPr>
          <w:p w14:paraId="006CE454" w14:textId="77777777" w:rsidR="00A53023" w:rsidRPr="00D92C04" w:rsidRDefault="00A53023" w:rsidP="00A53023">
            <w:pPr>
              <w:pStyle w:val="Tabletext"/>
              <w:spacing w:before="0" w:after="0" w:line="240" w:lineRule="auto"/>
              <w:ind w:left="0" w:right="0"/>
              <w:contextualSpacing/>
              <w:rPr>
                <w:rFonts w:ascii="Calibri" w:hAnsi="Calibri" w:cs="Calibri"/>
                <w:color w:val="auto"/>
              </w:rPr>
            </w:pPr>
            <w:r w:rsidRPr="00D92C04">
              <w:rPr>
                <w:rFonts w:ascii="Calibri" w:hAnsi="Calibri" w:cs="Calibri"/>
                <w:color w:val="auto"/>
              </w:rPr>
              <w:t>Subjects with at least 1 ≥Grade 3 AE, %</w:t>
            </w:r>
          </w:p>
        </w:tc>
        <w:tc>
          <w:tcPr>
            <w:tcW w:w="1332" w:type="dxa"/>
          </w:tcPr>
          <w:p w14:paraId="6C80257B" w14:textId="77777777" w:rsidR="00A53023" w:rsidRPr="00D92C04" w:rsidRDefault="00A53023" w:rsidP="00A53023">
            <w:pPr>
              <w:pStyle w:val="Tabletext"/>
              <w:tabs>
                <w:tab w:val="left" w:pos="1842"/>
              </w:tabs>
              <w:spacing w:before="0" w:after="0" w:line="240" w:lineRule="auto"/>
              <w:ind w:left="0" w:right="0"/>
              <w:contextualSpacing/>
              <w:jc w:val="center"/>
              <w:rPr>
                <w:rFonts w:ascii="Calibri" w:hAnsi="Calibri" w:cs="Calibri"/>
                <w:color w:val="auto"/>
              </w:rPr>
            </w:pPr>
            <w:r w:rsidRPr="00D92C04">
              <w:rPr>
                <w:rFonts w:ascii="Calibri" w:hAnsi="Calibri" w:cs="Calibri"/>
                <w:color w:val="auto"/>
              </w:rPr>
              <w:t>58.4</w:t>
            </w:r>
          </w:p>
        </w:tc>
        <w:tc>
          <w:tcPr>
            <w:tcW w:w="1296" w:type="dxa"/>
          </w:tcPr>
          <w:p w14:paraId="0B2ADE04" w14:textId="77777777" w:rsidR="00A53023" w:rsidRPr="00D92C04" w:rsidRDefault="00A53023" w:rsidP="00A53023">
            <w:pPr>
              <w:pStyle w:val="Tabletext"/>
              <w:spacing w:before="0" w:after="0" w:line="240" w:lineRule="auto"/>
              <w:ind w:left="0" w:right="0"/>
              <w:contextualSpacing/>
              <w:jc w:val="center"/>
              <w:rPr>
                <w:rFonts w:ascii="Calibri" w:hAnsi="Calibri" w:cs="Calibri"/>
                <w:color w:val="auto"/>
              </w:rPr>
            </w:pPr>
            <w:r w:rsidRPr="00D92C04">
              <w:rPr>
                <w:rFonts w:ascii="Calibri" w:hAnsi="Calibri" w:cs="Calibri"/>
                <w:color w:val="auto"/>
              </w:rPr>
              <w:t>63.3</w:t>
            </w:r>
          </w:p>
        </w:tc>
        <w:tc>
          <w:tcPr>
            <w:tcW w:w="1542" w:type="dxa"/>
          </w:tcPr>
          <w:p w14:paraId="069407EA"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64.3</w:t>
            </w:r>
          </w:p>
        </w:tc>
      </w:tr>
      <w:tr w:rsidR="00A53023" w:rsidRPr="00D92C04" w14:paraId="6A89D431" w14:textId="77777777" w:rsidTr="000551E0">
        <w:tc>
          <w:tcPr>
            <w:tcW w:w="6942" w:type="dxa"/>
            <w:gridSpan w:val="3"/>
          </w:tcPr>
          <w:p w14:paraId="3CEDD121" w14:textId="77777777" w:rsidR="00A53023" w:rsidRPr="00D92C04" w:rsidRDefault="00A53023" w:rsidP="00A53023">
            <w:pPr>
              <w:pStyle w:val="Tabletext"/>
              <w:spacing w:before="0" w:after="0" w:line="240" w:lineRule="auto"/>
              <w:ind w:left="0"/>
              <w:contextualSpacing/>
              <w:rPr>
                <w:rFonts w:ascii="Calibri" w:hAnsi="Calibri" w:cs="Calibri"/>
                <w:color w:val="auto"/>
              </w:rPr>
            </w:pPr>
            <w:r w:rsidRPr="00D92C04">
              <w:rPr>
                <w:rFonts w:ascii="Calibri" w:hAnsi="Calibri" w:cs="Calibri"/>
                <w:color w:val="auto"/>
              </w:rPr>
              <w:t>Most common Grade 3-4 AEs (≥5% in either arm):</w:t>
            </w:r>
          </w:p>
        </w:tc>
        <w:tc>
          <w:tcPr>
            <w:tcW w:w="1542" w:type="dxa"/>
          </w:tcPr>
          <w:p w14:paraId="0A7CA31A" w14:textId="77777777" w:rsidR="00A53023" w:rsidRPr="00D92C04" w:rsidRDefault="00A53023" w:rsidP="00A53023">
            <w:pPr>
              <w:pStyle w:val="Tabletext"/>
              <w:spacing w:before="0" w:after="0" w:line="240" w:lineRule="auto"/>
              <w:contextualSpacing/>
              <w:rPr>
                <w:rFonts w:ascii="Calibri" w:hAnsi="Calibri" w:cs="Calibri"/>
              </w:rPr>
            </w:pPr>
          </w:p>
        </w:tc>
      </w:tr>
      <w:tr w:rsidR="00A53023" w:rsidRPr="00D92C04" w14:paraId="10CFA829" w14:textId="77777777" w:rsidTr="000551E0">
        <w:tc>
          <w:tcPr>
            <w:tcW w:w="4314" w:type="dxa"/>
          </w:tcPr>
          <w:p w14:paraId="449E3B09" w14:textId="77777777" w:rsidR="00A53023" w:rsidRPr="00D92C04" w:rsidRDefault="00A53023" w:rsidP="00A53023">
            <w:pPr>
              <w:pStyle w:val="Tabletext"/>
              <w:spacing w:before="0" w:after="0" w:line="240" w:lineRule="auto"/>
              <w:ind w:left="0" w:right="57"/>
              <w:contextualSpacing/>
              <w:jc w:val="right"/>
              <w:rPr>
                <w:rFonts w:ascii="Calibri" w:hAnsi="Calibri" w:cs="Calibri"/>
                <w:i/>
                <w:color w:val="auto"/>
              </w:rPr>
            </w:pPr>
            <w:r w:rsidRPr="00D92C04">
              <w:rPr>
                <w:rFonts w:ascii="Calibri" w:hAnsi="Calibri" w:cs="Calibri"/>
                <w:i/>
                <w:color w:val="auto"/>
              </w:rPr>
              <w:t>hypertension, %</w:t>
            </w:r>
          </w:p>
        </w:tc>
        <w:tc>
          <w:tcPr>
            <w:tcW w:w="1332" w:type="dxa"/>
          </w:tcPr>
          <w:p w14:paraId="054B9CF1"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color w:val="auto"/>
              </w:rPr>
            </w:pPr>
            <w:r w:rsidRPr="00D92C04">
              <w:rPr>
                <w:rFonts w:ascii="Calibri" w:hAnsi="Calibri" w:cs="Calibri"/>
                <w:i/>
                <w:color w:val="auto"/>
              </w:rPr>
              <w:t>5.9</w:t>
            </w:r>
          </w:p>
        </w:tc>
        <w:tc>
          <w:tcPr>
            <w:tcW w:w="1296" w:type="dxa"/>
          </w:tcPr>
          <w:p w14:paraId="40D086C4"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11.2</w:t>
            </w:r>
          </w:p>
        </w:tc>
        <w:tc>
          <w:tcPr>
            <w:tcW w:w="1542" w:type="dxa"/>
            <w:shd w:val="clear" w:color="auto" w:fill="F2F2F2" w:themeFill="background1" w:themeFillShade="F2"/>
          </w:tcPr>
          <w:p w14:paraId="1ACEF668"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4215680F" w14:textId="77777777" w:rsidTr="000551E0">
        <w:tc>
          <w:tcPr>
            <w:tcW w:w="4314" w:type="dxa"/>
          </w:tcPr>
          <w:p w14:paraId="0972DF1A" w14:textId="77777777" w:rsidR="00A53023" w:rsidRPr="00D92C04" w:rsidRDefault="00A53023" w:rsidP="00A53023">
            <w:pPr>
              <w:pStyle w:val="Tabletext"/>
              <w:spacing w:before="0" w:after="0" w:line="240" w:lineRule="auto"/>
              <w:ind w:right="57"/>
              <w:contextualSpacing/>
              <w:jc w:val="right"/>
              <w:rPr>
                <w:rFonts w:ascii="Calibri" w:hAnsi="Calibri" w:cs="Calibri"/>
                <w:i/>
                <w:color w:val="B695DD" w:themeColor="accent5" w:themeTint="66"/>
              </w:rPr>
            </w:pPr>
            <w:r w:rsidRPr="00D92C04">
              <w:rPr>
                <w:rFonts w:ascii="Calibri" w:hAnsi="Calibri" w:cs="Calibri"/>
                <w:i/>
                <w:color w:val="auto"/>
              </w:rPr>
              <w:t>pneumonia %</w:t>
            </w:r>
          </w:p>
        </w:tc>
        <w:tc>
          <w:tcPr>
            <w:tcW w:w="1332" w:type="dxa"/>
          </w:tcPr>
          <w:p w14:paraId="16E59063"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color w:val="auto"/>
              </w:rPr>
            </w:pPr>
            <w:r w:rsidRPr="00D92C04">
              <w:rPr>
                <w:rFonts w:ascii="Calibri" w:hAnsi="Calibri" w:cs="Calibri"/>
                <w:i/>
                <w:color w:val="auto"/>
              </w:rPr>
              <w:t>1.0</w:t>
            </w:r>
          </w:p>
        </w:tc>
        <w:tc>
          <w:tcPr>
            <w:tcW w:w="1296" w:type="dxa"/>
          </w:tcPr>
          <w:p w14:paraId="7FE0D252"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7.1</w:t>
            </w:r>
          </w:p>
        </w:tc>
        <w:tc>
          <w:tcPr>
            <w:tcW w:w="1542" w:type="dxa"/>
            <w:shd w:val="clear" w:color="auto" w:fill="F2F2F2" w:themeFill="background1" w:themeFillShade="F2"/>
          </w:tcPr>
          <w:p w14:paraId="6EF18202"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0034B135" w14:textId="77777777" w:rsidTr="000551E0">
        <w:tc>
          <w:tcPr>
            <w:tcW w:w="4314" w:type="dxa"/>
          </w:tcPr>
          <w:p w14:paraId="4A45DF7D" w14:textId="77777777" w:rsidR="00A53023" w:rsidRPr="00D92C04" w:rsidRDefault="00A53023" w:rsidP="00A53023">
            <w:pPr>
              <w:pStyle w:val="Tabletext"/>
              <w:spacing w:before="0" w:after="0" w:line="240" w:lineRule="auto"/>
              <w:ind w:right="57"/>
              <w:contextualSpacing/>
              <w:jc w:val="right"/>
              <w:rPr>
                <w:rFonts w:ascii="Calibri" w:hAnsi="Calibri" w:cs="Calibri"/>
                <w:i/>
                <w:color w:val="auto"/>
              </w:rPr>
            </w:pPr>
            <w:r w:rsidRPr="00D92C04">
              <w:rPr>
                <w:rFonts w:ascii="Calibri" w:hAnsi="Calibri" w:cs="Calibri"/>
                <w:i/>
                <w:color w:val="auto"/>
              </w:rPr>
              <w:t>neutropenia %</w:t>
            </w:r>
          </w:p>
        </w:tc>
        <w:tc>
          <w:tcPr>
            <w:tcW w:w="1332" w:type="dxa"/>
          </w:tcPr>
          <w:p w14:paraId="759BA8A8"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color w:val="auto"/>
              </w:rPr>
            </w:pPr>
            <w:r w:rsidRPr="00D92C04">
              <w:rPr>
                <w:rFonts w:ascii="Calibri" w:hAnsi="Calibri" w:cs="Calibri"/>
                <w:i/>
                <w:color w:val="auto"/>
              </w:rPr>
              <w:t>15.8</w:t>
            </w:r>
          </w:p>
        </w:tc>
        <w:tc>
          <w:tcPr>
            <w:tcW w:w="1296" w:type="dxa"/>
          </w:tcPr>
          <w:p w14:paraId="6FA22499" w14:textId="77777777" w:rsidR="00A53023" w:rsidRPr="00D92C04" w:rsidRDefault="00A53023" w:rsidP="00A53023">
            <w:pPr>
              <w:pStyle w:val="Tabletext"/>
              <w:spacing w:before="0" w:after="0" w:line="240" w:lineRule="auto"/>
              <w:contextualSpacing/>
              <w:jc w:val="center"/>
              <w:rPr>
                <w:rFonts w:ascii="Calibri" w:hAnsi="Calibri" w:cs="Calibri"/>
                <w:i/>
                <w:color w:val="auto"/>
              </w:rPr>
            </w:pPr>
            <w:r w:rsidRPr="00D92C04">
              <w:rPr>
                <w:rFonts w:ascii="Calibri" w:hAnsi="Calibri" w:cs="Calibri"/>
                <w:i/>
                <w:color w:val="auto"/>
              </w:rPr>
              <w:t>8.2</w:t>
            </w:r>
          </w:p>
        </w:tc>
        <w:tc>
          <w:tcPr>
            <w:tcW w:w="1542" w:type="dxa"/>
            <w:shd w:val="clear" w:color="auto" w:fill="F2F2F2" w:themeFill="background1" w:themeFillShade="F2"/>
          </w:tcPr>
          <w:p w14:paraId="3A62ED41"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01A67E45" w14:textId="77777777" w:rsidTr="000551E0">
        <w:tc>
          <w:tcPr>
            <w:tcW w:w="6942" w:type="dxa"/>
            <w:gridSpan w:val="3"/>
          </w:tcPr>
          <w:p w14:paraId="007EE286" w14:textId="6D978DCD" w:rsidR="00A53023" w:rsidRPr="00D92C04" w:rsidRDefault="00A53023" w:rsidP="00A53023">
            <w:pPr>
              <w:pStyle w:val="Tabletext"/>
              <w:spacing w:before="0" w:after="0" w:line="240" w:lineRule="auto"/>
              <w:contextualSpacing/>
              <w:rPr>
                <w:rFonts w:ascii="Calibri" w:hAnsi="Calibri" w:cs="Calibri"/>
                <w:b/>
              </w:rPr>
            </w:pPr>
            <w:r w:rsidRPr="00D92C04">
              <w:rPr>
                <w:rFonts w:ascii="Calibri" w:hAnsi="Calibri" w:cs="Calibri"/>
                <w:b/>
              </w:rPr>
              <w:t>Treatment</w:t>
            </w:r>
            <w:r w:rsidR="009A6514">
              <w:rPr>
                <w:rFonts w:ascii="Calibri" w:hAnsi="Calibri" w:cs="Calibri"/>
                <w:b/>
              </w:rPr>
              <w:t>-</w:t>
            </w:r>
            <w:r w:rsidRPr="00D92C04">
              <w:rPr>
                <w:rFonts w:ascii="Calibri" w:hAnsi="Calibri" w:cs="Calibri"/>
                <w:b/>
              </w:rPr>
              <w:t>related AEs (%)</w:t>
            </w:r>
          </w:p>
        </w:tc>
        <w:tc>
          <w:tcPr>
            <w:tcW w:w="1542" w:type="dxa"/>
          </w:tcPr>
          <w:p w14:paraId="1EC4DEDD"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4A8661B0" w14:textId="77777777" w:rsidTr="000551E0">
        <w:tc>
          <w:tcPr>
            <w:tcW w:w="4314" w:type="dxa"/>
          </w:tcPr>
          <w:p w14:paraId="6B46DBC7" w14:textId="77777777" w:rsidR="00A53023" w:rsidRPr="00D92C04" w:rsidRDefault="00A53023" w:rsidP="00A53023">
            <w:pPr>
              <w:pStyle w:val="Tabletext"/>
              <w:spacing w:before="0" w:after="0" w:line="240" w:lineRule="auto"/>
              <w:ind w:left="0" w:right="57"/>
              <w:contextualSpacing/>
              <w:rPr>
                <w:rFonts w:ascii="Calibri" w:hAnsi="Calibri" w:cs="Calibri"/>
              </w:rPr>
            </w:pPr>
            <w:r w:rsidRPr="00D92C04">
              <w:rPr>
                <w:rFonts w:ascii="Calibri" w:hAnsi="Calibri" w:cs="Calibri"/>
              </w:rPr>
              <w:t>Subjects with at least 1 TRAE</w:t>
            </w:r>
          </w:p>
        </w:tc>
        <w:tc>
          <w:tcPr>
            <w:tcW w:w="1332" w:type="dxa"/>
          </w:tcPr>
          <w:p w14:paraId="186A62C6"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rPr>
            </w:pPr>
            <w:r w:rsidRPr="00D92C04">
              <w:rPr>
                <w:rFonts w:ascii="Calibri" w:hAnsi="Calibri" w:cs="Calibri"/>
              </w:rPr>
              <w:t>79.2</w:t>
            </w:r>
          </w:p>
        </w:tc>
        <w:tc>
          <w:tcPr>
            <w:tcW w:w="1296" w:type="dxa"/>
          </w:tcPr>
          <w:p w14:paraId="445C0026"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85.7</w:t>
            </w:r>
          </w:p>
        </w:tc>
        <w:tc>
          <w:tcPr>
            <w:tcW w:w="1542" w:type="dxa"/>
          </w:tcPr>
          <w:p w14:paraId="187E90D1"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78.6</w:t>
            </w:r>
          </w:p>
        </w:tc>
      </w:tr>
      <w:tr w:rsidR="00A53023" w:rsidRPr="00D92C04" w14:paraId="16F58605" w14:textId="77777777" w:rsidTr="000551E0">
        <w:tc>
          <w:tcPr>
            <w:tcW w:w="4314" w:type="dxa"/>
          </w:tcPr>
          <w:p w14:paraId="205E8CE2" w14:textId="77777777" w:rsidR="00A53023" w:rsidRPr="00D92C04" w:rsidRDefault="00A53023" w:rsidP="00A53023">
            <w:pPr>
              <w:pStyle w:val="Tabletext"/>
              <w:spacing w:before="0" w:after="0" w:line="240" w:lineRule="auto"/>
              <w:ind w:left="0" w:right="57"/>
              <w:contextualSpacing/>
              <w:rPr>
                <w:rFonts w:ascii="Calibri" w:hAnsi="Calibri" w:cs="Calibri"/>
              </w:rPr>
            </w:pPr>
            <w:r w:rsidRPr="00D92C04">
              <w:rPr>
                <w:rFonts w:ascii="Calibri" w:hAnsi="Calibri" w:cs="Calibri"/>
              </w:rPr>
              <w:t>Most common TRAEs (&gt;= 10% in either arm)</w:t>
            </w:r>
          </w:p>
        </w:tc>
        <w:tc>
          <w:tcPr>
            <w:tcW w:w="1332" w:type="dxa"/>
          </w:tcPr>
          <w:p w14:paraId="664F7BD0"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rPr>
            </w:pPr>
          </w:p>
        </w:tc>
        <w:tc>
          <w:tcPr>
            <w:tcW w:w="1296" w:type="dxa"/>
          </w:tcPr>
          <w:p w14:paraId="124DBFDE" w14:textId="77777777" w:rsidR="00A53023" w:rsidRPr="00D92C04" w:rsidRDefault="00A53023" w:rsidP="00A53023">
            <w:pPr>
              <w:pStyle w:val="Tabletext"/>
              <w:spacing w:before="0" w:after="0" w:line="240" w:lineRule="auto"/>
              <w:contextualSpacing/>
              <w:jc w:val="center"/>
              <w:rPr>
                <w:rFonts w:ascii="Calibri" w:hAnsi="Calibri" w:cs="Calibri"/>
              </w:rPr>
            </w:pPr>
          </w:p>
        </w:tc>
        <w:tc>
          <w:tcPr>
            <w:tcW w:w="1542" w:type="dxa"/>
          </w:tcPr>
          <w:p w14:paraId="4BC6714D"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63DA1C17" w14:textId="77777777" w:rsidTr="000551E0">
        <w:tc>
          <w:tcPr>
            <w:tcW w:w="4314" w:type="dxa"/>
          </w:tcPr>
          <w:p w14:paraId="642328A2"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neutropenia, %</w:t>
            </w:r>
          </w:p>
        </w:tc>
        <w:tc>
          <w:tcPr>
            <w:tcW w:w="1332" w:type="dxa"/>
          </w:tcPr>
          <w:p w14:paraId="33DABF3F"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21.8</w:t>
            </w:r>
          </w:p>
        </w:tc>
        <w:tc>
          <w:tcPr>
            <w:tcW w:w="1296" w:type="dxa"/>
          </w:tcPr>
          <w:p w14:paraId="69E7990B"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11.2</w:t>
            </w:r>
          </w:p>
        </w:tc>
        <w:tc>
          <w:tcPr>
            <w:tcW w:w="1542" w:type="dxa"/>
          </w:tcPr>
          <w:p w14:paraId="74E72DE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10.7</w:t>
            </w:r>
          </w:p>
        </w:tc>
      </w:tr>
      <w:tr w:rsidR="00A53023" w:rsidRPr="00D92C04" w14:paraId="49483C42" w14:textId="77777777" w:rsidTr="000551E0">
        <w:tc>
          <w:tcPr>
            <w:tcW w:w="4314" w:type="dxa"/>
          </w:tcPr>
          <w:p w14:paraId="41747858"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diarrhoea, %</w:t>
            </w:r>
          </w:p>
        </w:tc>
        <w:tc>
          <w:tcPr>
            <w:tcW w:w="1332" w:type="dxa"/>
          </w:tcPr>
          <w:p w14:paraId="2C39A794"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3ADEA9EA"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23.5</w:t>
            </w:r>
          </w:p>
        </w:tc>
        <w:tc>
          <w:tcPr>
            <w:tcW w:w="1542" w:type="dxa"/>
          </w:tcPr>
          <w:p w14:paraId="0B2944FC"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17.9</w:t>
            </w:r>
          </w:p>
        </w:tc>
      </w:tr>
      <w:tr w:rsidR="00A53023" w:rsidRPr="00D92C04" w14:paraId="730197CD" w14:textId="77777777" w:rsidTr="000551E0">
        <w:tc>
          <w:tcPr>
            <w:tcW w:w="4314" w:type="dxa"/>
          </w:tcPr>
          <w:p w14:paraId="733C791B"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contusion, %</w:t>
            </w:r>
          </w:p>
        </w:tc>
        <w:tc>
          <w:tcPr>
            <w:tcW w:w="1332" w:type="dxa"/>
          </w:tcPr>
          <w:p w14:paraId="71FEE56F"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9.9</w:t>
            </w:r>
          </w:p>
        </w:tc>
        <w:tc>
          <w:tcPr>
            <w:tcW w:w="1296" w:type="dxa"/>
          </w:tcPr>
          <w:p w14:paraId="5AB4D16D"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22.4</w:t>
            </w:r>
          </w:p>
        </w:tc>
        <w:tc>
          <w:tcPr>
            <w:tcW w:w="1542" w:type="dxa"/>
          </w:tcPr>
          <w:p w14:paraId="65D33769"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r>
      <w:tr w:rsidR="00A53023" w:rsidRPr="00D92C04" w14:paraId="433656FE" w14:textId="77777777" w:rsidTr="000551E0">
        <w:tc>
          <w:tcPr>
            <w:tcW w:w="4314" w:type="dxa"/>
          </w:tcPr>
          <w:p w14:paraId="1F297974" w14:textId="77777777" w:rsidR="00A53023" w:rsidRPr="00D92C04" w:rsidRDefault="00A53023" w:rsidP="00A53023">
            <w:pPr>
              <w:pStyle w:val="Tabletext"/>
              <w:spacing w:before="0" w:after="0" w:line="240" w:lineRule="auto"/>
              <w:ind w:right="57"/>
              <w:contextualSpacing/>
              <w:jc w:val="right"/>
              <w:rPr>
                <w:rFonts w:ascii="Calibri" w:hAnsi="Calibri" w:cs="Calibri"/>
                <w:i/>
              </w:rPr>
            </w:pPr>
            <w:proofErr w:type="gramStart"/>
            <w:r w:rsidRPr="00D92C04">
              <w:rPr>
                <w:rFonts w:ascii="Calibri" w:hAnsi="Calibri" w:cs="Calibri"/>
                <w:i/>
              </w:rPr>
              <w:t>epistaxis,%</w:t>
            </w:r>
            <w:proofErr w:type="gramEnd"/>
          </w:p>
        </w:tc>
        <w:tc>
          <w:tcPr>
            <w:tcW w:w="1332" w:type="dxa"/>
          </w:tcPr>
          <w:p w14:paraId="152512DD"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6.9</w:t>
            </w:r>
          </w:p>
        </w:tc>
        <w:tc>
          <w:tcPr>
            <w:tcW w:w="1296" w:type="dxa"/>
          </w:tcPr>
          <w:p w14:paraId="4A5152D8"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c>
          <w:tcPr>
            <w:tcW w:w="1542" w:type="dxa"/>
            <w:shd w:val="clear" w:color="auto" w:fill="F2F2F2" w:themeFill="background1" w:themeFillShade="F2"/>
          </w:tcPr>
          <w:p w14:paraId="2CE408E7"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46247F8D" w14:textId="77777777" w:rsidTr="000551E0">
        <w:tc>
          <w:tcPr>
            <w:tcW w:w="4314" w:type="dxa"/>
          </w:tcPr>
          <w:p w14:paraId="16B41648"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hypertension, %</w:t>
            </w:r>
          </w:p>
        </w:tc>
        <w:tc>
          <w:tcPr>
            <w:tcW w:w="1332" w:type="dxa"/>
          </w:tcPr>
          <w:p w14:paraId="15C790FD"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5.9</w:t>
            </w:r>
          </w:p>
        </w:tc>
        <w:tc>
          <w:tcPr>
            <w:tcW w:w="1296" w:type="dxa"/>
          </w:tcPr>
          <w:p w14:paraId="241202AB"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13.3</w:t>
            </w:r>
          </w:p>
        </w:tc>
        <w:tc>
          <w:tcPr>
            <w:tcW w:w="1542" w:type="dxa"/>
            <w:shd w:val="clear" w:color="auto" w:fill="F2F2F2" w:themeFill="background1" w:themeFillShade="F2"/>
          </w:tcPr>
          <w:p w14:paraId="61FD1BE8"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2B45D5E7" w14:textId="77777777" w:rsidTr="000551E0">
        <w:tc>
          <w:tcPr>
            <w:tcW w:w="4314" w:type="dxa"/>
          </w:tcPr>
          <w:p w14:paraId="013E3020"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Upper respiratory tract infection</w:t>
            </w:r>
          </w:p>
        </w:tc>
        <w:tc>
          <w:tcPr>
            <w:tcW w:w="1332" w:type="dxa"/>
          </w:tcPr>
          <w:p w14:paraId="49C8DE51"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5.9</w:t>
            </w:r>
          </w:p>
        </w:tc>
        <w:tc>
          <w:tcPr>
            <w:tcW w:w="1296" w:type="dxa"/>
          </w:tcPr>
          <w:p w14:paraId="3A05A717"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13.3</w:t>
            </w:r>
          </w:p>
        </w:tc>
        <w:tc>
          <w:tcPr>
            <w:tcW w:w="1542" w:type="dxa"/>
            <w:shd w:val="clear" w:color="auto" w:fill="F2F2F2" w:themeFill="background1" w:themeFillShade="F2"/>
          </w:tcPr>
          <w:p w14:paraId="05E7DE3F"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6354986F" w14:textId="77777777" w:rsidTr="000551E0">
        <w:tc>
          <w:tcPr>
            <w:tcW w:w="4314" w:type="dxa"/>
          </w:tcPr>
          <w:p w14:paraId="312BCF8B"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lastRenderedPageBreak/>
              <w:t xml:space="preserve">atrial </w:t>
            </w:r>
            <w:proofErr w:type="gramStart"/>
            <w:r w:rsidRPr="00D92C04">
              <w:rPr>
                <w:rFonts w:ascii="Calibri" w:hAnsi="Calibri" w:cs="Calibri"/>
                <w:i/>
              </w:rPr>
              <w:t>fibrillation,%</w:t>
            </w:r>
            <w:proofErr w:type="gramEnd"/>
          </w:p>
        </w:tc>
        <w:tc>
          <w:tcPr>
            <w:tcW w:w="1332" w:type="dxa"/>
          </w:tcPr>
          <w:p w14:paraId="78C5CC0D"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w:t>
            </w:r>
          </w:p>
        </w:tc>
        <w:tc>
          <w:tcPr>
            <w:tcW w:w="1296" w:type="dxa"/>
          </w:tcPr>
          <w:p w14:paraId="573216A4"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13.3</w:t>
            </w:r>
          </w:p>
        </w:tc>
        <w:tc>
          <w:tcPr>
            <w:tcW w:w="1542" w:type="dxa"/>
            <w:shd w:val="clear" w:color="auto" w:fill="F2F2F2" w:themeFill="background1" w:themeFillShade="F2"/>
          </w:tcPr>
          <w:p w14:paraId="379B7E9A"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089E9D3D" w14:textId="77777777" w:rsidTr="000551E0">
        <w:tc>
          <w:tcPr>
            <w:tcW w:w="4314" w:type="dxa"/>
          </w:tcPr>
          <w:p w14:paraId="3F68C6E5" w14:textId="77777777" w:rsidR="00A53023" w:rsidRPr="00D92C04" w:rsidRDefault="00A53023" w:rsidP="00A53023">
            <w:pPr>
              <w:pStyle w:val="Tabletext"/>
              <w:spacing w:before="0" w:after="0" w:line="240" w:lineRule="auto"/>
              <w:ind w:right="57"/>
              <w:contextualSpacing/>
              <w:jc w:val="right"/>
              <w:rPr>
                <w:rFonts w:ascii="Calibri" w:hAnsi="Calibri" w:cs="Calibri"/>
                <w:i/>
              </w:rPr>
            </w:pPr>
            <w:proofErr w:type="gramStart"/>
            <w:r w:rsidRPr="00D92C04">
              <w:rPr>
                <w:rFonts w:ascii="Calibri" w:hAnsi="Calibri" w:cs="Calibri"/>
                <w:i/>
              </w:rPr>
              <w:t>rash,%</w:t>
            </w:r>
            <w:proofErr w:type="gramEnd"/>
          </w:p>
        </w:tc>
        <w:tc>
          <w:tcPr>
            <w:tcW w:w="1332" w:type="dxa"/>
          </w:tcPr>
          <w:p w14:paraId="31A32099"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7.9</w:t>
            </w:r>
          </w:p>
        </w:tc>
        <w:tc>
          <w:tcPr>
            <w:tcW w:w="1296" w:type="dxa"/>
          </w:tcPr>
          <w:p w14:paraId="5A266C84"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11.2</w:t>
            </w:r>
          </w:p>
        </w:tc>
        <w:tc>
          <w:tcPr>
            <w:tcW w:w="1542" w:type="dxa"/>
            <w:shd w:val="clear" w:color="auto" w:fill="F2F2F2" w:themeFill="background1" w:themeFillShade="F2"/>
          </w:tcPr>
          <w:p w14:paraId="0F1DE31E"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0B2AEC1D" w14:textId="77777777" w:rsidTr="000551E0">
        <w:tc>
          <w:tcPr>
            <w:tcW w:w="4314" w:type="dxa"/>
          </w:tcPr>
          <w:p w14:paraId="4802EE7F"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muscle spasm, %</w:t>
            </w:r>
          </w:p>
        </w:tc>
        <w:tc>
          <w:tcPr>
            <w:tcW w:w="1332" w:type="dxa"/>
          </w:tcPr>
          <w:p w14:paraId="338466F6"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6.9</w:t>
            </w:r>
          </w:p>
        </w:tc>
        <w:tc>
          <w:tcPr>
            <w:tcW w:w="1296" w:type="dxa"/>
          </w:tcPr>
          <w:p w14:paraId="796EC9A0"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11.2</w:t>
            </w:r>
          </w:p>
        </w:tc>
        <w:tc>
          <w:tcPr>
            <w:tcW w:w="1542" w:type="dxa"/>
            <w:shd w:val="clear" w:color="auto" w:fill="F2F2F2" w:themeFill="background1" w:themeFillShade="F2"/>
          </w:tcPr>
          <w:p w14:paraId="2A39EC4C"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2B64D320" w14:textId="77777777" w:rsidTr="000551E0">
        <w:tc>
          <w:tcPr>
            <w:tcW w:w="4314" w:type="dxa"/>
          </w:tcPr>
          <w:p w14:paraId="08B0D979"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fatigue, %</w:t>
            </w:r>
          </w:p>
        </w:tc>
        <w:tc>
          <w:tcPr>
            <w:tcW w:w="1332" w:type="dxa"/>
          </w:tcPr>
          <w:p w14:paraId="0393AEA2"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539F2EC1"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9.2</w:t>
            </w:r>
          </w:p>
        </w:tc>
        <w:tc>
          <w:tcPr>
            <w:tcW w:w="1542" w:type="dxa"/>
            <w:shd w:val="clear" w:color="auto" w:fill="F2F2F2" w:themeFill="background1" w:themeFillShade="F2"/>
          </w:tcPr>
          <w:p w14:paraId="1CD17AE8" w14:textId="77777777" w:rsidR="00A53023" w:rsidRPr="00D92C04" w:rsidRDefault="00A53023" w:rsidP="00A53023">
            <w:pPr>
              <w:pStyle w:val="Tabletext"/>
              <w:spacing w:before="0" w:after="0" w:line="240" w:lineRule="auto"/>
              <w:contextualSpacing/>
              <w:jc w:val="center"/>
              <w:rPr>
                <w:rFonts w:ascii="Calibri" w:hAnsi="Calibri" w:cs="Calibri"/>
              </w:rPr>
            </w:pPr>
          </w:p>
        </w:tc>
      </w:tr>
      <w:tr w:rsidR="00A53023" w:rsidRPr="00D92C04" w14:paraId="6BEDE5BC" w14:textId="77777777" w:rsidTr="000551E0">
        <w:tc>
          <w:tcPr>
            <w:tcW w:w="6942" w:type="dxa"/>
            <w:gridSpan w:val="3"/>
          </w:tcPr>
          <w:p w14:paraId="560438FB" w14:textId="77777777" w:rsidR="00A53023" w:rsidRPr="00D92C04" w:rsidRDefault="00A53023" w:rsidP="00A53023">
            <w:pPr>
              <w:pStyle w:val="Tabletext"/>
              <w:spacing w:before="0" w:after="0" w:line="240" w:lineRule="auto"/>
              <w:contextualSpacing/>
              <w:rPr>
                <w:rFonts w:ascii="Calibri" w:hAnsi="Calibri" w:cs="Calibri"/>
                <w:b/>
                <w:color w:val="auto"/>
              </w:rPr>
            </w:pPr>
            <w:r w:rsidRPr="00D92C04">
              <w:rPr>
                <w:rFonts w:ascii="Calibri" w:hAnsi="Calibri" w:cs="Calibri"/>
                <w:b/>
                <w:color w:val="auto"/>
              </w:rPr>
              <w:t>Adverse events of special interest</w:t>
            </w:r>
          </w:p>
        </w:tc>
        <w:tc>
          <w:tcPr>
            <w:tcW w:w="1542" w:type="dxa"/>
          </w:tcPr>
          <w:p w14:paraId="7B0AE486" w14:textId="77777777" w:rsidR="00A53023" w:rsidRPr="00D92C04" w:rsidRDefault="00A53023" w:rsidP="00A53023">
            <w:pPr>
              <w:pStyle w:val="Tabletext"/>
              <w:spacing w:before="0" w:after="0" w:line="240" w:lineRule="auto"/>
              <w:contextualSpacing/>
              <w:rPr>
                <w:rFonts w:ascii="Calibri" w:hAnsi="Calibri" w:cs="Calibri"/>
                <w:b/>
              </w:rPr>
            </w:pPr>
          </w:p>
        </w:tc>
      </w:tr>
      <w:tr w:rsidR="00A53023" w:rsidRPr="00D92C04" w14:paraId="5464B3BB" w14:textId="77777777" w:rsidTr="000551E0">
        <w:tc>
          <w:tcPr>
            <w:tcW w:w="4314" w:type="dxa"/>
          </w:tcPr>
          <w:p w14:paraId="20933D48"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atrial fibrillation, %</w:t>
            </w:r>
          </w:p>
        </w:tc>
        <w:tc>
          <w:tcPr>
            <w:tcW w:w="1332" w:type="dxa"/>
          </w:tcPr>
          <w:p w14:paraId="4BA2C0DB"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2.0</w:t>
            </w:r>
          </w:p>
        </w:tc>
        <w:tc>
          <w:tcPr>
            <w:tcW w:w="1296" w:type="dxa"/>
          </w:tcPr>
          <w:p w14:paraId="3DCD7943"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14.3</w:t>
            </w:r>
          </w:p>
        </w:tc>
        <w:tc>
          <w:tcPr>
            <w:tcW w:w="1542" w:type="dxa"/>
            <w:shd w:val="clear" w:color="auto" w:fill="F2F2F2" w:themeFill="background1" w:themeFillShade="F2"/>
          </w:tcPr>
          <w:p w14:paraId="0EB1C1CE"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17426D8D" w14:textId="77777777" w:rsidTr="000551E0">
        <w:tc>
          <w:tcPr>
            <w:tcW w:w="4314" w:type="dxa"/>
          </w:tcPr>
          <w:p w14:paraId="364FFA1B" w14:textId="77777777" w:rsidR="00A53023" w:rsidRPr="00D92C04" w:rsidRDefault="00A53023" w:rsidP="00A53023">
            <w:pPr>
              <w:pStyle w:val="Tabletext"/>
              <w:spacing w:before="0" w:after="0" w:line="240" w:lineRule="auto"/>
              <w:ind w:right="57"/>
              <w:contextualSpacing/>
              <w:jc w:val="right"/>
              <w:rPr>
                <w:rFonts w:ascii="Calibri" w:hAnsi="Calibri" w:cs="Calibri"/>
                <w:i/>
              </w:rPr>
            </w:pPr>
            <w:proofErr w:type="gramStart"/>
            <w:r w:rsidRPr="00D92C04">
              <w:rPr>
                <w:rFonts w:ascii="Calibri" w:hAnsi="Calibri" w:cs="Calibri"/>
                <w:i/>
              </w:rPr>
              <w:t>hypertension,%</w:t>
            </w:r>
            <w:proofErr w:type="gramEnd"/>
          </w:p>
        </w:tc>
        <w:tc>
          <w:tcPr>
            <w:tcW w:w="1332" w:type="dxa"/>
          </w:tcPr>
          <w:p w14:paraId="353AAA3D"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10.9</w:t>
            </w:r>
          </w:p>
        </w:tc>
        <w:tc>
          <w:tcPr>
            <w:tcW w:w="1296" w:type="dxa"/>
          </w:tcPr>
          <w:p w14:paraId="26A1A421"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17.3</w:t>
            </w:r>
          </w:p>
        </w:tc>
        <w:tc>
          <w:tcPr>
            <w:tcW w:w="1542" w:type="dxa"/>
            <w:shd w:val="clear" w:color="auto" w:fill="F2F2F2" w:themeFill="background1" w:themeFillShade="F2"/>
          </w:tcPr>
          <w:p w14:paraId="222241C9"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5CADA603" w14:textId="77777777" w:rsidTr="000551E0">
        <w:tc>
          <w:tcPr>
            <w:tcW w:w="4314" w:type="dxa"/>
          </w:tcPr>
          <w:p w14:paraId="6A71702B" w14:textId="77777777" w:rsidR="00A53023" w:rsidRPr="00D92C04" w:rsidRDefault="00A53023" w:rsidP="00A53023">
            <w:pPr>
              <w:pStyle w:val="Tabletext"/>
              <w:spacing w:before="0" w:after="0" w:line="240" w:lineRule="auto"/>
              <w:ind w:right="57"/>
              <w:contextualSpacing/>
              <w:jc w:val="right"/>
              <w:rPr>
                <w:rFonts w:ascii="Calibri" w:hAnsi="Calibri" w:cs="Calibri"/>
                <w:i/>
              </w:rPr>
            </w:pPr>
            <w:r w:rsidRPr="00D92C04">
              <w:rPr>
                <w:rFonts w:ascii="Calibri" w:hAnsi="Calibri" w:cs="Calibri"/>
                <w:i/>
              </w:rPr>
              <w:t>second primary skin malignancy, %</w:t>
            </w:r>
          </w:p>
        </w:tc>
        <w:tc>
          <w:tcPr>
            <w:tcW w:w="1332" w:type="dxa"/>
          </w:tcPr>
          <w:p w14:paraId="1CE9196F"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i/>
              </w:rPr>
            </w:pPr>
            <w:r w:rsidRPr="00D92C04">
              <w:rPr>
                <w:rFonts w:ascii="Calibri" w:hAnsi="Calibri" w:cs="Calibri"/>
                <w:i/>
              </w:rPr>
              <w:t>7.9</w:t>
            </w:r>
          </w:p>
        </w:tc>
        <w:tc>
          <w:tcPr>
            <w:tcW w:w="1296" w:type="dxa"/>
          </w:tcPr>
          <w:p w14:paraId="35817BCF" w14:textId="77777777" w:rsidR="00A53023" w:rsidRPr="00D92C04" w:rsidRDefault="00A53023" w:rsidP="00A53023">
            <w:pPr>
              <w:pStyle w:val="Tabletext"/>
              <w:spacing w:before="0" w:after="0" w:line="240" w:lineRule="auto"/>
              <w:contextualSpacing/>
              <w:jc w:val="center"/>
              <w:rPr>
                <w:rFonts w:ascii="Calibri" w:hAnsi="Calibri" w:cs="Calibri"/>
                <w:i/>
              </w:rPr>
            </w:pPr>
            <w:r w:rsidRPr="00D92C04">
              <w:rPr>
                <w:rFonts w:ascii="Calibri" w:hAnsi="Calibri" w:cs="Calibri"/>
                <w:i/>
              </w:rPr>
              <w:t>9.2</w:t>
            </w:r>
          </w:p>
        </w:tc>
        <w:tc>
          <w:tcPr>
            <w:tcW w:w="1542" w:type="dxa"/>
            <w:shd w:val="clear" w:color="auto" w:fill="F2F2F2" w:themeFill="background1" w:themeFillShade="F2"/>
          </w:tcPr>
          <w:p w14:paraId="43778ECA" w14:textId="77777777" w:rsidR="00A53023" w:rsidRPr="00D92C04" w:rsidRDefault="00A53023" w:rsidP="00A53023">
            <w:pPr>
              <w:pStyle w:val="Tabletext"/>
              <w:spacing w:before="0" w:after="0" w:line="240" w:lineRule="auto"/>
              <w:contextualSpacing/>
              <w:jc w:val="center"/>
              <w:rPr>
                <w:rFonts w:ascii="Calibri" w:hAnsi="Calibri" w:cs="Calibri"/>
                <w:i/>
              </w:rPr>
            </w:pPr>
          </w:p>
        </w:tc>
      </w:tr>
      <w:tr w:rsidR="00A53023" w:rsidRPr="00D92C04" w14:paraId="77E988C3" w14:textId="77777777" w:rsidTr="000551E0">
        <w:tc>
          <w:tcPr>
            <w:tcW w:w="4314" w:type="dxa"/>
          </w:tcPr>
          <w:p w14:paraId="0CC697A3" w14:textId="77777777" w:rsidR="00A53023" w:rsidRPr="00D92C04" w:rsidRDefault="00A53023" w:rsidP="00A53023">
            <w:pPr>
              <w:pStyle w:val="Tabletext"/>
              <w:spacing w:before="0" w:after="0" w:line="240" w:lineRule="auto"/>
              <w:ind w:right="57"/>
              <w:contextualSpacing/>
              <w:rPr>
                <w:rFonts w:ascii="Calibri" w:hAnsi="Calibri" w:cs="Calibri"/>
                <w:b/>
              </w:rPr>
            </w:pPr>
            <w:r w:rsidRPr="00D92C04">
              <w:rPr>
                <w:rFonts w:ascii="Calibri" w:hAnsi="Calibri" w:cs="Calibri"/>
                <w:b/>
              </w:rPr>
              <w:t>Adverse events leading to discontinuation (%)</w:t>
            </w:r>
          </w:p>
        </w:tc>
        <w:tc>
          <w:tcPr>
            <w:tcW w:w="1332" w:type="dxa"/>
          </w:tcPr>
          <w:p w14:paraId="39B3F3D3"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rPr>
            </w:pPr>
            <w:r w:rsidRPr="00D92C04">
              <w:rPr>
                <w:rFonts w:ascii="Calibri" w:hAnsi="Calibri" w:cs="Calibri"/>
              </w:rPr>
              <w:t>4.0</w:t>
            </w:r>
          </w:p>
        </w:tc>
        <w:tc>
          <w:tcPr>
            <w:tcW w:w="1296" w:type="dxa"/>
          </w:tcPr>
          <w:p w14:paraId="479DB48D"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9.2</w:t>
            </w:r>
          </w:p>
        </w:tc>
        <w:tc>
          <w:tcPr>
            <w:tcW w:w="1542" w:type="dxa"/>
          </w:tcPr>
          <w:p w14:paraId="08246955"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7.1</w:t>
            </w:r>
          </w:p>
        </w:tc>
      </w:tr>
      <w:tr w:rsidR="00A53023" w:rsidRPr="00D92C04" w14:paraId="0CA0C661" w14:textId="77777777" w:rsidTr="000551E0">
        <w:tc>
          <w:tcPr>
            <w:tcW w:w="4314" w:type="dxa"/>
          </w:tcPr>
          <w:p w14:paraId="5530AB75" w14:textId="77777777" w:rsidR="00A53023" w:rsidRPr="00D92C04" w:rsidRDefault="00A53023" w:rsidP="00A53023">
            <w:pPr>
              <w:pStyle w:val="Tabletext"/>
              <w:spacing w:before="0" w:after="0" w:line="240" w:lineRule="auto"/>
              <w:ind w:right="57"/>
              <w:contextualSpacing/>
              <w:rPr>
                <w:rFonts w:ascii="Calibri" w:hAnsi="Calibri" w:cs="Calibri"/>
                <w:b/>
              </w:rPr>
            </w:pPr>
            <w:r w:rsidRPr="00D92C04">
              <w:rPr>
                <w:rFonts w:ascii="Calibri" w:hAnsi="Calibri" w:cs="Calibri"/>
                <w:b/>
              </w:rPr>
              <w:t>Adverse events leading to dose reductions (%)</w:t>
            </w:r>
          </w:p>
        </w:tc>
        <w:tc>
          <w:tcPr>
            <w:tcW w:w="1332" w:type="dxa"/>
          </w:tcPr>
          <w:p w14:paraId="472E82D7"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rPr>
            </w:pPr>
            <w:r w:rsidRPr="00D92C04">
              <w:rPr>
                <w:rFonts w:ascii="Calibri" w:hAnsi="Calibri" w:cs="Calibri"/>
              </w:rPr>
              <w:t>13.9</w:t>
            </w:r>
          </w:p>
        </w:tc>
        <w:tc>
          <w:tcPr>
            <w:tcW w:w="1296" w:type="dxa"/>
          </w:tcPr>
          <w:p w14:paraId="5E5E5C0D"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23.5</w:t>
            </w:r>
          </w:p>
        </w:tc>
        <w:tc>
          <w:tcPr>
            <w:tcW w:w="1542" w:type="dxa"/>
          </w:tcPr>
          <w:p w14:paraId="64FE58C7"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7.1</w:t>
            </w:r>
          </w:p>
        </w:tc>
      </w:tr>
      <w:tr w:rsidR="00A53023" w:rsidRPr="00D92C04" w14:paraId="764650B9" w14:textId="77777777" w:rsidTr="000551E0">
        <w:tc>
          <w:tcPr>
            <w:tcW w:w="4314" w:type="dxa"/>
          </w:tcPr>
          <w:p w14:paraId="0EE722ED" w14:textId="77777777" w:rsidR="00A53023" w:rsidRPr="00D92C04" w:rsidRDefault="00A53023" w:rsidP="00A53023">
            <w:pPr>
              <w:pStyle w:val="Tabletext"/>
              <w:spacing w:before="0" w:after="0" w:line="240" w:lineRule="auto"/>
              <w:ind w:right="57"/>
              <w:contextualSpacing/>
              <w:rPr>
                <w:rFonts w:ascii="Calibri" w:hAnsi="Calibri" w:cs="Calibri"/>
                <w:b/>
              </w:rPr>
            </w:pPr>
            <w:r w:rsidRPr="00D92C04">
              <w:rPr>
                <w:rFonts w:ascii="Calibri" w:hAnsi="Calibri" w:cs="Calibri"/>
                <w:b/>
              </w:rPr>
              <w:t>Adverse events leading to dose interruptions (%)</w:t>
            </w:r>
          </w:p>
        </w:tc>
        <w:tc>
          <w:tcPr>
            <w:tcW w:w="1332" w:type="dxa"/>
          </w:tcPr>
          <w:p w14:paraId="54338D9A" w14:textId="77777777" w:rsidR="00A53023" w:rsidRPr="00D92C04" w:rsidRDefault="00A53023" w:rsidP="00A53023">
            <w:pPr>
              <w:pStyle w:val="Tabletext"/>
              <w:tabs>
                <w:tab w:val="left" w:pos="1842"/>
              </w:tabs>
              <w:spacing w:before="0" w:after="0" w:line="240" w:lineRule="auto"/>
              <w:contextualSpacing/>
              <w:jc w:val="center"/>
              <w:rPr>
                <w:rFonts w:ascii="Calibri" w:hAnsi="Calibri" w:cs="Calibri"/>
              </w:rPr>
            </w:pPr>
            <w:r w:rsidRPr="00D92C04">
              <w:rPr>
                <w:rFonts w:ascii="Calibri" w:hAnsi="Calibri" w:cs="Calibri"/>
              </w:rPr>
              <w:t>46.5</w:t>
            </w:r>
          </w:p>
        </w:tc>
        <w:tc>
          <w:tcPr>
            <w:tcW w:w="1296" w:type="dxa"/>
          </w:tcPr>
          <w:p w14:paraId="58CC2CED"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56.1</w:t>
            </w:r>
          </w:p>
        </w:tc>
        <w:tc>
          <w:tcPr>
            <w:tcW w:w="1542" w:type="dxa"/>
          </w:tcPr>
          <w:p w14:paraId="2BE47417" w14:textId="77777777" w:rsidR="00A53023" w:rsidRPr="00D92C04" w:rsidRDefault="00A53023" w:rsidP="00A53023">
            <w:pPr>
              <w:pStyle w:val="Tabletext"/>
              <w:spacing w:before="0" w:after="0" w:line="240" w:lineRule="auto"/>
              <w:contextualSpacing/>
              <w:jc w:val="center"/>
              <w:rPr>
                <w:rFonts w:ascii="Calibri" w:hAnsi="Calibri" w:cs="Calibri"/>
              </w:rPr>
            </w:pPr>
            <w:r w:rsidRPr="00D92C04">
              <w:rPr>
                <w:rFonts w:ascii="Calibri" w:hAnsi="Calibri" w:cs="Calibri"/>
              </w:rPr>
              <w:t>50</w:t>
            </w:r>
          </w:p>
        </w:tc>
      </w:tr>
    </w:tbl>
    <w:p w14:paraId="7FF868A5" w14:textId="12BEE603" w:rsidR="000551E0" w:rsidRPr="00376AF2" w:rsidRDefault="00C64164" w:rsidP="00376AF2">
      <w:pPr>
        <w:pStyle w:val="TableDescription"/>
      </w:pPr>
      <w:r w:rsidRPr="00376AF2">
        <w:t xml:space="preserve">Abbreviations: </w:t>
      </w:r>
      <w:r w:rsidR="000551E0" w:rsidRPr="00376AF2">
        <w:t xml:space="preserve">AE = adverse event; </w:t>
      </w:r>
      <w:r w:rsidR="00BE2E95" w:rsidRPr="00376AF2">
        <w:t>n</w:t>
      </w:r>
      <w:r w:rsidR="000551E0" w:rsidRPr="00376AF2">
        <w:t xml:space="preserve"> = </w:t>
      </w:r>
      <w:r w:rsidR="00BE2E95" w:rsidRPr="00376AF2">
        <w:t>sample</w:t>
      </w:r>
      <w:r w:rsidR="000551E0" w:rsidRPr="00376AF2">
        <w:t xml:space="preserve"> size; SAE = serious adverse event; TEAE = treatment emergent adverse event; TRAE = treatment related adverse event.</w:t>
      </w:r>
    </w:p>
    <w:p w14:paraId="77BFD433" w14:textId="0533908B" w:rsidR="00A53023" w:rsidRPr="00D92C04" w:rsidRDefault="00A53023" w:rsidP="00A53023">
      <w:r w:rsidRPr="00D92C04">
        <w:t>Grade ≥</w:t>
      </w:r>
      <w:r w:rsidR="00D16502" w:rsidRPr="00D92C04">
        <w:t xml:space="preserve"> </w:t>
      </w:r>
      <w:r w:rsidRPr="00D92C04">
        <w:t>3 atrial fibrillation</w:t>
      </w:r>
      <w:r w:rsidR="00C64164">
        <w:t xml:space="preserve"> or atrial </w:t>
      </w:r>
      <w:r w:rsidRPr="00D92C04">
        <w:t xml:space="preserve">flutter events were reported in 4 patients in the ibrutinib arm, </w:t>
      </w:r>
      <w:r w:rsidR="00D16502" w:rsidRPr="00D92C04">
        <w:t>zero</w:t>
      </w:r>
      <w:r w:rsidRPr="00D92C04">
        <w:t xml:space="preserve"> in the zanubrutinib arm, but no patient discontinued study treatment as result. In patients with a history of atrial fibrillation</w:t>
      </w:r>
      <w:r w:rsidR="00C64164">
        <w:t xml:space="preserve"> or </w:t>
      </w:r>
      <w:r w:rsidRPr="00D92C04">
        <w:t>flutter</w:t>
      </w:r>
      <w:r w:rsidR="00C64164">
        <w:t>,</w:t>
      </w:r>
      <w:r w:rsidRPr="00D92C04">
        <w:t xml:space="preserve"> </w:t>
      </w:r>
      <w:r w:rsidR="00C64164">
        <w:t xml:space="preserve">zero of </w:t>
      </w:r>
      <w:r w:rsidRPr="00D92C04">
        <w:t xml:space="preserve">12 </w:t>
      </w:r>
      <w:r w:rsidR="00C64164">
        <w:t>patients from</w:t>
      </w:r>
      <w:r w:rsidRPr="00D92C04">
        <w:t xml:space="preserve"> the zanubrutinib arm and 3</w:t>
      </w:r>
      <w:r w:rsidR="00C64164">
        <w:t xml:space="preserve"> of </w:t>
      </w:r>
      <w:r w:rsidRPr="00D92C04">
        <w:t>8</w:t>
      </w:r>
      <w:r w:rsidR="00C64164">
        <w:t xml:space="preserve"> patients</w:t>
      </w:r>
      <w:r w:rsidRPr="00D92C04">
        <w:t xml:space="preserve"> </w:t>
      </w:r>
      <w:r w:rsidR="00C64164">
        <w:t>from</w:t>
      </w:r>
      <w:r w:rsidRPr="00D92C04">
        <w:t xml:space="preserve"> the ibrutinib arm had further events.</w:t>
      </w:r>
    </w:p>
    <w:p w14:paraId="52E59966" w14:textId="79893370" w:rsidR="00A53023" w:rsidRPr="00D92C04" w:rsidRDefault="00A53023" w:rsidP="00A53023">
      <w:r w:rsidRPr="00D92C04">
        <w:t xml:space="preserve">There were no consistent trends observed over time in the serum levels of </w:t>
      </w:r>
      <w:r w:rsidR="00FE3607" w:rsidRPr="00D92C04">
        <w:t>immunoglobulin A (</w:t>
      </w:r>
      <w:r w:rsidRPr="00D92C04">
        <w:t>IgA</w:t>
      </w:r>
      <w:r w:rsidR="00FE3607" w:rsidRPr="00D92C04">
        <w:t>)</w:t>
      </w:r>
      <w:r w:rsidRPr="00D92C04">
        <w:t xml:space="preserve"> or </w:t>
      </w:r>
      <w:r w:rsidR="00FE3607" w:rsidRPr="00D92C04">
        <w:t>immunoglobulin G (</w:t>
      </w:r>
      <w:r w:rsidRPr="00D92C04">
        <w:t>IgG</w:t>
      </w:r>
      <w:r w:rsidR="00FE3607" w:rsidRPr="00D92C04">
        <w:t>)</w:t>
      </w:r>
      <w:r w:rsidRPr="00D92C04">
        <w:t xml:space="preserve"> for patients in either treatment arm compared to </w:t>
      </w:r>
      <w:r w:rsidR="00E441D9" w:rsidRPr="00D92C04">
        <w:t>Baseline</w:t>
      </w:r>
      <w:r w:rsidRPr="00D92C04">
        <w:t>.</w:t>
      </w:r>
    </w:p>
    <w:p w14:paraId="61C47151" w14:textId="41EC698D" w:rsidR="00A53023" w:rsidRPr="00D92C04" w:rsidRDefault="00A53023" w:rsidP="00951405">
      <w:pPr>
        <w:pStyle w:val="Heading5"/>
      </w:pPr>
      <w:r w:rsidRPr="00D92C04">
        <w:t xml:space="preserve">Study </w:t>
      </w:r>
      <w:r w:rsidR="00F52A8A" w:rsidRPr="00D92C04">
        <w:t>BGB-311</w:t>
      </w:r>
      <w:r w:rsidR="004E2E0C">
        <w:t>1</w:t>
      </w:r>
      <w:r w:rsidR="00F52A8A" w:rsidRPr="00D92C04">
        <w:t>-AU-003</w:t>
      </w:r>
    </w:p>
    <w:p w14:paraId="483C2012" w14:textId="263CC52B" w:rsidR="00A53023" w:rsidRPr="00D92C04" w:rsidRDefault="00A53023" w:rsidP="00A53023">
      <w:r w:rsidRPr="00D92C04">
        <w:t xml:space="preserve">The median duration of treatment for the WM population was 26 months (23.2 months in </w:t>
      </w:r>
      <w:r w:rsidR="00C64164">
        <w:t xml:space="preserve">the </w:t>
      </w:r>
      <w:r w:rsidRPr="00D92C04">
        <w:t>treatment</w:t>
      </w:r>
      <w:r w:rsidR="00C64164">
        <w:t>-</w:t>
      </w:r>
      <w:r w:rsidRPr="00D92C04">
        <w:t>naïve</w:t>
      </w:r>
      <w:r w:rsidR="00C64164">
        <w:t xml:space="preserve"> WM population</w:t>
      </w:r>
      <w:r w:rsidRPr="00D92C04">
        <w:t xml:space="preserve"> and 28.8 months in </w:t>
      </w:r>
      <w:r w:rsidR="00C64164">
        <w:t>relapse/refractory (r/r)</w:t>
      </w:r>
      <w:r w:rsidRPr="00D92C04">
        <w:t xml:space="preserve"> WM</w:t>
      </w:r>
      <w:r w:rsidR="00C64164">
        <w:t xml:space="preserve"> population</w:t>
      </w:r>
      <w:r w:rsidRPr="00D92C04">
        <w:t>).</w:t>
      </w:r>
    </w:p>
    <w:p w14:paraId="45A71EBE" w14:textId="10805893" w:rsidR="00A53023" w:rsidRPr="00D92C04" w:rsidRDefault="00A53023" w:rsidP="00A53023">
      <w:r w:rsidRPr="00D92C04">
        <w:t xml:space="preserve">All patients with WM experienced at least </w:t>
      </w:r>
      <w:r w:rsidR="00D16502" w:rsidRPr="00D92C04">
        <w:t>one</w:t>
      </w:r>
      <w:r w:rsidRPr="00D92C04">
        <w:t xml:space="preserve"> </w:t>
      </w:r>
      <w:r w:rsidR="000C04BD" w:rsidRPr="00D92C04">
        <w:t>treatment-emergent adverse events</w:t>
      </w:r>
      <w:r w:rsidRPr="00D92C04">
        <w:t>, most commonly upper respiratory tract infection (51.3%</w:t>
      </w:r>
      <w:r w:rsidR="00C64164">
        <w:t xml:space="preserve"> overall</w:t>
      </w:r>
      <w:r w:rsidRPr="00D92C04">
        <w:t>; 45.8% of the treatment</w:t>
      </w:r>
      <w:r w:rsidR="00C64164">
        <w:t>-</w:t>
      </w:r>
      <w:r w:rsidR="00A051A1">
        <w:t>n</w:t>
      </w:r>
      <w:r w:rsidR="00A051A1" w:rsidRPr="00A051A1">
        <w:t>aïve</w:t>
      </w:r>
      <w:r w:rsidRPr="00D92C04">
        <w:t xml:space="preserve"> WM group, 53.7% of the r/r WM group) and contusion (32.1%</w:t>
      </w:r>
      <w:r w:rsidR="00C64164">
        <w:t xml:space="preserve"> overall</w:t>
      </w:r>
      <w:r w:rsidRPr="00D92C04">
        <w:t>; 29.2% in the treatment</w:t>
      </w:r>
      <w:r w:rsidR="00C64164">
        <w:t>-</w:t>
      </w:r>
      <w:r w:rsidRPr="00D92C04">
        <w:t xml:space="preserve">naïve WM group, 33.3% in the r/r WM </w:t>
      </w:r>
      <w:r w:rsidR="00C64164">
        <w:t>group</w:t>
      </w:r>
      <w:r w:rsidRPr="00D92C04">
        <w:t>). Other AEs occurring in &gt; 15%</w:t>
      </w:r>
      <w:r w:rsidR="00C64164">
        <w:t xml:space="preserve"> of patients</w:t>
      </w:r>
      <w:r w:rsidRPr="00D92C04">
        <w:t xml:space="preserve"> included cough, urinary tract infection, diarrhoea, headache, rash, back pain, fatigue, and constipation.</w:t>
      </w:r>
    </w:p>
    <w:p w14:paraId="37532E73" w14:textId="4352FC5A" w:rsidR="00A53023" w:rsidRPr="00D92C04" w:rsidRDefault="00A53023" w:rsidP="00A53023">
      <w:r w:rsidRPr="00D92C04">
        <w:t>Around 75% of treatment</w:t>
      </w:r>
      <w:r w:rsidR="00C64164">
        <w:t>-</w:t>
      </w:r>
      <w:r w:rsidRPr="00D92C04">
        <w:t>naïve</w:t>
      </w:r>
      <w:r w:rsidR="00C64164">
        <w:t xml:space="preserve"> WM</w:t>
      </w:r>
      <w:r w:rsidRPr="00D92C04">
        <w:t xml:space="preserve"> and r/r WM patients reported </w:t>
      </w:r>
      <w:r w:rsidR="00C64164">
        <w:t>treatment-related adverse events (</w:t>
      </w:r>
      <w:r w:rsidRPr="00D92C04">
        <w:t>TRAEs</w:t>
      </w:r>
      <w:r w:rsidR="00C64164">
        <w:t>)</w:t>
      </w:r>
      <w:r w:rsidRPr="00D92C04">
        <w:t>. Most commonly were contusion (24.4%</w:t>
      </w:r>
      <w:r w:rsidR="00C64164">
        <w:t xml:space="preserve"> overall</w:t>
      </w:r>
      <w:r w:rsidRPr="00D92C04">
        <w:t>; 25.0% and 24.1% in the treatment</w:t>
      </w:r>
      <w:r w:rsidR="006E2E61">
        <w:t>-</w:t>
      </w:r>
      <w:r w:rsidRPr="00D92C04">
        <w:t>naïve and r/r WM groups, respectively), neutropenia (10.3%</w:t>
      </w:r>
      <w:r w:rsidR="00C64164">
        <w:t xml:space="preserve"> overall</w:t>
      </w:r>
      <w:r w:rsidRPr="00D92C04">
        <w:t>; 12.5% and 9.3% in the treatment</w:t>
      </w:r>
      <w:r w:rsidR="006E2E61">
        <w:t>-</w:t>
      </w:r>
      <w:r w:rsidRPr="00D92C04">
        <w:t>naïve and r/r WM groups, respectively), and diarrhoea (6.4%</w:t>
      </w:r>
      <w:r w:rsidR="00C64164">
        <w:t xml:space="preserve"> overall</w:t>
      </w:r>
      <w:r w:rsidRPr="00D92C04">
        <w:t>; 4.2% and 7.4% in the treatment</w:t>
      </w:r>
      <w:r w:rsidR="006E2E61">
        <w:t>-</w:t>
      </w:r>
      <w:r w:rsidRPr="00D92C04">
        <w:t>naïve and r/r WM groups, respectively).</w:t>
      </w:r>
    </w:p>
    <w:p w14:paraId="0D29B9F0" w14:textId="7A452901" w:rsidR="00A53023" w:rsidRPr="00D92C04" w:rsidRDefault="00A53023" w:rsidP="00A53023">
      <w:r w:rsidRPr="00D92C04">
        <w:t xml:space="preserve">Haematological grade ≥ 3 events </w:t>
      </w:r>
      <w:r w:rsidR="00C64164">
        <w:t>were reported</w:t>
      </w:r>
      <w:r w:rsidR="00C64164" w:rsidRPr="00D92C04">
        <w:t xml:space="preserve"> </w:t>
      </w:r>
      <w:r w:rsidRPr="00D92C04">
        <w:t xml:space="preserve">for anaemia (15.4%), leukopenia (9.0%), </w:t>
      </w:r>
      <w:proofErr w:type="spellStart"/>
      <w:r w:rsidRPr="00D92C04">
        <w:t>lymphocytopaenia</w:t>
      </w:r>
      <w:proofErr w:type="spellEnd"/>
      <w:r w:rsidRPr="00D92C04">
        <w:t xml:space="preserve"> (23.1%), neutropenia (20.5%) and thrombocytopenia (7.7%).</w:t>
      </w:r>
    </w:p>
    <w:p w14:paraId="14CEDC98" w14:textId="4D348560" w:rsidR="00A53023" w:rsidRPr="00D92C04" w:rsidRDefault="00A53023" w:rsidP="00A53023">
      <w:r w:rsidRPr="00D92C04">
        <w:t xml:space="preserve">Deaths occurred in 11.5% but only one patient, with septic arthritis, had events considered related to zanubrutinib. At least one </w:t>
      </w:r>
      <w:r w:rsidR="000C04BD" w:rsidRPr="00D92C04">
        <w:t>serious adverse event (</w:t>
      </w:r>
      <w:r w:rsidRPr="00D92C04">
        <w:t>SAE</w:t>
      </w:r>
      <w:r w:rsidR="000C04BD" w:rsidRPr="00D92C04">
        <w:t>)</w:t>
      </w:r>
      <w:r w:rsidRPr="00D92C04">
        <w:t xml:space="preserve"> occurred in 50% of patients. The most common event was cellulitis (6.4%). Treatment related discontinuations were reported for 14.1% of the WM group, but no single event was reported for more than one patient.</w:t>
      </w:r>
    </w:p>
    <w:p w14:paraId="6FF1B5D5" w14:textId="5FEC178D" w:rsidR="00A53023" w:rsidRPr="00D92C04" w:rsidRDefault="00A53023" w:rsidP="00A53023">
      <w:r w:rsidRPr="00D92C04">
        <w:t xml:space="preserve">Atrial fibrillation/flutter occurred in 5.1%. Bleeding events occurred in 62.8% and major haemorrhage occurred in 5.1%. None were fatal. Second primary malignancies occurred in 24.4% (mostly </w:t>
      </w:r>
      <w:r w:rsidR="00D16502" w:rsidRPr="00D92C04">
        <w:t>basal cell carcinoma</w:t>
      </w:r>
      <w:r w:rsidR="00C64164">
        <w:t xml:space="preserve">, </w:t>
      </w:r>
      <w:r w:rsidRPr="00D92C04">
        <w:t xml:space="preserve">11.5%). Infection occurred in 89.7%, most commonly </w:t>
      </w:r>
      <w:r w:rsidR="00D16502" w:rsidRPr="00D92C04">
        <w:lastRenderedPageBreak/>
        <w:t>upper respiratory tract infection</w:t>
      </w:r>
      <w:r w:rsidRPr="00D92C04">
        <w:t>. Opportunistic infections occurred in 5.1% and fatal infections in 3.8%.</w:t>
      </w:r>
    </w:p>
    <w:p w14:paraId="03B3D070" w14:textId="259A1606" w:rsidR="00A53023" w:rsidRPr="00D92C04" w:rsidRDefault="00A53023" w:rsidP="00951405">
      <w:pPr>
        <w:pStyle w:val="Heading5"/>
      </w:pPr>
      <w:r w:rsidRPr="00D92C04">
        <w:t xml:space="preserve">Study </w:t>
      </w:r>
      <w:r w:rsidR="00F52A8A" w:rsidRPr="00D92C04">
        <w:t>BGB-311</w:t>
      </w:r>
      <w:r w:rsidR="004E2E0C">
        <w:t>1</w:t>
      </w:r>
      <w:r w:rsidR="00F52A8A" w:rsidRPr="00D92C04">
        <w:t>-210</w:t>
      </w:r>
    </w:p>
    <w:p w14:paraId="24500619" w14:textId="3EC0FC90" w:rsidR="00A53023" w:rsidRPr="00D92C04" w:rsidRDefault="00A53023" w:rsidP="00A53023">
      <w:r w:rsidRPr="00D92C04">
        <w:t xml:space="preserve">The safety in </w:t>
      </w:r>
      <w:r w:rsidR="00D16502" w:rsidRPr="00D92C04">
        <w:t xml:space="preserve">Study </w:t>
      </w:r>
      <w:r w:rsidR="00245B3D" w:rsidRPr="00D92C04">
        <w:t>BGB-311</w:t>
      </w:r>
      <w:r w:rsidR="004E2E0C">
        <w:t>1</w:t>
      </w:r>
      <w:r w:rsidR="00245B3D" w:rsidRPr="00D92C04">
        <w:t>-210</w:t>
      </w:r>
      <w:r w:rsidRPr="00D92C04">
        <w:t xml:space="preserve"> was consistent with the safety findings of </w:t>
      </w:r>
      <w:r w:rsidR="00C64164">
        <w:t>Study BGB</w:t>
      </w:r>
      <w:r w:rsidR="00C64164">
        <w:noBreakHyphen/>
        <w:t xml:space="preserve">3111-302 (the </w:t>
      </w:r>
      <w:r w:rsidRPr="00D92C04">
        <w:t xml:space="preserve">ASPEN </w:t>
      </w:r>
      <w:r w:rsidR="00D16502" w:rsidRPr="00D92C04">
        <w:t>trial</w:t>
      </w:r>
      <w:r w:rsidR="00C64164">
        <w:t>)</w:t>
      </w:r>
      <w:r w:rsidRPr="00D92C04">
        <w:t>.</w:t>
      </w:r>
    </w:p>
    <w:p w14:paraId="72B79AB4" w14:textId="77777777" w:rsidR="00A53023" w:rsidRPr="00D92C04" w:rsidRDefault="00A53023" w:rsidP="00951405">
      <w:pPr>
        <w:pStyle w:val="Heading5"/>
      </w:pPr>
      <w:r w:rsidRPr="00D92C04">
        <w:t>Other studies</w:t>
      </w:r>
    </w:p>
    <w:p w14:paraId="08B6E800" w14:textId="0B47D8A4" w:rsidR="00A53023" w:rsidRPr="00D92C04" w:rsidRDefault="00A53023" w:rsidP="00A53023">
      <w:r w:rsidRPr="00D92C04">
        <w:t xml:space="preserve">Severe cutaneous skin reactions </w:t>
      </w:r>
      <w:proofErr w:type="gramStart"/>
      <w:r w:rsidRPr="00D92C04">
        <w:t>is</w:t>
      </w:r>
      <w:proofErr w:type="gramEnd"/>
      <w:r w:rsidRPr="00D92C04">
        <w:t xml:space="preserve"> of concern due to possible off-target effects on </w:t>
      </w:r>
      <w:r w:rsidR="00C64164">
        <w:t>epidermal growth factor receptors (</w:t>
      </w:r>
      <w:r w:rsidRPr="00D92C04">
        <w:t>EGFR</w:t>
      </w:r>
      <w:r w:rsidR="00C64164">
        <w:t>)</w:t>
      </w:r>
      <w:r w:rsidRPr="00D92C04">
        <w:t xml:space="preserve">. One fatal case of toxic epidermal necrolysis was reported in the </w:t>
      </w:r>
      <w:r w:rsidR="00795708" w:rsidRPr="00D92C04">
        <w:t>Phase</w:t>
      </w:r>
      <w:r w:rsidRPr="00D92C04">
        <w:t xml:space="preserve"> </w:t>
      </w:r>
      <w:r w:rsidR="00795708" w:rsidRPr="00D92C04">
        <w:t>I</w:t>
      </w:r>
      <w:r w:rsidRPr="00D92C04">
        <w:t xml:space="preserve"> study of B</w:t>
      </w:r>
      <w:r w:rsidR="00D16502" w:rsidRPr="00D92C04">
        <w:noBreakHyphen/>
      </w:r>
      <w:r w:rsidRPr="00D92C04">
        <w:t>cell malignancies.</w:t>
      </w:r>
    </w:p>
    <w:p w14:paraId="4A99C456" w14:textId="77777777" w:rsidR="00A53023" w:rsidRPr="00D92C04" w:rsidRDefault="00A53023" w:rsidP="00951405">
      <w:pPr>
        <w:pStyle w:val="Heading5"/>
      </w:pPr>
      <w:r w:rsidRPr="00D92C04">
        <w:t>Updated safety data</w:t>
      </w:r>
    </w:p>
    <w:p w14:paraId="080DF5E1" w14:textId="40676174" w:rsidR="00A53023" w:rsidRPr="00D92C04" w:rsidRDefault="00A53023" w:rsidP="00A53023">
      <w:r w:rsidRPr="00D92C04">
        <w:t xml:space="preserve">Updated safety data were provided for the studies contributing to the total safety data for zanubrutinib in a report provided on 29 March 2021 in response to </w:t>
      </w:r>
      <w:r w:rsidR="00C64164">
        <w:t xml:space="preserve">TGA </w:t>
      </w:r>
      <w:r w:rsidRPr="00D92C04">
        <w:t xml:space="preserve">questions. Cut-off dates for the analyses varied by the individual contributory studies. These data were not evaluated in the clinical evaluation report. Data were provided separately for study are derived from </w:t>
      </w:r>
      <w:r w:rsidR="001A069C" w:rsidRPr="00D92C04">
        <w:t>Study BGB-311</w:t>
      </w:r>
      <w:r w:rsidR="004E2E0C">
        <w:t>1</w:t>
      </w:r>
      <w:r w:rsidR="001A069C" w:rsidRPr="00D92C04">
        <w:t>-302</w:t>
      </w:r>
      <w:r w:rsidRPr="00D92C04">
        <w:t xml:space="preserve">, for the whole WM population that included data from 44 patients from </w:t>
      </w:r>
      <w:r w:rsidR="00C64164">
        <w:t>S</w:t>
      </w:r>
      <w:r w:rsidRPr="00D92C04">
        <w:t xml:space="preserve">tudy </w:t>
      </w:r>
      <w:r w:rsidR="00245B3D" w:rsidRPr="00D92C04">
        <w:t>BGB-311</w:t>
      </w:r>
      <w:r w:rsidR="004E2E0C">
        <w:t>1</w:t>
      </w:r>
      <w:r w:rsidR="00245B3D" w:rsidRPr="00D92C04">
        <w:t>-210</w:t>
      </w:r>
      <w:r w:rsidRPr="00D92C04">
        <w:t xml:space="preserve"> and 2 patients from </w:t>
      </w:r>
      <w:r w:rsidR="00BE2E95">
        <w:t>S</w:t>
      </w:r>
      <w:r w:rsidRPr="00D92C04">
        <w:t xml:space="preserve">tudy </w:t>
      </w:r>
      <w:r w:rsidR="00BE2E95" w:rsidRPr="00BE2E95">
        <w:t>BGB-3111-1002</w:t>
      </w:r>
      <w:r w:rsidRPr="00D92C04">
        <w:t xml:space="preserve">, studies that included only Chinese patients, and for a broad zanubrutinib data set from a variety of haematological malignancies. </w:t>
      </w:r>
      <w:proofErr w:type="gramStart"/>
      <w:r w:rsidRPr="00D92C04">
        <w:t>A brief summary</w:t>
      </w:r>
      <w:proofErr w:type="gramEnd"/>
      <w:r w:rsidRPr="00D92C04">
        <w:t xml:space="preserve"> of the updated data is included below.</w:t>
      </w:r>
    </w:p>
    <w:p w14:paraId="4D08D05D" w14:textId="67DE3050" w:rsidR="00A53023" w:rsidRPr="00D92C04" w:rsidRDefault="001A069C" w:rsidP="00951405">
      <w:pPr>
        <w:pStyle w:val="Heading6"/>
      </w:pPr>
      <w:r w:rsidRPr="00D92C04">
        <w:t>Study BGB-311</w:t>
      </w:r>
      <w:r w:rsidR="004E2E0C">
        <w:t>1</w:t>
      </w:r>
      <w:r w:rsidRPr="00D92C04">
        <w:t>-302</w:t>
      </w:r>
      <w:r w:rsidR="00A53023" w:rsidRPr="00D92C04">
        <w:t xml:space="preserve"> (data cut-off of 31 August 2020)</w:t>
      </w:r>
    </w:p>
    <w:p w14:paraId="1D0B6B76" w14:textId="77777777" w:rsidR="00A53023" w:rsidRPr="00D92C04" w:rsidRDefault="00A53023" w:rsidP="00951405">
      <w:pPr>
        <w:pStyle w:val="Heading7"/>
        <w:rPr>
          <w:sz w:val="22"/>
          <w:szCs w:val="28"/>
        </w:rPr>
      </w:pPr>
      <w:r w:rsidRPr="00D92C04">
        <w:rPr>
          <w:sz w:val="22"/>
          <w:szCs w:val="28"/>
        </w:rPr>
        <w:t>Cohort 1</w:t>
      </w:r>
    </w:p>
    <w:p w14:paraId="5A264B75" w14:textId="77777777" w:rsidR="00A53023" w:rsidRPr="00D92C04" w:rsidRDefault="00A53023" w:rsidP="00A53023">
      <w:pPr>
        <w:pStyle w:val="ListBullet"/>
      </w:pPr>
      <w:r w:rsidRPr="00D92C04">
        <w:t>Median duration of exposure for ibrutinib was 29.9 months for the ibrutinib arm and 30.3 months for zanubrutinib arm.</w:t>
      </w:r>
    </w:p>
    <w:p w14:paraId="0A29AD2F" w14:textId="5CC80EF9" w:rsidR="00A53023" w:rsidRPr="00D92C04" w:rsidRDefault="00A53023" w:rsidP="00A53023">
      <w:pPr>
        <w:pStyle w:val="ListBullet"/>
      </w:pPr>
      <w:r w:rsidRPr="00D92C04">
        <w:t>32.7% of the ibrutinib arm and 24.8% of the zanubrutinib arm discontinued study treatment (median time to discontinuation 11.5 and 13.4 months, respectively)</w:t>
      </w:r>
      <w:r w:rsidR="00D16502" w:rsidRPr="00D92C04">
        <w:t>.</w:t>
      </w:r>
    </w:p>
    <w:p w14:paraId="7BE5AA34" w14:textId="60241758" w:rsidR="00A53023" w:rsidRPr="00D92C04" w:rsidRDefault="00A53023" w:rsidP="00A53023">
      <w:pPr>
        <w:pStyle w:val="ListBullet"/>
      </w:pPr>
      <w:r w:rsidRPr="00D92C04">
        <w:t>15.3% of the ibrutinib arm and 5% of the zanubrutinib arm discontinued due to AEs and 8.2% of the ibrutinib arm and 9.9% of the zanubrutinib arm discontinued due to progressive disease</w:t>
      </w:r>
      <w:r w:rsidR="00D16502" w:rsidRPr="00D92C04">
        <w:t>.</w:t>
      </w:r>
    </w:p>
    <w:p w14:paraId="34BF8DB2" w14:textId="5458329D" w:rsidR="00A53023" w:rsidRPr="00D92C04" w:rsidRDefault="008D6F1C" w:rsidP="00A53023">
      <w:pPr>
        <w:pStyle w:val="ListBullet"/>
      </w:pPr>
      <w:r w:rsidRPr="00D92C04">
        <w:t xml:space="preserve">Adverse events </w:t>
      </w:r>
      <w:r w:rsidR="00A53023" w:rsidRPr="00D92C04">
        <w:t>reported in &gt;20% of patients were:</w:t>
      </w:r>
    </w:p>
    <w:p w14:paraId="33ABA26F" w14:textId="386CEB76" w:rsidR="00A53023" w:rsidRPr="00D92C04" w:rsidRDefault="00A53023" w:rsidP="00A53023">
      <w:pPr>
        <w:pStyle w:val="ListBullet2"/>
      </w:pPr>
      <w:r w:rsidRPr="00D92C04">
        <w:t>Ibrutinib</w:t>
      </w:r>
      <w:r w:rsidR="00C64164">
        <w:t xml:space="preserve"> arm</w:t>
      </w:r>
      <w:r w:rsidRPr="00D92C04">
        <w:t>: diarrhoea (33.7%), upper respiratory tract infection (31.6%), muscle spasms (27.6%), contusion (25.5%), hypertension (21.4%), and epistaxis, peripheral oedema, and arthralgia (20.4% each).</w:t>
      </w:r>
    </w:p>
    <w:p w14:paraId="5A833BB6" w14:textId="22024868" w:rsidR="00A53023" w:rsidRPr="00D92C04" w:rsidRDefault="00A53023" w:rsidP="00A53023">
      <w:pPr>
        <w:pStyle w:val="ListBullet2"/>
      </w:pPr>
      <w:r w:rsidRPr="00D92C04">
        <w:t>Zanubrutinib</w:t>
      </w:r>
      <w:r w:rsidR="00C64164">
        <w:t xml:space="preserve"> arm</w:t>
      </w:r>
      <w:r w:rsidRPr="00D92C04">
        <w:t>: upper respiratory tract infection (30.7%), neutropenia (26.7%), fatigue (24.8%), diarrhoea (21.8%).</w:t>
      </w:r>
    </w:p>
    <w:p w14:paraId="7796A894" w14:textId="77777777" w:rsidR="00A53023" w:rsidRPr="00D92C04" w:rsidRDefault="00A53023" w:rsidP="00A53023">
      <w:pPr>
        <w:pStyle w:val="ListBullet"/>
      </w:pPr>
      <w:r w:rsidRPr="00D92C04">
        <w:t>Deaths were reported for 8.2% of the ibrutinib arm and 8.9% of the zanubrutinib arm</w:t>
      </w:r>
    </w:p>
    <w:p w14:paraId="69CE3272" w14:textId="18E65662" w:rsidR="00A53023" w:rsidRPr="00D92C04" w:rsidRDefault="00D92C04" w:rsidP="00A53023">
      <w:pPr>
        <w:pStyle w:val="ListBullet"/>
      </w:pPr>
      <w:r w:rsidRPr="00D92C04">
        <w:t xml:space="preserve">Serious adverse events </w:t>
      </w:r>
      <w:r w:rsidR="00A53023" w:rsidRPr="00D92C04">
        <w:t>were reported for 46.9% of the ibrutinib arm and 48.5% of the zanubrutinib arm:</w:t>
      </w:r>
    </w:p>
    <w:p w14:paraId="267222D9" w14:textId="6A94B12B" w:rsidR="00A53023" w:rsidRPr="00D92C04" w:rsidRDefault="00A53023" w:rsidP="00A53023">
      <w:pPr>
        <w:pStyle w:val="ListBullet2"/>
      </w:pPr>
      <w:r w:rsidRPr="00D92C04">
        <w:t>Ibrutinib</w:t>
      </w:r>
      <w:r w:rsidR="00C64164">
        <w:t xml:space="preserve"> arm</w:t>
      </w:r>
      <w:r w:rsidRPr="00D92C04">
        <w:t>: pneumonia (11.2%); atrial fibrillation (5.1%); sepsis (4.1%); pyrexia, syncope, and pericarditis (3.1% each); and urinary tract infection, upper respiratory tract infection, pleural effusion, loss of consciousness, acute myocardial infarction, cholecystitis, and bladder transitional cell carcinoma (2.0%</w:t>
      </w:r>
      <w:r w:rsidR="00D16502" w:rsidRPr="00D92C04">
        <w:t> </w:t>
      </w:r>
      <w:r w:rsidRPr="00D92C04">
        <w:t>each).</w:t>
      </w:r>
    </w:p>
    <w:p w14:paraId="03AF93BC" w14:textId="710D5E9C" w:rsidR="00A53023" w:rsidRPr="00D92C04" w:rsidRDefault="00A53023" w:rsidP="00A53023">
      <w:pPr>
        <w:pStyle w:val="ListBullet2"/>
      </w:pPr>
      <w:r w:rsidRPr="00D92C04">
        <w:t>Zanubrutinib</w:t>
      </w:r>
      <w:r w:rsidR="00C64164">
        <w:t xml:space="preserve"> arm</w:t>
      </w:r>
      <w:r w:rsidRPr="00D92C04">
        <w:t>: influenza, febrile neutropenia, neutropenia, and pyrexia (3.0% each); and pneumonia, lower respiratory tract infection, sepsis, pleural effusion, anaemia, thrombocytopenia, and basal cell carcinoma (2.0% each).</w:t>
      </w:r>
    </w:p>
    <w:p w14:paraId="3CDD9BD3" w14:textId="3C4EA16B" w:rsidR="00A53023" w:rsidRPr="00D92C04" w:rsidRDefault="00A53023" w:rsidP="00951405">
      <w:pPr>
        <w:pStyle w:val="Heading7"/>
        <w:rPr>
          <w:sz w:val="22"/>
          <w:szCs w:val="28"/>
        </w:rPr>
      </w:pPr>
      <w:r w:rsidRPr="00D92C04">
        <w:rPr>
          <w:sz w:val="22"/>
          <w:szCs w:val="28"/>
        </w:rPr>
        <w:lastRenderedPageBreak/>
        <w:t xml:space="preserve">Whole of </w:t>
      </w:r>
      <w:r w:rsidR="00FE3607" w:rsidRPr="00D92C04">
        <w:rPr>
          <w:sz w:val="22"/>
          <w:szCs w:val="28"/>
        </w:rPr>
        <w:t xml:space="preserve">Waldenström’s macroglobulinaemia </w:t>
      </w:r>
      <w:r w:rsidRPr="00D92C04">
        <w:rPr>
          <w:sz w:val="22"/>
          <w:szCs w:val="28"/>
        </w:rPr>
        <w:t>population</w:t>
      </w:r>
    </w:p>
    <w:p w14:paraId="1CAFC300" w14:textId="156D5B18" w:rsidR="00A53023" w:rsidRPr="00D92C04" w:rsidRDefault="00A53023" w:rsidP="00A53023">
      <w:pPr>
        <w:pStyle w:val="ListBullet"/>
      </w:pPr>
      <w:r w:rsidRPr="00D92C04">
        <w:t>Median duration of exposure was 31.5 months</w:t>
      </w:r>
      <w:r w:rsidR="00D16502" w:rsidRPr="00D92C04">
        <w:t>.</w:t>
      </w:r>
    </w:p>
    <w:p w14:paraId="1DD89D36" w14:textId="1F4C695C" w:rsidR="00A53023" w:rsidRPr="00D92C04" w:rsidRDefault="00A53023" w:rsidP="00A53023">
      <w:pPr>
        <w:pStyle w:val="ListBullet"/>
      </w:pPr>
      <w:r w:rsidRPr="00D92C04">
        <w:t>34.8% discontinued due to progressive disease (15.8%) and AEs (10.7%)</w:t>
      </w:r>
      <w:r w:rsidR="00D16502" w:rsidRPr="00D92C04">
        <w:t>.</w:t>
      </w:r>
    </w:p>
    <w:p w14:paraId="1A13DBAA" w14:textId="550E843C" w:rsidR="00A53023" w:rsidRPr="00D92C04" w:rsidRDefault="00D92C04" w:rsidP="00A53023">
      <w:pPr>
        <w:pStyle w:val="ListBullet"/>
      </w:pPr>
      <w:r w:rsidRPr="00D92C04">
        <w:t>Adverse events</w:t>
      </w:r>
      <w:r w:rsidR="00A53023" w:rsidRPr="00D92C04">
        <w:t xml:space="preserve"> of any grade reported in &gt; 20% were upper respiratory tract infection (36.8%) and diarrhoea (23.3%)</w:t>
      </w:r>
      <w:r w:rsidR="00D16502" w:rsidRPr="00D92C04">
        <w:t>.</w:t>
      </w:r>
    </w:p>
    <w:p w14:paraId="06DEC155" w14:textId="36663E78" w:rsidR="00A53023" w:rsidRPr="00D92C04" w:rsidRDefault="00A53023" w:rsidP="00A53023">
      <w:pPr>
        <w:pStyle w:val="ListBullet"/>
      </w:pPr>
      <w:r w:rsidRPr="00D92C04">
        <w:t>Deaths occurred in 12.6%</w:t>
      </w:r>
      <w:r w:rsidR="00D16502" w:rsidRPr="00D92C04">
        <w:t>.</w:t>
      </w:r>
    </w:p>
    <w:p w14:paraId="2AAB92AD" w14:textId="78240C51" w:rsidR="00A53023" w:rsidRPr="00D92C04" w:rsidRDefault="00D92C04" w:rsidP="00A53023">
      <w:pPr>
        <w:pStyle w:val="ListBullet"/>
        <w:rPr>
          <w:rFonts w:asciiTheme="minorHAnsi" w:eastAsiaTheme="minorHAnsi" w:hAnsiTheme="minorHAnsi"/>
        </w:rPr>
      </w:pPr>
      <w:r w:rsidRPr="00D92C04">
        <w:t>Serious adverse events</w:t>
      </w:r>
      <w:r w:rsidR="00A53023" w:rsidRPr="00D92C04">
        <w:t xml:space="preserve"> were reported in 51%. Events reported in ≥ 2% </w:t>
      </w:r>
      <w:r w:rsidR="00B72497">
        <w:t xml:space="preserve">of patients </w:t>
      </w:r>
      <w:r w:rsidR="00A53023" w:rsidRPr="00D92C04">
        <w:rPr>
          <w:rFonts w:asciiTheme="minorHAnsi" w:hAnsiTheme="minorHAnsi"/>
        </w:rPr>
        <w:t xml:space="preserve">were </w:t>
      </w:r>
      <w:r w:rsidR="00A53023" w:rsidRPr="00D92C04">
        <w:rPr>
          <w:rFonts w:asciiTheme="minorHAnsi" w:eastAsiaTheme="minorHAnsi" w:hAnsiTheme="minorHAnsi"/>
        </w:rPr>
        <w:t>pneumonia (7.5%), cellulitis (2.8%), febrile neutropenia and pyrexia (2.4% each), and pleural effusion (2.0%)</w:t>
      </w:r>
      <w:r w:rsidR="00D16502" w:rsidRPr="00D92C04">
        <w:rPr>
          <w:rFonts w:asciiTheme="minorHAnsi" w:eastAsiaTheme="minorHAnsi" w:hAnsiTheme="minorHAnsi"/>
        </w:rPr>
        <w:t>.</w:t>
      </w:r>
    </w:p>
    <w:p w14:paraId="77A9E62A" w14:textId="77777777" w:rsidR="008E7846" w:rsidRPr="00D92C04" w:rsidRDefault="00386150" w:rsidP="007B6132">
      <w:pPr>
        <w:pStyle w:val="Heading3"/>
        <w:rPr>
          <w:lang w:eastAsia="en-AU"/>
        </w:rPr>
      </w:pPr>
      <w:bookmarkStart w:id="68" w:name="_Toc111138572"/>
      <w:r w:rsidRPr="00D92C04">
        <w:rPr>
          <w:lang w:eastAsia="en-AU"/>
        </w:rPr>
        <w:t>Risk m</w:t>
      </w:r>
      <w:r w:rsidR="008E7846" w:rsidRPr="00D92C04">
        <w:rPr>
          <w:lang w:eastAsia="en-AU"/>
        </w:rPr>
        <w:t xml:space="preserve">anagement </w:t>
      </w:r>
      <w:r w:rsidRPr="00D92C04">
        <w:rPr>
          <w:lang w:eastAsia="en-AU"/>
        </w:rPr>
        <w:t>p</w:t>
      </w:r>
      <w:r w:rsidR="008E7846" w:rsidRPr="00D92C04">
        <w:rPr>
          <w:lang w:eastAsia="en-AU"/>
        </w:rPr>
        <w:t>lan</w:t>
      </w:r>
      <w:bookmarkEnd w:id="59"/>
      <w:bookmarkEnd w:id="68"/>
    </w:p>
    <w:p w14:paraId="04F27C6C" w14:textId="569A9D75" w:rsidR="00A53023" w:rsidRPr="00D92C04" w:rsidRDefault="009A7D73" w:rsidP="00A53023">
      <w:r w:rsidRPr="00D92C04">
        <w:t>The sponsor</w:t>
      </w:r>
      <w:r w:rsidR="00A53023" w:rsidRPr="00D92C04">
        <w:t xml:space="preserve"> has submitted EU-RMP version 0.1 (date</w:t>
      </w:r>
      <w:r w:rsidR="00D16502" w:rsidRPr="00D92C04">
        <w:t>d</w:t>
      </w:r>
      <w:r w:rsidR="00A53023" w:rsidRPr="00D92C04">
        <w:t xml:space="preserve"> 11 May 2020; DLP 31</w:t>
      </w:r>
      <w:r w:rsidR="00D16502" w:rsidRPr="00D92C04">
        <w:t> </w:t>
      </w:r>
      <w:r w:rsidR="00A53023" w:rsidRPr="00D92C04">
        <w:t>Dec</w:t>
      </w:r>
      <w:r w:rsidR="00D16502" w:rsidRPr="00D92C04">
        <w:t>ember </w:t>
      </w:r>
      <w:r w:rsidR="00A53023" w:rsidRPr="00D92C04">
        <w:t>2019) and ASA version 1.0 (date</w:t>
      </w:r>
      <w:r w:rsidR="00D16502" w:rsidRPr="00D92C04">
        <w:t>d</w:t>
      </w:r>
      <w:r w:rsidR="00A53023" w:rsidRPr="00D92C04">
        <w:t xml:space="preserve"> 1 June 2020) in support of this application. No differences are planned between Australia and EU with respect to pharmacovigilance or risk minimisation activities. Evaluation of EU application and EU</w:t>
      </w:r>
      <w:r w:rsidR="00D16502" w:rsidRPr="00D92C04">
        <w:noBreakHyphen/>
      </w:r>
      <w:r w:rsidR="00A53023" w:rsidRPr="00D92C04">
        <w:t>RMP is in progress.</w:t>
      </w:r>
    </w:p>
    <w:p w14:paraId="4AC6FD94" w14:textId="36AB61AB" w:rsidR="007D53B6" w:rsidRPr="00D92C04" w:rsidRDefault="007D53B6" w:rsidP="007D53B6">
      <w:r w:rsidRPr="00D92C04">
        <w:t xml:space="preserve">The summary of safety concerns and their associated risk monitoring and mitigation strategies are summarised in </w:t>
      </w:r>
      <w:r w:rsidR="00A53023" w:rsidRPr="00D92C04">
        <w:fldChar w:fldCharType="begin"/>
      </w:r>
      <w:r w:rsidR="00A53023" w:rsidRPr="00D92C04">
        <w:instrText xml:space="preserve"> REF _Ref104375528 \h </w:instrText>
      </w:r>
      <w:r w:rsidR="00D92C04">
        <w:instrText xml:space="preserve"> \* MERGEFORMAT </w:instrText>
      </w:r>
      <w:r w:rsidR="00A53023" w:rsidRPr="00D92C04">
        <w:fldChar w:fldCharType="separate"/>
      </w:r>
      <w:r w:rsidR="00376AF2" w:rsidRPr="00376AF2">
        <w:t xml:space="preserve">Table </w:t>
      </w:r>
      <w:r w:rsidR="00376AF2">
        <w:rPr>
          <w:noProof/>
        </w:rPr>
        <w:t>5</w:t>
      </w:r>
      <w:r w:rsidR="00A53023" w:rsidRPr="00D92C04">
        <w:fldChar w:fldCharType="end"/>
      </w:r>
      <w:r w:rsidRPr="00D92C04">
        <w:t>.</w:t>
      </w:r>
      <w:r w:rsidRPr="00D92C04">
        <w:rPr>
          <w:rStyle w:val="FootnoteReference"/>
        </w:rPr>
        <w:footnoteReference w:id="19"/>
      </w:r>
    </w:p>
    <w:p w14:paraId="4C0BAA1B" w14:textId="1D98FC22" w:rsidR="00A53023" w:rsidRPr="00376AF2" w:rsidRDefault="00A53023" w:rsidP="00376AF2">
      <w:pPr>
        <w:pStyle w:val="TableTitle"/>
      </w:pPr>
      <w:bookmarkStart w:id="69" w:name="_Ref104375528"/>
      <w:r w:rsidRPr="00376AF2">
        <w:t xml:space="preserve">Table </w:t>
      </w:r>
      <w:fldSimple w:instr=" SEQ Table \* ARABIC ">
        <w:r w:rsidR="00376AF2">
          <w:rPr>
            <w:noProof/>
          </w:rPr>
          <w:t>5</w:t>
        </w:r>
      </w:fldSimple>
      <w:bookmarkEnd w:id="69"/>
      <w:r w:rsidRPr="00376AF2">
        <w:t>: Summary of safety concerns</w:t>
      </w:r>
    </w:p>
    <w:tbl>
      <w:tblPr>
        <w:tblStyle w:val="TableTGAblue"/>
        <w:tblW w:w="8359" w:type="dxa"/>
        <w:tblLayout w:type="fixed"/>
        <w:tblLook w:val="04A0" w:firstRow="1" w:lastRow="0" w:firstColumn="1" w:lastColumn="0" w:noHBand="0" w:noVBand="1"/>
      </w:tblPr>
      <w:tblGrid>
        <w:gridCol w:w="1327"/>
        <w:gridCol w:w="2496"/>
        <w:gridCol w:w="992"/>
        <w:gridCol w:w="1276"/>
        <w:gridCol w:w="992"/>
        <w:gridCol w:w="1276"/>
      </w:tblGrid>
      <w:tr w:rsidR="00A53023" w:rsidRPr="00D92C04" w14:paraId="28778249" w14:textId="77777777" w:rsidTr="00A53023">
        <w:trPr>
          <w:cnfStyle w:val="100000000000" w:firstRow="1" w:lastRow="0" w:firstColumn="0" w:lastColumn="0" w:oddVBand="0" w:evenVBand="0" w:oddHBand="0" w:evenHBand="0" w:firstRowFirstColumn="0" w:firstRowLastColumn="0" w:lastRowFirstColumn="0" w:lastRowLastColumn="0"/>
          <w:trHeight w:val="131"/>
        </w:trPr>
        <w:tc>
          <w:tcPr>
            <w:tcW w:w="3823" w:type="dxa"/>
            <w:gridSpan w:val="2"/>
            <w:vMerge w:val="restart"/>
            <w:tcBorders>
              <w:top w:val="single" w:sz="4" w:space="0" w:color="auto"/>
              <w:left w:val="single" w:sz="4" w:space="0" w:color="auto"/>
              <w:bottom w:val="single" w:sz="4" w:space="0" w:color="auto"/>
              <w:right w:val="single" w:sz="4" w:space="0" w:color="auto"/>
            </w:tcBorders>
          </w:tcPr>
          <w:p w14:paraId="76899C08" w14:textId="77777777" w:rsidR="00A53023" w:rsidRPr="00D92C04" w:rsidRDefault="00A53023" w:rsidP="00A53023">
            <w:pPr>
              <w:pStyle w:val="Tabletext"/>
              <w:ind w:left="0" w:right="0"/>
              <w:rPr>
                <w:szCs w:val="20"/>
              </w:rPr>
            </w:pPr>
            <w:r w:rsidRPr="00D92C04">
              <w:rPr>
                <w:szCs w:val="20"/>
              </w:rPr>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1833D106" w14:textId="77777777" w:rsidR="00A53023" w:rsidRPr="00D92C04" w:rsidRDefault="00A53023" w:rsidP="00A53023">
            <w:pPr>
              <w:pStyle w:val="Tabletext"/>
              <w:ind w:left="0" w:right="0"/>
              <w:rPr>
                <w:szCs w:val="20"/>
              </w:rPr>
            </w:pPr>
            <w:r w:rsidRPr="00D92C04">
              <w:rPr>
                <w:szCs w:val="20"/>
              </w:rPr>
              <w:t>Pharmacovigilance</w:t>
            </w:r>
          </w:p>
        </w:tc>
        <w:tc>
          <w:tcPr>
            <w:tcW w:w="2268" w:type="dxa"/>
            <w:gridSpan w:val="2"/>
            <w:tcBorders>
              <w:top w:val="single" w:sz="4" w:space="0" w:color="auto"/>
              <w:left w:val="single" w:sz="4" w:space="0" w:color="auto"/>
              <w:bottom w:val="single" w:sz="4" w:space="0" w:color="auto"/>
              <w:right w:val="single" w:sz="4" w:space="0" w:color="auto"/>
            </w:tcBorders>
          </w:tcPr>
          <w:p w14:paraId="16E69F3C" w14:textId="77777777" w:rsidR="00A53023" w:rsidRPr="00D92C04" w:rsidRDefault="00A53023" w:rsidP="00A53023">
            <w:pPr>
              <w:pStyle w:val="Tabletext"/>
              <w:ind w:left="0" w:right="0"/>
              <w:rPr>
                <w:szCs w:val="20"/>
              </w:rPr>
            </w:pPr>
            <w:r w:rsidRPr="00D92C04">
              <w:rPr>
                <w:szCs w:val="20"/>
              </w:rPr>
              <w:t>Risk Minimisation</w:t>
            </w:r>
          </w:p>
        </w:tc>
      </w:tr>
      <w:tr w:rsidR="00A53023" w:rsidRPr="00D92C04" w14:paraId="34C5E9BA" w14:textId="77777777" w:rsidTr="00A53023">
        <w:trPr>
          <w:trHeight w:val="150"/>
        </w:trPr>
        <w:tc>
          <w:tcPr>
            <w:tcW w:w="3823" w:type="dxa"/>
            <w:gridSpan w:val="2"/>
            <w:vMerge/>
            <w:tcBorders>
              <w:top w:val="single" w:sz="4" w:space="0" w:color="auto"/>
              <w:left w:val="single" w:sz="4" w:space="0" w:color="auto"/>
              <w:bottom w:val="single" w:sz="4" w:space="0" w:color="auto"/>
              <w:right w:val="single" w:sz="4" w:space="0" w:color="auto"/>
            </w:tcBorders>
            <w:shd w:val="clear" w:color="auto" w:fill="006DA7"/>
          </w:tcPr>
          <w:p w14:paraId="0BCDFAEC" w14:textId="77777777" w:rsidR="00A53023" w:rsidRPr="00D92C04" w:rsidRDefault="00A53023" w:rsidP="00A53023">
            <w:pPr>
              <w:pStyle w:val="Tabletext"/>
              <w:ind w:left="0" w:right="0"/>
              <w:rPr>
                <w:b/>
                <w:color w:val="FFFFFF" w:themeColor="background1"/>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781FDF63" w14:textId="77777777" w:rsidR="00A53023" w:rsidRPr="00D92C04" w:rsidRDefault="00A53023" w:rsidP="00A53023">
            <w:pPr>
              <w:pStyle w:val="Tabletext"/>
              <w:ind w:left="0" w:right="0"/>
              <w:rPr>
                <w:b/>
                <w:color w:val="FFFFFF" w:themeColor="background1"/>
                <w:szCs w:val="20"/>
              </w:rPr>
            </w:pPr>
            <w:r w:rsidRPr="00D92C04">
              <w:rPr>
                <w:b/>
                <w:color w:val="FFFFFF" w:themeColor="background1"/>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79C9C6E2" w14:textId="77777777" w:rsidR="00A53023" w:rsidRPr="00D92C04" w:rsidRDefault="00A53023" w:rsidP="00A53023">
            <w:pPr>
              <w:pStyle w:val="Tabletext"/>
              <w:ind w:left="0" w:right="0"/>
              <w:rPr>
                <w:b/>
                <w:color w:val="FFFFFF" w:themeColor="background1"/>
                <w:szCs w:val="20"/>
              </w:rPr>
            </w:pPr>
            <w:r w:rsidRPr="00D92C04">
              <w:rPr>
                <w:b/>
                <w:color w:val="FFFFFF" w:themeColor="background1"/>
                <w:szCs w:val="20"/>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4CDFB7EC" w14:textId="77777777" w:rsidR="00A53023" w:rsidRPr="00D92C04" w:rsidRDefault="00A53023" w:rsidP="00A53023">
            <w:pPr>
              <w:pStyle w:val="Tabletext"/>
              <w:ind w:left="0" w:right="0"/>
              <w:rPr>
                <w:b/>
                <w:color w:val="FFFFFF" w:themeColor="background1"/>
                <w:szCs w:val="20"/>
              </w:rPr>
            </w:pPr>
            <w:r w:rsidRPr="00D92C04">
              <w:rPr>
                <w:b/>
                <w:color w:val="FFFFFF" w:themeColor="background1"/>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3D9FC143" w14:textId="77777777" w:rsidR="00A53023" w:rsidRPr="00D92C04" w:rsidRDefault="00A53023" w:rsidP="00A53023">
            <w:pPr>
              <w:pStyle w:val="Tabletext"/>
              <w:ind w:left="0" w:right="0"/>
              <w:rPr>
                <w:b/>
                <w:color w:val="FFFFFF" w:themeColor="background1"/>
                <w:szCs w:val="20"/>
              </w:rPr>
            </w:pPr>
            <w:r w:rsidRPr="00D92C04">
              <w:rPr>
                <w:b/>
                <w:color w:val="FFFFFF" w:themeColor="background1"/>
                <w:szCs w:val="20"/>
              </w:rPr>
              <w:t>Additional</w:t>
            </w:r>
          </w:p>
        </w:tc>
      </w:tr>
      <w:tr w:rsidR="00A53023" w:rsidRPr="00D92C04" w14:paraId="59401747" w14:textId="77777777" w:rsidTr="00A53023">
        <w:trPr>
          <w:trHeight w:val="695"/>
        </w:trPr>
        <w:tc>
          <w:tcPr>
            <w:tcW w:w="1327" w:type="dxa"/>
            <w:tcBorders>
              <w:top w:val="single" w:sz="4" w:space="0" w:color="auto"/>
            </w:tcBorders>
          </w:tcPr>
          <w:p w14:paraId="27A45BDD" w14:textId="77777777" w:rsidR="00A53023" w:rsidRPr="00D92C04" w:rsidRDefault="00A53023" w:rsidP="00A53023">
            <w:pPr>
              <w:pStyle w:val="Tabletext"/>
              <w:ind w:left="0" w:right="0"/>
              <w:rPr>
                <w:b/>
                <w:szCs w:val="20"/>
              </w:rPr>
            </w:pPr>
            <w:r w:rsidRPr="00D92C04">
              <w:rPr>
                <w:b/>
                <w:szCs w:val="20"/>
              </w:rPr>
              <w:t>Important identified risks</w:t>
            </w:r>
          </w:p>
        </w:tc>
        <w:tc>
          <w:tcPr>
            <w:tcW w:w="2496" w:type="dxa"/>
            <w:tcBorders>
              <w:top w:val="single" w:sz="4" w:space="0" w:color="auto"/>
            </w:tcBorders>
          </w:tcPr>
          <w:p w14:paraId="27932209" w14:textId="7469668B" w:rsidR="00A53023" w:rsidRPr="00D92C04" w:rsidRDefault="00A53023" w:rsidP="00A53023">
            <w:pPr>
              <w:pStyle w:val="Tabletext"/>
              <w:ind w:left="0" w:right="0"/>
              <w:rPr>
                <w:szCs w:val="20"/>
              </w:rPr>
            </w:pPr>
            <w:r w:rsidRPr="00D92C04">
              <w:rPr>
                <w:szCs w:val="20"/>
              </w:rPr>
              <w:t>Haemorrhage</w:t>
            </w:r>
          </w:p>
        </w:tc>
        <w:tc>
          <w:tcPr>
            <w:tcW w:w="992" w:type="dxa"/>
            <w:tcBorders>
              <w:top w:val="single" w:sz="4" w:space="0" w:color="auto"/>
            </w:tcBorders>
          </w:tcPr>
          <w:p w14:paraId="528D74C2" w14:textId="77777777" w:rsidR="00A53023" w:rsidRPr="00D92C04" w:rsidRDefault="00A53023" w:rsidP="00A53023">
            <w:pPr>
              <w:pStyle w:val="Tabletext"/>
              <w:ind w:left="0" w:right="0"/>
              <w:jc w:val="center"/>
              <w:rPr>
                <w:szCs w:val="20"/>
                <w:vertAlign w:val="superscript"/>
              </w:rPr>
            </w:pPr>
            <w:r w:rsidRPr="00D92C04">
              <w:rPr>
                <w:szCs w:val="20"/>
              </w:rPr>
              <w:sym w:font="Wingdings" w:char="F0FC"/>
            </w:r>
            <w:r w:rsidRPr="00D92C04">
              <w:rPr>
                <w:szCs w:val="20"/>
                <w:vertAlign w:val="superscript"/>
              </w:rPr>
              <w:t>1</w:t>
            </w:r>
          </w:p>
        </w:tc>
        <w:tc>
          <w:tcPr>
            <w:tcW w:w="1276" w:type="dxa"/>
            <w:tcBorders>
              <w:top w:val="single" w:sz="4" w:space="0" w:color="auto"/>
            </w:tcBorders>
          </w:tcPr>
          <w:p w14:paraId="17C506E1" w14:textId="77777777" w:rsidR="00A53023" w:rsidRPr="00D92C04" w:rsidRDefault="00A53023" w:rsidP="00A53023">
            <w:pPr>
              <w:pStyle w:val="Tabletext"/>
              <w:ind w:left="0" w:right="0"/>
              <w:jc w:val="center"/>
              <w:rPr>
                <w:szCs w:val="20"/>
              </w:rPr>
            </w:pPr>
            <w:r w:rsidRPr="00D92C04">
              <w:rPr>
                <w:szCs w:val="20"/>
              </w:rPr>
              <w:t>–</w:t>
            </w:r>
          </w:p>
        </w:tc>
        <w:tc>
          <w:tcPr>
            <w:tcW w:w="992" w:type="dxa"/>
            <w:tcBorders>
              <w:top w:val="single" w:sz="4" w:space="0" w:color="auto"/>
            </w:tcBorders>
          </w:tcPr>
          <w:p w14:paraId="7CA59564" w14:textId="77777777" w:rsidR="00A53023" w:rsidRPr="00D92C04" w:rsidRDefault="00A53023" w:rsidP="00A53023">
            <w:pPr>
              <w:pStyle w:val="Tabletext"/>
              <w:ind w:left="0" w:right="0"/>
              <w:jc w:val="center"/>
              <w:rPr>
                <w:szCs w:val="20"/>
              </w:rPr>
            </w:pPr>
            <w:r w:rsidRPr="00D92C04">
              <w:rPr>
                <w:szCs w:val="20"/>
              </w:rPr>
              <w:sym w:font="Wingdings" w:char="F0FC"/>
            </w:r>
          </w:p>
        </w:tc>
        <w:tc>
          <w:tcPr>
            <w:tcW w:w="1276" w:type="dxa"/>
            <w:tcBorders>
              <w:top w:val="single" w:sz="4" w:space="0" w:color="auto"/>
            </w:tcBorders>
          </w:tcPr>
          <w:p w14:paraId="60F95BB5"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0ADDEE8C" w14:textId="77777777" w:rsidTr="00A53023">
        <w:trPr>
          <w:trHeight w:val="159"/>
        </w:trPr>
        <w:tc>
          <w:tcPr>
            <w:tcW w:w="1327" w:type="dxa"/>
            <w:vMerge w:val="restart"/>
          </w:tcPr>
          <w:p w14:paraId="0AC9E78C" w14:textId="77777777" w:rsidR="00A53023" w:rsidRPr="00D92C04" w:rsidRDefault="00A53023" w:rsidP="00A53023">
            <w:pPr>
              <w:pStyle w:val="Tabletext"/>
              <w:ind w:left="0" w:right="0"/>
              <w:rPr>
                <w:b/>
                <w:szCs w:val="20"/>
              </w:rPr>
            </w:pPr>
            <w:r w:rsidRPr="00D92C04">
              <w:rPr>
                <w:b/>
                <w:szCs w:val="20"/>
              </w:rPr>
              <w:t>Important potential risks</w:t>
            </w:r>
          </w:p>
        </w:tc>
        <w:tc>
          <w:tcPr>
            <w:tcW w:w="2496" w:type="dxa"/>
          </w:tcPr>
          <w:p w14:paraId="7EC496C9" w14:textId="77777777" w:rsidR="00A53023" w:rsidRPr="00D92C04" w:rsidRDefault="00A53023" w:rsidP="00A53023">
            <w:pPr>
              <w:ind w:left="0" w:right="0"/>
              <w:rPr>
                <w:sz w:val="20"/>
                <w:szCs w:val="20"/>
              </w:rPr>
            </w:pPr>
            <w:r w:rsidRPr="00D92C04">
              <w:rPr>
                <w:sz w:val="20"/>
                <w:szCs w:val="20"/>
              </w:rPr>
              <w:t>Cardiac arrhythmia, mainly presented as atrial fibrillation and flutter</w:t>
            </w:r>
          </w:p>
        </w:tc>
        <w:tc>
          <w:tcPr>
            <w:tcW w:w="992" w:type="dxa"/>
          </w:tcPr>
          <w:p w14:paraId="56D98E4F" w14:textId="77777777" w:rsidR="00A53023" w:rsidRPr="00D92C04" w:rsidRDefault="00A53023" w:rsidP="00A53023">
            <w:pPr>
              <w:ind w:left="0" w:right="0"/>
              <w:jc w:val="center"/>
              <w:rPr>
                <w:sz w:val="20"/>
                <w:szCs w:val="20"/>
                <w:vertAlign w:val="superscript"/>
              </w:rPr>
            </w:pPr>
            <w:r w:rsidRPr="00D92C04">
              <w:rPr>
                <w:sz w:val="20"/>
                <w:szCs w:val="20"/>
              </w:rPr>
              <w:sym w:font="Wingdings" w:char="F0FC"/>
            </w:r>
            <w:r w:rsidRPr="00D92C04">
              <w:rPr>
                <w:sz w:val="20"/>
                <w:szCs w:val="20"/>
                <w:vertAlign w:val="superscript"/>
              </w:rPr>
              <w:t>1</w:t>
            </w:r>
          </w:p>
        </w:tc>
        <w:tc>
          <w:tcPr>
            <w:tcW w:w="1276" w:type="dxa"/>
          </w:tcPr>
          <w:p w14:paraId="73355F1D"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618EC362"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CEA7D83"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25325D41" w14:textId="77777777" w:rsidTr="00A53023">
        <w:trPr>
          <w:trHeight w:val="122"/>
        </w:trPr>
        <w:tc>
          <w:tcPr>
            <w:tcW w:w="1327" w:type="dxa"/>
            <w:vMerge/>
          </w:tcPr>
          <w:p w14:paraId="7F15302C" w14:textId="77777777" w:rsidR="00A53023" w:rsidRPr="00D92C04" w:rsidRDefault="00A53023" w:rsidP="00A53023">
            <w:pPr>
              <w:pStyle w:val="Tabletext"/>
              <w:ind w:left="0" w:right="0"/>
              <w:rPr>
                <w:b/>
                <w:szCs w:val="20"/>
              </w:rPr>
            </w:pPr>
          </w:p>
        </w:tc>
        <w:tc>
          <w:tcPr>
            <w:tcW w:w="2496" w:type="dxa"/>
          </w:tcPr>
          <w:p w14:paraId="6AE5F47A" w14:textId="77777777" w:rsidR="00A53023" w:rsidRPr="00D92C04" w:rsidRDefault="00A53023" w:rsidP="00A53023">
            <w:pPr>
              <w:ind w:left="0" w:right="0"/>
              <w:rPr>
                <w:sz w:val="20"/>
                <w:szCs w:val="20"/>
              </w:rPr>
            </w:pPr>
            <w:r w:rsidRPr="00D92C04">
              <w:rPr>
                <w:sz w:val="20"/>
                <w:szCs w:val="20"/>
              </w:rPr>
              <w:t>Cytopenia</w:t>
            </w:r>
          </w:p>
        </w:tc>
        <w:tc>
          <w:tcPr>
            <w:tcW w:w="992" w:type="dxa"/>
          </w:tcPr>
          <w:p w14:paraId="12E0ED20"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59F5A164"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3F3D5F15"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07575BB"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440E7843" w14:textId="77777777" w:rsidTr="00A53023">
        <w:trPr>
          <w:trHeight w:val="122"/>
        </w:trPr>
        <w:tc>
          <w:tcPr>
            <w:tcW w:w="1327" w:type="dxa"/>
            <w:vMerge/>
          </w:tcPr>
          <w:p w14:paraId="183043AF" w14:textId="77777777" w:rsidR="00A53023" w:rsidRPr="00D92C04" w:rsidRDefault="00A53023" w:rsidP="00A53023">
            <w:pPr>
              <w:pStyle w:val="Tabletext"/>
              <w:ind w:left="0" w:right="0"/>
              <w:rPr>
                <w:b/>
                <w:szCs w:val="20"/>
              </w:rPr>
            </w:pPr>
          </w:p>
        </w:tc>
        <w:tc>
          <w:tcPr>
            <w:tcW w:w="2496" w:type="dxa"/>
          </w:tcPr>
          <w:p w14:paraId="0EA1457A" w14:textId="77777777" w:rsidR="00A53023" w:rsidRPr="00D92C04" w:rsidRDefault="00A53023" w:rsidP="00A53023">
            <w:pPr>
              <w:ind w:left="0" w:right="0"/>
              <w:rPr>
                <w:sz w:val="20"/>
                <w:szCs w:val="20"/>
              </w:rPr>
            </w:pPr>
            <w:r w:rsidRPr="00D92C04">
              <w:rPr>
                <w:sz w:val="20"/>
                <w:szCs w:val="20"/>
              </w:rPr>
              <w:t>Infections</w:t>
            </w:r>
          </w:p>
        </w:tc>
        <w:tc>
          <w:tcPr>
            <w:tcW w:w="992" w:type="dxa"/>
          </w:tcPr>
          <w:p w14:paraId="5BF315F0"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179D7002"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0DDEABB6"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26E1453"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1C1E7931" w14:textId="77777777" w:rsidTr="00A53023">
        <w:trPr>
          <w:trHeight w:val="122"/>
        </w:trPr>
        <w:tc>
          <w:tcPr>
            <w:tcW w:w="1327" w:type="dxa"/>
            <w:vMerge/>
          </w:tcPr>
          <w:p w14:paraId="7A288072" w14:textId="77777777" w:rsidR="00A53023" w:rsidRPr="00D92C04" w:rsidRDefault="00A53023" w:rsidP="00A53023">
            <w:pPr>
              <w:pStyle w:val="Tabletext"/>
              <w:ind w:left="0" w:right="0"/>
              <w:rPr>
                <w:b/>
                <w:szCs w:val="20"/>
              </w:rPr>
            </w:pPr>
          </w:p>
        </w:tc>
        <w:tc>
          <w:tcPr>
            <w:tcW w:w="2496" w:type="dxa"/>
          </w:tcPr>
          <w:p w14:paraId="7ED49B02" w14:textId="77777777" w:rsidR="00A53023" w:rsidRPr="00D92C04" w:rsidRDefault="00A53023" w:rsidP="00A53023">
            <w:pPr>
              <w:ind w:left="0" w:right="0"/>
              <w:rPr>
                <w:sz w:val="20"/>
                <w:szCs w:val="20"/>
              </w:rPr>
            </w:pPr>
            <w:r w:rsidRPr="00D92C04">
              <w:rPr>
                <w:sz w:val="20"/>
                <w:szCs w:val="20"/>
              </w:rPr>
              <w:t>Second primary malignancies</w:t>
            </w:r>
          </w:p>
        </w:tc>
        <w:tc>
          <w:tcPr>
            <w:tcW w:w="992" w:type="dxa"/>
          </w:tcPr>
          <w:p w14:paraId="3D4B96D6"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17E65401"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7A31700B"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55A4535A"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4520932E" w14:textId="77777777" w:rsidTr="00A53023">
        <w:trPr>
          <w:trHeight w:val="122"/>
        </w:trPr>
        <w:tc>
          <w:tcPr>
            <w:tcW w:w="1327" w:type="dxa"/>
            <w:vMerge/>
          </w:tcPr>
          <w:p w14:paraId="581C09F1" w14:textId="77777777" w:rsidR="00A53023" w:rsidRPr="00D92C04" w:rsidRDefault="00A53023" w:rsidP="00A53023">
            <w:pPr>
              <w:pStyle w:val="Tabletext"/>
              <w:ind w:left="0" w:right="0"/>
              <w:rPr>
                <w:b/>
                <w:szCs w:val="20"/>
              </w:rPr>
            </w:pPr>
          </w:p>
        </w:tc>
        <w:tc>
          <w:tcPr>
            <w:tcW w:w="2496" w:type="dxa"/>
          </w:tcPr>
          <w:p w14:paraId="46B644C8" w14:textId="77777777" w:rsidR="00A53023" w:rsidRPr="00D92C04" w:rsidRDefault="00A53023" w:rsidP="00A53023">
            <w:pPr>
              <w:ind w:left="0" w:right="0"/>
              <w:rPr>
                <w:sz w:val="20"/>
                <w:szCs w:val="20"/>
              </w:rPr>
            </w:pPr>
            <w:r w:rsidRPr="00D92C04">
              <w:rPr>
                <w:sz w:val="20"/>
                <w:szCs w:val="20"/>
              </w:rPr>
              <w:t>Drug-drug interaction</w:t>
            </w:r>
          </w:p>
        </w:tc>
        <w:tc>
          <w:tcPr>
            <w:tcW w:w="992" w:type="dxa"/>
          </w:tcPr>
          <w:p w14:paraId="59798B84"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26EA1F25"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7EB9A042"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24611AB"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003FDFC8" w14:textId="77777777" w:rsidTr="00A53023">
        <w:trPr>
          <w:trHeight w:val="112"/>
        </w:trPr>
        <w:tc>
          <w:tcPr>
            <w:tcW w:w="1327" w:type="dxa"/>
            <w:vMerge/>
          </w:tcPr>
          <w:p w14:paraId="0DBB1F2F" w14:textId="77777777" w:rsidR="00A53023" w:rsidRPr="00D92C04" w:rsidRDefault="00A53023" w:rsidP="00A53023">
            <w:pPr>
              <w:pStyle w:val="Tabletext"/>
              <w:ind w:left="0" w:right="0"/>
              <w:rPr>
                <w:b/>
                <w:szCs w:val="20"/>
              </w:rPr>
            </w:pPr>
          </w:p>
        </w:tc>
        <w:tc>
          <w:tcPr>
            <w:tcW w:w="2496" w:type="dxa"/>
          </w:tcPr>
          <w:p w14:paraId="5EA80EE3" w14:textId="77777777" w:rsidR="00A53023" w:rsidRPr="00D92C04" w:rsidRDefault="00A53023" w:rsidP="00A53023">
            <w:pPr>
              <w:ind w:left="0" w:right="0"/>
              <w:rPr>
                <w:sz w:val="20"/>
                <w:szCs w:val="20"/>
              </w:rPr>
            </w:pPr>
            <w:r w:rsidRPr="00D92C04">
              <w:rPr>
                <w:sz w:val="20"/>
                <w:szCs w:val="20"/>
              </w:rPr>
              <w:t>Teratogenicity</w:t>
            </w:r>
          </w:p>
        </w:tc>
        <w:tc>
          <w:tcPr>
            <w:tcW w:w="992" w:type="dxa"/>
          </w:tcPr>
          <w:p w14:paraId="704FF8DF" w14:textId="77777777" w:rsidR="00A53023" w:rsidRPr="00D92C04" w:rsidRDefault="00A53023" w:rsidP="00A53023">
            <w:pPr>
              <w:ind w:left="0" w:right="0"/>
              <w:jc w:val="center"/>
              <w:rPr>
                <w:sz w:val="20"/>
                <w:szCs w:val="20"/>
                <w:vertAlign w:val="superscript"/>
              </w:rPr>
            </w:pPr>
            <w:r w:rsidRPr="00D92C04">
              <w:rPr>
                <w:sz w:val="20"/>
                <w:szCs w:val="20"/>
              </w:rPr>
              <w:sym w:font="Wingdings" w:char="F0FC"/>
            </w:r>
            <w:r w:rsidRPr="00D92C04">
              <w:rPr>
                <w:sz w:val="20"/>
                <w:szCs w:val="20"/>
                <w:vertAlign w:val="superscript"/>
              </w:rPr>
              <w:t>1</w:t>
            </w:r>
          </w:p>
        </w:tc>
        <w:tc>
          <w:tcPr>
            <w:tcW w:w="1276" w:type="dxa"/>
          </w:tcPr>
          <w:p w14:paraId="470B7E1E"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1EF22F86"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4C15ED5D"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5A6B004C" w14:textId="77777777" w:rsidTr="00A53023">
        <w:trPr>
          <w:trHeight w:val="178"/>
        </w:trPr>
        <w:tc>
          <w:tcPr>
            <w:tcW w:w="1327" w:type="dxa"/>
            <w:vMerge w:val="restart"/>
          </w:tcPr>
          <w:p w14:paraId="2D78AAB6" w14:textId="77777777" w:rsidR="00A53023" w:rsidRPr="00D92C04" w:rsidRDefault="00A53023" w:rsidP="00A53023">
            <w:pPr>
              <w:pStyle w:val="Tabletext"/>
              <w:ind w:left="0" w:right="0"/>
              <w:rPr>
                <w:b/>
                <w:szCs w:val="20"/>
              </w:rPr>
            </w:pPr>
            <w:r w:rsidRPr="00D92C04">
              <w:rPr>
                <w:b/>
                <w:szCs w:val="20"/>
              </w:rPr>
              <w:t>Missing information</w:t>
            </w:r>
          </w:p>
        </w:tc>
        <w:tc>
          <w:tcPr>
            <w:tcW w:w="2496" w:type="dxa"/>
          </w:tcPr>
          <w:p w14:paraId="0939E4A9" w14:textId="77777777" w:rsidR="00A53023" w:rsidRPr="00D92C04" w:rsidRDefault="00A53023" w:rsidP="00A53023">
            <w:pPr>
              <w:ind w:left="0" w:right="0"/>
              <w:rPr>
                <w:sz w:val="20"/>
                <w:szCs w:val="20"/>
              </w:rPr>
            </w:pPr>
            <w:r w:rsidRPr="00D92C04">
              <w:rPr>
                <w:sz w:val="20"/>
                <w:szCs w:val="20"/>
              </w:rPr>
              <w:t>Safety in patients with severe hepatic impairment</w:t>
            </w:r>
          </w:p>
        </w:tc>
        <w:tc>
          <w:tcPr>
            <w:tcW w:w="992" w:type="dxa"/>
          </w:tcPr>
          <w:p w14:paraId="0D05CF69"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2F2A279"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214FBFB2"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0B79CAF0"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7B863909" w14:textId="77777777" w:rsidTr="00A53023">
        <w:trPr>
          <w:trHeight w:val="103"/>
        </w:trPr>
        <w:tc>
          <w:tcPr>
            <w:tcW w:w="1327" w:type="dxa"/>
            <w:vMerge/>
          </w:tcPr>
          <w:p w14:paraId="55F75CC4" w14:textId="77777777" w:rsidR="00A53023" w:rsidRPr="00D92C04" w:rsidRDefault="00A53023" w:rsidP="00A53023">
            <w:pPr>
              <w:pStyle w:val="Tabletext"/>
              <w:ind w:left="0" w:right="0"/>
              <w:rPr>
                <w:szCs w:val="20"/>
              </w:rPr>
            </w:pPr>
          </w:p>
        </w:tc>
        <w:tc>
          <w:tcPr>
            <w:tcW w:w="2496" w:type="dxa"/>
          </w:tcPr>
          <w:p w14:paraId="0DAEC065" w14:textId="77777777" w:rsidR="00A53023" w:rsidRPr="00D92C04" w:rsidRDefault="00A53023" w:rsidP="00A53023">
            <w:pPr>
              <w:ind w:left="0" w:right="0"/>
              <w:rPr>
                <w:sz w:val="20"/>
                <w:szCs w:val="20"/>
              </w:rPr>
            </w:pPr>
            <w:r w:rsidRPr="00D92C04">
              <w:rPr>
                <w:sz w:val="20"/>
                <w:szCs w:val="20"/>
              </w:rPr>
              <w:t>Safety in patients with severe renal impairment/on dialysis</w:t>
            </w:r>
          </w:p>
        </w:tc>
        <w:tc>
          <w:tcPr>
            <w:tcW w:w="992" w:type="dxa"/>
          </w:tcPr>
          <w:p w14:paraId="04179978"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18673B9B"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4B6666D3"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32838B5D"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706D8856" w14:textId="77777777" w:rsidTr="00A53023">
        <w:trPr>
          <w:trHeight w:val="103"/>
        </w:trPr>
        <w:tc>
          <w:tcPr>
            <w:tcW w:w="1327" w:type="dxa"/>
            <w:vMerge/>
          </w:tcPr>
          <w:p w14:paraId="67470EB2" w14:textId="77777777" w:rsidR="00A53023" w:rsidRPr="00D92C04" w:rsidRDefault="00A53023" w:rsidP="00A53023">
            <w:pPr>
              <w:pStyle w:val="Tabletext"/>
              <w:ind w:left="0" w:right="0"/>
              <w:rPr>
                <w:szCs w:val="20"/>
              </w:rPr>
            </w:pPr>
          </w:p>
        </w:tc>
        <w:tc>
          <w:tcPr>
            <w:tcW w:w="2496" w:type="dxa"/>
          </w:tcPr>
          <w:p w14:paraId="2C0BA964" w14:textId="41E51B2B" w:rsidR="00A53023" w:rsidRPr="00D92C04" w:rsidRDefault="00A53023" w:rsidP="00A53023">
            <w:pPr>
              <w:ind w:left="0" w:right="0"/>
              <w:rPr>
                <w:sz w:val="20"/>
                <w:szCs w:val="20"/>
              </w:rPr>
            </w:pPr>
            <w:r w:rsidRPr="00D92C04">
              <w:rPr>
                <w:sz w:val="20"/>
                <w:szCs w:val="20"/>
              </w:rPr>
              <w:t>Long-term safety (&gt;</w:t>
            </w:r>
            <w:r w:rsidR="00D16502" w:rsidRPr="00D92C04">
              <w:rPr>
                <w:sz w:val="20"/>
                <w:szCs w:val="20"/>
              </w:rPr>
              <w:t> </w:t>
            </w:r>
            <w:r w:rsidRPr="00D92C04">
              <w:rPr>
                <w:sz w:val="20"/>
                <w:szCs w:val="20"/>
              </w:rPr>
              <w:t>2</w:t>
            </w:r>
            <w:r w:rsidR="00D16502" w:rsidRPr="00D92C04">
              <w:rPr>
                <w:sz w:val="20"/>
                <w:szCs w:val="20"/>
              </w:rPr>
              <w:t> </w:t>
            </w:r>
            <w:r w:rsidRPr="00D92C04">
              <w:rPr>
                <w:sz w:val="20"/>
                <w:szCs w:val="20"/>
              </w:rPr>
              <w:t>years)</w:t>
            </w:r>
          </w:p>
        </w:tc>
        <w:tc>
          <w:tcPr>
            <w:tcW w:w="992" w:type="dxa"/>
          </w:tcPr>
          <w:p w14:paraId="566E3C4A"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5E0BD05A"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0644F500" w14:textId="77777777" w:rsidR="00A53023" w:rsidRPr="00D92C04" w:rsidRDefault="00A53023" w:rsidP="00A53023">
            <w:pPr>
              <w:ind w:left="0" w:right="0"/>
              <w:jc w:val="center"/>
              <w:rPr>
                <w:sz w:val="20"/>
                <w:szCs w:val="20"/>
              </w:rPr>
            </w:pPr>
            <w:r w:rsidRPr="00D92C04">
              <w:rPr>
                <w:sz w:val="20"/>
                <w:szCs w:val="20"/>
              </w:rPr>
              <w:t>–</w:t>
            </w:r>
          </w:p>
        </w:tc>
        <w:tc>
          <w:tcPr>
            <w:tcW w:w="1276" w:type="dxa"/>
          </w:tcPr>
          <w:p w14:paraId="1E77AE7C"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4768680C" w14:textId="77777777" w:rsidTr="00A53023">
        <w:trPr>
          <w:trHeight w:val="103"/>
        </w:trPr>
        <w:tc>
          <w:tcPr>
            <w:tcW w:w="1327" w:type="dxa"/>
            <w:vMerge/>
          </w:tcPr>
          <w:p w14:paraId="35143B69" w14:textId="77777777" w:rsidR="00A53023" w:rsidRPr="00D92C04" w:rsidRDefault="00A53023" w:rsidP="00A53023">
            <w:pPr>
              <w:pStyle w:val="Tabletext"/>
              <w:ind w:left="0" w:right="0"/>
              <w:rPr>
                <w:szCs w:val="20"/>
              </w:rPr>
            </w:pPr>
          </w:p>
        </w:tc>
        <w:tc>
          <w:tcPr>
            <w:tcW w:w="2496" w:type="dxa"/>
          </w:tcPr>
          <w:p w14:paraId="643801D6" w14:textId="77777777" w:rsidR="00A53023" w:rsidRPr="00D92C04" w:rsidRDefault="00A53023" w:rsidP="00A53023">
            <w:pPr>
              <w:ind w:left="0" w:right="0"/>
              <w:rPr>
                <w:sz w:val="20"/>
                <w:szCs w:val="20"/>
              </w:rPr>
            </w:pPr>
            <w:r w:rsidRPr="00D92C04">
              <w:rPr>
                <w:sz w:val="20"/>
                <w:szCs w:val="20"/>
              </w:rPr>
              <w:t>Safety in paediatric patients</w:t>
            </w:r>
          </w:p>
        </w:tc>
        <w:tc>
          <w:tcPr>
            <w:tcW w:w="992" w:type="dxa"/>
          </w:tcPr>
          <w:p w14:paraId="53AB4EA6"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6DF52353"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70590C01"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232E6F16" w14:textId="77777777" w:rsidR="00A53023" w:rsidRPr="00D92C04" w:rsidRDefault="00A53023" w:rsidP="00A53023">
            <w:pPr>
              <w:ind w:left="0" w:right="0"/>
              <w:jc w:val="center"/>
              <w:rPr>
                <w:sz w:val="20"/>
                <w:szCs w:val="20"/>
              </w:rPr>
            </w:pPr>
            <w:r w:rsidRPr="00D92C04">
              <w:rPr>
                <w:sz w:val="20"/>
                <w:szCs w:val="20"/>
              </w:rPr>
              <w:t>–</w:t>
            </w:r>
          </w:p>
        </w:tc>
      </w:tr>
      <w:tr w:rsidR="00A53023" w:rsidRPr="00D92C04" w14:paraId="4C94831A" w14:textId="77777777" w:rsidTr="00A53023">
        <w:trPr>
          <w:trHeight w:val="140"/>
        </w:trPr>
        <w:tc>
          <w:tcPr>
            <w:tcW w:w="1327" w:type="dxa"/>
            <w:vMerge/>
          </w:tcPr>
          <w:p w14:paraId="0B6C7206" w14:textId="77777777" w:rsidR="00A53023" w:rsidRPr="00D92C04" w:rsidRDefault="00A53023" w:rsidP="00A53023">
            <w:pPr>
              <w:pStyle w:val="Tabletext"/>
              <w:ind w:left="0" w:right="0"/>
              <w:rPr>
                <w:szCs w:val="20"/>
              </w:rPr>
            </w:pPr>
          </w:p>
        </w:tc>
        <w:tc>
          <w:tcPr>
            <w:tcW w:w="2496" w:type="dxa"/>
          </w:tcPr>
          <w:p w14:paraId="5A5F059A" w14:textId="77777777" w:rsidR="00A53023" w:rsidRPr="00D92C04" w:rsidRDefault="00A53023" w:rsidP="00A53023">
            <w:pPr>
              <w:ind w:left="0" w:right="0"/>
              <w:rPr>
                <w:sz w:val="20"/>
                <w:szCs w:val="20"/>
              </w:rPr>
            </w:pPr>
            <w:r w:rsidRPr="00D92C04">
              <w:rPr>
                <w:sz w:val="20"/>
                <w:szCs w:val="20"/>
              </w:rPr>
              <w:t>Safety in pregnancy and lactation</w:t>
            </w:r>
          </w:p>
        </w:tc>
        <w:tc>
          <w:tcPr>
            <w:tcW w:w="992" w:type="dxa"/>
          </w:tcPr>
          <w:p w14:paraId="0A66D258"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25A034F0" w14:textId="77777777" w:rsidR="00A53023" w:rsidRPr="00D92C04" w:rsidRDefault="00A53023" w:rsidP="00A53023">
            <w:pPr>
              <w:ind w:left="0" w:right="0"/>
              <w:jc w:val="center"/>
              <w:rPr>
                <w:sz w:val="20"/>
                <w:szCs w:val="20"/>
              </w:rPr>
            </w:pPr>
            <w:r w:rsidRPr="00D92C04">
              <w:rPr>
                <w:sz w:val="20"/>
                <w:szCs w:val="20"/>
              </w:rPr>
              <w:t>–</w:t>
            </w:r>
          </w:p>
        </w:tc>
        <w:tc>
          <w:tcPr>
            <w:tcW w:w="992" w:type="dxa"/>
          </w:tcPr>
          <w:p w14:paraId="0E1BB328" w14:textId="77777777" w:rsidR="00A53023" w:rsidRPr="00D92C04" w:rsidRDefault="00A53023" w:rsidP="00A53023">
            <w:pPr>
              <w:ind w:left="0" w:right="0"/>
              <w:jc w:val="center"/>
              <w:rPr>
                <w:sz w:val="20"/>
                <w:szCs w:val="20"/>
              </w:rPr>
            </w:pPr>
            <w:r w:rsidRPr="00D92C04">
              <w:rPr>
                <w:sz w:val="20"/>
                <w:szCs w:val="20"/>
              </w:rPr>
              <w:sym w:font="Wingdings" w:char="F0FC"/>
            </w:r>
          </w:p>
        </w:tc>
        <w:tc>
          <w:tcPr>
            <w:tcW w:w="1276" w:type="dxa"/>
          </w:tcPr>
          <w:p w14:paraId="57B4C272" w14:textId="77777777" w:rsidR="00A53023" w:rsidRPr="00D92C04" w:rsidRDefault="00A53023" w:rsidP="00A53023">
            <w:pPr>
              <w:ind w:left="0" w:right="0"/>
              <w:jc w:val="center"/>
              <w:rPr>
                <w:sz w:val="20"/>
                <w:szCs w:val="20"/>
              </w:rPr>
            </w:pPr>
            <w:r w:rsidRPr="00D92C04">
              <w:rPr>
                <w:sz w:val="20"/>
                <w:szCs w:val="20"/>
              </w:rPr>
              <w:t>–</w:t>
            </w:r>
          </w:p>
        </w:tc>
      </w:tr>
    </w:tbl>
    <w:p w14:paraId="7173E22F" w14:textId="3D01C1C8" w:rsidR="00A53023" w:rsidRPr="00376AF2" w:rsidRDefault="00A53023" w:rsidP="00376AF2">
      <w:pPr>
        <w:pStyle w:val="TableDescription"/>
      </w:pPr>
      <w:r w:rsidRPr="00376AF2">
        <w:t>1 Targeted follow-up questionnaires</w:t>
      </w:r>
    </w:p>
    <w:p w14:paraId="05B927FA" w14:textId="2E24FEBF" w:rsidR="00A53023" w:rsidRPr="00D92C04" w:rsidRDefault="00A53023" w:rsidP="00A53023">
      <w:pPr>
        <w:pStyle w:val="ListBullet"/>
      </w:pPr>
      <w:r w:rsidRPr="00D92C04">
        <w:t>The RMP summary of safety concerns is considered acceptable from an RMP perspective. Risks are associated with class effects of BTK inhibitors. The sponsor is requested to amend the nonclinical part of the RMP safety specification in an RMP Update to the TGA to address particulars of repeated dose toxicity.</w:t>
      </w:r>
    </w:p>
    <w:p w14:paraId="2B3F61E3" w14:textId="59D16B1F" w:rsidR="00A53023" w:rsidRPr="00D92C04" w:rsidRDefault="00A53023" w:rsidP="00A53023">
      <w:pPr>
        <w:pStyle w:val="ListBullet"/>
      </w:pPr>
      <w:r w:rsidRPr="00D92C04">
        <w:t xml:space="preserve">Routine pharmacovigilance activities are proposed for all safety concerns. No additional </w:t>
      </w:r>
      <w:r w:rsidR="00D16502" w:rsidRPr="00D92C04">
        <w:t xml:space="preserve">pharmacovigilance </w:t>
      </w:r>
      <w:r w:rsidRPr="00D92C04">
        <w:t xml:space="preserve">activities are proposed, but the sponsor agrees to implement targeted follow-up questionnaires to address risks of haemorrhage, cardiac arrhythmias, and teratogenicity as an enhancement to routine </w:t>
      </w:r>
      <w:r w:rsidR="00D16502" w:rsidRPr="00D92C04">
        <w:t xml:space="preserve">pharmacovigilance </w:t>
      </w:r>
      <w:r w:rsidRPr="00D92C04">
        <w:t>activities. The pharmacovigilance plan is considered acceptable from an RMP perspective.</w:t>
      </w:r>
    </w:p>
    <w:p w14:paraId="330251C5" w14:textId="71C548C9" w:rsidR="00A53023" w:rsidRPr="00D92C04" w:rsidRDefault="00A53023" w:rsidP="007D53B6">
      <w:pPr>
        <w:pStyle w:val="ListBullet"/>
      </w:pPr>
      <w:r w:rsidRPr="00D92C04">
        <w:t xml:space="preserve">Routine risk minimisation measures are proposed for all concerns, except long-term safety which is being further characterised in sponsor’s ongoing clinical trials program. These measures are considered sufficient to manage risks associated with Brukinsa use. As requested, the sponsor has improved the risk communication to consumers in the </w:t>
      </w:r>
      <w:r w:rsidR="00D92C04" w:rsidRPr="00D92C04">
        <w:t>Consumer Medicines Information (</w:t>
      </w:r>
      <w:r w:rsidRPr="00D92C04">
        <w:t>CMI</w:t>
      </w:r>
      <w:r w:rsidR="00D92C04" w:rsidRPr="00D92C04">
        <w:t>)</w:t>
      </w:r>
      <w:r w:rsidRPr="00D92C04">
        <w:t xml:space="preserve"> document to align with the PI and has also added additional reproductive toxicity precautions. The risk minimisation plan is considered acceptable from an RMP perspective.</w:t>
      </w:r>
    </w:p>
    <w:p w14:paraId="5F32ACB1" w14:textId="77777777" w:rsidR="008E7846" w:rsidRPr="00D92C04" w:rsidRDefault="00AA0ED0" w:rsidP="008E7846">
      <w:pPr>
        <w:pStyle w:val="Heading3"/>
      </w:pPr>
      <w:bookmarkStart w:id="70" w:name="_Toc247691531"/>
      <w:bookmarkStart w:id="71" w:name="_Toc314842515"/>
      <w:bookmarkStart w:id="72" w:name="_Toc111138573"/>
      <w:bookmarkStart w:id="73" w:name="_Toc196046505"/>
      <w:bookmarkStart w:id="74" w:name="_Toc196046949"/>
      <w:r w:rsidRPr="00D92C04">
        <w:t>Risk-benefit a</w:t>
      </w:r>
      <w:r w:rsidR="008E7846" w:rsidRPr="00D92C04">
        <w:t>nalysis</w:t>
      </w:r>
      <w:bookmarkEnd w:id="70"/>
      <w:bookmarkEnd w:id="71"/>
      <w:bookmarkEnd w:id="72"/>
    </w:p>
    <w:p w14:paraId="3617E129" w14:textId="77777777" w:rsidR="00D23139" w:rsidRPr="00D92C04" w:rsidRDefault="007D53B6" w:rsidP="00D23139">
      <w:pPr>
        <w:pStyle w:val="Heading4"/>
      </w:pPr>
      <w:r w:rsidRPr="00D92C04">
        <w:t>Delegate’s considerations</w:t>
      </w:r>
    </w:p>
    <w:p w14:paraId="0FDFF63F" w14:textId="591285F1" w:rsidR="00A53023" w:rsidRPr="00D92C04" w:rsidRDefault="00FE3607" w:rsidP="00A53023">
      <w:r w:rsidRPr="00D92C04">
        <w:t xml:space="preserve">Waldenström’s macroglobulinaemia </w:t>
      </w:r>
      <w:r w:rsidR="00A53023" w:rsidRPr="00D92C04">
        <w:t xml:space="preserve">is a rare clonal B-cell lymphoproliferative disorder characterised by lymphoplasmacytic bone marrow infiltration and the presentence of monoclonal IgM paraprotein, whose symptoms arise from tumour infiltration, the IgM component activity and/or deposition of paraprotein in in organs. It exhibits some heterogeneity and while generally with an indolent course, may rarely transform to diffuse B-cell </w:t>
      </w:r>
      <w:r w:rsidR="00B72497">
        <w:t>l</w:t>
      </w:r>
      <w:r w:rsidR="00A53023" w:rsidRPr="00D92C04">
        <w:t xml:space="preserve">ymphoma. While </w:t>
      </w:r>
      <w:proofErr w:type="gramStart"/>
      <w:r w:rsidR="00A53023" w:rsidRPr="00D92C04">
        <w:t>a number of</w:t>
      </w:r>
      <w:proofErr w:type="gramEnd"/>
      <w:r w:rsidR="00A53023" w:rsidRPr="00D92C04">
        <w:t xml:space="preserve"> treatments are currently in use none is considered </w:t>
      </w:r>
      <w:r w:rsidR="00A53023" w:rsidRPr="00D92C04">
        <w:lastRenderedPageBreak/>
        <w:t>curative. The sponsor is seeking an indication in the relapsed</w:t>
      </w:r>
      <w:r w:rsidR="00D16502" w:rsidRPr="00D92C04">
        <w:t xml:space="preserve"> or </w:t>
      </w:r>
      <w:r w:rsidR="00A53023" w:rsidRPr="00D92C04">
        <w:t>refractory setting or first</w:t>
      </w:r>
      <w:r w:rsidR="00D16502" w:rsidRPr="00D92C04">
        <w:t xml:space="preserve"> </w:t>
      </w:r>
      <w:r w:rsidR="00A53023" w:rsidRPr="00D92C04">
        <w:t>line in patients who are ineligible for chemoimmunotherapy.</w:t>
      </w:r>
    </w:p>
    <w:p w14:paraId="1DF67E18" w14:textId="627C3B9C" w:rsidR="00A53023" w:rsidRPr="00D92C04" w:rsidRDefault="00A53023" w:rsidP="00A53023">
      <w:r w:rsidRPr="00D92C04">
        <w:t>The main efficacy findings for zanubrutinib for the proposed indications are derived from Cohort</w:t>
      </w:r>
      <w:r w:rsidR="00D16502" w:rsidRPr="00D92C04">
        <w:t> </w:t>
      </w:r>
      <w:r w:rsidRPr="00D92C04">
        <w:t xml:space="preserve">1 of the ASPEN </w:t>
      </w:r>
      <w:r w:rsidR="00D16502" w:rsidRPr="00D92C04">
        <w:t>trial</w:t>
      </w:r>
      <w:r w:rsidR="00B72497">
        <w:t xml:space="preserve"> (Study BGB-3111-302)</w:t>
      </w:r>
      <w:r w:rsidRPr="00D92C04">
        <w:t xml:space="preserve">. This was a </w:t>
      </w:r>
      <w:r w:rsidR="00D16502" w:rsidRPr="00D92C04">
        <w:t>head-to-head</w:t>
      </w:r>
      <w:r w:rsidRPr="00D92C04">
        <w:t xml:space="preserve"> comparison with ibrutinib, the first-in-class BTK inhibitor that is registered for use in the proposed population. Zanubrutinib was not superior to ibrutinib for </w:t>
      </w:r>
      <w:r w:rsidR="00B72497">
        <w:t>very good partial response (VGPR) or complete response (</w:t>
      </w:r>
      <w:r w:rsidRPr="00D92C04">
        <w:t>CR</w:t>
      </w:r>
      <w:r w:rsidR="00B72497">
        <w:t>)</w:t>
      </w:r>
      <w:r w:rsidRPr="00D92C04">
        <w:t xml:space="preserve"> in the </w:t>
      </w:r>
      <w:r w:rsidR="00B72497">
        <w:t>relapse/refractory (</w:t>
      </w:r>
      <w:r w:rsidRPr="00D92C04">
        <w:t>r/r</w:t>
      </w:r>
      <w:r w:rsidR="00B72497">
        <w:t xml:space="preserve">) </w:t>
      </w:r>
      <w:proofErr w:type="spellStart"/>
      <w:r w:rsidR="00B72497">
        <w:t>Waldenstrom’s</w:t>
      </w:r>
      <w:proofErr w:type="spellEnd"/>
      <w:r w:rsidR="00B72497">
        <w:t xml:space="preserve"> </w:t>
      </w:r>
      <w:proofErr w:type="spellStart"/>
      <w:r w:rsidR="00B72497">
        <w:t>macroalbuminaemia</w:t>
      </w:r>
      <w:proofErr w:type="spellEnd"/>
      <w:r w:rsidR="00B72497">
        <w:t xml:space="preserve"> (</w:t>
      </w:r>
      <w:r w:rsidRPr="00D92C04">
        <w:t>WM</w:t>
      </w:r>
      <w:r w:rsidR="00B72497">
        <w:t>)</w:t>
      </w:r>
      <w:r w:rsidRPr="00D92C04">
        <w:t xml:space="preserve"> population. The absolute results for the overall Cohort 1 population are </w:t>
      </w:r>
      <w:proofErr w:type="gramStart"/>
      <w:r w:rsidRPr="00D92C04">
        <w:t>similar to</w:t>
      </w:r>
      <w:proofErr w:type="gramEnd"/>
      <w:r w:rsidRPr="00D92C04">
        <w:t xml:space="preserve"> the r/r population and the nominal p</w:t>
      </w:r>
      <w:r w:rsidR="00D16502" w:rsidRPr="00D92C04">
        <w:noBreakHyphen/>
      </w:r>
      <w:r w:rsidRPr="00D92C04">
        <w:t>value for the comparison was 0.09.</w:t>
      </w:r>
    </w:p>
    <w:p w14:paraId="145022D5" w14:textId="546C94C6" w:rsidR="00A53023" w:rsidRPr="00D92C04" w:rsidRDefault="00A53023" w:rsidP="00A53023">
      <w:r w:rsidRPr="00D92C04">
        <w:t xml:space="preserve">The key secondary endpoint was not a reassessment of the parameters of the primary endpoint of VGPR/CR in a non-inferiority comparison. It was for a broader endpoint of </w:t>
      </w:r>
      <w:r w:rsidR="00DD6EAB" w:rsidRPr="00D92C04">
        <w:t xml:space="preserve">major response rate </w:t>
      </w:r>
      <w:r w:rsidRPr="00D92C04">
        <w:t xml:space="preserve">that includes patients with </w:t>
      </w:r>
      <w:r w:rsidR="00B72497">
        <w:t>partial response (</w:t>
      </w:r>
      <w:r w:rsidRPr="00D92C04">
        <w:t>PR</w:t>
      </w:r>
      <w:r w:rsidR="00B72497">
        <w:t>)</w:t>
      </w:r>
      <w:r w:rsidR="000C04BD" w:rsidRPr="00D92C04">
        <w:t>,</w:t>
      </w:r>
      <w:r w:rsidRPr="00D92C04">
        <w:t xml:space="preserve"> VGPR or CR, and therefore was designed test a slightly different hypothesis. Notwithstanding the failure of the primary endpoint that renders all subsequent comparisons in the statistical analysis descriptive, based on the pre-specified non-inferiority margin of the lower bound of the 95% CI being greater than -12%, zanubrutinib was not non-inferior to ibrutinib in the r/r</w:t>
      </w:r>
      <w:r w:rsidR="00B72497">
        <w:t> </w:t>
      </w:r>
      <w:r w:rsidRPr="00D92C04">
        <w:t>WM population and in the overall WM population.</w:t>
      </w:r>
    </w:p>
    <w:p w14:paraId="6154FD20" w14:textId="64944F89" w:rsidR="00A53023" w:rsidRPr="00D92C04" w:rsidRDefault="00A53023" w:rsidP="00A53023">
      <w:r w:rsidRPr="00D92C04">
        <w:t>The comparison of zanubrutinib and ibrutinib in patients with VGPR or CR as a non</w:t>
      </w:r>
      <w:r w:rsidR="00B72497">
        <w:noBreakHyphen/>
      </w:r>
      <w:r w:rsidRPr="00D92C04">
        <w:t xml:space="preserve">inferiority analysis was a </w:t>
      </w:r>
      <w:r w:rsidRPr="00D92C04">
        <w:rPr>
          <w:i/>
          <w:iCs/>
        </w:rPr>
        <w:t>post</w:t>
      </w:r>
      <w:r w:rsidR="00DD6EAB" w:rsidRPr="00D92C04">
        <w:rPr>
          <w:i/>
          <w:iCs/>
        </w:rPr>
        <w:t xml:space="preserve"> </w:t>
      </w:r>
      <w:r w:rsidRPr="00D92C04">
        <w:rPr>
          <w:i/>
          <w:iCs/>
        </w:rPr>
        <w:t>hoc</w:t>
      </w:r>
      <w:r w:rsidRPr="00D92C04">
        <w:t xml:space="preserve"> analysis. It is in this post-hoc analysis using a -4.5% margin and using data for the overall and the r/r populations the results for zanubrutinib and ibrutinib fell within the non-inferiority margin. Until an early protocol </w:t>
      </w:r>
      <w:r w:rsidR="00DD6EAB" w:rsidRPr="00D92C04">
        <w:t>change,</w:t>
      </w:r>
      <w:r w:rsidRPr="00D92C04">
        <w:t xml:space="preserve"> this had been the primary endpoint of the study.</w:t>
      </w:r>
    </w:p>
    <w:p w14:paraId="147F93DD" w14:textId="77777777" w:rsidR="00A53023" w:rsidRPr="00D92C04" w:rsidRDefault="00A53023" w:rsidP="00A53023">
      <w:r w:rsidRPr="00D92C04">
        <w:t>The missed primary endpoint and key secondary endpoint raises some uncertainty regarding how these results should be interpreted from a clinical and regulatory perspective</w:t>
      </w:r>
      <w:proofErr w:type="gramStart"/>
      <w:r w:rsidRPr="00D92C04">
        <w:t>, in particular, whether</w:t>
      </w:r>
      <w:proofErr w:type="gramEnd"/>
      <w:r w:rsidRPr="00D92C04">
        <w:t xml:space="preserve"> they have met the threshold for supporting full registration in the setting of a rare disease.</w:t>
      </w:r>
    </w:p>
    <w:p w14:paraId="7D583396" w14:textId="185B7B93" w:rsidR="00A53023" w:rsidRPr="00D92C04" w:rsidRDefault="00A53023" w:rsidP="00A53023">
      <w:r w:rsidRPr="00D92C04">
        <w:t>Only 19 treatment</w:t>
      </w:r>
      <w:r w:rsidR="006E2E61">
        <w:t>-</w:t>
      </w:r>
      <w:r w:rsidRPr="00D92C04">
        <w:t xml:space="preserve">naïve patients were included in the zanubrutinib arm of </w:t>
      </w:r>
      <w:r w:rsidR="00DD6EAB" w:rsidRPr="00D92C04">
        <w:t xml:space="preserve">the </w:t>
      </w:r>
      <w:r w:rsidRPr="00D92C04">
        <w:t xml:space="preserve">ASPEN </w:t>
      </w:r>
      <w:r w:rsidR="00DD6EAB" w:rsidRPr="00D92C04">
        <w:t xml:space="preserve">trial </w:t>
      </w:r>
      <w:r w:rsidR="00B72497">
        <w:t xml:space="preserve">(Study BGB-3111-302) </w:t>
      </w:r>
      <w:r w:rsidRPr="00D92C04">
        <w:t xml:space="preserve">and 24 chemotherapy ineligible patients in </w:t>
      </w:r>
      <w:r w:rsidR="00F52A8A" w:rsidRPr="00D92C04">
        <w:t>Study</w:t>
      </w:r>
      <w:r w:rsidR="00B72497">
        <w:t> </w:t>
      </w:r>
      <w:r w:rsidR="00F52A8A" w:rsidRPr="00D92C04">
        <w:t>BGB</w:t>
      </w:r>
      <w:r w:rsidR="00B72497">
        <w:noBreakHyphen/>
      </w:r>
      <w:r w:rsidR="00F52A8A" w:rsidRPr="00D92C04">
        <w:t>311</w:t>
      </w:r>
      <w:r w:rsidR="004E2E0C">
        <w:t>1</w:t>
      </w:r>
      <w:r w:rsidR="00B72497">
        <w:noBreakHyphen/>
      </w:r>
      <w:r w:rsidR="00F52A8A" w:rsidRPr="00D92C04">
        <w:t>AU</w:t>
      </w:r>
      <w:r w:rsidR="00B72497">
        <w:noBreakHyphen/>
      </w:r>
      <w:r w:rsidR="00F52A8A" w:rsidRPr="00D92C04">
        <w:t>003</w:t>
      </w:r>
      <w:r w:rsidRPr="00D92C04">
        <w:t xml:space="preserve">. Of </w:t>
      </w:r>
      <w:r w:rsidR="00B72497">
        <w:t xml:space="preserve">those on </w:t>
      </w:r>
      <w:r w:rsidRPr="00D92C04">
        <w:t>the treatment, after 5 discontinued the study only 14</w:t>
      </w:r>
      <w:r w:rsidR="00B72497">
        <w:t> </w:t>
      </w:r>
      <w:r w:rsidRPr="00D92C04">
        <w:t>remained on treatment. Patient numbers in this subgroup are limited. From Study</w:t>
      </w:r>
      <w:r w:rsidR="00B72497">
        <w:t> </w:t>
      </w:r>
      <w:r w:rsidR="00F52A8A" w:rsidRPr="00D92C04">
        <w:t>BGB</w:t>
      </w:r>
      <w:r w:rsidR="00B72497">
        <w:noBreakHyphen/>
      </w:r>
      <w:r w:rsidR="00F52A8A" w:rsidRPr="00D92C04">
        <w:t>311</w:t>
      </w:r>
      <w:r w:rsidR="004E2E0C">
        <w:t>1</w:t>
      </w:r>
      <w:r w:rsidR="00F52A8A" w:rsidRPr="00D92C04">
        <w:t>-AU-003</w:t>
      </w:r>
      <w:r w:rsidRPr="00D92C04">
        <w:t xml:space="preserve"> 33% achieved a VG</w:t>
      </w:r>
      <w:r w:rsidR="009C76E0">
        <w:t>P</w:t>
      </w:r>
      <w:r w:rsidRPr="00D92C04">
        <w:t>R and most achieved a major response. It is difficult to draw firm conclusions on the efficacy of zanubrutinib in this setting based on so few patients, although there is no specific concern.</w:t>
      </w:r>
    </w:p>
    <w:p w14:paraId="3BC00B70" w14:textId="3F3DD5AA" w:rsidR="00A53023" w:rsidRPr="00D92C04" w:rsidRDefault="00A53023" w:rsidP="00A53023">
      <w:r w:rsidRPr="00D92C04">
        <w:t xml:space="preserve">The ASPEN </w:t>
      </w:r>
      <w:r w:rsidR="00DD6EAB" w:rsidRPr="00D92C04">
        <w:t xml:space="preserve">trial </w:t>
      </w:r>
      <w:r w:rsidR="00B72497">
        <w:t xml:space="preserve">(Study BGB-3111-302) </w:t>
      </w:r>
      <w:r w:rsidRPr="00D92C04">
        <w:t xml:space="preserve">Cohort 2 results in </w:t>
      </w:r>
      <w:r w:rsidRPr="00D92C04">
        <w:rPr>
          <w:i/>
          <w:iCs/>
        </w:rPr>
        <w:t>MYD88</w:t>
      </w:r>
      <w:r w:rsidRPr="00F755DF">
        <w:rPr>
          <w:i/>
          <w:iCs/>
          <w:vertAlign w:val="superscript"/>
        </w:rPr>
        <w:t>WT</w:t>
      </w:r>
      <w:r w:rsidRPr="00D92C04">
        <w:t xml:space="preserve"> WM variant did not raise specific concerns but these were not part of the primary analysis of the study.</w:t>
      </w:r>
    </w:p>
    <w:p w14:paraId="51838A99" w14:textId="55CEB07F" w:rsidR="00A53023" w:rsidRPr="00D92C04" w:rsidRDefault="00A53023" w:rsidP="00A53023">
      <w:r w:rsidRPr="00D92C04">
        <w:t>Important exclusions from the study were patients with cardiac disease, relevant for the comparator ibrutinib, but that limits the assessment of cardiac safety in patients with a</w:t>
      </w:r>
      <w:r w:rsidR="00B72497">
        <w:t>n</w:t>
      </w:r>
      <w:r w:rsidRPr="00D92C04">
        <w:t xml:space="preserve"> increased background risk. The sponsor proposes to include a brief precautionary statement in Section 4.4 of </w:t>
      </w:r>
      <w:r w:rsidR="00DD6EAB" w:rsidRPr="00D92C04">
        <w:t xml:space="preserve">the </w:t>
      </w:r>
      <w:r w:rsidRPr="00D92C04">
        <w:t>Product Information</w:t>
      </w:r>
      <w:r w:rsidR="00DD6EAB" w:rsidRPr="00D92C04">
        <w:t xml:space="preserve"> of Brukinsa</w:t>
      </w:r>
      <w:r w:rsidR="00B72497">
        <w:t xml:space="preserve"> (zanubrutinib)</w:t>
      </w:r>
      <w:r w:rsidRPr="00D92C04">
        <w:t>.</w:t>
      </w:r>
    </w:p>
    <w:p w14:paraId="3E68F14A" w14:textId="51BF3E6B" w:rsidR="00A53023" w:rsidRPr="00D92C04" w:rsidRDefault="00A53023" w:rsidP="00A53023">
      <w:r w:rsidRPr="00D92C04">
        <w:t>Another limitation of the study was the exclusion of patients with CNS disease. Although this is a rare form of a rare condition</w:t>
      </w:r>
      <w:r w:rsidR="00B72497">
        <w:t>,</w:t>
      </w:r>
      <w:r w:rsidRPr="00D92C04">
        <w:t xml:space="preserve"> it has been an area of interest for ibrutinib. The nonclinical evaluator found there was minimal penetration of the blood brain barrier with zanubrutinib.</w:t>
      </w:r>
    </w:p>
    <w:p w14:paraId="5AFD7853" w14:textId="77777777" w:rsidR="00A53023" w:rsidRPr="00D92C04" w:rsidRDefault="00A53023" w:rsidP="00A53023">
      <w:r w:rsidRPr="00D92C04">
        <w:t>The sponsor has provided updated efficacy analyses from the ongoing study data. As the study has progressed the number of susceptible patients on treatment in each treatment arm has diminished, potentially adding bias to the results and uncertainty to the interpretation of the results. In addition, the analysis was based on investigator assessment, and small but important differences were seen between the investigator assessment and the independent review in the primary analysis.</w:t>
      </w:r>
    </w:p>
    <w:p w14:paraId="48FDFD31" w14:textId="3629D6DC" w:rsidR="00A53023" w:rsidRPr="00D92C04" w:rsidRDefault="00A53023" w:rsidP="00A53023">
      <w:r w:rsidRPr="00D92C04">
        <w:lastRenderedPageBreak/>
        <w:t xml:space="preserve">Common adverse events include neutropenia, thrombocytopenia, upper respiratory tract infection, diarrhoea other infections hyperglycaemia, hyperuricaemia, hypokalaemia, and pyrexia. Neutropenia occurred more commonly with zanubrutinib (24.8% </w:t>
      </w:r>
      <w:r w:rsidR="00A84BF6" w:rsidRPr="00D92C04">
        <w:t>versus</w:t>
      </w:r>
      <w:r w:rsidRPr="00D92C04">
        <w:t xml:space="preserve"> 12.2% for ibrutinib in the ASPEN </w:t>
      </w:r>
      <w:r w:rsidR="00DD6EAB" w:rsidRPr="00D92C04">
        <w:t>trial</w:t>
      </w:r>
      <w:r w:rsidR="00B72497">
        <w:t xml:space="preserve"> (Study BGB-3111-302</w:t>
      </w:r>
      <w:r w:rsidRPr="00D92C04">
        <w:t>)</w:t>
      </w:r>
      <w:r w:rsidR="00B72497">
        <w:t>)</w:t>
      </w:r>
      <w:r w:rsidRPr="00D92C04">
        <w:t>. The neutropenia appeared for most patients manageable (although febrile neutropenia occurred in 3% of patients). Conversely, there were fewer reported atrial fibrillation/flutter events with zanubrutinib. In Cohort 1, 14.3% of ibrutinib patients, including Grade 3 events or higher in 4.1%, and a further 2% had atrial flutter and 2% of zanubrutinib patients had atrial fibrillation events. Stevens</w:t>
      </w:r>
      <w:r w:rsidR="00B72497">
        <w:t>-</w:t>
      </w:r>
      <w:r w:rsidRPr="00D92C04">
        <w:t xml:space="preserve">Johnson syndrome is mentioned in the ibrutinib product information and one fatal case of </w:t>
      </w:r>
      <w:r w:rsidR="00D16502" w:rsidRPr="00D92C04">
        <w:t>toxic epidermal necrolysis</w:t>
      </w:r>
      <w:r w:rsidRPr="00D92C04">
        <w:t xml:space="preserve"> was reported in the zanubrutinib data set.</w:t>
      </w:r>
    </w:p>
    <w:p w14:paraId="52E71000" w14:textId="052E33F3" w:rsidR="00A53023" w:rsidRPr="00D92C04" w:rsidRDefault="00A53023" w:rsidP="00A53023">
      <w:r w:rsidRPr="00D92C04">
        <w:t xml:space="preserve">The sponsor has undertaken a head-to-head comparison with ibrutinib. While this approach is commendable, it has its challenges for zanubrutinib in demonstrating efficacy for regulatory purposes. It appears to produce numerically similar results to </w:t>
      </w:r>
      <w:r w:rsidR="00DD6EAB" w:rsidRPr="00D92C04">
        <w:t>ibrutinib,</w:t>
      </w:r>
      <w:r w:rsidRPr="00D92C04">
        <w:t xml:space="preserve"> but a degree of uncertainty is introduced because of the outcomes of the pre-specific comparisons with ibrutinib in the ASPEN </w:t>
      </w:r>
      <w:r w:rsidR="00DD6EAB" w:rsidRPr="00D92C04">
        <w:t>trial</w:t>
      </w:r>
      <w:r w:rsidR="00B72497">
        <w:t xml:space="preserve"> (Study BGB-3111-302)</w:t>
      </w:r>
      <w:r w:rsidRPr="00D92C04">
        <w:t>.</w:t>
      </w:r>
    </w:p>
    <w:p w14:paraId="055DA99E" w14:textId="318D7D5A" w:rsidR="00A53023" w:rsidRPr="00D92C04" w:rsidRDefault="00A53023" w:rsidP="00A53023">
      <w:r w:rsidRPr="00D92C04">
        <w:t xml:space="preserve">The efficacy results however for zanubrutinib alone are numerically greater but of the same order of magnitude as those accepted for ibrutinib for its initial registration for use in WM. If considered in isolation of the comparator arm of the study, </w:t>
      </w:r>
      <w:proofErr w:type="gramStart"/>
      <w:r w:rsidRPr="00D92C04">
        <w:t>taking into account</w:t>
      </w:r>
      <w:proofErr w:type="gramEnd"/>
      <w:r w:rsidRPr="00D92C04">
        <w:t xml:space="preserve"> the rarity of the condition and the clinical value of alternatives to ibrutinib there may be a place for zanubrutinib in the landscape of WM treatment. In correspondence dated 28</w:t>
      </w:r>
      <w:r w:rsidR="00DD6EAB" w:rsidRPr="00D92C04">
        <w:t> </w:t>
      </w:r>
      <w:r w:rsidRPr="00D92C04">
        <w:t xml:space="preserve">June 2021 the sponsor provided the </w:t>
      </w:r>
      <w:r w:rsidR="00B72497">
        <w:t>D</w:t>
      </w:r>
      <w:r w:rsidRPr="00D92C04">
        <w:t>elegate</w:t>
      </w:r>
      <w:r w:rsidR="00B72497">
        <w:t xml:space="preserve"> with</w:t>
      </w:r>
      <w:r w:rsidRPr="00D92C04">
        <w:t xml:space="preserve"> a copy of the NCCN guidelines V1.2022</w:t>
      </w:r>
      <w:r w:rsidR="00CA2F90">
        <w:t>;</w:t>
      </w:r>
      <w:r w:rsidR="00CA2F90">
        <w:rPr>
          <w:rStyle w:val="FootnoteReference"/>
        </w:rPr>
        <w:footnoteReference w:id="20"/>
      </w:r>
      <w:r w:rsidRPr="00D92C04">
        <w:t xml:space="preserve"> dated 26 June 2021 that include zanubrutinib as an option in the WM treatment algorithm, suggesting clinical acceptance in this setting.</w:t>
      </w:r>
    </w:p>
    <w:p w14:paraId="0D9B0A1F" w14:textId="0165B76C" w:rsidR="00A53023" w:rsidRPr="00D92C04" w:rsidRDefault="00A53023" w:rsidP="00A53023">
      <w:r w:rsidRPr="00D92C04">
        <w:t xml:space="preserve">From the nonclinical findings there is binding to </w:t>
      </w:r>
      <w:r w:rsidR="00B72497">
        <w:t>epidermal growth factor receptors (</w:t>
      </w:r>
      <w:r w:rsidRPr="00D92C04">
        <w:t>EGFR</w:t>
      </w:r>
      <w:r w:rsidR="00B72497">
        <w:t>)</w:t>
      </w:r>
      <w:r w:rsidRPr="00D92C04">
        <w:t xml:space="preserve"> and </w:t>
      </w:r>
      <w:r w:rsidR="00B72497">
        <w:t>tec protein tyrosine kinase (</w:t>
      </w:r>
      <w:r w:rsidRPr="00D92C04">
        <w:t>TEC</w:t>
      </w:r>
      <w:r w:rsidR="00B72497">
        <w:t>)</w:t>
      </w:r>
      <w:r w:rsidRPr="00D92C04">
        <w:t>, the targets thought contributory to the bleeding and atrial fibrillation associated with the class. The performance of zanubrutinib in a real</w:t>
      </w:r>
      <w:r w:rsidR="00DD6EAB" w:rsidRPr="00D92C04">
        <w:t xml:space="preserve"> </w:t>
      </w:r>
      <w:r w:rsidRPr="00D92C04">
        <w:t>world setting in comparison with ibrutinib is yet uncertain, particularly in a broader population with more underlying cardiovascular risk. The lower risk of cardiovascular events with zanubrutinib may be offset to a certain extent by an increased risk of neutropenia and would be a factor to consider at an individual patient level.</w:t>
      </w:r>
    </w:p>
    <w:p w14:paraId="3B60AFD1" w14:textId="77777777" w:rsidR="00D23139" w:rsidRPr="00D92C04" w:rsidRDefault="00D23139" w:rsidP="00D23139">
      <w:pPr>
        <w:pStyle w:val="Heading4"/>
      </w:pPr>
      <w:r w:rsidRPr="00D92C04">
        <w:t>Proposed action</w:t>
      </w:r>
    </w:p>
    <w:p w14:paraId="28132F38" w14:textId="1DBDF042" w:rsidR="00A53023" w:rsidRPr="00D92C04" w:rsidRDefault="00DD6EAB" w:rsidP="00A53023">
      <w:r w:rsidRPr="00D92C04">
        <w:t>The Delegate has</w:t>
      </w:r>
      <w:r w:rsidR="00A53023" w:rsidRPr="00D92C04">
        <w:t xml:space="preserve"> yet to </w:t>
      </w:r>
      <w:proofErr w:type="gramStart"/>
      <w:r w:rsidR="00A53023" w:rsidRPr="00D92C04">
        <w:t>make a decision</w:t>
      </w:r>
      <w:proofErr w:type="gramEnd"/>
      <w:r w:rsidR="00A53023" w:rsidRPr="00D92C04">
        <w:t xml:space="preserve"> on the registration of this product. The advice of the </w:t>
      </w:r>
      <w:r w:rsidR="000C04BD" w:rsidRPr="00D92C04">
        <w:t>Advisory Committee on Medicines (</w:t>
      </w:r>
      <w:r w:rsidR="00A53023" w:rsidRPr="00D92C04">
        <w:t>ACM</w:t>
      </w:r>
      <w:r w:rsidR="000C04BD" w:rsidRPr="00D92C04">
        <w:t>)</w:t>
      </w:r>
      <w:r w:rsidR="00A53023" w:rsidRPr="00D92C04">
        <w:t xml:space="preserve"> is sought regarding the evidence supporting the efficacy of zanubrutinib for the proposed indication.</w:t>
      </w:r>
    </w:p>
    <w:p w14:paraId="041155BF" w14:textId="77639C1D" w:rsidR="00A53023" w:rsidRPr="00D92C04" w:rsidRDefault="00A53023" w:rsidP="00A53023">
      <w:r w:rsidRPr="00D92C04">
        <w:t xml:space="preserve">If a decision were taken to register zanubrutinib for the proposed indications, the following conditions of registration would be imposed. The sponsor should be aware </w:t>
      </w:r>
      <w:r w:rsidR="00B72497">
        <w:t xml:space="preserve">that </w:t>
      </w:r>
      <w:r w:rsidRPr="00D92C04">
        <w:t>additional conditions of registration may be imposed, subject to the advice of the ACM.</w:t>
      </w:r>
    </w:p>
    <w:p w14:paraId="1FB3619F" w14:textId="5EF0F45F" w:rsidR="001953C0" w:rsidRPr="00D92C04" w:rsidRDefault="00B72497" w:rsidP="001953C0">
      <w:pPr>
        <w:pStyle w:val="Standard"/>
        <w:ind w:right="284"/>
        <w:rPr>
          <w:rFonts w:eastAsia="Cambria"/>
          <w:snapToGrid/>
          <w:kern w:val="0"/>
          <w:sz w:val="21"/>
          <w:szCs w:val="21"/>
        </w:rPr>
      </w:pPr>
      <w:r>
        <w:rPr>
          <w:rFonts w:eastAsia="Cambria"/>
          <w:snapToGrid/>
          <w:kern w:val="0"/>
          <w:sz w:val="21"/>
          <w:szCs w:val="21"/>
        </w:rPr>
        <w:t>The Delegate was (at the time)</w:t>
      </w:r>
      <w:r w:rsidR="001953C0" w:rsidRPr="00D92C04">
        <w:rPr>
          <w:rFonts w:eastAsia="Cambria"/>
          <w:snapToGrid/>
          <w:kern w:val="0"/>
          <w:sz w:val="21"/>
          <w:szCs w:val="21"/>
        </w:rPr>
        <w:t xml:space="preserve"> yet to </w:t>
      </w:r>
      <w:proofErr w:type="gramStart"/>
      <w:r w:rsidR="001953C0" w:rsidRPr="00D92C04">
        <w:rPr>
          <w:rFonts w:eastAsia="Cambria"/>
          <w:snapToGrid/>
          <w:kern w:val="0"/>
          <w:sz w:val="21"/>
          <w:szCs w:val="21"/>
        </w:rPr>
        <w:t>make a decision</w:t>
      </w:r>
      <w:proofErr w:type="gramEnd"/>
      <w:r w:rsidR="001953C0" w:rsidRPr="00D92C04">
        <w:rPr>
          <w:rFonts w:eastAsia="Cambria"/>
          <w:snapToGrid/>
          <w:kern w:val="0"/>
          <w:sz w:val="21"/>
          <w:szCs w:val="21"/>
        </w:rPr>
        <w:t xml:space="preserve"> on the registration of this product. The advice of the ACM is sought regarding the evidence supporting the efficacy of zanubrutinib for the proposed indication.</w:t>
      </w:r>
    </w:p>
    <w:p w14:paraId="3FB4D6AC" w14:textId="77777777" w:rsidR="001953C0" w:rsidRPr="00D92C04" w:rsidRDefault="001953C0" w:rsidP="001953C0">
      <w:pPr>
        <w:pStyle w:val="Standard"/>
        <w:ind w:right="284"/>
        <w:rPr>
          <w:rFonts w:eastAsia="Cambria"/>
          <w:snapToGrid/>
          <w:kern w:val="0"/>
          <w:sz w:val="21"/>
          <w:szCs w:val="21"/>
        </w:rPr>
      </w:pPr>
      <w:r w:rsidRPr="00D92C04">
        <w:rPr>
          <w:rFonts w:eastAsia="Cambria"/>
          <w:snapToGrid/>
          <w:kern w:val="0"/>
          <w:sz w:val="21"/>
          <w:szCs w:val="21"/>
        </w:rPr>
        <w:t>If a decision were taken to register zanubrutinib for the proposed indications, the following conditions of registration would be imposed. The sponsor should be aware additional conditions of registration may be imposed, subject to the advice of the ACM.</w:t>
      </w:r>
    </w:p>
    <w:p w14:paraId="179C4A05" w14:textId="035E2171" w:rsidR="001953C0" w:rsidRPr="00D92C04" w:rsidRDefault="001953C0" w:rsidP="001953C0">
      <w:pPr>
        <w:pStyle w:val="ListBullet"/>
      </w:pPr>
      <w:r w:rsidRPr="00D92C04">
        <w:t xml:space="preserve">The Brukinsa EU-RMP (version 0.1, dated 11 May 2020, data lock point (DLP) 31 December 2019), with Australian specific annex (ASA) (version 0.1, dated </w:t>
      </w:r>
      <w:r w:rsidRPr="00D92C04">
        <w:lastRenderedPageBreak/>
        <w:t>1 June 2020), included with Submission PM-2020-02814-1-6, to be revised to the satisfaction of the TGA, will be implemented in Australia.</w:t>
      </w:r>
    </w:p>
    <w:p w14:paraId="61D06ADF" w14:textId="65F9C006" w:rsidR="001953C0" w:rsidRPr="00D92C04" w:rsidRDefault="001953C0" w:rsidP="001953C0">
      <w:pPr>
        <w:pStyle w:val="ListBullet"/>
      </w:pPr>
      <w:r w:rsidRPr="00D92C04">
        <w:t>An obligatory component of risk management plans is routine pharmacovigilance. Routine pharmacovigilance includes the submission of periodic safety update reports (PSURs).</w:t>
      </w:r>
    </w:p>
    <w:p w14:paraId="13A0CAAD" w14:textId="48D7108E" w:rsidR="001953C0" w:rsidRPr="00D92C04" w:rsidRDefault="001953C0" w:rsidP="001953C0">
      <w:pPr>
        <w:pStyle w:val="ListBullet"/>
        <w:numPr>
          <w:ilvl w:val="0"/>
          <w:numId w:val="0"/>
        </w:numPr>
        <w:ind w:left="360"/>
      </w:pPr>
      <w:r w:rsidRPr="00D92C04">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w:t>
      </w:r>
      <w:proofErr w:type="gramStart"/>
      <w:r w:rsidRPr="00D92C04">
        <w:t>six monthly</w:t>
      </w:r>
      <w:proofErr w:type="gramEnd"/>
      <w:r w:rsidRPr="00D92C04">
        <w:t xml:space="preserve"> reports may be submitted separately as they become available.</w:t>
      </w:r>
    </w:p>
    <w:p w14:paraId="1A8C0446" w14:textId="1A2871BD" w:rsidR="001953C0" w:rsidRPr="00D92C04" w:rsidRDefault="001953C0" w:rsidP="001953C0">
      <w:pPr>
        <w:pStyle w:val="ListBullet"/>
        <w:numPr>
          <w:ilvl w:val="0"/>
          <w:numId w:val="0"/>
        </w:numPr>
        <w:ind w:left="360"/>
      </w:pPr>
      <w:r w:rsidRPr="00D92C04">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088CB877" w14:textId="44081784" w:rsidR="001953C0" w:rsidRPr="00D92C04" w:rsidRDefault="001953C0" w:rsidP="001953C0">
      <w:pPr>
        <w:pStyle w:val="ListBullet"/>
        <w:numPr>
          <w:ilvl w:val="0"/>
          <w:numId w:val="0"/>
        </w:numPr>
        <w:ind w:left="360"/>
      </w:pPr>
      <w:r w:rsidRPr="00D92C04">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98D6834" w14:textId="7A69DF5A" w:rsidR="001953C0" w:rsidRPr="00D92C04" w:rsidRDefault="001953C0" w:rsidP="001953C0">
      <w:pPr>
        <w:pStyle w:val="ListBullet"/>
      </w:pPr>
      <w:r w:rsidRPr="00D92C04">
        <w:t>Brukinsa (zanubrutinib)] is to be included in the Black Triangle Scheme. The PI and CMI for Brukinsa must include the black triangle symbol and mandatory accompanying text for five years, which starts from the date that the sponsor notifies the TGA of supply of the product.</w:t>
      </w:r>
    </w:p>
    <w:p w14:paraId="31C50680" w14:textId="0789A872" w:rsidR="001953C0" w:rsidRPr="00D92C04" w:rsidRDefault="001953C0" w:rsidP="001953C0">
      <w:pPr>
        <w:pStyle w:val="ListBullet"/>
      </w:pPr>
      <w:r w:rsidRPr="00D92C04">
        <w:t>Provide the final study report of Study BGB-3111-206 for evaluation.</w:t>
      </w:r>
    </w:p>
    <w:p w14:paraId="15F9E1D0" w14:textId="77777777" w:rsidR="007D53B6" w:rsidRPr="00D92C04" w:rsidRDefault="007D53B6" w:rsidP="007D53B6">
      <w:pPr>
        <w:pStyle w:val="Heading4"/>
      </w:pPr>
      <w:r w:rsidRPr="00D92C04">
        <w:t xml:space="preserve">Questions for </w:t>
      </w:r>
      <w:r w:rsidR="00744121" w:rsidRPr="00D92C04">
        <w:t xml:space="preserve">the </w:t>
      </w:r>
      <w:r w:rsidRPr="00D92C04">
        <w:t>sponsor</w:t>
      </w:r>
    </w:p>
    <w:p w14:paraId="2E58B511" w14:textId="77777777" w:rsidR="00744121" w:rsidRPr="00D92C04" w:rsidRDefault="00744121" w:rsidP="00744121">
      <w:r w:rsidRPr="00D92C04">
        <w:t>The sponsor provided the following response to questions from the Delegate.</w:t>
      </w:r>
    </w:p>
    <w:p w14:paraId="68693884" w14:textId="312BE03D" w:rsidR="00A53023" w:rsidRPr="00D92C04" w:rsidRDefault="00A53023" w:rsidP="00A53023">
      <w:pPr>
        <w:pStyle w:val="Numberbullet0"/>
        <w:rPr>
          <w:b/>
          <w:bCs/>
          <w:i/>
          <w:iCs/>
        </w:rPr>
      </w:pPr>
      <w:r w:rsidRPr="00D92C04">
        <w:rPr>
          <w:b/>
          <w:bCs/>
          <w:i/>
          <w:iCs/>
        </w:rPr>
        <w:t xml:space="preserve">The </w:t>
      </w:r>
      <w:proofErr w:type="spellStart"/>
      <w:r w:rsidR="00B77F5D">
        <w:rPr>
          <w:b/>
          <w:bCs/>
          <w:i/>
          <w:iCs/>
        </w:rPr>
        <w:t>Brunkisa</w:t>
      </w:r>
      <w:proofErr w:type="spellEnd"/>
      <w:r w:rsidR="00B77F5D">
        <w:rPr>
          <w:b/>
          <w:bCs/>
          <w:i/>
          <w:iCs/>
        </w:rPr>
        <w:t>(</w:t>
      </w:r>
      <w:proofErr w:type="spellStart"/>
      <w:r w:rsidR="00B77F5D">
        <w:rPr>
          <w:b/>
          <w:bCs/>
          <w:i/>
          <w:iCs/>
        </w:rPr>
        <w:t>zanubrutinib</w:t>
      </w:r>
      <w:proofErr w:type="spellEnd"/>
      <w:r w:rsidR="00B77F5D">
        <w:rPr>
          <w:b/>
          <w:bCs/>
          <w:i/>
          <w:iCs/>
        </w:rPr>
        <w:t xml:space="preserve">) </w:t>
      </w:r>
      <w:r w:rsidRPr="00D92C04">
        <w:rPr>
          <w:b/>
          <w:bCs/>
          <w:i/>
          <w:iCs/>
        </w:rPr>
        <w:t xml:space="preserve">capsule is almost 22 mm long. Given the typical age of the </w:t>
      </w:r>
      <w:r w:rsidR="009A54DE" w:rsidRPr="00D92C04">
        <w:rPr>
          <w:b/>
          <w:bCs/>
          <w:i/>
          <w:iCs/>
        </w:rPr>
        <w:t>Waldenström</w:t>
      </w:r>
      <w:r w:rsidRPr="00D92C04">
        <w:rPr>
          <w:b/>
          <w:bCs/>
          <w:i/>
          <w:iCs/>
        </w:rPr>
        <w:t>’s macroglobulinaemia patients and their potential comorbidities, does the sponsor have guidance for patients/health professionals advising patients if the patient is unable to swallow the tablet whole?</w:t>
      </w:r>
    </w:p>
    <w:p w14:paraId="7BD6A36A" w14:textId="735F1FEA" w:rsidR="00025D23" w:rsidRPr="00D92C04" w:rsidRDefault="00025D23" w:rsidP="00025D23">
      <w:r w:rsidRPr="00D92C04">
        <w:t>The possibility of opening the capsules before administration was evaluated to assess the risk of affecting bioavailability of zanubrutinib due to variations in recovery of the capsule content and unknown stability of capsule content in specific liquids and food (</w:t>
      </w:r>
      <w:r w:rsidR="00DD6EAB" w:rsidRPr="00D92C04">
        <w:t>for example</w:t>
      </w:r>
      <w:r w:rsidRPr="00D92C04">
        <w:t>, apple</w:t>
      </w:r>
      <w:r w:rsidR="00DD6EAB" w:rsidRPr="00D92C04">
        <w:t xml:space="preserve"> </w:t>
      </w:r>
      <w:r w:rsidRPr="00D92C04">
        <w:t xml:space="preserve">sauce, </w:t>
      </w:r>
      <w:proofErr w:type="gramStart"/>
      <w:r w:rsidR="00DD6EAB" w:rsidRPr="00D92C04">
        <w:t>yogurt</w:t>
      </w:r>
      <w:proofErr w:type="gramEnd"/>
      <w:r w:rsidR="00DD6EAB" w:rsidRPr="00D92C04">
        <w:t xml:space="preserve"> </w:t>
      </w:r>
      <w:r w:rsidRPr="00D92C04">
        <w:t xml:space="preserve">and Coca-Cola). Results indicate the content in the capsules can be completely and consistently recovered in a laboratory setting, and the capsule content is stable for up to 24 hours in the assessed liquids and food. However, results from controlled </w:t>
      </w:r>
      <w:r w:rsidRPr="00D92C04">
        <w:rPr>
          <w:i/>
          <w:iCs/>
        </w:rPr>
        <w:t>in vitro</w:t>
      </w:r>
      <w:r w:rsidRPr="00D92C04">
        <w:t xml:space="preserve"> studies may not translate well into the real-world setting due to uncertainty in how patients (mostly elderly populations) would handle open capsules. As such, there is a risk of lower bioavailability resulting in patients not receiving the full dose due to loss of content in capsule handling, as well as loss of content during the administration of the content with liquid and/or food.</w:t>
      </w:r>
    </w:p>
    <w:p w14:paraId="68C2CCF8" w14:textId="6F0D871C" w:rsidR="00025D23" w:rsidRPr="00D92C04" w:rsidRDefault="00025D23" w:rsidP="00025D23">
      <w:r w:rsidRPr="00D92C04">
        <w:t xml:space="preserve">Due to lack of clinical data regarding opening capsules, </w:t>
      </w:r>
      <w:r w:rsidR="00DD6EAB" w:rsidRPr="00D92C04">
        <w:t>the sponsor</w:t>
      </w:r>
      <w:r w:rsidRPr="00D92C04">
        <w:t xml:space="preserve"> recommends that patients follow the administration procedure as described in the proposed label to swallow the capsules whole with water, and not to open, break, or chew the capsules.</w:t>
      </w:r>
    </w:p>
    <w:p w14:paraId="53341858" w14:textId="5CDBD4CD" w:rsidR="00025D23" w:rsidRPr="00D92C04" w:rsidRDefault="00A53023" w:rsidP="00025D23">
      <w:pPr>
        <w:pStyle w:val="Numberbullet0"/>
      </w:pPr>
      <w:r w:rsidRPr="00D92C04">
        <w:rPr>
          <w:b/>
          <w:bCs/>
          <w:i/>
          <w:iCs/>
        </w:rPr>
        <w:lastRenderedPageBreak/>
        <w:t xml:space="preserve">Please provide an update of the </w:t>
      </w:r>
      <w:proofErr w:type="gramStart"/>
      <w:r w:rsidRPr="00D92C04">
        <w:rPr>
          <w:b/>
          <w:bCs/>
          <w:i/>
          <w:iCs/>
        </w:rPr>
        <w:t>current status</w:t>
      </w:r>
      <w:proofErr w:type="gramEnd"/>
      <w:r w:rsidRPr="00D92C04">
        <w:rPr>
          <w:b/>
          <w:bCs/>
          <w:i/>
          <w:iCs/>
        </w:rPr>
        <w:t xml:space="preserve"> of zanubrutinib for </w:t>
      </w:r>
      <w:r w:rsidR="009A54DE" w:rsidRPr="00D92C04">
        <w:rPr>
          <w:b/>
          <w:bCs/>
          <w:i/>
          <w:iCs/>
        </w:rPr>
        <w:t>Waldenström</w:t>
      </w:r>
      <w:r w:rsidRPr="00D92C04">
        <w:rPr>
          <w:b/>
          <w:bCs/>
          <w:i/>
          <w:iCs/>
        </w:rPr>
        <w:t xml:space="preserve">’s </w:t>
      </w:r>
      <w:r w:rsidR="00B77F5D">
        <w:rPr>
          <w:b/>
          <w:bCs/>
          <w:i/>
          <w:iCs/>
        </w:rPr>
        <w:t>m</w:t>
      </w:r>
      <w:r w:rsidRPr="00D92C04">
        <w:rPr>
          <w:b/>
          <w:bCs/>
          <w:i/>
          <w:iCs/>
        </w:rPr>
        <w:t>acroglobulinaemia internationally.</w:t>
      </w:r>
    </w:p>
    <w:p w14:paraId="0E5B163A" w14:textId="42D0D2FF" w:rsidR="00025D23" w:rsidRPr="00D92C04" w:rsidRDefault="00025D23" w:rsidP="000E00EC">
      <w:r w:rsidRPr="00D92C04">
        <w:t xml:space="preserve">A full summary of the global status of zanubrutinib is provided </w:t>
      </w:r>
      <w:r w:rsidR="00DD6EAB" w:rsidRPr="00D92C04">
        <w:t>to the TGA</w:t>
      </w:r>
      <w:r w:rsidRPr="00D92C04">
        <w:t>. Applications</w:t>
      </w:r>
      <w:r w:rsidR="000E00EC" w:rsidRPr="00D92C04">
        <w:t xml:space="preserve"> </w:t>
      </w:r>
      <w:r w:rsidRPr="00D92C04">
        <w:t>for zanubrutinib in Waldenstr</w:t>
      </w:r>
      <w:r w:rsidRPr="00D92C04">
        <w:rPr>
          <w:rFonts w:hint="eastAsia"/>
        </w:rPr>
        <w:t>ö</w:t>
      </w:r>
      <w:r w:rsidRPr="00D92C04">
        <w:t>m</w:t>
      </w:r>
      <w:r w:rsidR="00DD6EAB" w:rsidRPr="00D92C04">
        <w:t>’</w:t>
      </w:r>
      <w:r w:rsidRPr="00D92C04">
        <w:t>s macroglobulinaemia have been submitted in Canada, the EU,</w:t>
      </w:r>
      <w:r w:rsidR="000E00EC" w:rsidRPr="00D92C04">
        <w:t xml:space="preserve"> </w:t>
      </w:r>
      <w:r w:rsidRPr="00D92C04">
        <w:t xml:space="preserve">Israel, South Korea, </w:t>
      </w:r>
      <w:proofErr w:type="gramStart"/>
      <w:r w:rsidRPr="00D92C04">
        <w:t>Taiwan</w:t>
      </w:r>
      <w:proofErr w:type="gramEnd"/>
      <w:r w:rsidRPr="00D92C04">
        <w:t xml:space="preserve"> and the USA. Health Canada approved the application under their</w:t>
      </w:r>
      <w:r w:rsidR="000E00EC" w:rsidRPr="00D92C04">
        <w:t xml:space="preserve"> </w:t>
      </w:r>
      <w:r w:rsidRPr="00D92C04">
        <w:t>Priority Review pathway for the following indication:</w:t>
      </w:r>
    </w:p>
    <w:p w14:paraId="0F89AF20" w14:textId="6274D02F" w:rsidR="00025D23" w:rsidRPr="00D92C04" w:rsidRDefault="00DD6EAB" w:rsidP="000E00EC">
      <w:pPr>
        <w:ind w:left="720"/>
        <w:rPr>
          <w:i/>
          <w:iCs/>
        </w:rPr>
      </w:pPr>
      <w:r w:rsidRPr="00D92C04">
        <w:rPr>
          <w:i/>
          <w:iCs/>
        </w:rPr>
        <w:t xml:space="preserve">Brukinsa </w:t>
      </w:r>
      <w:r w:rsidR="00025D23" w:rsidRPr="00D92C04">
        <w:rPr>
          <w:i/>
          <w:iCs/>
        </w:rPr>
        <w:t>(zanubrutinib) is indicated for the treatment of adult patients with</w:t>
      </w:r>
      <w:r w:rsidR="000E00EC" w:rsidRPr="00D92C04">
        <w:rPr>
          <w:i/>
          <w:iCs/>
        </w:rPr>
        <w:t xml:space="preserve"> </w:t>
      </w:r>
      <w:r w:rsidR="00025D23" w:rsidRPr="00D92C04">
        <w:rPr>
          <w:i/>
          <w:iCs/>
        </w:rPr>
        <w:t>Waldenstr</w:t>
      </w:r>
      <w:r w:rsidR="00025D23" w:rsidRPr="00D92C04">
        <w:rPr>
          <w:rFonts w:hint="eastAsia"/>
          <w:i/>
          <w:iCs/>
        </w:rPr>
        <w:t>ö</w:t>
      </w:r>
      <w:r w:rsidR="00025D23" w:rsidRPr="00D92C04">
        <w:rPr>
          <w:i/>
          <w:iCs/>
        </w:rPr>
        <w:t>m</w:t>
      </w:r>
      <w:r w:rsidR="000E00EC" w:rsidRPr="00D92C04">
        <w:rPr>
          <w:i/>
          <w:iCs/>
        </w:rPr>
        <w:t>’</w:t>
      </w:r>
      <w:r w:rsidR="00025D23" w:rsidRPr="00D92C04">
        <w:rPr>
          <w:i/>
          <w:iCs/>
        </w:rPr>
        <w:t>s macroglobulinemia (WM).</w:t>
      </w:r>
    </w:p>
    <w:p w14:paraId="5F79A459" w14:textId="0A609AB9" w:rsidR="00025D23" w:rsidRPr="00D92C04" w:rsidRDefault="00025D23" w:rsidP="000E00EC">
      <w:r w:rsidRPr="00D92C04">
        <w:t xml:space="preserve">The submissions to the EU, Israel, Taiwan, South </w:t>
      </w:r>
      <w:proofErr w:type="gramStart"/>
      <w:r w:rsidRPr="00D92C04">
        <w:t>Korea</w:t>
      </w:r>
      <w:proofErr w:type="gramEnd"/>
      <w:r w:rsidRPr="00D92C04">
        <w:t xml:space="preserve"> and the USA are still under review.</w:t>
      </w:r>
    </w:p>
    <w:p w14:paraId="4F8718CF" w14:textId="77777777" w:rsidR="008E7846" w:rsidRPr="00D92C04" w:rsidRDefault="008E7846" w:rsidP="007D53B6">
      <w:pPr>
        <w:pStyle w:val="Heading4"/>
      </w:pPr>
      <w:r w:rsidRPr="00D92C04">
        <w:t xml:space="preserve">Advisory Committee </w:t>
      </w:r>
      <w:r w:rsidR="007D53B6" w:rsidRPr="00D92C04">
        <w:t>c</w:t>
      </w:r>
      <w:r w:rsidRPr="00D92C04">
        <w:t>onsiderations</w:t>
      </w:r>
      <w:r w:rsidR="00456765" w:rsidRPr="00D92C04">
        <w:rPr>
          <w:rStyle w:val="FootnoteReference"/>
        </w:rPr>
        <w:footnoteReference w:id="21"/>
      </w:r>
    </w:p>
    <w:p w14:paraId="0CCFAC8C" w14:textId="77777777" w:rsidR="00744121" w:rsidRPr="00D92C04" w:rsidRDefault="00744121" w:rsidP="00744121">
      <w:pPr>
        <w:rPr>
          <w:bCs/>
        </w:rPr>
      </w:pPr>
      <w:bookmarkStart w:id="75" w:name="_Toc247691532"/>
      <w:bookmarkStart w:id="76" w:name="_Toc314842516"/>
      <w:bookmarkEnd w:id="47"/>
      <w:bookmarkEnd w:id="73"/>
      <w:bookmarkEnd w:id="74"/>
      <w:r w:rsidRPr="00D92C04">
        <w:rPr>
          <w:bCs/>
        </w:rPr>
        <w:t>The Advisory Committee on Medicines (ACM), having considered the evaluations and the Delegate’s overview, as well as the sponsor’s response to these documents, advised the following.</w:t>
      </w:r>
    </w:p>
    <w:p w14:paraId="161B2731" w14:textId="77777777" w:rsidR="00744121" w:rsidRPr="00D92C04" w:rsidRDefault="00744121" w:rsidP="00744121">
      <w:pPr>
        <w:pStyle w:val="Heading5"/>
      </w:pPr>
      <w:r w:rsidRPr="00D92C04">
        <w:t>Specific advice to the Delegate</w:t>
      </w:r>
    </w:p>
    <w:p w14:paraId="367729E2" w14:textId="77777777" w:rsidR="00066510" w:rsidRPr="00D92C04" w:rsidRDefault="00066510" w:rsidP="00066510">
      <w:pPr>
        <w:pStyle w:val="Numberbullet0"/>
        <w:numPr>
          <w:ilvl w:val="0"/>
          <w:numId w:val="10"/>
        </w:numPr>
        <w:rPr>
          <w:b/>
          <w:bCs/>
          <w:i/>
          <w:iCs/>
        </w:rPr>
      </w:pPr>
      <w:r w:rsidRPr="00D92C04">
        <w:rPr>
          <w:b/>
          <w:bCs/>
          <w:i/>
          <w:iCs/>
        </w:rPr>
        <w:t>Please advise on the interpretation of the evidence from the pivotal trial given the study failed to meet its primary endpoint at the prespecified interim analysis.</w:t>
      </w:r>
    </w:p>
    <w:p w14:paraId="148E9D18" w14:textId="17541095" w:rsidR="00066510" w:rsidRPr="00D92C04" w:rsidRDefault="00066510" w:rsidP="00066510">
      <w:r w:rsidRPr="00D92C04">
        <w:t xml:space="preserve">The ACM noted that the primary endpoint for the APSEN trial </w:t>
      </w:r>
      <w:r w:rsidR="00B77F5D">
        <w:t xml:space="preserve">(Study BGB-3111-302) </w:t>
      </w:r>
      <w:r w:rsidRPr="00D92C04">
        <w:t xml:space="preserve">is the superiority of zanubrutinib over ibrutinib in the proportion of patients who achieve a very good partial response (VGPR) or better. The ACM </w:t>
      </w:r>
      <w:proofErr w:type="gramStart"/>
      <w:r w:rsidRPr="00D92C04">
        <w:t>were of the opinion that</w:t>
      </w:r>
      <w:proofErr w:type="gramEnd"/>
      <w:r w:rsidRPr="00D92C04">
        <w:t xml:space="preserve"> this primary outcome was a very high bar to set in a disease where few complete responses (CRs) are usually seen. The ACM noted that with 201 participants, the APSEN trial is considered a large study for WM due to the rarity of the disease.</w:t>
      </w:r>
    </w:p>
    <w:p w14:paraId="3E2D5AF7" w14:textId="77777777" w:rsidR="00066510" w:rsidRPr="00D92C04" w:rsidRDefault="00066510" w:rsidP="00066510">
      <w:r w:rsidRPr="00D92C04">
        <w:t>The ACM commented that the difference in VGPR/CR was 9.2% in favour of zanubrutinib and agreed that zanubrutinib is not likely to be clinically inferior to ibrutinib. The ACM noted that multiple subsequent secondary analyses also concur that zanubrutinib had similar outcomes to ibrutinib.</w:t>
      </w:r>
    </w:p>
    <w:p w14:paraId="6D0786E0" w14:textId="77777777" w:rsidR="00066510" w:rsidRPr="00D92C04" w:rsidRDefault="00066510" w:rsidP="00066510">
      <w:r w:rsidRPr="00D92C04">
        <w:t>The ACM commented that zanubrutinib responses appear to improve over time, as evident in Study BGB-3111-AU-003, with the best response of VGPR/CR being 32.9% at 12 months compared to 43.8% at 24 months.</w:t>
      </w:r>
      <w:r w:rsidRPr="00D92C04">
        <w:rPr>
          <w:vertAlign w:val="superscript"/>
        </w:rPr>
        <w:footnoteReference w:id="22"/>
      </w:r>
      <w:r w:rsidRPr="00D92C04">
        <w:t xml:space="preserve"> Thus, the ACM advised that this should be followed up in the ASPEN trial to determine if the response to zanubrutinib improves with time.</w:t>
      </w:r>
    </w:p>
    <w:p w14:paraId="54CE34B6" w14:textId="77777777" w:rsidR="00066510" w:rsidRPr="00D92C04" w:rsidRDefault="00066510" w:rsidP="00066510">
      <w:r w:rsidRPr="00D92C04">
        <w:t>In summary, the ACM agreed that the interpretation of the overall evidence is supportive of the efficacy of zanubrutinib.</w:t>
      </w:r>
    </w:p>
    <w:p w14:paraId="05C91558" w14:textId="25DB962A" w:rsidR="00066510" w:rsidRPr="00D92C04" w:rsidRDefault="00066510" w:rsidP="00066510">
      <w:pPr>
        <w:pStyle w:val="Numberbullet0"/>
        <w:rPr>
          <w:b/>
          <w:bCs/>
          <w:i/>
          <w:iCs/>
        </w:rPr>
      </w:pPr>
      <w:r w:rsidRPr="00D92C04">
        <w:rPr>
          <w:b/>
          <w:bCs/>
          <w:i/>
          <w:iCs/>
        </w:rPr>
        <w:t xml:space="preserve">If zanubrutinib were to be approved, has sufficient evidence been presented to support the </w:t>
      </w:r>
      <w:r w:rsidR="00DD6EAB" w:rsidRPr="00D92C04">
        <w:rPr>
          <w:b/>
          <w:bCs/>
          <w:i/>
          <w:iCs/>
        </w:rPr>
        <w:t>first line</w:t>
      </w:r>
      <w:r w:rsidRPr="00D92C04">
        <w:rPr>
          <w:b/>
          <w:bCs/>
          <w:i/>
          <w:iCs/>
        </w:rPr>
        <w:t xml:space="preserve"> use in patients unsuitable for chemotherapy?</w:t>
      </w:r>
    </w:p>
    <w:p w14:paraId="0E4481AD" w14:textId="63C0612B" w:rsidR="00066510" w:rsidRPr="00D92C04" w:rsidRDefault="00066510" w:rsidP="00066510">
      <w:r w:rsidRPr="00D92C04">
        <w:t xml:space="preserve">The ACM commented that due to the rarity of the disease, there is no standard of care for WM. The treatment plan is decided on a </w:t>
      </w:r>
      <w:proofErr w:type="gramStart"/>
      <w:r w:rsidRPr="00D92C04">
        <w:t>case by case</w:t>
      </w:r>
      <w:proofErr w:type="gramEnd"/>
      <w:r w:rsidRPr="00D92C04">
        <w:t xml:space="preserve"> basis between patients and their physicians. The ACM noted that international guidelines include ibrutinib monotherapy as first line or subsequent treatment for </w:t>
      </w:r>
      <w:proofErr w:type="gramStart"/>
      <w:r w:rsidRPr="00D92C04">
        <w:t>WM, and</w:t>
      </w:r>
      <w:proofErr w:type="gramEnd"/>
      <w:r w:rsidRPr="00D92C04">
        <w:t xml:space="preserve"> agreed that zanubrutinib has shown efficacy in both initial and subsequent treatment for WM. Due to the limited treatment </w:t>
      </w:r>
      <w:r w:rsidRPr="00D92C04">
        <w:lastRenderedPageBreak/>
        <w:t>options for chemotherapy unsuitable patients, the ACM advised that zanubrutinib could be considered as a first</w:t>
      </w:r>
      <w:r w:rsidR="009A6514">
        <w:t xml:space="preserve"> </w:t>
      </w:r>
      <w:r w:rsidRPr="00D92C04">
        <w:t>line treatment for chemotherapy</w:t>
      </w:r>
      <w:r w:rsidR="00B77F5D">
        <w:t>-</w:t>
      </w:r>
      <w:r w:rsidRPr="00D92C04">
        <w:t>unsuitable WM patients.</w:t>
      </w:r>
    </w:p>
    <w:p w14:paraId="752F7FDE" w14:textId="77777777" w:rsidR="00066510" w:rsidRPr="00D92C04" w:rsidRDefault="00066510" w:rsidP="00066510">
      <w:r w:rsidRPr="00D92C04">
        <w:t xml:space="preserve">The ACM </w:t>
      </w:r>
      <w:proofErr w:type="gramStart"/>
      <w:r w:rsidRPr="00D92C04">
        <w:t>were of the opinion that</w:t>
      </w:r>
      <w:proofErr w:type="gramEnd"/>
      <w:r w:rsidRPr="00D92C04">
        <w:t xml:space="preserve"> there is insufficient evidence to support the use of one therapy over another for the treatment of WM.</w:t>
      </w:r>
    </w:p>
    <w:p w14:paraId="3A49666E" w14:textId="0BA8F1F8" w:rsidR="00066510" w:rsidRPr="00D92C04" w:rsidRDefault="00066510" w:rsidP="00066510">
      <w:pPr>
        <w:pStyle w:val="Numberbullet0"/>
        <w:rPr>
          <w:b/>
          <w:bCs/>
          <w:i/>
          <w:iCs/>
        </w:rPr>
      </w:pPr>
      <w:r w:rsidRPr="00D92C04">
        <w:rPr>
          <w:b/>
          <w:bCs/>
          <w:i/>
          <w:iCs/>
        </w:rPr>
        <w:t xml:space="preserve">If zanubrutinib were to be registered for use in </w:t>
      </w:r>
      <w:r w:rsidR="009A54DE" w:rsidRPr="00D92C04">
        <w:rPr>
          <w:b/>
          <w:bCs/>
          <w:i/>
          <w:iCs/>
        </w:rPr>
        <w:t>Waldenström</w:t>
      </w:r>
      <w:r w:rsidRPr="00D92C04">
        <w:rPr>
          <w:b/>
          <w:bCs/>
          <w:i/>
          <w:iCs/>
        </w:rPr>
        <w:t xml:space="preserve">’s </w:t>
      </w:r>
      <w:r w:rsidR="00B77F5D">
        <w:rPr>
          <w:b/>
          <w:bCs/>
          <w:i/>
          <w:iCs/>
        </w:rPr>
        <w:t>m</w:t>
      </w:r>
      <w:r w:rsidRPr="00D92C04">
        <w:rPr>
          <w:b/>
          <w:bCs/>
          <w:i/>
          <w:iCs/>
        </w:rPr>
        <w:t>acroglobulinaemia does the ACM recommend any conditions of registration in addition to those already proposed</w:t>
      </w:r>
      <w:r w:rsidR="00B77F5D">
        <w:rPr>
          <w:b/>
          <w:bCs/>
          <w:i/>
          <w:iCs/>
        </w:rPr>
        <w:t>?</w:t>
      </w:r>
    </w:p>
    <w:p w14:paraId="2CEB4A53" w14:textId="77777777" w:rsidR="00066510" w:rsidRPr="00D92C04" w:rsidRDefault="00066510" w:rsidP="00066510">
      <w:r w:rsidRPr="00D92C04">
        <w:t>The ACM advised that they were no specific issues that would require any conditions of registration in addition to those already proposed.</w:t>
      </w:r>
    </w:p>
    <w:p w14:paraId="598F2D1D" w14:textId="6B575D61" w:rsidR="00066510" w:rsidRPr="00D92C04" w:rsidRDefault="00066510" w:rsidP="00066510">
      <w:r w:rsidRPr="00D92C04">
        <w:t>However, the ACM advised that patients with central nervous system disease such as Bing</w:t>
      </w:r>
      <w:r w:rsidR="00B77F5D">
        <w:noBreakHyphen/>
      </w:r>
      <w:r w:rsidRPr="00D92C04">
        <w:t xml:space="preserve">Neel syndrome, and WM patients that have transformed to </w:t>
      </w:r>
      <w:r w:rsidR="00B77F5D">
        <w:t xml:space="preserve">having </w:t>
      </w:r>
      <w:r w:rsidRPr="00D92C04">
        <w:t>aggressive lymphoma are not suitable for zanubrutinib treatment, emphasising there are no significant data on these cohorts as they were excluded from the main studies.</w:t>
      </w:r>
    </w:p>
    <w:p w14:paraId="64C29F01" w14:textId="77777777" w:rsidR="00066510" w:rsidRPr="00D92C04" w:rsidRDefault="00066510" w:rsidP="00066510">
      <w:pPr>
        <w:pStyle w:val="Numberbullet0"/>
        <w:rPr>
          <w:b/>
          <w:bCs/>
          <w:i/>
          <w:iCs/>
        </w:rPr>
      </w:pPr>
      <w:r w:rsidRPr="00D92C04">
        <w:rPr>
          <w:b/>
          <w:bCs/>
          <w:i/>
          <w:iCs/>
        </w:rPr>
        <w:t>The ACM is invited to provide advice on any other matters it considers may contribute to the decision.</w:t>
      </w:r>
    </w:p>
    <w:p w14:paraId="195AD1AB" w14:textId="77777777" w:rsidR="00066510" w:rsidRPr="00D92C04" w:rsidRDefault="00066510" w:rsidP="00066510">
      <w:r w:rsidRPr="00D92C04">
        <w:t>The ACM regarded zanubrutinib to be an effective and safe addition to the available treatments for WM.</w:t>
      </w:r>
    </w:p>
    <w:p w14:paraId="4C2A3A9A" w14:textId="761BC229" w:rsidR="00066510" w:rsidRPr="00D92C04" w:rsidRDefault="00066510" w:rsidP="00066510">
      <w:r w:rsidRPr="00D92C04">
        <w:t xml:space="preserve">The ACM commented that zanubrutinib had a lower incidence of atrial flutter/fibrillation, bleeding, </w:t>
      </w:r>
      <w:proofErr w:type="gramStart"/>
      <w:r w:rsidRPr="00D92C04">
        <w:t>pneumonia</w:t>
      </w:r>
      <w:proofErr w:type="gramEnd"/>
      <w:r w:rsidRPr="00D92C04">
        <w:t xml:space="preserve"> and peripheral </w:t>
      </w:r>
      <w:r w:rsidR="00B77F5D">
        <w:t>o</w:t>
      </w:r>
      <w:r w:rsidR="006425BA" w:rsidRPr="00D92C04">
        <w:t>e</w:t>
      </w:r>
      <w:r w:rsidRPr="00D92C04">
        <w:t>dema compared to ibrutinib, hence may be a more suitable option for the elderly patient demographic.</w:t>
      </w:r>
    </w:p>
    <w:p w14:paraId="6C06E8FD" w14:textId="77777777" w:rsidR="00744121" w:rsidRPr="00D92C04" w:rsidRDefault="00744121" w:rsidP="00744121">
      <w:pPr>
        <w:pStyle w:val="Heading5"/>
      </w:pPr>
      <w:r w:rsidRPr="00D92C04">
        <w:t>Conclusion</w:t>
      </w:r>
    </w:p>
    <w:p w14:paraId="16312051" w14:textId="44863982" w:rsidR="00066510" w:rsidRPr="00D92C04" w:rsidRDefault="00066510" w:rsidP="00066510">
      <w:r w:rsidRPr="00D92C04">
        <w:t>The ACM considered this product to have an overall positive benefit-risk profile for the indication:</w:t>
      </w:r>
    </w:p>
    <w:p w14:paraId="6C590F15" w14:textId="4A166FDB" w:rsidR="00B5673A" w:rsidRPr="00D92C04" w:rsidRDefault="00B5673A" w:rsidP="00B5673A">
      <w:pPr>
        <w:ind w:left="720"/>
        <w:rPr>
          <w:i/>
          <w:iCs/>
        </w:rPr>
      </w:pPr>
      <w:r w:rsidRPr="00D92C04">
        <w:rPr>
          <w:i/>
          <w:iCs/>
        </w:rPr>
        <w:t xml:space="preserve">Brukinsa is indicated for the treatment of adult patients with </w:t>
      </w:r>
      <w:r w:rsidR="009A54DE" w:rsidRPr="00D92C04">
        <w:rPr>
          <w:i/>
          <w:iCs/>
        </w:rPr>
        <w:t>Waldenström</w:t>
      </w:r>
      <w:r w:rsidRPr="00D92C04">
        <w:rPr>
          <w:i/>
          <w:iCs/>
        </w:rPr>
        <w:t>’s macroglobulinaemia (WM) who have received at least one prior therapy, or in first line treatment for patients unsuitable for chemoimmunotherapy.</w:t>
      </w:r>
    </w:p>
    <w:p w14:paraId="33417219" w14:textId="2EF2D411" w:rsidR="008E7846" w:rsidRPr="00D92C04" w:rsidRDefault="008E7846" w:rsidP="008E7846">
      <w:pPr>
        <w:pStyle w:val="Heading3"/>
      </w:pPr>
      <w:bookmarkStart w:id="77" w:name="_Toc111138574"/>
      <w:r w:rsidRPr="00D92C04">
        <w:t>Outcome</w:t>
      </w:r>
      <w:bookmarkEnd w:id="75"/>
      <w:bookmarkEnd w:id="76"/>
      <w:bookmarkEnd w:id="77"/>
    </w:p>
    <w:p w14:paraId="70C306BD" w14:textId="6BFF3C4E" w:rsidR="00744121" w:rsidRPr="00D92C04" w:rsidRDefault="00744121" w:rsidP="00744121">
      <w:bookmarkStart w:id="78" w:name="_Toc247691533"/>
      <w:bookmarkStart w:id="79" w:name="_Toc314842517"/>
      <w:r w:rsidRPr="00D92C04">
        <w:t xml:space="preserve">Based on a review of quality, </w:t>
      </w:r>
      <w:proofErr w:type="gramStart"/>
      <w:r w:rsidRPr="00D92C04">
        <w:t>safety</w:t>
      </w:r>
      <w:proofErr w:type="gramEnd"/>
      <w:r w:rsidRPr="00D92C04">
        <w:t xml:space="preserve"> and efficacy, the TGA approved the registration of </w:t>
      </w:r>
      <w:r w:rsidR="002478B9" w:rsidRPr="00D92C04">
        <w:t xml:space="preserve">Brukinsa </w:t>
      </w:r>
      <w:r w:rsidRPr="00D92C04">
        <w:t>(</w:t>
      </w:r>
      <w:r w:rsidR="002478B9" w:rsidRPr="00D92C04">
        <w:t>zanubrutinib</w:t>
      </w:r>
      <w:r w:rsidRPr="00D92C04">
        <w:t xml:space="preserve">) </w:t>
      </w:r>
      <w:r w:rsidR="00882CE7" w:rsidRPr="00D92C04">
        <w:t>80 mg</w:t>
      </w:r>
      <w:r w:rsidRPr="00D92C04">
        <w:t xml:space="preserve">, </w:t>
      </w:r>
      <w:r w:rsidR="00882CE7" w:rsidRPr="00D92C04">
        <w:t>capsule</w:t>
      </w:r>
      <w:r w:rsidRPr="00D92C04">
        <w:t xml:space="preserve">, </w:t>
      </w:r>
      <w:r w:rsidR="00882CE7" w:rsidRPr="00D92C04">
        <w:t>bottle</w:t>
      </w:r>
      <w:r w:rsidRPr="00D92C04">
        <w:t>, indicated for</w:t>
      </w:r>
      <w:r w:rsidR="00882CE7" w:rsidRPr="00D92C04">
        <w:t>:</w:t>
      </w:r>
    </w:p>
    <w:p w14:paraId="5462FC6E" w14:textId="77777777" w:rsidR="00882CE7" w:rsidRPr="00D92C04" w:rsidRDefault="00882CE7" w:rsidP="00882CE7">
      <w:pPr>
        <w:ind w:left="720"/>
        <w:rPr>
          <w:b/>
          <w:bCs/>
          <w:i/>
          <w:iCs/>
        </w:rPr>
      </w:pPr>
      <w:r w:rsidRPr="00D92C04">
        <w:rPr>
          <w:b/>
          <w:bCs/>
          <w:i/>
          <w:iCs/>
        </w:rPr>
        <w:t>Waldenström’s macroglobulinemia (WM)</w:t>
      </w:r>
    </w:p>
    <w:p w14:paraId="747AE8B1" w14:textId="77777777" w:rsidR="00882CE7" w:rsidRPr="00D92C04" w:rsidRDefault="00882CE7" w:rsidP="00882CE7">
      <w:pPr>
        <w:ind w:left="720"/>
        <w:rPr>
          <w:i/>
          <w:iCs/>
        </w:rPr>
      </w:pPr>
      <w:r w:rsidRPr="00D92C04">
        <w:rPr>
          <w:i/>
          <w:iCs/>
        </w:rPr>
        <w:t>Brukinsa is indicated for the treatment of adult patients with Waldenström’s macroglobulinaemia (WM) who have received at least one prior therapy, or in first line treatment for patients unsuitable for chemo-immunotherapy.</w:t>
      </w:r>
    </w:p>
    <w:p w14:paraId="419D308A" w14:textId="77777777" w:rsidR="00D23139" w:rsidRPr="00D92C04" w:rsidRDefault="00D23139" w:rsidP="00D23139">
      <w:pPr>
        <w:pStyle w:val="Heading4"/>
      </w:pPr>
      <w:r w:rsidRPr="00D92C04">
        <w:t>Specific conditions of registration applying to these goods</w:t>
      </w:r>
    </w:p>
    <w:p w14:paraId="192FCA62" w14:textId="16931778" w:rsidR="00B06367" w:rsidRPr="00D92C04" w:rsidRDefault="006425BA" w:rsidP="00B06367">
      <w:pPr>
        <w:pStyle w:val="ListBullet"/>
      </w:pPr>
      <w:r w:rsidRPr="00D92C04">
        <w:t xml:space="preserve">Brukinsa </w:t>
      </w:r>
      <w:r w:rsidR="00B06367" w:rsidRPr="00D92C04">
        <w:t xml:space="preserve">(zanubrutinib) is to be included in the Black Triangle Scheme. The PI and CMI for </w:t>
      </w:r>
      <w:r w:rsidRPr="00D92C04">
        <w:t xml:space="preserve">Brukinsa </w:t>
      </w:r>
      <w:r w:rsidR="00B06367" w:rsidRPr="00D92C04">
        <w:t>must include the black triangle symbol and mandatory accompanying text for five years, which starts from the date that the sponsor notifies the TGA of supply of the product.</w:t>
      </w:r>
    </w:p>
    <w:p w14:paraId="18D16748" w14:textId="31567981" w:rsidR="00B06367" w:rsidRPr="00D92C04" w:rsidRDefault="00B06367" w:rsidP="00B06367">
      <w:pPr>
        <w:pStyle w:val="ListBullet"/>
      </w:pPr>
      <w:r w:rsidRPr="00D92C04">
        <w:t xml:space="preserve">The </w:t>
      </w:r>
      <w:r w:rsidR="006425BA" w:rsidRPr="00D92C04">
        <w:t xml:space="preserve">Brukinsa </w:t>
      </w:r>
      <w:r w:rsidRPr="00D92C04">
        <w:t>EU-</w:t>
      </w:r>
      <w:r w:rsidR="006425BA" w:rsidRPr="00D92C04">
        <w:t xml:space="preserve">risk management plan </w:t>
      </w:r>
      <w:r w:rsidRPr="00D92C04">
        <w:t>(RMP) (version 0.1, dated 11 May 2020, data lock point 31 Dec</w:t>
      </w:r>
      <w:r w:rsidR="006425BA" w:rsidRPr="00D92C04">
        <w:t>ember</w:t>
      </w:r>
      <w:r w:rsidRPr="00D92C04">
        <w:t xml:space="preserve"> 2019), with Australian </w:t>
      </w:r>
      <w:r w:rsidR="006425BA" w:rsidRPr="00D92C04">
        <w:t xml:space="preserve">specific annex </w:t>
      </w:r>
      <w:r w:rsidRPr="00D92C04">
        <w:t>(version 0.1, dated 1</w:t>
      </w:r>
      <w:r w:rsidR="006425BA" w:rsidRPr="00D92C04">
        <w:t> </w:t>
      </w:r>
      <w:r w:rsidRPr="00D92C04">
        <w:t xml:space="preserve">June 2020), included with </w:t>
      </w:r>
      <w:r w:rsidR="006425BA" w:rsidRPr="00D92C04">
        <w:t xml:space="preserve">Submission </w:t>
      </w:r>
      <w:r w:rsidRPr="00D92C04">
        <w:t>PM-2020-02814-1-6, to be revised to the satisfaction of the TGA, will be implemented in Australia.</w:t>
      </w:r>
    </w:p>
    <w:p w14:paraId="7916FD7E" w14:textId="58C4C051" w:rsidR="00B06367" w:rsidRPr="00D92C04" w:rsidRDefault="00B06367" w:rsidP="00B06367">
      <w:pPr>
        <w:pStyle w:val="ListBullet"/>
        <w:numPr>
          <w:ilvl w:val="0"/>
          <w:numId w:val="0"/>
        </w:numPr>
        <w:ind w:left="360"/>
      </w:pPr>
      <w:r w:rsidRPr="00D92C04">
        <w:lastRenderedPageBreak/>
        <w:t>An obligatory component of risk management plans is routine pharmacovigilance. Routine pharmacovigilance includes the submission of periodic safety update reports (PSURs).</w:t>
      </w:r>
    </w:p>
    <w:p w14:paraId="2BF0833E" w14:textId="21CD3FFA" w:rsidR="00B06367" w:rsidRPr="00D92C04" w:rsidRDefault="00B06367" w:rsidP="00B06367">
      <w:pPr>
        <w:pStyle w:val="ListBullet"/>
        <w:numPr>
          <w:ilvl w:val="0"/>
          <w:numId w:val="0"/>
        </w:numPr>
        <w:ind w:left="360"/>
      </w:pPr>
      <w:r w:rsidRPr="00D92C04">
        <w:t xml:space="preserve">Unless agreed separately between the supplier who is the recipient of the approval and the TGA, the first report must be submitted to TGA no later than 15 calendar months after the date of </w:t>
      </w:r>
      <w:r w:rsidR="006425BA" w:rsidRPr="00D92C04">
        <w:t>the</w:t>
      </w:r>
      <w:r w:rsidRPr="00D92C04">
        <w:t xml:space="preserve"> approval letter. The subsequent reports must be submitted no less frequently than annually from the date of the first submitted report until the period covered by such reports is not less than three years from the date of </w:t>
      </w:r>
      <w:r w:rsidR="006425BA" w:rsidRPr="00D92C04">
        <w:t>the</w:t>
      </w:r>
      <w:r w:rsidRPr="00D92C04">
        <w:t xml:space="preserve"> approval letter. The annual submission may be made up of two PSURs each covering six months. If the sponsor wishes, the </w:t>
      </w:r>
      <w:proofErr w:type="gramStart"/>
      <w:r w:rsidRPr="00D92C04">
        <w:t>six monthly</w:t>
      </w:r>
      <w:proofErr w:type="gramEnd"/>
      <w:r w:rsidRPr="00D92C04">
        <w:t xml:space="preserve"> reports may be submitted separately as they become available.</w:t>
      </w:r>
    </w:p>
    <w:p w14:paraId="70888C57" w14:textId="13BB05D9" w:rsidR="00B06367" w:rsidRPr="00D92C04" w:rsidRDefault="00B06367" w:rsidP="00B06367">
      <w:pPr>
        <w:pStyle w:val="ListBullet"/>
        <w:numPr>
          <w:ilvl w:val="0"/>
          <w:numId w:val="0"/>
        </w:numPr>
        <w:ind w:left="360"/>
      </w:pPr>
      <w:r w:rsidRPr="00D92C04">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6425BA" w:rsidRPr="00D92C04">
        <w:t>the</w:t>
      </w:r>
      <w:r w:rsidRPr="00D92C04">
        <w:t xml:space="preserve"> approval letter.</w:t>
      </w:r>
    </w:p>
    <w:p w14:paraId="11BEBF32" w14:textId="5A2E7A7E" w:rsidR="00B06367" w:rsidRPr="00D92C04" w:rsidRDefault="00B06367" w:rsidP="00B06367">
      <w:pPr>
        <w:pStyle w:val="ListBullet"/>
        <w:numPr>
          <w:ilvl w:val="0"/>
          <w:numId w:val="0"/>
        </w:numPr>
        <w:ind w:left="360"/>
      </w:pPr>
      <w:r w:rsidRPr="00D92C04">
        <w:t xml:space="preserve">The reports are to at least meet the requirements for PSURs as described in the European Medicines Agency’s Guideline on </w:t>
      </w:r>
      <w:r w:rsidR="006425BA" w:rsidRPr="00D92C04">
        <w:t xml:space="preserve">Good Pharmacovigilance Practices </w:t>
      </w:r>
      <w:r w:rsidRPr="00D92C04">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F69DF1" w14:textId="52197965" w:rsidR="00B06367" w:rsidRPr="00D92C04" w:rsidRDefault="00B06367" w:rsidP="00B06367">
      <w:pPr>
        <w:pStyle w:val="ListBullet"/>
      </w:pPr>
      <w:r w:rsidRPr="00D92C04">
        <w:t xml:space="preserve">Provide the final study report of </w:t>
      </w:r>
      <w:r w:rsidR="006425BA" w:rsidRPr="00D92C04">
        <w:t xml:space="preserve">Study </w:t>
      </w:r>
      <w:r w:rsidRPr="00D92C04">
        <w:t>BGB-3111-206 for evaluation.</w:t>
      </w:r>
    </w:p>
    <w:p w14:paraId="32A43B4E" w14:textId="73E7E352" w:rsidR="008E7846" w:rsidRPr="00D92C04" w:rsidRDefault="00A80B5B" w:rsidP="00D23139">
      <w:pPr>
        <w:pStyle w:val="Heading2"/>
      </w:pPr>
      <w:bookmarkStart w:id="80" w:name="_Toc111138575"/>
      <w:r w:rsidRPr="00D92C04">
        <w:t xml:space="preserve">Attachment 1. </w:t>
      </w:r>
      <w:r w:rsidR="008E7846" w:rsidRPr="00D92C04">
        <w:t xml:space="preserve">Product </w:t>
      </w:r>
      <w:r w:rsidR="00AA0ED0" w:rsidRPr="00D92C04">
        <w:t>I</w:t>
      </w:r>
      <w:r w:rsidR="008E7846" w:rsidRPr="00D92C04">
        <w:t>nformation</w:t>
      </w:r>
      <w:bookmarkEnd w:id="78"/>
      <w:bookmarkEnd w:id="79"/>
      <w:bookmarkEnd w:id="80"/>
    </w:p>
    <w:p w14:paraId="6183FDAB" w14:textId="001DC604" w:rsidR="00C80137" w:rsidRPr="00D92C04" w:rsidRDefault="006136D7" w:rsidP="00C80137">
      <w:pPr>
        <w:rPr>
          <w:color w:val="000000"/>
          <w:lang w:eastAsia="en-AU"/>
        </w:rPr>
      </w:pPr>
      <w:r w:rsidRPr="00D92C04">
        <w:t xml:space="preserve">The PI for </w:t>
      </w:r>
      <w:r w:rsidR="002478B9" w:rsidRPr="00D92C04">
        <w:t xml:space="preserve">Brukinsa </w:t>
      </w:r>
      <w:r w:rsidRPr="00D92C04">
        <w:t xml:space="preserve">approved with the submission which is described in this AusPAR is at Attachment 1. For the most recent PI, please refer to the TGA website at </w:t>
      </w:r>
      <w:r w:rsidR="007C6B9B" w:rsidRPr="00D92C04">
        <w:t>&lt;</w:t>
      </w:r>
      <w:hyperlink r:id="rId19" w:history="1">
        <w:r w:rsidR="007C6B9B" w:rsidRPr="00D92C04">
          <w:rPr>
            <w:rStyle w:val="Hyperlink"/>
          </w:rPr>
          <w:t>https://www.tga.gov.au/product-information-pi</w:t>
        </w:r>
      </w:hyperlink>
      <w:r w:rsidR="007C6B9B" w:rsidRPr="00D92C04">
        <w:t>&gt;.</w:t>
      </w:r>
    </w:p>
    <w:p w14:paraId="396F9520" w14:textId="4C4508C4" w:rsidR="00744121" w:rsidRPr="00D92C04" w:rsidRDefault="008E7846" w:rsidP="00882CE7">
      <w:pPr>
        <w:autoSpaceDE w:val="0"/>
        <w:autoSpaceDN w:val="0"/>
        <w:adjustRightInd w:val="0"/>
        <w:spacing w:after="0"/>
        <w:rPr>
          <w:b/>
        </w:rPr>
      </w:pPr>
      <w:r w:rsidRPr="00D92C04">
        <w:rPr>
          <w:b/>
        </w:rPr>
        <w:br w:type="page"/>
      </w:r>
    </w:p>
    <w:p w14:paraId="08B8AF77" w14:textId="77777777" w:rsidR="00C80137" w:rsidRPr="00D92C04" w:rsidRDefault="00C80137" w:rsidP="003A7F6C">
      <w:pPr>
        <w:pStyle w:val="TableTitle"/>
        <w:sectPr w:rsidR="00C80137" w:rsidRPr="00D92C04" w:rsidSect="00B452CE">
          <w:headerReference w:type="even" r:id="rId20"/>
          <w:headerReference w:type="default" r:id="rId21"/>
          <w:headerReference w:type="first" r:id="rId22"/>
          <w:footerReference w:type="first" r:id="rId2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D92C04" w14:paraId="40C63EE0" w14:textId="77777777" w:rsidTr="00A05FA4">
        <w:trPr>
          <w:trHeight w:hRule="exact" w:val="704"/>
        </w:trPr>
        <w:tc>
          <w:tcPr>
            <w:tcW w:w="9175" w:type="dxa"/>
          </w:tcPr>
          <w:p w14:paraId="30301C9B" w14:textId="77777777" w:rsidR="001C32CD" w:rsidRPr="00D92C04" w:rsidRDefault="001C32CD" w:rsidP="00A05FA4">
            <w:pPr>
              <w:pStyle w:val="TGASignoff"/>
            </w:pPr>
            <w:r w:rsidRPr="00D92C04">
              <w:lastRenderedPageBreak/>
              <w:t>Therapeutic Goods Administration</w:t>
            </w:r>
          </w:p>
        </w:tc>
      </w:tr>
      <w:tr w:rsidR="001C32CD" w:rsidRPr="004C239D" w14:paraId="7D0FAA72" w14:textId="77777777" w:rsidTr="00A05FA4">
        <w:trPr>
          <w:trHeight w:val="1221"/>
        </w:trPr>
        <w:tc>
          <w:tcPr>
            <w:tcW w:w="9175" w:type="dxa"/>
            <w:tcMar>
              <w:top w:w="28" w:type="dxa"/>
            </w:tcMar>
          </w:tcPr>
          <w:p w14:paraId="1066E5AE" w14:textId="77777777" w:rsidR="001C32CD" w:rsidRPr="00D92C04" w:rsidRDefault="001C32CD" w:rsidP="00A05FA4">
            <w:pPr>
              <w:pStyle w:val="Address"/>
            </w:pPr>
            <w:r w:rsidRPr="00D92C04">
              <w:t>PO Box 100 Woden ACT 2606 Australia</w:t>
            </w:r>
          </w:p>
          <w:p w14:paraId="5685F091" w14:textId="114241C0" w:rsidR="001C32CD" w:rsidRPr="00D92C04" w:rsidRDefault="001C32CD" w:rsidP="00A05FA4">
            <w:pPr>
              <w:pStyle w:val="Address"/>
            </w:pPr>
            <w:r w:rsidRPr="00D92C04">
              <w:t xml:space="preserve">Email: </w:t>
            </w:r>
            <w:hyperlink r:id="rId24" w:history="1">
              <w:r w:rsidRPr="00D92C04">
                <w:rPr>
                  <w:rStyle w:val="Hyperlink"/>
                </w:rPr>
                <w:t>info@tga.gov.au</w:t>
              </w:r>
            </w:hyperlink>
            <w:r w:rsidRPr="00D92C04">
              <w:t xml:space="preserve">  Phone: 1800 020 </w:t>
            </w:r>
            <w:proofErr w:type="gramStart"/>
            <w:r w:rsidRPr="00D92C04">
              <w:t>653  Fax</w:t>
            </w:r>
            <w:proofErr w:type="gramEnd"/>
            <w:r w:rsidRPr="00D92C04">
              <w:t>: 02 6232 8605</w:t>
            </w:r>
          </w:p>
          <w:p w14:paraId="6B6AD8E5" w14:textId="35E1225E" w:rsidR="001C32CD" w:rsidRPr="004C239D" w:rsidRDefault="00492C1D" w:rsidP="00A05FA4">
            <w:pPr>
              <w:pStyle w:val="Address"/>
              <w:spacing w:line="260" w:lineRule="atLeast"/>
              <w:rPr>
                <w:b/>
                <w:color w:val="0000FF"/>
                <w:u w:val="single"/>
              </w:rPr>
            </w:pPr>
            <w:hyperlink r:id="rId25" w:history="1">
              <w:r w:rsidR="007C6B9B" w:rsidRPr="00D92C04">
                <w:rPr>
                  <w:rStyle w:val="Hyperlink"/>
                  <w:b/>
                </w:rPr>
                <w:t>https://www.tga.gov.au</w:t>
              </w:r>
            </w:hyperlink>
          </w:p>
        </w:tc>
      </w:tr>
    </w:tbl>
    <w:p w14:paraId="5D0ACEEC" w14:textId="77777777"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E98CC" w14:textId="77777777" w:rsidR="00244FB9" w:rsidRDefault="00244FB9" w:rsidP="00C40A36">
      <w:pPr>
        <w:spacing w:after="0"/>
      </w:pPr>
      <w:r>
        <w:separator/>
      </w:r>
    </w:p>
  </w:endnote>
  <w:endnote w:type="continuationSeparator" w:id="0">
    <w:p w14:paraId="5DDC32B0" w14:textId="77777777" w:rsidR="00244FB9" w:rsidRDefault="00244FB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44FB9" w:rsidRPr="00487162" w14:paraId="0527811C" w14:textId="77777777" w:rsidTr="00DB750B">
      <w:trPr>
        <w:trHeight w:val="269"/>
      </w:trPr>
      <w:tc>
        <w:tcPr>
          <w:tcW w:w="7371" w:type="dxa"/>
          <w:tcMar>
            <w:top w:w="142" w:type="dxa"/>
            <w:bottom w:w="0" w:type="dxa"/>
          </w:tcMar>
        </w:tcPr>
        <w:p w14:paraId="41674347" w14:textId="159944A4" w:rsidR="00244FB9" w:rsidRPr="00487162" w:rsidRDefault="00244FB9" w:rsidP="00460036">
          <w:pPr>
            <w:pStyle w:val="Footer"/>
          </w:pPr>
          <w:r w:rsidRPr="00487162">
            <w:t>AusPA</w:t>
          </w:r>
          <w:r>
            <w:t xml:space="preserve">R - </w:t>
          </w:r>
          <w:proofErr w:type="spellStart"/>
          <w:r w:rsidRPr="002478B9">
            <w:t>Brukinsa</w:t>
          </w:r>
          <w:proofErr w:type="spellEnd"/>
          <w:r w:rsidRPr="002478B9">
            <w:t xml:space="preserve"> </w:t>
          </w:r>
          <w:r>
            <w:t>-</w:t>
          </w:r>
          <w:r w:rsidRPr="00460036">
            <w:t xml:space="preserve"> </w:t>
          </w:r>
          <w:proofErr w:type="spellStart"/>
          <w:r w:rsidRPr="002478B9">
            <w:t>zanubrutinib</w:t>
          </w:r>
          <w:proofErr w:type="spellEnd"/>
          <w:r w:rsidRPr="002478B9">
            <w:t xml:space="preserve"> </w:t>
          </w:r>
          <w:r>
            <w:t xml:space="preserve">- </w:t>
          </w:r>
          <w:proofErr w:type="spellStart"/>
          <w:r w:rsidRPr="00245732">
            <w:t>BeiGene</w:t>
          </w:r>
          <w:proofErr w:type="spellEnd"/>
          <w:r w:rsidRPr="00245732">
            <w:t xml:space="preserve"> AUS Pty Ltd </w:t>
          </w:r>
          <w:r>
            <w:t xml:space="preserve">- </w:t>
          </w:r>
          <w:r w:rsidRPr="00245732">
            <w:t>PM-2020-02814-1-6</w:t>
          </w:r>
          <w:r>
            <w:br/>
            <w:t>Final 11 August 2022</w:t>
          </w:r>
        </w:p>
      </w:tc>
      <w:tc>
        <w:tcPr>
          <w:tcW w:w="1490" w:type="dxa"/>
          <w:tcMar>
            <w:top w:w="142" w:type="dxa"/>
            <w:bottom w:w="0" w:type="dxa"/>
          </w:tcMar>
        </w:tcPr>
        <w:p w14:paraId="318CE485" w14:textId="673D6C77" w:rsidR="00244FB9" w:rsidRPr="00487162" w:rsidRDefault="00244FB9" w:rsidP="00DB750B">
          <w:pPr>
            <w:pStyle w:val="Footer"/>
            <w:jc w:val="right"/>
          </w:pPr>
          <w:r w:rsidRPr="00487162">
            <w:t xml:space="preserve">Page </w:t>
          </w:r>
          <w:r>
            <w:fldChar w:fldCharType="begin"/>
          </w:r>
          <w:r>
            <w:instrText xml:space="preserve"> PAGE  \* Arabic </w:instrText>
          </w:r>
          <w:r>
            <w:fldChar w:fldCharType="separate"/>
          </w:r>
          <w:r>
            <w:rPr>
              <w:noProof/>
            </w:rPr>
            <w:t>13</w:t>
          </w:r>
          <w:r>
            <w:fldChar w:fldCharType="end"/>
          </w:r>
          <w:r w:rsidRPr="00487162">
            <w:t xml:space="preserve"> of </w:t>
          </w:r>
          <w:fldSimple w:instr=" NUMPAGES  \* Arabic ">
            <w:r>
              <w:rPr>
                <w:noProof/>
              </w:rPr>
              <w:t>37</w:t>
            </w:r>
          </w:fldSimple>
        </w:p>
      </w:tc>
    </w:tr>
  </w:tbl>
  <w:p w14:paraId="5790CAE3" w14:textId="77777777" w:rsidR="00244FB9" w:rsidRDefault="00244FB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4FB9" w:rsidRPr="00487162" w14:paraId="2E93C138" w14:textId="77777777" w:rsidTr="00E45619">
      <w:trPr>
        <w:trHeight w:val="269"/>
      </w:trPr>
      <w:tc>
        <w:tcPr>
          <w:tcW w:w="4519" w:type="dxa"/>
          <w:tcBorders>
            <w:top w:val="single" w:sz="4" w:space="0" w:color="auto"/>
          </w:tcBorders>
          <w:tcMar>
            <w:top w:w="142" w:type="dxa"/>
            <w:bottom w:w="0" w:type="dxa"/>
          </w:tcMar>
        </w:tcPr>
        <w:p w14:paraId="520CAA18" w14:textId="77777777" w:rsidR="00244FB9" w:rsidRPr="00487162" w:rsidRDefault="00244FB9" w:rsidP="00FE1DEE">
          <w:pPr>
            <w:pStyle w:val="Footer"/>
          </w:pPr>
          <w:r w:rsidRPr="00487162">
            <w:t>Document title, Part #, Section # - Section title</w:t>
          </w:r>
        </w:p>
        <w:p w14:paraId="4AE63C0D" w14:textId="77777777" w:rsidR="00244FB9" w:rsidRPr="00487162" w:rsidRDefault="00244FB9" w:rsidP="00FE1DEE">
          <w:pPr>
            <w:pStyle w:val="Footer"/>
          </w:pPr>
          <w:r w:rsidRPr="00487162">
            <w:t>V1.0 October 2010</w:t>
          </w:r>
        </w:p>
      </w:tc>
      <w:tc>
        <w:tcPr>
          <w:tcW w:w="4342" w:type="dxa"/>
          <w:tcBorders>
            <w:top w:val="single" w:sz="4" w:space="0" w:color="auto"/>
          </w:tcBorders>
          <w:tcMar>
            <w:top w:w="142" w:type="dxa"/>
            <w:bottom w:w="0" w:type="dxa"/>
          </w:tcMar>
        </w:tcPr>
        <w:p w14:paraId="7D9A96AF" w14:textId="77777777" w:rsidR="00244FB9" w:rsidRPr="00487162" w:rsidRDefault="00244FB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75684EBE" w14:textId="77777777" w:rsidR="00244FB9" w:rsidRDefault="00244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85268" w14:textId="77777777" w:rsidR="00244FB9" w:rsidRPr="001C32CD" w:rsidRDefault="00244FB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4FB9" w14:paraId="59ED6D3E" w14:textId="77777777" w:rsidTr="0010601F">
      <w:trPr>
        <w:trHeight w:val="108"/>
      </w:trPr>
      <w:tc>
        <w:tcPr>
          <w:tcW w:w="8875" w:type="dxa"/>
          <w:gridSpan w:val="2"/>
          <w:tcBorders>
            <w:bottom w:val="single" w:sz="4" w:space="0" w:color="auto"/>
          </w:tcBorders>
          <w:tcMar>
            <w:right w:w="284" w:type="dxa"/>
          </w:tcMar>
        </w:tcPr>
        <w:p w14:paraId="2C567B63" w14:textId="77777777" w:rsidR="00244FB9" w:rsidRDefault="00244FB9" w:rsidP="006E08B3">
          <w:pPr>
            <w:pStyle w:val="Heading3"/>
          </w:pPr>
          <w:r>
            <w:t>Copyright</w:t>
          </w:r>
        </w:p>
        <w:p w14:paraId="0CC85EE2" w14:textId="77777777" w:rsidR="00244FB9" w:rsidRDefault="00244FB9" w:rsidP="006E08B3">
          <w:r>
            <w:rPr>
              <w:rFonts w:cs="Arial"/>
            </w:rPr>
            <w:t>©</w:t>
          </w:r>
          <w:r>
            <w:t xml:space="preserve"> Commonwealth of Australia [add year]</w:t>
          </w:r>
        </w:p>
        <w:p w14:paraId="7DECB660" w14:textId="77777777" w:rsidR="00244FB9" w:rsidRDefault="00244FB9" w:rsidP="006E08B3"/>
        <w:p w14:paraId="7D1D7C81" w14:textId="77777777" w:rsidR="00244FB9" w:rsidRDefault="00244FB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F3E55F9" w14:textId="77777777" w:rsidR="00244FB9" w:rsidRDefault="00244FB9" w:rsidP="006E08B3"/>
        <w:p w14:paraId="45752E10" w14:textId="77777777" w:rsidR="00244FB9" w:rsidRDefault="00244FB9" w:rsidP="006E08B3">
          <w:pPr>
            <w:pStyle w:val="Heading3"/>
          </w:pPr>
          <w:r>
            <w:t>Confidentiality</w:t>
          </w:r>
        </w:p>
        <w:p w14:paraId="3B74F859" w14:textId="77777777" w:rsidR="00244FB9" w:rsidRDefault="00244FB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16854B0" w14:textId="77777777" w:rsidR="00244FB9" w:rsidRDefault="00244FB9" w:rsidP="006E08B3"/>
        <w:p w14:paraId="6A859C0E" w14:textId="77777777" w:rsidR="00244FB9" w:rsidRDefault="00244FB9" w:rsidP="006E08B3">
          <w:r>
            <w:t>For submission made by individuals, all personal details, other than your name, will be removed from your submission before it is published on the TGA’s Internet site.</w:t>
          </w:r>
        </w:p>
        <w:p w14:paraId="22C0C72A" w14:textId="77777777" w:rsidR="00244FB9" w:rsidRDefault="00244FB9" w:rsidP="006E08B3"/>
        <w:p w14:paraId="58A55652" w14:textId="77777777" w:rsidR="00244FB9" w:rsidRDefault="00244FB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44FB9" w14:paraId="2D6B3069" w14:textId="77777777" w:rsidTr="0010601F">
      <w:trPr>
        <w:trHeight w:val="417"/>
      </w:trPr>
      <w:tc>
        <w:tcPr>
          <w:tcW w:w="4519" w:type="dxa"/>
          <w:tcBorders>
            <w:top w:val="single" w:sz="4" w:space="0" w:color="auto"/>
          </w:tcBorders>
          <w:tcMar>
            <w:top w:w="142" w:type="dxa"/>
            <w:bottom w:w="0" w:type="dxa"/>
          </w:tcMar>
        </w:tcPr>
        <w:p w14:paraId="0484BB1E" w14:textId="77777777" w:rsidR="00244FB9" w:rsidRDefault="00244FB9" w:rsidP="006E08B3">
          <w:r>
            <w:t>Document title, Part #, Section # - Section title</w:t>
          </w:r>
        </w:p>
        <w:p w14:paraId="730B2E55" w14:textId="77777777" w:rsidR="00244FB9" w:rsidRDefault="00244FB9" w:rsidP="006E08B3">
          <w:r>
            <w:t>V1.0 October 2010</w:t>
          </w:r>
        </w:p>
      </w:tc>
      <w:tc>
        <w:tcPr>
          <w:tcW w:w="4356" w:type="dxa"/>
          <w:tcBorders>
            <w:top w:val="single" w:sz="4" w:space="0" w:color="auto"/>
          </w:tcBorders>
          <w:tcMar>
            <w:top w:w="142" w:type="dxa"/>
            <w:bottom w:w="0" w:type="dxa"/>
          </w:tcMar>
        </w:tcPr>
        <w:p w14:paraId="0EFD7B2D" w14:textId="77777777" w:rsidR="00244FB9" w:rsidRDefault="00244FB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42CF56E" w14:textId="77777777" w:rsidR="00244FB9" w:rsidRDefault="00244F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12927" w14:textId="77777777" w:rsidR="00244FB9" w:rsidRDefault="00244FB9" w:rsidP="00C40A36">
      <w:pPr>
        <w:spacing w:after="0"/>
      </w:pPr>
      <w:r>
        <w:separator/>
      </w:r>
    </w:p>
  </w:footnote>
  <w:footnote w:type="continuationSeparator" w:id="0">
    <w:p w14:paraId="2EC2F40F" w14:textId="77777777" w:rsidR="00244FB9" w:rsidRDefault="00244FB9" w:rsidP="00C40A36">
      <w:pPr>
        <w:spacing w:after="0"/>
      </w:pPr>
      <w:r>
        <w:continuationSeparator/>
      </w:r>
    </w:p>
  </w:footnote>
  <w:footnote w:id="1">
    <w:p w14:paraId="586FCD20" w14:textId="77777777" w:rsidR="00244FB9" w:rsidRDefault="00244FB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49B21BD" w14:textId="3F60ECF4" w:rsidR="00244FB9" w:rsidRDefault="00244FB9" w:rsidP="00955D78">
      <w:pPr>
        <w:pStyle w:val="FootnoteText"/>
      </w:pPr>
      <w:r>
        <w:rPr>
          <w:rStyle w:val="FootnoteReference"/>
        </w:rPr>
        <w:footnoteRef/>
      </w:r>
      <w:r>
        <w:t xml:space="preserve"> European Medicines Agency (EMA), Public Summary of Opinion on Orphan Designation</w:t>
      </w:r>
    </w:p>
    <w:p w14:paraId="77819281" w14:textId="71163275" w:rsidR="00244FB9" w:rsidRPr="001B42B9" w:rsidRDefault="00244FB9" w:rsidP="00955D78">
      <w:pPr>
        <w:pStyle w:val="FootnoteText"/>
        <w:rPr>
          <w:lang w:val="en-GB"/>
        </w:rPr>
      </w:pPr>
      <w:r>
        <w:t xml:space="preserve">Zanubrutinib for the Treatment of </w:t>
      </w:r>
      <w:proofErr w:type="spellStart"/>
      <w:r>
        <w:t>Lymphoplasmatic</w:t>
      </w:r>
      <w:proofErr w:type="spellEnd"/>
      <w:r>
        <w:t xml:space="preserve"> Lymphoma, EMADOC-628903358-942, 2 August 2019 Available at: </w:t>
      </w:r>
      <w:hyperlink r:id="rId1" w:history="1">
        <w:r w:rsidRPr="00011676">
          <w:rPr>
            <w:rStyle w:val="Hyperlink"/>
          </w:rPr>
          <w:t>https://www.ema.europa.eu/en/documents/orphan-designation/eu/3/19/2167-public-summary-opinion-orphan-designation-zanubrutinib-treatment-lymphoplasmatic-lymphoma_en.pdf</w:t>
        </w:r>
      </w:hyperlink>
      <w:r>
        <w:t>.</w:t>
      </w:r>
    </w:p>
  </w:footnote>
  <w:footnote w:id="3">
    <w:p w14:paraId="53895E9E" w14:textId="32B47167" w:rsidR="00244FB9" w:rsidRPr="001B42B9" w:rsidRDefault="00244FB9">
      <w:pPr>
        <w:pStyle w:val="FootnoteText"/>
        <w:rPr>
          <w:lang w:val="en-GB"/>
        </w:rPr>
      </w:pPr>
      <w:r>
        <w:rPr>
          <w:rStyle w:val="FootnoteReference"/>
        </w:rPr>
        <w:footnoteRef/>
      </w:r>
      <w:r>
        <w:t xml:space="preserve"> </w:t>
      </w:r>
      <w:proofErr w:type="gramStart"/>
      <w:r w:rsidRPr="00955D78">
        <w:t>Australian Institute of Health and Welfare (AIHW) Cancer Data in Australia</w:t>
      </w:r>
      <w:r>
        <w:t>,</w:t>
      </w:r>
      <w:proofErr w:type="gramEnd"/>
      <w:r w:rsidRPr="001B42B9">
        <w:t xml:space="preserve"> </w:t>
      </w:r>
      <w:r>
        <w:t>l</w:t>
      </w:r>
      <w:r w:rsidRPr="001B42B9">
        <w:t>ast updated</w:t>
      </w:r>
      <w:r>
        <w:t xml:space="preserve"> </w:t>
      </w:r>
      <w:r w:rsidRPr="001B42B9">
        <w:t>1 Jul</w:t>
      </w:r>
      <w:r>
        <w:t>y</w:t>
      </w:r>
      <w:r w:rsidRPr="001B42B9">
        <w:t xml:space="preserve"> 2022</w:t>
      </w:r>
      <w:r>
        <w:t xml:space="preserve">. Available at: </w:t>
      </w:r>
      <w:hyperlink r:id="rId2" w:history="1">
        <w:r w:rsidRPr="00011676">
          <w:rPr>
            <w:rStyle w:val="Hyperlink"/>
          </w:rPr>
          <w:t>https://www.aihw.gov.au/reports/cancer/cancer-data-in-australia</w:t>
        </w:r>
      </w:hyperlink>
      <w:r>
        <w:t>.</w:t>
      </w:r>
    </w:p>
  </w:footnote>
  <w:footnote w:id="4">
    <w:p w14:paraId="407EA757" w14:textId="00F6D43E" w:rsidR="00244FB9" w:rsidRDefault="00244FB9">
      <w:pPr>
        <w:pStyle w:val="FootnoteText"/>
      </w:pPr>
      <w:r>
        <w:rPr>
          <w:rStyle w:val="FootnoteReference"/>
        </w:rPr>
        <w:footnoteRef/>
      </w:r>
      <w:r>
        <w:t xml:space="preserve"> </w:t>
      </w:r>
      <w:r w:rsidRPr="00F039E5">
        <w:t xml:space="preserve">Imbruvica was first registered on the ARTG on </w:t>
      </w:r>
      <w:r w:rsidRPr="008F2780">
        <w:t>20</w:t>
      </w:r>
      <w:r>
        <w:t xml:space="preserve"> April </w:t>
      </w:r>
      <w:r w:rsidRPr="008F2780">
        <w:t>2015</w:t>
      </w:r>
      <w:r w:rsidRPr="00F039E5">
        <w:t xml:space="preserve"> (ARTG number: </w:t>
      </w:r>
      <w:r w:rsidRPr="008F2780">
        <w:t>228499</w:t>
      </w:r>
      <w:r w:rsidRPr="00F039E5">
        <w:t>).</w:t>
      </w:r>
    </w:p>
  </w:footnote>
  <w:footnote w:id="5">
    <w:p w14:paraId="39AAB5DC" w14:textId="272B2009" w:rsidR="00244FB9" w:rsidRPr="001B42B9" w:rsidRDefault="00244FB9">
      <w:pPr>
        <w:pStyle w:val="FootnoteText"/>
        <w:rPr>
          <w:lang w:val="en-GB"/>
        </w:rPr>
      </w:pPr>
      <w:r>
        <w:rPr>
          <w:rStyle w:val="FootnoteReference"/>
        </w:rPr>
        <w:footnoteRef/>
      </w:r>
      <w:r>
        <w:t xml:space="preserve"> </w:t>
      </w:r>
      <w:proofErr w:type="gramStart"/>
      <w:r w:rsidRPr="00C65E89">
        <w:t>AusPAR for Imbruvica (</w:t>
      </w:r>
      <w:proofErr w:type="spellStart"/>
      <w:r w:rsidRPr="00C65E89">
        <w:t>ibrunitib</w:t>
      </w:r>
      <w:proofErr w:type="spellEnd"/>
      <w:r w:rsidRPr="00C65E89">
        <w:t xml:space="preserve">) </w:t>
      </w:r>
      <w:r>
        <w:t>n</w:t>
      </w:r>
      <w:r w:rsidRPr="002E3930">
        <w:t>ew chemical entity</w:t>
      </w:r>
      <w:r>
        <w:t>,</w:t>
      </w:r>
      <w:proofErr w:type="gramEnd"/>
      <w:r>
        <w:t xml:space="preserve"> published on </w:t>
      </w:r>
      <w:r w:rsidRPr="002E3930">
        <w:t>5 April 2016</w:t>
      </w:r>
      <w:r>
        <w:t xml:space="preserve">. </w:t>
      </w:r>
      <w:r w:rsidRPr="00C65E89">
        <w:t xml:space="preserve">Available at: </w:t>
      </w:r>
      <w:hyperlink r:id="rId3" w:history="1">
        <w:r w:rsidRPr="002F621E">
          <w:rPr>
            <w:rStyle w:val="Hyperlink"/>
          </w:rPr>
          <w:t>https://www.tga.gov.au/auspar/auspar-ibrutinib</w:t>
        </w:r>
      </w:hyperlink>
      <w:r>
        <w:rPr>
          <w:rStyle w:val="Hyperlink"/>
        </w:rPr>
        <w:t>.</w:t>
      </w:r>
    </w:p>
  </w:footnote>
  <w:footnote w:id="6">
    <w:p w14:paraId="6BF75FC7" w14:textId="46721379" w:rsidR="00244FB9" w:rsidRPr="000739A9" w:rsidRDefault="00244FB9" w:rsidP="00F27F62">
      <w:pPr>
        <w:pStyle w:val="FootnoteText"/>
        <w:rPr>
          <w:lang w:val="en-GB"/>
        </w:rPr>
      </w:pPr>
      <w:r>
        <w:rPr>
          <w:rStyle w:val="FootnoteReference"/>
        </w:rPr>
        <w:footnoteRef/>
      </w:r>
      <w:r>
        <w:t xml:space="preserve"> </w:t>
      </w:r>
      <w:r w:rsidRPr="001B42B9">
        <w:t xml:space="preserve">AusPAR for Brukinsa (zanubrutinib) new chemical entity, Submission </w:t>
      </w:r>
      <w:r w:rsidRPr="005918DD">
        <w:t>PM-2020-03076-1-6</w:t>
      </w:r>
      <w:r w:rsidRPr="001B42B9">
        <w:t xml:space="preserve">, published on </w:t>
      </w:r>
      <w:r w:rsidR="008F14D5">
        <w:t>17August 2022</w:t>
      </w:r>
      <w:r w:rsidRPr="001B42B9">
        <w:t xml:space="preserve"> Available at: </w:t>
      </w:r>
      <w:hyperlink r:id="rId4" w:history="1">
        <w:r w:rsidR="00492C1D">
          <w:rPr>
            <w:rStyle w:val="Hyperlink"/>
          </w:rPr>
          <w:t>https://tga.govcms.gov.au/resources/auspar/auspar-brukinsa</w:t>
        </w:r>
      </w:hyperlink>
      <w:r w:rsidR="00944315">
        <w:t>.</w:t>
      </w:r>
    </w:p>
  </w:footnote>
  <w:footnote w:id="7">
    <w:p w14:paraId="2285F6A4" w14:textId="2657FD2A" w:rsidR="00244FB9" w:rsidRDefault="00244FB9">
      <w:pPr>
        <w:pStyle w:val="FootnoteText"/>
      </w:pPr>
      <w:r>
        <w:rPr>
          <w:rStyle w:val="FootnoteReference"/>
        </w:rPr>
        <w:footnoteRef/>
      </w:r>
      <w:r>
        <w:t xml:space="preserve"> </w:t>
      </w:r>
      <w:r w:rsidRPr="000A1C0B">
        <w:t xml:space="preserve">The </w:t>
      </w:r>
      <w:r w:rsidRPr="000A1C0B">
        <w:rPr>
          <w:b/>
          <w:bCs/>
        </w:rPr>
        <w:t>Biopharmaceutics Classification System (BCS)</w:t>
      </w:r>
      <w:r w:rsidRPr="000A1C0B">
        <w:t xml:space="preserve"> is a guidance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8">
    <w:p w14:paraId="115D5B54" w14:textId="77777777" w:rsidR="00244FB9" w:rsidRDefault="00244FB9" w:rsidP="00C81E51">
      <w:pPr>
        <w:pStyle w:val="FootnoteText"/>
      </w:pPr>
      <w:r>
        <w:rPr>
          <w:rStyle w:val="FootnoteReference"/>
        </w:rPr>
        <w:footnoteRef/>
      </w:r>
      <w:r>
        <w:t xml:space="preserve"> Submission for the following approved (as of 8 October 2021) indication:</w:t>
      </w:r>
    </w:p>
    <w:p w14:paraId="5E454FEA" w14:textId="77777777" w:rsidR="00244FB9" w:rsidRDefault="00244FB9" w:rsidP="00C81E51">
      <w:pPr>
        <w:pStyle w:val="FootnoteText"/>
        <w:rPr>
          <w:i/>
        </w:rPr>
      </w:pPr>
      <w:r w:rsidRPr="001B42B9">
        <w:rPr>
          <w:i/>
        </w:rPr>
        <w:t>Mantle cell lymphoma (MCL)</w:t>
      </w:r>
    </w:p>
    <w:p w14:paraId="57263ABA" w14:textId="2417ABA3" w:rsidR="00244FB9" w:rsidRPr="001B42B9" w:rsidRDefault="00244FB9" w:rsidP="00C81E51">
      <w:pPr>
        <w:pStyle w:val="FootnoteText"/>
        <w:rPr>
          <w:i/>
        </w:rPr>
      </w:pPr>
      <w:r w:rsidRPr="001B42B9">
        <w:rPr>
          <w:i/>
        </w:rPr>
        <w:t>Brukinsa is indicated for the treatment of adult patients with mantle cell lymphoma (MCL) who have recei</w:t>
      </w:r>
      <w:r>
        <w:rPr>
          <w:i/>
        </w:rPr>
        <w:t xml:space="preserve">ved at least one prior therapy. </w:t>
      </w:r>
      <w:r w:rsidRPr="001B42B9">
        <w:rPr>
          <w:i/>
        </w:rPr>
        <w:t>This indication was approved via the provisional approval pathway, based on objective response rate. Continued approval for this indication depends on verification and description of clinical benefit in the confirmatory trials.</w:t>
      </w:r>
    </w:p>
  </w:footnote>
  <w:footnote w:id="9">
    <w:p w14:paraId="074CDDD4" w14:textId="43B9C2AB" w:rsidR="00244FB9" w:rsidRDefault="00244FB9">
      <w:pPr>
        <w:pStyle w:val="FootnoteText"/>
      </w:pPr>
      <w:r>
        <w:rPr>
          <w:rStyle w:val="FootnoteReference"/>
        </w:rPr>
        <w:footnoteRef/>
      </w:r>
      <w:r>
        <w:t xml:space="preserve"> </w:t>
      </w:r>
      <w:r w:rsidRPr="009F0824">
        <w:rPr>
          <w:b/>
          <w:bCs/>
        </w:rPr>
        <w:t>Good Laboratory Practice</w:t>
      </w:r>
      <w:r w:rsidRPr="009F0824">
        <w:t xml:space="preserve"> is a code of standards following the International Council on Harmonisation (ICH) relevant to testing of medicines in laboratories during drug development.</w:t>
      </w:r>
    </w:p>
  </w:footnote>
  <w:footnote w:id="10">
    <w:p w14:paraId="262D496B" w14:textId="77777777" w:rsidR="00244FB9" w:rsidRDefault="00244FB9" w:rsidP="00B03F50">
      <w:pPr>
        <w:pStyle w:val="FootnoteText"/>
      </w:pPr>
      <w:r>
        <w:rPr>
          <w:rStyle w:val="FootnoteReference"/>
        </w:rPr>
        <w:footnoteRef/>
      </w:r>
      <w:r>
        <w:t xml:space="preserve"> </w:t>
      </w:r>
      <w:r w:rsidRPr="000A1C0B">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326656C7" w14:textId="77777777" w:rsidR="00244FB9" w:rsidRDefault="00244FB9" w:rsidP="00B03F50">
      <w:pPr>
        <w:pStyle w:val="FootnoteText"/>
      </w:pPr>
    </w:p>
    <w:p w14:paraId="1B1BE005" w14:textId="77777777" w:rsidR="00244FB9" w:rsidRDefault="00244FB9" w:rsidP="00B03F50">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11">
    <w:p w14:paraId="0BDBC0B8" w14:textId="435E9397" w:rsidR="00244FB9" w:rsidRDefault="00244FB9" w:rsidP="009B052A">
      <w:pPr>
        <w:pStyle w:val="FootnoteText"/>
      </w:pPr>
      <w:r>
        <w:rPr>
          <w:rStyle w:val="FootnoteReference"/>
        </w:rPr>
        <w:footnoteRef/>
      </w:r>
      <w:r>
        <w:t xml:space="preserve"> </w:t>
      </w:r>
      <w:r w:rsidRPr="009B052A">
        <w:rPr>
          <w:b/>
          <w:bCs/>
        </w:rPr>
        <w:t>Pregnancy Category D</w:t>
      </w:r>
      <w:r>
        <w:t>: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2">
    <w:p w14:paraId="3BFD0503" w14:textId="0009A518" w:rsidR="00244FB9" w:rsidRDefault="00244FB9">
      <w:pPr>
        <w:pStyle w:val="FootnoteText"/>
      </w:pPr>
      <w:r>
        <w:rPr>
          <w:rStyle w:val="FootnoteReference"/>
        </w:rPr>
        <w:footnoteRef/>
      </w:r>
      <w:r>
        <w:t xml:space="preserve"> </w:t>
      </w:r>
      <w:r w:rsidRPr="00B27CC9">
        <w:t xml:space="preserve">The </w:t>
      </w:r>
      <w:r w:rsidRPr="00B27CC9">
        <w:rPr>
          <w:b/>
          <w:bCs/>
        </w:rPr>
        <w:t>QT interval</w:t>
      </w:r>
      <w:r w:rsidRPr="00B27CC9">
        <w:t xml:space="preserve"> is the time from the start of the Q wave to the end of the T wave. It represents the time taken for ventricular depolarisation and repolarisation, effectively the period of ventricular systole from ventricular isovolumetric contraction to isovolumetric </w:t>
      </w:r>
      <w:proofErr w:type="spellStart"/>
      <w:proofErr w:type="gramStart"/>
      <w:r w:rsidRPr="00B27CC9">
        <w:t>relaxation.The</w:t>
      </w:r>
      <w:proofErr w:type="spellEnd"/>
      <w:proofErr w:type="gramEnd"/>
      <w:r w:rsidRPr="00B27CC9">
        <w:t xml:space="preserv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13">
    <w:p w14:paraId="57CA8C94" w14:textId="550E022B" w:rsidR="00244FB9" w:rsidRPr="001B42B9" w:rsidRDefault="00244FB9">
      <w:pPr>
        <w:pStyle w:val="FootnoteText"/>
        <w:rPr>
          <w:lang w:val="en-GB"/>
        </w:rPr>
      </w:pPr>
      <w:r>
        <w:rPr>
          <w:rStyle w:val="FootnoteReference"/>
        </w:rPr>
        <w:footnoteRef/>
      </w:r>
      <w:r>
        <w:t xml:space="preserve"> </w:t>
      </w:r>
      <w:proofErr w:type="spellStart"/>
      <w:r w:rsidRPr="00AB40BC">
        <w:t>Dimopoulos</w:t>
      </w:r>
      <w:proofErr w:type="spellEnd"/>
      <w:r>
        <w:t>,</w:t>
      </w:r>
      <w:r w:rsidRPr="00AB40BC">
        <w:t xml:space="preserve"> M</w:t>
      </w:r>
      <w:r>
        <w:t>.</w:t>
      </w:r>
      <w:r w:rsidRPr="00AB40BC">
        <w:t>A</w:t>
      </w:r>
      <w:r>
        <w:t>. et al.</w:t>
      </w:r>
      <w:r w:rsidRPr="00AB40BC">
        <w:t xml:space="preserve"> Treatment Recommendations </w:t>
      </w:r>
      <w:r>
        <w:t>f</w:t>
      </w:r>
      <w:r w:rsidRPr="00AB40BC">
        <w:t xml:space="preserve">or Patients </w:t>
      </w:r>
      <w:r>
        <w:t>w</w:t>
      </w:r>
      <w:r w:rsidRPr="00AB40BC">
        <w:t xml:space="preserve">ith </w:t>
      </w:r>
      <w:proofErr w:type="spellStart"/>
      <w:r w:rsidRPr="00AB40BC">
        <w:t>Waldenström</w:t>
      </w:r>
      <w:proofErr w:type="spellEnd"/>
      <w:r w:rsidRPr="00AB40BC">
        <w:t xml:space="preserve"> Macroglobulinemia (WM) </w:t>
      </w:r>
      <w:r>
        <w:t>a</w:t>
      </w:r>
      <w:r w:rsidRPr="00AB40BC">
        <w:t>nd Related Disorders: IWWM-7 Consensus</w:t>
      </w:r>
      <w:r>
        <w:t>,</w:t>
      </w:r>
      <w:r w:rsidRPr="00AB40BC">
        <w:t xml:space="preserve"> </w:t>
      </w:r>
      <w:r w:rsidRPr="001B42B9">
        <w:rPr>
          <w:i/>
        </w:rPr>
        <w:t>Blood</w:t>
      </w:r>
      <w:r>
        <w:t>,</w:t>
      </w:r>
      <w:r w:rsidRPr="00AB40BC">
        <w:t xml:space="preserve"> 2014;</w:t>
      </w:r>
      <w:r>
        <w:t xml:space="preserve"> </w:t>
      </w:r>
      <w:r w:rsidRPr="00AB40BC">
        <w:t>124(9):</w:t>
      </w:r>
      <w:r>
        <w:t xml:space="preserve"> </w:t>
      </w:r>
      <w:r w:rsidRPr="00AB40BC">
        <w:t>1404-1411.</w:t>
      </w:r>
    </w:p>
  </w:footnote>
  <w:footnote w:id="14">
    <w:p w14:paraId="5A06EB81" w14:textId="4174B732" w:rsidR="00244FB9" w:rsidRDefault="00244FB9" w:rsidP="00E766F1">
      <w:pPr>
        <w:pStyle w:val="FootnoteText"/>
      </w:pPr>
      <w:r>
        <w:rPr>
          <w:rStyle w:val="FootnoteReference"/>
        </w:rPr>
        <w:footnoteRef/>
      </w:r>
      <w:r>
        <w:t xml:space="preserve"> </w:t>
      </w:r>
      <w:r w:rsidRPr="00E766F1">
        <w:rPr>
          <w:b/>
          <w:bCs/>
        </w:rPr>
        <w:t>Eastern Cooperative Oncology Group (ECOG) Performance Status</w:t>
      </w:r>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568595DE" w14:textId="77777777" w:rsidR="00244FB9" w:rsidRDefault="00244FB9" w:rsidP="00E766F1">
      <w:pPr>
        <w:pStyle w:val="FootnoteText"/>
      </w:pPr>
      <w:r>
        <w:t>0 - Fully active, able to carry on all pre-disease performance without restriction</w:t>
      </w:r>
    </w:p>
    <w:p w14:paraId="5DD355F7" w14:textId="77777777" w:rsidR="00244FB9" w:rsidRDefault="00244FB9" w:rsidP="00E766F1">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0F95C94A" w14:textId="77777777" w:rsidR="00244FB9" w:rsidRDefault="00244FB9" w:rsidP="00E766F1">
      <w:pPr>
        <w:pStyle w:val="FootnoteText"/>
      </w:pPr>
      <w:r>
        <w:t>2 - Ambulatory and capable of all selfcare but unable to carry out any work activities. Up and about more than 50% of waking hours</w:t>
      </w:r>
    </w:p>
    <w:p w14:paraId="0057C639" w14:textId="77777777" w:rsidR="00244FB9" w:rsidRDefault="00244FB9" w:rsidP="00E766F1">
      <w:pPr>
        <w:pStyle w:val="FootnoteText"/>
      </w:pPr>
      <w:r>
        <w:t>3 - Capable of only limited selfcare, confined to bed or chair more than 50% of waking hours</w:t>
      </w:r>
    </w:p>
    <w:p w14:paraId="425C1DDF" w14:textId="77777777" w:rsidR="00244FB9" w:rsidRDefault="00244FB9" w:rsidP="00E766F1">
      <w:pPr>
        <w:pStyle w:val="FootnoteText"/>
      </w:pPr>
      <w:r>
        <w:t>4 - Completely disabled. Cannot carry on any selfcare. Totally confined to bed or chair</w:t>
      </w:r>
    </w:p>
    <w:p w14:paraId="018A83D1" w14:textId="62F2D172" w:rsidR="00244FB9" w:rsidRDefault="00244FB9" w:rsidP="00E766F1">
      <w:pPr>
        <w:pStyle w:val="FootnoteText"/>
      </w:pPr>
      <w:r>
        <w:t>5 – Dead</w:t>
      </w:r>
    </w:p>
  </w:footnote>
  <w:footnote w:id="15">
    <w:p w14:paraId="0F56AD2B" w14:textId="6C5E6141" w:rsidR="00244FB9" w:rsidRDefault="00244FB9">
      <w:pPr>
        <w:pStyle w:val="FootnoteText"/>
      </w:pPr>
      <w:r>
        <w:rPr>
          <w:rStyle w:val="FootnoteReference"/>
        </w:rPr>
        <w:footnoteRef/>
      </w:r>
      <w:r>
        <w:t xml:space="preserve"> Inclusion criteria 5: </w:t>
      </w:r>
      <w:r w:rsidRPr="009B052A">
        <w:t>Eastern Cooperative Oncology Group (ECOG) Performance Status 0 to 2</w:t>
      </w:r>
    </w:p>
  </w:footnote>
  <w:footnote w:id="16">
    <w:p w14:paraId="1AFCF402" w14:textId="03F19AC4" w:rsidR="00244FB9" w:rsidRDefault="00244FB9" w:rsidP="009B052A">
      <w:pPr>
        <w:pStyle w:val="FootnoteText"/>
      </w:pPr>
      <w:r>
        <w:rPr>
          <w:rStyle w:val="FootnoteReference"/>
        </w:rPr>
        <w:footnoteRef/>
      </w:r>
      <w:r>
        <w:t xml:space="preserve"> </w:t>
      </w:r>
      <w:r w:rsidRPr="003C0906">
        <w:rPr>
          <w:b/>
          <w:bCs/>
        </w:rPr>
        <w:t>New York Heart Association (NYHA) classification</w:t>
      </w:r>
      <w:r>
        <w:t>:</w:t>
      </w:r>
    </w:p>
    <w:p w14:paraId="66CB0F77" w14:textId="66A10F17" w:rsidR="00244FB9" w:rsidRDefault="00244FB9" w:rsidP="009B052A">
      <w:pPr>
        <w:pStyle w:val="FootnoteText"/>
      </w:pPr>
      <w:r w:rsidRPr="009B052A">
        <w:t>Class I</w:t>
      </w:r>
      <w:r>
        <w:t xml:space="preserve">: No limitations. Ordinary physical activity does not cause undue fatigue, </w:t>
      </w:r>
      <w:proofErr w:type="gramStart"/>
      <w:r>
        <w:t>dyspnoea</w:t>
      </w:r>
      <w:proofErr w:type="gramEnd"/>
      <w:r>
        <w:t xml:space="preserve"> or palpitations (asymptomatic </w:t>
      </w:r>
      <w:r w:rsidRPr="009B052A">
        <w:t xml:space="preserve">left ventricular </w:t>
      </w:r>
      <w:r>
        <w:t>dysfunction). M</w:t>
      </w:r>
      <w:r w:rsidRPr="009B052A">
        <w:t>etabolic equivalen</w:t>
      </w:r>
      <w:r>
        <w:t xml:space="preserve">t (MET) </w:t>
      </w:r>
      <w:r w:rsidRPr="009B052A">
        <w:t>&gt;</w:t>
      </w:r>
      <w:r>
        <w:t xml:space="preserve"> </w:t>
      </w:r>
      <w:r w:rsidRPr="009B052A">
        <w:t>7</w:t>
      </w:r>
      <w:r>
        <w:t>.</w:t>
      </w:r>
    </w:p>
    <w:p w14:paraId="50C75B82" w14:textId="36955056" w:rsidR="00244FB9" w:rsidRDefault="00244FB9" w:rsidP="009B052A">
      <w:pPr>
        <w:pStyle w:val="FootnoteText"/>
      </w:pPr>
      <w:r w:rsidRPr="009B052A">
        <w:t>Class II</w:t>
      </w:r>
      <w:r>
        <w:t xml:space="preserve">: Slight limitation of physical activity. Ordinary physical activity results in fatigue, palpitation, </w:t>
      </w:r>
      <w:proofErr w:type="gramStart"/>
      <w:r>
        <w:t>dyspnoea</w:t>
      </w:r>
      <w:proofErr w:type="gramEnd"/>
      <w:r>
        <w:t xml:space="preserve"> or angina pectoris (mild c</w:t>
      </w:r>
      <w:r w:rsidRPr="009B052A">
        <w:t>ongestive heart failure</w:t>
      </w:r>
      <w:r>
        <w:t>). MET = 5.</w:t>
      </w:r>
    </w:p>
    <w:p w14:paraId="532242F4" w14:textId="59002169" w:rsidR="00244FB9" w:rsidRDefault="00244FB9" w:rsidP="009B052A">
      <w:pPr>
        <w:pStyle w:val="FootnoteText"/>
      </w:pPr>
      <w:r w:rsidRPr="009B052A">
        <w:t>Class III</w:t>
      </w:r>
      <w:r>
        <w:t>: Marked limitation of physical activity. Less than ordinary physical activity leads to symptoms (moderate c</w:t>
      </w:r>
      <w:r w:rsidRPr="009B052A">
        <w:t>ongestive heart failure</w:t>
      </w:r>
      <w:r>
        <w:t>). MET = 2–3.</w:t>
      </w:r>
    </w:p>
    <w:p w14:paraId="5D392137" w14:textId="7044D3ED" w:rsidR="00244FB9" w:rsidRDefault="00244FB9" w:rsidP="009B052A">
      <w:pPr>
        <w:pStyle w:val="FootnoteText"/>
      </w:pPr>
      <w:r>
        <w:t>Class IV: Unable to carry on any physical activity without discomfort. Symptoms of c</w:t>
      </w:r>
      <w:r w:rsidRPr="009B052A">
        <w:t>ongestive heart failure</w:t>
      </w:r>
      <w:r>
        <w:t xml:space="preserve"> present at rest (severe c</w:t>
      </w:r>
      <w:r w:rsidRPr="009B052A">
        <w:t>ongestive heart failure</w:t>
      </w:r>
      <w:r>
        <w:t>). MET = 1.6.</w:t>
      </w:r>
    </w:p>
  </w:footnote>
  <w:footnote w:id="17">
    <w:p w14:paraId="1D92B117" w14:textId="48064694" w:rsidR="00244FB9" w:rsidRDefault="00244FB9">
      <w:pPr>
        <w:pStyle w:val="FootnoteText"/>
      </w:pPr>
      <w:r>
        <w:rPr>
          <w:rStyle w:val="FootnoteReference"/>
        </w:rPr>
        <w:footnoteRef/>
      </w:r>
      <w:r>
        <w:t xml:space="preserve"> </w:t>
      </w:r>
      <w:r w:rsidRPr="00B45866">
        <w:t xml:space="preserve">The randomised clinical trials analysed by the </w:t>
      </w:r>
      <w:r w:rsidRPr="00B45866">
        <w:rPr>
          <w:b/>
          <w:bCs/>
        </w:rPr>
        <w:t>intention-to-treat (ITT)</w:t>
      </w:r>
      <w:r w:rsidRPr="00B45866">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modified intention-to-treat analysis (mITT) may sometimes be conducted excluding </w:t>
      </w:r>
      <w:proofErr w:type="gramStart"/>
      <w:r w:rsidRPr="00B45866">
        <w:t>subjects</w:t>
      </w:r>
      <w:proofErr w:type="gramEnd"/>
      <w:r w:rsidRPr="00B45866">
        <w:t xml:space="preserve"> post-randomisation.</w:t>
      </w:r>
    </w:p>
  </w:footnote>
  <w:footnote w:id="18">
    <w:p w14:paraId="720B3810" w14:textId="00C5777B" w:rsidR="00244FB9" w:rsidRPr="001B42B9" w:rsidRDefault="00244FB9">
      <w:pPr>
        <w:pStyle w:val="FootnoteText"/>
        <w:rPr>
          <w:lang w:val="en-GB"/>
        </w:rPr>
      </w:pPr>
      <w:r>
        <w:rPr>
          <w:rStyle w:val="FootnoteReference"/>
        </w:rPr>
        <w:footnoteRef/>
      </w:r>
      <w:r>
        <w:t xml:space="preserve"> </w:t>
      </w:r>
      <w:r w:rsidRPr="001B42B9">
        <w:rPr>
          <w:i/>
        </w:rPr>
        <w:t>MYD88</w:t>
      </w:r>
      <w:r w:rsidRPr="001B42B9">
        <w:rPr>
          <w:i/>
          <w:vertAlign w:val="superscript"/>
        </w:rPr>
        <w:t>L265P</w:t>
      </w:r>
      <w:r w:rsidRPr="0038159E">
        <w:t xml:space="preserve"> </w:t>
      </w:r>
      <w:r>
        <w:t xml:space="preserve">= </w:t>
      </w:r>
      <w:r w:rsidRPr="0038159E">
        <w:t>L265P</w:t>
      </w:r>
      <w:r>
        <w:t xml:space="preserve"> mutation of </w:t>
      </w:r>
      <w:r w:rsidRPr="001B42B9">
        <w:rPr>
          <w:i/>
        </w:rPr>
        <w:t>MYD88</w:t>
      </w:r>
      <w:r>
        <w:t xml:space="preserve"> gene.</w:t>
      </w:r>
    </w:p>
  </w:footnote>
  <w:footnote w:id="19">
    <w:p w14:paraId="541D3B76" w14:textId="77777777" w:rsidR="00244FB9" w:rsidRDefault="00244FB9"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07EFADB" w14:textId="77777777" w:rsidR="00244FB9" w:rsidRDefault="00244FB9" w:rsidP="007D53B6">
      <w:pPr>
        <w:pStyle w:val="FootnoteText"/>
      </w:pPr>
      <w:r w:rsidRPr="007D53B6">
        <w:rPr>
          <w:i/>
        </w:rPr>
        <w:t>Routine pharmacovigilance</w:t>
      </w:r>
      <w:r>
        <w:t xml:space="preserve"> practices involve the following activities:</w:t>
      </w:r>
    </w:p>
    <w:p w14:paraId="226A66FF" w14:textId="77777777" w:rsidR="00244FB9" w:rsidRDefault="00244FB9" w:rsidP="00066510">
      <w:pPr>
        <w:pStyle w:val="FootnoteText"/>
        <w:numPr>
          <w:ilvl w:val="0"/>
          <w:numId w:val="5"/>
        </w:numPr>
        <w:ind w:left="284" w:hanging="284"/>
      </w:pPr>
      <w:r>
        <w:t xml:space="preserve">All suspected adverse reactions that are reported to the personnel of the company are collected and collated in an accessible </w:t>
      </w:r>
      <w:proofErr w:type="gramStart"/>
      <w:r>
        <w:t>manner;</w:t>
      </w:r>
      <w:proofErr w:type="gramEnd"/>
    </w:p>
    <w:p w14:paraId="66FE0A65" w14:textId="77777777" w:rsidR="00244FB9" w:rsidRDefault="00244FB9" w:rsidP="00066510">
      <w:pPr>
        <w:pStyle w:val="FootnoteText"/>
        <w:numPr>
          <w:ilvl w:val="0"/>
          <w:numId w:val="5"/>
        </w:numPr>
        <w:ind w:left="284" w:hanging="284"/>
      </w:pPr>
      <w:r>
        <w:t xml:space="preserve">Reporting to regulatory </w:t>
      </w:r>
      <w:proofErr w:type="gramStart"/>
      <w:r>
        <w:t>authorities;</w:t>
      </w:r>
      <w:proofErr w:type="gramEnd"/>
    </w:p>
    <w:p w14:paraId="3AE1AE27" w14:textId="77777777" w:rsidR="00244FB9" w:rsidRDefault="00244FB9" w:rsidP="00066510">
      <w:pPr>
        <w:pStyle w:val="FootnoteText"/>
        <w:numPr>
          <w:ilvl w:val="0"/>
          <w:numId w:val="5"/>
        </w:numPr>
        <w:ind w:left="284" w:hanging="284"/>
      </w:pPr>
      <w:r>
        <w:t xml:space="preserve">Continuous monitoring of the safety profiles of approved products including signal detection and updating of </w:t>
      </w:r>
      <w:proofErr w:type="gramStart"/>
      <w:r>
        <w:t>labelling;</w:t>
      </w:r>
      <w:proofErr w:type="gramEnd"/>
    </w:p>
    <w:p w14:paraId="7EE2EE13" w14:textId="77777777" w:rsidR="00244FB9" w:rsidRDefault="00244FB9" w:rsidP="00066510">
      <w:pPr>
        <w:pStyle w:val="FootnoteText"/>
        <w:numPr>
          <w:ilvl w:val="0"/>
          <w:numId w:val="5"/>
        </w:numPr>
        <w:ind w:left="284" w:hanging="284"/>
      </w:pPr>
      <w:r>
        <w:t xml:space="preserve">Submission of </w:t>
      </w:r>
      <w:proofErr w:type="gramStart"/>
      <w:r>
        <w:t>PSURs;</w:t>
      </w:r>
      <w:proofErr w:type="gramEnd"/>
    </w:p>
    <w:p w14:paraId="62D43BEC" w14:textId="77777777" w:rsidR="00244FB9" w:rsidRDefault="00244FB9" w:rsidP="00066510">
      <w:pPr>
        <w:pStyle w:val="FootnoteText"/>
        <w:numPr>
          <w:ilvl w:val="0"/>
          <w:numId w:val="5"/>
        </w:numPr>
        <w:ind w:left="284" w:hanging="284"/>
      </w:pPr>
      <w:r>
        <w:t>Meeting other local regulatory agency requirements.</w:t>
      </w:r>
    </w:p>
  </w:footnote>
  <w:footnote w:id="20">
    <w:p w14:paraId="79048B20" w14:textId="09719213" w:rsidR="00244FB9" w:rsidRDefault="00244FB9">
      <w:pPr>
        <w:pStyle w:val="FootnoteText"/>
      </w:pPr>
      <w:r>
        <w:rPr>
          <w:rStyle w:val="FootnoteReference"/>
        </w:rPr>
        <w:footnoteRef/>
      </w:r>
      <w:r>
        <w:t xml:space="preserve"> </w:t>
      </w:r>
      <w:r w:rsidRPr="00CA2F90">
        <w:t xml:space="preserve">National Comprehensive Cancer Network (NCCN), </w:t>
      </w:r>
      <w:proofErr w:type="spellStart"/>
      <w:r w:rsidRPr="00CA2F90">
        <w:t>Waldenström</w:t>
      </w:r>
      <w:proofErr w:type="spellEnd"/>
      <w:r w:rsidRPr="00CA2F90">
        <w:t xml:space="preserve"> Macroglobulinemia / Lymphoplasmacytic Lymphoma Guidelines, Version 1.2022.</w:t>
      </w:r>
    </w:p>
  </w:footnote>
  <w:footnote w:id="21">
    <w:p w14:paraId="72AB93EE" w14:textId="77777777" w:rsidR="00244FB9" w:rsidRPr="00456765" w:rsidRDefault="00244FB9"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5" w:history="1">
        <w:r w:rsidRPr="0004151A">
          <w:rPr>
            <w:rStyle w:val="Hyperlink"/>
          </w:rPr>
          <w:t>https://www.tga.gov.au/committee/advisory-committee-medicines-acm</w:t>
        </w:r>
      </w:hyperlink>
      <w:r>
        <w:t>.</w:t>
      </w:r>
    </w:p>
  </w:footnote>
  <w:footnote w:id="22">
    <w:p w14:paraId="0B17099A" w14:textId="77777777" w:rsidR="00244FB9" w:rsidRDefault="00244FB9" w:rsidP="00066510">
      <w:pPr>
        <w:pStyle w:val="FootnoteText"/>
      </w:pPr>
      <w:r>
        <w:rPr>
          <w:rStyle w:val="FootnoteReference"/>
        </w:rPr>
        <w:footnoteRef/>
      </w:r>
      <w:r>
        <w:t xml:space="preserve"> Trotman, J et al. </w:t>
      </w:r>
      <w:r w:rsidRPr="009365F8">
        <w:t xml:space="preserve">Zanubrutinib for the treatment of patients with </w:t>
      </w:r>
      <w:proofErr w:type="spellStart"/>
      <w:r w:rsidRPr="009365F8">
        <w:t>Waldenström</w:t>
      </w:r>
      <w:proofErr w:type="spellEnd"/>
      <w:r w:rsidRPr="009365F8">
        <w:t xml:space="preserve"> macroglobulinemia: 3 years of follow-up</w:t>
      </w:r>
      <w:r>
        <w:t xml:space="preserve">, Blood, </w:t>
      </w:r>
      <w:r w:rsidRPr="00B5195C">
        <w:t>2020 Oct 29; 136(18): 2027–2037.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8B6C9" w14:textId="77777777" w:rsidR="00244FB9" w:rsidRDefault="00244FB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D6F2F" w14:textId="77777777" w:rsidR="00244FB9" w:rsidRDefault="00244FB9">
    <w:pPr>
      <w:rPr>
        <w:noProof/>
        <w:lang w:eastAsia="en-AU"/>
      </w:rPr>
    </w:pPr>
    <w:r w:rsidRPr="00347824">
      <w:rPr>
        <w:noProof/>
        <w:lang w:val="en-GB" w:eastAsia="en-GB"/>
      </w:rPr>
      <w:drawing>
        <wp:anchor distT="0" distB="0" distL="114300" distR="114300" simplePos="0" relativeHeight="251659264" behindDoc="1" locked="0" layoutInCell="1" allowOverlap="1" wp14:anchorId="7D8DFCB5" wp14:editId="4B24A8E2">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5AF2F26" w14:textId="77777777" w:rsidR="00244FB9" w:rsidRDefault="00244FB9"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DAC90" w14:textId="77777777" w:rsidR="00244FB9" w:rsidRDefault="00244F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3CC07" w14:textId="77777777" w:rsidR="00244FB9" w:rsidRDefault="00244FB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F583E" w14:textId="77777777" w:rsidR="00244FB9" w:rsidRDefault="00244FB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2DEE" w14:textId="77777777" w:rsidR="00244FB9" w:rsidRDefault="00244F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B01D2" w14:textId="77777777" w:rsidR="00244FB9" w:rsidRDefault="00244FB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B1A4" w14:textId="77777777" w:rsidR="00244FB9" w:rsidRDefault="00244FB9" w:rsidP="006E08B3">
    <w:r>
      <w:t>Therapeutic Goods Administration</w:t>
    </w:r>
  </w:p>
  <w:p w14:paraId="7318C308" w14:textId="77777777" w:rsidR="00244FB9" w:rsidRDefault="00244FB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E20AF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5DAE3C72"/>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40373145"/>
    <w:multiLevelType w:val="hybridMultilevel"/>
    <w:tmpl w:val="F29872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4835AD0"/>
    <w:multiLevelType w:val="hybridMultilevel"/>
    <w:tmpl w:val="8DC40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7"/>
  </w:num>
  <w:num w:numId="6">
    <w:abstractNumId w:val="6"/>
  </w:num>
  <w:num w:numId="7">
    <w:abstractNumId w:val="8"/>
  </w:num>
  <w:num w:numId="8">
    <w:abstractNumId w:val="4"/>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8B9"/>
    <w:rsid w:val="00002031"/>
    <w:rsid w:val="00004734"/>
    <w:rsid w:val="00005462"/>
    <w:rsid w:val="00006B22"/>
    <w:rsid w:val="00006FAB"/>
    <w:rsid w:val="0001276A"/>
    <w:rsid w:val="000246AE"/>
    <w:rsid w:val="00025C67"/>
    <w:rsid w:val="00025D23"/>
    <w:rsid w:val="00044772"/>
    <w:rsid w:val="0004541C"/>
    <w:rsid w:val="000551E0"/>
    <w:rsid w:val="0005559E"/>
    <w:rsid w:val="000604D6"/>
    <w:rsid w:val="00066510"/>
    <w:rsid w:val="000734D8"/>
    <w:rsid w:val="00077775"/>
    <w:rsid w:val="00090471"/>
    <w:rsid w:val="00096AA7"/>
    <w:rsid w:val="000A1C0B"/>
    <w:rsid w:val="000A3AED"/>
    <w:rsid w:val="000B3532"/>
    <w:rsid w:val="000B3A75"/>
    <w:rsid w:val="000C00C2"/>
    <w:rsid w:val="000C04BD"/>
    <w:rsid w:val="000C1542"/>
    <w:rsid w:val="000C690F"/>
    <w:rsid w:val="000D1295"/>
    <w:rsid w:val="000D391B"/>
    <w:rsid w:val="000D3D6D"/>
    <w:rsid w:val="000D4FC7"/>
    <w:rsid w:val="000E00EC"/>
    <w:rsid w:val="000E6196"/>
    <w:rsid w:val="000F4869"/>
    <w:rsid w:val="000F5B42"/>
    <w:rsid w:val="000F6E6F"/>
    <w:rsid w:val="0010601F"/>
    <w:rsid w:val="0010788A"/>
    <w:rsid w:val="00107A31"/>
    <w:rsid w:val="00110EA5"/>
    <w:rsid w:val="00112F56"/>
    <w:rsid w:val="00122C2E"/>
    <w:rsid w:val="00124ACD"/>
    <w:rsid w:val="00125318"/>
    <w:rsid w:val="001305A2"/>
    <w:rsid w:val="00133238"/>
    <w:rsid w:val="00133A1B"/>
    <w:rsid w:val="0014197B"/>
    <w:rsid w:val="0014237D"/>
    <w:rsid w:val="001447CD"/>
    <w:rsid w:val="001516B1"/>
    <w:rsid w:val="00154EBB"/>
    <w:rsid w:val="00156316"/>
    <w:rsid w:val="00161181"/>
    <w:rsid w:val="00162D14"/>
    <w:rsid w:val="00163780"/>
    <w:rsid w:val="00165389"/>
    <w:rsid w:val="0017693F"/>
    <w:rsid w:val="0018110E"/>
    <w:rsid w:val="00181684"/>
    <w:rsid w:val="001843C6"/>
    <w:rsid w:val="001850E0"/>
    <w:rsid w:val="001953C0"/>
    <w:rsid w:val="001A03AF"/>
    <w:rsid w:val="001A069C"/>
    <w:rsid w:val="001A2158"/>
    <w:rsid w:val="001A525F"/>
    <w:rsid w:val="001B09F9"/>
    <w:rsid w:val="001B42B9"/>
    <w:rsid w:val="001B5C90"/>
    <w:rsid w:val="001B6448"/>
    <w:rsid w:val="001C32CD"/>
    <w:rsid w:val="001D16DB"/>
    <w:rsid w:val="001D2984"/>
    <w:rsid w:val="001E07CF"/>
    <w:rsid w:val="001E59F1"/>
    <w:rsid w:val="001F2CEE"/>
    <w:rsid w:val="001F49EB"/>
    <w:rsid w:val="001F6CBA"/>
    <w:rsid w:val="00201D4E"/>
    <w:rsid w:val="00205706"/>
    <w:rsid w:val="002076C9"/>
    <w:rsid w:val="00220B8A"/>
    <w:rsid w:val="002257F3"/>
    <w:rsid w:val="00233456"/>
    <w:rsid w:val="002339A5"/>
    <w:rsid w:val="00244FB9"/>
    <w:rsid w:val="00245732"/>
    <w:rsid w:val="00245B3D"/>
    <w:rsid w:val="002478B9"/>
    <w:rsid w:val="00250271"/>
    <w:rsid w:val="00257848"/>
    <w:rsid w:val="002578E8"/>
    <w:rsid w:val="0027084A"/>
    <w:rsid w:val="00280265"/>
    <w:rsid w:val="00282154"/>
    <w:rsid w:val="00283D4E"/>
    <w:rsid w:val="00286434"/>
    <w:rsid w:val="00286C59"/>
    <w:rsid w:val="00291957"/>
    <w:rsid w:val="002942D1"/>
    <w:rsid w:val="0029501A"/>
    <w:rsid w:val="002A3721"/>
    <w:rsid w:val="002A66C5"/>
    <w:rsid w:val="002B0B88"/>
    <w:rsid w:val="002B1638"/>
    <w:rsid w:val="002B3624"/>
    <w:rsid w:val="002C5BCE"/>
    <w:rsid w:val="002C60FF"/>
    <w:rsid w:val="002D0952"/>
    <w:rsid w:val="002D4714"/>
    <w:rsid w:val="002D60E3"/>
    <w:rsid w:val="002E40B3"/>
    <w:rsid w:val="002E4C9A"/>
    <w:rsid w:val="002F11F8"/>
    <w:rsid w:val="002F3F56"/>
    <w:rsid w:val="002F44B5"/>
    <w:rsid w:val="002F5122"/>
    <w:rsid w:val="00311AC0"/>
    <w:rsid w:val="003176FC"/>
    <w:rsid w:val="00324E45"/>
    <w:rsid w:val="0032583B"/>
    <w:rsid w:val="00327883"/>
    <w:rsid w:val="00330119"/>
    <w:rsid w:val="00335504"/>
    <w:rsid w:val="00340C18"/>
    <w:rsid w:val="003442FD"/>
    <w:rsid w:val="00347824"/>
    <w:rsid w:val="00350567"/>
    <w:rsid w:val="003521E8"/>
    <w:rsid w:val="0036314A"/>
    <w:rsid w:val="00370CE3"/>
    <w:rsid w:val="003711FF"/>
    <w:rsid w:val="003728F3"/>
    <w:rsid w:val="003735BC"/>
    <w:rsid w:val="0037496E"/>
    <w:rsid w:val="00376AF2"/>
    <w:rsid w:val="0038159E"/>
    <w:rsid w:val="00383221"/>
    <w:rsid w:val="00386150"/>
    <w:rsid w:val="003874CE"/>
    <w:rsid w:val="00390900"/>
    <w:rsid w:val="003940BC"/>
    <w:rsid w:val="003A7F6C"/>
    <w:rsid w:val="003B4D60"/>
    <w:rsid w:val="003B7E39"/>
    <w:rsid w:val="003C0906"/>
    <w:rsid w:val="003C58DC"/>
    <w:rsid w:val="003D1E62"/>
    <w:rsid w:val="003E0B99"/>
    <w:rsid w:val="003E2486"/>
    <w:rsid w:val="003E3208"/>
    <w:rsid w:val="003E5FF4"/>
    <w:rsid w:val="003F0B04"/>
    <w:rsid w:val="0040134E"/>
    <w:rsid w:val="004202BE"/>
    <w:rsid w:val="00423415"/>
    <w:rsid w:val="004334C7"/>
    <w:rsid w:val="00440A2D"/>
    <w:rsid w:val="00441C3F"/>
    <w:rsid w:val="00444D1A"/>
    <w:rsid w:val="0045186A"/>
    <w:rsid w:val="004564A7"/>
    <w:rsid w:val="00456765"/>
    <w:rsid w:val="00460036"/>
    <w:rsid w:val="004617BF"/>
    <w:rsid w:val="00463658"/>
    <w:rsid w:val="004637A0"/>
    <w:rsid w:val="004645FB"/>
    <w:rsid w:val="004722CC"/>
    <w:rsid w:val="00473BA2"/>
    <w:rsid w:val="00490483"/>
    <w:rsid w:val="004905C1"/>
    <w:rsid w:val="00492336"/>
    <w:rsid w:val="00492C1D"/>
    <w:rsid w:val="004936E4"/>
    <w:rsid w:val="00494E60"/>
    <w:rsid w:val="00497487"/>
    <w:rsid w:val="004A2771"/>
    <w:rsid w:val="004A6189"/>
    <w:rsid w:val="004A7390"/>
    <w:rsid w:val="004B7B76"/>
    <w:rsid w:val="004C239D"/>
    <w:rsid w:val="004C2DCA"/>
    <w:rsid w:val="004C4FBE"/>
    <w:rsid w:val="004C61D2"/>
    <w:rsid w:val="004E2E0C"/>
    <w:rsid w:val="004F0C4A"/>
    <w:rsid w:val="004F0F38"/>
    <w:rsid w:val="004F47D6"/>
    <w:rsid w:val="004F58C8"/>
    <w:rsid w:val="00500337"/>
    <w:rsid w:val="00501921"/>
    <w:rsid w:val="00510109"/>
    <w:rsid w:val="005240F1"/>
    <w:rsid w:val="005251FE"/>
    <w:rsid w:val="005252B2"/>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94E0F"/>
    <w:rsid w:val="005A68B6"/>
    <w:rsid w:val="005B3E68"/>
    <w:rsid w:val="005C13F3"/>
    <w:rsid w:val="005C5570"/>
    <w:rsid w:val="005C5B66"/>
    <w:rsid w:val="005C79A4"/>
    <w:rsid w:val="005D5442"/>
    <w:rsid w:val="00603F32"/>
    <w:rsid w:val="00605AD4"/>
    <w:rsid w:val="006125CF"/>
    <w:rsid w:val="006136D7"/>
    <w:rsid w:val="00625A6E"/>
    <w:rsid w:val="00632398"/>
    <w:rsid w:val="00640FC3"/>
    <w:rsid w:val="00642020"/>
    <w:rsid w:val="006425BA"/>
    <w:rsid w:val="006430EE"/>
    <w:rsid w:val="0065337B"/>
    <w:rsid w:val="0065419D"/>
    <w:rsid w:val="006603BC"/>
    <w:rsid w:val="006604D8"/>
    <w:rsid w:val="00664A5B"/>
    <w:rsid w:val="0066735C"/>
    <w:rsid w:val="006763D2"/>
    <w:rsid w:val="00680C08"/>
    <w:rsid w:val="006916A0"/>
    <w:rsid w:val="006931B1"/>
    <w:rsid w:val="006A15C0"/>
    <w:rsid w:val="006A2C52"/>
    <w:rsid w:val="006A58A8"/>
    <w:rsid w:val="006C3E2A"/>
    <w:rsid w:val="006C642F"/>
    <w:rsid w:val="006D03E5"/>
    <w:rsid w:val="006D5D3E"/>
    <w:rsid w:val="006E08B3"/>
    <w:rsid w:val="006E2E61"/>
    <w:rsid w:val="006F17AC"/>
    <w:rsid w:val="006F25B8"/>
    <w:rsid w:val="006F572E"/>
    <w:rsid w:val="007046D6"/>
    <w:rsid w:val="00705DB0"/>
    <w:rsid w:val="00717109"/>
    <w:rsid w:val="00722B57"/>
    <w:rsid w:val="00730F8A"/>
    <w:rsid w:val="00735A8C"/>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5708"/>
    <w:rsid w:val="007A46F5"/>
    <w:rsid w:val="007A6505"/>
    <w:rsid w:val="007B0A7E"/>
    <w:rsid w:val="007B6132"/>
    <w:rsid w:val="007B6E9F"/>
    <w:rsid w:val="007C1216"/>
    <w:rsid w:val="007C1AF7"/>
    <w:rsid w:val="007C6B9B"/>
    <w:rsid w:val="007D53B6"/>
    <w:rsid w:val="00805D27"/>
    <w:rsid w:val="00806DCB"/>
    <w:rsid w:val="00821776"/>
    <w:rsid w:val="008321F5"/>
    <w:rsid w:val="00832369"/>
    <w:rsid w:val="00834660"/>
    <w:rsid w:val="00836BC2"/>
    <w:rsid w:val="0085156D"/>
    <w:rsid w:val="00852B28"/>
    <w:rsid w:val="0085641B"/>
    <w:rsid w:val="00857136"/>
    <w:rsid w:val="00875A6B"/>
    <w:rsid w:val="00882CE7"/>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2D07"/>
    <w:rsid w:val="008C51A9"/>
    <w:rsid w:val="008C55DD"/>
    <w:rsid w:val="008D3C1A"/>
    <w:rsid w:val="008D6F1C"/>
    <w:rsid w:val="008E7846"/>
    <w:rsid w:val="008F02E5"/>
    <w:rsid w:val="008F14D5"/>
    <w:rsid w:val="008F1CCC"/>
    <w:rsid w:val="008F2780"/>
    <w:rsid w:val="008F2967"/>
    <w:rsid w:val="008F6943"/>
    <w:rsid w:val="00902A21"/>
    <w:rsid w:val="0091523F"/>
    <w:rsid w:val="00920330"/>
    <w:rsid w:val="009219D7"/>
    <w:rsid w:val="00922D53"/>
    <w:rsid w:val="00923B70"/>
    <w:rsid w:val="00924482"/>
    <w:rsid w:val="00930237"/>
    <w:rsid w:val="00937C17"/>
    <w:rsid w:val="00940A89"/>
    <w:rsid w:val="00941F77"/>
    <w:rsid w:val="00944315"/>
    <w:rsid w:val="00946EA5"/>
    <w:rsid w:val="00951405"/>
    <w:rsid w:val="00955D78"/>
    <w:rsid w:val="009603DB"/>
    <w:rsid w:val="00960520"/>
    <w:rsid w:val="00962E5E"/>
    <w:rsid w:val="00963C08"/>
    <w:rsid w:val="009679E6"/>
    <w:rsid w:val="009752A5"/>
    <w:rsid w:val="00977C30"/>
    <w:rsid w:val="00981907"/>
    <w:rsid w:val="0098585A"/>
    <w:rsid w:val="009A4CED"/>
    <w:rsid w:val="009A54DE"/>
    <w:rsid w:val="009A6514"/>
    <w:rsid w:val="009A690D"/>
    <w:rsid w:val="009A7D73"/>
    <w:rsid w:val="009B052A"/>
    <w:rsid w:val="009B1D12"/>
    <w:rsid w:val="009B416B"/>
    <w:rsid w:val="009B513C"/>
    <w:rsid w:val="009C0362"/>
    <w:rsid w:val="009C4BD5"/>
    <w:rsid w:val="009C76E0"/>
    <w:rsid w:val="009D7B77"/>
    <w:rsid w:val="009E0BB0"/>
    <w:rsid w:val="009E3FBB"/>
    <w:rsid w:val="009F0824"/>
    <w:rsid w:val="009F6E5F"/>
    <w:rsid w:val="009F7353"/>
    <w:rsid w:val="00A04F85"/>
    <w:rsid w:val="00A051A1"/>
    <w:rsid w:val="00A05FA4"/>
    <w:rsid w:val="00A102E4"/>
    <w:rsid w:val="00A1219C"/>
    <w:rsid w:val="00A12C42"/>
    <w:rsid w:val="00A14DF7"/>
    <w:rsid w:val="00A22D57"/>
    <w:rsid w:val="00A3246D"/>
    <w:rsid w:val="00A36FA7"/>
    <w:rsid w:val="00A44DDB"/>
    <w:rsid w:val="00A475B7"/>
    <w:rsid w:val="00A47AF7"/>
    <w:rsid w:val="00A47C3E"/>
    <w:rsid w:val="00A50226"/>
    <w:rsid w:val="00A53023"/>
    <w:rsid w:val="00A60BAD"/>
    <w:rsid w:val="00A77F87"/>
    <w:rsid w:val="00A80B5B"/>
    <w:rsid w:val="00A84BF6"/>
    <w:rsid w:val="00A84E36"/>
    <w:rsid w:val="00A916C6"/>
    <w:rsid w:val="00A964D1"/>
    <w:rsid w:val="00AA0ED0"/>
    <w:rsid w:val="00AB40BC"/>
    <w:rsid w:val="00AB665D"/>
    <w:rsid w:val="00AC2B40"/>
    <w:rsid w:val="00AC2BB2"/>
    <w:rsid w:val="00AC2C3C"/>
    <w:rsid w:val="00AC3DF1"/>
    <w:rsid w:val="00AC512D"/>
    <w:rsid w:val="00AD0083"/>
    <w:rsid w:val="00AD3935"/>
    <w:rsid w:val="00AE65EB"/>
    <w:rsid w:val="00AE67A7"/>
    <w:rsid w:val="00AF1D94"/>
    <w:rsid w:val="00AF60C5"/>
    <w:rsid w:val="00B009C6"/>
    <w:rsid w:val="00B01548"/>
    <w:rsid w:val="00B03F50"/>
    <w:rsid w:val="00B06367"/>
    <w:rsid w:val="00B130C5"/>
    <w:rsid w:val="00B13EBD"/>
    <w:rsid w:val="00B21D29"/>
    <w:rsid w:val="00B239D3"/>
    <w:rsid w:val="00B25034"/>
    <w:rsid w:val="00B27CC9"/>
    <w:rsid w:val="00B33588"/>
    <w:rsid w:val="00B33863"/>
    <w:rsid w:val="00B37D17"/>
    <w:rsid w:val="00B4175E"/>
    <w:rsid w:val="00B41C85"/>
    <w:rsid w:val="00B452CE"/>
    <w:rsid w:val="00B45866"/>
    <w:rsid w:val="00B54C25"/>
    <w:rsid w:val="00B5673A"/>
    <w:rsid w:val="00B65356"/>
    <w:rsid w:val="00B72497"/>
    <w:rsid w:val="00B76B91"/>
    <w:rsid w:val="00B77EB1"/>
    <w:rsid w:val="00B77F5D"/>
    <w:rsid w:val="00B811C6"/>
    <w:rsid w:val="00B82BE8"/>
    <w:rsid w:val="00B82D09"/>
    <w:rsid w:val="00B855B0"/>
    <w:rsid w:val="00B92E08"/>
    <w:rsid w:val="00BA6D19"/>
    <w:rsid w:val="00BC5B2C"/>
    <w:rsid w:val="00BC5FEA"/>
    <w:rsid w:val="00BC622A"/>
    <w:rsid w:val="00BD1F85"/>
    <w:rsid w:val="00BE0A78"/>
    <w:rsid w:val="00BE2E95"/>
    <w:rsid w:val="00BE79F0"/>
    <w:rsid w:val="00BF046D"/>
    <w:rsid w:val="00BF1190"/>
    <w:rsid w:val="00BF3774"/>
    <w:rsid w:val="00BF4B4A"/>
    <w:rsid w:val="00BF5D04"/>
    <w:rsid w:val="00C009AA"/>
    <w:rsid w:val="00C07F85"/>
    <w:rsid w:val="00C1164D"/>
    <w:rsid w:val="00C16861"/>
    <w:rsid w:val="00C346AB"/>
    <w:rsid w:val="00C404A6"/>
    <w:rsid w:val="00C40A36"/>
    <w:rsid w:val="00C44419"/>
    <w:rsid w:val="00C45E7B"/>
    <w:rsid w:val="00C471B1"/>
    <w:rsid w:val="00C525A2"/>
    <w:rsid w:val="00C52E24"/>
    <w:rsid w:val="00C54222"/>
    <w:rsid w:val="00C6316B"/>
    <w:rsid w:val="00C634A9"/>
    <w:rsid w:val="00C64164"/>
    <w:rsid w:val="00C64586"/>
    <w:rsid w:val="00C70A36"/>
    <w:rsid w:val="00C70D53"/>
    <w:rsid w:val="00C73D0B"/>
    <w:rsid w:val="00C74F5C"/>
    <w:rsid w:val="00C75526"/>
    <w:rsid w:val="00C772FF"/>
    <w:rsid w:val="00C80137"/>
    <w:rsid w:val="00C801AF"/>
    <w:rsid w:val="00C80256"/>
    <w:rsid w:val="00C81E51"/>
    <w:rsid w:val="00C8358E"/>
    <w:rsid w:val="00C94CD4"/>
    <w:rsid w:val="00C9747E"/>
    <w:rsid w:val="00CA2F90"/>
    <w:rsid w:val="00CB6A4A"/>
    <w:rsid w:val="00CB6BC0"/>
    <w:rsid w:val="00CC1B7C"/>
    <w:rsid w:val="00CC727F"/>
    <w:rsid w:val="00CF15C3"/>
    <w:rsid w:val="00CF2B6F"/>
    <w:rsid w:val="00CF2F3E"/>
    <w:rsid w:val="00CF58B6"/>
    <w:rsid w:val="00CF5DAD"/>
    <w:rsid w:val="00CF6B35"/>
    <w:rsid w:val="00D0062D"/>
    <w:rsid w:val="00D017ED"/>
    <w:rsid w:val="00D040D3"/>
    <w:rsid w:val="00D04C65"/>
    <w:rsid w:val="00D06307"/>
    <w:rsid w:val="00D153D8"/>
    <w:rsid w:val="00D16502"/>
    <w:rsid w:val="00D201D2"/>
    <w:rsid w:val="00D224FE"/>
    <w:rsid w:val="00D23139"/>
    <w:rsid w:val="00D27DB6"/>
    <w:rsid w:val="00D425BB"/>
    <w:rsid w:val="00D453FA"/>
    <w:rsid w:val="00D45571"/>
    <w:rsid w:val="00D55110"/>
    <w:rsid w:val="00D572E3"/>
    <w:rsid w:val="00D6493E"/>
    <w:rsid w:val="00D7195D"/>
    <w:rsid w:val="00D7301E"/>
    <w:rsid w:val="00D82356"/>
    <w:rsid w:val="00D83AE1"/>
    <w:rsid w:val="00D855D4"/>
    <w:rsid w:val="00D902C9"/>
    <w:rsid w:val="00D92C04"/>
    <w:rsid w:val="00D93466"/>
    <w:rsid w:val="00DA1124"/>
    <w:rsid w:val="00DA64CB"/>
    <w:rsid w:val="00DB06B8"/>
    <w:rsid w:val="00DB6124"/>
    <w:rsid w:val="00DB750B"/>
    <w:rsid w:val="00DB75B7"/>
    <w:rsid w:val="00DC0A2F"/>
    <w:rsid w:val="00DC1948"/>
    <w:rsid w:val="00DC6E02"/>
    <w:rsid w:val="00DD28CD"/>
    <w:rsid w:val="00DD6EAB"/>
    <w:rsid w:val="00DE02AE"/>
    <w:rsid w:val="00DE382C"/>
    <w:rsid w:val="00DE39D1"/>
    <w:rsid w:val="00DE7F0D"/>
    <w:rsid w:val="00DF1D7F"/>
    <w:rsid w:val="00DF4BE4"/>
    <w:rsid w:val="00E02382"/>
    <w:rsid w:val="00E02FB4"/>
    <w:rsid w:val="00E13FC7"/>
    <w:rsid w:val="00E20571"/>
    <w:rsid w:val="00E235F7"/>
    <w:rsid w:val="00E23659"/>
    <w:rsid w:val="00E239D4"/>
    <w:rsid w:val="00E26130"/>
    <w:rsid w:val="00E27896"/>
    <w:rsid w:val="00E33D42"/>
    <w:rsid w:val="00E35BB2"/>
    <w:rsid w:val="00E40B22"/>
    <w:rsid w:val="00E441D9"/>
    <w:rsid w:val="00E44ED1"/>
    <w:rsid w:val="00E45619"/>
    <w:rsid w:val="00E4588F"/>
    <w:rsid w:val="00E46DA3"/>
    <w:rsid w:val="00E51BB1"/>
    <w:rsid w:val="00E55CB0"/>
    <w:rsid w:val="00E624A5"/>
    <w:rsid w:val="00E64BA4"/>
    <w:rsid w:val="00E7344E"/>
    <w:rsid w:val="00E766F1"/>
    <w:rsid w:val="00E82665"/>
    <w:rsid w:val="00EB0798"/>
    <w:rsid w:val="00EB40AD"/>
    <w:rsid w:val="00EB586E"/>
    <w:rsid w:val="00EB5CAC"/>
    <w:rsid w:val="00EB5FC8"/>
    <w:rsid w:val="00EC463D"/>
    <w:rsid w:val="00EC7A85"/>
    <w:rsid w:val="00ED2922"/>
    <w:rsid w:val="00ED3CAD"/>
    <w:rsid w:val="00ED5A41"/>
    <w:rsid w:val="00EE1DE8"/>
    <w:rsid w:val="00EE27C2"/>
    <w:rsid w:val="00EE7524"/>
    <w:rsid w:val="00EF2C79"/>
    <w:rsid w:val="00EF4BAD"/>
    <w:rsid w:val="00EF59DC"/>
    <w:rsid w:val="00EF68C9"/>
    <w:rsid w:val="00F033EC"/>
    <w:rsid w:val="00F039E5"/>
    <w:rsid w:val="00F04F68"/>
    <w:rsid w:val="00F12670"/>
    <w:rsid w:val="00F14B27"/>
    <w:rsid w:val="00F27F62"/>
    <w:rsid w:val="00F3148D"/>
    <w:rsid w:val="00F325C5"/>
    <w:rsid w:val="00F32FE0"/>
    <w:rsid w:val="00F35298"/>
    <w:rsid w:val="00F44626"/>
    <w:rsid w:val="00F46874"/>
    <w:rsid w:val="00F47333"/>
    <w:rsid w:val="00F47E37"/>
    <w:rsid w:val="00F52A8A"/>
    <w:rsid w:val="00F53C07"/>
    <w:rsid w:val="00F54B65"/>
    <w:rsid w:val="00F57354"/>
    <w:rsid w:val="00F63DBF"/>
    <w:rsid w:val="00F640B6"/>
    <w:rsid w:val="00F66DF2"/>
    <w:rsid w:val="00F71806"/>
    <w:rsid w:val="00F755DF"/>
    <w:rsid w:val="00F7740F"/>
    <w:rsid w:val="00F80E40"/>
    <w:rsid w:val="00F848D9"/>
    <w:rsid w:val="00FA5069"/>
    <w:rsid w:val="00FA5B82"/>
    <w:rsid w:val="00FA639E"/>
    <w:rsid w:val="00FB369D"/>
    <w:rsid w:val="00FC1FCA"/>
    <w:rsid w:val="00FC25E4"/>
    <w:rsid w:val="00FC4EF7"/>
    <w:rsid w:val="00FC53F8"/>
    <w:rsid w:val="00FD01FF"/>
    <w:rsid w:val="00FD0824"/>
    <w:rsid w:val="00FD119B"/>
    <w:rsid w:val="00FD1EDC"/>
    <w:rsid w:val="00FD1F9F"/>
    <w:rsid w:val="00FD6EAB"/>
    <w:rsid w:val="00FE1DEE"/>
    <w:rsid w:val="00FE360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92B6C9F"/>
  <w15:docId w15:val="{562436C4-8C52-4C8C-BF0F-75FDB26F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5302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977C30"/>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character" w:customStyle="1" w:styleId="st1">
    <w:name w:val="st1"/>
    <w:basedOn w:val="DefaultParagraphFont"/>
    <w:rsid w:val="00205706"/>
    <w:rPr>
      <w:b w:val="0"/>
      <w:bCs w:val="0"/>
      <w:color w:val="222222"/>
      <w:sz w:val="27"/>
      <w:szCs w:val="27"/>
    </w:rPr>
  </w:style>
  <w:style w:type="paragraph" w:styleId="ListParagraph">
    <w:name w:val="List Paragraph"/>
    <w:basedOn w:val="Normal"/>
    <w:uiPriority w:val="1"/>
    <w:qFormat/>
    <w:rsid w:val="00A53023"/>
    <w:pPr>
      <w:adjustRightInd w:val="0"/>
      <w:snapToGrid w:val="0"/>
      <w:spacing w:before="180" w:after="180"/>
      <w:ind w:left="720"/>
      <w:contextualSpacing/>
    </w:pPr>
    <w:rPr>
      <w:rFonts w:eastAsia="MS Mincho"/>
      <w:szCs w:val="20"/>
      <w:lang w:eastAsia="ja-JP"/>
    </w:rPr>
  </w:style>
  <w:style w:type="paragraph" w:customStyle="1" w:styleId="Default">
    <w:name w:val="Default"/>
    <w:rsid w:val="00A53023"/>
    <w:pPr>
      <w:autoSpaceDE w:val="0"/>
      <w:autoSpaceDN w:val="0"/>
      <w:adjustRightInd w:val="0"/>
      <w:spacing w:after="0" w:line="240" w:lineRule="auto"/>
    </w:pPr>
    <w:rPr>
      <w:rFonts w:ascii="Cambria" w:hAnsi="Cambria" w:cs="Cambria"/>
      <w:color w:val="000000"/>
      <w:sz w:val="24"/>
      <w:szCs w:val="24"/>
    </w:rPr>
  </w:style>
  <w:style w:type="character" w:customStyle="1" w:styleId="Heading8Char">
    <w:name w:val="Heading 8 Char"/>
    <w:basedOn w:val="DefaultParagraphFont"/>
    <w:link w:val="Heading8"/>
    <w:uiPriority w:val="9"/>
    <w:semiHidden/>
    <w:rsid w:val="00A53023"/>
    <w:rPr>
      <w:rFonts w:asciiTheme="majorHAnsi" w:eastAsiaTheme="majorEastAsia" w:hAnsiTheme="majorHAnsi" w:cstheme="majorBidi"/>
      <w:color w:val="272727" w:themeColor="text1" w:themeTint="D8"/>
      <w:sz w:val="21"/>
      <w:szCs w:val="21"/>
    </w:rPr>
  </w:style>
  <w:style w:type="paragraph" w:customStyle="1" w:styleId="FigureCaption">
    <w:name w:val="Figure Caption"/>
    <w:basedOn w:val="Normal"/>
    <w:qFormat/>
    <w:rsid w:val="00A53023"/>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A53023"/>
    <w:pPr>
      <w:spacing w:after="240"/>
    </w:pPr>
    <w:rPr>
      <w:sz w:val="17"/>
    </w:rPr>
  </w:style>
  <w:style w:type="table" w:customStyle="1" w:styleId="TableTGA2">
    <w:name w:val="Table TGA 2"/>
    <w:basedOn w:val="TableNormal"/>
    <w:uiPriority w:val="99"/>
    <w:rsid w:val="00A53023"/>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A53023"/>
    <w:pPr>
      <w:adjustRightInd w:val="0"/>
      <w:snapToGrid w:val="0"/>
      <w:spacing w:before="180" w:after="180"/>
    </w:pPr>
    <w:rPr>
      <w:rFonts w:eastAsia="MS Mincho"/>
      <w:b/>
      <w:szCs w:val="20"/>
      <w:lang w:eastAsia="ja-JP"/>
    </w:rPr>
  </w:style>
  <w:style w:type="paragraph" w:customStyle="1" w:styleId="Addressee">
    <w:name w:val="Addressee"/>
    <w:basedOn w:val="Normal"/>
    <w:qFormat/>
    <w:rsid w:val="00A53023"/>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A53023"/>
    <w:rPr>
      <w:rFonts w:ascii="Arial" w:hAnsi="Arial"/>
      <w:color w:val="002C47"/>
      <w:sz w:val="14"/>
    </w:rPr>
  </w:style>
  <w:style w:type="paragraph" w:customStyle="1" w:styleId="BodyCopy">
    <w:name w:val="Body Copy"/>
    <w:basedOn w:val="Normal"/>
    <w:qFormat/>
    <w:rsid w:val="00A53023"/>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A5302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53023"/>
    <w:rPr>
      <w:rFonts w:ascii="Cambria" w:eastAsia="Times New Roman" w:hAnsi="Cambria" w:cs="Times New Roman"/>
      <w:snapToGrid w:val="0"/>
      <w:kern w:val="16"/>
      <w:sz w:val="23"/>
      <w:szCs w:val="24"/>
    </w:rPr>
  </w:style>
  <w:style w:type="paragraph" w:customStyle="1" w:styleId="Bulletpoint">
    <w:name w:val="Bullet point"/>
    <w:basedOn w:val="Standard"/>
    <w:rsid w:val="00A53023"/>
    <w:pPr>
      <w:numPr>
        <w:numId w:val="6"/>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rsid w:val="00A53023"/>
    <w:pPr>
      <w:keepNext/>
      <w:spacing w:after="120"/>
    </w:pPr>
    <w:rPr>
      <w:b/>
      <w:i/>
      <w:kern w:val="2"/>
      <w:sz w:val="22"/>
    </w:rPr>
  </w:style>
  <w:style w:type="paragraph" w:styleId="NormalWeb">
    <w:name w:val="Normal (Web)"/>
    <w:basedOn w:val="Normal"/>
    <w:uiPriority w:val="99"/>
    <w:unhideWhenUsed/>
    <w:rsid w:val="00A53023"/>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A53023"/>
    <w:rPr>
      <w:i/>
      <w:iCs/>
    </w:rPr>
  </w:style>
  <w:style w:type="character" w:styleId="Strong">
    <w:name w:val="Strong"/>
    <w:basedOn w:val="DefaultParagraphFont"/>
    <w:uiPriority w:val="22"/>
    <w:qFormat/>
    <w:rsid w:val="00A53023"/>
    <w:rPr>
      <w:b/>
      <w:bCs/>
    </w:rPr>
  </w:style>
  <w:style w:type="character" w:customStyle="1" w:styleId="TabletextChar">
    <w:name w:val="Table text Char"/>
    <w:basedOn w:val="DefaultParagraphFont"/>
    <w:link w:val="Tabletext"/>
    <w:rsid w:val="00A53023"/>
    <w:rPr>
      <w:rFonts w:ascii="Cambria" w:eastAsia="Cambria" w:hAnsi="Cambria" w:cs="Times New Roman"/>
      <w:sz w:val="19"/>
    </w:rPr>
  </w:style>
  <w:style w:type="paragraph" w:customStyle="1" w:styleId="Comment1">
    <w:name w:val="Comment 1"/>
    <w:basedOn w:val="Normal"/>
    <w:next w:val="Normal"/>
    <w:qFormat/>
    <w:rsid w:val="00A530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BodyText">
    <w:name w:val="Body Text"/>
    <w:basedOn w:val="Normal"/>
    <w:link w:val="BodyTextChar"/>
    <w:uiPriority w:val="1"/>
    <w:qFormat/>
    <w:rsid w:val="00A53023"/>
    <w:pPr>
      <w:autoSpaceDE w:val="0"/>
      <w:autoSpaceDN w:val="0"/>
      <w:adjustRightInd w:val="0"/>
      <w:spacing w:before="0" w:after="0" w:line="240" w:lineRule="auto"/>
      <w:ind w:left="853" w:hanging="361"/>
    </w:pPr>
    <w:rPr>
      <w:rFonts w:ascii="Times New Roman" w:eastAsiaTheme="minorHAnsi" w:hAnsi="Times New Roman"/>
    </w:rPr>
  </w:style>
  <w:style w:type="character" w:customStyle="1" w:styleId="BodyTextChar">
    <w:name w:val="Body Text Char"/>
    <w:basedOn w:val="DefaultParagraphFont"/>
    <w:link w:val="BodyText"/>
    <w:uiPriority w:val="1"/>
    <w:rsid w:val="00A53023"/>
    <w:rPr>
      <w:rFonts w:ascii="Times New Roman" w:hAnsi="Times New Roman" w:cs="Times New Roman"/>
    </w:rPr>
  </w:style>
  <w:style w:type="paragraph" w:customStyle="1" w:styleId="TableParagraph">
    <w:name w:val="Table Paragraph"/>
    <w:basedOn w:val="Normal"/>
    <w:uiPriority w:val="1"/>
    <w:qFormat/>
    <w:rsid w:val="00A53023"/>
    <w:pPr>
      <w:autoSpaceDE w:val="0"/>
      <w:autoSpaceDN w:val="0"/>
      <w:adjustRightInd w:val="0"/>
      <w:spacing w:before="0" w:after="0" w:line="240" w:lineRule="auto"/>
    </w:pPr>
    <w:rPr>
      <w:rFonts w:ascii="Times New Roman" w:eastAsiaTheme="minorHAnsi" w:hAnsi="Times New Roman"/>
      <w:sz w:val="24"/>
      <w:szCs w:val="24"/>
    </w:rPr>
  </w:style>
  <w:style w:type="paragraph" w:customStyle="1" w:styleId="Bullet2">
    <w:name w:val="Bullet 2"/>
    <w:basedOn w:val="Normal"/>
    <w:rsid w:val="00A53023"/>
    <w:pPr>
      <w:numPr>
        <w:numId w:val="8"/>
      </w:numPr>
      <w:spacing w:after="0" w:line="240" w:lineRule="auto"/>
    </w:pPr>
    <w:rPr>
      <w:rFonts w:eastAsia="Times New Roman"/>
      <w:kern w:val="24"/>
      <w:szCs w:val="24"/>
      <w:lang w:eastAsia="en-AU"/>
    </w:rPr>
  </w:style>
  <w:style w:type="paragraph" w:customStyle="1" w:styleId="Bulletlist">
    <w:name w:val="Bullet list"/>
    <w:basedOn w:val="Standard"/>
    <w:link w:val="BulletlistChar"/>
    <w:qFormat/>
    <w:rsid w:val="00A53023"/>
    <w:pPr>
      <w:numPr>
        <w:numId w:val="9"/>
      </w:numPr>
      <w:spacing w:after="180"/>
      <w:ind w:left="426" w:hanging="284"/>
    </w:pPr>
    <w:rPr>
      <w:kern w:val="2"/>
    </w:rPr>
  </w:style>
  <w:style w:type="character" w:customStyle="1" w:styleId="BulletlistChar">
    <w:name w:val="Bullet list Char"/>
    <w:basedOn w:val="StandardChar"/>
    <w:link w:val="Bulletlist"/>
    <w:rsid w:val="00A53023"/>
    <w:rPr>
      <w:rFonts w:ascii="Cambria" w:eastAsia="Times New Roman" w:hAnsi="Cambria" w:cs="Times New Roman"/>
      <w:snapToGrid w:val="0"/>
      <w:kern w:val="2"/>
      <w:sz w:val="23"/>
      <w:szCs w:val="24"/>
    </w:rPr>
  </w:style>
  <w:style w:type="character" w:styleId="UnresolvedMention">
    <w:name w:val="Unresolved Mention"/>
    <w:basedOn w:val="DefaultParagraphFont"/>
    <w:uiPriority w:val="99"/>
    <w:semiHidden/>
    <w:unhideWhenUsed/>
    <w:rsid w:val="001B4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tga.gov.au/product-information-p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auspar/auspar-ibrutinib" TargetMode="External"/><Relationship Id="rId2" Type="http://schemas.openxmlformats.org/officeDocument/2006/relationships/hyperlink" Target="https://www.aihw.gov.au/reports/cancer/cancer-data-in-australia" TargetMode="External"/><Relationship Id="rId1" Type="http://schemas.openxmlformats.org/officeDocument/2006/relationships/hyperlink" Target="https://www.ema.europa.eu/en/documents/orphan-designation/eu/3/19/2167-public-summary-opinion-orphan-designation-zanubrutinib-treatment-lymphoplasmatic-lymphoma_en.pdf" TargetMode="External"/><Relationship Id="rId5" Type="http://schemas.openxmlformats.org/officeDocument/2006/relationships/hyperlink" Target="https://www.tga.gov.au/committee/advisory-committee-medicines-acm" TargetMode="External"/><Relationship Id="rId4" Type="http://schemas.openxmlformats.org/officeDocument/2006/relationships/hyperlink" Target="https://tga.govcms.gov.au/resources/auspar/auspar-brukins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410C7-6771-4909-88C4-01927D52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12717</Words>
  <Characters>71472</Characters>
  <Application>Microsoft Office Word</Application>
  <DocSecurity>0</DocSecurity>
  <Lines>1662</Lines>
  <Paragraphs>956</Paragraphs>
  <ScaleCrop>false</ScaleCrop>
  <HeadingPairs>
    <vt:vector size="2" baseType="variant">
      <vt:variant>
        <vt:lpstr>Title</vt:lpstr>
      </vt:variant>
      <vt:variant>
        <vt:i4>1</vt:i4>
      </vt:variant>
    </vt:vector>
  </HeadingPairs>
  <TitlesOfParts>
    <vt:vector size="1" baseType="lpstr">
      <vt:lpstr>Australian public assessment report for Brukinsa</vt:lpstr>
    </vt:vector>
  </TitlesOfParts>
  <Company>Department of Health Therapeutic Goods Administration</Company>
  <LinksUpToDate>false</LinksUpToDate>
  <CharactersWithSpaces>83233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Brukinsa</dc:title>
  <dc:subject>prescription medicines</dc:subject>
  <dc:creator>Therapeutic Goods Administration</dc:creator>
  <cp:keywords/>
  <cp:lastModifiedBy>LACK, Janet</cp:lastModifiedBy>
  <cp:revision>5</cp:revision>
  <cp:lastPrinted>2019-08-14T04:30:00Z</cp:lastPrinted>
  <dcterms:created xsi:type="dcterms:W3CDTF">2022-08-17T04:46:00Z</dcterms:created>
  <dcterms:modified xsi:type="dcterms:W3CDTF">2022-08-21T00:46:00Z</dcterms:modified>
  <cp:category/>
</cp:coreProperties>
</file>