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487162" w14:paraId="45454214" w14:textId="77777777" w:rsidTr="00BF1190">
        <w:trPr>
          <w:trHeight w:val="1863"/>
        </w:trPr>
        <w:tc>
          <w:tcPr>
            <w:tcW w:w="3652" w:type="dxa"/>
            <w:tcBorders>
              <w:top w:val="nil"/>
              <w:left w:val="nil"/>
              <w:bottom w:val="nil"/>
              <w:right w:val="nil"/>
            </w:tcBorders>
          </w:tcPr>
          <w:p w14:paraId="60C01DD4" w14:textId="06B01A27" w:rsidR="008E7846" w:rsidRPr="00096AA7" w:rsidRDefault="00306AEE" w:rsidP="00E42308">
            <w:pPr>
              <w:rPr>
                <w:rFonts w:ascii="Arial" w:hAnsi="Arial" w:cs="Arial"/>
                <w:b/>
                <w:color w:val="002C47"/>
                <w:sz w:val="36"/>
                <w:szCs w:val="36"/>
              </w:rPr>
            </w:pPr>
            <w:r>
              <w:rPr>
                <w:rFonts w:ascii="Arial" w:hAnsi="Arial" w:cs="Arial"/>
                <w:b/>
                <w:color w:val="002C47"/>
                <w:sz w:val="36"/>
                <w:szCs w:val="36"/>
              </w:rPr>
              <w:t>August</w:t>
            </w:r>
            <w:r w:rsidR="00E42308">
              <w:rPr>
                <w:rFonts w:ascii="Arial" w:hAnsi="Arial" w:cs="Arial"/>
                <w:b/>
                <w:color w:val="002C47"/>
                <w:sz w:val="36"/>
                <w:szCs w:val="36"/>
              </w:rPr>
              <w:t xml:space="preserve"> 2022</w:t>
            </w:r>
          </w:p>
        </w:tc>
      </w:tr>
    </w:tbl>
    <w:tbl>
      <w:tblPr>
        <w:tblpPr w:leftFromText="180" w:rightFromText="180" w:vertAnchor="page" w:tblpY="3316"/>
        <w:tblW w:w="9198" w:type="dxa"/>
        <w:tblLayout w:type="fixed"/>
        <w:tblLook w:val="04A0" w:firstRow="1" w:lastRow="0" w:firstColumn="1" w:lastColumn="0" w:noHBand="0" w:noVBand="1"/>
      </w:tblPr>
      <w:tblGrid>
        <w:gridCol w:w="9198"/>
      </w:tblGrid>
      <w:tr w:rsidR="0032583B" w:rsidRPr="00A964D1" w14:paraId="0F374C8F" w14:textId="77777777" w:rsidTr="00E42308">
        <w:trPr>
          <w:trHeight w:val="872"/>
        </w:trPr>
        <w:tc>
          <w:tcPr>
            <w:tcW w:w="9198" w:type="dxa"/>
          </w:tcPr>
          <w:p w14:paraId="0D04E0F8" w14:textId="5D39F022" w:rsidR="0032583B" w:rsidRPr="00A964D1" w:rsidRDefault="0032583B" w:rsidP="00E42308">
            <w:pPr>
              <w:pStyle w:val="Title"/>
              <w:rPr>
                <w:color w:val="FFFFFF" w:themeColor="background1"/>
              </w:rPr>
            </w:pPr>
            <w:r w:rsidRPr="00A964D1">
              <w:rPr>
                <w:color w:val="FFFFFF" w:themeColor="background1"/>
              </w:rPr>
              <w:t>Australian Public Assessment Report for</w:t>
            </w:r>
            <w:r w:rsidR="00E42308">
              <w:rPr>
                <w:color w:val="FFFFFF" w:themeColor="background1"/>
              </w:rPr>
              <w:t xml:space="preserve"> </w:t>
            </w:r>
            <w:proofErr w:type="spellStart"/>
            <w:r w:rsidR="00E42308">
              <w:rPr>
                <w:color w:val="FFFFFF" w:themeColor="background1"/>
              </w:rPr>
              <w:t>Tecentriq</w:t>
            </w:r>
            <w:proofErr w:type="spellEnd"/>
          </w:p>
        </w:tc>
      </w:tr>
      <w:tr w:rsidR="0032583B" w:rsidRPr="00B64760" w14:paraId="019968A5" w14:textId="77777777" w:rsidTr="00E42308">
        <w:trPr>
          <w:trHeight w:val="939"/>
        </w:trPr>
        <w:tc>
          <w:tcPr>
            <w:tcW w:w="9198" w:type="dxa"/>
          </w:tcPr>
          <w:p w14:paraId="5780C1D8" w14:textId="0D4D284D" w:rsidR="0032583B" w:rsidRPr="008E7846" w:rsidRDefault="00E42308" w:rsidP="00E42308">
            <w:pPr>
              <w:pStyle w:val="Subtitle"/>
              <w:ind w:left="0"/>
              <w:rPr>
                <w:color w:val="FFFFFF" w:themeColor="background1"/>
              </w:rPr>
            </w:pPr>
            <w:r>
              <w:rPr>
                <w:color w:val="FFFFFF" w:themeColor="background1"/>
              </w:rPr>
              <w:t>Active ingredient: Atezolizumab</w:t>
            </w:r>
          </w:p>
        </w:tc>
      </w:tr>
      <w:tr w:rsidR="0032583B" w:rsidRPr="00B64760" w14:paraId="1F1B92B2" w14:textId="77777777" w:rsidTr="00E42308">
        <w:trPr>
          <w:trHeight w:val="488"/>
        </w:trPr>
        <w:tc>
          <w:tcPr>
            <w:tcW w:w="9198" w:type="dxa"/>
          </w:tcPr>
          <w:p w14:paraId="75502801" w14:textId="3E29AF47" w:rsidR="0032583B" w:rsidRPr="008E7846" w:rsidRDefault="00E42308" w:rsidP="0089448F">
            <w:pPr>
              <w:pStyle w:val="Subtitle"/>
              <w:ind w:left="0"/>
              <w:rPr>
                <w:color w:val="FFFFFF" w:themeColor="background1"/>
              </w:rPr>
            </w:pPr>
            <w:r>
              <w:rPr>
                <w:color w:val="FFFFFF" w:themeColor="background1"/>
              </w:rPr>
              <w:t xml:space="preserve">Sponsor: </w:t>
            </w:r>
            <w:r w:rsidRPr="00222505">
              <w:rPr>
                <w:color w:val="FFFFFF" w:themeColor="background1"/>
              </w:rPr>
              <w:t>Roche P</w:t>
            </w:r>
            <w:r w:rsidR="0089448F">
              <w:rPr>
                <w:color w:val="FFFFFF" w:themeColor="background1"/>
              </w:rPr>
              <w:t>roducts</w:t>
            </w:r>
            <w:r w:rsidRPr="00222505">
              <w:rPr>
                <w:color w:val="FFFFFF" w:themeColor="background1"/>
              </w:rPr>
              <w:t xml:space="preserve"> Australia Pty Ltd</w:t>
            </w:r>
          </w:p>
        </w:tc>
      </w:tr>
    </w:tbl>
    <w:p w14:paraId="7FD77E11" w14:textId="77777777" w:rsidR="008E7846" w:rsidRPr="0085156D" w:rsidRDefault="008E7846" w:rsidP="0085156D">
      <w:r w:rsidRPr="0085156D">
        <w:br w:type="page"/>
      </w:r>
    </w:p>
    <w:p w14:paraId="090C565A" w14:textId="77777777" w:rsidR="008E7846" w:rsidRPr="001F6CBA" w:rsidRDefault="008E7846" w:rsidP="008E7846">
      <w:pPr>
        <w:pStyle w:val="NonTOCHeading2"/>
      </w:pPr>
      <w:r w:rsidRPr="001F6CBA">
        <w:lastRenderedPageBreak/>
        <w:t>About the Therapeutic Goods Administration (TGA)</w:t>
      </w:r>
    </w:p>
    <w:p w14:paraId="5C486BCC" w14:textId="77777777" w:rsidR="00AF2313" w:rsidRPr="00391B0C" w:rsidRDefault="00AF2313" w:rsidP="00AF2313">
      <w:pPr>
        <w:pStyle w:val="ListBullet"/>
      </w:pPr>
      <w:r w:rsidRPr="00391B0C">
        <w:t>The Therapeutic Goods Administration (TGA) is part of the Australian Government Department of Health and is responsible for regulating therapeutic goods, including medicines, medical devices, and biologicals.</w:t>
      </w:r>
    </w:p>
    <w:p w14:paraId="615C67DE" w14:textId="3E19FB51" w:rsidR="00AF2313" w:rsidRPr="00391B0C" w:rsidRDefault="00AF2313" w:rsidP="00AF2313">
      <w:pPr>
        <w:pStyle w:val="ListBullet"/>
      </w:pPr>
      <w:r w:rsidRPr="00391B0C">
        <w:t xml:space="preserve">The TGA administers the </w:t>
      </w:r>
      <w:r w:rsidRPr="00822FCB">
        <w:rPr>
          <w:i/>
          <w:iCs/>
        </w:rPr>
        <w:t>Therapeutic Goods Act 1989</w:t>
      </w:r>
      <w:r w:rsidRPr="00391B0C">
        <w:t xml:space="preserve"> (the Act), applying a risk management approach designed to ensure therapeutic goods supplied in Australia meet acceptable standards of quality, </w:t>
      </w:r>
      <w:r w:rsidR="00CC5044" w:rsidRPr="00391B0C">
        <w:t>safety,</w:t>
      </w:r>
      <w:r w:rsidRPr="00391B0C">
        <w:t xml:space="preserve"> and efficacy.</w:t>
      </w:r>
    </w:p>
    <w:p w14:paraId="3109AC08" w14:textId="77777777" w:rsidR="00AF2313" w:rsidRPr="003C6D1F" w:rsidRDefault="00AF2313" w:rsidP="00AF2313">
      <w:pPr>
        <w:pStyle w:val="ListBullet"/>
      </w:pPr>
      <w:r w:rsidRPr="003C6D1F">
        <w:t xml:space="preserve">The work of the TGA is based on applying scientific and clinical expertise to decision-making, to ensure that the benefits to </w:t>
      </w:r>
      <w:r>
        <w:t>the Australian public</w:t>
      </w:r>
      <w:r w:rsidRPr="003C6D1F">
        <w:t xml:space="preserve"> outweigh any risks associated with the use of </w:t>
      </w:r>
      <w:r>
        <w:t>therapeutic goods</w:t>
      </w:r>
      <w:r w:rsidRPr="003C6D1F">
        <w:t>.</w:t>
      </w:r>
    </w:p>
    <w:p w14:paraId="5B197676" w14:textId="77777777" w:rsidR="00AF2313" w:rsidRPr="003C6D1F" w:rsidRDefault="00AF2313" w:rsidP="00AF2313">
      <w:pPr>
        <w:pStyle w:val="ListBullet"/>
      </w:pPr>
      <w:r w:rsidRPr="003C6D1F">
        <w:t xml:space="preserve">The TGA relies on the public, healthcare professionals and industry to report problems with </w:t>
      </w:r>
      <w:r>
        <w:t>therapeutic goods</w:t>
      </w:r>
      <w:r w:rsidRPr="003C6D1F">
        <w:t>.</w:t>
      </w:r>
      <w:r>
        <w:t xml:space="preserve"> The</w:t>
      </w:r>
      <w:r w:rsidRPr="003C6D1F">
        <w:t xml:space="preserve"> TGA investigates reports received to determine any necessary regulatory action.</w:t>
      </w:r>
    </w:p>
    <w:p w14:paraId="7AE2789C" w14:textId="0660892C" w:rsidR="00AF2313" w:rsidRDefault="00AF2313" w:rsidP="00AF2313">
      <w:pPr>
        <w:pStyle w:val="ListBullet"/>
      </w:pPr>
      <w:r w:rsidRPr="003C6D1F">
        <w:t xml:space="preserve">To report a problem with a </w:t>
      </w:r>
      <w:r>
        <w:t>therapeutic good</w:t>
      </w:r>
      <w:r w:rsidRPr="003C6D1F">
        <w:t xml:space="preserve">, please see the information on the </w:t>
      </w:r>
      <w:hyperlink r:id="rId8" w:history="1">
        <w:r w:rsidRPr="000F15B4">
          <w:rPr>
            <w:rStyle w:val="Hyperlink"/>
          </w:rPr>
          <w:t>TGA website</w:t>
        </w:r>
      </w:hyperlink>
      <w:r w:rsidRPr="003C6D1F">
        <w:t>.</w:t>
      </w:r>
    </w:p>
    <w:p w14:paraId="24A6ABFB" w14:textId="77777777" w:rsidR="008E7846" w:rsidRDefault="008E7846" w:rsidP="00875A6B">
      <w:pPr>
        <w:pStyle w:val="NonTOCHeading2"/>
      </w:pPr>
      <w:r>
        <w:t xml:space="preserve">About </w:t>
      </w:r>
      <w:proofErr w:type="spellStart"/>
      <w:r>
        <w:t>AusPARs</w:t>
      </w:r>
      <w:proofErr w:type="spellEnd"/>
    </w:p>
    <w:p w14:paraId="3AC51836" w14:textId="407B0D3D" w:rsidR="00AF2313" w:rsidRPr="003C6D1F" w:rsidRDefault="00AF2313" w:rsidP="00AF2313">
      <w:pPr>
        <w:pStyle w:val="ListBullet"/>
      </w:pPr>
      <w:r>
        <w:t>The</w:t>
      </w:r>
      <w:r w:rsidRPr="003C6D1F">
        <w:t xml:space="preserve"> Australian Public Assessment Report (</w:t>
      </w:r>
      <w:proofErr w:type="spellStart"/>
      <w:r w:rsidRPr="003C6D1F">
        <w:t>AusPAR</w:t>
      </w:r>
      <w:proofErr w:type="spellEnd"/>
      <w:r w:rsidRPr="003C6D1F">
        <w:t>) provides information about the evaluation of a prescription medicine and the considerations that led the TGA to approve or not approve a prescription medicine submission.</w:t>
      </w:r>
      <w:r>
        <w:t xml:space="preserve"> Further information can be found in </w:t>
      </w:r>
      <w:hyperlink r:id="rId9" w:history="1">
        <w:r w:rsidRPr="005A2EB8">
          <w:rPr>
            <w:rStyle w:val="Hyperlink"/>
          </w:rPr>
          <w:t>Australian Public Assessment Report (</w:t>
        </w:r>
        <w:proofErr w:type="spellStart"/>
        <w:r w:rsidRPr="005A2EB8">
          <w:rPr>
            <w:rStyle w:val="Hyperlink"/>
          </w:rPr>
          <w:t>AusPAR</w:t>
        </w:r>
        <w:proofErr w:type="spellEnd"/>
        <w:r w:rsidRPr="005A2EB8">
          <w:rPr>
            <w:rStyle w:val="Hyperlink"/>
          </w:rPr>
          <w:t>) guidance</w:t>
        </w:r>
      </w:hyperlink>
      <w:r>
        <w:t>.</w:t>
      </w:r>
    </w:p>
    <w:p w14:paraId="363EABB4" w14:textId="77777777" w:rsidR="00AF2313" w:rsidRPr="003C6D1F" w:rsidRDefault="00AF2313" w:rsidP="00AF2313">
      <w:pPr>
        <w:pStyle w:val="ListBullet"/>
      </w:pPr>
      <w:proofErr w:type="spellStart"/>
      <w:r w:rsidRPr="003C6D1F">
        <w:t>AusPARs</w:t>
      </w:r>
      <w:proofErr w:type="spellEnd"/>
      <w:r w:rsidRPr="003C6D1F">
        <w:t xml:space="preserve"> are prepared and published by the TGA.</w:t>
      </w:r>
    </w:p>
    <w:p w14:paraId="1D4DFB4C" w14:textId="1A1EA017" w:rsidR="00AF2313" w:rsidRPr="003C6D1F" w:rsidRDefault="00AF2313" w:rsidP="00AF2313">
      <w:pPr>
        <w:pStyle w:val="ListBullet"/>
      </w:pPr>
      <w:proofErr w:type="spellStart"/>
      <w:r w:rsidRPr="003C6D1F">
        <w:t>AusPAR</w:t>
      </w:r>
      <w:r>
        <w:t>s</w:t>
      </w:r>
      <w:proofErr w:type="spellEnd"/>
      <w:r>
        <w:t xml:space="preserve"> are </w:t>
      </w:r>
      <w:r w:rsidRPr="003C6D1F">
        <w:t>static document</w:t>
      </w:r>
      <w:r>
        <w:t xml:space="preserve">s that </w:t>
      </w:r>
      <w:r w:rsidRPr="003C6D1F">
        <w:t>provide information that relates to a submission at a particular point in time.</w:t>
      </w:r>
      <w:r w:rsidR="008110BC">
        <w:t xml:space="preserve"> The publication of an </w:t>
      </w:r>
      <w:proofErr w:type="spellStart"/>
      <w:r w:rsidR="008110BC">
        <w:t>AusPAR</w:t>
      </w:r>
      <w:proofErr w:type="spellEnd"/>
      <w:r w:rsidR="008110BC">
        <w:t xml:space="preserve"> is an important part of the transparency of the TGA’s decision-making process.</w:t>
      </w:r>
    </w:p>
    <w:p w14:paraId="53AE6375" w14:textId="77777777" w:rsidR="00AF2313" w:rsidRPr="003C6D1F" w:rsidRDefault="00AF2313" w:rsidP="00AF2313">
      <w:pPr>
        <w:pStyle w:val="ListBullet"/>
      </w:pPr>
      <w:r w:rsidRPr="003C6D1F">
        <w:t xml:space="preserve">A new </w:t>
      </w:r>
      <w:proofErr w:type="spellStart"/>
      <w:r w:rsidRPr="003C6D1F">
        <w:t>AusPAR</w:t>
      </w:r>
      <w:proofErr w:type="spellEnd"/>
      <w:r w:rsidRPr="003C6D1F">
        <w:t xml:space="preserve"> </w:t>
      </w:r>
      <w:r>
        <w:t xml:space="preserve">may be provided </w:t>
      </w:r>
      <w:r w:rsidRPr="003C6D1F">
        <w:t>to reflect changes to indications or major variations to a prescription medicine subject to evaluation by the TGA.</w:t>
      </w:r>
    </w:p>
    <w:p w14:paraId="5ADB5B20" w14:textId="77777777" w:rsidR="00924482" w:rsidRPr="00DF1D7F" w:rsidRDefault="00924482" w:rsidP="00F54B65">
      <w:pPr>
        <w:pStyle w:val="LegalSubheading"/>
        <w:spacing w:before="3120"/>
      </w:pPr>
      <w:r w:rsidRPr="00DF1D7F">
        <w:t>Copyright</w:t>
      </w:r>
    </w:p>
    <w:p w14:paraId="2C43B870" w14:textId="4BB7B61A" w:rsidR="00924482" w:rsidRDefault="00924482" w:rsidP="00924482">
      <w:pPr>
        <w:pStyle w:val="LegalCopy"/>
      </w:pPr>
      <w:r w:rsidRPr="00191B3B">
        <w:rPr>
          <w:rFonts w:cs="Arial"/>
          <w:lang w:val="en-GB"/>
        </w:rPr>
        <w:t>© Comm</w:t>
      </w:r>
      <w:r>
        <w:rPr>
          <w:rFonts w:cs="Arial"/>
          <w:lang w:val="en-GB"/>
        </w:rPr>
        <w:t>onwealth of Australia 20</w:t>
      </w:r>
      <w:r w:rsidR="00460036">
        <w:rPr>
          <w:rFonts w:cs="Arial"/>
          <w:lang w:val="en-GB"/>
        </w:rPr>
        <w:t>2</w:t>
      </w:r>
      <w:r w:rsidR="00AF2313">
        <w:rPr>
          <w:rFonts w:cs="Arial"/>
          <w:lang w:val="en-GB"/>
        </w:rPr>
        <w:t>2</w:t>
      </w:r>
      <w:r w:rsidRPr="00191B3B">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191B3B">
        <w:rPr>
          <w:rFonts w:cs="Arial"/>
          <w:i/>
          <w:lang w:val="en-GB"/>
        </w:rPr>
        <w:t>Copyright Act 1968</w:t>
      </w:r>
      <w:r w:rsidRPr="00191B3B">
        <w:rPr>
          <w:rFonts w:cs="Arial"/>
          <w:lang w:val="en-GB"/>
        </w:rPr>
        <w:t xml:space="preserve"> or allowed by this copyright notice, all other rights are </w:t>
      </w:r>
      <w:proofErr w:type="gramStart"/>
      <w:r w:rsidRPr="00191B3B">
        <w:rPr>
          <w:rFonts w:cs="Arial"/>
          <w:lang w:val="en-GB"/>
        </w:rPr>
        <w:t>reserved</w:t>
      </w:r>
      <w:proofErr w:type="gramEnd"/>
      <w:r w:rsidRPr="00191B3B">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191B3B">
        <w:rPr>
          <w:rFonts w:cs="Arial"/>
          <w:lang w:val="en-GB"/>
        </w:rPr>
        <w:t>Woden</w:t>
      </w:r>
      <w:proofErr w:type="spellEnd"/>
      <w:r w:rsidRPr="00191B3B">
        <w:rPr>
          <w:rFonts w:cs="Arial"/>
          <w:lang w:val="en-GB"/>
        </w:rPr>
        <w:t xml:space="preserve"> ACT 2606 or emailed to &lt;</w:t>
      </w:r>
      <w:hyperlink r:id="rId10" w:history="1">
        <w:r w:rsidRPr="00191B3B">
          <w:rPr>
            <w:rStyle w:val="Hyperlink"/>
            <w:rFonts w:cs="Arial"/>
            <w:lang w:val="en-GB"/>
          </w:rPr>
          <w:t>tga.copyright@tga.gov.au</w:t>
        </w:r>
      </w:hyperlink>
      <w:r w:rsidRPr="00191B3B">
        <w:rPr>
          <w:rFonts w:cs="Arial"/>
        </w:rPr>
        <w:t>&gt;.</w:t>
      </w:r>
    </w:p>
    <w:p w14:paraId="3D07640C" w14:textId="77777777" w:rsidR="00924482" w:rsidRDefault="00924482" w:rsidP="00924482">
      <w:pPr>
        <w:pStyle w:val="LegalCopy"/>
        <w:sectPr w:rsidR="0092448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
          <w:bCs w:val="0"/>
          <w:sz w:val="25"/>
        </w:rPr>
      </w:sdtEndPr>
      <w:sdtContent>
        <w:p w14:paraId="5F960583" w14:textId="77777777" w:rsidR="0089635C" w:rsidRPr="0089635C" w:rsidRDefault="0089635C" w:rsidP="0010788A">
          <w:pPr>
            <w:pStyle w:val="Contents"/>
          </w:pPr>
          <w:r w:rsidRPr="0010788A">
            <w:t>Contents</w:t>
          </w:r>
        </w:p>
        <w:p w14:paraId="3F4E9AA2" w14:textId="61AA4642" w:rsidR="00C05B15" w:rsidRDefault="00C525A2">
          <w:pPr>
            <w:pStyle w:val="TOC1"/>
            <w:rPr>
              <w:rFonts w:asciiTheme="minorHAnsi" w:eastAsiaTheme="minorEastAsia" w:hAnsiTheme="minorHAnsi" w:cstheme="minorBidi"/>
              <w:b w:val="0"/>
              <w:noProof/>
              <w:sz w:val="22"/>
              <w:lang w:eastAsia="en-AU"/>
            </w:rPr>
          </w:pPr>
          <w:r>
            <w:fldChar w:fldCharType="begin"/>
          </w:r>
          <w:r>
            <w:instrText xml:space="preserve"> TOC \h \z \t "Heading 2,1,Heading 3,2" </w:instrText>
          </w:r>
          <w:r>
            <w:fldChar w:fldCharType="separate"/>
          </w:r>
          <w:hyperlink w:anchor="_Toc110856874" w:history="1">
            <w:r w:rsidR="00C05B15" w:rsidRPr="00FC6E85">
              <w:rPr>
                <w:rStyle w:val="Hyperlink"/>
                <w:noProof/>
              </w:rPr>
              <w:t>List of abbreviations</w:t>
            </w:r>
            <w:r w:rsidR="00C05B15">
              <w:rPr>
                <w:noProof/>
                <w:webHidden/>
              </w:rPr>
              <w:tab/>
            </w:r>
            <w:r w:rsidR="00C05B15">
              <w:rPr>
                <w:noProof/>
                <w:webHidden/>
              </w:rPr>
              <w:fldChar w:fldCharType="begin"/>
            </w:r>
            <w:r w:rsidR="00C05B15">
              <w:rPr>
                <w:noProof/>
                <w:webHidden/>
              </w:rPr>
              <w:instrText xml:space="preserve"> PAGEREF _Toc110856874 \h </w:instrText>
            </w:r>
            <w:r w:rsidR="00C05B15">
              <w:rPr>
                <w:noProof/>
                <w:webHidden/>
              </w:rPr>
            </w:r>
            <w:r w:rsidR="00C05B15">
              <w:rPr>
                <w:noProof/>
                <w:webHidden/>
              </w:rPr>
              <w:fldChar w:fldCharType="separate"/>
            </w:r>
            <w:r w:rsidR="00C05B15">
              <w:rPr>
                <w:noProof/>
                <w:webHidden/>
              </w:rPr>
              <w:t>4</w:t>
            </w:r>
            <w:r w:rsidR="00C05B15">
              <w:rPr>
                <w:noProof/>
                <w:webHidden/>
              </w:rPr>
              <w:fldChar w:fldCharType="end"/>
            </w:r>
          </w:hyperlink>
        </w:p>
        <w:p w14:paraId="458F1936" w14:textId="2D332867" w:rsidR="00C05B15" w:rsidRDefault="00764F2D">
          <w:pPr>
            <w:pStyle w:val="TOC1"/>
            <w:rPr>
              <w:rFonts w:asciiTheme="minorHAnsi" w:eastAsiaTheme="minorEastAsia" w:hAnsiTheme="minorHAnsi" w:cstheme="minorBidi"/>
              <w:b w:val="0"/>
              <w:noProof/>
              <w:sz w:val="22"/>
              <w:lang w:eastAsia="en-AU"/>
            </w:rPr>
          </w:pPr>
          <w:hyperlink w:anchor="_Toc110856875" w:history="1">
            <w:r w:rsidR="00C05B15" w:rsidRPr="00FC6E85">
              <w:rPr>
                <w:rStyle w:val="Hyperlink"/>
                <w:noProof/>
              </w:rPr>
              <w:t>Product submission</w:t>
            </w:r>
            <w:r w:rsidR="00C05B15">
              <w:rPr>
                <w:noProof/>
                <w:webHidden/>
              </w:rPr>
              <w:tab/>
            </w:r>
            <w:r w:rsidR="00C05B15">
              <w:rPr>
                <w:noProof/>
                <w:webHidden/>
              </w:rPr>
              <w:fldChar w:fldCharType="begin"/>
            </w:r>
            <w:r w:rsidR="00C05B15">
              <w:rPr>
                <w:noProof/>
                <w:webHidden/>
              </w:rPr>
              <w:instrText xml:space="preserve"> PAGEREF _Toc110856875 \h </w:instrText>
            </w:r>
            <w:r w:rsidR="00C05B15">
              <w:rPr>
                <w:noProof/>
                <w:webHidden/>
              </w:rPr>
            </w:r>
            <w:r w:rsidR="00C05B15">
              <w:rPr>
                <w:noProof/>
                <w:webHidden/>
              </w:rPr>
              <w:fldChar w:fldCharType="separate"/>
            </w:r>
            <w:r w:rsidR="00C05B15">
              <w:rPr>
                <w:noProof/>
                <w:webHidden/>
              </w:rPr>
              <w:t>6</w:t>
            </w:r>
            <w:r w:rsidR="00C05B15">
              <w:rPr>
                <w:noProof/>
                <w:webHidden/>
              </w:rPr>
              <w:fldChar w:fldCharType="end"/>
            </w:r>
          </w:hyperlink>
        </w:p>
        <w:p w14:paraId="1DC6F6B9" w14:textId="74048977" w:rsidR="00C05B15" w:rsidRDefault="00764F2D">
          <w:pPr>
            <w:pStyle w:val="TOC2"/>
            <w:rPr>
              <w:rFonts w:asciiTheme="minorHAnsi" w:eastAsiaTheme="minorEastAsia" w:hAnsiTheme="minorHAnsi" w:cstheme="minorBidi"/>
              <w:b w:val="0"/>
              <w:noProof/>
              <w:sz w:val="22"/>
              <w:lang w:eastAsia="en-AU"/>
            </w:rPr>
          </w:pPr>
          <w:hyperlink w:anchor="_Toc110856876" w:history="1">
            <w:r w:rsidR="00C05B15" w:rsidRPr="00FC6E85">
              <w:rPr>
                <w:rStyle w:val="Hyperlink"/>
                <w:noProof/>
                <w:lang w:eastAsia="en-AU"/>
              </w:rPr>
              <w:t>Submission details</w:t>
            </w:r>
            <w:r w:rsidR="00C05B15">
              <w:rPr>
                <w:noProof/>
                <w:webHidden/>
              </w:rPr>
              <w:tab/>
            </w:r>
            <w:r w:rsidR="00C05B15">
              <w:rPr>
                <w:noProof/>
                <w:webHidden/>
              </w:rPr>
              <w:fldChar w:fldCharType="begin"/>
            </w:r>
            <w:r w:rsidR="00C05B15">
              <w:rPr>
                <w:noProof/>
                <w:webHidden/>
              </w:rPr>
              <w:instrText xml:space="preserve"> PAGEREF _Toc110856876 \h </w:instrText>
            </w:r>
            <w:r w:rsidR="00C05B15">
              <w:rPr>
                <w:noProof/>
                <w:webHidden/>
              </w:rPr>
            </w:r>
            <w:r w:rsidR="00C05B15">
              <w:rPr>
                <w:noProof/>
                <w:webHidden/>
              </w:rPr>
              <w:fldChar w:fldCharType="separate"/>
            </w:r>
            <w:r w:rsidR="00C05B15">
              <w:rPr>
                <w:noProof/>
                <w:webHidden/>
              </w:rPr>
              <w:t>6</w:t>
            </w:r>
            <w:r w:rsidR="00C05B15">
              <w:rPr>
                <w:noProof/>
                <w:webHidden/>
              </w:rPr>
              <w:fldChar w:fldCharType="end"/>
            </w:r>
          </w:hyperlink>
        </w:p>
        <w:p w14:paraId="74F3E355" w14:textId="7B994CC3" w:rsidR="00C05B15" w:rsidRDefault="00764F2D">
          <w:pPr>
            <w:pStyle w:val="TOC2"/>
            <w:rPr>
              <w:rFonts w:asciiTheme="minorHAnsi" w:eastAsiaTheme="minorEastAsia" w:hAnsiTheme="minorHAnsi" w:cstheme="minorBidi"/>
              <w:b w:val="0"/>
              <w:noProof/>
              <w:sz w:val="22"/>
              <w:lang w:eastAsia="en-AU"/>
            </w:rPr>
          </w:pPr>
          <w:hyperlink w:anchor="_Toc110856877" w:history="1">
            <w:r w:rsidR="00C05B15" w:rsidRPr="00FC6E85">
              <w:rPr>
                <w:rStyle w:val="Hyperlink"/>
                <w:noProof/>
              </w:rPr>
              <w:t>Product background</w:t>
            </w:r>
            <w:r w:rsidR="00C05B15">
              <w:rPr>
                <w:noProof/>
                <w:webHidden/>
              </w:rPr>
              <w:tab/>
            </w:r>
            <w:r w:rsidR="00C05B15">
              <w:rPr>
                <w:noProof/>
                <w:webHidden/>
              </w:rPr>
              <w:fldChar w:fldCharType="begin"/>
            </w:r>
            <w:r w:rsidR="00C05B15">
              <w:rPr>
                <w:noProof/>
                <w:webHidden/>
              </w:rPr>
              <w:instrText xml:space="preserve"> PAGEREF _Toc110856877 \h </w:instrText>
            </w:r>
            <w:r w:rsidR="00C05B15">
              <w:rPr>
                <w:noProof/>
                <w:webHidden/>
              </w:rPr>
            </w:r>
            <w:r w:rsidR="00C05B15">
              <w:rPr>
                <w:noProof/>
                <w:webHidden/>
              </w:rPr>
              <w:fldChar w:fldCharType="separate"/>
            </w:r>
            <w:r w:rsidR="00C05B15">
              <w:rPr>
                <w:noProof/>
                <w:webHidden/>
              </w:rPr>
              <w:t>7</w:t>
            </w:r>
            <w:r w:rsidR="00C05B15">
              <w:rPr>
                <w:noProof/>
                <w:webHidden/>
              </w:rPr>
              <w:fldChar w:fldCharType="end"/>
            </w:r>
          </w:hyperlink>
        </w:p>
        <w:p w14:paraId="4B6522B3" w14:textId="15828F62" w:rsidR="00C05B15" w:rsidRDefault="00764F2D">
          <w:pPr>
            <w:pStyle w:val="TOC2"/>
            <w:rPr>
              <w:rFonts w:asciiTheme="minorHAnsi" w:eastAsiaTheme="minorEastAsia" w:hAnsiTheme="minorHAnsi" w:cstheme="minorBidi"/>
              <w:b w:val="0"/>
              <w:noProof/>
              <w:sz w:val="22"/>
              <w:lang w:eastAsia="en-AU"/>
            </w:rPr>
          </w:pPr>
          <w:hyperlink w:anchor="_Toc110856878" w:history="1">
            <w:r w:rsidR="00C05B15" w:rsidRPr="00FC6E85">
              <w:rPr>
                <w:rStyle w:val="Hyperlink"/>
                <w:noProof/>
              </w:rPr>
              <w:t>Regulatory status</w:t>
            </w:r>
            <w:r w:rsidR="00C05B15">
              <w:rPr>
                <w:noProof/>
                <w:webHidden/>
              </w:rPr>
              <w:tab/>
            </w:r>
            <w:r w:rsidR="00C05B15">
              <w:rPr>
                <w:noProof/>
                <w:webHidden/>
              </w:rPr>
              <w:fldChar w:fldCharType="begin"/>
            </w:r>
            <w:r w:rsidR="00C05B15">
              <w:rPr>
                <w:noProof/>
                <w:webHidden/>
              </w:rPr>
              <w:instrText xml:space="preserve"> PAGEREF _Toc110856878 \h </w:instrText>
            </w:r>
            <w:r w:rsidR="00C05B15">
              <w:rPr>
                <w:noProof/>
                <w:webHidden/>
              </w:rPr>
            </w:r>
            <w:r w:rsidR="00C05B15">
              <w:rPr>
                <w:noProof/>
                <w:webHidden/>
              </w:rPr>
              <w:fldChar w:fldCharType="separate"/>
            </w:r>
            <w:r w:rsidR="00C05B15">
              <w:rPr>
                <w:noProof/>
                <w:webHidden/>
              </w:rPr>
              <w:t>9</w:t>
            </w:r>
            <w:r w:rsidR="00C05B15">
              <w:rPr>
                <w:noProof/>
                <w:webHidden/>
              </w:rPr>
              <w:fldChar w:fldCharType="end"/>
            </w:r>
          </w:hyperlink>
        </w:p>
        <w:p w14:paraId="01F0F962" w14:textId="6C4D7CBC" w:rsidR="00C05B15" w:rsidRDefault="00764F2D">
          <w:pPr>
            <w:pStyle w:val="TOC1"/>
            <w:rPr>
              <w:rFonts w:asciiTheme="minorHAnsi" w:eastAsiaTheme="minorEastAsia" w:hAnsiTheme="minorHAnsi" w:cstheme="minorBidi"/>
              <w:b w:val="0"/>
              <w:noProof/>
              <w:sz w:val="22"/>
              <w:lang w:eastAsia="en-AU"/>
            </w:rPr>
          </w:pPr>
          <w:hyperlink w:anchor="_Toc110856879" w:history="1">
            <w:r w:rsidR="00C05B15" w:rsidRPr="00FC6E85">
              <w:rPr>
                <w:rStyle w:val="Hyperlink"/>
                <w:noProof/>
              </w:rPr>
              <w:t>Registration timeline</w:t>
            </w:r>
            <w:r w:rsidR="00C05B15">
              <w:rPr>
                <w:noProof/>
                <w:webHidden/>
              </w:rPr>
              <w:tab/>
            </w:r>
            <w:r w:rsidR="00C05B15">
              <w:rPr>
                <w:noProof/>
                <w:webHidden/>
              </w:rPr>
              <w:fldChar w:fldCharType="begin"/>
            </w:r>
            <w:r w:rsidR="00C05B15">
              <w:rPr>
                <w:noProof/>
                <w:webHidden/>
              </w:rPr>
              <w:instrText xml:space="preserve"> PAGEREF _Toc110856879 \h </w:instrText>
            </w:r>
            <w:r w:rsidR="00C05B15">
              <w:rPr>
                <w:noProof/>
                <w:webHidden/>
              </w:rPr>
            </w:r>
            <w:r w:rsidR="00C05B15">
              <w:rPr>
                <w:noProof/>
                <w:webHidden/>
              </w:rPr>
              <w:fldChar w:fldCharType="separate"/>
            </w:r>
            <w:r w:rsidR="00C05B15">
              <w:rPr>
                <w:noProof/>
                <w:webHidden/>
              </w:rPr>
              <w:t>11</w:t>
            </w:r>
            <w:r w:rsidR="00C05B15">
              <w:rPr>
                <w:noProof/>
                <w:webHidden/>
              </w:rPr>
              <w:fldChar w:fldCharType="end"/>
            </w:r>
          </w:hyperlink>
        </w:p>
        <w:p w14:paraId="149BDB9A" w14:textId="62718479" w:rsidR="00C05B15" w:rsidRDefault="00764F2D">
          <w:pPr>
            <w:pStyle w:val="TOC1"/>
            <w:rPr>
              <w:rFonts w:asciiTheme="minorHAnsi" w:eastAsiaTheme="minorEastAsia" w:hAnsiTheme="minorHAnsi" w:cstheme="minorBidi"/>
              <w:b w:val="0"/>
              <w:noProof/>
              <w:sz w:val="22"/>
              <w:lang w:eastAsia="en-AU"/>
            </w:rPr>
          </w:pPr>
          <w:hyperlink w:anchor="_Toc110856880" w:history="1">
            <w:r w:rsidR="00C05B15" w:rsidRPr="00FC6E85">
              <w:rPr>
                <w:rStyle w:val="Hyperlink"/>
                <w:noProof/>
              </w:rPr>
              <w:t>Submission overview and risk/benefit assessment</w:t>
            </w:r>
            <w:r w:rsidR="00C05B15">
              <w:rPr>
                <w:noProof/>
                <w:webHidden/>
              </w:rPr>
              <w:tab/>
            </w:r>
            <w:r w:rsidR="00C05B15">
              <w:rPr>
                <w:noProof/>
                <w:webHidden/>
              </w:rPr>
              <w:fldChar w:fldCharType="begin"/>
            </w:r>
            <w:r w:rsidR="00C05B15">
              <w:rPr>
                <w:noProof/>
                <w:webHidden/>
              </w:rPr>
              <w:instrText xml:space="preserve"> PAGEREF _Toc110856880 \h </w:instrText>
            </w:r>
            <w:r w:rsidR="00C05B15">
              <w:rPr>
                <w:noProof/>
                <w:webHidden/>
              </w:rPr>
            </w:r>
            <w:r w:rsidR="00C05B15">
              <w:rPr>
                <w:noProof/>
                <w:webHidden/>
              </w:rPr>
              <w:fldChar w:fldCharType="separate"/>
            </w:r>
            <w:r w:rsidR="00C05B15">
              <w:rPr>
                <w:noProof/>
                <w:webHidden/>
              </w:rPr>
              <w:t>11</w:t>
            </w:r>
            <w:r w:rsidR="00C05B15">
              <w:rPr>
                <w:noProof/>
                <w:webHidden/>
              </w:rPr>
              <w:fldChar w:fldCharType="end"/>
            </w:r>
          </w:hyperlink>
        </w:p>
        <w:p w14:paraId="3A4462DD" w14:textId="2AB0DC35" w:rsidR="00C05B15" w:rsidRDefault="00764F2D">
          <w:pPr>
            <w:pStyle w:val="TOC2"/>
            <w:rPr>
              <w:rFonts w:asciiTheme="minorHAnsi" w:eastAsiaTheme="minorEastAsia" w:hAnsiTheme="minorHAnsi" w:cstheme="minorBidi"/>
              <w:b w:val="0"/>
              <w:noProof/>
              <w:sz w:val="22"/>
              <w:lang w:eastAsia="en-AU"/>
            </w:rPr>
          </w:pPr>
          <w:hyperlink w:anchor="_Toc110856881" w:history="1">
            <w:r w:rsidR="00C05B15" w:rsidRPr="00FC6E85">
              <w:rPr>
                <w:rStyle w:val="Hyperlink"/>
                <w:noProof/>
              </w:rPr>
              <w:t>Quality</w:t>
            </w:r>
            <w:r w:rsidR="00C05B15">
              <w:rPr>
                <w:noProof/>
                <w:webHidden/>
              </w:rPr>
              <w:tab/>
            </w:r>
            <w:r w:rsidR="00C05B15">
              <w:rPr>
                <w:noProof/>
                <w:webHidden/>
              </w:rPr>
              <w:fldChar w:fldCharType="begin"/>
            </w:r>
            <w:r w:rsidR="00C05B15">
              <w:rPr>
                <w:noProof/>
                <w:webHidden/>
              </w:rPr>
              <w:instrText xml:space="preserve"> PAGEREF _Toc110856881 \h </w:instrText>
            </w:r>
            <w:r w:rsidR="00C05B15">
              <w:rPr>
                <w:noProof/>
                <w:webHidden/>
              </w:rPr>
            </w:r>
            <w:r w:rsidR="00C05B15">
              <w:rPr>
                <w:noProof/>
                <w:webHidden/>
              </w:rPr>
              <w:fldChar w:fldCharType="separate"/>
            </w:r>
            <w:r w:rsidR="00C05B15">
              <w:rPr>
                <w:noProof/>
                <w:webHidden/>
              </w:rPr>
              <w:t>11</w:t>
            </w:r>
            <w:r w:rsidR="00C05B15">
              <w:rPr>
                <w:noProof/>
                <w:webHidden/>
              </w:rPr>
              <w:fldChar w:fldCharType="end"/>
            </w:r>
          </w:hyperlink>
        </w:p>
        <w:p w14:paraId="6C918070" w14:textId="273B90F6" w:rsidR="00C05B15" w:rsidRDefault="00764F2D">
          <w:pPr>
            <w:pStyle w:val="TOC2"/>
            <w:rPr>
              <w:rFonts w:asciiTheme="minorHAnsi" w:eastAsiaTheme="minorEastAsia" w:hAnsiTheme="minorHAnsi" w:cstheme="minorBidi"/>
              <w:b w:val="0"/>
              <w:noProof/>
              <w:sz w:val="22"/>
              <w:lang w:eastAsia="en-AU"/>
            </w:rPr>
          </w:pPr>
          <w:hyperlink w:anchor="_Toc110856882" w:history="1">
            <w:r w:rsidR="00C05B15" w:rsidRPr="00FC6E85">
              <w:rPr>
                <w:rStyle w:val="Hyperlink"/>
                <w:noProof/>
              </w:rPr>
              <w:t>Nonclinical</w:t>
            </w:r>
            <w:r w:rsidR="00C05B15">
              <w:rPr>
                <w:noProof/>
                <w:webHidden/>
              </w:rPr>
              <w:tab/>
            </w:r>
            <w:r w:rsidR="00C05B15">
              <w:rPr>
                <w:noProof/>
                <w:webHidden/>
              </w:rPr>
              <w:fldChar w:fldCharType="begin"/>
            </w:r>
            <w:r w:rsidR="00C05B15">
              <w:rPr>
                <w:noProof/>
                <w:webHidden/>
              </w:rPr>
              <w:instrText xml:space="preserve"> PAGEREF _Toc110856882 \h </w:instrText>
            </w:r>
            <w:r w:rsidR="00C05B15">
              <w:rPr>
                <w:noProof/>
                <w:webHidden/>
              </w:rPr>
            </w:r>
            <w:r w:rsidR="00C05B15">
              <w:rPr>
                <w:noProof/>
                <w:webHidden/>
              </w:rPr>
              <w:fldChar w:fldCharType="separate"/>
            </w:r>
            <w:r w:rsidR="00C05B15">
              <w:rPr>
                <w:noProof/>
                <w:webHidden/>
              </w:rPr>
              <w:t>11</w:t>
            </w:r>
            <w:r w:rsidR="00C05B15">
              <w:rPr>
                <w:noProof/>
                <w:webHidden/>
              </w:rPr>
              <w:fldChar w:fldCharType="end"/>
            </w:r>
          </w:hyperlink>
        </w:p>
        <w:p w14:paraId="24F945D2" w14:textId="09A9412F" w:rsidR="00C05B15" w:rsidRDefault="00764F2D">
          <w:pPr>
            <w:pStyle w:val="TOC2"/>
            <w:rPr>
              <w:rFonts w:asciiTheme="minorHAnsi" w:eastAsiaTheme="minorEastAsia" w:hAnsiTheme="minorHAnsi" w:cstheme="minorBidi"/>
              <w:b w:val="0"/>
              <w:noProof/>
              <w:sz w:val="22"/>
              <w:lang w:eastAsia="en-AU"/>
            </w:rPr>
          </w:pPr>
          <w:hyperlink w:anchor="_Toc110856883" w:history="1">
            <w:r w:rsidR="00C05B15" w:rsidRPr="00FC6E85">
              <w:rPr>
                <w:rStyle w:val="Hyperlink"/>
                <w:noProof/>
              </w:rPr>
              <w:t>Clinical</w:t>
            </w:r>
            <w:r w:rsidR="00C05B15">
              <w:rPr>
                <w:noProof/>
                <w:webHidden/>
              </w:rPr>
              <w:tab/>
            </w:r>
            <w:r w:rsidR="00C05B15">
              <w:rPr>
                <w:noProof/>
                <w:webHidden/>
              </w:rPr>
              <w:fldChar w:fldCharType="begin"/>
            </w:r>
            <w:r w:rsidR="00C05B15">
              <w:rPr>
                <w:noProof/>
                <w:webHidden/>
              </w:rPr>
              <w:instrText xml:space="preserve"> PAGEREF _Toc110856883 \h </w:instrText>
            </w:r>
            <w:r w:rsidR="00C05B15">
              <w:rPr>
                <w:noProof/>
                <w:webHidden/>
              </w:rPr>
            </w:r>
            <w:r w:rsidR="00C05B15">
              <w:rPr>
                <w:noProof/>
                <w:webHidden/>
              </w:rPr>
              <w:fldChar w:fldCharType="separate"/>
            </w:r>
            <w:r w:rsidR="00C05B15">
              <w:rPr>
                <w:noProof/>
                <w:webHidden/>
              </w:rPr>
              <w:t>12</w:t>
            </w:r>
            <w:r w:rsidR="00C05B15">
              <w:rPr>
                <w:noProof/>
                <w:webHidden/>
              </w:rPr>
              <w:fldChar w:fldCharType="end"/>
            </w:r>
          </w:hyperlink>
        </w:p>
        <w:p w14:paraId="09F849F5" w14:textId="5F3C4ABE" w:rsidR="00C05B15" w:rsidRDefault="00764F2D">
          <w:pPr>
            <w:pStyle w:val="TOC2"/>
            <w:rPr>
              <w:rFonts w:asciiTheme="minorHAnsi" w:eastAsiaTheme="minorEastAsia" w:hAnsiTheme="minorHAnsi" w:cstheme="minorBidi"/>
              <w:b w:val="0"/>
              <w:noProof/>
              <w:sz w:val="22"/>
              <w:lang w:eastAsia="en-AU"/>
            </w:rPr>
          </w:pPr>
          <w:hyperlink w:anchor="_Toc110856884" w:history="1">
            <w:r w:rsidR="00C05B15" w:rsidRPr="00FC6E85">
              <w:rPr>
                <w:rStyle w:val="Hyperlink"/>
                <w:noProof/>
                <w:lang w:eastAsia="en-AU"/>
              </w:rPr>
              <w:t>Risk management plan</w:t>
            </w:r>
            <w:r w:rsidR="00C05B15">
              <w:rPr>
                <w:noProof/>
                <w:webHidden/>
              </w:rPr>
              <w:tab/>
            </w:r>
            <w:r w:rsidR="00C05B15">
              <w:rPr>
                <w:noProof/>
                <w:webHidden/>
              </w:rPr>
              <w:fldChar w:fldCharType="begin"/>
            </w:r>
            <w:r w:rsidR="00C05B15">
              <w:rPr>
                <w:noProof/>
                <w:webHidden/>
              </w:rPr>
              <w:instrText xml:space="preserve"> PAGEREF _Toc110856884 \h </w:instrText>
            </w:r>
            <w:r w:rsidR="00C05B15">
              <w:rPr>
                <w:noProof/>
                <w:webHidden/>
              </w:rPr>
            </w:r>
            <w:r w:rsidR="00C05B15">
              <w:rPr>
                <w:noProof/>
                <w:webHidden/>
              </w:rPr>
              <w:fldChar w:fldCharType="separate"/>
            </w:r>
            <w:r w:rsidR="00C05B15">
              <w:rPr>
                <w:noProof/>
                <w:webHidden/>
              </w:rPr>
              <w:t>44</w:t>
            </w:r>
            <w:r w:rsidR="00C05B15">
              <w:rPr>
                <w:noProof/>
                <w:webHidden/>
              </w:rPr>
              <w:fldChar w:fldCharType="end"/>
            </w:r>
          </w:hyperlink>
        </w:p>
        <w:p w14:paraId="1539E61E" w14:textId="2C638BBE" w:rsidR="00C05B15" w:rsidRDefault="00764F2D">
          <w:pPr>
            <w:pStyle w:val="TOC2"/>
            <w:rPr>
              <w:rFonts w:asciiTheme="minorHAnsi" w:eastAsiaTheme="minorEastAsia" w:hAnsiTheme="minorHAnsi" w:cstheme="minorBidi"/>
              <w:b w:val="0"/>
              <w:noProof/>
              <w:sz w:val="22"/>
              <w:lang w:eastAsia="en-AU"/>
            </w:rPr>
          </w:pPr>
          <w:hyperlink w:anchor="_Toc110856885" w:history="1">
            <w:r w:rsidR="00C05B15" w:rsidRPr="00FC6E85">
              <w:rPr>
                <w:rStyle w:val="Hyperlink"/>
                <w:noProof/>
              </w:rPr>
              <w:t>Risk-benefit analysis</w:t>
            </w:r>
            <w:r w:rsidR="00C05B15">
              <w:rPr>
                <w:noProof/>
                <w:webHidden/>
              </w:rPr>
              <w:tab/>
            </w:r>
            <w:r w:rsidR="00C05B15">
              <w:rPr>
                <w:noProof/>
                <w:webHidden/>
              </w:rPr>
              <w:fldChar w:fldCharType="begin"/>
            </w:r>
            <w:r w:rsidR="00C05B15">
              <w:rPr>
                <w:noProof/>
                <w:webHidden/>
              </w:rPr>
              <w:instrText xml:space="preserve"> PAGEREF _Toc110856885 \h </w:instrText>
            </w:r>
            <w:r w:rsidR="00C05B15">
              <w:rPr>
                <w:noProof/>
                <w:webHidden/>
              </w:rPr>
            </w:r>
            <w:r w:rsidR="00C05B15">
              <w:rPr>
                <w:noProof/>
                <w:webHidden/>
              </w:rPr>
              <w:fldChar w:fldCharType="separate"/>
            </w:r>
            <w:r w:rsidR="00C05B15">
              <w:rPr>
                <w:noProof/>
                <w:webHidden/>
              </w:rPr>
              <w:t>45</w:t>
            </w:r>
            <w:r w:rsidR="00C05B15">
              <w:rPr>
                <w:noProof/>
                <w:webHidden/>
              </w:rPr>
              <w:fldChar w:fldCharType="end"/>
            </w:r>
          </w:hyperlink>
        </w:p>
        <w:p w14:paraId="693DC385" w14:textId="4AAA5036" w:rsidR="00C05B15" w:rsidRDefault="00764F2D">
          <w:pPr>
            <w:pStyle w:val="TOC1"/>
            <w:rPr>
              <w:rFonts w:asciiTheme="minorHAnsi" w:eastAsiaTheme="minorEastAsia" w:hAnsiTheme="minorHAnsi" w:cstheme="minorBidi"/>
              <w:b w:val="0"/>
              <w:noProof/>
              <w:sz w:val="22"/>
              <w:lang w:eastAsia="en-AU"/>
            </w:rPr>
          </w:pPr>
          <w:hyperlink w:anchor="_Toc110856886" w:history="1">
            <w:r w:rsidR="00C05B15" w:rsidRPr="00FC6E85">
              <w:rPr>
                <w:rStyle w:val="Hyperlink"/>
                <w:noProof/>
              </w:rPr>
              <w:t>Outcome</w:t>
            </w:r>
            <w:r w:rsidR="00C05B15">
              <w:rPr>
                <w:noProof/>
                <w:webHidden/>
              </w:rPr>
              <w:tab/>
            </w:r>
            <w:r w:rsidR="00C05B15">
              <w:rPr>
                <w:noProof/>
                <w:webHidden/>
              </w:rPr>
              <w:fldChar w:fldCharType="begin"/>
            </w:r>
            <w:r w:rsidR="00C05B15">
              <w:rPr>
                <w:noProof/>
                <w:webHidden/>
              </w:rPr>
              <w:instrText xml:space="preserve"> PAGEREF _Toc110856886 \h </w:instrText>
            </w:r>
            <w:r w:rsidR="00C05B15">
              <w:rPr>
                <w:noProof/>
                <w:webHidden/>
              </w:rPr>
            </w:r>
            <w:r w:rsidR="00C05B15">
              <w:rPr>
                <w:noProof/>
                <w:webHidden/>
              </w:rPr>
              <w:fldChar w:fldCharType="separate"/>
            </w:r>
            <w:r w:rsidR="00C05B15">
              <w:rPr>
                <w:noProof/>
                <w:webHidden/>
              </w:rPr>
              <w:t>59</w:t>
            </w:r>
            <w:r w:rsidR="00C05B15">
              <w:rPr>
                <w:noProof/>
                <w:webHidden/>
              </w:rPr>
              <w:fldChar w:fldCharType="end"/>
            </w:r>
          </w:hyperlink>
        </w:p>
        <w:p w14:paraId="736E019D" w14:textId="0182AF1F" w:rsidR="003A7F6C" w:rsidRPr="00B811C6" w:rsidRDefault="00C525A2" w:rsidP="00B811C6">
          <w:pPr>
            <w:pStyle w:val="TOC2"/>
          </w:pPr>
          <w:r>
            <w:fldChar w:fldCharType="end"/>
          </w:r>
        </w:p>
      </w:sdtContent>
    </w:sdt>
    <w:bookmarkStart w:id="2" w:name="_Toc314842482" w:displacedByCustomXml="prev"/>
    <w:p w14:paraId="5E40D720" w14:textId="77777777" w:rsidR="00FD119B" w:rsidRDefault="00FD119B">
      <w:pPr>
        <w:spacing w:before="0" w:after="200" w:line="0" w:lineRule="auto"/>
      </w:pPr>
      <w:r>
        <w:br w:type="page"/>
      </w:r>
    </w:p>
    <w:p w14:paraId="642E4DE7" w14:textId="253D463F" w:rsidR="00833ED8" w:rsidRPr="00FA1421" w:rsidRDefault="00AF2313" w:rsidP="001D16DD">
      <w:pPr>
        <w:pStyle w:val="Heading2"/>
      </w:pPr>
      <w:bookmarkStart w:id="3" w:name="_Toc98931917"/>
      <w:bookmarkStart w:id="4" w:name="_Toc110856874"/>
      <w:r>
        <w:lastRenderedPageBreak/>
        <w:t>List of abbreviations</w:t>
      </w:r>
      <w:bookmarkEnd w:id="3"/>
      <w:bookmarkEnd w:id="4"/>
    </w:p>
    <w:tbl>
      <w:tblPr>
        <w:tblStyle w:val="TableTGAblue"/>
        <w:tblW w:w="5000" w:type="pct"/>
        <w:tblLook w:val="04A0" w:firstRow="1" w:lastRow="0" w:firstColumn="1" w:lastColumn="0" w:noHBand="0" w:noVBand="1"/>
      </w:tblPr>
      <w:tblGrid>
        <w:gridCol w:w="1766"/>
        <w:gridCol w:w="1230"/>
        <w:gridCol w:w="5724"/>
      </w:tblGrid>
      <w:tr w:rsidR="0089448F" w14:paraId="680EDED0" w14:textId="77777777" w:rsidTr="00AF2313">
        <w:trPr>
          <w:cnfStyle w:val="100000000000" w:firstRow="1" w:lastRow="0" w:firstColumn="0" w:lastColumn="0" w:oddVBand="0" w:evenVBand="0" w:oddHBand="0" w:evenHBand="0" w:firstRowFirstColumn="0" w:firstRowLastColumn="0" w:lastRowFirstColumn="0" w:lastRowLastColumn="0"/>
          <w:cantSplit/>
        </w:trPr>
        <w:tc>
          <w:tcPr>
            <w:tcW w:w="1718" w:type="pct"/>
            <w:gridSpan w:val="2"/>
            <w:hideMark/>
          </w:tcPr>
          <w:p w14:paraId="38B256A6" w14:textId="77777777" w:rsidR="0089448F" w:rsidRDefault="0089448F">
            <w:pPr>
              <w:rPr>
                <w:color w:val="FFFFFF"/>
              </w:rPr>
            </w:pPr>
            <w:r>
              <w:t>Abbreviation</w:t>
            </w:r>
          </w:p>
        </w:tc>
        <w:tc>
          <w:tcPr>
            <w:tcW w:w="3282" w:type="pct"/>
            <w:hideMark/>
          </w:tcPr>
          <w:p w14:paraId="2CB2F287" w14:textId="77777777" w:rsidR="0089448F" w:rsidRDefault="0089448F">
            <w:r>
              <w:t>Meaning</w:t>
            </w:r>
          </w:p>
        </w:tc>
      </w:tr>
      <w:tr w:rsidR="0089448F" w14:paraId="411A4A35"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5774148" w14:textId="77777777" w:rsidR="0089448F" w:rsidRDefault="0089448F">
            <w:r>
              <w:t>ACM</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4B100846" w14:textId="77777777" w:rsidR="0089448F" w:rsidRDefault="0089448F">
            <w:r>
              <w:t>Advisory Committee on Medicines</w:t>
            </w:r>
          </w:p>
        </w:tc>
      </w:tr>
      <w:tr w:rsidR="0089448F" w14:paraId="6779DC88"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1118CE8" w14:textId="77777777" w:rsidR="0089448F" w:rsidRDefault="0089448F">
            <w:pPr>
              <w:rPr>
                <w:color w:val="000000"/>
              </w:rPr>
            </w:pPr>
            <w:r>
              <w:rPr>
                <w:color w:val="000000"/>
              </w:rPr>
              <w:t>ADA</w:t>
            </w:r>
          </w:p>
        </w:tc>
        <w:tc>
          <w:tcPr>
            <w:tcW w:w="3987" w:type="pct"/>
            <w:gridSpan w:val="2"/>
            <w:tcBorders>
              <w:top w:val="single" w:sz="8" w:space="0" w:color="002C47"/>
              <w:left w:val="single" w:sz="8" w:space="0" w:color="002C47"/>
              <w:bottom w:val="single" w:sz="8" w:space="0" w:color="002C47"/>
              <w:right w:val="single" w:sz="8" w:space="0" w:color="002C47"/>
            </w:tcBorders>
          </w:tcPr>
          <w:p w14:paraId="39575C3A" w14:textId="77777777" w:rsidR="0089448F" w:rsidRDefault="0089448F">
            <w:pPr>
              <w:rPr>
                <w:color w:val="000000"/>
              </w:rPr>
            </w:pPr>
            <w:r>
              <w:rPr>
                <w:color w:val="000000"/>
              </w:rPr>
              <w:t>Antidrug antibody</w:t>
            </w:r>
          </w:p>
        </w:tc>
      </w:tr>
      <w:tr w:rsidR="0089448F" w14:paraId="0991CEC8"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90E47D7" w14:textId="77777777" w:rsidR="0089448F" w:rsidRDefault="0089448F">
            <w:pPr>
              <w:rPr>
                <w:color w:val="000000"/>
              </w:rPr>
            </w:pPr>
            <w:r>
              <w:rPr>
                <w:color w:val="000000"/>
              </w:rPr>
              <w:t>AE</w:t>
            </w:r>
          </w:p>
        </w:tc>
        <w:tc>
          <w:tcPr>
            <w:tcW w:w="3987" w:type="pct"/>
            <w:gridSpan w:val="2"/>
            <w:tcBorders>
              <w:top w:val="single" w:sz="8" w:space="0" w:color="002C47"/>
              <w:left w:val="single" w:sz="8" w:space="0" w:color="002C47"/>
              <w:bottom w:val="single" w:sz="8" w:space="0" w:color="002C47"/>
              <w:right w:val="single" w:sz="8" w:space="0" w:color="002C47"/>
            </w:tcBorders>
          </w:tcPr>
          <w:p w14:paraId="43E6D54D" w14:textId="77777777" w:rsidR="0089448F" w:rsidRDefault="0089448F">
            <w:r>
              <w:t>Adverse event</w:t>
            </w:r>
          </w:p>
        </w:tc>
      </w:tr>
      <w:tr w:rsidR="007E45AA" w14:paraId="1DA1730D"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564141F" w14:textId="6BAF627F" w:rsidR="007E45AA" w:rsidRDefault="007E45AA">
            <w:pPr>
              <w:rPr>
                <w:color w:val="000000"/>
              </w:rPr>
            </w:pPr>
            <w:r w:rsidRPr="007E45AA">
              <w:t>AESI</w:t>
            </w:r>
          </w:p>
        </w:tc>
        <w:tc>
          <w:tcPr>
            <w:tcW w:w="3987" w:type="pct"/>
            <w:gridSpan w:val="2"/>
            <w:tcBorders>
              <w:top w:val="single" w:sz="8" w:space="0" w:color="002C47"/>
              <w:left w:val="single" w:sz="8" w:space="0" w:color="002C47"/>
              <w:bottom w:val="single" w:sz="8" w:space="0" w:color="002C47"/>
              <w:right w:val="single" w:sz="8" w:space="0" w:color="002C47"/>
            </w:tcBorders>
          </w:tcPr>
          <w:p w14:paraId="3B649B2A" w14:textId="00699E9D" w:rsidR="007E45AA" w:rsidRDefault="007E45AA">
            <w:r>
              <w:t>A</w:t>
            </w:r>
            <w:r w:rsidRPr="007E45AA">
              <w:t>dverse event of special interest</w:t>
            </w:r>
          </w:p>
        </w:tc>
      </w:tr>
      <w:tr w:rsidR="0042377B" w14:paraId="5EE04C3D"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5CB73F2" w14:textId="42D043A0" w:rsidR="0042377B" w:rsidRDefault="0042377B">
            <w:pPr>
              <w:rPr>
                <w:color w:val="000000"/>
              </w:rPr>
            </w:pPr>
            <w:r w:rsidRPr="0042377B">
              <w:t>ALK</w:t>
            </w:r>
          </w:p>
        </w:tc>
        <w:tc>
          <w:tcPr>
            <w:tcW w:w="3987" w:type="pct"/>
            <w:gridSpan w:val="2"/>
            <w:tcBorders>
              <w:top w:val="single" w:sz="8" w:space="0" w:color="002C47"/>
              <w:left w:val="single" w:sz="8" w:space="0" w:color="002C47"/>
              <w:bottom w:val="single" w:sz="8" w:space="0" w:color="002C47"/>
              <w:right w:val="single" w:sz="8" w:space="0" w:color="002C47"/>
            </w:tcBorders>
          </w:tcPr>
          <w:p w14:paraId="392BC2E3" w14:textId="46D988C5" w:rsidR="0042377B" w:rsidRDefault="0042377B">
            <w:r>
              <w:t>A</w:t>
            </w:r>
            <w:r w:rsidRPr="0042377B">
              <w:t>naplastic lymphoma kinase</w:t>
            </w:r>
          </w:p>
        </w:tc>
      </w:tr>
      <w:tr w:rsidR="0089448F" w14:paraId="15DE3EA2"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39B68009" w14:textId="77777777" w:rsidR="0089448F" w:rsidRDefault="0089448F">
            <w:r>
              <w:t>ARTG</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295AA7A5" w14:textId="77777777" w:rsidR="0089448F" w:rsidRDefault="0089448F">
            <w:r>
              <w:t>Australian Register of Therapeutic Goods</w:t>
            </w:r>
          </w:p>
        </w:tc>
      </w:tr>
      <w:tr w:rsidR="0089448F" w14:paraId="7CD01519"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0A159097" w14:textId="77777777" w:rsidR="0089448F" w:rsidRDefault="0089448F">
            <w:r>
              <w:t>ASA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7858AC1F" w14:textId="77777777" w:rsidR="0089448F" w:rsidRDefault="0089448F">
            <w:r>
              <w:t>Australia specific annex</w:t>
            </w:r>
          </w:p>
        </w:tc>
      </w:tr>
      <w:tr w:rsidR="0089448F" w14:paraId="45D7DD1F"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5C65964" w14:textId="77777777" w:rsidR="0089448F" w:rsidRDefault="0089448F">
            <w:pPr>
              <w:rPr>
                <w:color w:val="000000"/>
              </w:rPr>
            </w:pPr>
            <w:r>
              <w:rPr>
                <w:color w:val="000000"/>
              </w:rPr>
              <w:t>AST</w:t>
            </w:r>
          </w:p>
        </w:tc>
        <w:tc>
          <w:tcPr>
            <w:tcW w:w="3987" w:type="pct"/>
            <w:gridSpan w:val="2"/>
            <w:tcBorders>
              <w:top w:val="single" w:sz="8" w:space="0" w:color="002C47"/>
              <w:left w:val="single" w:sz="8" w:space="0" w:color="002C47"/>
              <w:bottom w:val="single" w:sz="8" w:space="0" w:color="002C47"/>
              <w:right w:val="single" w:sz="8" w:space="0" w:color="002C47"/>
            </w:tcBorders>
          </w:tcPr>
          <w:p w14:paraId="35602E2A" w14:textId="77777777" w:rsidR="0089448F" w:rsidRDefault="0089448F">
            <w:r>
              <w:t>Alanine aminotransferase</w:t>
            </w:r>
          </w:p>
        </w:tc>
      </w:tr>
      <w:tr w:rsidR="0089448F" w14:paraId="7137808F"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54ABC44" w14:textId="77777777" w:rsidR="0089448F" w:rsidRDefault="0089448F">
            <w:pPr>
              <w:rPr>
                <w:color w:val="000000"/>
              </w:rPr>
            </w:pPr>
            <w:r>
              <w:rPr>
                <w:color w:val="000000"/>
              </w:rPr>
              <w:t>CHMP</w:t>
            </w:r>
          </w:p>
        </w:tc>
        <w:tc>
          <w:tcPr>
            <w:tcW w:w="3987" w:type="pct"/>
            <w:gridSpan w:val="2"/>
            <w:tcBorders>
              <w:top w:val="single" w:sz="8" w:space="0" w:color="002C47"/>
              <w:left w:val="single" w:sz="8" w:space="0" w:color="002C47"/>
              <w:bottom w:val="single" w:sz="8" w:space="0" w:color="002C47"/>
              <w:right w:val="single" w:sz="8" w:space="0" w:color="002C47"/>
            </w:tcBorders>
          </w:tcPr>
          <w:p w14:paraId="1F25338E" w14:textId="77777777" w:rsidR="0089448F" w:rsidRDefault="0089448F">
            <w:r w:rsidRPr="001C4404">
              <w:t>Committee for Medicinal Products for Human Use</w:t>
            </w:r>
            <w:r>
              <w:t xml:space="preserve"> (European Medicines Agency, European Union)</w:t>
            </w:r>
          </w:p>
        </w:tc>
      </w:tr>
      <w:tr w:rsidR="00604550" w14:paraId="2A64E8B7"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D58AB3C" w14:textId="2A3AE6EF" w:rsidR="00604550" w:rsidRDefault="00604550">
            <w:pPr>
              <w:rPr>
                <w:color w:val="000000"/>
              </w:rPr>
            </w:pPr>
            <w:r>
              <w:rPr>
                <w:color w:val="000000"/>
              </w:rPr>
              <w:t>CI</w:t>
            </w:r>
          </w:p>
        </w:tc>
        <w:tc>
          <w:tcPr>
            <w:tcW w:w="3987" w:type="pct"/>
            <w:gridSpan w:val="2"/>
            <w:tcBorders>
              <w:top w:val="single" w:sz="8" w:space="0" w:color="002C47"/>
              <w:left w:val="single" w:sz="8" w:space="0" w:color="002C47"/>
              <w:bottom w:val="single" w:sz="8" w:space="0" w:color="002C47"/>
              <w:right w:val="single" w:sz="8" w:space="0" w:color="002C47"/>
            </w:tcBorders>
          </w:tcPr>
          <w:p w14:paraId="4DAE14E8" w14:textId="471EC498" w:rsidR="00604550" w:rsidRPr="001C4404" w:rsidRDefault="00604550">
            <w:r>
              <w:t>Confidence interval</w:t>
            </w:r>
          </w:p>
        </w:tc>
      </w:tr>
      <w:tr w:rsidR="0089448F" w14:paraId="1B1EC1AD"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94BF411" w14:textId="77777777" w:rsidR="0089448F" w:rsidRDefault="0089448F">
            <w:pPr>
              <w:rPr>
                <w:color w:val="000000"/>
              </w:rPr>
            </w:pPr>
            <w:proofErr w:type="spellStart"/>
            <w:r w:rsidRPr="00695A4B">
              <w:rPr>
                <w:iCs/>
              </w:rPr>
              <w:t>C</w:t>
            </w:r>
            <w:r w:rsidRPr="00695A4B">
              <w:rPr>
                <w:iCs/>
                <w:vertAlign w:val="subscript"/>
              </w:rPr>
              <w:t>min</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71DF35C5" w14:textId="77777777" w:rsidR="0089448F" w:rsidRDefault="0089448F">
            <w:pPr>
              <w:rPr>
                <w:color w:val="000000"/>
              </w:rPr>
            </w:pPr>
            <w:r>
              <w:rPr>
                <w:color w:val="000000"/>
              </w:rPr>
              <w:t>Minimum concentration</w:t>
            </w:r>
          </w:p>
        </w:tc>
      </w:tr>
      <w:tr w:rsidR="002F5B7F" w14:paraId="7DC462BC"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C4D0C4F" w14:textId="16CE3E9B" w:rsidR="002F5B7F" w:rsidRPr="00695A4B" w:rsidRDefault="002F5B7F">
            <w:pPr>
              <w:rPr>
                <w:iCs/>
              </w:rPr>
            </w:pPr>
            <w:r w:rsidRPr="002F5B7F">
              <w:rPr>
                <w:color w:val="000000"/>
              </w:rPr>
              <w:t>DHMA</w:t>
            </w:r>
          </w:p>
        </w:tc>
        <w:tc>
          <w:tcPr>
            <w:tcW w:w="3987" w:type="pct"/>
            <w:gridSpan w:val="2"/>
            <w:tcBorders>
              <w:top w:val="single" w:sz="8" w:space="0" w:color="002C47"/>
              <w:left w:val="single" w:sz="8" w:space="0" w:color="002C47"/>
              <w:bottom w:val="single" w:sz="8" w:space="0" w:color="002C47"/>
              <w:right w:val="single" w:sz="8" w:space="0" w:color="002C47"/>
            </w:tcBorders>
          </w:tcPr>
          <w:p w14:paraId="62DE1B26" w14:textId="5F90632E" w:rsidR="002F5B7F" w:rsidRDefault="002F5B7F">
            <w:pPr>
              <w:rPr>
                <w:color w:val="000000"/>
              </w:rPr>
            </w:pPr>
            <w:r w:rsidRPr="002F5B7F">
              <w:rPr>
                <w:color w:val="000000"/>
              </w:rPr>
              <w:t>Danish Health and Medicines Agency (</w:t>
            </w:r>
            <w:r>
              <w:rPr>
                <w:color w:val="000000"/>
              </w:rPr>
              <w:t>Denmark</w:t>
            </w:r>
            <w:r w:rsidRPr="002F5B7F">
              <w:rPr>
                <w:color w:val="000000"/>
              </w:rPr>
              <w:t>)</w:t>
            </w:r>
          </w:p>
        </w:tc>
      </w:tr>
      <w:tr w:rsidR="0089448F" w14:paraId="0771218E"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5F8CE1C" w14:textId="77777777" w:rsidR="0089448F" w:rsidRDefault="0089448F">
            <w:pPr>
              <w:rPr>
                <w:color w:val="000000"/>
              </w:rPr>
            </w:pPr>
            <w:r>
              <w:rPr>
                <w:color w:val="000000"/>
              </w:rPr>
              <w:t>CSR</w:t>
            </w:r>
          </w:p>
        </w:tc>
        <w:tc>
          <w:tcPr>
            <w:tcW w:w="3987" w:type="pct"/>
            <w:gridSpan w:val="2"/>
            <w:tcBorders>
              <w:top w:val="single" w:sz="8" w:space="0" w:color="002C47"/>
              <w:left w:val="single" w:sz="8" w:space="0" w:color="002C47"/>
              <w:bottom w:val="single" w:sz="8" w:space="0" w:color="002C47"/>
              <w:right w:val="single" w:sz="8" w:space="0" w:color="002C47"/>
            </w:tcBorders>
          </w:tcPr>
          <w:p w14:paraId="3507CDDB" w14:textId="77777777" w:rsidR="0089448F" w:rsidRDefault="0089448F">
            <w:pPr>
              <w:rPr>
                <w:color w:val="000000"/>
              </w:rPr>
            </w:pPr>
            <w:r>
              <w:rPr>
                <w:color w:val="000000"/>
              </w:rPr>
              <w:t>Clinical study report</w:t>
            </w:r>
          </w:p>
        </w:tc>
      </w:tr>
      <w:tr w:rsidR="0089448F" w14:paraId="2A90B9E4"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1A20F3A5" w14:textId="77777777" w:rsidR="0089448F" w:rsidRDefault="0089448F">
            <w:r>
              <w:t>DLP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7D2FB71C" w14:textId="77777777" w:rsidR="0089448F" w:rsidRDefault="0089448F">
            <w:r>
              <w:t>Data lock point</w:t>
            </w:r>
          </w:p>
        </w:tc>
      </w:tr>
      <w:tr w:rsidR="0089448F" w14:paraId="1BE8C41F"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D38181A" w14:textId="77777777" w:rsidR="0089448F" w:rsidRDefault="0089448F">
            <w:pPr>
              <w:rPr>
                <w:color w:val="000000"/>
              </w:rPr>
            </w:pPr>
            <w:r>
              <w:rPr>
                <w:color w:val="000000"/>
              </w:rPr>
              <w:t>DOR</w:t>
            </w:r>
          </w:p>
        </w:tc>
        <w:tc>
          <w:tcPr>
            <w:tcW w:w="3987" w:type="pct"/>
            <w:gridSpan w:val="2"/>
            <w:tcBorders>
              <w:top w:val="single" w:sz="8" w:space="0" w:color="002C47"/>
              <w:left w:val="single" w:sz="8" w:space="0" w:color="002C47"/>
              <w:bottom w:val="single" w:sz="8" w:space="0" w:color="002C47"/>
              <w:right w:val="single" w:sz="8" w:space="0" w:color="002C47"/>
            </w:tcBorders>
          </w:tcPr>
          <w:p w14:paraId="3C0160BB" w14:textId="77777777" w:rsidR="0089448F" w:rsidRDefault="0089448F">
            <w:r>
              <w:t>Duration of response</w:t>
            </w:r>
          </w:p>
        </w:tc>
      </w:tr>
      <w:tr w:rsidR="0089448F" w14:paraId="4F07D63A"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BB8991A" w14:textId="77777777" w:rsidR="0089448F" w:rsidRDefault="0089448F">
            <w:pPr>
              <w:rPr>
                <w:color w:val="000000"/>
              </w:rPr>
            </w:pPr>
            <w:r>
              <w:rPr>
                <w:color w:val="000000"/>
              </w:rPr>
              <w:t>ECOG</w:t>
            </w:r>
          </w:p>
        </w:tc>
        <w:tc>
          <w:tcPr>
            <w:tcW w:w="3987" w:type="pct"/>
            <w:gridSpan w:val="2"/>
            <w:tcBorders>
              <w:top w:val="single" w:sz="8" w:space="0" w:color="002C47"/>
              <w:left w:val="single" w:sz="8" w:space="0" w:color="002C47"/>
              <w:bottom w:val="single" w:sz="8" w:space="0" w:color="002C47"/>
              <w:right w:val="single" w:sz="8" w:space="0" w:color="002C47"/>
            </w:tcBorders>
          </w:tcPr>
          <w:p w14:paraId="03D64AFF" w14:textId="77777777" w:rsidR="0089448F" w:rsidRDefault="0089448F">
            <w:r>
              <w:t>Eastern Cooperative Oncology Group</w:t>
            </w:r>
          </w:p>
        </w:tc>
      </w:tr>
      <w:tr w:rsidR="0042377B" w14:paraId="59D9BBEC"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2C1D4BE" w14:textId="1A60424F" w:rsidR="0042377B" w:rsidRDefault="0042377B">
            <w:pPr>
              <w:rPr>
                <w:color w:val="000000"/>
              </w:rPr>
            </w:pPr>
            <w:r w:rsidRPr="0042377B">
              <w:t>EGFR</w:t>
            </w:r>
          </w:p>
        </w:tc>
        <w:tc>
          <w:tcPr>
            <w:tcW w:w="3987" w:type="pct"/>
            <w:gridSpan w:val="2"/>
            <w:tcBorders>
              <w:top w:val="single" w:sz="8" w:space="0" w:color="002C47"/>
              <w:left w:val="single" w:sz="8" w:space="0" w:color="002C47"/>
              <w:bottom w:val="single" w:sz="8" w:space="0" w:color="002C47"/>
              <w:right w:val="single" w:sz="8" w:space="0" w:color="002C47"/>
            </w:tcBorders>
          </w:tcPr>
          <w:p w14:paraId="710B4EC4" w14:textId="5F7D2303" w:rsidR="0042377B" w:rsidRDefault="0042377B">
            <w:r>
              <w:t>E</w:t>
            </w:r>
            <w:r w:rsidRPr="0042377B">
              <w:t>pidermal growth factor receptor</w:t>
            </w:r>
          </w:p>
        </w:tc>
      </w:tr>
      <w:tr w:rsidR="0089448F" w14:paraId="4DF02B8A"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AB254BF" w14:textId="77777777" w:rsidR="0089448F" w:rsidRDefault="0089448F">
            <w:pPr>
              <w:rPr>
                <w:color w:val="000000"/>
              </w:rPr>
            </w:pPr>
            <w:r>
              <w:rPr>
                <w:color w:val="000000"/>
              </w:rPr>
              <w:t>EMA</w:t>
            </w:r>
          </w:p>
        </w:tc>
        <w:tc>
          <w:tcPr>
            <w:tcW w:w="3987" w:type="pct"/>
            <w:gridSpan w:val="2"/>
            <w:tcBorders>
              <w:top w:val="single" w:sz="8" w:space="0" w:color="002C47"/>
              <w:left w:val="single" w:sz="8" w:space="0" w:color="002C47"/>
              <w:bottom w:val="single" w:sz="8" w:space="0" w:color="002C47"/>
              <w:right w:val="single" w:sz="8" w:space="0" w:color="002C47"/>
            </w:tcBorders>
          </w:tcPr>
          <w:p w14:paraId="266A0FE3" w14:textId="77777777" w:rsidR="0089448F" w:rsidRDefault="0089448F">
            <w:pPr>
              <w:rPr>
                <w:color w:val="000000"/>
              </w:rPr>
            </w:pPr>
            <w:r>
              <w:rPr>
                <w:color w:val="000000"/>
              </w:rPr>
              <w:t>European Medicines Agency (European Union)</w:t>
            </w:r>
          </w:p>
        </w:tc>
      </w:tr>
      <w:tr w:rsidR="0089448F" w14:paraId="486FDBEE"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1C33031" w14:textId="77777777" w:rsidR="0089448F" w:rsidRDefault="0089448F">
            <w:pPr>
              <w:rPr>
                <w:color w:val="000000"/>
              </w:rPr>
            </w:pPr>
            <w:r>
              <w:rPr>
                <w:color w:val="000000"/>
              </w:rPr>
              <w:t>FDA</w:t>
            </w:r>
          </w:p>
        </w:tc>
        <w:tc>
          <w:tcPr>
            <w:tcW w:w="3987" w:type="pct"/>
            <w:gridSpan w:val="2"/>
            <w:tcBorders>
              <w:top w:val="single" w:sz="8" w:space="0" w:color="002C47"/>
              <w:left w:val="single" w:sz="8" w:space="0" w:color="002C47"/>
              <w:bottom w:val="single" w:sz="8" w:space="0" w:color="002C47"/>
              <w:right w:val="single" w:sz="8" w:space="0" w:color="002C47"/>
            </w:tcBorders>
          </w:tcPr>
          <w:p w14:paraId="081C803A" w14:textId="77777777" w:rsidR="0089448F" w:rsidRDefault="0089448F">
            <w:r>
              <w:t>Food and Drug Administration (United States of America)</w:t>
            </w:r>
          </w:p>
        </w:tc>
      </w:tr>
      <w:tr w:rsidR="0089448F" w14:paraId="1F060B05"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6550F68" w14:textId="77777777" w:rsidR="0089448F" w:rsidRDefault="0089448F">
            <w:pPr>
              <w:rPr>
                <w:color w:val="000000"/>
              </w:rPr>
            </w:pPr>
            <w:r>
              <w:rPr>
                <w:color w:val="000000"/>
              </w:rPr>
              <w:t>GCP</w:t>
            </w:r>
          </w:p>
        </w:tc>
        <w:tc>
          <w:tcPr>
            <w:tcW w:w="3987" w:type="pct"/>
            <w:gridSpan w:val="2"/>
            <w:tcBorders>
              <w:top w:val="single" w:sz="8" w:space="0" w:color="002C47"/>
              <w:left w:val="single" w:sz="8" w:space="0" w:color="002C47"/>
              <w:bottom w:val="single" w:sz="8" w:space="0" w:color="002C47"/>
              <w:right w:val="single" w:sz="8" w:space="0" w:color="002C47"/>
            </w:tcBorders>
          </w:tcPr>
          <w:p w14:paraId="083CC960" w14:textId="77777777" w:rsidR="0089448F" w:rsidRDefault="0089448F">
            <w:r>
              <w:t>Good Clinical Practice</w:t>
            </w:r>
          </w:p>
        </w:tc>
      </w:tr>
      <w:tr w:rsidR="0089448F" w14:paraId="2ADBC828"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5E1798F" w14:textId="77777777" w:rsidR="0089448F" w:rsidRDefault="0089448F">
            <w:pPr>
              <w:rPr>
                <w:color w:val="000000"/>
              </w:rPr>
            </w:pPr>
            <w:r>
              <w:rPr>
                <w:color w:val="000000"/>
              </w:rPr>
              <w:t>IC</w:t>
            </w:r>
          </w:p>
        </w:tc>
        <w:tc>
          <w:tcPr>
            <w:tcW w:w="3987" w:type="pct"/>
            <w:gridSpan w:val="2"/>
            <w:tcBorders>
              <w:top w:val="single" w:sz="8" w:space="0" w:color="002C47"/>
              <w:left w:val="single" w:sz="8" w:space="0" w:color="002C47"/>
              <w:bottom w:val="single" w:sz="8" w:space="0" w:color="002C47"/>
              <w:right w:val="single" w:sz="8" w:space="0" w:color="002C47"/>
            </w:tcBorders>
          </w:tcPr>
          <w:p w14:paraId="76014C5F" w14:textId="77777777" w:rsidR="0089448F" w:rsidRDefault="0089448F">
            <w:r>
              <w:t>Immune cell</w:t>
            </w:r>
          </w:p>
        </w:tc>
      </w:tr>
      <w:tr w:rsidR="002C57C6" w14:paraId="2A326D6E"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9799555" w14:textId="4000201F" w:rsidR="002C57C6" w:rsidRDefault="002C57C6">
            <w:pPr>
              <w:rPr>
                <w:color w:val="000000"/>
              </w:rPr>
            </w:pPr>
            <w:r>
              <w:t>ICI</w:t>
            </w:r>
          </w:p>
        </w:tc>
        <w:tc>
          <w:tcPr>
            <w:tcW w:w="3987" w:type="pct"/>
            <w:gridSpan w:val="2"/>
            <w:tcBorders>
              <w:top w:val="single" w:sz="8" w:space="0" w:color="002C47"/>
              <w:left w:val="single" w:sz="8" w:space="0" w:color="002C47"/>
              <w:bottom w:val="single" w:sz="8" w:space="0" w:color="002C47"/>
              <w:right w:val="single" w:sz="8" w:space="0" w:color="002C47"/>
            </w:tcBorders>
          </w:tcPr>
          <w:p w14:paraId="68629D1E" w14:textId="50D3113C" w:rsidR="002C57C6" w:rsidRDefault="002C57C6">
            <w:r>
              <w:t>Immune-checkpoint inhibitor</w:t>
            </w:r>
          </w:p>
        </w:tc>
      </w:tr>
      <w:tr w:rsidR="0089448F" w14:paraId="24480625"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C9A72E2" w14:textId="77777777" w:rsidR="0089448F" w:rsidRDefault="0089448F">
            <w:pPr>
              <w:rPr>
                <w:color w:val="000000"/>
              </w:rPr>
            </w:pPr>
            <w:r>
              <w:rPr>
                <w:color w:val="000000"/>
              </w:rPr>
              <w:t>IHC</w:t>
            </w:r>
          </w:p>
        </w:tc>
        <w:tc>
          <w:tcPr>
            <w:tcW w:w="3987" w:type="pct"/>
            <w:gridSpan w:val="2"/>
            <w:tcBorders>
              <w:top w:val="single" w:sz="8" w:space="0" w:color="002C47"/>
              <w:left w:val="single" w:sz="8" w:space="0" w:color="002C47"/>
              <w:bottom w:val="single" w:sz="8" w:space="0" w:color="002C47"/>
              <w:right w:val="single" w:sz="8" w:space="0" w:color="002C47"/>
            </w:tcBorders>
          </w:tcPr>
          <w:p w14:paraId="5C362576" w14:textId="77777777" w:rsidR="0089448F" w:rsidRDefault="0089448F">
            <w:pPr>
              <w:rPr>
                <w:color w:val="000000"/>
              </w:rPr>
            </w:pPr>
            <w:r>
              <w:rPr>
                <w:color w:val="000000"/>
              </w:rPr>
              <w:t>Immunohistochemistry</w:t>
            </w:r>
          </w:p>
        </w:tc>
      </w:tr>
      <w:tr w:rsidR="00725DB0" w14:paraId="095DA309"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EAB26C2" w14:textId="3E47C6B8" w:rsidR="00725DB0" w:rsidRDefault="00725DB0">
            <w:pPr>
              <w:rPr>
                <w:color w:val="000000"/>
              </w:rPr>
            </w:pPr>
            <w:r>
              <w:t>ITT</w:t>
            </w:r>
          </w:p>
        </w:tc>
        <w:tc>
          <w:tcPr>
            <w:tcW w:w="3987" w:type="pct"/>
            <w:gridSpan w:val="2"/>
            <w:tcBorders>
              <w:top w:val="single" w:sz="8" w:space="0" w:color="002C47"/>
              <w:left w:val="single" w:sz="8" w:space="0" w:color="002C47"/>
              <w:bottom w:val="single" w:sz="8" w:space="0" w:color="002C47"/>
              <w:right w:val="single" w:sz="8" w:space="0" w:color="002C47"/>
            </w:tcBorders>
          </w:tcPr>
          <w:p w14:paraId="76FAAA21" w14:textId="6B22E4D2" w:rsidR="00725DB0" w:rsidRDefault="00725DB0">
            <w:pPr>
              <w:rPr>
                <w:color w:val="000000"/>
              </w:rPr>
            </w:pPr>
            <w:r>
              <w:t>Intention-to-treat</w:t>
            </w:r>
          </w:p>
        </w:tc>
      </w:tr>
      <w:tr w:rsidR="00716528" w14:paraId="27AD3955"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800AB06" w14:textId="581B6E9F" w:rsidR="00716528" w:rsidRDefault="009D6E11">
            <w:proofErr w:type="spellStart"/>
            <w:r>
              <w:lastRenderedPageBreak/>
              <w:t>I</w:t>
            </w:r>
            <w:r w:rsidR="00716528" w:rsidRPr="00716528">
              <w:t>xRS</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2CADEEC1" w14:textId="4103CEEE" w:rsidR="00716528" w:rsidRDefault="009D6E11">
            <w:r>
              <w:t>I</w:t>
            </w:r>
            <w:r w:rsidRPr="009D6E11">
              <w:t>nteractive web/voice response system</w:t>
            </w:r>
          </w:p>
        </w:tc>
      </w:tr>
      <w:tr w:rsidR="002F5B7F" w14:paraId="209B3E16"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52717FD" w14:textId="74D32514" w:rsidR="002F5B7F" w:rsidRPr="00716528" w:rsidRDefault="002F5B7F">
            <w:r w:rsidRPr="002F5B7F">
              <w:t>MAH</w:t>
            </w:r>
          </w:p>
        </w:tc>
        <w:tc>
          <w:tcPr>
            <w:tcW w:w="3987" w:type="pct"/>
            <w:gridSpan w:val="2"/>
            <w:tcBorders>
              <w:top w:val="single" w:sz="8" w:space="0" w:color="002C47"/>
              <w:left w:val="single" w:sz="8" w:space="0" w:color="002C47"/>
              <w:bottom w:val="single" w:sz="8" w:space="0" w:color="002C47"/>
              <w:right w:val="single" w:sz="8" w:space="0" w:color="002C47"/>
            </w:tcBorders>
          </w:tcPr>
          <w:p w14:paraId="17CFF94A" w14:textId="68690AA6" w:rsidR="002F5B7F" w:rsidRDefault="002F5B7F">
            <w:r>
              <w:t>M</w:t>
            </w:r>
            <w:r w:rsidRPr="002F5B7F">
              <w:t>arket authorisation holder</w:t>
            </w:r>
            <w:r>
              <w:t xml:space="preserve"> (European Medicines Agency, European Union)</w:t>
            </w:r>
          </w:p>
        </w:tc>
      </w:tr>
      <w:tr w:rsidR="0089448F" w14:paraId="365585DF"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A2090F4" w14:textId="77777777" w:rsidR="0089448F" w:rsidRDefault="0089448F">
            <w:pPr>
              <w:rPr>
                <w:color w:val="000000"/>
              </w:rPr>
            </w:pPr>
            <w:r>
              <w:rPr>
                <w:color w:val="000000"/>
              </w:rPr>
              <w:t>NSCLC</w:t>
            </w:r>
          </w:p>
        </w:tc>
        <w:tc>
          <w:tcPr>
            <w:tcW w:w="3987" w:type="pct"/>
            <w:gridSpan w:val="2"/>
            <w:tcBorders>
              <w:top w:val="single" w:sz="8" w:space="0" w:color="002C47"/>
              <w:left w:val="single" w:sz="8" w:space="0" w:color="002C47"/>
              <w:bottom w:val="single" w:sz="8" w:space="0" w:color="002C47"/>
              <w:right w:val="single" w:sz="8" w:space="0" w:color="002C47"/>
            </w:tcBorders>
          </w:tcPr>
          <w:p w14:paraId="4E65E6D6" w14:textId="77777777" w:rsidR="0089448F" w:rsidRDefault="0089448F">
            <w:r>
              <w:t>Non-small cell lung cancer</w:t>
            </w:r>
          </w:p>
        </w:tc>
      </w:tr>
      <w:tr w:rsidR="0089448F" w14:paraId="7B8764C3"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9FD8598" w14:textId="77777777" w:rsidR="0089448F" w:rsidRDefault="0089448F">
            <w:pPr>
              <w:rPr>
                <w:color w:val="000000"/>
              </w:rPr>
            </w:pPr>
            <w:r>
              <w:rPr>
                <w:color w:val="000000"/>
              </w:rPr>
              <w:t>ORR</w:t>
            </w:r>
          </w:p>
        </w:tc>
        <w:tc>
          <w:tcPr>
            <w:tcW w:w="3987" w:type="pct"/>
            <w:gridSpan w:val="2"/>
            <w:tcBorders>
              <w:top w:val="single" w:sz="8" w:space="0" w:color="002C47"/>
              <w:left w:val="single" w:sz="8" w:space="0" w:color="002C47"/>
              <w:bottom w:val="single" w:sz="8" w:space="0" w:color="002C47"/>
              <w:right w:val="single" w:sz="8" w:space="0" w:color="002C47"/>
            </w:tcBorders>
          </w:tcPr>
          <w:p w14:paraId="5DFAD9EE" w14:textId="77777777" w:rsidR="0089448F" w:rsidRDefault="0089448F">
            <w:r>
              <w:t>Objective response rate</w:t>
            </w:r>
          </w:p>
        </w:tc>
      </w:tr>
      <w:tr w:rsidR="0089448F" w14:paraId="2CABF100"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4317CDC" w14:textId="77777777" w:rsidR="0089448F" w:rsidRDefault="0089448F">
            <w:pPr>
              <w:rPr>
                <w:color w:val="000000"/>
              </w:rPr>
            </w:pPr>
            <w:r>
              <w:rPr>
                <w:color w:val="000000"/>
              </w:rPr>
              <w:t>OS</w:t>
            </w:r>
          </w:p>
        </w:tc>
        <w:tc>
          <w:tcPr>
            <w:tcW w:w="3987" w:type="pct"/>
            <w:gridSpan w:val="2"/>
            <w:tcBorders>
              <w:top w:val="single" w:sz="8" w:space="0" w:color="002C47"/>
              <w:left w:val="single" w:sz="8" w:space="0" w:color="002C47"/>
              <w:bottom w:val="single" w:sz="8" w:space="0" w:color="002C47"/>
              <w:right w:val="single" w:sz="8" w:space="0" w:color="002C47"/>
            </w:tcBorders>
          </w:tcPr>
          <w:p w14:paraId="498FCCAD" w14:textId="77777777" w:rsidR="0089448F" w:rsidRDefault="0089448F">
            <w:r>
              <w:t>Overall survival</w:t>
            </w:r>
          </w:p>
        </w:tc>
      </w:tr>
      <w:tr w:rsidR="0089448F" w14:paraId="0AB688F0"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0DDDFDD" w14:textId="246F851F" w:rsidR="0089448F" w:rsidRDefault="0089448F">
            <w:pPr>
              <w:rPr>
                <w:color w:val="000000"/>
              </w:rPr>
            </w:pPr>
            <w:r>
              <w:rPr>
                <w:color w:val="000000"/>
              </w:rPr>
              <w:t>PD-</w:t>
            </w:r>
            <w:r w:rsidR="00604550">
              <w:rPr>
                <w:color w:val="000000"/>
              </w:rPr>
              <w:t>(</w:t>
            </w:r>
            <w:r>
              <w:rPr>
                <w:color w:val="000000"/>
              </w:rPr>
              <w:t>L</w:t>
            </w:r>
            <w:r w:rsidR="00604550">
              <w:rPr>
                <w:color w:val="000000"/>
              </w:rPr>
              <w:t>)</w:t>
            </w:r>
            <w:r>
              <w:rPr>
                <w:color w:val="000000"/>
              </w:rPr>
              <w:t>1</w:t>
            </w:r>
          </w:p>
        </w:tc>
        <w:tc>
          <w:tcPr>
            <w:tcW w:w="3987" w:type="pct"/>
            <w:gridSpan w:val="2"/>
            <w:tcBorders>
              <w:top w:val="single" w:sz="8" w:space="0" w:color="002C47"/>
              <w:left w:val="single" w:sz="8" w:space="0" w:color="002C47"/>
              <w:bottom w:val="single" w:sz="8" w:space="0" w:color="002C47"/>
              <w:right w:val="single" w:sz="8" w:space="0" w:color="002C47"/>
            </w:tcBorders>
          </w:tcPr>
          <w:p w14:paraId="3AE1FD13" w14:textId="77777777" w:rsidR="0089448F" w:rsidRDefault="0089448F">
            <w:pPr>
              <w:rPr>
                <w:color w:val="000000"/>
              </w:rPr>
            </w:pPr>
            <w:r>
              <w:rPr>
                <w:color w:val="000000"/>
              </w:rPr>
              <w:t>Programmed death-ligand 1</w:t>
            </w:r>
          </w:p>
        </w:tc>
      </w:tr>
      <w:tr w:rsidR="002F5B7F" w14:paraId="627527E0"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14CDC5A" w14:textId="34F489B0" w:rsidR="002F5B7F" w:rsidRDefault="002F5B7F">
            <w:pPr>
              <w:rPr>
                <w:color w:val="000000"/>
              </w:rPr>
            </w:pPr>
            <w:r w:rsidRPr="002F5B7F">
              <w:rPr>
                <w:color w:val="000000"/>
              </w:rPr>
              <w:t>PEI</w:t>
            </w:r>
          </w:p>
        </w:tc>
        <w:tc>
          <w:tcPr>
            <w:tcW w:w="3987" w:type="pct"/>
            <w:gridSpan w:val="2"/>
            <w:tcBorders>
              <w:top w:val="single" w:sz="8" w:space="0" w:color="002C47"/>
              <w:left w:val="single" w:sz="8" w:space="0" w:color="002C47"/>
              <w:bottom w:val="single" w:sz="8" w:space="0" w:color="002C47"/>
              <w:right w:val="single" w:sz="8" w:space="0" w:color="002C47"/>
            </w:tcBorders>
          </w:tcPr>
          <w:p w14:paraId="1CAE36B3" w14:textId="6CF92775" w:rsidR="002F5B7F" w:rsidRDefault="002F5B7F">
            <w:pPr>
              <w:rPr>
                <w:color w:val="000000"/>
              </w:rPr>
            </w:pPr>
            <w:r w:rsidRPr="002F5B7F">
              <w:rPr>
                <w:color w:val="000000"/>
              </w:rPr>
              <w:t>Paul-Ehrlich-</w:t>
            </w:r>
            <w:proofErr w:type="spellStart"/>
            <w:r w:rsidRPr="002F5B7F">
              <w:rPr>
                <w:color w:val="000000"/>
              </w:rPr>
              <w:t>Institut</w:t>
            </w:r>
            <w:proofErr w:type="spellEnd"/>
            <w:r>
              <w:rPr>
                <w:color w:val="000000"/>
              </w:rPr>
              <w:t xml:space="preserve"> (</w:t>
            </w:r>
            <w:r w:rsidRPr="002F5B7F">
              <w:rPr>
                <w:color w:val="000000"/>
              </w:rPr>
              <w:t>German</w:t>
            </w:r>
            <w:r>
              <w:rPr>
                <w:color w:val="000000"/>
              </w:rPr>
              <w:t>y)</w:t>
            </w:r>
          </w:p>
        </w:tc>
      </w:tr>
      <w:tr w:rsidR="0089448F" w14:paraId="3F32136B"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17B01A29" w14:textId="77777777" w:rsidR="0089448F" w:rsidRDefault="0089448F">
            <w:pPr>
              <w:rPr>
                <w:color w:val="000000"/>
              </w:rPr>
            </w:pPr>
            <w:r>
              <w:rPr>
                <w:color w:val="000000"/>
              </w:rPr>
              <w:t>PFS</w:t>
            </w:r>
          </w:p>
        </w:tc>
        <w:tc>
          <w:tcPr>
            <w:tcW w:w="3987" w:type="pct"/>
            <w:gridSpan w:val="2"/>
            <w:tcBorders>
              <w:top w:val="single" w:sz="8" w:space="0" w:color="002C47"/>
              <w:left w:val="single" w:sz="8" w:space="0" w:color="002C47"/>
              <w:bottom w:val="single" w:sz="8" w:space="0" w:color="002C47"/>
              <w:right w:val="single" w:sz="8" w:space="0" w:color="002C47"/>
            </w:tcBorders>
          </w:tcPr>
          <w:p w14:paraId="59E8487F" w14:textId="77777777" w:rsidR="0089448F" w:rsidRDefault="0089448F">
            <w:r>
              <w:t>Progression-free survival</w:t>
            </w:r>
          </w:p>
        </w:tc>
      </w:tr>
      <w:tr w:rsidR="002C57C6" w14:paraId="6936B960"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35D9EB4" w14:textId="0B446B57" w:rsidR="002C57C6" w:rsidRDefault="002C57C6">
            <w:pPr>
              <w:rPr>
                <w:color w:val="000000"/>
              </w:rPr>
            </w:pPr>
            <w:r>
              <w:rPr>
                <w:color w:val="000000"/>
              </w:rPr>
              <w:t>PI</w:t>
            </w:r>
          </w:p>
        </w:tc>
        <w:tc>
          <w:tcPr>
            <w:tcW w:w="3987" w:type="pct"/>
            <w:gridSpan w:val="2"/>
            <w:tcBorders>
              <w:top w:val="single" w:sz="8" w:space="0" w:color="002C47"/>
              <w:left w:val="single" w:sz="8" w:space="0" w:color="002C47"/>
              <w:bottom w:val="single" w:sz="8" w:space="0" w:color="002C47"/>
              <w:right w:val="single" w:sz="8" w:space="0" w:color="002C47"/>
            </w:tcBorders>
          </w:tcPr>
          <w:p w14:paraId="199E4E83" w14:textId="008F5DA9" w:rsidR="002C57C6" w:rsidRDefault="002C57C6">
            <w:r>
              <w:t>Product Information</w:t>
            </w:r>
          </w:p>
        </w:tc>
      </w:tr>
      <w:tr w:rsidR="0089448F" w14:paraId="3A90371B"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F1FBD32" w14:textId="77777777" w:rsidR="0089448F" w:rsidRDefault="0089448F">
            <w:pPr>
              <w:rPr>
                <w:color w:val="000000"/>
              </w:rPr>
            </w:pPr>
            <w:r>
              <w:rPr>
                <w:color w:val="000000"/>
              </w:rPr>
              <w:t>PK</w:t>
            </w:r>
          </w:p>
        </w:tc>
        <w:tc>
          <w:tcPr>
            <w:tcW w:w="3987" w:type="pct"/>
            <w:gridSpan w:val="2"/>
            <w:tcBorders>
              <w:top w:val="single" w:sz="8" w:space="0" w:color="002C47"/>
              <w:left w:val="single" w:sz="8" w:space="0" w:color="002C47"/>
              <w:bottom w:val="single" w:sz="8" w:space="0" w:color="002C47"/>
              <w:right w:val="single" w:sz="8" w:space="0" w:color="002C47"/>
            </w:tcBorders>
          </w:tcPr>
          <w:p w14:paraId="7FAA1262" w14:textId="77777777" w:rsidR="0089448F" w:rsidRDefault="0089448F">
            <w:pPr>
              <w:rPr>
                <w:color w:val="000000"/>
              </w:rPr>
            </w:pPr>
            <w:r>
              <w:rPr>
                <w:color w:val="000000"/>
              </w:rPr>
              <w:t>Pharmacokinetic(s)</w:t>
            </w:r>
          </w:p>
        </w:tc>
      </w:tr>
      <w:tr w:rsidR="0089448F" w14:paraId="6C7C6F36"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99EEA3D" w14:textId="77777777" w:rsidR="0089448F" w:rsidRDefault="0089448F">
            <w:pPr>
              <w:rPr>
                <w:color w:val="000000"/>
              </w:rPr>
            </w:pPr>
            <w:proofErr w:type="spellStart"/>
            <w:r>
              <w:rPr>
                <w:color w:val="000000"/>
              </w:rPr>
              <w:t>PopPK</w:t>
            </w:r>
            <w:proofErr w:type="spellEnd"/>
          </w:p>
        </w:tc>
        <w:tc>
          <w:tcPr>
            <w:tcW w:w="3987" w:type="pct"/>
            <w:gridSpan w:val="2"/>
            <w:tcBorders>
              <w:top w:val="single" w:sz="8" w:space="0" w:color="002C47"/>
              <w:left w:val="single" w:sz="8" w:space="0" w:color="002C47"/>
              <w:bottom w:val="single" w:sz="8" w:space="0" w:color="002C47"/>
              <w:right w:val="single" w:sz="8" w:space="0" w:color="002C47"/>
            </w:tcBorders>
          </w:tcPr>
          <w:p w14:paraId="708D016C" w14:textId="77777777" w:rsidR="0089448F" w:rsidRDefault="0089448F">
            <w:pPr>
              <w:rPr>
                <w:color w:val="000000"/>
              </w:rPr>
            </w:pPr>
            <w:r>
              <w:rPr>
                <w:color w:val="000000"/>
              </w:rPr>
              <w:t>Population pharmacokinetic(s)</w:t>
            </w:r>
          </w:p>
        </w:tc>
      </w:tr>
      <w:tr w:rsidR="00B15BCB" w14:paraId="1F3CBBFA"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B07B599" w14:textId="05C2CC0A" w:rsidR="00B15BCB" w:rsidRDefault="00B15BCB">
            <w:pPr>
              <w:rPr>
                <w:color w:val="000000"/>
              </w:rPr>
            </w:pPr>
            <w:r w:rsidRPr="00B15BCB">
              <w:rPr>
                <w:color w:val="000000"/>
              </w:rPr>
              <w:t>PS</w:t>
            </w:r>
          </w:p>
        </w:tc>
        <w:tc>
          <w:tcPr>
            <w:tcW w:w="3987" w:type="pct"/>
            <w:gridSpan w:val="2"/>
            <w:tcBorders>
              <w:top w:val="single" w:sz="8" w:space="0" w:color="002C47"/>
              <w:left w:val="single" w:sz="8" w:space="0" w:color="002C47"/>
              <w:bottom w:val="single" w:sz="8" w:space="0" w:color="002C47"/>
              <w:right w:val="single" w:sz="8" w:space="0" w:color="002C47"/>
            </w:tcBorders>
          </w:tcPr>
          <w:p w14:paraId="71CEA27E" w14:textId="646E2055" w:rsidR="00B15BCB" w:rsidRDefault="00B15BCB">
            <w:pPr>
              <w:rPr>
                <w:color w:val="000000"/>
              </w:rPr>
            </w:pPr>
            <w:r>
              <w:rPr>
                <w:color w:val="000000"/>
              </w:rPr>
              <w:t>P</w:t>
            </w:r>
            <w:r w:rsidRPr="00B15BCB">
              <w:rPr>
                <w:color w:val="000000"/>
              </w:rPr>
              <w:t>erformance status score</w:t>
            </w:r>
          </w:p>
        </w:tc>
      </w:tr>
      <w:tr w:rsidR="00182F4B" w14:paraId="5C64E57D"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0E23005E" w14:textId="480C57F2" w:rsidR="00182F4B" w:rsidRDefault="00182F4B">
            <w:pPr>
              <w:rPr>
                <w:color w:val="000000"/>
              </w:rPr>
            </w:pPr>
            <w:r w:rsidRPr="00637293">
              <w:t>RECIST</w:t>
            </w:r>
          </w:p>
        </w:tc>
        <w:tc>
          <w:tcPr>
            <w:tcW w:w="3987" w:type="pct"/>
            <w:gridSpan w:val="2"/>
            <w:tcBorders>
              <w:top w:val="single" w:sz="8" w:space="0" w:color="002C47"/>
              <w:left w:val="single" w:sz="8" w:space="0" w:color="002C47"/>
              <w:bottom w:val="single" w:sz="8" w:space="0" w:color="002C47"/>
              <w:right w:val="single" w:sz="8" w:space="0" w:color="002C47"/>
            </w:tcBorders>
          </w:tcPr>
          <w:p w14:paraId="6FD1BDA2" w14:textId="21881184" w:rsidR="00182F4B" w:rsidRDefault="00182F4B">
            <w:pPr>
              <w:rPr>
                <w:color w:val="000000"/>
              </w:rPr>
            </w:pPr>
            <w:r w:rsidRPr="00637293">
              <w:t>Response Evaluation Criteria in Solid Tumours</w:t>
            </w:r>
          </w:p>
        </w:tc>
      </w:tr>
      <w:tr w:rsidR="0089448F" w14:paraId="2AAA948C"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7CC368DE" w14:textId="77777777" w:rsidR="0089448F" w:rsidRDefault="0089448F">
            <w:r>
              <w:t>RMP</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6F9B0F65" w14:textId="77777777" w:rsidR="0089448F" w:rsidRDefault="0089448F">
            <w:r>
              <w:t>Risk management plan</w:t>
            </w:r>
          </w:p>
        </w:tc>
      </w:tr>
      <w:tr w:rsidR="0089448F" w14:paraId="6B44D750"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6D118643" w14:textId="77777777" w:rsidR="0089448F" w:rsidRDefault="0089448F">
            <w:pPr>
              <w:rPr>
                <w:color w:val="000000"/>
              </w:rPr>
            </w:pPr>
            <w:r>
              <w:rPr>
                <w:color w:val="000000"/>
              </w:rPr>
              <w:t>RSE</w:t>
            </w:r>
          </w:p>
        </w:tc>
        <w:tc>
          <w:tcPr>
            <w:tcW w:w="3987" w:type="pct"/>
            <w:gridSpan w:val="2"/>
            <w:tcBorders>
              <w:top w:val="single" w:sz="8" w:space="0" w:color="002C47"/>
              <w:left w:val="single" w:sz="8" w:space="0" w:color="002C47"/>
              <w:bottom w:val="single" w:sz="8" w:space="0" w:color="002C47"/>
              <w:right w:val="single" w:sz="8" w:space="0" w:color="002C47"/>
            </w:tcBorders>
          </w:tcPr>
          <w:p w14:paraId="5458BC83" w14:textId="77777777" w:rsidR="0089448F" w:rsidRDefault="0089448F">
            <w:pPr>
              <w:rPr>
                <w:color w:val="000000"/>
              </w:rPr>
            </w:pPr>
            <w:r>
              <w:rPr>
                <w:color w:val="000000"/>
              </w:rPr>
              <w:t>Relative standard error</w:t>
            </w:r>
          </w:p>
        </w:tc>
      </w:tr>
      <w:tr w:rsidR="0089448F" w14:paraId="6D353B79"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4B04FD37" w14:textId="77777777" w:rsidR="0089448F" w:rsidRDefault="0089448F">
            <w:pPr>
              <w:rPr>
                <w:color w:val="000000"/>
              </w:rPr>
            </w:pPr>
            <w:r>
              <w:rPr>
                <w:color w:val="000000"/>
              </w:rPr>
              <w:t>SD</w:t>
            </w:r>
          </w:p>
        </w:tc>
        <w:tc>
          <w:tcPr>
            <w:tcW w:w="3987" w:type="pct"/>
            <w:gridSpan w:val="2"/>
            <w:tcBorders>
              <w:top w:val="single" w:sz="8" w:space="0" w:color="002C47"/>
              <w:left w:val="single" w:sz="8" w:space="0" w:color="002C47"/>
              <w:bottom w:val="single" w:sz="8" w:space="0" w:color="002C47"/>
              <w:right w:val="single" w:sz="8" w:space="0" w:color="002C47"/>
            </w:tcBorders>
          </w:tcPr>
          <w:p w14:paraId="19730937" w14:textId="77777777" w:rsidR="0089448F" w:rsidRDefault="0089448F">
            <w:pPr>
              <w:rPr>
                <w:color w:val="000000"/>
              </w:rPr>
            </w:pPr>
            <w:r>
              <w:rPr>
                <w:color w:val="000000"/>
              </w:rPr>
              <w:t>Standard deviation</w:t>
            </w:r>
          </w:p>
        </w:tc>
      </w:tr>
      <w:tr w:rsidR="0089448F" w14:paraId="462D9157"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2E378F83" w14:textId="77777777" w:rsidR="0089448F" w:rsidRDefault="0089448F">
            <w:pPr>
              <w:rPr>
                <w:color w:val="000000"/>
              </w:rPr>
            </w:pPr>
            <w:r>
              <w:rPr>
                <w:color w:val="000000"/>
              </w:rPr>
              <w:t>SmPC</w:t>
            </w:r>
          </w:p>
        </w:tc>
        <w:tc>
          <w:tcPr>
            <w:tcW w:w="3987" w:type="pct"/>
            <w:gridSpan w:val="2"/>
            <w:tcBorders>
              <w:top w:val="single" w:sz="8" w:space="0" w:color="002C47"/>
              <w:left w:val="single" w:sz="8" w:space="0" w:color="002C47"/>
              <w:bottom w:val="single" w:sz="8" w:space="0" w:color="002C47"/>
              <w:right w:val="single" w:sz="8" w:space="0" w:color="002C47"/>
            </w:tcBorders>
          </w:tcPr>
          <w:p w14:paraId="2489667D" w14:textId="77777777" w:rsidR="0089448F" w:rsidRDefault="0089448F">
            <w:r>
              <w:t>Summary of Product Characteristics (European Medicines Agency, European Union)</w:t>
            </w:r>
          </w:p>
        </w:tc>
      </w:tr>
      <w:tr w:rsidR="0089448F" w14:paraId="561C8B63"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D2D9ED4" w14:textId="77777777" w:rsidR="0089448F" w:rsidRDefault="0089448F">
            <w:pPr>
              <w:rPr>
                <w:color w:val="000000"/>
              </w:rPr>
            </w:pPr>
            <w:r>
              <w:rPr>
                <w:color w:val="000000"/>
              </w:rPr>
              <w:t>TC</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3A331E42" w14:textId="77777777" w:rsidR="0089448F" w:rsidRDefault="0089448F">
            <w:r>
              <w:rPr>
                <w:szCs w:val="22"/>
              </w:rPr>
              <w:t>Tumour cell</w:t>
            </w:r>
          </w:p>
        </w:tc>
      </w:tr>
      <w:tr w:rsidR="0089448F" w14:paraId="02CC9496"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hideMark/>
          </w:tcPr>
          <w:p w14:paraId="201C44C3" w14:textId="77777777" w:rsidR="0089448F" w:rsidRDefault="0089448F">
            <w:r>
              <w:t>TGA</w:t>
            </w:r>
          </w:p>
        </w:tc>
        <w:tc>
          <w:tcPr>
            <w:tcW w:w="3987" w:type="pct"/>
            <w:gridSpan w:val="2"/>
            <w:tcBorders>
              <w:top w:val="single" w:sz="8" w:space="0" w:color="002C47"/>
              <w:left w:val="single" w:sz="8" w:space="0" w:color="002C47"/>
              <w:bottom w:val="single" w:sz="8" w:space="0" w:color="002C47"/>
              <w:right w:val="single" w:sz="8" w:space="0" w:color="002C47"/>
            </w:tcBorders>
            <w:hideMark/>
          </w:tcPr>
          <w:p w14:paraId="7786A09D" w14:textId="77777777" w:rsidR="0089448F" w:rsidRDefault="0089448F">
            <w:r>
              <w:t>Therapeutic Goods Administration</w:t>
            </w:r>
          </w:p>
        </w:tc>
      </w:tr>
      <w:tr w:rsidR="0089448F" w14:paraId="216E102A"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7D6CE12E" w14:textId="77777777" w:rsidR="0089448F" w:rsidRDefault="0089448F">
            <w:pPr>
              <w:rPr>
                <w:color w:val="000000"/>
              </w:rPr>
            </w:pPr>
            <w:r>
              <w:rPr>
                <w:color w:val="000000"/>
              </w:rPr>
              <w:t>TPS</w:t>
            </w:r>
          </w:p>
        </w:tc>
        <w:tc>
          <w:tcPr>
            <w:tcW w:w="3987" w:type="pct"/>
            <w:gridSpan w:val="2"/>
            <w:tcBorders>
              <w:top w:val="single" w:sz="8" w:space="0" w:color="002C47"/>
              <w:left w:val="single" w:sz="8" w:space="0" w:color="002C47"/>
              <w:bottom w:val="single" w:sz="8" w:space="0" w:color="002C47"/>
              <w:right w:val="single" w:sz="8" w:space="0" w:color="002C47"/>
            </w:tcBorders>
          </w:tcPr>
          <w:p w14:paraId="5507A5BC" w14:textId="77777777" w:rsidR="0089448F" w:rsidRDefault="0089448F">
            <w:r>
              <w:t>Tumour progression score</w:t>
            </w:r>
          </w:p>
        </w:tc>
      </w:tr>
      <w:tr w:rsidR="0009673E" w14:paraId="611507C4" w14:textId="77777777" w:rsidTr="00AF2313">
        <w:trPr>
          <w:cantSplit/>
        </w:trPr>
        <w:tc>
          <w:tcPr>
            <w:tcW w:w="1013" w:type="pct"/>
            <w:tcBorders>
              <w:top w:val="single" w:sz="8" w:space="0" w:color="002C47"/>
              <w:left w:val="single" w:sz="8" w:space="0" w:color="002C47"/>
              <w:bottom w:val="single" w:sz="8" w:space="0" w:color="002C47"/>
              <w:right w:val="single" w:sz="8" w:space="0" w:color="002C47"/>
            </w:tcBorders>
          </w:tcPr>
          <w:p w14:paraId="566BDF1D" w14:textId="6537C914" w:rsidR="0009673E" w:rsidRDefault="0009673E">
            <w:pPr>
              <w:rPr>
                <w:color w:val="000000"/>
              </w:rPr>
            </w:pPr>
            <w:r>
              <w:t>US(A)</w:t>
            </w:r>
          </w:p>
        </w:tc>
        <w:tc>
          <w:tcPr>
            <w:tcW w:w="3987" w:type="pct"/>
            <w:gridSpan w:val="2"/>
            <w:tcBorders>
              <w:top w:val="single" w:sz="8" w:space="0" w:color="002C47"/>
              <w:left w:val="single" w:sz="8" w:space="0" w:color="002C47"/>
              <w:bottom w:val="single" w:sz="8" w:space="0" w:color="002C47"/>
              <w:right w:val="single" w:sz="8" w:space="0" w:color="002C47"/>
            </w:tcBorders>
          </w:tcPr>
          <w:p w14:paraId="035B4FE7" w14:textId="54B104AB" w:rsidR="0009673E" w:rsidRDefault="0009673E">
            <w:r>
              <w:t>United States (of America)</w:t>
            </w:r>
          </w:p>
        </w:tc>
      </w:tr>
    </w:tbl>
    <w:p w14:paraId="7EB96142" w14:textId="77777777" w:rsidR="00FD119B" w:rsidRPr="00FD119B" w:rsidRDefault="00FD119B" w:rsidP="00FD119B">
      <w:pPr>
        <w:spacing w:before="0" w:after="200" w:line="0" w:lineRule="auto"/>
        <w:rPr>
          <w:b/>
          <w:i/>
          <w:sz w:val="24"/>
          <w:szCs w:val="24"/>
        </w:rPr>
      </w:pPr>
      <w:r w:rsidRPr="00FD119B">
        <w:rPr>
          <w:b/>
          <w:i/>
          <w:sz w:val="24"/>
          <w:szCs w:val="24"/>
        </w:rPr>
        <w:br w:type="page"/>
      </w:r>
    </w:p>
    <w:p w14:paraId="11C8C615" w14:textId="1E2E5DD7" w:rsidR="008E7846" w:rsidRDefault="009F2673" w:rsidP="008E7846">
      <w:pPr>
        <w:pStyle w:val="Heading2"/>
      </w:pPr>
      <w:bookmarkStart w:id="5" w:name="_Toc110856875"/>
      <w:r>
        <w:lastRenderedPageBreak/>
        <w:t>Pr</w:t>
      </w:r>
      <w:r w:rsidR="008E7846">
        <w:t>oduct submission</w:t>
      </w:r>
      <w:bookmarkEnd w:id="5"/>
      <w:bookmarkEnd w:id="0"/>
      <w:bookmarkEnd w:id="2"/>
    </w:p>
    <w:p w14:paraId="5E63DF9B" w14:textId="495B8611" w:rsidR="008E7846" w:rsidRDefault="008E7846" w:rsidP="009E5A87">
      <w:pPr>
        <w:pStyle w:val="Heading3"/>
        <w:rPr>
          <w:lang w:eastAsia="en-AU"/>
        </w:rPr>
      </w:pPr>
      <w:bookmarkStart w:id="6" w:name="_Toc247691502"/>
      <w:bookmarkStart w:id="7" w:name="_Toc314842483"/>
      <w:bookmarkStart w:id="8" w:name="_Toc110856876"/>
      <w:r>
        <w:rPr>
          <w:lang w:eastAsia="en-AU"/>
        </w:rPr>
        <w:t>Submission details</w:t>
      </w:r>
      <w:bookmarkEnd w:id="6"/>
      <w:bookmarkEnd w:id="7"/>
      <w:bookmarkEnd w:id="8"/>
    </w:p>
    <w:tbl>
      <w:tblPr>
        <w:tblW w:w="5000" w:type="pct"/>
        <w:tblLook w:val="01E0" w:firstRow="1" w:lastRow="1" w:firstColumn="1" w:lastColumn="1" w:noHBand="0" w:noVBand="0"/>
      </w:tblPr>
      <w:tblGrid>
        <w:gridCol w:w="2750"/>
        <w:gridCol w:w="5970"/>
      </w:tblGrid>
      <w:tr w:rsidR="009F2673" w:rsidRPr="003D1E62" w14:paraId="5442EC4D" w14:textId="77777777" w:rsidTr="0089448F">
        <w:tc>
          <w:tcPr>
            <w:tcW w:w="1577" w:type="pct"/>
          </w:tcPr>
          <w:p w14:paraId="7C7D2B4D" w14:textId="77777777" w:rsidR="009F2673" w:rsidRPr="003D1E62" w:rsidRDefault="009F2673" w:rsidP="009E5A87">
            <w:pPr>
              <w:rPr>
                <w:i/>
              </w:rPr>
            </w:pPr>
            <w:r>
              <w:rPr>
                <w:i/>
              </w:rPr>
              <w:t>Type of s</w:t>
            </w:r>
            <w:r w:rsidRPr="003D1E62">
              <w:rPr>
                <w:i/>
              </w:rPr>
              <w:t>ubmission</w:t>
            </w:r>
            <w:r>
              <w:rPr>
                <w:i/>
              </w:rPr>
              <w:t>:</w:t>
            </w:r>
          </w:p>
        </w:tc>
        <w:tc>
          <w:tcPr>
            <w:tcW w:w="3423" w:type="pct"/>
          </w:tcPr>
          <w:p w14:paraId="68F32E45" w14:textId="3BDAF3B8" w:rsidR="009F2673" w:rsidRPr="003D1E62" w:rsidRDefault="00FA1421" w:rsidP="009E5A87">
            <w:r>
              <w:t>Extension of indications</w:t>
            </w:r>
          </w:p>
        </w:tc>
      </w:tr>
      <w:tr w:rsidR="009F2673" w:rsidRPr="003D1E62" w14:paraId="5E8F8CBB" w14:textId="77777777" w:rsidTr="0089448F">
        <w:tc>
          <w:tcPr>
            <w:tcW w:w="1577" w:type="pct"/>
          </w:tcPr>
          <w:p w14:paraId="26701AA5" w14:textId="74871B8E" w:rsidR="009F2673" w:rsidRPr="003D1E62" w:rsidRDefault="00FA1421" w:rsidP="009E5A87">
            <w:pPr>
              <w:rPr>
                <w:i/>
              </w:rPr>
            </w:pPr>
            <w:r>
              <w:rPr>
                <w:i/>
              </w:rPr>
              <w:t>Product name</w:t>
            </w:r>
            <w:r w:rsidR="009F2673" w:rsidRPr="00460036">
              <w:rPr>
                <w:i/>
              </w:rPr>
              <w:t>:</w:t>
            </w:r>
          </w:p>
        </w:tc>
        <w:tc>
          <w:tcPr>
            <w:tcW w:w="3423" w:type="pct"/>
          </w:tcPr>
          <w:p w14:paraId="35BAE929" w14:textId="735EABEC" w:rsidR="009F2673" w:rsidRPr="003D1E62" w:rsidRDefault="00FA1421" w:rsidP="009E5A87">
            <w:proofErr w:type="spellStart"/>
            <w:r>
              <w:t>Tecentriq</w:t>
            </w:r>
            <w:proofErr w:type="spellEnd"/>
          </w:p>
        </w:tc>
      </w:tr>
      <w:tr w:rsidR="009F2673" w:rsidRPr="003D1E62" w14:paraId="36562006" w14:textId="77777777" w:rsidTr="0089448F">
        <w:tc>
          <w:tcPr>
            <w:tcW w:w="1577" w:type="pct"/>
          </w:tcPr>
          <w:p w14:paraId="4416BCAC" w14:textId="5D7A4B13" w:rsidR="009F2673" w:rsidRPr="003D1E62" w:rsidRDefault="00FA1421" w:rsidP="009E5A87">
            <w:pPr>
              <w:rPr>
                <w:i/>
              </w:rPr>
            </w:pPr>
            <w:r>
              <w:rPr>
                <w:i/>
              </w:rPr>
              <w:t>Active ingredient</w:t>
            </w:r>
            <w:r w:rsidR="009F2673" w:rsidRPr="00460036">
              <w:rPr>
                <w:i/>
              </w:rPr>
              <w:t>:</w:t>
            </w:r>
          </w:p>
        </w:tc>
        <w:tc>
          <w:tcPr>
            <w:tcW w:w="3423" w:type="pct"/>
          </w:tcPr>
          <w:p w14:paraId="3750EB0D" w14:textId="51BDB878" w:rsidR="009F2673" w:rsidRPr="003D1E62" w:rsidRDefault="00FA1421" w:rsidP="009E5A87">
            <w:r>
              <w:t>Atezolizumab</w:t>
            </w:r>
          </w:p>
        </w:tc>
      </w:tr>
      <w:tr w:rsidR="009F2673" w:rsidRPr="003D1E62" w14:paraId="63AC562F" w14:textId="77777777" w:rsidTr="0089448F">
        <w:tc>
          <w:tcPr>
            <w:tcW w:w="1577" w:type="pct"/>
          </w:tcPr>
          <w:p w14:paraId="211758E7" w14:textId="77777777" w:rsidR="009F2673" w:rsidRPr="009F2673" w:rsidRDefault="009F2673" w:rsidP="009E5A87">
            <w:pPr>
              <w:rPr>
                <w:i/>
              </w:rPr>
            </w:pPr>
            <w:r w:rsidRPr="003D1E62">
              <w:rPr>
                <w:i/>
              </w:rPr>
              <w:t>Decision</w:t>
            </w:r>
            <w:r w:rsidRPr="009F2673">
              <w:rPr>
                <w:i/>
              </w:rPr>
              <w:t>:</w:t>
            </w:r>
          </w:p>
        </w:tc>
        <w:tc>
          <w:tcPr>
            <w:tcW w:w="3423" w:type="pct"/>
          </w:tcPr>
          <w:p w14:paraId="17BA5DC7" w14:textId="5F92665B" w:rsidR="009F2673" w:rsidRPr="003D1E62" w:rsidRDefault="009F2673" w:rsidP="009E5A87">
            <w:r w:rsidRPr="00460036">
              <w:t>Withdrawn</w:t>
            </w:r>
          </w:p>
        </w:tc>
      </w:tr>
      <w:tr w:rsidR="009F2673" w:rsidRPr="003D1E62" w14:paraId="54F6B185" w14:textId="77777777" w:rsidTr="0089448F">
        <w:tc>
          <w:tcPr>
            <w:tcW w:w="1577" w:type="pct"/>
          </w:tcPr>
          <w:p w14:paraId="6573406F" w14:textId="77777777" w:rsidR="009F2673" w:rsidRPr="003D1E62" w:rsidRDefault="009F2673" w:rsidP="009E5A87">
            <w:pPr>
              <w:rPr>
                <w:i/>
              </w:rPr>
            </w:pPr>
            <w:r w:rsidRPr="003D1E62">
              <w:rPr>
                <w:i/>
              </w:rPr>
              <w:t xml:space="preserve">Date of </w:t>
            </w:r>
            <w:r>
              <w:rPr>
                <w:i/>
              </w:rPr>
              <w:t>d</w:t>
            </w:r>
            <w:r w:rsidRPr="003D1E62">
              <w:rPr>
                <w:i/>
              </w:rPr>
              <w:t>ecision:</w:t>
            </w:r>
          </w:p>
        </w:tc>
        <w:tc>
          <w:tcPr>
            <w:tcW w:w="3423" w:type="pct"/>
          </w:tcPr>
          <w:p w14:paraId="117BC9BA" w14:textId="3D0989A7" w:rsidR="009F2673" w:rsidRPr="003D1E62" w:rsidRDefault="00FA1421" w:rsidP="009E5A87">
            <w:r>
              <w:t>Not applicable</w:t>
            </w:r>
          </w:p>
        </w:tc>
      </w:tr>
      <w:tr w:rsidR="009F2673" w:rsidRPr="003D1E62" w14:paraId="690618C6" w14:textId="77777777" w:rsidTr="0089448F">
        <w:tc>
          <w:tcPr>
            <w:tcW w:w="1577" w:type="pct"/>
          </w:tcPr>
          <w:p w14:paraId="17052A10" w14:textId="77777777" w:rsidR="009F2673" w:rsidRPr="00441C3F" w:rsidRDefault="009F2673" w:rsidP="009E5A87">
            <w:pPr>
              <w:rPr>
                <w:i/>
              </w:rPr>
            </w:pPr>
            <w:r w:rsidRPr="00441C3F">
              <w:rPr>
                <w:i/>
              </w:rPr>
              <w:t>Date of entry onto ARTG</w:t>
            </w:r>
            <w:r>
              <w:rPr>
                <w:i/>
              </w:rPr>
              <w:t>:</w:t>
            </w:r>
          </w:p>
        </w:tc>
        <w:tc>
          <w:tcPr>
            <w:tcW w:w="3423" w:type="pct"/>
          </w:tcPr>
          <w:p w14:paraId="3C2B6D1F" w14:textId="55EC4AEF" w:rsidR="009F2673" w:rsidRPr="009F2673" w:rsidRDefault="00FA1421" w:rsidP="009E5A87">
            <w:r>
              <w:t>Not applicable</w:t>
            </w:r>
          </w:p>
        </w:tc>
      </w:tr>
      <w:tr w:rsidR="009F2673" w:rsidRPr="003D1E62" w14:paraId="593CD5EE" w14:textId="77777777" w:rsidTr="0089448F">
        <w:tc>
          <w:tcPr>
            <w:tcW w:w="1577" w:type="pct"/>
          </w:tcPr>
          <w:p w14:paraId="29F14DF4" w14:textId="02C2BC9C" w:rsidR="009F2673" w:rsidRPr="00441C3F" w:rsidRDefault="00FA1421" w:rsidP="009E5A87">
            <w:pPr>
              <w:rPr>
                <w:i/>
              </w:rPr>
            </w:pPr>
            <w:r>
              <w:rPr>
                <w:i/>
              </w:rPr>
              <w:t>ARTG numbers</w:t>
            </w:r>
            <w:r w:rsidR="009F2673">
              <w:rPr>
                <w:i/>
              </w:rPr>
              <w:t>:</w:t>
            </w:r>
          </w:p>
        </w:tc>
        <w:tc>
          <w:tcPr>
            <w:tcW w:w="3423" w:type="pct"/>
          </w:tcPr>
          <w:p w14:paraId="2948644E" w14:textId="65038EAF" w:rsidR="009F2673" w:rsidRPr="00441C3F" w:rsidRDefault="00FA1421">
            <w:r>
              <w:t>277120</w:t>
            </w:r>
            <w:r w:rsidR="0042377B">
              <w:t xml:space="preserve"> and </w:t>
            </w:r>
            <w:r>
              <w:t>310681</w:t>
            </w:r>
          </w:p>
        </w:tc>
      </w:tr>
      <w:tr w:rsidR="009F2673" w:rsidRPr="003D1E62" w14:paraId="3DC29985" w14:textId="77777777" w:rsidTr="0089448F">
        <w:tc>
          <w:tcPr>
            <w:tcW w:w="1577" w:type="pct"/>
          </w:tcPr>
          <w:p w14:paraId="0DE80440" w14:textId="4970E0A8" w:rsidR="009F2673" w:rsidRDefault="001B1DA4" w:rsidP="009E5A87">
            <w:pPr>
              <w:rPr>
                <w:i/>
              </w:rPr>
            </w:pPr>
            <w:r>
              <w:rPr>
                <w:rFonts w:ascii="Wingdings 3" w:hAnsi="Wingdings 3"/>
                <w:sz w:val="34"/>
                <w:szCs w:val="34"/>
                <w:lang w:eastAsia="en-AU"/>
              </w:rPr>
              <w:t></w:t>
            </w:r>
            <w:hyperlink r:id="rId14" w:history="1">
              <w:r w:rsidR="009F2673" w:rsidRPr="009F2673">
                <w:rPr>
                  <w:rStyle w:val="Hyperlink"/>
                  <w:i/>
                </w:rPr>
                <w:t>Black Triangle Scheme</w:t>
              </w:r>
            </w:hyperlink>
            <w:r w:rsidR="009F2673">
              <w:rPr>
                <w:i/>
              </w:rPr>
              <w:t>:</w:t>
            </w:r>
          </w:p>
        </w:tc>
        <w:tc>
          <w:tcPr>
            <w:tcW w:w="3423" w:type="pct"/>
          </w:tcPr>
          <w:p w14:paraId="0183F109" w14:textId="67A71BBC" w:rsidR="009F2673" w:rsidRPr="00487162" w:rsidRDefault="00FA1421" w:rsidP="009E5A87">
            <w:r>
              <w:t>Not applicable</w:t>
            </w:r>
          </w:p>
        </w:tc>
      </w:tr>
      <w:tr w:rsidR="009F2673" w:rsidRPr="003D1E62" w14:paraId="37575003" w14:textId="77777777" w:rsidTr="0089448F">
        <w:tc>
          <w:tcPr>
            <w:tcW w:w="1577" w:type="pct"/>
          </w:tcPr>
          <w:p w14:paraId="6D886672" w14:textId="77777777" w:rsidR="009F2673" w:rsidRPr="009F2673" w:rsidRDefault="009F2673" w:rsidP="009E5A87">
            <w:pPr>
              <w:rPr>
                <w:i/>
              </w:rPr>
            </w:pPr>
            <w:r w:rsidRPr="00487162">
              <w:rPr>
                <w:i/>
              </w:rPr>
              <w:t xml:space="preserve">Sponsor’s </w:t>
            </w:r>
            <w:r>
              <w:rPr>
                <w:i/>
              </w:rPr>
              <w:t>n</w:t>
            </w:r>
            <w:r w:rsidRPr="00487162">
              <w:rPr>
                <w:i/>
              </w:rPr>
              <w:t xml:space="preserve">ame and </w:t>
            </w:r>
            <w:r>
              <w:rPr>
                <w:i/>
              </w:rPr>
              <w:t>a</w:t>
            </w:r>
            <w:r w:rsidRPr="00487162">
              <w:rPr>
                <w:i/>
              </w:rPr>
              <w:t>ddress:</w:t>
            </w:r>
          </w:p>
        </w:tc>
        <w:tc>
          <w:tcPr>
            <w:tcW w:w="3423" w:type="pct"/>
          </w:tcPr>
          <w:p w14:paraId="5D63D3A7" w14:textId="1347BB4B" w:rsidR="007E38B6" w:rsidRDefault="007E38B6" w:rsidP="007E38B6">
            <w:r>
              <w:t xml:space="preserve">Roche Products </w:t>
            </w:r>
            <w:r w:rsidR="0089448F">
              <w:t xml:space="preserve">Australia </w:t>
            </w:r>
            <w:r>
              <w:t>Pty Limited</w:t>
            </w:r>
          </w:p>
          <w:p w14:paraId="7CB01066" w14:textId="5485C3F0" w:rsidR="007E38B6" w:rsidRDefault="007E38B6" w:rsidP="007E38B6">
            <w:r>
              <w:t xml:space="preserve">Level 8, 30 </w:t>
            </w:r>
            <w:r w:rsidR="0042377B">
              <w:t>-</w:t>
            </w:r>
            <w:r>
              <w:t xml:space="preserve"> 34 Hickson Road</w:t>
            </w:r>
          </w:p>
          <w:p w14:paraId="24CF14A2" w14:textId="3644C687" w:rsidR="009F2673" w:rsidRDefault="007E38B6" w:rsidP="007E38B6">
            <w:r>
              <w:t xml:space="preserve">Sydney NSW 2000 </w:t>
            </w:r>
          </w:p>
        </w:tc>
      </w:tr>
      <w:tr w:rsidR="009F2673" w:rsidRPr="003D1E62" w14:paraId="6D290317" w14:textId="77777777" w:rsidTr="0089448F">
        <w:tc>
          <w:tcPr>
            <w:tcW w:w="1577" w:type="pct"/>
          </w:tcPr>
          <w:p w14:paraId="2BA54FAB" w14:textId="055F44CD" w:rsidR="009F2673" w:rsidRPr="00487162" w:rsidRDefault="00FA1421" w:rsidP="009E5A87">
            <w:pPr>
              <w:rPr>
                <w:i/>
              </w:rPr>
            </w:pPr>
            <w:r>
              <w:rPr>
                <w:i/>
              </w:rPr>
              <w:t>Dose form</w:t>
            </w:r>
            <w:r w:rsidR="009F2673">
              <w:rPr>
                <w:i/>
              </w:rPr>
              <w:t>:</w:t>
            </w:r>
          </w:p>
        </w:tc>
        <w:tc>
          <w:tcPr>
            <w:tcW w:w="3423" w:type="pct"/>
          </w:tcPr>
          <w:p w14:paraId="7FEE1F05" w14:textId="52B4635B" w:rsidR="009F2673" w:rsidRDefault="00FA1421" w:rsidP="009E5A87">
            <w:r>
              <w:t>Injection</w:t>
            </w:r>
          </w:p>
        </w:tc>
      </w:tr>
      <w:tr w:rsidR="009F2673" w:rsidRPr="003D1E62" w14:paraId="3EC462C6" w14:textId="77777777" w:rsidTr="0089448F">
        <w:tc>
          <w:tcPr>
            <w:tcW w:w="1577" w:type="pct"/>
          </w:tcPr>
          <w:p w14:paraId="5968885C" w14:textId="271E4B93" w:rsidR="009F2673" w:rsidRPr="00487162" w:rsidRDefault="00FA1421" w:rsidP="009E5A87">
            <w:pPr>
              <w:rPr>
                <w:i/>
              </w:rPr>
            </w:pPr>
            <w:r>
              <w:rPr>
                <w:i/>
              </w:rPr>
              <w:t>Strengths</w:t>
            </w:r>
            <w:r w:rsidR="009F2673" w:rsidRPr="00487162">
              <w:rPr>
                <w:i/>
              </w:rPr>
              <w:t>:</w:t>
            </w:r>
          </w:p>
        </w:tc>
        <w:tc>
          <w:tcPr>
            <w:tcW w:w="3423" w:type="pct"/>
          </w:tcPr>
          <w:p w14:paraId="2508E118" w14:textId="77777777" w:rsidR="00FA1421" w:rsidRDefault="00FA1421" w:rsidP="00FA1421">
            <w:r>
              <w:t>840 mg/14 mL</w:t>
            </w:r>
          </w:p>
          <w:p w14:paraId="1A4406C5" w14:textId="30F577DD" w:rsidR="009F2673" w:rsidRDefault="00FA1421" w:rsidP="00FA1421">
            <w:r>
              <w:t>1200 mg/20 mL</w:t>
            </w:r>
          </w:p>
        </w:tc>
      </w:tr>
      <w:tr w:rsidR="009F2673" w:rsidRPr="003D1E62" w14:paraId="3696FB42" w14:textId="77777777" w:rsidTr="0089448F">
        <w:tc>
          <w:tcPr>
            <w:tcW w:w="1577" w:type="pct"/>
          </w:tcPr>
          <w:p w14:paraId="0F0E0A0B" w14:textId="21685D03" w:rsidR="009F2673" w:rsidRPr="00487162" w:rsidRDefault="00FA1421" w:rsidP="009E5A87">
            <w:pPr>
              <w:rPr>
                <w:i/>
              </w:rPr>
            </w:pPr>
            <w:r>
              <w:rPr>
                <w:i/>
              </w:rPr>
              <w:t>Container</w:t>
            </w:r>
            <w:r w:rsidR="009F2673" w:rsidRPr="00487162">
              <w:rPr>
                <w:i/>
              </w:rPr>
              <w:t>:</w:t>
            </w:r>
          </w:p>
        </w:tc>
        <w:tc>
          <w:tcPr>
            <w:tcW w:w="3423" w:type="pct"/>
          </w:tcPr>
          <w:p w14:paraId="28A3FFBF" w14:textId="00C48649" w:rsidR="009F2673" w:rsidRDefault="00FA1421" w:rsidP="009E5A87">
            <w:r>
              <w:t>Vial</w:t>
            </w:r>
          </w:p>
        </w:tc>
      </w:tr>
      <w:tr w:rsidR="009F2673" w:rsidRPr="003D1E62" w14:paraId="45D23F84" w14:textId="77777777" w:rsidTr="0089448F">
        <w:tc>
          <w:tcPr>
            <w:tcW w:w="1577" w:type="pct"/>
          </w:tcPr>
          <w:p w14:paraId="5931E7A5" w14:textId="705A865B" w:rsidR="009F2673" w:rsidRPr="00487162" w:rsidRDefault="007E38B6" w:rsidP="009E5A87">
            <w:pPr>
              <w:rPr>
                <w:i/>
              </w:rPr>
            </w:pPr>
            <w:r>
              <w:rPr>
                <w:i/>
              </w:rPr>
              <w:t>Pack size</w:t>
            </w:r>
            <w:r w:rsidR="009F2673" w:rsidRPr="00487162">
              <w:rPr>
                <w:i/>
              </w:rPr>
              <w:t>:</w:t>
            </w:r>
          </w:p>
        </w:tc>
        <w:tc>
          <w:tcPr>
            <w:tcW w:w="3423" w:type="pct"/>
          </w:tcPr>
          <w:p w14:paraId="6A908885" w14:textId="6C3A9595" w:rsidR="009F2673" w:rsidRDefault="007E38B6" w:rsidP="009E5A87">
            <w:r>
              <w:t>Single vial</w:t>
            </w:r>
          </w:p>
        </w:tc>
      </w:tr>
      <w:tr w:rsidR="009F2673" w:rsidRPr="003D1E62" w14:paraId="1DFBA5F3" w14:textId="77777777" w:rsidTr="0089448F">
        <w:tc>
          <w:tcPr>
            <w:tcW w:w="1577" w:type="pct"/>
          </w:tcPr>
          <w:p w14:paraId="2DDB85B1" w14:textId="77777777" w:rsidR="009F2673" w:rsidRPr="00487162" w:rsidRDefault="009F2673" w:rsidP="009E5A87">
            <w:pPr>
              <w:rPr>
                <w:i/>
              </w:rPr>
            </w:pPr>
            <w:r w:rsidRPr="00487162">
              <w:rPr>
                <w:i/>
              </w:rPr>
              <w:t xml:space="preserve">Approved </w:t>
            </w:r>
            <w:r>
              <w:rPr>
                <w:i/>
              </w:rPr>
              <w:t>t</w:t>
            </w:r>
            <w:r w:rsidRPr="00487162">
              <w:rPr>
                <w:i/>
              </w:rPr>
              <w:t>herapeutic use:</w:t>
            </w:r>
          </w:p>
        </w:tc>
        <w:tc>
          <w:tcPr>
            <w:tcW w:w="3423" w:type="pct"/>
          </w:tcPr>
          <w:p w14:paraId="59A4AFDD" w14:textId="67502FA8" w:rsidR="009F2673" w:rsidRPr="00487162" w:rsidRDefault="007E38B6" w:rsidP="009E5A87">
            <w:r>
              <w:t>Not applicable</w:t>
            </w:r>
          </w:p>
        </w:tc>
      </w:tr>
      <w:tr w:rsidR="009F2673" w:rsidRPr="003D1E62" w14:paraId="38E01BD1" w14:textId="77777777" w:rsidTr="0089448F">
        <w:tc>
          <w:tcPr>
            <w:tcW w:w="1577" w:type="pct"/>
          </w:tcPr>
          <w:p w14:paraId="5A1A2DFF" w14:textId="459B65D6" w:rsidR="009F2673" w:rsidRPr="00487162" w:rsidRDefault="007E38B6" w:rsidP="009E5A87">
            <w:pPr>
              <w:rPr>
                <w:i/>
              </w:rPr>
            </w:pPr>
            <w:r>
              <w:rPr>
                <w:i/>
              </w:rPr>
              <w:t>Route</w:t>
            </w:r>
            <w:r w:rsidR="009F2673" w:rsidRPr="00487162">
              <w:rPr>
                <w:i/>
              </w:rPr>
              <w:t xml:space="preserve"> of administration:</w:t>
            </w:r>
          </w:p>
        </w:tc>
        <w:tc>
          <w:tcPr>
            <w:tcW w:w="3423" w:type="pct"/>
          </w:tcPr>
          <w:p w14:paraId="39637DDB" w14:textId="4A6C42CD" w:rsidR="009F2673" w:rsidRPr="00487162" w:rsidRDefault="00F173E5" w:rsidP="00F173E5">
            <w:r>
              <w:t>Intravenous</w:t>
            </w:r>
          </w:p>
        </w:tc>
      </w:tr>
      <w:tr w:rsidR="009F2673" w:rsidRPr="003D1E62" w14:paraId="176D4981" w14:textId="77777777" w:rsidTr="0089448F">
        <w:tc>
          <w:tcPr>
            <w:tcW w:w="1577" w:type="pct"/>
          </w:tcPr>
          <w:p w14:paraId="0897F1ED" w14:textId="77777777" w:rsidR="009F2673" w:rsidRPr="00487162" w:rsidRDefault="009F2673" w:rsidP="009E5A87">
            <w:pPr>
              <w:rPr>
                <w:i/>
              </w:rPr>
            </w:pPr>
            <w:r w:rsidRPr="00487162">
              <w:rPr>
                <w:i/>
              </w:rPr>
              <w:t>Dosage:</w:t>
            </w:r>
          </w:p>
        </w:tc>
        <w:tc>
          <w:tcPr>
            <w:tcW w:w="3423" w:type="pct"/>
          </w:tcPr>
          <w:p w14:paraId="611255AA" w14:textId="4DBB17B9" w:rsidR="009F2673" w:rsidRPr="00487162" w:rsidRDefault="007E38B6" w:rsidP="009E5A87">
            <w:r>
              <w:t>Not applicable</w:t>
            </w:r>
          </w:p>
        </w:tc>
      </w:tr>
      <w:tr w:rsidR="009F2673" w:rsidRPr="003D1E62" w14:paraId="14B62A81" w14:textId="77777777" w:rsidTr="0089448F">
        <w:trPr>
          <w:cantSplit/>
        </w:trPr>
        <w:tc>
          <w:tcPr>
            <w:tcW w:w="1577" w:type="pct"/>
          </w:tcPr>
          <w:p w14:paraId="56A99F2C" w14:textId="77777777" w:rsidR="009F2673" w:rsidRPr="00487162" w:rsidRDefault="009F2673" w:rsidP="009E5A87">
            <w:pPr>
              <w:rPr>
                <w:i/>
              </w:rPr>
            </w:pPr>
            <w:r w:rsidRPr="00460036">
              <w:rPr>
                <w:i/>
              </w:rPr>
              <w:lastRenderedPageBreak/>
              <w:t>Pregnancy category</w:t>
            </w:r>
            <w:r>
              <w:rPr>
                <w:i/>
              </w:rPr>
              <w:t>:</w:t>
            </w:r>
          </w:p>
        </w:tc>
        <w:tc>
          <w:tcPr>
            <w:tcW w:w="3423" w:type="pct"/>
          </w:tcPr>
          <w:p w14:paraId="444C357F" w14:textId="3D5F6C88" w:rsidR="009F2673" w:rsidRDefault="007E38B6" w:rsidP="009F2673">
            <w:r>
              <w:t>Category D</w:t>
            </w:r>
          </w:p>
          <w:p w14:paraId="04587F55" w14:textId="788D01E2" w:rsidR="007E38B6" w:rsidRDefault="007E38B6" w:rsidP="009F2673">
            <w:r w:rsidRPr="007E38B6">
              <w:t xml:space="preserve">Drugs which have caused, are suspected to have caused or may be expected to cause, an increased incidence of human </w:t>
            </w:r>
            <w:proofErr w:type="spellStart"/>
            <w:r w:rsidRPr="007E38B6">
              <w:t>fetal</w:t>
            </w:r>
            <w:proofErr w:type="spellEnd"/>
            <w:r w:rsidRPr="007E38B6">
              <w:t xml:space="preserve"> malformations or irreversible damage. These drugs may also have adverse pharmacological effects. Accompanying texts should be consulted for further details.</w:t>
            </w:r>
          </w:p>
          <w:p w14:paraId="1353E649" w14:textId="3395165B" w:rsidR="009F2673" w:rsidRPr="00487162" w:rsidRDefault="009F2673" w:rsidP="009E5A87">
            <w:r>
              <w:t>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information is available from obstetric drug information services in your State or Territory.</w:t>
            </w:r>
          </w:p>
        </w:tc>
      </w:tr>
    </w:tbl>
    <w:p w14:paraId="3386E3DA" w14:textId="77777777" w:rsidR="008E7846" w:rsidRDefault="008E7846" w:rsidP="008E7846">
      <w:pPr>
        <w:pStyle w:val="Heading3"/>
      </w:pPr>
      <w:bookmarkStart w:id="9" w:name="_Toc247691503"/>
      <w:bookmarkStart w:id="10" w:name="_Toc314842484"/>
      <w:bookmarkStart w:id="11" w:name="_Toc110856877"/>
      <w:r>
        <w:t>Product background</w:t>
      </w:r>
      <w:bookmarkEnd w:id="9"/>
      <w:bookmarkEnd w:id="10"/>
      <w:bookmarkEnd w:id="11"/>
    </w:p>
    <w:p w14:paraId="4B80A940" w14:textId="49536190" w:rsidR="009F2673" w:rsidRPr="0042377B" w:rsidRDefault="009F2673">
      <w:r w:rsidRPr="0042377B">
        <w:t xml:space="preserve">This </w:t>
      </w:r>
      <w:proofErr w:type="spellStart"/>
      <w:r w:rsidRPr="0042377B">
        <w:t>AusPAR</w:t>
      </w:r>
      <w:proofErr w:type="spellEnd"/>
      <w:r w:rsidRPr="0042377B">
        <w:t xml:space="preserve"> describes the </w:t>
      </w:r>
      <w:r w:rsidR="001E359E" w:rsidRPr="0042377B">
        <w:t>submission</w:t>
      </w:r>
      <w:r w:rsidRPr="0042377B">
        <w:t xml:space="preserve"> by </w:t>
      </w:r>
      <w:r w:rsidR="00FA1421" w:rsidRPr="0042377B">
        <w:t>Roche P</w:t>
      </w:r>
      <w:r w:rsidR="0089448F" w:rsidRPr="0042377B">
        <w:t>roducts</w:t>
      </w:r>
      <w:r w:rsidR="00FA1421" w:rsidRPr="0042377B">
        <w:t xml:space="preserve"> Australia Pty Ltd </w:t>
      </w:r>
      <w:r w:rsidRPr="0042377B">
        <w:t xml:space="preserve">(the sponsor) to register </w:t>
      </w:r>
      <w:proofErr w:type="spellStart"/>
      <w:r w:rsidR="00FA1421" w:rsidRPr="00B50F71">
        <w:t>Tecentriq</w:t>
      </w:r>
      <w:proofErr w:type="spellEnd"/>
      <w:r w:rsidR="00FA1421" w:rsidRPr="00B50F71">
        <w:t xml:space="preserve"> (</w:t>
      </w:r>
      <w:r w:rsidR="00FA1421" w:rsidRPr="0042377B">
        <w:t xml:space="preserve">atezolizumab) 840 mg/14 mL </w:t>
      </w:r>
      <w:r w:rsidR="007E38B6" w:rsidRPr="0042377B">
        <w:t xml:space="preserve">and 1200 mg/20 mL </w:t>
      </w:r>
      <w:r w:rsidR="00FA1421" w:rsidRPr="0042377B">
        <w:t xml:space="preserve">injection concentrated vial </w:t>
      </w:r>
      <w:r w:rsidRPr="0042377B">
        <w:t>for the following proposed extension of indications</w:t>
      </w:r>
      <w:r w:rsidR="00C41F50" w:rsidRPr="0042377B">
        <w:t>:</w:t>
      </w:r>
    </w:p>
    <w:p w14:paraId="3328EE01" w14:textId="7BC51C0E" w:rsidR="00C41F50" w:rsidRDefault="00C41F50" w:rsidP="00C41F50">
      <w:pPr>
        <w:ind w:left="720"/>
        <w:rPr>
          <w:i/>
          <w:color w:val="0070B5" w:themeColor="accent1" w:themeTint="BF"/>
        </w:rPr>
      </w:pPr>
      <w:proofErr w:type="spellStart"/>
      <w:r>
        <w:rPr>
          <w:i/>
        </w:rPr>
        <w:t>Tecentriq</w:t>
      </w:r>
      <w:proofErr w:type="spellEnd"/>
      <w:r>
        <w:rPr>
          <w:i/>
        </w:rPr>
        <w:t xml:space="preserve"> as monotherapy is indicated for the first-line treatment of patients with metastatic NSCLC whose tumours have a PD-L1 expression ≥ 50% tumour cells (TC) or ≥ 10% tumour-infiltrating immune cells (IC) as determined by a validated test, and who do not have EGFR or ALK genomic tumour aberrations</w:t>
      </w:r>
      <w:r>
        <w:rPr>
          <w:i/>
          <w:color w:val="0070B5" w:themeColor="accent1" w:themeTint="BF"/>
        </w:rPr>
        <w:t>.</w:t>
      </w:r>
    </w:p>
    <w:p w14:paraId="1D147635" w14:textId="7332D6E5" w:rsidR="00A06369" w:rsidRDefault="00A06369" w:rsidP="00A06369">
      <w:pPr>
        <w:rPr>
          <w:lang w:eastAsia="ja-JP"/>
        </w:rPr>
      </w:pPr>
      <w:r>
        <w:rPr>
          <w:lang w:eastAsia="ja-JP"/>
        </w:rPr>
        <w:t>Lung cancer is the most common and most deadly cancer worldwide, with an annual global incidence of over 2 million, and an annual global mortality of 1.8 million.</w:t>
      </w:r>
      <w:bookmarkStart w:id="12" w:name="_Ref107292927"/>
      <w:r>
        <w:rPr>
          <w:rStyle w:val="FootnoteReference"/>
          <w:lang w:eastAsia="ja-JP"/>
        </w:rPr>
        <w:footnoteReference w:id="1"/>
      </w:r>
      <w:bookmarkEnd w:id="12"/>
      <w:r>
        <w:rPr>
          <w:lang w:eastAsia="ja-JP"/>
        </w:rPr>
        <w:t xml:space="preserve"> Non-small cell lung cancer (NSCLC) is the most common type of </w:t>
      </w:r>
      <w:r w:rsidR="00D0618C">
        <w:rPr>
          <w:lang w:eastAsia="ja-JP"/>
        </w:rPr>
        <w:t>lung cancer (approximately 80% to</w:t>
      </w:r>
      <w:r>
        <w:rPr>
          <w:lang w:eastAsia="ja-JP"/>
        </w:rPr>
        <w:t xml:space="preserve"> 85% of lung cancers in Australia);</w:t>
      </w:r>
      <w:r>
        <w:rPr>
          <w:rStyle w:val="FootnoteReference"/>
          <w:lang w:eastAsia="ja-JP"/>
        </w:rPr>
        <w:footnoteReference w:id="2"/>
      </w:r>
      <w:r>
        <w:rPr>
          <w:lang w:eastAsia="ja-JP"/>
        </w:rPr>
        <w:t xml:space="preserve"> and incorporates squamous cell </w:t>
      </w:r>
      <w:r w:rsidR="009E1C2D">
        <w:rPr>
          <w:lang w:eastAsia="ja-JP"/>
        </w:rPr>
        <w:t>carcinoma and non</w:t>
      </w:r>
      <w:r w:rsidR="009E1C2D">
        <w:rPr>
          <w:lang w:eastAsia="ja-JP"/>
        </w:rPr>
        <w:noBreakHyphen/>
      </w:r>
      <w:r>
        <w:rPr>
          <w:lang w:eastAsia="ja-JP"/>
        </w:rPr>
        <w:t>squamous cell carcinoma.</w:t>
      </w:r>
    </w:p>
    <w:p w14:paraId="35078B0C" w14:textId="006B171E" w:rsidR="00A06369" w:rsidRDefault="00A06369" w:rsidP="00A06369">
      <w:pPr>
        <w:rPr>
          <w:lang w:val="en-US"/>
        </w:rPr>
      </w:pPr>
      <w:r>
        <w:t xml:space="preserve">Patients with </w:t>
      </w:r>
      <w:r w:rsidR="00476E55">
        <w:rPr>
          <w:lang w:val="en-US"/>
        </w:rPr>
        <w:t>S</w:t>
      </w:r>
      <w:r w:rsidRPr="0033077F">
        <w:rPr>
          <w:lang w:val="en-US"/>
        </w:rPr>
        <w:t xml:space="preserve">tage I, II, or III </w:t>
      </w:r>
      <w:r>
        <w:rPr>
          <w:lang w:val="en-US"/>
        </w:rPr>
        <w:t>NSCLC</w:t>
      </w:r>
      <w:r w:rsidRPr="0033077F">
        <w:rPr>
          <w:lang w:val="en-US"/>
        </w:rPr>
        <w:t xml:space="preserve"> are </w:t>
      </w:r>
      <w:r>
        <w:rPr>
          <w:lang w:val="en-US"/>
        </w:rPr>
        <w:t>usually</w:t>
      </w:r>
      <w:r w:rsidRPr="0033077F">
        <w:rPr>
          <w:lang w:val="en-US"/>
        </w:rPr>
        <w:t xml:space="preserve"> treated with curative intent </w:t>
      </w:r>
      <w:r>
        <w:rPr>
          <w:lang w:val="en-US"/>
        </w:rPr>
        <w:t>with</w:t>
      </w:r>
      <w:r w:rsidRPr="0033077F">
        <w:rPr>
          <w:lang w:val="en-US"/>
        </w:rPr>
        <w:t xml:space="preserve"> surgery, chem</w:t>
      </w:r>
      <w:r>
        <w:rPr>
          <w:lang w:val="en-US"/>
        </w:rPr>
        <w:t>otherapy, radiation therapy</w:t>
      </w:r>
      <w:r w:rsidRPr="0033077F">
        <w:rPr>
          <w:lang w:val="en-US"/>
        </w:rPr>
        <w:t>, or a combined-modality approach</w:t>
      </w:r>
      <w:r>
        <w:rPr>
          <w:lang w:val="en-US"/>
        </w:rPr>
        <w:t xml:space="preserve"> (which can include consolidation immunotherapy for s</w:t>
      </w:r>
      <w:r w:rsidR="00476E55">
        <w:rPr>
          <w:lang w:val="en-US"/>
        </w:rPr>
        <w:t>ome patients with unresectable S</w:t>
      </w:r>
      <w:r>
        <w:rPr>
          <w:lang w:val="en-US"/>
        </w:rPr>
        <w:t>tage III disease).</w:t>
      </w:r>
    </w:p>
    <w:p w14:paraId="53D23541" w14:textId="1A48B72E" w:rsidR="00A06369" w:rsidRDefault="00A06369" w:rsidP="00A06369">
      <w:pPr>
        <w:rPr>
          <w:vertAlign w:val="superscript"/>
        </w:rPr>
      </w:pPr>
      <w:r w:rsidRPr="00017AF1">
        <w:rPr>
          <w:lang w:val="en-US"/>
        </w:rPr>
        <w:t>Systemic therapy is indicated for patients with advanced disea</w:t>
      </w:r>
      <w:r w:rsidR="00476E55">
        <w:rPr>
          <w:lang w:val="en-US"/>
        </w:rPr>
        <w:t>se, including with metastases (S</w:t>
      </w:r>
      <w:r w:rsidRPr="00017AF1">
        <w:rPr>
          <w:lang w:val="en-US"/>
        </w:rPr>
        <w:t>tage IV) or recur</w:t>
      </w:r>
      <w:r>
        <w:rPr>
          <w:lang w:val="en-US"/>
        </w:rPr>
        <w:t>rence</w:t>
      </w:r>
      <w:r w:rsidRPr="00017AF1">
        <w:rPr>
          <w:lang w:val="en-US"/>
        </w:rPr>
        <w:t xml:space="preserve"> followi</w:t>
      </w:r>
      <w:r>
        <w:rPr>
          <w:lang w:val="en-US"/>
        </w:rPr>
        <w:t>ng initial definitive treatment.</w:t>
      </w:r>
      <w:r>
        <w:rPr>
          <w:rStyle w:val="FootnoteReference"/>
          <w:lang w:val="en-US"/>
        </w:rPr>
        <w:footnoteReference w:id="3"/>
      </w:r>
      <w:r>
        <w:rPr>
          <w:lang w:val="en-US"/>
        </w:rPr>
        <w:t xml:space="preserve"> </w:t>
      </w:r>
      <w:r>
        <w:rPr>
          <w:lang w:eastAsia="ja-JP"/>
        </w:rPr>
        <w:t xml:space="preserve">Around half of patients in Australia </w:t>
      </w:r>
      <w:r w:rsidR="00A81BA6">
        <w:rPr>
          <w:lang w:eastAsia="ja-JP"/>
        </w:rPr>
        <w:t>present with metastatic disease.</w:t>
      </w:r>
      <w:r w:rsidR="00A81BA6" w:rsidRPr="00A81BA6">
        <w:rPr>
          <w:vertAlign w:val="superscript"/>
          <w:lang w:eastAsia="ja-JP"/>
        </w:rPr>
        <w:fldChar w:fldCharType="begin"/>
      </w:r>
      <w:r w:rsidR="00A81BA6" w:rsidRPr="00A81BA6">
        <w:rPr>
          <w:vertAlign w:val="superscript"/>
          <w:lang w:eastAsia="ja-JP"/>
        </w:rPr>
        <w:instrText xml:space="preserve"> NOTEREF _Ref107292927 \h </w:instrText>
      </w:r>
      <w:r w:rsidR="00A81BA6">
        <w:rPr>
          <w:vertAlign w:val="superscript"/>
          <w:lang w:eastAsia="ja-JP"/>
        </w:rPr>
        <w:instrText xml:space="preserve"> \* MERGEFORMAT </w:instrText>
      </w:r>
      <w:r w:rsidR="00A81BA6" w:rsidRPr="00A81BA6">
        <w:rPr>
          <w:vertAlign w:val="superscript"/>
          <w:lang w:eastAsia="ja-JP"/>
        </w:rPr>
      </w:r>
      <w:r w:rsidR="00A81BA6" w:rsidRPr="00A81BA6">
        <w:rPr>
          <w:vertAlign w:val="superscript"/>
          <w:lang w:eastAsia="ja-JP"/>
        </w:rPr>
        <w:fldChar w:fldCharType="separate"/>
      </w:r>
      <w:r w:rsidR="00C05B15">
        <w:rPr>
          <w:vertAlign w:val="superscript"/>
          <w:lang w:eastAsia="ja-JP"/>
        </w:rPr>
        <w:t>1</w:t>
      </w:r>
      <w:r w:rsidR="00A81BA6" w:rsidRPr="00A81BA6">
        <w:rPr>
          <w:vertAlign w:val="superscript"/>
          <w:lang w:eastAsia="ja-JP"/>
        </w:rPr>
        <w:fldChar w:fldCharType="end"/>
      </w:r>
    </w:p>
    <w:p w14:paraId="0E3E30F6" w14:textId="77777777" w:rsidR="00F173E5" w:rsidRDefault="00A81BA6" w:rsidP="00A81BA6">
      <w:r>
        <w:t>Systemic treatment of metastatic NSCLC is guided by molecular testing.</w:t>
      </w:r>
      <w:bookmarkStart w:id="13" w:name="_Ref108522578"/>
      <w:r>
        <w:rPr>
          <w:rStyle w:val="FootnoteReference"/>
        </w:rPr>
        <w:footnoteReference w:id="4"/>
      </w:r>
      <w:bookmarkEnd w:id="13"/>
      <w:r>
        <w:t xml:space="preserve"> In the absence of a ‘driver’ mutation for which a targeted therapy is available (such as </w:t>
      </w:r>
      <w:r w:rsidR="0042377B" w:rsidRPr="0042377B">
        <w:t xml:space="preserve">epidermal growth factor receptor </w:t>
      </w:r>
      <w:r w:rsidR="0042377B">
        <w:t>(</w:t>
      </w:r>
      <w:r>
        <w:t>EGFR</w:t>
      </w:r>
      <w:r w:rsidR="0042377B">
        <w:t>)</w:t>
      </w:r>
      <w:r>
        <w:t xml:space="preserve">, </w:t>
      </w:r>
      <w:r w:rsidR="0042377B" w:rsidRPr="0042377B">
        <w:t>anaplastic lymphoma kinase</w:t>
      </w:r>
      <w:r w:rsidR="0042377B">
        <w:t xml:space="preserve"> (</w:t>
      </w:r>
      <w:r>
        <w:t>ALK</w:t>
      </w:r>
      <w:r w:rsidR="0042377B">
        <w:t>)</w:t>
      </w:r>
      <w:r w:rsidR="00F173E5">
        <w:t>, ROS1 or BRAF).</w:t>
      </w:r>
    </w:p>
    <w:p w14:paraId="427699AD" w14:textId="3B13B83B" w:rsidR="00A81BA6" w:rsidRDefault="00F173E5" w:rsidP="00F173E5">
      <w:pPr>
        <w:keepNext/>
      </w:pPr>
      <w:r>
        <w:lastRenderedPageBreak/>
        <w:t>I</w:t>
      </w:r>
      <w:r w:rsidR="00A81BA6">
        <w:t>nternational guidelines recommend:</w:t>
      </w:r>
    </w:p>
    <w:p w14:paraId="5AF255D7" w14:textId="75AE74C5" w:rsidR="00A81BA6" w:rsidRDefault="00A81BA6" w:rsidP="001D16DD">
      <w:pPr>
        <w:pStyle w:val="ListBullet"/>
      </w:pPr>
      <w:r>
        <w:t>an anti-PD-(L)1 antibody in combination with histology-directed platinum doublet chemotherapy as standard-of-care first-line treatment for patients whose tumours have PD-L1 expression according to the 22C3 assay (</w:t>
      </w:r>
      <w:r w:rsidR="0046773A">
        <w:t>t</w:t>
      </w:r>
      <w:r w:rsidR="0046773A" w:rsidRPr="0046773A">
        <w:t xml:space="preserve">umour progression score </w:t>
      </w:r>
      <w:r w:rsidR="0046773A">
        <w:t>(</w:t>
      </w:r>
      <w:r>
        <w:t>TPS</w:t>
      </w:r>
      <w:r w:rsidR="0046773A">
        <w:t>)</w:t>
      </w:r>
      <w:r>
        <w:t>) of &lt; 50%;</w:t>
      </w:r>
      <w:r>
        <w:rPr>
          <w:rStyle w:val="FootnoteReference"/>
        </w:rPr>
        <w:footnoteReference w:id="5"/>
      </w:r>
      <w:r w:rsidR="00476E55">
        <w:rPr>
          <w:vertAlign w:val="superscript"/>
        </w:rPr>
        <w:t>,</w:t>
      </w:r>
      <w:r w:rsidR="00476E55">
        <w:rPr>
          <w:rStyle w:val="FootnoteReference"/>
        </w:rPr>
        <w:footnoteReference w:id="6"/>
      </w:r>
    </w:p>
    <w:p w14:paraId="1DD40AB3" w14:textId="706913A1" w:rsidR="00A81BA6" w:rsidRDefault="00A81BA6" w:rsidP="001D16DD">
      <w:pPr>
        <w:pStyle w:val="ListBullet"/>
      </w:pPr>
      <w:r>
        <w:t xml:space="preserve">pembrolizumab monotherapy for patients whose tumours have PD-L1 expression according to the 22C3 assay </w:t>
      </w:r>
      <w:r w:rsidR="00D0618C">
        <w:t>(TPS) of</w:t>
      </w:r>
      <w:r>
        <w:t xml:space="preserve"> ≥</w:t>
      </w:r>
      <w:r w:rsidR="00D0618C">
        <w:t xml:space="preserve"> </w:t>
      </w:r>
      <w:proofErr w:type="gramStart"/>
      <w:r>
        <w:t>50%, unless</w:t>
      </w:r>
      <w:proofErr w:type="gramEnd"/>
      <w:r w:rsidRPr="00DC32D9">
        <w:t xml:space="preserve"> </w:t>
      </w:r>
      <w:r>
        <w:t xml:space="preserve">they have </w:t>
      </w:r>
      <w:r w:rsidRPr="00DC32D9">
        <w:t>rapidly progr</w:t>
      </w:r>
      <w:r>
        <w:t>essing or very extensive disease.</w:t>
      </w:r>
      <w:r>
        <w:rPr>
          <w:rStyle w:val="FootnoteReference"/>
        </w:rPr>
        <w:footnoteReference w:id="7"/>
      </w:r>
    </w:p>
    <w:p w14:paraId="6AAB3696" w14:textId="34E3C1E4" w:rsidR="00A81BA6" w:rsidRDefault="00A81BA6" w:rsidP="00A81BA6">
      <w:r>
        <w:t xml:space="preserve">Direct comparisons between pembrolizumab and pembrolizumab plus chemotherapy or between different PD-(L)1 </w:t>
      </w:r>
      <w:proofErr w:type="gramStart"/>
      <w:r>
        <w:t>inhibitors</w:t>
      </w:r>
      <w:proofErr w:type="gramEnd"/>
      <w:r>
        <w:t xml:space="preserve"> are not available.</w:t>
      </w:r>
      <w:r w:rsidR="00C977D7" w:rsidRPr="00B50F71">
        <w:rPr>
          <w:vertAlign w:val="superscript"/>
        </w:rPr>
        <w:fldChar w:fldCharType="begin"/>
      </w:r>
      <w:r w:rsidR="00C977D7" w:rsidRPr="00B50F71">
        <w:rPr>
          <w:vertAlign w:val="superscript"/>
        </w:rPr>
        <w:instrText xml:space="preserve"> NOTEREF _Ref108522578 \h </w:instrText>
      </w:r>
      <w:r w:rsidR="00C977D7">
        <w:rPr>
          <w:vertAlign w:val="superscript"/>
        </w:rPr>
        <w:instrText xml:space="preserve"> \* MERGEFORMAT </w:instrText>
      </w:r>
      <w:r w:rsidR="00C977D7" w:rsidRPr="00B50F71">
        <w:rPr>
          <w:vertAlign w:val="superscript"/>
        </w:rPr>
      </w:r>
      <w:r w:rsidR="00C977D7" w:rsidRPr="00B50F71">
        <w:rPr>
          <w:vertAlign w:val="superscript"/>
        </w:rPr>
        <w:fldChar w:fldCharType="separate"/>
      </w:r>
      <w:r w:rsidR="00C05B15">
        <w:rPr>
          <w:vertAlign w:val="superscript"/>
        </w:rPr>
        <w:t>4</w:t>
      </w:r>
      <w:r w:rsidR="00C977D7" w:rsidRPr="00B50F71">
        <w:rPr>
          <w:vertAlign w:val="superscript"/>
        </w:rPr>
        <w:fldChar w:fldCharType="end"/>
      </w:r>
    </w:p>
    <w:p w14:paraId="340EDF03" w14:textId="2994D2DB" w:rsidR="00646358" w:rsidRDefault="00646358" w:rsidP="00A81BA6">
      <w:r>
        <w:t>Programmed death ligand 1 (</w:t>
      </w:r>
      <w:r w:rsidRPr="00646358">
        <w:t>PD-L1</w:t>
      </w:r>
      <w:r>
        <w:t>)</w:t>
      </w:r>
      <w:r w:rsidRPr="00646358">
        <w:t xml:space="preserve"> protein ex</w:t>
      </w:r>
      <w:r>
        <w:t>pression is determined by use of the tumour proportion s</w:t>
      </w:r>
      <w:r w:rsidRPr="00646358">
        <w:t>co</w:t>
      </w:r>
      <w:r>
        <w:t>re (TPS). The TPS</w:t>
      </w:r>
      <w:r w:rsidRPr="00646358">
        <w:t xml:space="preserve"> </w:t>
      </w:r>
      <w:r>
        <w:t xml:space="preserve">is </w:t>
      </w:r>
      <w:r w:rsidRPr="00646358">
        <w:t>the percentage of viable tumo</w:t>
      </w:r>
      <w:r>
        <w:t>u</w:t>
      </w:r>
      <w:r w:rsidRPr="00646358">
        <w:t>r cells showing partial or complete membrane staining at any intensity.</w:t>
      </w:r>
    </w:p>
    <w:p w14:paraId="455A1639" w14:textId="1449D4D0" w:rsidR="00A81BA6" w:rsidRDefault="00A81BA6" w:rsidP="00A81BA6">
      <w:r>
        <w:t>Pembrolizumab as monotherapy was registered for patients with a tumour PD-L1 score (TPS) ≥ 50% based on the KEYNOTE-024 trial, or as low as 1% according to the 22C3 assay based on the KEYNOTE-042 trial.</w:t>
      </w:r>
      <w:r>
        <w:rPr>
          <w:rStyle w:val="FootnoteReference"/>
        </w:rPr>
        <w:footnoteReference w:id="8"/>
      </w:r>
      <w:r>
        <w:t xml:space="preserve"> Whilst it is a treatment option with relatively lower toxicity, clinical guidelines only recommend it over an anti-PD-(L)1 plus chemotherapy combination for patients with a TPS score of ≥ 50%. The efficacy benefit of anti-PD(L)1 monotherapy in patients with a TPS 1 to 49% is less clear, and cross-trial comparison suggests it is less efficacious than anti-PD-(L)1 plus chemotherapy combinations. There is also a risk of early mortality compared to chemotherapy-containing regimens (seen in the KEYNOTE-042 but not the KEYNOTE-024 trial, see </w:t>
      </w:r>
      <w:r w:rsidR="00F659BC">
        <w:t>S</w:t>
      </w:r>
      <w:r>
        <w:t xml:space="preserve">ection: </w:t>
      </w:r>
      <w:r>
        <w:fldChar w:fldCharType="begin"/>
      </w:r>
      <w:r>
        <w:instrText xml:space="preserve"> REF _Ref63855342 \h </w:instrText>
      </w:r>
      <w:r>
        <w:fldChar w:fldCharType="separate"/>
      </w:r>
      <w:r w:rsidR="00C05B15">
        <w:t>Early mortality</w:t>
      </w:r>
      <w:r>
        <w:fldChar w:fldCharType="end"/>
      </w:r>
      <w:r>
        <w:t>, below).</w:t>
      </w:r>
    </w:p>
    <w:p w14:paraId="2C135A9B" w14:textId="1F6DCD21" w:rsidR="00A81BA6" w:rsidRDefault="00A81BA6" w:rsidP="00A81BA6">
      <w:r>
        <w:t>The combination immunotherapy-chemotherapy regimens super</w:t>
      </w:r>
      <w:r w:rsidR="0046773A">
        <w:t>s</w:t>
      </w:r>
      <w:r>
        <w:t xml:space="preserve">eded histology-directed platinum doublet chemotherapy alone as </w:t>
      </w:r>
      <w:r w:rsidRPr="00C90580">
        <w:t>stan</w:t>
      </w:r>
      <w:r>
        <w:t>dard-of-care in patients without driver mutations with the approval of pembrolizumab plus chemotherapy based on the KEYNOTE</w:t>
      </w:r>
      <w:r>
        <w:noBreakHyphen/>
        <w:t>189 trial (non-squamous) and KEYNOTE-407 trial (squamous) in December 2018 and March 2019, respectively.</w:t>
      </w:r>
    </w:p>
    <w:p w14:paraId="034D9F86" w14:textId="5263214F" w:rsidR="00A81BA6" w:rsidRPr="00A81BA6" w:rsidRDefault="00A81BA6" w:rsidP="00A81BA6">
      <w:r>
        <w:t>Subsequently, the TGA have approved other anti-PD-(L)1 based regimens within this new standard-of-care. These include atezolizumab (for patients with non-squamous histology only; in combination with bevacizumab plus chemotherapy; approved in April 2019) and nivolumab (in combination with ipilimumab plus chemotherapy; approved in July 2020).</w:t>
      </w:r>
    </w:p>
    <w:p w14:paraId="3DD5F9D8" w14:textId="5CBDC3A6" w:rsidR="008E7846" w:rsidRPr="003F31A2" w:rsidRDefault="00386150" w:rsidP="00F173E5">
      <w:pPr>
        <w:pStyle w:val="Heading3"/>
      </w:pPr>
      <w:bookmarkStart w:id="14" w:name="_Toc314842485"/>
      <w:bookmarkStart w:id="15" w:name="_Toc247691504"/>
      <w:bookmarkStart w:id="16" w:name="_Toc110856878"/>
      <w:r>
        <w:lastRenderedPageBreak/>
        <w:t>Regulatory s</w:t>
      </w:r>
      <w:r w:rsidR="008E7846">
        <w:t>tatus</w:t>
      </w:r>
      <w:bookmarkEnd w:id="14"/>
      <w:bookmarkEnd w:id="15"/>
      <w:bookmarkEnd w:id="16"/>
    </w:p>
    <w:p w14:paraId="1FA43662" w14:textId="3190DD8F" w:rsidR="00332715" w:rsidRDefault="00332715" w:rsidP="00F173E5">
      <w:pPr>
        <w:keepNext/>
      </w:pPr>
      <w:bookmarkStart w:id="17" w:name="_Toc247691505"/>
      <w:bookmarkStart w:id="18" w:name="_Toc314842486"/>
      <w:r>
        <w:t>The product received initial registration on the Australian Register</w:t>
      </w:r>
      <w:r w:rsidR="004C0A2D">
        <w:t xml:space="preserve"> of Therapeutic Goods (ARTG) on 27 July 2017 for the following indication:</w:t>
      </w:r>
      <w:bookmarkStart w:id="19" w:name="_Ref107385528"/>
      <w:r w:rsidR="004C0A2D">
        <w:rPr>
          <w:rStyle w:val="FootnoteReference"/>
        </w:rPr>
        <w:footnoteReference w:id="9"/>
      </w:r>
      <w:bookmarkEnd w:id="19"/>
    </w:p>
    <w:p w14:paraId="10B14485" w14:textId="13849E1C" w:rsidR="004C0A2D" w:rsidRPr="004C0A2D" w:rsidRDefault="004C0A2D" w:rsidP="004C0A2D">
      <w:pPr>
        <w:ind w:left="720"/>
        <w:rPr>
          <w:i/>
        </w:rPr>
      </w:pPr>
      <w:proofErr w:type="spellStart"/>
      <w:r w:rsidRPr="004C0A2D">
        <w:rPr>
          <w:i/>
        </w:rPr>
        <w:t>Tecentriq</w:t>
      </w:r>
      <w:proofErr w:type="spellEnd"/>
      <w:r w:rsidRPr="004C0A2D">
        <w:rPr>
          <w:i/>
        </w:rPr>
        <w:t xml:space="preserve"> is indicated for the treatment of patients with locally advanced or metastatic non-small cell lung cancer (NSCLC) with progression on or after prior chemotherapy. In patients with tumour EGFR or ALK genomic aberrations, </w:t>
      </w:r>
      <w:proofErr w:type="spellStart"/>
      <w:r w:rsidRPr="004C0A2D">
        <w:rPr>
          <w:i/>
        </w:rPr>
        <w:t>Tecentriq</w:t>
      </w:r>
      <w:proofErr w:type="spellEnd"/>
      <w:r w:rsidRPr="004C0A2D">
        <w:rPr>
          <w:i/>
        </w:rPr>
        <w:t xml:space="preserve"> should be used after progression on or after targeted therapy.</w:t>
      </w:r>
    </w:p>
    <w:p w14:paraId="3B46F183" w14:textId="18DB1B52" w:rsidR="004C0A2D" w:rsidRDefault="004C0A2D" w:rsidP="007E38B6">
      <w:r>
        <w:t xml:space="preserve">At the time of this submission </w:t>
      </w:r>
      <w:proofErr w:type="spellStart"/>
      <w:r>
        <w:t>Tecentriq</w:t>
      </w:r>
      <w:proofErr w:type="spellEnd"/>
      <w:r>
        <w:t xml:space="preserve"> (atezolizumab) had received approval for three NSCLC-related indications, as follows:</w:t>
      </w:r>
    </w:p>
    <w:p w14:paraId="5560CB3F" w14:textId="21681D42" w:rsidR="007E38B6" w:rsidRPr="004C0A2D" w:rsidRDefault="007E38B6" w:rsidP="004C0A2D">
      <w:pPr>
        <w:ind w:left="720"/>
        <w:rPr>
          <w:i/>
        </w:rPr>
      </w:pPr>
      <w:proofErr w:type="spellStart"/>
      <w:r w:rsidRPr="004C0A2D">
        <w:rPr>
          <w:i/>
        </w:rPr>
        <w:t>Tecentriq</w:t>
      </w:r>
      <w:proofErr w:type="spellEnd"/>
      <w:r w:rsidRPr="004C0A2D">
        <w:rPr>
          <w:i/>
        </w:rPr>
        <w:t xml:space="preserve">, in combination with bevacizumab, paclitaxel and carboplatin, is indicated for the first-line treatment of adult patients with metastatic non-squamous non-small cell lung cancer (NSCLC). In patients with EGFR mutant or ALK-positive NSCLC, </w:t>
      </w:r>
      <w:proofErr w:type="spellStart"/>
      <w:r w:rsidRPr="004C0A2D">
        <w:rPr>
          <w:i/>
        </w:rPr>
        <w:t>Tecentriq</w:t>
      </w:r>
      <w:proofErr w:type="spellEnd"/>
      <w:r w:rsidRPr="004C0A2D">
        <w:rPr>
          <w:i/>
        </w:rPr>
        <w:t>, in combination with bevacizumab, paclitaxel and carboplatin, is indicated only after failure of appropriate targeted therapies.</w:t>
      </w:r>
    </w:p>
    <w:p w14:paraId="7D62194F" w14:textId="32374039" w:rsidR="007E38B6" w:rsidRPr="004C0A2D" w:rsidRDefault="007E38B6" w:rsidP="004C0A2D">
      <w:pPr>
        <w:ind w:left="720"/>
        <w:rPr>
          <w:i/>
        </w:rPr>
      </w:pPr>
      <w:proofErr w:type="spellStart"/>
      <w:r w:rsidRPr="004C0A2D">
        <w:rPr>
          <w:i/>
        </w:rPr>
        <w:t>Tecentriq</w:t>
      </w:r>
      <w:proofErr w:type="spellEnd"/>
      <w:r w:rsidRPr="004C0A2D">
        <w:rPr>
          <w:i/>
        </w:rPr>
        <w:t>, in combination with nanoparticle albumin-bound paclitaxel (nab-paclitaxel) and carboplatin, is indicated for first-line treatment of patients with metastatic non-squamous NSCLC who do not have tumour EGFR or ALK genomic aberrations.</w:t>
      </w:r>
    </w:p>
    <w:p w14:paraId="3476436E" w14:textId="69D34FA3" w:rsidR="007E38B6" w:rsidRDefault="007E38B6" w:rsidP="004C0A2D">
      <w:pPr>
        <w:ind w:left="720"/>
      </w:pPr>
      <w:proofErr w:type="spellStart"/>
      <w:r w:rsidRPr="004C0A2D">
        <w:rPr>
          <w:i/>
        </w:rPr>
        <w:t>Tecentriq</w:t>
      </w:r>
      <w:proofErr w:type="spellEnd"/>
      <w:r w:rsidRPr="004C0A2D">
        <w:rPr>
          <w:i/>
        </w:rPr>
        <w:t xml:space="preserve"> as monotherapy is indicated for the treatment of adult patients with locally advanced or metastatic NSCLC after prior chemotherapy. Patients with EGFR mutant or ALK-positive NSCLC should also have received targeted therapies before receiving </w:t>
      </w:r>
      <w:proofErr w:type="spellStart"/>
      <w:r w:rsidRPr="004C0A2D">
        <w:rPr>
          <w:i/>
        </w:rPr>
        <w:t>Tecentriq</w:t>
      </w:r>
      <w:proofErr w:type="spellEnd"/>
      <w:r>
        <w:t>.</w:t>
      </w:r>
    </w:p>
    <w:p w14:paraId="674F6AED" w14:textId="77777777" w:rsidR="00F173E5" w:rsidRDefault="00332715" w:rsidP="005814DC">
      <w:r w:rsidRPr="005814DC">
        <w:t xml:space="preserve">At the time the TGA considered this </w:t>
      </w:r>
      <w:r w:rsidR="00BB0B78" w:rsidRPr="005814DC">
        <w:t>submission</w:t>
      </w:r>
      <w:r w:rsidRPr="005814DC">
        <w:t xml:space="preserve">, a similar </w:t>
      </w:r>
      <w:r w:rsidR="00BB0B78" w:rsidRPr="005814DC">
        <w:t>submission</w:t>
      </w:r>
      <w:r w:rsidRPr="005814DC">
        <w:t xml:space="preserve"> had been approved </w:t>
      </w:r>
      <w:r w:rsidR="004C0A2D" w:rsidRPr="005814DC">
        <w:t>in the United States of America (US</w:t>
      </w:r>
      <w:r w:rsidR="005814DC">
        <w:t>A</w:t>
      </w:r>
      <w:r w:rsidR="004C0A2D" w:rsidRPr="005814DC">
        <w:t xml:space="preserve">) on </w:t>
      </w:r>
      <w:r w:rsidR="005814DC" w:rsidRPr="005814DC">
        <w:t xml:space="preserve">18 May 2020; </w:t>
      </w:r>
      <w:r w:rsidR="005814DC">
        <w:t xml:space="preserve">Canada on 1 March 2021; </w:t>
      </w:r>
      <w:r w:rsidR="00695B58">
        <w:t>European Union (EU) on 30 April 2021; Singapore on 12 March 2021; an</w:t>
      </w:r>
      <w:r w:rsidR="00F173E5">
        <w:t>d New Zealand on 6 August 2021.</w:t>
      </w:r>
    </w:p>
    <w:p w14:paraId="6497D5E2" w14:textId="177B1132" w:rsidR="00332715" w:rsidRPr="005814DC" w:rsidRDefault="00332715" w:rsidP="005814DC">
      <w:r w:rsidRPr="005814DC">
        <w:t xml:space="preserve">A similar </w:t>
      </w:r>
      <w:r w:rsidR="00BB0B78" w:rsidRPr="005814DC">
        <w:t>submission</w:t>
      </w:r>
      <w:r w:rsidRPr="005814DC">
        <w:t xml:space="preserve"> </w:t>
      </w:r>
      <w:r w:rsidR="00695B58">
        <w:t>had been rejected in Switzerland on 22 March 2021.</w:t>
      </w:r>
    </w:p>
    <w:p w14:paraId="68D626B4" w14:textId="3CFE4A98" w:rsidR="00332715" w:rsidRDefault="0072292E" w:rsidP="00332715">
      <w:r>
        <w:t xml:space="preserve">The following table </w:t>
      </w:r>
      <w:r w:rsidR="00332715">
        <w:t xml:space="preserve">summarises these </w:t>
      </w:r>
      <w:r w:rsidR="00BB0B78">
        <w:t>submissions</w:t>
      </w:r>
      <w:r w:rsidR="00332715">
        <w:t xml:space="preserve"> and provides the indications where approved.</w:t>
      </w:r>
    </w:p>
    <w:p w14:paraId="6366F494" w14:textId="4255F23E" w:rsidR="00324E45" w:rsidRPr="00F0146F" w:rsidRDefault="00324E45" w:rsidP="001D16DD">
      <w:pPr>
        <w:pStyle w:val="TableTitle"/>
      </w:pPr>
      <w:bookmarkStart w:id="20" w:name="_Ref99705479"/>
      <w:bookmarkStart w:id="21" w:name="_Ref107301185"/>
      <w:r>
        <w:t xml:space="preserve">Table </w:t>
      </w:r>
      <w:fldSimple w:instr=" SEQ Table \* ARABIC ">
        <w:r w:rsidR="00C05B15">
          <w:rPr>
            <w:noProof/>
          </w:rPr>
          <w:t>1</w:t>
        </w:r>
      </w:fldSimple>
      <w:bookmarkEnd w:id="20"/>
      <w:r>
        <w:t>: International regulatory status</w:t>
      </w:r>
      <w:bookmarkEnd w:id="21"/>
    </w:p>
    <w:tbl>
      <w:tblPr>
        <w:tblStyle w:val="TableTGAblue"/>
        <w:tblW w:w="8928" w:type="dxa"/>
        <w:tblLook w:val="04A0" w:firstRow="1" w:lastRow="0" w:firstColumn="1" w:lastColumn="0" w:noHBand="0" w:noVBand="1"/>
      </w:tblPr>
      <w:tblGrid>
        <w:gridCol w:w="1908"/>
        <w:gridCol w:w="2452"/>
        <w:gridCol w:w="4568"/>
      </w:tblGrid>
      <w:tr w:rsidR="005814DC" w14:paraId="5ADED265" w14:textId="77777777" w:rsidTr="00695B58">
        <w:trPr>
          <w:cnfStyle w:val="100000000000" w:firstRow="1" w:lastRow="0" w:firstColumn="0" w:lastColumn="0" w:oddVBand="0" w:evenVBand="0" w:oddHBand="0" w:evenHBand="0" w:firstRowFirstColumn="0" w:firstRowLastColumn="0" w:lastRowFirstColumn="0" w:lastRowLastColumn="0"/>
        </w:trPr>
        <w:tc>
          <w:tcPr>
            <w:tcW w:w="1908" w:type="dxa"/>
            <w:tcBorders>
              <w:top w:val="single" w:sz="4" w:space="0" w:color="auto"/>
              <w:left w:val="single" w:sz="4" w:space="0" w:color="auto"/>
              <w:bottom w:val="single" w:sz="4" w:space="0" w:color="auto"/>
              <w:right w:val="single" w:sz="4" w:space="0" w:color="auto"/>
            </w:tcBorders>
          </w:tcPr>
          <w:p w14:paraId="7FC1B976" w14:textId="77777777" w:rsidR="005814DC" w:rsidRDefault="005814DC" w:rsidP="00006FAB">
            <w:pPr>
              <w:ind w:left="0" w:right="0"/>
            </w:pPr>
            <w:r>
              <w:t>Region</w:t>
            </w:r>
          </w:p>
        </w:tc>
        <w:tc>
          <w:tcPr>
            <w:tcW w:w="2452" w:type="dxa"/>
            <w:tcBorders>
              <w:top w:val="single" w:sz="4" w:space="0" w:color="auto"/>
              <w:left w:val="single" w:sz="4" w:space="0" w:color="auto"/>
              <w:bottom w:val="single" w:sz="4" w:space="0" w:color="auto"/>
              <w:right w:val="single" w:sz="4" w:space="0" w:color="auto"/>
            </w:tcBorders>
          </w:tcPr>
          <w:p w14:paraId="611D3E6B" w14:textId="77777777" w:rsidR="005814DC" w:rsidRDefault="005814DC" w:rsidP="00006FAB">
            <w:pPr>
              <w:ind w:left="0" w:right="0"/>
            </w:pPr>
            <w:r>
              <w:t>Status</w:t>
            </w:r>
          </w:p>
        </w:tc>
        <w:tc>
          <w:tcPr>
            <w:tcW w:w="4568" w:type="dxa"/>
            <w:tcBorders>
              <w:top w:val="single" w:sz="4" w:space="0" w:color="auto"/>
              <w:left w:val="single" w:sz="4" w:space="0" w:color="auto"/>
              <w:bottom w:val="single" w:sz="4" w:space="0" w:color="auto"/>
              <w:right w:val="single" w:sz="4" w:space="0" w:color="auto"/>
            </w:tcBorders>
          </w:tcPr>
          <w:p w14:paraId="39F08303" w14:textId="77777777" w:rsidR="005814DC" w:rsidRDefault="005814DC" w:rsidP="00006FAB">
            <w:pPr>
              <w:ind w:left="0" w:right="0"/>
            </w:pPr>
            <w:r>
              <w:t>Approved indications</w:t>
            </w:r>
          </w:p>
        </w:tc>
      </w:tr>
      <w:tr w:rsidR="005814DC" w14:paraId="5962983B" w14:textId="77777777" w:rsidTr="00695B58">
        <w:tc>
          <w:tcPr>
            <w:tcW w:w="1908" w:type="dxa"/>
            <w:tcBorders>
              <w:top w:val="single" w:sz="4" w:space="0" w:color="auto"/>
            </w:tcBorders>
          </w:tcPr>
          <w:p w14:paraId="313A5165" w14:textId="0A93BB7F" w:rsidR="005814DC" w:rsidRDefault="00695B58" w:rsidP="005814DC">
            <w:pPr>
              <w:ind w:left="0" w:right="0"/>
            </w:pPr>
            <w:r>
              <w:t>United States of America</w:t>
            </w:r>
          </w:p>
        </w:tc>
        <w:tc>
          <w:tcPr>
            <w:tcW w:w="2452" w:type="dxa"/>
            <w:tcBorders>
              <w:top w:val="single" w:sz="4" w:space="0" w:color="auto"/>
            </w:tcBorders>
          </w:tcPr>
          <w:p w14:paraId="40024FCD" w14:textId="5FC70557" w:rsidR="005814DC" w:rsidRDefault="005814DC" w:rsidP="005814DC">
            <w:pPr>
              <w:ind w:left="0" w:right="0"/>
            </w:pPr>
            <w:r w:rsidRPr="00006FAB">
              <w:t xml:space="preserve">Approved on </w:t>
            </w:r>
            <w:r>
              <w:t>1</w:t>
            </w:r>
            <w:r w:rsidR="00695B58">
              <w:t>8 May </w:t>
            </w:r>
            <w:r>
              <w:t>2020</w:t>
            </w:r>
          </w:p>
        </w:tc>
        <w:tc>
          <w:tcPr>
            <w:tcW w:w="4568" w:type="dxa"/>
            <w:tcBorders>
              <w:top w:val="single" w:sz="4" w:space="0" w:color="auto"/>
            </w:tcBorders>
          </w:tcPr>
          <w:p w14:paraId="33BC49A9" w14:textId="1B75CA10" w:rsidR="005814DC" w:rsidRPr="00695B58" w:rsidRDefault="00695B58" w:rsidP="005814DC">
            <w:pPr>
              <w:ind w:left="0"/>
              <w:rPr>
                <w:i/>
              </w:rPr>
            </w:pPr>
            <w:proofErr w:type="spellStart"/>
            <w:r w:rsidRPr="00695B58">
              <w:rPr>
                <w:i/>
              </w:rPr>
              <w:t>Tecentriq</w:t>
            </w:r>
            <w:proofErr w:type="spellEnd"/>
            <w:r w:rsidR="005814DC" w:rsidRPr="00695B58">
              <w:rPr>
                <w:i/>
              </w:rPr>
              <w:t xml:space="preserve">, as a single agent, is indicated for the first-line treatment of adult patients with metastatic non-small cell lung cancer (NSCLC) whose </w:t>
            </w:r>
            <w:proofErr w:type="spellStart"/>
            <w:r w:rsidR="005814DC" w:rsidRPr="00695B58">
              <w:rPr>
                <w:i/>
              </w:rPr>
              <w:t>tumors</w:t>
            </w:r>
            <w:proofErr w:type="spellEnd"/>
            <w:r w:rsidR="005814DC" w:rsidRPr="00695B58">
              <w:rPr>
                <w:i/>
              </w:rPr>
              <w:t xml:space="preserve"> have high PD-L1 expression (PD-L1 stained ≥ 50% of </w:t>
            </w:r>
            <w:proofErr w:type="spellStart"/>
            <w:r w:rsidR="005814DC" w:rsidRPr="00695B58">
              <w:rPr>
                <w:i/>
              </w:rPr>
              <w:t>tumor</w:t>
            </w:r>
            <w:proofErr w:type="spellEnd"/>
            <w:r w:rsidR="005814DC" w:rsidRPr="00695B58">
              <w:rPr>
                <w:i/>
              </w:rPr>
              <w:t xml:space="preserve"> cells </w:t>
            </w:r>
            <w:r w:rsidR="0046773A">
              <w:rPr>
                <w:i/>
              </w:rPr>
              <w:t>(</w:t>
            </w:r>
            <w:r w:rsidR="005814DC" w:rsidRPr="00695B58">
              <w:rPr>
                <w:i/>
              </w:rPr>
              <w:t>TC ≥ 50%</w:t>
            </w:r>
            <w:r w:rsidR="0046773A">
              <w:rPr>
                <w:i/>
              </w:rPr>
              <w:t>)</w:t>
            </w:r>
            <w:r w:rsidR="005814DC" w:rsidRPr="00695B58">
              <w:rPr>
                <w:i/>
              </w:rPr>
              <w:t xml:space="preserve"> or PD-L1 stained </w:t>
            </w:r>
            <w:proofErr w:type="spellStart"/>
            <w:r w:rsidR="005814DC" w:rsidRPr="00695B58">
              <w:rPr>
                <w:i/>
              </w:rPr>
              <w:t>tumor</w:t>
            </w:r>
            <w:proofErr w:type="spellEnd"/>
            <w:r w:rsidR="005814DC" w:rsidRPr="00695B58">
              <w:rPr>
                <w:i/>
              </w:rPr>
              <w:t xml:space="preserve"> infiltrating immune cells </w:t>
            </w:r>
            <w:r w:rsidR="0046773A">
              <w:rPr>
                <w:i/>
              </w:rPr>
              <w:t>(</w:t>
            </w:r>
            <w:r w:rsidR="005814DC" w:rsidRPr="00695B58">
              <w:rPr>
                <w:i/>
              </w:rPr>
              <w:t>IC</w:t>
            </w:r>
            <w:r w:rsidR="0046773A">
              <w:rPr>
                <w:i/>
              </w:rPr>
              <w:t>)</w:t>
            </w:r>
            <w:r w:rsidR="005814DC" w:rsidRPr="00695B58">
              <w:rPr>
                <w:i/>
              </w:rPr>
              <w:t xml:space="preserve"> covering ≥ 10% of the </w:t>
            </w:r>
            <w:proofErr w:type="spellStart"/>
            <w:r w:rsidR="005814DC" w:rsidRPr="00695B58">
              <w:rPr>
                <w:i/>
              </w:rPr>
              <w:t>tumor</w:t>
            </w:r>
            <w:proofErr w:type="spellEnd"/>
            <w:r w:rsidR="005814DC" w:rsidRPr="00695B58">
              <w:rPr>
                <w:i/>
              </w:rPr>
              <w:t xml:space="preserve"> area </w:t>
            </w:r>
            <w:r w:rsidR="0046773A">
              <w:rPr>
                <w:i/>
              </w:rPr>
              <w:t>(</w:t>
            </w:r>
            <w:r w:rsidR="005814DC" w:rsidRPr="00695B58">
              <w:rPr>
                <w:i/>
              </w:rPr>
              <w:t>IC ≥ 10%</w:t>
            </w:r>
            <w:r w:rsidR="0046773A">
              <w:rPr>
                <w:i/>
              </w:rPr>
              <w:t>)</w:t>
            </w:r>
            <w:r w:rsidR="005814DC" w:rsidRPr="00695B58">
              <w:rPr>
                <w:i/>
              </w:rPr>
              <w:t xml:space="preserve">), as determined by an FDA approved test, with no EGFR or ALK genomic </w:t>
            </w:r>
            <w:proofErr w:type="spellStart"/>
            <w:r w:rsidR="005814DC" w:rsidRPr="00695B58">
              <w:rPr>
                <w:i/>
              </w:rPr>
              <w:t>tumor</w:t>
            </w:r>
            <w:proofErr w:type="spellEnd"/>
            <w:r w:rsidR="005814DC" w:rsidRPr="00695B58">
              <w:rPr>
                <w:i/>
              </w:rPr>
              <w:t xml:space="preserve"> aberrations.</w:t>
            </w:r>
          </w:p>
        </w:tc>
      </w:tr>
      <w:tr w:rsidR="005814DC" w14:paraId="56CA5604" w14:textId="77777777" w:rsidTr="00646358">
        <w:trPr>
          <w:cantSplit/>
        </w:trPr>
        <w:tc>
          <w:tcPr>
            <w:tcW w:w="1908" w:type="dxa"/>
          </w:tcPr>
          <w:p w14:paraId="36770658" w14:textId="2D704E89" w:rsidR="005814DC" w:rsidRDefault="00695B58" w:rsidP="00006FAB">
            <w:pPr>
              <w:ind w:left="0" w:right="0"/>
            </w:pPr>
            <w:r>
              <w:lastRenderedPageBreak/>
              <w:t>European Union</w:t>
            </w:r>
          </w:p>
        </w:tc>
        <w:tc>
          <w:tcPr>
            <w:tcW w:w="2452" w:type="dxa"/>
          </w:tcPr>
          <w:p w14:paraId="6F5CE069" w14:textId="07692D69" w:rsidR="005814DC" w:rsidRDefault="005814DC" w:rsidP="005814DC">
            <w:pPr>
              <w:ind w:left="0" w:right="0"/>
            </w:pPr>
            <w:r>
              <w:t>Approved on</w:t>
            </w:r>
            <w:r w:rsidR="00695B58">
              <w:t xml:space="preserve"> 30 April </w:t>
            </w:r>
            <w:r>
              <w:t>2021</w:t>
            </w:r>
          </w:p>
        </w:tc>
        <w:tc>
          <w:tcPr>
            <w:tcW w:w="4568" w:type="dxa"/>
          </w:tcPr>
          <w:p w14:paraId="591A08A4" w14:textId="10D57B71" w:rsidR="005814DC" w:rsidRPr="00695B58" w:rsidRDefault="005814DC" w:rsidP="005814DC">
            <w:pPr>
              <w:ind w:left="0"/>
              <w:rPr>
                <w:i/>
              </w:rPr>
            </w:pPr>
            <w:proofErr w:type="spellStart"/>
            <w:r w:rsidRPr="00695B58">
              <w:rPr>
                <w:i/>
              </w:rPr>
              <w:t>Tecentriq</w:t>
            </w:r>
            <w:proofErr w:type="spellEnd"/>
            <w:r w:rsidRPr="00695B58">
              <w:rPr>
                <w:i/>
              </w:rPr>
              <w:t xml:space="preserve"> as monotherapy is indicated for the first-line treatment of adult patients with metastatic non-small cell lung cancer (NSCLC) whose tumours have a PD-L1 expression ≥ 50% tumour cells (TC) or ≥ 10% tumour-infiltrating immune cells (IC) and who do not ha</w:t>
            </w:r>
            <w:r w:rsidR="009E1C2D">
              <w:rPr>
                <w:i/>
              </w:rPr>
              <w:t>ve EGFR mutant or ALK</w:t>
            </w:r>
            <w:r w:rsidR="0046773A">
              <w:rPr>
                <w:i/>
              </w:rPr>
              <w:noBreakHyphen/>
            </w:r>
            <w:r w:rsidR="009E1C2D">
              <w:rPr>
                <w:i/>
              </w:rPr>
              <w:t xml:space="preserve">positive </w:t>
            </w:r>
            <w:r w:rsidRPr="00695B58">
              <w:rPr>
                <w:i/>
              </w:rPr>
              <w:t>NSCLC.</w:t>
            </w:r>
          </w:p>
        </w:tc>
      </w:tr>
      <w:tr w:rsidR="005814DC" w14:paraId="761F022C" w14:textId="77777777" w:rsidTr="009E1C2D">
        <w:trPr>
          <w:cantSplit/>
        </w:trPr>
        <w:tc>
          <w:tcPr>
            <w:tcW w:w="1908" w:type="dxa"/>
          </w:tcPr>
          <w:p w14:paraId="5CAEA556" w14:textId="16C42B00" w:rsidR="005814DC" w:rsidRDefault="00695B58" w:rsidP="005814DC">
            <w:pPr>
              <w:ind w:left="0"/>
            </w:pPr>
            <w:r>
              <w:t>Ca</w:t>
            </w:r>
            <w:r w:rsidR="005814DC">
              <w:t>nada</w:t>
            </w:r>
          </w:p>
        </w:tc>
        <w:tc>
          <w:tcPr>
            <w:tcW w:w="2452" w:type="dxa"/>
          </w:tcPr>
          <w:p w14:paraId="3309AF95" w14:textId="64D30D87" w:rsidR="005814DC" w:rsidRPr="00006FAB" w:rsidRDefault="00695B58" w:rsidP="005814DC">
            <w:pPr>
              <w:ind w:left="0"/>
            </w:pPr>
            <w:r>
              <w:t>Approved on 1 March </w:t>
            </w:r>
            <w:r w:rsidR="005814DC">
              <w:t>2021</w:t>
            </w:r>
          </w:p>
        </w:tc>
        <w:tc>
          <w:tcPr>
            <w:tcW w:w="4568" w:type="dxa"/>
          </w:tcPr>
          <w:p w14:paraId="15A1AAB8" w14:textId="4EBA6B00" w:rsidR="005814DC" w:rsidRPr="00695B58" w:rsidRDefault="00695B58" w:rsidP="005814DC">
            <w:pPr>
              <w:ind w:left="0"/>
              <w:rPr>
                <w:i/>
              </w:rPr>
            </w:pPr>
            <w:proofErr w:type="spellStart"/>
            <w:r w:rsidRPr="00695B58">
              <w:rPr>
                <w:i/>
              </w:rPr>
              <w:t>Tecentriq</w:t>
            </w:r>
            <w:proofErr w:type="spellEnd"/>
            <w:r w:rsidRPr="00695B58">
              <w:rPr>
                <w:i/>
              </w:rPr>
              <w:t xml:space="preserve"> </w:t>
            </w:r>
            <w:r w:rsidR="005814DC" w:rsidRPr="00695B58">
              <w:rPr>
                <w:i/>
              </w:rPr>
              <w:t>a</w:t>
            </w:r>
            <w:r w:rsidRPr="00695B58">
              <w:rPr>
                <w:i/>
              </w:rPr>
              <w:t xml:space="preserve">s monotherapy, is indicated for </w:t>
            </w:r>
            <w:r w:rsidR="005814DC" w:rsidRPr="00695B58">
              <w:rPr>
                <w:i/>
              </w:rPr>
              <w:t>the first-</w:t>
            </w:r>
            <w:r w:rsidRPr="00695B58">
              <w:rPr>
                <w:i/>
              </w:rPr>
              <w:t xml:space="preserve">line treatment of patients with </w:t>
            </w:r>
            <w:r w:rsidR="005814DC" w:rsidRPr="00695B58">
              <w:rPr>
                <w:i/>
              </w:rPr>
              <w:t>metast</w:t>
            </w:r>
            <w:r w:rsidRPr="00695B58">
              <w:rPr>
                <w:i/>
              </w:rPr>
              <w:t xml:space="preserve">atic non-small cell lung cancer </w:t>
            </w:r>
            <w:r w:rsidR="005814DC" w:rsidRPr="00695B58">
              <w:rPr>
                <w:i/>
              </w:rPr>
              <w:t>(NSCLC</w:t>
            </w:r>
            <w:r w:rsidRPr="00695B58">
              <w:rPr>
                <w:i/>
              </w:rPr>
              <w:t xml:space="preserve">) whose tumours have high PD-L1 </w:t>
            </w:r>
            <w:r w:rsidR="005814DC" w:rsidRPr="00695B58">
              <w:rPr>
                <w:i/>
              </w:rPr>
              <w:t>expression</w:t>
            </w:r>
            <w:r w:rsidRPr="00695B58">
              <w:rPr>
                <w:i/>
              </w:rPr>
              <w:t xml:space="preserve"> (PD-L1 stained ≥ 50% of tumour </w:t>
            </w:r>
            <w:r w:rsidR="005814DC" w:rsidRPr="00695B58">
              <w:rPr>
                <w:i/>
              </w:rPr>
              <w:t xml:space="preserve">cells </w:t>
            </w:r>
            <w:r w:rsidR="0046773A">
              <w:rPr>
                <w:i/>
              </w:rPr>
              <w:t>(</w:t>
            </w:r>
            <w:r w:rsidR="005814DC" w:rsidRPr="00695B58">
              <w:rPr>
                <w:i/>
              </w:rPr>
              <w:t>TCs</w:t>
            </w:r>
            <w:r w:rsidR="0046773A">
              <w:rPr>
                <w:i/>
              </w:rPr>
              <w:t>)</w:t>
            </w:r>
            <w:r w:rsidR="005814DC" w:rsidRPr="00695B58">
              <w:rPr>
                <w:i/>
              </w:rPr>
              <w:t xml:space="preserve"> or PD-L1 stained</w:t>
            </w:r>
            <w:r w:rsidRPr="00695B58">
              <w:rPr>
                <w:i/>
              </w:rPr>
              <w:t xml:space="preserve"> </w:t>
            </w:r>
            <w:r w:rsidR="005814DC" w:rsidRPr="00695B58">
              <w:rPr>
                <w:i/>
              </w:rPr>
              <w:t>tumour</w:t>
            </w:r>
            <w:r w:rsidRPr="00695B58">
              <w:rPr>
                <w:i/>
              </w:rPr>
              <w:t xml:space="preserve"> infiltrating immune cells </w:t>
            </w:r>
            <w:r w:rsidR="0046773A">
              <w:rPr>
                <w:i/>
              </w:rPr>
              <w:t>(</w:t>
            </w:r>
            <w:r w:rsidRPr="00695B58">
              <w:rPr>
                <w:i/>
              </w:rPr>
              <w:t>ICs</w:t>
            </w:r>
            <w:r w:rsidR="0046773A">
              <w:rPr>
                <w:i/>
              </w:rPr>
              <w:t>)</w:t>
            </w:r>
            <w:r w:rsidRPr="00695B58">
              <w:rPr>
                <w:i/>
              </w:rPr>
              <w:t xml:space="preserve"> covering ≥ 10% </w:t>
            </w:r>
            <w:r w:rsidR="005814DC" w:rsidRPr="00695B58">
              <w:rPr>
                <w:i/>
              </w:rPr>
              <w:t>of the t</w:t>
            </w:r>
            <w:r w:rsidRPr="00695B58">
              <w:rPr>
                <w:i/>
              </w:rPr>
              <w:t xml:space="preserve">umour area), as determined by a </w:t>
            </w:r>
            <w:r w:rsidR="005814DC" w:rsidRPr="00695B58">
              <w:rPr>
                <w:i/>
              </w:rPr>
              <w:t>validated t</w:t>
            </w:r>
            <w:r w:rsidRPr="00695B58">
              <w:rPr>
                <w:i/>
              </w:rPr>
              <w:t xml:space="preserve">est and who do not have EGFR or </w:t>
            </w:r>
            <w:r w:rsidR="005814DC" w:rsidRPr="00695B58">
              <w:rPr>
                <w:i/>
              </w:rPr>
              <w:t>ALK genomic tumour aberrations.</w:t>
            </w:r>
          </w:p>
        </w:tc>
      </w:tr>
      <w:tr w:rsidR="005814DC" w14:paraId="08296438" w14:textId="77777777" w:rsidTr="001C2419">
        <w:trPr>
          <w:cantSplit/>
        </w:trPr>
        <w:tc>
          <w:tcPr>
            <w:tcW w:w="1908" w:type="dxa"/>
          </w:tcPr>
          <w:p w14:paraId="18AF0CEE" w14:textId="3479966F" w:rsidR="005814DC" w:rsidRDefault="005814DC" w:rsidP="00695B58">
            <w:pPr>
              <w:ind w:left="0"/>
            </w:pPr>
            <w:r>
              <w:t>New Zealand</w:t>
            </w:r>
          </w:p>
        </w:tc>
        <w:tc>
          <w:tcPr>
            <w:tcW w:w="2452" w:type="dxa"/>
          </w:tcPr>
          <w:p w14:paraId="0E8FB5E5" w14:textId="1ACC48D5" w:rsidR="005814DC" w:rsidRPr="00006FAB" w:rsidRDefault="00695B58" w:rsidP="00695B58">
            <w:pPr>
              <w:ind w:left="0"/>
            </w:pPr>
            <w:r>
              <w:t>Approved on 6 August 2021</w:t>
            </w:r>
          </w:p>
        </w:tc>
        <w:tc>
          <w:tcPr>
            <w:tcW w:w="4568" w:type="dxa"/>
          </w:tcPr>
          <w:p w14:paraId="3A41C4D8" w14:textId="46BA4C82" w:rsidR="005814DC" w:rsidRPr="00695B58" w:rsidRDefault="005814DC" w:rsidP="00695B58">
            <w:pPr>
              <w:tabs>
                <w:tab w:val="left" w:pos="1210"/>
              </w:tabs>
              <w:ind w:left="0"/>
              <w:rPr>
                <w:i/>
              </w:rPr>
            </w:pPr>
            <w:proofErr w:type="spellStart"/>
            <w:r w:rsidRPr="00695B58">
              <w:rPr>
                <w:i/>
              </w:rPr>
              <w:t>Tecentriq</w:t>
            </w:r>
            <w:proofErr w:type="spellEnd"/>
            <w:r w:rsidRPr="00695B58">
              <w:rPr>
                <w:i/>
              </w:rPr>
              <w:t xml:space="preserve"> as m</w:t>
            </w:r>
            <w:r w:rsidR="00695B58" w:rsidRPr="00695B58">
              <w:rPr>
                <w:i/>
              </w:rPr>
              <w:t xml:space="preserve">onotherapy is indicated for the </w:t>
            </w:r>
            <w:r w:rsidRPr="00695B58">
              <w:rPr>
                <w:i/>
              </w:rPr>
              <w:t>first-line trea</w:t>
            </w:r>
            <w:r w:rsidR="00695B58" w:rsidRPr="00695B58">
              <w:rPr>
                <w:i/>
              </w:rPr>
              <w:t xml:space="preserve">tment of adults with metastatic </w:t>
            </w:r>
            <w:r w:rsidRPr="00695B58">
              <w:rPr>
                <w:i/>
              </w:rPr>
              <w:t>NSCL</w:t>
            </w:r>
            <w:r w:rsidR="00695B58" w:rsidRPr="00695B58">
              <w:rPr>
                <w:i/>
              </w:rPr>
              <w:t xml:space="preserve">C whose tumours have high PD-L1 </w:t>
            </w:r>
            <w:r w:rsidRPr="00695B58">
              <w:rPr>
                <w:i/>
              </w:rPr>
              <w:t>expression</w:t>
            </w:r>
            <w:r w:rsidR="00695B58" w:rsidRPr="00695B58">
              <w:rPr>
                <w:i/>
              </w:rPr>
              <w:t xml:space="preserve"> (PD-L1 stained ≥ 50% of tumour </w:t>
            </w:r>
            <w:r w:rsidRPr="00695B58">
              <w:rPr>
                <w:i/>
              </w:rPr>
              <w:t xml:space="preserve">cells </w:t>
            </w:r>
            <w:r w:rsidR="0046773A">
              <w:rPr>
                <w:i/>
              </w:rPr>
              <w:t>(</w:t>
            </w:r>
            <w:r w:rsidRPr="00695B58">
              <w:rPr>
                <w:i/>
              </w:rPr>
              <w:t>TC ≥ 50%</w:t>
            </w:r>
            <w:r w:rsidR="0046773A">
              <w:rPr>
                <w:i/>
              </w:rPr>
              <w:t>)</w:t>
            </w:r>
            <w:r w:rsidRPr="00695B58">
              <w:rPr>
                <w:i/>
              </w:rPr>
              <w:t xml:space="preserve"> or P</w:t>
            </w:r>
            <w:r w:rsidR="00695B58" w:rsidRPr="00695B58">
              <w:rPr>
                <w:i/>
              </w:rPr>
              <w:t xml:space="preserve">D-L1 stained tumour infiltrating </w:t>
            </w:r>
            <w:r w:rsidRPr="00695B58">
              <w:rPr>
                <w:i/>
              </w:rPr>
              <w:t>i</w:t>
            </w:r>
            <w:r w:rsidR="00695B58" w:rsidRPr="00695B58">
              <w:rPr>
                <w:i/>
              </w:rPr>
              <w:t xml:space="preserve">mmune cells </w:t>
            </w:r>
            <w:r w:rsidR="0046773A">
              <w:rPr>
                <w:i/>
              </w:rPr>
              <w:t>(</w:t>
            </w:r>
            <w:r w:rsidR="00695B58" w:rsidRPr="00695B58">
              <w:rPr>
                <w:i/>
              </w:rPr>
              <w:t>IC</w:t>
            </w:r>
            <w:r w:rsidR="0046773A">
              <w:rPr>
                <w:i/>
              </w:rPr>
              <w:t>)</w:t>
            </w:r>
            <w:r w:rsidR="00695B58" w:rsidRPr="00695B58">
              <w:rPr>
                <w:i/>
              </w:rPr>
              <w:t xml:space="preserve"> covering ≥ 10% </w:t>
            </w:r>
            <w:r w:rsidRPr="00695B58">
              <w:rPr>
                <w:i/>
              </w:rPr>
              <w:t>of the tumour</w:t>
            </w:r>
            <w:r w:rsidR="00695B58" w:rsidRPr="00695B58">
              <w:rPr>
                <w:i/>
              </w:rPr>
              <w:t xml:space="preserve"> area </w:t>
            </w:r>
            <w:r w:rsidR="0046773A">
              <w:rPr>
                <w:i/>
              </w:rPr>
              <w:t>(</w:t>
            </w:r>
            <w:r w:rsidR="00695B58" w:rsidRPr="00695B58">
              <w:rPr>
                <w:i/>
              </w:rPr>
              <w:t>IC ≥ 10%</w:t>
            </w:r>
            <w:r w:rsidR="0046773A">
              <w:rPr>
                <w:i/>
              </w:rPr>
              <w:t>)</w:t>
            </w:r>
            <w:r w:rsidR="00695B58" w:rsidRPr="00695B58">
              <w:rPr>
                <w:i/>
              </w:rPr>
              <w:t xml:space="preserve">) as determined </w:t>
            </w:r>
            <w:r w:rsidRPr="00695B58">
              <w:rPr>
                <w:i/>
              </w:rPr>
              <w:t>by a validated</w:t>
            </w:r>
            <w:r w:rsidR="00695B58" w:rsidRPr="00695B58">
              <w:rPr>
                <w:i/>
              </w:rPr>
              <w:t xml:space="preserve"> test, and who do not have EGFR </w:t>
            </w:r>
            <w:r w:rsidRPr="00695B58">
              <w:rPr>
                <w:i/>
              </w:rPr>
              <w:t>or ALK genomic tumour aberrations.</w:t>
            </w:r>
          </w:p>
        </w:tc>
      </w:tr>
      <w:tr w:rsidR="005814DC" w14:paraId="214D1879" w14:textId="77777777" w:rsidTr="00695B58">
        <w:tc>
          <w:tcPr>
            <w:tcW w:w="1908" w:type="dxa"/>
          </w:tcPr>
          <w:p w14:paraId="502944E1" w14:textId="7223372E" w:rsidR="005814DC" w:rsidRDefault="00695B58" w:rsidP="00695B58">
            <w:pPr>
              <w:ind w:left="0"/>
            </w:pPr>
            <w:r>
              <w:t>Singapore</w:t>
            </w:r>
          </w:p>
        </w:tc>
        <w:tc>
          <w:tcPr>
            <w:tcW w:w="2452" w:type="dxa"/>
          </w:tcPr>
          <w:p w14:paraId="5A44480C" w14:textId="719387DC" w:rsidR="005814DC" w:rsidRPr="00006FAB" w:rsidRDefault="00695B58" w:rsidP="00695B58">
            <w:pPr>
              <w:ind w:left="0"/>
            </w:pPr>
            <w:r>
              <w:t>Approved on 12 March 2021</w:t>
            </w:r>
          </w:p>
        </w:tc>
        <w:tc>
          <w:tcPr>
            <w:tcW w:w="4568" w:type="dxa"/>
          </w:tcPr>
          <w:p w14:paraId="088CEC2C" w14:textId="7415FF86" w:rsidR="005814DC" w:rsidRPr="00695B58" w:rsidRDefault="00695B58" w:rsidP="00695B58">
            <w:pPr>
              <w:ind w:left="0"/>
              <w:rPr>
                <w:i/>
              </w:rPr>
            </w:pPr>
            <w:proofErr w:type="spellStart"/>
            <w:r w:rsidRPr="00695B58">
              <w:rPr>
                <w:i/>
              </w:rPr>
              <w:t>Tecentriq</w:t>
            </w:r>
            <w:proofErr w:type="spellEnd"/>
            <w:r w:rsidRPr="00695B58">
              <w:rPr>
                <w:i/>
              </w:rPr>
              <w:t xml:space="preserve"> as monotherapy is indicated for the first-line treatment of patients with metastatic NSCLC whose </w:t>
            </w:r>
            <w:proofErr w:type="spellStart"/>
            <w:r w:rsidRPr="00695B58">
              <w:rPr>
                <w:i/>
              </w:rPr>
              <w:t>tumors</w:t>
            </w:r>
            <w:proofErr w:type="spellEnd"/>
            <w:r w:rsidRPr="00695B58">
              <w:rPr>
                <w:i/>
              </w:rPr>
              <w:t xml:space="preserve"> have a PD</w:t>
            </w:r>
            <w:r w:rsidRPr="00695B58">
              <w:rPr>
                <w:i/>
              </w:rPr>
              <w:noBreakHyphen/>
              <w:t xml:space="preserve">L1 expression ≥ 50% </w:t>
            </w:r>
            <w:proofErr w:type="spellStart"/>
            <w:r w:rsidRPr="00695B58">
              <w:rPr>
                <w:i/>
              </w:rPr>
              <w:t>tumor</w:t>
            </w:r>
            <w:proofErr w:type="spellEnd"/>
            <w:r w:rsidRPr="00695B58">
              <w:rPr>
                <w:i/>
              </w:rPr>
              <w:t xml:space="preserve"> cells (TC) or ≥</w:t>
            </w:r>
            <w:r w:rsidR="0046773A">
              <w:rPr>
                <w:i/>
              </w:rPr>
              <w:t> </w:t>
            </w:r>
            <w:r w:rsidRPr="00695B58">
              <w:rPr>
                <w:i/>
              </w:rPr>
              <w:t xml:space="preserve">10% </w:t>
            </w:r>
            <w:proofErr w:type="spellStart"/>
            <w:r w:rsidRPr="00695B58">
              <w:rPr>
                <w:i/>
              </w:rPr>
              <w:t>tumor</w:t>
            </w:r>
            <w:proofErr w:type="spellEnd"/>
            <w:r w:rsidRPr="00695B58">
              <w:rPr>
                <w:i/>
              </w:rPr>
              <w:t xml:space="preserve">-infiltrating immune cells (IC) and who do not have EGFR or ALK genomic </w:t>
            </w:r>
            <w:proofErr w:type="spellStart"/>
            <w:r w:rsidRPr="00695B58">
              <w:rPr>
                <w:i/>
              </w:rPr>
              <w:t>tumor</w:t>
            </w:r>
            <w:proofErr w:type="spellEnd"/>
            <w:r w:rsidRPr="00695B58">
              <w:rPr>
                <w:i/>
              </w:rPr>
              <w:t xml:space="preserve"> aberrations</w:t>
            </w:r>
          </w:p>
        </w:tc>
      </w:tr>
    </w:tbl>
    <w:p w14:paraId="03C8D302" w14:textId="51E00A5B" w:rsidR="00500337" w:rsidRDefault="00500337" w:rsidP="001D16DD">
      <w:pPr>
        <w:pStyle w:val="Heading2"/>
      </w:pPr>
      <w:bookmarkStart w:id="22" w:name="_Toc504480011"/>
      <w:bookmarkStart w:id="23" w:name="_Toc110856879"/>
      <w:bookmarkStart w:id="24" w:name="_Toc247691506"/>
      <w:bookmarkStart w:id="25" w:name="_Toc314842487"/>
      <w:bookmarkEnd w:id="17"/>
      <w:bookmarkEnd w:id="18"/>
      <w:r>
        <w:lastRenderedPageBreak/>
        <w:t>Registration timeline</w:t>
      </w:r>
      <w:bookmarkEnd w:id="22"/>
      <w:bookmarkEnd w:id="23"/>
    </w:p>
    <w:p w14:paraId="017FB785" w14:textId="6946D960" w:rsidR="0074163C" w:rsidRPr="00C93EC1" w:rsidRDefault="0074163C" w:rsidP="00F173E5">
      <w:pPr>
        <w:keepNext/>
      </w:pPr>
      <w:r w:rsidRPr="00C93EC1">
        <w:t xml:space="preserve">The following table captures the key steps and dates for this </w:t>
      </w:r>
      <w:r w:rsidR="00804D99">
        <w:t>submission</w:t>
      </w:r>
      <w:r w:rsidRPr="00C93EC1">
        <w:t>.</w:t>
      </w:r>
    </w:p>
    <w:p w14:paraId="16B7DF93" w14:textId="47AF97FD" w:rsidR="0074163C" w:rsidRPr="00695B58" w:rsidRDefault="0074163C" w:rsidP="001D16DD">
      <w:pPr>
        <w:pStyle w:val="TableTitle"/>
      </w:pPr>
      <w:r>
        <w:t xml:space="preserve">Table </w:t>
      </w:r>
      <w:fldSimple w:instr=" SEQ Table \* ARABIC ">
        <w:r w:rsidR="00C05B15">
          <w:rPr>
            <w:noProof/>
          </w:rPr>
          <w:t>2</w:t>
        </w:r>
      </w:fldSimple>
      <w:r>
        <w:t>:</w:t>
      </w:r>
      <w:r w:rsidRPr="006A58A8">
        <w:t xml:space="preserve"> Timeline for Submission PM-</w:t>
      </w:r>
      <w:r w:rsidR="00695B58">
        <w:t>2019-05906-1-4</w:t>
      </w:r>
    </w:p>
    <w:tbl>
      <w:tblPr>
        <w:tblStyle w:val="TableTGAblue"/>
        <w:tblW w:w="0" w:type="auto"/>
        <w:tblLook w:val="04A0" w:firstRow="1" w:lastRow="0" w:firstColumn="1" w:lastColumn="0" w:noHBand="0" w:noVBand="1"/>
      </w:tblPr>
      <w:tblGrid>
        <w:gridCol w:w="4360"/>
        <w:gridCol w:w="4360"/>
      </w:tblGrid>
      <w:tr w:rsidR="0074163C" w14:paraId="71577D1F" w14:textId="77777777" w:rsidTr="009E5A87">
        <w:trPr>
          <w:cnfStyle w:val="100000000000" w:firstRow="1" w:lastRow="0" w:firstColumn="0" w:lastColumn="0" w:oddVBand="0" w:evenVBand="0" w:oddHBand="0" w:evenHBand="0" w:firstRowFirstColumn="0" w:firstRowLastColumn="0" w:lastRowFirstColumn="0" w:lastRowLastColumn="0"/>
        </w:trPr>
        <w:tc>
          <w:tcPr>
            <w:tcW w:w="4360" w:type="dxa"/>
            <w:tcBorders>
              <w:top w:val="single" w:sz="4" w:space="0" w:color="auto"/>
              <w:left w:val="single" w:sz="4" w:space="0" w:color="auto"/>
              <w:bottom w:val="single" w:sz="4" w:space="0" w:color="auto"/>
              <w:right w:val="single" w:sz="4" w:space="0" w:color="auto"/>
            </w:tcBorders>
          </w:tcPr>
          <w:p w14:paraId="2708D6D5" w14:textId="77777777" w:rsidR="0074163C" w:rsidRDefault="0074163C" w:rsidP="00F173E5">
            <w:r>
              <w:t>Description</w:t>
            </w:r>
          </w:p>
        </w:tc>
        <w:tc>
          <w:tcPr>
            <w:tcW w:w="4360" w:type="dxa"/>
            <w:tcBorders>
              <w:top w:val="single" w:sz="4" w:space="0" w:color="auto"/>
              <w:left w:val="single" w:sz="4" w:space="0" w:color="auto"/>
              <w:bottom w:val="single" w:sz="4" w:space="0" w:color="auto"/>
              <w:right w:val="single" w:sz="4" w:space="0" w:color="auto"/>
            </w:tcBorders>
          </w:tcPr>
          <w:p w14:paraId="19266759" w14:textId="77777777" w:rsidR="0074163C" w:rsidRDefault="0074163C" w:rsidP="00F173E5">
            <w:r>
              <w:t>Date</w:t>
            </w:r>
          </w:p>
        </w:tc>
      </w:tr>
      <w:tr w:rsidR="0074163C" w14:paraId="48DAE205" w14:textId="77777777" w:rsidTr="009E5A87">
        <w:tc>
          <w:tcPr>
            <w:tcW w:w="4360" w:type="dxa"/>
            <w:tcBorders>
              <w:top w:val="single" w:sz="4" w:space="0" w:color="auto"/>
            </w:tcBorders>
          </w:tcPr>
          <w:p w14:paraId="44680C84" w14:textId="77777777" w:rsidR="0074163C" w:rsidRDefault="0074163C" w:rsidP="00F173E5">
            <w:pPr>
              <w:keepNext/>
            </w:pPr>
            <w:r>
              <w:t>Submission dossier accepted and first round evaluation commenced</w:t>
            </w:r>
          </w:p>
        </w:tc>
        <w:tc>
          <w:tcPr>
            <w:tcW w:w="4360" w:type="dxa"/>
            <w:tcBorders>
              <w:top w:val="single" w:sz="4" w:space="0" w:color="auto"/>
            </w:tcBorders>
          </w:tcPr>
          <w:p w14:paraId="66B50056" w14:textId="514D095F" w:rsidR="0074163C" w:rsidRDefault="00A06369" w:rsidP="00F173E5">
            <w:pPr>
              <w:keepNext/>
            </w:pPr>
            <w:r>
              <w:t>31 January 2020</w:t>
            </w:r>
          </w:p>
        </w:tc>
      </w:tr>
      <w:tr w:rsidR="0074163C" w14:paraId="5470C8F9" w14:textId="77777777" w:rsidTr="009E5A87">
        <w:tc>
          <w:tcPr>
            <w:tcW w:w="4360" w:type="dxa"/>
          </w:tcPr>
          <w:p w14:paraId="101DC08C" w14:textId="77777777" w:rsidR="0074163C" w:rsidRDefault="0074163C" w:rsidP="009E5A87">
            <w:r>
              <w:t>First round evaluation completed</w:t>
            </w:r>
          </w:p>
        </w:tc>
        <w:tc>
          <w:tcPr>
            <w:tcW w:w="4360" w:type="dxa"/>
          </w:tcPr>
          <w:p w14:paraId="60706F75" w14:textId="11909DB7" w:rsidR="0074163C" w:rsidRDefault="00A06369" w:rsidP="009E5A87">
            <w:r>
              <w:t>25 June 2020</w:t>
            </w:r>
          </w:p>
        </w:tc>
      </w:tr>
      <w:tr w:rsidR="0074163C" w14:paraId="01AF9B73" w14:textId="77777777" w:rsidTr="009E5A87">
        <w:tc>
          <w:tcPr>
            <w:tcW w:w="4360" w:type="dxa"/>
          </w:tcPr>
          <w:p w14:paraId="05DAE0C3" w14:textId="77777777" w:rsidR="0074163C" w:rsidRDefault="0074163C" w:rsidP="009E5A87">
            <w:r>
              <w:t>Sponsor provides responses on questions raised in first round evaluation</w:t>
            </w:r>
          </w:p>
        </w:tc>
        <w:tc>
          <w:tcPr>
            <w:tcW w:w="4360" w:type="dxa"/>
          </w:tcPr>
          <w:p w14:paraId="38ED4652" w14:textId="25ACDBE6" w:rsidR="0074163C" w:rsidRDefault="00A06369" w:rsidP="009E5A87">
            <w:r>
              <w:t>23 July 2020</w:t>
            </w:r>
          </w:p>
        </w:tc>
      </w:tr>
      <w:tr w:rsidR="0074163C" w14:paraId="4C20FD4F" w14:textId="77777777" w:rsidTr="009E5A87">
        <w:tc>
          <w:tcPr>
            <w:tcW w:w="4360" w:type="dxa"/>
          </w:tcPr>
          <w:p w14:paraId="48EB2E38" w14:textId="77777777" w:rsidR="0074163C" w:rsidRDefault="0074163C" w:rsidP="009E5A87">
            <w:r>
              <w:t>Second round evaluation completed</w:t>
            </w:r>
          </w:p>
        </w:tc>
        <w:tc>
          <w:tcPr>
            <w:tcW w:w="4360" w:type="dxa"/>
          </w:tcPr>
          <w:p w14:paraId="0158F0F8" w14:textId="5AF2EDBE" w:rsidR="0074163C" w:rsidRDefault="00A06369" w:rsidP="009E5A87">
            <w:r>
              <w:t>31 August 2020</w:t>
            </w:r>
          </w:p>
        </w:tc>
      </w:tr>
      <w:tr w:rsidR="0074163C" w14:paraId="62CA5FAA" w14:textId="77777777" w:rsidTr="009E5A87">
        <w:tc>
          <w:tcPr>
            <w:tcW w:w="4360" w:type="dxa"/>
          </w:tcPr>
          <w:p w14:paraId="28A2A7C7" w14:textId="75F0FD6D" w:rsidR="0074163C" w:rsidRPr="00A06369" w:rsidRDefault="0074163C" w:rsidP="00A06369">
            <w:r w:rsidRPr="00A06369">
              <w:t>Delegate’s Overall benefit-risk assessment and reques</w:t>
            </w:r>
            <w:r w:rsidR="00A06369" w:rsidRPr="00A06369">
              <w:t>t for Advisory Committee advice</w:t>
            </w:r>
          </w:p>
        </w:tc>
        <w:tc>
          <w:tcPr>
            <w:tcW w:w="4360" w:type="dxa"/>
          </w:tcPr>
          <w:p w14:paraId="030B47B3" w14:textId="33E7D744" w:rsidR="0074163C" w:rsidRDefault="00A06369" w:rsidP="009E5A87">
            <w:r>
              <w:t>22 April 2021</w:t>
            </w:r>
          </w:p>
        </w:tc>
      </w:tr>
      <w:tr w:rsidR="0074163C" w14:paraId="7FEA49BC" w14:textId="77777777" w:rsidTr="009E5A87">
        <w:tc>
          <w:tcPr>
            <w:tcW w:w="4360" w:type="dxa"/>
          </w:tcPr>
          <w:p w14:paraId="08C4DB19" w14:textId="77777777" w:rsidR="0074163C" w:rsidRDefault="0074163C" w:rsidP="009E5A87">
            <w:r>
              <w:t>Sponsor’s pre-Advisory Committee response</w:t>
            </w:r>
          </w:p>
        </w:tc>
        <w:tc>
          <w:tcPr>
            <w:tcW w:w="4360" w:type="dxa"/>
          </w:tcPr>
          <w:p w14:paraId="03160C80" w14:textId="12B3ED80" w:rsidR="0074163C" w:rsidRDefault="00A06369" w:rsidP="009E5A87">
            <w:r>
              <w:t>18 May 2021</w:t>
            </w:r>
          </w:p>
        </w:tc>
      </w:tr>
      <w:tr w:rsidR="0074163C" w14:paraId="2C79699E" w14:textId="77777777" w:rsidTr="009E5A87">
        <w:tc>
          <w:tcPr>
            <w:tcW w:w="4360" w:type="dxa"/>
          </w:tcPr>
          <w:p w14:paraId="5A1BBD30" w14:textId="77777777" w:rsidR="0074163C" w:rsidRDefault="0074163C" w:rsidP="009E5A87">
            <w:r>
              <w:t>Advisory Committee meeting</w:t>
            </w:r>
          </w:p>
        </w:tc>
        <w:tc>
          <w:tcPr>
            <w:tcW w:w="4360" w:type="dxa"/>
          </w:tcPr>
          <w:p w14:paraId="7535CFFF" w14:textId="5800423C" w:rsidR="0074163C" w:rsidRDefault="00A06369" w:rsidP="009E5A87">
            <w:r>
              <w:t>18 June 2021</w:t>
            </w:r>
          </w:p>
        </w:tc>
      </w:tr>
      <w:tr w:rsidR="0074163C" w14:paraId="558C5431" w14:textId="77777777" w:rsidTr="009E5A87">
        <w:tc>
          <w:tcPr>
            <w:tcW w:w="4360" w:type="dxa"/>
          </w:tcPr>
          <w:p w14:paraId="48D58F2A" w14:textId="0ED7F6CB" w:rsidR="0074163C" w:rsidRDefault="0074163C" w:rsidP="00A06369">
            <w:r>
              <w:t>Registration decision (</w:t>
            </w:r>
            <w:r w:rsidR="00A06369">
              <w:t>Withdrawal)</w:t>
            </w:r>
          </w:p>
        </w:tc>
        <w:tc>
          <w:tcPr>
            <w:tcW w:w="4360" w:type="dxa"/>
          </w:tcPr>
          <w:p w14:paraId="43E22403" w14:textId="0AF8B1E4" w:rsidR="0074163C" w:rsidRDefault="00A06369" w:rsidP="009E5A87">
            <w:r>
              <w:t>22 July 2021</w:t>
            </w:r>
          </w:p>
        </w:tc>
      </w:tr>
    </w:tbl>
    <w:p w14:paraId="7FC1EB9F" w14:textId="3F5FAC7A" w:rsidR="008E7846" w:rsidRPr="00792A32" w:rsidRDefault="00006FAB" w:rsidP="008E7846">
      <w:pPr>
        <w:pStyle w:val="Heading2"/>
      </w:pPr>
      <w:bookmarkStart w:id="26" w:name="_Toc196046504"/>
      <w:bookmarkStart w:id="27" w:name="_Toc247691527"/>
      <w:bookmarkStart w:id="28" w:name="_Toc314842510"/>
      <w:bookmarkStart w:id="29" w:name="_Toc110856880"/>
      <w:bookmarkStart w:id="30" w:name="_Toc163441390"/>
      <w:bookmarkEnd w:id="24"/>
      <w:bookmarkEnd w:id="25"/>
      <w:bookmarkEnd w:id="1"/>
      <w:r w:rsidRPr="00006FAB">
        <w:t xml:space="preserve">Submission overview </w:t>
      </w:r>
      <w:r w:rsidR="008E7846" w:rsidRPr="00792A32">
        <w:t xml:space="preserve">and </w:t>
      </w:r>
      <w:r w:rsidR="008E7846">
        <w:t>r</w:t>
      </w:r>
      <w:r w:rsidR="008E7846" w:rsidRPr="00792A32">
        <w:t>isk/</w:t>
      </w:r>
      <w:r w:rsidR="008E7846">
        <w:t>b</w:t>
      </w:r>
      <w:r w:rsidR="008E7846" w:rsidRPr="00792A32">
        <w:t xml:space="preserve">enefit </w:t>
      </w:r>
      <w:r w:rsidR="008E7846">
        <w:t>a</w:t>
      </w:r>
      <w:r w:rsidR="008E7846" w:rsidRPr="00792A32">
        <w:t>ssessment</w:t>
      </w:r>
      <w:bookmarkEnd w:id="26"/>
      <w:bookmarkEnd w:id="27"/>
      <w:bookmarkEnd w:id="28"/>
      <w:bookmarkEnd w:id="29"/>
    </w:p>
    <w:p w14:paraId="4AADEA02" w14:textId="7419AE57" w:rsidR="0074163C" w:rsidRPr="00A06369" w:rsidRDefault="005A79F5" w:rsidP="0074163C">
      <w:pPr>
        <w:pStyle w:val="Instructions"/>
        <w:rPr>
          <w:i w:val="0"/>
          <w:color w:val="auto"/>
        </w:rPr>
      </w:pPr>
      <w:bookmarkStart w:id="31" w:name="_Toc247691528"/>
      <w:bookmarkStart w:id="32" w:name="_Toc314842511"/>
      <w:r w:rsidRPr="005A79F5">
        <w:rPr>
          <w:i w:val="0"/>
          <w:color w:val="auto"/>
        </w:rPr>
        <w:t>A summary of the TGA’s assessment for this submission is provided below</w:t>
      </w:r>
      <w:r w:rsidR="00A06369">
        <w:rPr>
          <w:i w:val="0"/>
          <w:color w:val="auto"/>
        </w:rPr>
        <w:t>.</w:t>
      </w:r>
    </w:p>
    <w:p w14:paraId="2226105D" w14:textId="7AB9259B" w:rsidR="008E7846" w:rsidRDefault="008E7846" w:rsidP="008E7846">
      <w:pPr>
        <w:pStyle w:val="Heading3"/>
      </w:pPr>
      <w:bookmarkStart w:id="33" w:name="_Toc110856881"/>
      <w:r>
        <w:t>Quality</w:t>
      </w:r>
      <w:bookmarkEnd w:id="31"/>
      <w:bookmarkEnd w:id="32"/>
      <w:bookmarkEnd w:id="33"/>
    </w:p>
    <w:p w14:paraId="2BE4AC7D" w14:textId="31901349" w:rsidR="0074163C" w:rsidRDefault="0074163C" w:rsidP="0074163C">
      <w:r>
        <w:t>A full quality evaluation was conducted at the time this product received initial registration.</w:t>
      </w:r>
    </w:p>
    <w:p w14:paraId="220CBC72" w14:textId="01D4A387" w:rsidR="008E7846" w:rsidRDefault="008E7846" w:rsidP="008E7846">
      <w:pPr>
        <w:pStyle w:val="Heading3"/>
      </w:pPr>
      <w:bookmarkStart w:id="34" w:name="_Toc314842512"/>
      <w:bookmarkStart w:id="35" w:name="_Toc110856882"/>
      <w:r>
        <w:t>Nonclinical</w:t>
      </w:r>
      <w:bookmarkEnd w:id="34"/>
      <w:bookmarkEnd w:id="35"/>
    </w:p>
    <w:p w14:paraId="55921A6E" w14:textId="734AF97C" w:rsidR="0074163C" w:rsidRPr="0074163C" w:rsidRDefault="0074163C" w:rsidP="0074163C">
      <w:r>
        <w:t>A full nonclinical evaluation was conducted at the time this product received initial registration.</w:t>
      </w:r>
    </w:p>
    <w:p w14:paraId="49DA0A99" w14:textId="234C4085" w:rsidR="008E7846" w:rsidRDefault="008E7846" w:rsidP="001D16DD">
      <w:pPr>
        <w:pStyle w:val="Heading3"/>
      </w:pPr>
      <w:bookmarkStart w:id="36" w:name="_Toc247691530"/>
      <w:bookmarkStart w:id="37" w:name="_Toc314842513"/>
      <w:bookmarkStart w:id="38" w:name="_Toc110856883"/>
      <w:r>
        <w:t>Clinical</w:t>
      </w:r>
      <w:bookmarkEnd w:id="36"/>
      <w:bookmarkEnd w:id="37"/>
      <w:bookmarkEnd w:id="38"/>
    </w:p>
    <w:p w14:paraId="2849B0B2" w14:textId="77777777" w:rsidR="0074163C" w:rsidRDefault="0074163C" w:rsidP="001D16DD">
      <w:pPr>
        <w:pStyle w:val="Heading4"/>
      </w:pPr>
      <w:bookmarkStart w:id="39" w:name="_Toc98931928"/>
      <w:r>
        <w:t>Summary of clinical studies</w:t>
      </w:r>
      <w:bookmarkEnd w:id="39"/>
    </w:p>
    <w:p w14:paraId="2E0C6AD1" w14:textId="6A9C042A" w:rsidR="0074163C" w:rsidRDefault="0074163C" w:rsidP="001D16DD">
      <w:r>
        <w:t>Th</w:t>
      </w:r>
      <w:r w:rsidR="00D574CF">
        <w:t>e clinical dossier consisted of:</w:t>
      </w:r>
    </w:p>
    <w:p w14:paraId="145D7A6B" w14:textId="01CD3533" w:rsidR="001C2419" w:rsidRDefault="0046773A" w:rsidP="001D16DD">
      <w:pPr>
        <w:pStyle w:val="ListBullet"/>
      </w:pPr>
      <w:r>
        <w:lastRenderedPageBreak/>
        <w:t xml:space="preserve">one Phase III study: </w:t>
      </w:r>
      <w:r w:rsidR="001C2419">
        <w:t xml:space="preserve">Study GO29431 (also known as the </w:t>
      </w:r>
      <w:r w:rsidR="009258F9" w:rsidRPr="00BF2FDF">
        <w:t>IMPOWER</w:t>
      </w:r>
      <w:r w:rsidR="001C2419" w:rsidRPr="00BF2FDF">
        <w:t>110</w:t>
      </w:r>
      <w:r w:rsidR="001C2419">
        <w:t xml:space="preserve"> trial)</w:t>
      </w:r>
      <w:r w:rsidR="00182F4B">
        <w:t>,</w:t>
      </w:r>
      <w:r w:rsidR="001C2419">
        <w:rPr>
          <w:rStyle w:val="FootnoteReference"/>
        </w:rPr>
        <w:footnoteReference w:id="10"/>
      </w:r>
    </w:p>
    <w:p w14:paraId="31230E50" w14:textId="070B26F8" w:rsidR="00D574CF" w:rsidRDefault="00182F4B" w:rsidP="007D374A">
      <w:pPr>
        <w:pStyle w:val="ListBullet"/>
      </w:pPr>
      <w:r>
        <w:t>a</w:t>
      </w:r>
      <w:r w:rsidR="00D574CF">
        <w:t xml:space="preserve"> population pharmacokinetic (</w:t>
      </w:r>
      <w:proofErr w:type="spellStart"/>
      <w:r w:rsidR="00D574CF">
        <w:t>popPK</w:t>
      </w:r>
      <w:proofErr w:type="spellEnd"/>
      <w:r w:rsidR="00D574CF">
        <w:t xml:space="preserve">) </w:t>
      </w:r>
      <w:r w:rsidR="00D574CF" w:rsidRPr="00BF2FDF">
        <w:t xml:space="preserve">of the pivotal study data in comparison to the previously reviewed </w:t>
      </w:r>
      <w:proofErr w:type="spellStart"/>
      <w:r w:rsidR="00D574CF" w:rsidRPr="00BF2FDF">
        <w:t>popPK</w:t>
      </w:r>
      <w:proofErr w:type="spellEnd"/>
      <w:r w:rsidR="00D574CF" w:rsidRPr="00BF2FDF">
        <w:t xml:space="preserve"> model was also included as</w:t>
      </w:r>
      <w:r w:rsidR="00D574CF">
        <w:t xml:space="preserve"> well as proposed device documentation for the companion diagnostic: the Ventana PD-L1 SP142 assay</w:t>
      </w:r>
      <w:r>
        <w:t>.</w:t>
      </w:r>
    </w:p>
    <w:p w14:paraId="51E2BDDA" w14:textId="29944336" w:rsidR="00CD3160" w:rsidRDefault="00CD3160" w:rsidP="001D16DD">
      <w:pPr>
        <w:pStyle w:val="Heading4"/>
      </w:pPr>
      <w:r>
        <w:t xml:space="preserve">Terminology used in this </w:t>
      </w:r>
      <w:proofErr w:type="spellStart"/>
      <w:r>
        <w:t>AusPAR</w:t>
      </w:r>
      <w:proofErr w:type="spellEnd"/>
    </w:p>
    <w:p w14:paraId="354A4078" w14:textId="5C4DA31D" w:rsidR="00CD3160" w:rsidRDefault="00CD3160" w:rsidP="00CD3160">
      <w:r>
        <w:t xml:space="preserve">Across the documents submitted by the sponsor, the </w:t>
      </w:r>
      <w:proofErr w:type="spellStart"/>
      <w:r w:rsidRPr="00D47670">
        <w:t>the</w:t>
      </w:r>
      <w:proofErr w:type="spellEnd"/>
      <w:r w:rsidRPr="00D47670">
        <w:t xml:space="preserve"> </w:t>
      </w:r>
      <w:r>
        <w:t>suffix ‘-WT’</w:t>
      </w:r>
      <w:r w:rsidRPr="00D47670">
        <w:t xml:space="preserve"> in describing all the efficacy analysis populations</w:t>
      </w:r>
      <w:r>
        <w:t xml:space="preserve"> in the IMPOWER110 trial (Study GO29431) and elsewhere </w:t>
      </w:r>
      <w:r w:rsidRPr="00D47670">
        <w:t>(</w:t>
      </w:r>
      <w:r>
        <w:t>for example ‘</w:t>
      </w:r>
      <w:r w:rsidRPr="00D47670">
        <w:t>TC1/2/3</w:t>
      </w:r>
      <w:r>
        <w:t>’</w:t>
      </w:r>
      <w:r w:rsidRPr="00D47670">
        <w:t xml:space="preserve"> or </w:t>
      </w:r>
      <w:r>
        <w:t>‘IC1/2/3-WT’</w:t>
      </w:r>
      <w:r w:rsidRPr="00D47670">
        <w:t>), to notate that these populations exclude</w:t>
      </w:r>
      <w:r>
        <w:t>d</w:t>
      </w:r>
      <w:r w:rsidRPr="00D47670">
        <w:t xml:space="preserve"> </w:t>
      </w:r>
      <w:r w:rsidRPr="00B11F17">
        <w:rPr>
          <w:i/>
        </w:rPr>
        <w:t>EGFR</w:t>
      </w:r>
      <w:r w:rsidRPr="00D47670">
        <w:t>+/</w:t>
      </w:r>
      <w:r w:rsidRPr="00B11F17">
        <w:rPr>
          <w:i/>
        </w:rPr>
        <w:t>ALK</w:t>
      </w:r>
      <w:r w:rsidRPr="00D47670">
        <w:t>+ patients, but in</w:t>
      </w:r>
      <w:r>
        <w:t xml:space="preserve"> this </w:t>
      </w:r>
      <w:proofErr w:type="spellStart"/>
      <w:r>
        <w:t>AusPAR</w:t>
      </w:r>
      <w:proofErr w:type="spellEnd"/>
      <w:r>
        <w:t xml:space="preserve"> the addition of ‘-WT’</w:t>
      </w:r>
      <w:r w:rsidRPr="00D47670">
        <w:t xml:space="preserve"> has been dropped for simplicity. All populations described in this document </w:t>
      </w:r>
      <w:r>
        <w:t xml:space="preserve">henceforth </w:t>
      </w:r>
      <w:r w:rsidRPr="00D47670">
        <w:t xml:space="preserve">should be assumed to be </w:t>
      </w:r>
      <w:proofErr w:type="gramStart"/>
      <w:r>
        <w:t>wild-type</w:t>
      </w:r>
      <w:proofErr w:type="gramEnd"/>
      <w:r>
        <w:t xml:space="preserve"> for </w:t>
      </w:r>
      <w:r w:rsidRPr="00B11F17">
        <w:rPr>
          <w:i/>
        </w:rPr>
        <w:t>EGFR</w:t>
      </w:r>
      <w:r w:rsidRPr="00D47670">
        <w:t xml:space="preserve"> and </w:t>
      </w:r>
      <w:r w:rsidRPr="00B11F17">
        <w:rPr>
          <w:i/>
        </w:rPr>
        <w:t>ALK</w:t>
      </w:r>
      <w:r>
        <w:t>.</w:t>
      </w:r>
    </w:p>
    <w:p w14:paraId="297771C5" w14:textId="4773D84E" w:rsidR="00D00032" w:rsidRDefault="00D00032" w:rsidP="00CD3160">
      <w:r w:rsidRPr="00716528">
        <w:t xml:space="preserve">For simplicity of discussion throughout this </w:t>
      </w:r>
      <w:proofErr w:type="spellStart"/>
      <w:r>
        <w:t>AusPAR</w:t>
      </w:r>
      <w:proofErr w:type="spellEnd"/>
      <w:r w:rsidRPr="00716528">
        <w:t xml:space="preserve">, the informal terms of ‘high’, ‘intermediate’, ‘low’ or ‘negative’ to describe PD-L1 expression levels in a sample tested by SP142 (as defined </w:t>
      </w:r>
      <w:r>
        <w:t>in</w:t>
      </w:r>
      <w:r w:rsidRPr="00716528">
        <w:t xml:space="preserve"> </w:t>
      </w:r>
      <w:r w:rsidR="00B31ACA">
        <w:fldChar w:fldCharType="begin"/>
      </w:r>
      <w:r w:rsidR="00B31ACA">
        <w:instrText xml:space="preserve"> REF _Ref110852410 \h </w:instrText>
      </w:r>
      <w:r w:rsidR="00B31ACA">
        <w:fldChar w:fldCharType="separate"/>
      </w:r>
      <w:r w:rsidR="00C05B15" w:rsidRPr="00B31ACA">
        <w:t xml:space="preserve">Table </w:t>
      </w:r>
      <w:r w:rsidR="00C05B15">
        <w:rPr>
          <w:noProof/>
        </w:rPr>
        <w:t>3</w:t>
      </w:r>
      <w:r w:rsidR="00B31ACA">
        <w:fldChar w:fldCharType="end"/>
      </w:r>
      <w:r w:rsidRPr="00716528">
        <w:t xml:space="preserve"> and </w:t>
      </w:r>
      <w:r w:rsidR="00B31ACA">
        <w:fldChar w:fldCharType="begin"/>
      </w:r>
      <w:r w:rsidR="00B31ACA">
        <w:instrText xml:space="preserve"> REF _Ref110852422 \h </w:instrText>
      </w:r>
      <w:r w:rsidR="00B31ACA">
        <w:fldChar w:fldCharType="separate"/>
      </w:r>
      <w:r w:rsidR="00C05B15" w:rsidRPr="00716528">
        <w:t xml:space="preserve">Table </w:t>
      </w:r>
      <w:r w:rsidR="00C05B15">
        <w:rPr>
          <w:noProof/>
        </w:rPr>
        <w:t>4</w:t>
      </w:r>
      <w:r w:rsidR="00B31ACA">
        <w:fldChar w:fldCharType="end"/>
      </w:r>
      <w:r>
        <w:t xml:space="preserve"> below</w:t>
      </w:r>
      <w:r w:rsidRPr="00716528">
        <w:t>).</w:t>
      </w:r>
    </w:p>
    <w:p w14:paraId="0C22A450" w14:textId="6F983889" w:rsidR="00CD3160" w:rsidRPr="00B31ACA" w:rsidRDefault="00CD3160" w:rsidP="00B31ACA">
      <w:pPr>
        <w:pStyle w:val="TableTitle"/>
      </w:pPr>
      <w:bookmarkStart w:id="40" w:name="_Ref110852410"/>
      <w:r w:rsidRPr="00B31ACA">
        <w:t xml:space="preserve">Table </w:t>
      </w:r>
      <w:fldSimple w:instr=" SEQ Table \* ARABIC ">
        <w:r w:rsidR="00C05B15">
          <w:rPr>
            <w:noProof/>
          </w:rPr>
          <w:t>3</w:t>
        </w:r>
      </w:fldSimple>
      <w:bookmarkEnd w:id="40"/>
      <w:r w:rsidRPr="00B31ACA">
        <w:t>: IMPOWER110 trial (Study GO29431) Informal terms for levels of PD</w:t>
      </w:r>
      <w:r w:rsidRPr="00B31ACA">
        <w:noBreakHyphen/>
        <w:t xml:space="preserve">L1 expression that used in this </w:t>
      </w:r>
      <w:proofErr w:type="spellStart"/>
      <w:r w:rsidR="003B1C34" w:rsidRPr="00B31ACA">
        <w:t>AusPAR</w:t>
      </w:r>
      <w:proofErr w:type="spellEnd"/>
      <w:r w:rsidRPr="00B31ACA">
        <w:t xml:space="preserve"> for ease of reading</w:t>
      </w:r>
    </w:p>
    <w:tbl>
      <w:tblPr>
        <w:tblStyle w:val="TableTGAblue"/>
        <w:tblW w:w="8364" w:type="dxa"/>
        <w:tblInd w:w="108" w:type="dxa"/>
        <w:tblLook w:val="0420" w:firstRow="1" w:lastRow="0" w:firstColumn="0" w:lastColumn="0" w:noHBand="0" w:noVBand="1"/>
      </w:tblPr>
      <w:tblGrid>
        <w:gridCol w:w="1843"/>
        <w:gridCol w:w="2835"/>
        <w:gridCol w:w="3686"/>
      </w:tblGrid>
      <w:tr w:rsidR="00CD3160" w:rsidRPr="008E6CEF" w14:paraId="57F5A351" w14:textId="77777777" w:rsidTr="001260F6">
        <w:trPr>
          <w:cnfStyle w:val="100000000000" w:firstRow="1" w:lastRow="0" w:firstColumn="0" w:lastColumn="0" w:oddVBand="0" w:evenVBand="0" w:oddHBand="0" w:evenHBand="0" w:firstRowFirstColumn="0" w:firstRowLastColumn="0" w:lastRowFirstColumn="0" w:lastRowLastColumn="0"/>
          <w:trHeight w:val="20"/>
        </w:trPr>
        <w:tc>
          <w:tcPr>
            <w:tcW w:w="4678" w:type="dxa"/>
            <w:gridSpan w:val="2"/>
            <w:tcBorders>
              <w:right w:val="single" w:sz="8" w:space="0" w:color="000000" w:themeColor="text1"/>
            </w:tcBorders>
          </w:tcPr>
          <w:p w14:paraId="28063EFF" w14:textId="77777777" w:rsidR="00CD3160" w:rsidRPr="00716528" w:rsidRDefault="00CD3160" w:rsidP="009B4AAF">
            <w:pPr>
              <w:pStyle w:val="Tabletext"/>
            </w:pPr>
            <w:r w:rsidRPr="00716528">
              <w:t>Term</w:t>
            </w:r>
          </w:p>
        </w:tc>
        <w:tc>
          <w:tcPr>
            <w:tcW w:w="3686" w:type="dxa"/>
            <w:tcBorders>
              <w:left w:val="single" w:sz="8" w:space="0" w:color="000000" w:themeColor="text1"/>
            </w:tcBorders>
          </w:tcPr>
          <w:p w14:paraId="12AB7D61" w14:textId="43065430" w:rsidR="00CD3160" w:rsidRPr="00716528" w:rsidRDefault="00D00032" w:rsidP="009B4AAF">
            <w:pPr>
              <w:pStyle w:val="Tabletext"/>
            </w:pPr>
            <w:r>
              <w:t>Intended</w:t>
            </w:r>
            <w:r w:rsidR="00CD3160" w:rsidRPr="00716528">
              <w:t xml:space="preserve"> meaning per SP142 test </w:t>
            </w:r>
            <w:r>
              <w:t xml:space="preserve">in this </w:t>
            </w:r>
            <w:proofErr w:type="spellStart"/>
            <w:r>
              <w:t>AusPAR</w:t>
            </w:r>
            <w:proofErr w:type="spellEnd"/>
          </w:p>
        </w:tc>
      </w:tr>
      <w:tr w:rsidR="00CD3160" w:rsidRPr="008E6CEF" w14:paraId="2BD24E4B" w14:textId="77777777" w:rsidTr="001260F6">
        <w:trPr>
          <w:trHeight w:val="104"/>
        </w:trPr>
        <w:tc>
          <w:tcPr>
            <w:tcW w:w="1843" w:type="dxa"/>
            <w:vMerge w:val="restart"/>
          </w:tcPr>
          <w:p w14:paraId="0587334B" w14:textId="77777777" w:rsidR="00CD3160" w:rsidRPr="00716528" w:rsidRDefault="00CD3160" w:rsidP="009B4AAF">
            <w:pPr>
              <w:pStyle w:val="Tabletext"/>
            </w:pPr>
            <w:r w:rsidRPr="00716528">
              <w:t>PD-L1 positive</w:t>
            </w:r>
          </w:p>
        </w:tc>
        <w:tc>
          <w:tcPr>
            <w:tcW w:w="2835" w:type="dxa"/>
          </w:tcPr>
          <w:p w14:paraId="2EC7880F" w14:textId="77777777" w:rsidR="00CD3160" w:rsidRPr="00716528" w:rsidRDefault="00CD3160" w:rsidP="009B4AAF">
            <w:pPr>
              <w:pStyle w:val="Tabletext"/>
            </w:pPr>
            <w:r w:rsidRPr="00716528">
              <w:t>PD-L1 high</w:t>
            </w:r>
          </w:p>
        </w:tc>
        <w:tc>
          <w:tcPr>
            <w:tcW w:w="3686" w:type="dxa"/>
          </w:tcPr>
          <w:p w14:paraId="37BB69B0" w14:textId="77777777" w:rsidR="00CD3160" w:rsidRPr="00716528" w:rsidRDefault="00CD3160" w:rsidP="009B4AAF">
            <w:pPr>
              <w:pStyle w:val="Tabletext"/>
            </w:pPr>
            <w:r w:rsidRPr="00716528">
              <w:t>TC3/IC3</w:t>
            </w:r>
          </w:p>
        </w:tc>
      </w:tr>
      <w:tr w:rsidR="00CD3160" w:rsidRPr="008E6CEF" w14:paraId="3D5CAAFC" w14:textId="77777777" w:rsidTr="001260F6">
        <w:trPr>
          <w:trHeight w:val="20"/>
        </w:trPr>
        <w:tc>
          <w:tcPr>
            <w:tcW w:w="1843" w:type="dxa"/>
            <w:vMerge/>
          </w:tcPr>
          <w:p w14:paraId="3E12666B" w14:textId="77777777" w:rsidR="00CD3160" w:rsidRPr="00716528" w:rsidRDefault="00CD3160" w:rsidP="009B4AAF">
            <w:pPr>
              <w:pStyle w:val="Tabletext"/>
            </w:pPr>
          </w:p>
        </w:tc>
        <w:tc>
          <w:tcPr>
            <w:tcW w:w="2835" w:type="dxa"/>
          </w:tcPr>
          <w:p w14:paraId="62EFE22C" w14:textId="77777777" w:rsidR="00CD3160" w:rsidRPr="00716528" w:rsidRDefault="00CD3160" w:rsidP="009B4AAF">
            <w:pPr>
              <w:pStyle w:val="Tabletext"/>
            </w:pPr>
            <w:r w:rsidRPr="00716528">
              <w:t>PD-L1 intermediate</w:t>
            </w:r>
          </w:p>
        </w:tc>
        <w:tc>
          <w:tcPr>
            <w:tcW w:w="3686" w:type="dxa"/>
          </w:tcPr>
          <w:p w14:paraId="27C4A0E1" w14:textId="77777777" w:rsidR="00CD3160" w:rsidRPr="00716528" w:rsidRDefault="00CD3160" w:rsidP="009B4AAF">
            <w:pPr>
              <w:pStyle w:val="Tabletext"/>
            </w:pPr>
            <w:r w:rsidRPr="00716528">
              <w:t>TC2/IC2 (and not TC3 or IC3)</w:t>
            </w:r>
          </w:p>
        </w:tc>
      </w:tr>
      <w:tr w:rsidR="00CD3160" w:rsidRPr="008E6CEF" w14:paraId="19A9CC0F" w14:textId="77777777" w:rsidTr="001260F6">
        <w:trPr>
          <w:trHeight w:val="20"/>
        </w:trPr>
        <w:tc>
          <w:tcPr>
            <w:tcW w:w="1843" w:type="dxa"/>
            <w:vMerge/>
          </w:tcPr>
          <w:p w14:paraId="271857D2" w14:textId="77777777" w:rsidR="00CD3160" w:rsidRPr="00716528" w:rsidRDefault="00CD3160" w:rsidP="009B4AAF">
            <w:pPr>
              <w:pStyle w:val="Tabletext"/>
            </w:pPr>
          </w:p>
        </w:tc>
        <w:tc>
          <w:tcPr>
            <w:tcW w:w="2835" w:type="dxa"/>
          </w:tcPr>
          <w:p w14:paraId="6BEDD7B2" w14:textId="77777777" w:rsidR="00CD3160" w:rsidRPr="00716528" w:rsidRDefault="00CD3160" w:rsidP="009B4AAF">
            <w:pPr>
              <w:pStyle w:val="Tabletext"/>
            </w:pPr>
            <w:r w:rsidRPr="00716528">
              <w:t>PD-L1 low</w:t>
            </w:r>
          </w:p>
        </w:tc>
        <w:tc>
          <w:tcPr>
            <w:tcW w:w="3686" w:type="dxa"/>
          </w:tcPr>
          <w:p w14:paraId="1E78C1A6" w14:textId="77777777" w:rsidR="00CD3160" w:rsidRPr="00716528" w:rsidRDefault="00CD3160" w:rsidP="009B4AAF">
            <w:pPr>
              <w:pStyle w:val="Tabletext"/>
            </w:pPr>
            <w:r w:rsidRPr="00716528">
              <w:t>TC1/IC1 (and not TC2/3 or IC2/3)</w:t>
            </w:r>
          </w:p>
        </w:tc>
      </w:tr>
      <w:tr w:rsidR="00CD3160" w:rsidRPr="008E6CEF" w14:paraId="2DF3F951" w14:textId="77777777" w:rsidTr="001260F6">
        <w:trPr>
          <w:trHeight w:val="20"/>
        </w:trPr>
        <w:tc>
          <w:tcPr>
            <w:tcW w:w="4678" w:type="dxa"/>
            <w:gridSpan w:val="2"/>
          </w:tcPr>
          <w:p w14:paraId="22060B41" w14:textId="77777777" w:rsidR="00CD3160" w:rsidRPr="00716528" w:rsidRDefault="00CD3160" w:rsidP="009B4AAF">
            <w:pPr>
              <w:pStyle w:val="Tabletext"/>
            </w:pPr>
            <w:r w:rsidRPr="00716528">
              <w:t>PD-L1 negative</w:t>
            </w:r>
          </w:p>
        </w:tc>
        <w:tc>
          <w:tcPr>
            <w:tcW w:w="3686" w:type="dxa"/>
          </w:tcPr>
          <w:p w14:paraId="5CEA921B" w14:textId="77777777" w:rsidR="00CD3160" w:rsidRPr="00716528" w:rsidRDefault="00CD3160" w:rsidP="009B4AAF">
            <w:pPr>
              <w:pStyle w:val="Tabletext"/>
            </w:pPr>
            <w:r w:rsidRPr="00716528">
              <w:t>TC0 and IC0</w:t>
            </w:r>
          </w:p>
        </w:tc>
      </w:tr>
    </w:tbl>
    <w:p w14:paraId="03B0544C" w14:textId="6BEF2039" w:rsidR="00CD3160" w:rsidRPr="00B31ACA" w:rsidRDefault="00C22682" w:rsidP="00B31ACA">
      <w:pPr>
        <w:pStyle w:val="TableDescription"/>
      </w:pPr>
      <w:r w:rsidRPr="00B31ACA">
        <w:t xml:space="preserve">Abbreviations: </w:t>
      </w:r>
      <w:proofErr w:type="spellStart"/>
      <w:r w:rsidRPr="00B31ACA">
        <w:t>AusPAR</w:t>
      </w:r>
      <w:proofErr w:type="spellEnd"/>
      <w:r w:rsidRPr="00B31ACA">
        <w:t xml:space="preserve"> = Australian Public Assessment Report; </w:t>
      </w:r>
      <w:r w:rsidR="00CD3160" w:rsidRPr="00B31ACA">
        <w:t>IC = immune cell; PD-L1 = programmed death-ligand 1; TC = tumour cell.</w:t>
      </w:r>
    </w:p>
    <w:p w14:paraId="414C16D8" w14:textId="41A07BCD" w:rsidR="00CD3160" w:rsidRPr="00716528" w:rsidRDefault="00CD3160" w:rsidP="001D16DD">
      <w:pPr>
        <w:pStyle w:val="TableTitle"/>
      </w:pPr>
      <w:bookmarkStart w:id="41" w:name="_Ref110852422"/>
      <w:r w:rsidRPr="00716528">
        <w:lastRenderedPageBreak/>
        <w:t xml:space="preserve">Table </w:t>
      </w:r>
      <w:fldSimple w:instr=" SEQ Table \* ARABIC ">
        <w:r w:rsidR="00C05B15">
          <w:rPr>
            <w:noProof/>
          </w:rPr>
          <w:t>4</w:t>
        </w:r>
      </w:fldSimple>
      <w:bookmarkEnd w:id="41"/>
      <w:r w:rsidRPr="00716528">
        <w:t xml:space="preserve">: IMPOWER110 trial (Study GO29431) Diagrammatic representation of the scope of informal terms for levels of </w:t>
      </w:r>
      <w:r w:rsidR="005E2B92">
        <w:t>PD-L</w:t>
      </w:r>
      <w:r w:rsidRPr="00716528">
        <w:t xml:space="preserve">1 </w:t>
      </w:r>
      <w:r w:rsidR="003B1C34">
        <w:t xml:space="preserve">expression </w:t>
      </w:r>
      <w:r w:rsidRPr="00716528">
        <w:t xml:space="preserve">used in this </w:t>
      </w:r>
      <w:proofErr w:type="spellStart"/>
      <w:r w:rsidR="003B1C34">
        <w:t>AusPAR</w:t>
      </w:r>
      <w:proofErr w:type="spellEnd"/>
      <w:r w:rsidRPr="00716528">
        <w:t xml:space="preserve"> for ease of reading</w:t>
      </w:r>
    </w:p>
    <w:p w14:paraId="1F154692" w14:textId="77777777" w:rsidR="00CD3160" w:rsidRDefault="00CD3160" w:rsidP="00B31ACA">
      <w:r>
        <w:rPr>
          <w:noProof/>
          <w:lang w:val="en-GB" w:eastAsia="en-GB"/>
        </w:rPr>
        <w:drawing>
          <wp:inline distT="0" distB="0" distL="0" distR="0" wp14:anchorId="0135FD58" wp14:editId="4885DDF9">
            <wp:extent cx="5273457" cy="2354001"/>
            <wp:effectExtent l="0" t="0" r="3810" b="8255"/>
            <wp:docPr id="5" name="Picture 5" descr="Table 4: IMPOWER110 trial (Study GO29431) Diagrammatic representation of the scope of informal terms for levels of PD-L1 expression used in this AusPAR for ease of r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able 4: IMPOWER110 trial (Study GO29431) Diagrammatic representation of the scope of informal terms for levels of PD-L1 expression used in this AusPAR for ease of readi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85433" cy="2403986"/>
                    </a:xfrm>
                    <a:prstGeom prst="rect">
                      <a:avLst/>
                    </a:prstGeom>
                    <a:noFill/>
                  </pic:spPr>
                </pic:pic>
              </a:graphicData>
            </a:graphic>
          </wp:inline>
        </w:drawing>
      </w:r>
    </w:p>
    <w:p w14:paraId="0E410A50" w14:textId="281F47F5" w:rsidR="00CD3160" w:rsidRPr="00B31ACA" w:rsidRDefault="00C22682" w:rsidP="00B31ACA">
      <w:pPr>
        <w:pStyle w:val="TableDescription"/>
      </w:pPr>
      <w:r w:rsidRPr="00B31ACA">
        <w:t xml:space="preserve">Abbreviations: </w:t>
      </w:r>
      <w:proofErr w:type="spellStart"/>
      <w:r w:rsidRPr="00B31ACA">
        <w:t>AusPAR</w:t>
      </w:r>
      <w:proofErr w:type="spellEnd"/>
      <w:r w:rsidRPr="00B31ACA">
        <w:t xml:space="preserve"> = Australian Public Assessment Report; </w:t>
      </w:r>
      <w:r w:rsidR="00CD3160" w:rsidRPr="00B31ACA">
        <w:t xml:space="preserve">IC = immune cell; </w:t>
      </w:r>
      <w:r w:rsidRPr="00B31ACA">
        <w:t xml:space="preserve">PD-L1 = programmed death-ligand 1; </w:t>
      </w:r>
      <w:r w:rsidR="00CD3160" w:rsidRPr="00B31ACA">
        <w:t>TC = tumour cell.</w:t>
      </w:r>
    </w:p>
    <w:p w14:paraId="7035462C" w14:textId="52A16A01" w:rsidR="00CD3160" w:rsidRPr="00B31ACA" w:rsidRDefault="00CD3160" w:rsidP="00B31ACA">
      <w:pPr>
        <w:pStyle w:val="TableDescription"/>
      </w:pPr>
      <w:r w:rsidRPr="00B31ACA">
        <w:t>TC = discernible PD-L1 staining of any intensity in x% of tumour cells</w:t>
      </w:r>
      <w:r w:rsidR="00261C1E">
        <w:t>.</w:t>
      </w:r>
    </w:p>
    <w:p w14:paraId="46D1FF25" w14:textId="57BBED6F" w:rsidR="00CD3160" w:rsidRPr="00B31ACA" w:rsidRDefault="00CD3160" w:rsidP="001D16DD">
      <w:pPr>
        <w:pStyle w:val="TableDescription"/>
      </w:pPr>
      <w:r w:rsidRPr="00B31ACA">
        <w:t>IC = discernible PD-L1 staining of any intensity in immune infiltrating tumour cells covering x% of ‘tumour area occupied by tumour cells, associated intra-</w:t>
      </w:r>
      <w:proofErr w:type="spellStart"/>
      <w:r w:rsidRPr="00B31ACA">
        <w:t>tumoural</w:t>
      </w:r>
      <w:proofErr w:type="spellEnd"/>
      <w:r w:rsidRPr="00B31ACA">
        <w:t>, and contiguous peri-</w:t>
      </w:r>
      <w:proofErr w:type="spellStart"/>
      <w:r w:rsidRPr="00B31ACA">
        <w:t>tumoural</w:t>
      </w:r>
      <w:proofErr w:type="spellEnd"/>
      <w:r w:rsidRPr="00B31ACA">
        <w:t xml:space="preserve"> desmoplastic stroma’.</w:t>
      </w:r>
    </w:p>
    <w:p w14:paraId="3A2A8EF4" w14:textId="1D69E728" w:rsidR="00B64526" w:rsidRDefault="009258F9" w:rsidP="00D574CF">
      <w:pPr>
        <w:pStyle w:val="Heading4"/>
      </w:pPr>
      <w:r w:rsidRPr="00B64526">
        <w:t>IMPOWER</w:t>
      </w:r>
      <w:r w:rsidR="00B64526" w:rsidRPr="00B64526">
        <w:t>110</w:t>
      </w:r>
      <w:r w:rsidR="00D574CF">
        <w:t xml:space="preserve"> trial (S</w:t>
      </w:r>
      <w:r w:rsidR="00B64526" w:rsidRPr="00B64526">
        <w:t>tudy GO29431</w:t>
      </w:r>
      <w:r w:rsidR="001917EB">
        <w:t>)</w:t>
      </w:r>
    </w:p>
    <w:p w14:paraId="5BADE83C" w14:textId="3B28D8E5" w:rsidR="001C2419" w:rsidRPr="001C2419" w:rsidRDefault="001C2419" w:rsidP="001C2419">
      <w:r>
        <w:fldChar w:fldCharType="begin"/>
      </w:r>
      <w:r>
        <w:instrText xml:space="preserve"> REF _Ref107293779 \h </w:instrText>
      </w:r>
      <w:r>
        <w:fldChar w:fldCharType="separate"/>
      </w:r>
      <w:r w:rsidR="00C05B15" w:rsidRPr="00B31ACA">
        <w:t xml:space="preserve">Figure </w:t>
      </w:r>
      <w:r w:rsidR="00C05B15">
        <w:rPr>
          <w:noProof/>
        </w:rPr>
        <w:t>1</w:t>
      </w:r>
      <w:r w:rsidR="00C05B15" w:rsidRPr="00B31ACA">
        <w:t>: IMPOWER110 trial (Study GO29431) Overview of study design</w:t>
      </w:r>
      <w:r>
        <w:fldChar w:fldCharType="end"/>
      </w:r>
      <w:r>
        <w:t>.</w:t>
      </w:r>
    </w:p>
    <w:p w14:paraId="3DBD594B" w14:textId="226168D2" w:rsidR="00D574CF" w:rsidRPr="00B31ACA" w:rsidRDefault="00D574CF" w:rsidP="00B31ACA">
      <w:pPr>
        <w:pStyle w:val="FigureTitle"/>
      </w:pPr>
      <w:bookmarkStart w:id="42" w:name="_Ref107293779"/>
      <w:r w:rsidRPr="00B31ACA">
        <w:t xml:space="preserve">Figure </w:t>
      </w:r>
      <w:fldSimple w:instr=" SEQ Figure \* ARABIC ">
        <w:r w:rsidR="00C05B15">
          <w:rPr>
            <w:noProof/>
          </w:rPr>
          <w:t>1</w:t>
        </w:r>
      </w:fldSimple>
      <w:r w:rsidRPr="00B31ACA">
        <w:t xml:space="preserve">: </w:t>
      </w:r>
      <w:r w:rsidR="009258F9" w:rsidRPr="00B31ACA">
        <w:t>IMPOWER</w:t>
      </w:r>
      <w:r w:rsidRPr="00B31ACA">
        <w:t>110 trial (Study GO29431) Overview of study design</w:t>
      </w:r>
      <w:bookmarkEnd w:id="42"/>
    </w:p>
    <w:p w14:paraId="6173D659" w14:textId="380CBC7F" w:rsidR="00D574CF" w:rsidRDefault="00D574CF" w:rsidP="00B31ACA">
      <w:pPr>
        <w:rPr>
          <w:vertAlign w:val="superscript"/>
        </w:rPr>
      </w:pPr>
      <w:r>
        <w:rPr>
          <w:noProof/>
          <w:lang w:val="en-GB" w:eastAsia="en-GB"/>
        </w:rPr>
        <w:drawing>
          <wp:inline distT="0" distB="0" distL="0" distR="0" wp14:anchorId="2BA6DF3C" wp14:editId="6119E058">
            <wp:extent cx="5400040" cy="2242067"/>
            <wp:effectExtent l="0" t="0" r="0" b="6350"/>
            <wp:docPr id="13" name="Picture 13" descr="Figure 1: IMPOWER110 trial (Study GO29431) Overview of study design&#10;&#10;Eligibility: Eligible patients were 18 years of age or older; had Stage IV non-squamous or squamous non small cell lung cancer (NSCLC), measurable by Response Evaluation Criteria in Solid Tumours (RECIST), version 1.1; had a baseline ECOG PS score of 0 or 1 (on a 5-point scale in which higher scores indicate greater disability); and had not previously received chemotherapy. PD-L1 expression on at least 1% of tumour cells or tumour-infiltrating immune cells covering at least 1% of the tumour area as determined by the SP142 assay was required.&#10;Immunohistochemical analyses were conducted by a central laboratory on archival tumour tissue or tissue obtained through biopsy at the time of screening. Initially, patients with a known sensitising EGFR mutation or ALK translocation were eligible provided they had received previous targeted therapy.&#10;The protocol was subsequently amended to exclude these patients from the analysis (18 patients) because emerging data suggested that they may not benefit from immune-checkpoint inhibitor monotherapy. All the patients were evaluated for central nervous system (CNS) metastasis at the time of screening with the use of computed tomography, magnetic resonance imaging, or both; patients with active or untreated CNS metastases were ineligible for enrolment in the trial.&#10;Patients were randomly assigned in a 1:1 ratio to receive atezolizumab (1200 mg intravenously) or platinum-based chemotherapy (4 or 6 cycles) once every 3 weeks. In the chemotherapy group, patients with non-squamous NSCLC received either cisplatin (75 mg per square meter of body-surface area) or carboplatin (area under the concentration−time curve (AUC, 6)) in addition to pemetrexed (500 mg/m2) intravenously; patients with squamous NSCLC received a regimen of cisplatin (75 mg/m2) plus gemcitabine (1250 mg/m2) or a regimen of carboplatin (AUC, 5) plus gemcitabine (1000 mg/m2) intravenously. Randomisation was stratified according to sex (male versus female), ECOG performance-status score (0 versus 1), histologic type (non-squamous versus squamous), and PD-L1 status (≥ 1% PD L1 expression on tumour cells and any level of PD-L1 expression on tumour-infiltrating immune cells versus &lt; 1% PD-L1 expression on tumour cells and ≥ 1% PD-L1 expression on tumour-infiltrating immune cells). Continuation of atezolizumab after disease progression was allowed in patients who had continued clinical benefit. No crossover to the atezolizumab group was permit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1: IMPOWER110 trial (Study GO29431) Overview of study design&#10;&#10;Eligibility: Eligible patients were 18 years of age or older; had Stage IV non-squamous or squamous non small cell lung cancer (NSCLC), measurable by Response Evaluation Criteria in Solid Tumours (RECIST), version 1.1; had a baseline ECOG PS score of 0 or 1 (on a 5-point scale in which higher scores indicate greater disability); and had not previously received chemotherapy. PD-L1 expression on at least 1% of tumour cells or tumour-infiltrating immune cells covering at least 1% of the tumour area as determined by the SP142 assay was required.&#10;Immunohistochemical analyses were conducted by a central laboratory on archival tumour tissue or tissue obtained through biopsy at the time of screening. Initially, patients with a known sensitising EGFR mutation or ALK translocation were eligible provided they had received previous targeted therapy.&#10;The protocol was subsequently amended to exclude these patients from the analysis (18 patients) because emerging data suggested that they may not benefit from immune-checkpoint inhibitor monotherapy. All the patients were evaluated for central nervous system (CNS) metastasis at the time of screening with the use of computed tomography, magnetic resonance imaging, or both; patients with active or untreated CNS metastases were ineligible for enrolment in the trial.&#10;Patients were randomly assigned in a 1:1 ratio to receive atezolizumab (1200 mg intravenously) or platinum-based chemotherapy (4 or 6 cycles) once every 3 weeks. In the chemotherapy group, patients with non-squamous NSCLC received either cisplatin (75 mg per square meter of body-surface area) or carboplatin (area under the concentration−time curve (AUC, 6)) in addition to pemetrexed (500 mg/m2) intravenously; patients with squamous NSCLC received a regimen of cisplatin (75 mg/m2) plus gemcitabine (1250 mg/m2) or a regimen of carboplatin (AUC, 5) plus gemcitabine (1000 mg/m2) intravenously. Randomisation was stratified according to sex (male versus female), ECOG performance-status score (0 versus 1), histologic type (non-squamous versus squamous), and PD-L1 status (≥ 1% PD L1 expression on tumour cells and any level of PD-L1 expression on tumour-infiltrating immune cells versus &lt; 1% PD-L1 expression on tumour cells and ≥ 1% PD-L1 expression on tumour-infiltrating immune cells). Continuation of atezolizumab after disease progression was allowed in patients who had continued clinical benefit. No crossover to the atezolizumab group was permit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00040" cy="2242067"/>
                    </a:xfrm>
                    <a:prstGeom prst="rect">
                      <a:avLst/>
                    </a:prstGeom>
                    <a:noFill/>
                  </pic:spPr>
                </pic:pic>
              </a:graphicData>
            </a:graphic>
          </wp:inline>
        </w:drawing>
      </w:r>
    </w:p>
    <w:p w14:paraId="0D7FF135" w14:textId="278159E4" w:rsidR="00182F4B" w:rsidRPr="00B50F71" w:rsidRDefault="001260F6" w:rsidP="00B31ACA">
      <w:pPr>
        <w:pStyle w:val="FigureDescription"/>
      </w:pPr>
      <w:r>
        <w:t xml:space="preserve">Abbreviations: </w:t>
      </w:r>
      <w:r w:rsidR="00182F4B" w:rsidRPr="00B50F71">
        <w:t xml:space="preserve">ALK = </w:t>
      </w:r>
      <w:r w:rsidR="00AA206B" w:rsidRPr="00B50F71">
        <w:t>anaplastic lymphoma kinase</w:t>
      </w:r>
      <w:r w:rsidR="00CD3160">
        <w:t xml:space="preserve"> (gene)</w:t>
      </w:r>
      <w:r w:rsidR="00BA6B66" w:rsidRPr="00B50F71">
        <w:t xml:space="preserve">; </w:t>
      </w:r>
      <w:r w:rsidR="00525A82" w:rsidRPr="00B50F71">
        <w:t xml:space="preserve">ECOG = Eastern Cooperative Oncology Group; </w:t>
      </w:r>
      <w:r w:rsidR="00BA6B66" w:rsidRPr="00B50F71">
        <w:t>EGFR = epidermal growth factor receptor</w:t>
      </w:r>
      <w:r w:rsidR="00F173E5">
        <w:t xml:space="preserve"> (gene)</w:t>
      </w:r>
      <w:r w:rsidR="00BA6B66" w:rsidRPr="00B50F71">
        <w:t xml:space="preserve">; </w:t>
      </w:r>
      <w:r w:rsidR="00AA206B" w:rsidRPr="00B50F71">
        <w:t xml:space="preserve">PS </w:t>
      </w:r>
      <w:r w:rsidR="008159EE" w:rsidRPr="00B50F71">
        <w:t xml:space="preserve">= </w:t>
      </w:r>
      <w:r w:rsidR="0035143E" w:rsidRPr="00BA6B66">
        <w:t>Performance Status</w:t>
      </w:r>
      <w:r w:rsidR="00BA6B66" w:rsidRPr="00B50F71">
        <w:t xml:space="preserve">; </w:t>
      </w:r>
      <w:r w:rsidR="00182F4B" w:rsidRPr="00B50F71">
        <w:t xml:space="preserve">n = </w:t>
      </w:r>
      <w:r w:rsidR="008159EE" w:rsidRPr="00BA6B66">
        <w:t>numbers of subjects in group</w:t>
      </w:r>
      <w:r w:rsidR="00BA6B66" w:rsidRPr="00BA6B66">
        <w:t xml:space="preserve">; </w:t>
      </w:r>
      <w:r w:rsidR="00525A82" w:rsidRPr="00B50F71">
        <w:t>NSCLC = non-small cell lung cancer;</w:t>
      </w:r>
      <w:r w:rsidR="00182F4B" w:rsidRPr="00B50F71">
        <w:t xml:space="preserve"> PD-L1 = </w:t>
      </w:r>
      <w:r w:rsidR="008159EE" w:rsidRPr="00B50F71">
        <w:t>programmed death-ligand 1</w:t>
      </w:r>
      <w:r w:rsidR="00BA6B66" w:rsidRPr="00B50F71">
        <w:t xml:space="preserve">; </w:t>
      </w:r>
      <w:r w:rsidR="00182F4B" w:rsidRPr="00B50F71">
        <w:t xml:space="preserve">TC = </w:t>
      </w:r>
      <w:r w:rsidR="008159EE" w:rsidRPr="00B50F71">
        <w:t>tumour cell</w:t>
      </w:r>
      <w:r w:rsidR="00BA6B66" w:rsidRPr="00B50F71">
        <w:t>.</w:t>
      </w:r>
    </w:p>
    <w:p w14:paraId="79A50D52" w14:textId="58C1FF9A" w:rsidR="00BE3361" w:rsidRPr="00B50F71" w:rsidRDefault="00BE3361" w:rsidP="00B31ACA">
      <w:pPr>
        <w:pStyle w:val="FigureDescription"/>
      </w:pPr>
      <w:r w:rsidRPr="00B50F71">
        <w:t>Eligibility: Eligible patients were 18 years of age or older; had Stage IV non</w:t>
      </w:r>
      <w:r w:rsidR="00182F4B" w:rsidRPr="00B50F71">
        <w:t>-</w:t>
      </w:r>
      <w:r w:rsidRPr="00B50F71">
        <w:t>squamous or squamous non</w:t>
      </w:r>
      <w:r w:rsidR="00182F4B" w:rsidRPr="00B50F71">
        <w:noBreakHyphen/>
      </w:r>
      <w:r w:rsidRPr="00B50F71">
        <w:t>small cell lung cancer (NSCLC), measurable by Response Evaluation Criteria in Solid Tumours (RECIST),</w:t>
      </w:r>
      <w:bookmarkStart w:id="43" w:name="_Ref108512771"/>
      <w:r w:rsidR="00BB1C3D">
        <w:rPr>
          <w:rStyle w:val="FootnoteReference"/>
        </w:rPr>
        <w:footnoteReference w:id="11"/>
      </w:r>
      <w:bookmarkEnd w:id="43"/>
      <w:r w:rsidRPr="00B50F71">
        <w:t xml:space="preserve"> version 1.1; had a baseline ECOG</w:t>
      </w:r>
      <w:r w:rsidR="00BA6B66">
        <w:t xml:space="preserve"> PS</w:t>
      </w:r>
      <w:r w:rsidRPr="00B50F71">
        <w:t xml:space="preserve"> score of 0 or 1 (on a 5-point scale in which higher scores </w:t>
      </w:r>
      <w:r w:rsidRPr="00B50F71">
        <w:lastRenderedPageBreak/>
        <w:t>indicate greater disability); and had not previously received chemotherapy. PD-L1 expression on at least 1% of tumour cells or tumour-infiltrating immune cells covering at least 1% of the tumour area as determined by the SP142 assay was required.</w:t>
      </w:r>
    </w:p>
    <w:p w14:paraId="42511114" w14:textId="316AFB89" w:rsidR="00BE3361" w:rsidRPr="00B50F71" w:rsidRDefault="00BE3361" w:rsidP="00B31ACA">
      <w:pPr>
        <w:pStyle w:val="FigureDescription"/>
      </w:pPr>
      <w:r w:rsidRPr="00B50F71">
        <w:t xml:space="preserve">Immunohistochemical analyses were conducted by a central laboratory on archival tumour tissue or tissue obtained through biopsy at the time of screening. Initially, patients with a known sensitising </w:t>
      </w:r>
      <w:r w:rsidRPr="00B178E4">
        <w:rPr>
          <w:i/>
        </w:rPr>
        <w:t>EGFR</w:t>
      </w:r>
      <w:r w:rsidRPr="00B50F71">
        <w:t xml:space="preserve"> mutation or </w:t>
      </w:r>
      <w:r w:rsidRPr="00B178E4">
        <w:rPr>
          <w:i/>
        </w:rPr>
        <w:t>ALK</w:t>
      </w:r>
      <w:r w:rsidRPr="00B50F71">
        <w:t xml:space="preserve"> translocation were eligible provided they had received previous targeted therapy.</w:t>
      </w:r>
    </w:p>
    <w:p w14:paraId="5705D1F2" w14:textId="10EBD539" w:rsidR="00BE3361" w:rsidRPr="00B50F71" w:rsidRDefault="00BE3361" w:rsidP="00B31ACA">
      <w:pPr>
        <w:pStyle w:val="FigureDescription"/>
      </w:pPr>
      <w:r w:rsidRPr="00B50F71">
        <w:t xml:space="preserve">The protocol was subsequently amended to exclude these patients from the analysis (18 patients) because emerging data suggested that they may not benefit from immune-checkpoint inhibitor monotherapy. All the patients were evaluated for central nervous system (CNS) metastasis at the time of screening with the use of computed tomography, magnetic resonance imaging, or both; patients with active </w:t>
      </w:r>
      <w:proofErr w:type="gramStart"/>
      <w:r w:rsidRPr="00B50F71">
        <w:t>or</w:t>
      </w:r>
      <w:proofErr w:type="gramEnd"/>
      <w:r w:rsidRPr="00B50F71">
        <w:t xml:space="preserve"> untreated CNS metastases were ineligible for </w:t>
      </w:r>
      <w:r w:rsidR="00525A82" w:rsidRPr="00B50F71">
        <w:t>enrolment</w:t>
      </w:r>
      <w:r w:rsidRPr="00B50F71">
        <w:t xml:space="preserve"> in the trial.</w:t>
      </w:r>
    </w:p>
    <w:p w14:paraId="712FD11A" w14:textId="5048693B" w:rsidR="00BE3361" w:rsidRPr="00BA6B66" w:rsidRDefault="00BE3361" w:rsidP="00B31ACA">
      <w:pPr>
        <w:pStyle w:val="FigureDescription"/>
      </w:pPr>
      <w:r w:rsidRPr="00B50F71">
        <w:t>Patients were randomly assigned in a 1:1 ratio to receive atezolizumab (1200 mg intravenously) or platinum-based chemotherapy (4 or 6 cycles) once every 3 weeks. In the chemotherapy group, patients with non</w:t>
      </w:r>
      <w:r w:rsidR="00182F4B" w:rsidRPr="00B50F71">
        <w:t>-</w:t>
      </w:r>
      <w:r w:rsidRPr="00B50F71">
        <w:t>squamous NSCLC received either cisplatin (75 mg per square meter of body-surface area) or carboplatin (area under the concentration−time curve (AUC, 6)) in addition to pemetrexed (500 mg/m</w:t>
      </w:r>
      <w:r w:rsidRPr="00B50F71">
        <w:rPr>
          <w:vertAlign w:val="superscript"/>
        </w:rPr>
        <w:t>2</w:t>
      </w:r>
      <w:r w:rsidRPr="00B50F71">
        <w:t>) intravenously; patients with squamous NSCLC received a regimen of cisplatin (75 mg/m</w:t>
      </w:r>
      <w:r w:rsidRPr="00B31ACA">
        <w:rPr>
          <w:vertAlign w:val="superscript"/>
        </w:rPr>
        <w:t>2</w:t>
      </w:r>
      <w:r w:rsidRPr="00B50F71">
        <w:t>) plus gemcitabine (1250 mg/m</w:t>
      </w:r>
      <w:r w:rsidRPr="00B50F71">
        <w:rPr>
          <w:vertAlign w:val="superscript"/>
        </w:rPr>
        <w:t>2</w:t>
      </w:r>
      <w:r w:rsidRPr="00B50F71">
        <w:t>) or a regimen of carboplatin (AUC, 5) plus gemcitabine (1000 mg/m</w:t>
      </w:r>
      <w:r w:rsidRPr="00B50F71">
        <w:rPr>
          <w:vertAlign w:val="superscript"/>
        </w:rPr>
        <w:t>2</w:t>
      </w:r>
      <w:r w:rsidRPr="00B50F71">
        <w:t>) intravenously. Randomisation was stratified according to sex (male versus female), ECOG performance-status score (0 versus 1), histologic type (non</w:t>
      </w:r>
      <w:r w:rsidR="00182F4B" w:rsidRPr="00B50F71">
        <w:t>-</w:t>
      </w:r>
      <w:r w:rsidRPr="00B50F71">
        <w:t>squamous versus squamous), and PD-L1 status (≥ 1% PD</w:t>
      </w:r>
      <w:r w:rsidRPr="00B50F71">
        <w:noBreakHyphen/>
        <w:t>L1 expression on tumour cells and any level of PD-L1 expression on tumour-infiltrating immune cells versus &lt; 1% PD-L1 expression on tumour cells and ≥ 1% PD-L1 expression on tumour-infiltrating immune cells). Continuation of atezolizumab after disease progression was allowed in patients who had continued clinical benefit. No crossover to the atezolizumab group was permitted.</w:t>
      </w:r>
    </w:p>
    <w:p w14:paraId="637DD565" w14:textId="0A5D0F19" w:rsidR="00D574CF" w:rsidRPr="00515B85" w:rsidRDefault="00D574CF" w:rsidP="00B31ACA">
      <w:pPr>
        <w:pStyle w:val="FigureDescription"/>
      </w:pPr>
      <w:r w:rsidRPr="00716528">
        <w:t>*</w:t>
      </w:r>
      <w:r w:rsidR="00E60EE4" w:rsidRPr="00E60EE4">
        <w:t xml:space="preserve"> </w:t>
      </w:r>
      <w:r w:rsidR="00E60EE4">
        <w:t>P</w:t>
      </w:r>
      <w:r w:rsidR="00E60EE4" w:rsidRPr="00E60EE4">
        <w:t>rogrammed death-ligand 1</w:t>
      </w:r>
      <w:r w:rsidR="00E60EE4">
        <w:t xml:space="preserve"> (</w:t>
      </w:r>
      <w:r w:rsidRPr="00E60EE4">
        <w:t>PD-L1</w:t>
      </w:r>
      <w:r w:rsidR="00E60EE4">
        <w:t>)</w:t>
      </w:r>
      <w:r w:rsidRPr="00E60EE4">
        <w:t xml:space="preserve"> positivity in tumour cells and infiltrating immune cells in tumo</w:t>
      </w:r>
      <w:r w:rsidRPr="00716528">
        <w:t xml:space="preserve">ur tissue samples was assessed by central laboratories using the </w:t>
      </w:r>
      <w:r w:rsidR="00E60EE4" w:rsidRPr="00716528">
        <w:t xml:space="preserve">Ventana </w:t>
      </w:r>
      <w:r w:rsidRPr="00716528">
        <w:t xml:space="preserve">PD-L1 (SP142) </w:t>
      </w:r>
      <w:r w:rsidRPr="00B50F71">
        <w:rPr>
          <w:i/>
          <w:iCs/>
        </w:rPr>
        <w:t>in vitro</w:t>
      </w:r>
      <w:r w:rsidRPr="00716528">
        <w:t xml:space="preserve"> diagnostic device, with categories of positivity defined per the footnote to</w:t>
      </w:r>
      <w:r w:rsidR="00716528">
        <w:t xml:space="preserve"> </w:t>
      </w:r>
      <w:r w:rsidR="00B31ACA">
        <w:fldChar w:fldCharType="begin"/>
      </w:r>
      <w:r w:rsidR="00B31ACA">
        <w:instrText xml:space="preserve"> REF _Ref110852422 \h  \* MERGEFORMAT </w:instrText>
      </w:r>
      <w:r w:rsidR="00B31ACA">
        <w:fldChar w:fldCharType="separate"/>
      </w:r>
      <w:r w:rsidR="00C05B15" w:rsidRPr="00716528">
        <w:t xml:space="preserve">Table </w:t>
      </w:r>
      <w:r w:rsidR="00C05B15">
        <w:rPr>
          <w:noProof/>
        </w:rPr>
        <w:t>4</w:t>
      </w:r>
      <w:r w:rsidR="00B31ACA">
        <w:fldChar w:fldCharType="end"/>
      </w:r>
      <w:r w:rsidR="00E60EE4">
        <w:t>.</w:t>
      </w:r>
    </w:p>
    <w:p w14:paraId="42B6E3C2" w14:textId="65730DC0" w:rsidR="00525A82" w:rsidRDefault="00525A82" w:rsidP="00525A82">
      <w:r w:rsidRPr="00921EF8">
        <w:t>The m</w:t>
      </w:r>
      <w:r>
        <w:t xml:space="preserve">ain comparator in the study, platinum-based chemotherapy, was </w:t>
      </w:r>
      <w:r w:rsidRPr="00921EF8">
        <w:t xml:space="preserve">an appropriate first line </w:t>
      </w:r>
      <w:r w:rsidRPr="00445A0C">
        <w:t>standard-of-care optio</w:t>
      </w:r>
      <w:r>
        <w:t xml:space="preserve">n at the time of study design (the </w:t>
      </w:r>
      <w:r w:rsidRPr="00921EF8">
        <w:t xml:space="preserve">first patient was </w:t>
      </w:r>
      <w:r>
        <w:t>randomised</w:t>
      </w:r>
      <w:r w:rsidRPr="00921EF8">
        <w:t xml:space="preserve"> on 21 Jul</w:t>
      </w:r>
      <w:r>
        <w:t>y</w:t>
      </w:r>
      <w:r w:rsidRPr="00921EF8">
        <w:t xml:space="preserve"> 2015</w:t>
      </w:r>
      <w:r>
        <w:t>)</w:t>
      </w:r>
      <w:r w:rsidRPr="00921EF8">
        <w:t>.</w:t>
      </w:r>
    </w:p>
    <w:p w14:paraId="6BDEEF70" w14:textId="77777777" w:rsidR="00F173E5" w:rsidRDefault="00525A82" w:rsidP="001D16DD">
      <w:r>
        <w:t xml:space="preserve">Patients with a sensitising mutation in the </w:t>
      </w:r>
      <w:r w:rsidRPr="00B178E4">
        <w:rPr>
          <w:i/>
        </w:rPr>
        <w:t>EGFR</w:t>
      </w:r>
      <w:r>
        <w:t xml:space="preserve"> gene or an </w:t>
      </w:r>
      <w:r w:rsidRPr="00B178E4">
        <w:rPr>
          <w:i/>
        </w:rPr>
        <w:t>ALK</w:t>
      </w:r>
      <w:r>
        <w:t xml:space="preserve"> fusion oncogene were initially allowed to enrol, however, emerging data (from the OAK trial, </w:t>
      </w:r>
      <w:r w:rsidR="009258F9">
        <w:t>CHECKMATE</w:t>
      </w:r>
      <w:r>
        <w:noBreakHyphen/>
        <w:t xml:space="preserve">057 trial and </w:t>
      </w:r>
      <w:r w:rsidR="009258F9">
        <w:t>KEYNOTE</w:t>
      </w:r>
      <w:r>
        <w:t>-010 trial);</w:t>
      </w:r>
      <w:r>
        <w:rPr>
          <w:rStyle w:val="FootnoteReference"/>
        </w:rPr>
        <w:footnoteReference w:id="12"/>
      </w:r>
      <w:r>
        <w:rPr>
          <w:vertAlign w:val="superscript"/>
        </w:rPr>
        <w:t>,</w:t>
      </w:r>
      <w:r>
        <w:rPr>
          <w:rStyle w:val="FootnoteReference"/>
        </w:rPr>
        <w:footnoteReference w:id="13"/>
      </w:r>
      <w:r>
        <w:rPr>
          <w:vertAlign w:val="superscript"/>
        </w:rPr>
        <w:t>,</w:t>
      </w:r>
      <w:r>
        <w:rPr>
          <w:rStyle w:val="FootnoteReference"/>
        </w:rPr>
        <w:footnoteReference w:id="14"/>
      </w:r>
      <w:r>
        <w:t xml:space="preserve"> indicated no survival benefit over docetaxel when these patients were treated with immune checkpoint inhibitors. Version</w:t>
      </w:r>
      <w:r w:rsidR="00182F4B">
        <w:t> </w:t>
      </w:r>
      <w:r>
        <w:t xml:space="preserve">6 of the protocol was therefore changed to exclude further enrolment of such patients, </w:t>
      </w:r>
      <w:r w:rsidRPr="00D47670">
        <w:t xml:space="preserve">and </w:t>
      </w:r>
      <w:r>
        <w:t>18</w:t>
      </w:r>
      <w:r w:rsidRPr="00D47670">
        <w:t xml:space="preserve"> patients who had already enrolled were excluded from the populations for </w:t>
      </w:r>
      <w:r>
        <w:t xml:space="preserve">all </w:t>
      </w:r>
      <w:r w:rsidRPr="00D47670">
        <w:t>efficacy analyses</w:t>
      </w:r>
      <w:r>
        <w:t xml:space="preserve"> (9 of these patients were in the primary efficacy population, 4 in the chemotherapy and 5 in the atezolizumab arm).</w:t>
      </w:r>
    </w:p>
    <w:p w14:paraId="7773C19F" w14:textId="6AEBDC72" w:rsidR="00525A82" w:rsidRPr="00637293" w:rsidRDefault="00525A82" w:rsidP="00525A82">
      <w:r w:rsidRPr="00637293">
        <w:t>Tumour assessme</w:t>
      </w:r>
      <w:r>
        <w:t xml:space="preserve">nts were </w:t>
      </w:r>
      <w:r w:rsidRPr="00637293">
        <w:t>conducted every 6 weeks for 48 weeks, then every 9 weeks</w:t>
      </w:r>
      <w:r>
        <w:t xml:space="preserve"> thereafter</w:t>
      </w:r>
      <w:r w:rsidRPr="00637293">
        <w:t>, using the Response Evaluation Criteria in Solid Tumours (RECIST)</w:t>
      </w:r>
      <w:r w:rsidR="00BB1C3D" w:rsidRPr="00B50F71">
        <w:rPr>
          <w:vertAlign w:val="superscript"/>
        </w:rPr>
        <w:fldChar w:fldCharType="begin"/>
      </w:r>
      <w:r w:rsidR="00BB1C3D" w:rsidRPr="00B50F71">
        <w:rPr>
          <w:vertAlign w:val="superscript"/>
        </w:rPr>
        <w:instrText xml:space="preserve"> NOTEREF _Ref108512771 \h </w:instrText>
      </w:r>
      <w:r w:rsidR="00BB1C3D">
        <w:rPr>
          <w:vertAlign w:val="superscript"/>
        </w:rPr>
        <w:instrText xml:space="preserve"> \* MERGEFORMAT </w:instrText>
      </w:r>
      <w:r w:rsidR="00BB1C3D" w:rsidRPr="00B50F71">
        <w:rPr>
          <w:vertAlign w:val="superscript"/>
        </w:rPr>
      </w:r>
      <w:r w:rsidR="00BB1C3D" w:rsidRPr="00B50F71">
        <w:rPr>
          <w:vertAlign w:val="superscript"/>
        </w:rPr>
        <w:fldChar w:fldCharType="separate"/>
      </w:r>
      <w:r w:rsidR="00C05B15">
        <w:rPr>
          <w:vertAlign w:val="superscript"/>
        </w:rPr>
        <w:t>11</w:t>
      </w:r>
      <w:r w:rsidR="00BB1C3D" w:rsidRPr="00B50F71">
        <w:rPr>
          <w:vertAlign w:val="superscript"/>
        </w:rPr>
        <w:fldChar w:fldCharType="end"/>
      </w:r>
      <w:r w:rsidRPr="00637293">
        <w:t xml:space="preserve"> v</w:t>
      </w:r>
      <w:r w:rsidR="00182F4B">
        <w:t xml:space="preserve">ersion </w:t>
      </w:r>
      <w:r w:rsidRPr="00637293">
        <w:t>1.1.</w:t>
      </w:r>
    </w:p>
    <w:p w14:paraId="2ED7D5B1" w14:textId="22C98D8F" w:rsidR="00525A82" w:rsidRDefault="00525A82" w:rsidP="00525A82">
      <w:pPr>
        <w:rPr>
          <w:highlight w:val="yellow"/>
        </w:rPr>
      </w:pPr>
      <w:r w:rsidRPr="00637293">
        <w:t xml:space="preserve">Continuation of atezolizumab treatment despite radiographic progression was allowed for patients with evidence of clinical benefit and no clinical evidence of progression (including </w:t>
      </w:r>
      <w:r w:rsidRPr="00637293">
        <w:lastRenderedPageBreak/>
        <w:t xml:space="preserve">ECOG </w:t>
      </w:r>
      <w:r w:rsidR="0035143E">
        <w:t>Performance Status</w:t>
      </w:r>
      <w:r w:rsidR="0035143E">
        <w:rPr>
          <w:rStyle w:val="FootnoteReference"/>
        </w:rPr>
        <w:footnoteReference w:id="15"/>
      </w:r>
      <w:r w:rsidR="00604550">
        <w:t xml:space="preserve"> score </w:t>
      </w:r>
      <w:r w:rsidRPr="00637293">
        <w:t>decline). Atezolizumab dose reduction and crossover from comparator to atezolizumab were not allowed.</w:t>
      </w:r>
      <w:r>
        <w:t xml:space="preserve"> However, follow-up data indicates a high proportion of the comparator arm received an immunotherapy </w:t>
      </w:r>
      <w:proofErr w:type="gramStart"/>
      <w:r>
        <w:t>subsequent to</w:t>
      </w:r>
      <w:proofErr w:type="gramEnd"/>
      <w:r>
        <w:t xml:space="preserve"> discontinuing in the trial </w:t>
      </w:r>
      <w:r w:rsidRPr="001C2419">
        <w:t xml:space="preserve">(see </w:t>
      </w:r>
      <w:r w:rsidR="00182F4B">
        <w:t>S</w:t>
      </w:r>
      <w:r w:rsidR="001C2419">
        <w:t xml:space="preserve">ection: </w:t>
      </w:r>
      <w:r w:rsidRPr="001C2419">
        <w:fldChar w:fldCharType="begin"/>
      </w:r>
      <w:r w:rsidRPr="001C2419">
        <w:instrText xml:space="preserve"> REF _Ref63843975 \h  \* MERGEFORMAT </w:instrText>
      </w:r>
      <w:r w:rsidRPr="001C2419">
        <w:fldChar w:fldCharType="separate"/>
      </w:r>
      <w:r w:rsidR="00C05B15">
        <w:t>Confounding by subsequent therapy</w:t>
      </w:r>
      <w:r w:rsidRPr="001C2419">
        <w:fldChar w:fldCharType="end"/>
      </w:r>
      <w:r w:rsidR="001C2419">
        <w:t>, below)</w:t>
      </w:r>
      <w:r w:rsidRPr="001C2419">
        <w:t>).</w:t>
      </w:r>
    </w:p>
    <w:p w14:paraId="292DB48E" w14:textId="156202A4" w:rsidR="00525A82" w:rsidRPr="00716528" w:rsidRDefault="00525A82" w:rsidP="00716528">
      <w:r w:rsidRPr="00716528">
        <w:t xml:space="preserve">There are </w:t>
      </w:r>
      <w:proofErr w:type="gramStart"/>
      <w:r w:rsidRPr="00716528">
        <w:t>a number of</w:t>
      </w:r>
      <w:proofErr w:type="gramEnd"/>
      <w:r w:rsidRPr="00716528">
        <w:t xml:space="preserve"> complexities to the interpretation of this study that are related to the SP142 diagnostic test</w:t>
      </w:r>
      <w:r w:rsidR="001C2419" w:rsidRPr="00716528">
        <w:t xml:space="preserve">. See </w:t>
      </w:r>
      <w:r w:rsidR="00F659BC" w:rsidRPr="00716528">
        <w:t>S</w:t>
      </w:r>
      <w:r w:rsidR="001C2419" w:rsidRPr="00716528">
        <w:t>ection:</w:t>
      </w:r>
      <w:r w:rsidR="00F659BC" w:rsidRPr="00716528">
        <w:t xml:space="preserve"> </w:t>
      </w:r>
      <w:r w:rsidRPr="00716528">
        <w:fldChar w:fldCharType="begin"/>
      </w:r>
      <w:r w:rsidRPr="00716528">
        <w:instrText xml:space="preserve"> REF _Ref63843891 \h  \* MERGEFORMAT </w:instrText>
      </w:r>
      <w:r w:rsidRPr="00716528">
        <w:fldChar w:fldCharType="separate"/>
      </w:r>
      <w:r w:rsidR="00C05B15" w:rsidRPr="00E32A62">
        <w:t>Companion diagnostic considerations</w:t>
      </w:r>
      <w:r w:rsidRPr="00716528">
        <w:fldChar w:fldCharType="end"/>
      </w:r>
      <w:r w:rsidRPr="00716528">
        <w:t>,</w:t>
      </w:r>
      <w:r w:rsidR="001C2419" w:rsidRPr="00716528">
        <w:t xml:space="preserve"> below</w:t>
      </w:r>
      <w:r w:rsidRPr="00716528">
        <w:t xml:space="preserve">. For simplicity of discussion throughout this overview, the informal terms of ‘high’, ‘intermediate’, ‘low’ or ‘negative’ to describe PD-L1 expression levels in a sample tested by SP142 (as defined </w:t>
      </w:r>
      <w:r w:rsidR="00D00032">
        <w:t>previously in</w:t>
      </w:r>
      <w:r w:rsidRPr="00716528">
        <w:t xml:space="preserve"> </w:t>
      </w:r>
      <w:r w:rsidR="00B31ACA">
        <w:fldChar w:fldCharType="begin"/>
      </w:r>
      <w:r w:rsidR="00B31ACA">
        <w:instrText xml:space="preserve"> REF _Ref110852410 \h </w:instrText>
      </w:r>
      <w:r w:rsidR="00B31ACA">
        <w:fldChar w:fldCharType="separate"/>
      </w:r>
      <w:r w:rsidR="00C05B15" w:rsidRPr="00B31ACA">
        <w:t xml:space="preserve">Table </w:t>
      </w:r>
      <w:r w:rsidR="00C05B15">
        <w:rPr>
          <w:noProof/>
        </w:rPr>
        <w:t>3</w:t>
      </w:r>
      <w:r w:rsidR="00B31ACA">
        <w:fldChar w:fldCharType="end"/>
      </w:r>
      <w:r w:rsidRPr="00716528">
        <w:t xml:space="preserve"> and</w:t>
      </w:r>
      <w:r w:rsidR="00716528" w:rsidRPr="00716528">
        <w:t xml:space="preserve"> </w:t>
      </w:r>
      <w:r w:rsidR="00B31ACA">
        <w:fldChar w:fldCharType="begin"/>
      </w:r>
      <w:r w:rsidR="00B31ACA">
        <w:instrText xml:space="preserve"> REF _Ref110852422 \h </w:instrText>
      </w:r>
      <w:r w:rsidR="00B31ACA">
        <w:fldChar w:fldCharType="separate"/>
      </w:r>
      <w:r w:rsidR="00C05B15" w:rsidRPr="00716528">
        <w:t xml:space="preserve">Table </w:t>
      </w:r>
      <w:r w:rsidR="00C05B15">
        <w:rPr>
          <w:noProof/>
        </w:rPr>
        <w:t>4</w:t>
      </w:r>
      <w:r w:rsidR="00B31ACA">
        <w:fldChar w:fldCharType="end"/>
      </w:r>
      <w:r w:rsidRPr="00716528">
        <w:t>).</w:t>
      </w:r>
    </w:p>
    <w:p w14:paraId="5974697A" w14:textId="0DF86A6E" w:rsidR="00525A82" w:rsidRDefault="00525A82" w:rsidP="00525A82">
      <w:r>
        <w:t>The primary efficacy endpoint was overall survival (OS) in the PD-L1 high (TC3 or IC3) population, with sequential testing in the PD-L1 intermediate or high group, and then in the PD-L1 positive group overall.</w:t>
      </w:r>
    </w:p>
    <w:p w14:paraId="61FF4882" w14:textId="3C301C2E" w:rsidR="00525A82" w:rsidRDefault="00525A82" w:rsidP="00525A82">
      <w:r>
        <w:t>Secondary endpoints included investigator-assessed (RECIST v</w:t>
      </w:r>
      <w:r w:rsidR="009258F9">
        <w:t xml:space="preserve">ersion </w:t>
      </w:r>
      <w:r>
        <w:t xml:space="preserve">1.1) progression-free survival (PFS), objective response rate (ORR), landmark OS analyses at </w:t>
      </w:r>
      <w:r w:rsidR="007D374A">
        <w:t>one</w:t>
      </w:r>
      <w:r>
        <w:t xml:space="preserve"> and </w:t>
      </w:r>
      <w:r w:rsidR="007D374A">
        <w:t>two</w:t>
      </w:r>
      <w:r>
        <w:t xml:space="preserve"> years, and duration of response (DOR). Patient-reported outcomes were collected, and for </w:t>
      </w:r>
      <w:proofErr w:type="gramStart"/>
      <w:r>
        <w:t>a number of</w:t>
      </w:r>
      <w:proofErr w:type="gramEnd"/>
      <w:r>
        <w:t xml:space="preserve"> reasons including the open-label design of the trial, are considered exploratory.</w:t>
      </w:r>
    </w:p>
    <w:p w14:paraId="6624CE81" w14:textId="3E9E7EAC" w:rsidR="008E6CEF" w:rsidRDefault="008E6CEF" w:rsidP="008E6CEF">
      <w:pPr>
        <w:pStyle w:val="Heading5"/>
      </w:pPr>
      <w:r>
        <w:t>Population</w:t>
      </w:r>
    </w:p>
    <w:p w14:paraId="71DAC588" w14:textId="64FD67C9" w:rsidR="00965711" w:rsidRDefault="008E6CEF" w:rsidP="008E6CEF">
      <w:r>
        <w:t>Baseline characteristics were balanced between arms in the overall (PD-L1 positive) population. However, the primary endpoint was not tested in the overall population but in a subgroup of the intention-to-treat</w:t>
      </w:r>
      <w:r w:rsidR="00725DB0">
        <w:t xml:space="preserve"> (ITT)</w:t>
      </w:r>
      <w:r w:rsidR="00725DB0">
        <w:rPr>
          <w:rStyle w:val="FootnoteReference"/>
        </w:rPr>
        <w:footnoteReference w:id="16"/>
      </w:r>
      <w:r>
        <w:t xml:space="preserve"> population</w:t>
      </w:r>
      <w:r w:rsidR="00965711">
        <w:t>.</w:t>
      </w:r>
    </w:p>
    <w:p w14:paraId="0950298B" w14:textId="39AFC93A" w:rsidR="00725DB0" w:rsidRDefault="00965711" w:rsidP="00B50F71">
      <w:r>
        <w:fldChar w:fldCharType="begin"/>
      </w:r>
      <w:r>
        <w:instrText xml:space="preserve"> REF _Ref108522933 \h </w:instrText>
      </w:r>
      <w:r>
        <w:fldChar w:fldCharType="separate"/>
      </w:r>
      <w:r w:rsidR="00C05B15" w:rsidRPr="00725DB0">
        <w:t xml:space="preserve">Table </w:t>
      </w:r>
      <w:r w:rsidR="00C05B15">
        <w:rPr>
          <w:noProof/>
        </w:rPr>
        <w:t>5</w:t>
      </w:r>
      <w:r>
        <w:fldChar w:fldCharType="end"/>
      </w:r>
      <w:r>
        <w:t xml:space="preserve"> </w:t>
      </w:r>
      <w:r w:rsidR="008E6CEF" w:rsidRPr="0039526F">
        <w:t xml:space="preserve">summarises selected baseline demographics and disease characteristics for the </w:t>
      </w:r>
      <w:r w:rsidR="008E6CEF">
        <w:t xml:space="preserve">primary efficacy </w:t>
      </w:r>
      <w:r w:rsidR="008E6CEF" w:rsidRPr="0039526F">
        <w:t>population</w:t>
      </w:r>
      <w:r w:rsidR="008E6CEF">
        <w:t>: the PD-L1 high</w:t>
      </w:r>
      <w:r w:rsidR="008E6CEF" w:rsidRPr="0039526F">
        <w:t xml:space="preserve"> (</w:t>
      </w:r>
      <w:r w:rsidR="008E6CEF">
        <w:t>TC3 and/or IC3</w:t>
      </w:r>
      <w:r w:rsidR="008E6CEF" w:rsidRPr="0039526F">
        <w:t xml:space="preserve">). </w:t>
      </w:r>
      <w:r w:rsidR="008E6CEF">
        <w:t>Characteristics</w:t>
      </w:r>
      <w:r w:rsidR="008E6CEF" w:rsidRPr="0039526F">
        <w:t xml:space="preserve"> are noted to be </w:t>
      </w:r>
      <w:r w:rsidR="008E6CEF">
        <w:t>somewhat imbalanced</w:t>
      </w:r>
      <w:r w:rsidR="008E6CEF" w:rsidRPr="0039526F">
        <w:t xml:space="preserve"> between the two arms</w:t>
      </w:r>
      <w:r w:rsidR="004E29CD">
        <w:t xml:space="preserve"> (see </w:t>
      </w:r>
      <w:r w:rsidR="00F659BC">
        <w:t>S</w:t>
      </w:r>
      <w:r w:rsidR="004E29CD">
        <w:t xml:space="preserve">ection: </w:t>
      </w:r>
      <w:r w:rsidR="004E29CD">
        <w:fldChar w:fldCharType="begin"/>
      </w:r>
      <w:r w:rsidR="004E29CD">
        <w:instrText xml:space="preserve"> REF _Ref63434204 \h </w:instrText>
      </w:r>
      <w:r w:rsidR="004E29CD">
        <w:fldChar w:fldCharType="separate"/>
      </w:r>
      <w:r w:rsidR="00C05B15">
        <w:t>Imbalances in baseline characteristics</w:t>
      </w:r>
      <w:r w:rsidR="004E29CD">
        <w:fldChar w:fldCharType="end"/>
      </w:r>
      <w:r w:rsidR="004E29CD">
        <w:t>, below.</w:t>
      </w:r>
      <w:r w:rsidR="008E6CEF">
        <w:t xml:space="preserve"> The median age was 66 years</w:t>
      </w:r>
      <w:r w:rsidR="004E29CD">
        <w:t xml:space="preserve"> in the chemotherapy arm and 63 </w:t>
      </w:r>
      <w:r w:rsidR="008E6CEF">
        <w:t>years in the atezolizumab arm.</w:t>
      </w:r>
      <w:bookmarkStart w:id="44" w:name="_Ref36217125"/>
      <w:bookmarkStart w:id="45" w:name="_Ref63680833"/>
    </w:p>
    <w:p w14:paraId="1A747A89" w14:textId="24389CEE" w:rsidR="008E6CEF" w:rsidRPr="00725DB0" w:rsidRDefault="008E6CEF" w:rsidP="00B31ACA">
      <w:pPr>
        <w:pStyle w:val="TableTitle"/>
      </w:pPr>
      <w:bookmarkStart w:id="46" w:name="_Ref108522933"/>
      <w:r w:rsidRPr="00725DB0">
        <w:t xml:space="preserve">Table </w:t>
      </w:r>
      <w:fldSimple w:instr=" SEQ Table \* ARABIC ">
        <w:r w:rsidR="00C05B15">
          <w:rPr>
            <w:noProof/>
          </w:rPr>
          <w:t>5</w:t>
        </w:r>
      </w:fldSimple>
      <w:bookmarkEnd w:id="44"/>
      <w:bookmarkEnd w:id="46"/>
      <w:r w:rsidR="00725DB0" w:rsidRPr="00725DB0">
        <w:t>:</w:t>
      </w:r>
      <w:r w:rsidRPr="00725DB0">
        <w:t xml:space="preserve"> </w:t>
      </w:r>
      <w:r w:rsidR="009258F9" w:rsidRPr="00725DB0">
        <w:t>IMPOWER</w:t>
      </w:r>
      <w:r w:rsidRPr="00725DB0">
        <w:t xml:space="preserve">110 trial (Study GO29431) Overview of baseline characteristics </w:t>
      </w:r>
      <w:bookmarkEnd w:id="45"/>
      <w:r w:rsidRPr="00725DB0">
        <w:t>in the primary efficacy population (</w:t>
      </w:r>
      <w:r w:rsidR="00D00032">
        <w:t>‘PD-L1 high’ (</w:t>
      </w:r>
      <w:r w:rsidR="003B1C34">
        <w:t>TC3/IC3 score</w:t>
      </w:r>
      <w:r w:rsidR="00D00032">
        <w:t>)</w:t>
      </w:r>
      <w:r w:rsidRPr="00725DB0">
        <w:t>)</w:t>
      </w:r>
    </w:p>
    <w:tbl>
      <w:tblPr>
        <w:tblStyle w:val="TableTGAblue"/>
        <w:tblW w:w="8877" w:type="dxa"/>
        <w:tblCellMar>
          <w:left w:w="57" w:type="dxa"/>
          <w:right w:w="57" w:type="dxa"/>
        </w:tblCellMar>
        <w:tblLook w:val="0420" w:firstRow="1" w:lastRow="0" w:firstColumn="0" w:lastColumn="0" w:noHBand="0" w:noVBand="1"/>
      </w:tblPr>
      <w:tblGrid>
        <w:gridCol w:w="3657"/>
        <w:gridCol w:w="1800"/>
        <w:gridCol w:w="1620"/>
        <w:gridCol w:w="1800"/>
      </w:tblGrid>
      <w:tr w:rsidR="0070286D" w:rsidRPr="008E6CEF" w14:paraId="3DB40F69" w14:textId="77777777" w:rsidTr="00B178E4">
        <w:trPr>
          <w:cnfStyle w:val="100000000000" w:firstRow="1" w:lastRow="0" w:firstColumn="0" w:lastColumn="0" w:oddVBand="0" w:evenVBand="0" w:oddHBand="0" w:evenHBand="0" w:firstRowFirstColumn="0" w:firstRowLastColumn="0" w:lastRowFirstColumn="0" w:lastRowLastColumn="0"/>
          <w:trHeight w:val="20"/>
        </w:trPr>
        <w:tc>
          <w:tcPr>
            <w:tcW w:w="3657" w:type="dxa"/>
            <w:hideMark/>
          </w:tcPr>
          <w:p w14:paraId="018D8B87" w14:textId="77777777" w:rsidR="008E6CEF" w:rsidRPr="00716528" w:rsidRDefault="008E6CEF" w:rsidP="005E2B92">
            <w:pPr>
              <w:pStyle w:val="Tabletext"/>
              <w:rPr>
                <w:szCs w:val="19"/>
              </w:rPr>
            </w:pPr>
          </w:p>
        </w:tc>
        <w:tc>
          <w:tcPr>
            <w:tcW w:w="1800" w:type="dxa"/>
          </w:tcPr>
          <w:p w14:paraId="2E2E5E89" w14:textId="77777777" w:rsidR="008E6CEF" w:rsidRPr="00716528" w:rsidRDefault="008E6CEF" w:rsidP="005E2B92">
            <w:pPr>
              <w:pStyle w:val="Tabletext"/>
              <w:rPr>
                <w:szCs w:val="19"/>
              </w:rPr>
            </w:pPr>
          </w:p>
        </w:tc>
        <w:tc>
          <w:tcPr>
            <w:tcW w:w="1620" w:type="dxa"/>
            <w:hideMark/>
          </w:tcPr>
          <w:p w14:paraId="48412FC4" w14:textId="77777777" w:rsidR="0070286D" w:rsidRPr="00716528" w:rsidRDefault="008E6CEF" w:rsidP="005E2B92">
            <w:pPr>
              <w:pStyle w:val="Tabletext"/>
              <w:ind w:left="0" w:right="0"/>
              <w:rPr>
                <w:b w:val="0"/>
                <w:szCs w:val="19"/>
              </w:rPr>
            </w:pPr>
            <w:r w:rsidRPr="00716528">
              <w:rPr>
                <w:szCs w:val="19"/>
              </w:rPr>
              <w:t>Chemotherapy</w:t>
            </w:r>
          </w:p>
          <w:p w14:paraId="715EDAD4" w14:textId="03E31AFB" w:rsidR="008E6CEF" w:rsidRPr="00716528" w:rsidRDefault="008E6CEF" w:rsidP="005E2B92">
            <w:pPr>
              <w:pStyle w:val="Tabletext"/>
              <w:rPr>
                <w:szCs w:val="19"/>
              </w:rPr>
            </w:pPr>
            <w:r w:rsidRPr="00716528">
              <w:rPr>
                <w:szCs w:val="19"/>
              </w:rPr>
              <w:t>(n = 98) %</w:t>
            </w:r>
          </w:p>
        </w:tc>
        <w:tc>
          <w:tcPr>
            <w:tcW w:w="1800" w:type="dxa"/>
            <w:hideMark/>
          </w:tcPr>
          <w:p w14:paraId="63E42E36" w14:textId="77777777" w:rsidR="0070286D" w:rsidRPr="00716528" w:rsidRDefault="008E6CEF" w:rsidP="00CF3F54">
            <w:pPr>
              <w:pStyle w:val="Tabletext"/>
              <w:ind w:left="0" w:right="0"/>
              <w:rPr>
                <w:b w:val="0"/>
                <w:szCs w:val="19"/>
              </w:rPr>
            </w:pPr>
            <w:r w:rsidRPr="00716528">
              <w:rPr>
                <w:szCs w:val="19"/>
              </w:rPr>
              <w:t>Atezolizumab</w:t>
            </w:r>
          </w:p>
          <w:p w14:paraId="5C54D674" w14:textId="3A8EBBFE" w:rsidR="008E6CEF" w:rsidRPr="00716528" w:rsidRDefault="008E6CEF" w:rsidP="00CF3F54">
            <w:pPr>
              <w:pStyle w:val="Tabletext"/>
              <w:rPr>
                <w:szCs w:val="19"/>
              </w:rPr>
            </w:pPr>
            <w:r w:rsidRPr="00716528">
              <w:rPr>
                <w:szCs w:val="19"/>
              </w:rPr>
              <w:t>(n = 107) %</w:t>
            </w:r>
          </w:p>
        </w:tc>
      </w:tr>
      <w:tr w:rsidR="0070286D" w:rsidRPr="008E6CEF" w14:paraId="5803DC47" w14:textId="77777777" w:rsidTr="00B178E4">
        <w:trPr>
          <w:trHeight w:val="20"/>
        </w:trPr>
        <w:tc>
          <w:tcPr>
            <w:tcW w:w="3657" w:type="dxa"/>
            <w:hideMark/>
          </w:tcPr>
          <w:p w14:paraId="43A16EAE" w14:textId="3945EB88" w:rsidR="008E6CEF" w:rsidRPr="00716528" w:rsidRDefault="008E6CEF" w:rsidP="00B178E4">
            <w:pPr>
              <w:pStyle w:val="Tabletext"/>
              <w:keepNext/>
              <w:rPr>
                <w:szCs w:val="19"/>
              </w:rPr>
            </w:pPr>
            <w:r w:rsidRPr="00716528">
              <w:rPr>
                <w:szCs w:val="19"/>
              </w:rPr>
              <w:t>Age group</w:t>
            </w:r>
          </w:p>
        </w:tc>
        <w:tc>
          <w:tcPr>
            <w:tcW w:w="1800" w:type="dxa"/>
          </w:tcPr>
          <w:p w14:paraId="231FCF7F" w14:textId="7A85F77E" w:rsidR="008E6CEF" w:rsidRPr="00716528" w:rsidRDefault="008E6CEF" w:rsidP="00B178E4">
            <w:pPr>
              <w:pStyle w:val="Tabletext"/>
              <w:keepNext/>
              <w:rPr>
                <w:szCs w:val="19"/>
              </w:rPr>
            </w:pPr>
            <w:r w:rsidRPr="00716528">
              <w:rPr>
                <w:szCs w:val="19"/>
              </w:rPr>
              <w:t>&lt; 65 years, %</w:t>
            </w:r>
          </w:p>
          <w:p w14:paraId="1667FD27" w14:textId="210196FE" w:rsidR="008E6CEF" w:rsidRPr="00716528" w:rsidRDefault="008E6CEF" w:rsidP="00B178E4">
            <w:pPr>
              <w:pStyle w:val="Tabletext"/>
              <w:keepNext/>
              <w:rPr>
                <w:szCs w:val="19"/>
              </w:rPr>
            </w:pPr>
            <w:r w:rsidRPr="00716528">
              <w:rPr>
                <w:szCs w:val="19"/>
              </w:rPr>
              <w:t>≥ 65 years, %</w:t>
            </w:r>
          </w:p>
        </w:tc>
        <w:tc>
          <w:tcPr>
            <w:tcW w:w="1620" w:type="dxa"/>
          </w:tcPr>
          <w:p w14:paraId="2E67759F" w14:textId="77777777" w:rsidR="008E6CEF" w:rsidRPr="00716528" w:rsidRDefault="008E6CEF" w:rsidP="00B178E4">
            <w:pPr>
              <w:pStyle w:val="Tabletext"/>
              <w:keepNext/>
              <w:rPr>
                <w:szCs w:val="19"/>
              </w:rPr>
            </w:pPr>
            <w:r w:rsidRPr="00716528">
              <w:rPr>
                <w:szCs w:val="19"/>
              </w:rPr>
              <w:t>44</w:t>
            </w:r>
          </w:p>
          <w:p w14:paraId="52180DEE" w14:textId="77777777" w:rsidR="008E6CEF" w:rsidRPr="00716528" w:rsidRDefault="008E6CEF" w:rsidP="00B178E4">
            <w:pPr>
              <w:pStyle w:val="Tabletext"/>
              <w:keepNext/>
              <w:rPr>
                <w:szCs w:val="19"/>
              </w:rPr>
            </w:pPr>
            <w:r w:rsidRPr="00716528">
              <w:rPr>
                <w:szCs w:val="19"/>
              </w:rPr>
              <w:t>56</w:t>
            </w:r>
          </w:p>
        </w:tc>
        <w:tc>
          <w:tcPr>
            <w:tcW w:w="1800" w:type="dxa"/>
          </w:tcPr>
          <w:p w14:paraId="7FDB5400" w14:textId="77777777" w:rsidR="008E6CEF" w:rsidRPr="00716528" w:rsidRDefault="008E6CEF" w:rsidP="00B178E4">
            <w:pPr>
              <w:pStyle w:val="Tabletext"/>
              <w:keepNext/>
              <w:rPr>
                <w:szCs w:val="19"/>
              </w:rPr>
            </w:pPr>
            <w:r w:rsidRPr="00716528">
              <w:rPr>
                <w:szCs w:val="19"/>
              </w:rPr>
              <w:t>55</w:t>
            </w:r>
          </w:p>
          <w:p w14:paraId="1C327D76" w14:textId="77777777" w:rsidR="008E6CEF" w:rsidRPr="00716528" w:rsidRDefault="008E6CEF" w:rsidP="00B178E4">
            <w:pPr>
              <w:pStyle w:val="Tabletext"/>
              <w:keepNext/>
              <w:rPr>
                <w:szCs w:val="19"/>
              </w:rPr>
            </w:pPr>
            <w:r w:rsidRPr="00716528">
              <w:rPr>
                <w:szCs w:val="19"/>
              </w:rPr>
              <w:t>45</w:t>
            </w:r>
          </w:p>
        </w:tc>
      </w:tr>
      <w:tr w:rsidR="0070286D" w:rsidRPr="008E6CEF" w14:paraId="1A4AE655" w14:textId="77777777" w:rsidTr="00B178E4">
        <w:trPr>
          <w:trHeight w:val="20"/>
        </w:trPr>
        <w:tc>
          <w:tcPr>
            <w:tcW w:w="3657" w:type="dxa"/>
            <w:hideMark/>
          </w:tcPr>
          <w:p w14:paraId="2726636A" w14:textId="77777777" w:rsidR="008E6CEF" w:rsidRPr="00716528" w:rsidRDefault="008E6CEF" w:rsidP="00B50F71">
            <w:pPr>
              <w:pStyle w:val="Tabletext"/>
              <w:rPr>
                <w:szCs w:val="19"/>
              </w:rPr>
            </w:pPr>
            <w:r w:rsidRPr="00716528">
              <w:rPr>
                <w:szCs w:val="19"/>
              </w:rPr>
              <w:t>Sex</w:t>
            </w:r>
          </w:p>
        </w:tc>
        <w:tc>
          <w:tcPr>
            <w:tcW w:w="1800" w:type="dxa"/>
          </w:tcPr>
          <w:p w14:paraId="06C0A843" w14:textId="77777777" w:rsidR="008E6CEF" w:rsidRPr="00716528" w:rsidRDefault="008E6CEF" w:rsidP="00B50F71">
            <w:pPr>
              <w:pStyle w:val="Tabletext"/>
              <w:rPr>
                <w:szCs w:val="19"/>
              </w:rPr>
            </w:pPr>
            <w:r w:rsidRPr="00716528">
              <w:rPr>
                <w:szCs w:val="19"/>
              </w:rPr>
              <w:t>Female</w:t>
            </w:r>
          </w:p>
        </w:tc>
        <w:tc>
          <w:tcPr>
            <w:tcW w:w="1620" w:type="dxa"/>
          </w:tcPr>
          <w:p w14:paraId="2803C225" w14:textId="77777777" w:rsidR="008E6CEF" w:rsidRPr="00716528" w:rsidRDefault="008E6CEF" w:rsidP="00B50F71">
            <w:pPr>
              <w:pStyle w:val="Tabletext"/>
              <w:rPr>
                <w:szCs w:val="19"/>
              </w:rPr>
            </w:pPr>
            <w:r w:rsidRPr="00716528">
              <w:rPr>
                <w:szCs w:val="19"/>
              </w:rPr>
              <w:t>35</w:t>
            </w:r>
          </w:p>
        </w:tc>
        <w:tc>
          <w:tcPr>
            <w:tcW w:w="1800" w:type="dxa"/>
          </w:tcPr>
          <w:p w14:paraId="333BDAF0" w14:textId="77777777" w:rsidR="008E6CEF" w:rsidRPr="00716528" w:rsidRDefault="008E6CEF" w:rsidP="00B50F71">
            <w:pPr>
              <w:pStyle w:val="Tabletext"/>
              <w:rPr>
                <w:szCs w:val="19"/>
              </w:rPr>
            </w:pPr>
            <w:r w:rsidRPr="00716528">
              <w:rPr>
                <w:szCs w:val="19"/>
              </w:rPr>
              <w:t>26</w:t>
            </w:r>
          </w:p>
        </w:tc>
      </w:tr>
      <w:tr w:rsidR="0070286D" w:rsidRPr="008E6CEF" w14:paraId="5E410D03" w14:textId="77777777" w:rsidTr="00B178E4">
        <w:trPr>
          <w:trHeight w:val="20"/>
        </w:trPr>
        <w:tc>
          <w:tcPr>
            <w:tcW w:w="3657" w:type="dxa"/>
            <w:hideMark/>
          </w:tcPr>
          <w:p w14:paraId="45D6AC3F" w14:textId="27DC0B32" w:rsidR="008E6CEF" w:rsidRPr="00716528" w:rsidRDefault="008E6CEF" w:rsidP="00B50F71">
            <w:pPr>
              <w:pStyle w:val="Tabletext"/>
              <w:rPr>
                <w:szCs w:val="19"/>
              </w:rPr>
            </w:pPr>
            <w:r w:rsidRPr="00716528">
              <w:rPr>
                <w:szCs w:val="19"/>
              </w:rPr>
              <w:lastRenderedPageBreak/>
              <w:t>ECOG</w:t>
            </w:r>
            <w:r w:rsidR="0061529B" w:rsidRPr="00716528">
              <w:rPr>
                <w:szCs w:val="19"/>
              </w:rPr>
              <w:t xml:space="preserve"> </w:t>
            </w:r>
            <w:r w:rsidR="0061529B" w:rsidRPr="00B50F71">
              <w:rPr>
                <w:szCs w:val="19"/>
              </w:rPr>
              <w:t>(electronic case report form)</w:t>
            </w:r>
          </w:p>
        </w:tc>
        <w:tc>
          <w:tcPr>
            <w:tcW w:w="1800" w:type="dxa"/>
          </w:tcPr>
          <w:p w14:paraId="579AC514" w14:textId="77777777" w:rsidR="008E6CEF" w:rsidRPr="00716528" w:rsidRDefault="008E6CEF" w:rsidP="00B50F71">
            <w:pPr>
              <w:pStyle w:val="Tabletext"/>
              <w:rPr>
                <w:szCs w:val="19"/>
              </w:rPr>
            </w:pPr>
            <w:r w:rsidRPr="00716528">
              <w:rPr>
                <w:szCs w:val="19"/>
              </w:rPr>
              <w:t>0</w:t>
            </w:r>
          </w:p>
          <w:p w14:paraId="67876216" w14:textId="77777777" w:rsidR="008E6CEF" w:rsidRPr="00716528" w:rsidRDefault="008E6CEF" w:rsidP="00B50F71">
            <w:pPr>
              <w:pStyle w:val="Tabletext"/>
              <w:rPr>
                <w:szCs w:val="19"/>
              </w:rPr>
            </w:pPr>
            <w:r w:rsidRPr="00716528">
              <w:rPr>
                <w:szCs w:val="19"/>
              </w:rPr>
              <w:t>1</w:t>
            </w:r>
          </w:p>
        </w:tc>
        <w:tc>
          <w:tcPr>
            <w:tcW w:w="1620" w:type="dxa"/>
          </w:tcPr>
          <w:p w14:paraId="4FCACD51" w14:textId="77777777" w:rsidR="008E6CEF" w:rsidRPr="00716528" w:rsidRDefault="008E6CEF" w:rsidP="00B50F71">
            <w:pPr>
              <w:pStyle w:val="Tabletext"/>
              <w:rPr>
                <w:szCs w:val="19"/>
              </w:rPr>
            </w:pPr>
            <w:r w:rsidRPr="00716528">
              <w:rPr>
                <w:szCs w:val="19"/>
              </w:rPr>
              <w:t>39</w:t>
            </w:r>
          </w:p>
          <w:p w14:paraId="323388C6" w14:textId="77777777" w:rsidR="008E6CEF" w:rsidRPr="00716528" w:rsidRDefault="008E6CEF" w:rsidP="00B50F71">
            <w:pPr>
              <w:pStyle w:val="Tabletext"/>
              <w:rPr>
                <w:szCs w:val="19"/>
              </w:rPr>
            </w:pPr>
            <w:r w:rsidRPr="00716528">
              <w:rPr>
                <w:szCs w:val="19"/>
              </w:rPr>
              <w:t>61</w:t>
            </w:r>
          </w:p>
        </w:tc>
        <w:tc>
          <w:tcPr>
            <w:tcW w:w="1800" w:type="dxa"/>
          </w:tcPr>
          <w:p w14:paraId="7E12E06E" w14:textId="77777777" w:rsidR="008E6CEF" w:rsidRPr="00716528" w:rsidRDefault="008E6CEF" w:rsidP="00B50F71">
            <w:pPr>
              <w:pStyle w:val="Tabletext"/>
              <w:rPr>
                <w:szCs w:val="19"/>
              </w:rPr>
            </w:pPr>
            <w:r w:rsidRPr="00716528">
              <w:rPr>
                <w:szCs w:val="19"/>
              </w:rPr>
              <w:t>33</w:t>
            </w:r>
          </w:p>
          <w:p w14:paraId="3538C742" w14:textId="77777777" w:rsidR="008E6CEF" w:rsidRPr="00716528" w:rsidRDefault="008E6CEF" w:rsidP="00B50F71">
            <w:pPr>
              <w:pStyle w:val="Tabletext"/>
              <w:rPr>
                <w:szCs w:val="19"/>
              </w:rPr>
            </w:pPr>
            <w:r w:rsidRPr="00716528">
              <w:rPr>
                <w:szCs w:val="19"/>
              </w:rPr>
              <w:t>67</w:t>
            </w:r>
          </w:p>
        </w:tc>
      </w:tr>
      <w:tr w:rsidR="0070286D" w:rsidRPr="008E6CEF" w14:paraId="037437CA" w14:textId="77777777" w:rsidTr="00B178E4">
        <w:trPr>
          <w:trHeight w:val="20"/>
        </w:trPr>
        <w:tc>
          <w:tcPr>
            <w:tcW w:w="3657" w:type="dxa"/>
          </w:tcPr>
          <w:p w14:paraId="22BCEFDA" w14:textId="3E21E550" w:rsidR="008E6CEF" w:rsidRPr="00716528" w:rsidRDefault="0061529B" w:rsidP="00B50F71">
            <w:pPr>
              <w:pStyle w:val="Tabletext"/>
              <w:rPr>
                <w:szCs w:val="19"/>
              </w:rPr>
            </w:pPr>
            <w:r w:rsidRPr="00716528">
              <w:rPr>
                <w:szCs w:val="19"/>
              </w:rPr>
              <w:t xml:space="preserve">ECOG </w:t>
            </w:r>
            <w:r w:rsidRPr="00B50F71">
              <w:rPr>
                <w:szCs w:val="19"/>
              </w:rPr>
              <w:t>(interactive response system)</w:t>
            </w:r>
          </w:p>
        </w:tc>
        <w:tc>
          <w:tcPr>
            <w:tcW w:w="1800" w:type="dxa"/>
          </w:tcPr>
          <w:p w14:paraId="22547A40" w14:textId="77777777" w:rsidR="0070286D" w:rsidRPr="00B178E4" w:rsidRDefault="008E6CEF" w:rsidP="00B178E4">
            <w:pPr>
              <w:rPr>
                <w:sz w:val="18"/>
              </w:rPr>
            </w:pPr>
            <w:r w:rsidRPr="00B178E4">
              <w:rPr>
                <w:sz w:val="18"/>
              </w:rPr>
              <w:t>0</w:t>
            </w:r>
          </w:p>
          <w:p w14:paraId="454A3B0A" w14:textId="10CECA94" w:rsidR="008E6CEF" w:rsidRPr="00716528" w:rsidRDefault="008E6CEF" w:rsidP="00B50F71">
            <w:pPr>
              <w:pStyle w:val="Tabletext"/>
              <w:rPr>
                <w:szCs w:val="19"/>
              </w:rPr>
            </w:pPr>
            <w:r w:rsidRPr="00716528">
              <w:rPr>
                <w:szCs w:val="19"/>
              </w:rPr>
              <w:t>1</w:t>
            </w:r>
          </w:p>
        </w:tc>
        <w:tc>
          <w:tcPr>
            <w:tcW w:w="1620" w:type="dxa"/>
          </w:tcPr>
          <w:p w14:paraId="4BC7C07E" w14:textId="77777777" w:rsidR="008E6CEF" w:rsidRPr="00716528" w:rsidRDefault="008E6CEF" w:rsidP="00B50F71">
            <w:pPr>
              <w:pStyle w:val="Tabletext"/>
              <w:rPr>
                <w:szCs w:val="19"/>
              </w:rPr>
            </w:pPr>
            <w:r w:rsidRPr="00716528">
              <w:rPr>
                <w:szCs w:val="19"/>
              </w:rPr>
              <w:t>39</w:t>
            </w:r>
          </w:p>
          <w:p w14:paraId="49307970" w14:textId="77777777" w:rsidR="008E6CEF" w:rsidRPr="00716528" w:rsidRDefault="008E6CEF" w:rsidP="00B50F71">
            <w:pPr>
              <w:pStyle w:val="Tabletext"/>
              <w:rPr>
                <w:szCs w:val="19"/>
              </w:rPr>
            </w:pPr>
            <w:r w:rsidRPr="00716528">
              <w:rPr>
                <w:szCs w:val="19"/>
              </w:rPr>
              <w:t>61</w:t>
            </w:r>
          </w:p>
        </w:tc>
        <w:tc>
          <w:tcPr>
            <w:tcW w:w="1800" w:type="dxa"/>
          </w:tcPr>
          <w:p w14:paraId="63AFAB75" w14:textId="77777777" w:rsidR="008E6CEF" w:rsidRPr="00716528" w:rsidRDefault="008E6CEF" w:rsidP="00B50F71">
            <w:pPr>
              <w:pStyle w:val="Tabletext"/>
              <w:rPr>
                <w:szCs w:val="19"/>
              </w:rPr>
            </w:pPr>
            <w:r w:rsidRPr="00716528">
              <w:rPr>
                <w:szCs w:val="19"/>
              </w:rPr>
              <w:t>31</w:t>
            </w:r>
          </w:p>
          <w:p w14:paraId="65518550" w14:textId="77777777" w:rsidR="008E6CEF" w:rsidRPr="00716528" w:rsidRDefault="008E6CEF" w:rsidP="00B50F71">
            <w:pPr>
              <w:pStyle w:val="Tabletext"/>
              <w:rPr>
                <w:szCs w:val="19"/>
              </w:rPr>
            </w:pPr>
            <w:r w:rsidRPr="00716528">
              <w:rPr>
                <w:szCs w:val="19"/>
              </w:rPr>
              <w:t>69</w:t>
            </w:r>
          </w:p>
        </w:tc>
      </w:tr>
      <w:tr w:rsidR="0070286D" w:rsidRPr="008E6CEF" w14:paraId="445E5D0E" w14:textId="77777777" w:rsidTr="00B178E4">
        <w:trPr>
          <w:trHeight w:val="20"/>
        </w:trPr>
        <w:tc>
          <w:tcPr>
            <w:tcW w:w="3657" w:type="dxa"/>
          </w:tcPr>
          <w:p w14:paraId="68261D10" w14:textId="3D5C7231" w:rsidR="008E6CEF" w:rsidRPr="00716528" w:rsidRDefault="008E6CEF" w:rsidP="00E667E9">
            <w:pPr>
              <w:pStyle w:val="Tabletext"/>
              <w:rPr>
                <w:szCs w:val="19"/>
              </w:rPr>
            </w:pPr>
            <w:r w:rsidRPr="00716528">
              <w:rPr>
                <w:szCs w:val="19"/>
              </w:rPr>
              <w:t>Tobacco use histor</w:t>
            </w:r>
            <w:r w:rsidR="00E667E9">
              <w:rPr>
                <w:szCs w:val="19"/>
              </w:rPr>
              <w:t>y</w:t>
            </w:r>
          </w:p>
        </w:tc>
        <w:tc>
          <w:tcPr>
            <w:tcW w:w="1800" w:type="dxa"/>
          </w:tcPr>
          <w:p w14:paraId="1935E61A" w14:textId="77777777" w:rsidR="008E6CEF" w:rsidRPr="00716528" w:rsidRDefault="008E6CEF" w:rsidP="00B50F71">
            <w:pPr>
              <w:pStyle w:val="Tabletext"/>
              <w:rPr>
                <w:szCs w:val="19"/>
              </w:rPr>
            </w:pPr>
            <w:r w:rsidRPr="00716528">
              <w:rPr>
                <w:szCs w:val="19"/>
              </w:rPr>
              <w:t>Never</w:t>
            </w:r>
          </w:p>
          <w:p w14:paraId="43C92D84" w14:textId="77777777" w:rsidR="008E6CEF" w:rsidRPr="00716528" w:rsidRDefault="008E6CEF" w:rsidP="00B50F71">
            <w:pPr>
              <w:pStyle w:val="Tabletext"/>
              <w:rPr>
                <w:szCs w:val="19"/>
              </w:rPr>
            </w:pPr>
            <w:r w:rsidRPr="00716528">
              <w:rPr>
                <w:szCs w:val="19"/>
              </w:rPr>
              <w:t>Current</w:t>
            </w:r>
          </w:p>
          <w:p w14:paraId="17E3F207" w14:textId="77777777" w:rsidR="008E6CEF" w:rsidRPr="00716528" w:rsidRDefault="008E6CEF" w:rsidP="00B50F71">
            <w:pPr>
              <w:pStyle w:val="Tabletext"/>
              <w:rPr>
                <w:szCs w:val="19"/>
              </w:rPr>
            </w:pPr>
            <w:r w:rsidRPr="00716528">
              <w:rPr>
                <w:szCs w:val="19"/>
              </w:rPr>
              <w:t>Previous</w:t>
            </w:r>
          </w:p>
        </w:tc>
        <w:tc>
          <w:tcPr>
            <w:tcW w:w="1620" w:type="dxa"/>
          </w:tcPr>
          <w:p w14:paraId="1EC8BE8D" w14:textId="77777777" w:rsidR="008E6CEF" w:rsidRPr="00716528" w:rsidRDefault="008E6CEF" w:rsidP="00B50F71">
            <w:pPr>
              <w:pStyle w:val="Tabletext"/>
              <w:rPr>
                <w:szCs w:val="19"/>
              </w:rPr>
            </w:pPr>
            <w:r w:rsidRPr="00716528">
              <w:rPr>
                <w:szCs w:val="19"/>
              </w:rPr>
              <w:t>15</w:t>
            </w:r>
          </w:p>
          <w:p w14:paraId="1642F00E" w14:textId="77777777" w:rsidR="008E6CEF" w:rsidRPr="00716528" w:rsidRDefault="008E6CEF" w:rsidP="00B50F71">
            <w:pPr>
              <w:pStyle w:val="Tabletext"/>
              <w:rPr>
                <w:szCs w:val="19"/>
              </w:rPr>
            </w:pPr>
            <w:r w:rsidRPr="00716528">
              <w:rPr>
                <w:szCs w:val="19"/>
              </w:rPr>
              <w:t>30</w:t>
            </w:r>
          </w:p>
          <w:p w14:paraId="210011D8" w14:textId="77777777" w:rsidR="008E6CEF" w:rsidRPr="00716528" w:rsidRDefault="008E6CEF" w:rsidP="00B50F71">
            <w:pPr>
              <w:pStyle w:val="Tabletext"/>
              <w:rPr>
                <w:szCs w:val="19"/>
              </w:rPr>
            </w:pPr>
            <w:r w:rsidRPr="00716528">
              <w:rPr>
                <w:szCs w:val="19"/>
              </w:rPr>
              <w:t>55</w:t>
            </w:r>
          </w:p>
        </w:tc>
        <w:tc>
          <w:tcPr>
            <w:tcW w:w="1800" w:type="dxa"/>
          </w:tcPr>
          <w:p w14:paraId="1AB94D42" w14:textId="77777777" w:rsidR="008E6CEF" w:rsidRPr="00716528" w:rsidRDefault="008E6CEF" w:rsidP="00B50F71">
            <w:pPr>
              <w:pStyle w:val="Tabletext"/>
              <w:rPr>
                <w:szCs w:val="19"/>
              </w:rPr>
            </w:pPr>
            <w:r w:rsidRPr="00716528">
              <w:rPr>
                <w:szCs w:val="19"/>
              </w:rPr>
              <w:t>8</w:t>
            </w:r>
          </w:p>
          <w:p w14:paraId="51D5A2E2" w14:textId="77777777" w:rsidR="008E6CEF" w:rsidRPr="00716528" w:rsidRDefault="008E6CEF" w:rsidP="00B50F71">
            <w:pPr>
              <w:pStyle w:val="Tabletext"/>
              <w:rPr>
                <w:szCs w:val="19"/>
              </w:rPr>
            </w:pPr>
            <w:r w:rsidRPr="00716528">
              <w:rPr>
                <w:szCs w:val="19"/>
              </w:rPr>
              <w:t>19</w:t>
            </w:r>
          </w:p>
          <w:p w14:paraId="0BD6A400" w14:textId="77777777" w:rsidR="008E6CEF" w:rsidRPr="00716528" w:rsidRDefault="008E6CEF" w:rsidP="00B50F71">
            <w:pPr>
              <w:pStyle w:val="Tabletext"/>
              <w:rPr>
                <w:szCs w:val="19"/>
              </w:rPr>
            </w:pPr>
            <w:r w:rsidRPr="00716528">
              <w:rPr>
                <w:szCs w:val="19"/>
              </w:rPr>
              <w:t>73</w:t>
            </w:r>
          </w:p>
        </w:tc>
      </w:tr>
      <w:tr w:rsidR="0070286D" w:rsidRPr="008E6CEF" w14:paraId="383DDAB9" w14:textId="77777777" w:rsidTr="00B178E4">
        <w:trPr>
          <w:trHeight w:val="20"/>
        </w:trPr>
        <w:tc>
          <w:tcPr>
            <w:tcW w:w="3657" w:type="dxa"/>
          </w:tcPr>
          <w:p w14:paraId="7324BFBE" w14:textId="77777777" w:rsidR="008E6CEF" w:rsidRPr="00716528" w:rsidRDefault="008E6CEF" w:rsidP="00B50F71">
            <w:pPr>
              <w:pStyle w:val="Tabletext"/>
              <w:rPr>
                <w:szCs w:val="19"/>
              </w:rPr>
            </w:pPr>
            <w:r w:rsidRPr="00716528">
              <w:rPr>
                <w:szCs w:val="19"/>
              </w:rPr>
              <w:t>PD-L1 status by SP 142</w:t>
            </w:r>
          </w:p>
        </w:tc>
        <w:tc>
          <w:tcPr>
            <w:tcW w:w="1800" w:type="dxa"/>
          </w:tcPr>
          <w:p w14:paraId="63DCDE2C" w14:textId="77777777" w:rsidR="008E6CEF" w:rsidRPr="00716528" w:rsidRDefault="008E6CEF" w:rsidP="00B50F71">
            <w:pPr>
              <w:pStyle w:val="Tabletext"/>
              <w:rPr>
                <w:szCs w:val="19"/>
              </w:rPr>
            </w:pPr>
            <w:r w:rsidRPr="00716528">
              <w:rPr>
                <w:szCs w:val="19"/>
              </w:rPr>
              <w:t>TC3</w:t>
            </w:r>
          </w:p>
          <w:p w14:paraId="2B442B75" w14:textId="77777777" w:rsidR="008E6CEF" w:rsidRPr="00716528" w:rsidRDefault="008E6CEF" w:rsidP="00B50F71">
            <w:pPr>
              <w:pStyle w:val="Tabletext"/>
              <w:rPr>
                <w:szCs w:val="19"/>
              </w:rPr>
            </w:pPr>
            <w:r w:rsidRPr="00716528">
              <w:rPr>
                <w:szCs w:val="19"/>
              </w:rPr>
              <w:t>IC3, not TC3</w:t>
            </w:r>
          </w:p>
        </w:tc>
        <w:tc>
          <w:tcPr>
            <w:tcW w:w="1620" w:type="dxa"/>
          </w:tcPr>
          <w:p w14:paraId="7143E970" w14:textId="77777777" w:rsidR="008E6CEF" w:rsidRPr="00716528" w:rsidRDefault="008E6CEF" w:rsidP="00B50F71">
            <w:pPr>
              <w:pStyle w:val="Tabletext"/>
              <w:rPr>
                <w:szCs w:val="19"/>
              </w:rPr>
            </w:pPr>
            <w:r w:rsidRPr="00716528">
              <w:rPr>
                <w:szCs w:val="19"/>
              </w:rPr>
              <w:t>64</w:t>
            </w:r>
          </w:p>
          <w:p w14:paraId="555F67E5" w14:textId="77777777" w:rsidR="008E6CEF" w:rsidRPr="00716528" w:rsidRDefault="008E6CEF" w:rsidP="00B50F71">
            <w:pPr>
              <w:pStyle w:val="Tabletext"/>
              <w:rPr>
                <w:szCs w:val="19"/>
              </w:rPr>
            </w:pPr>
            <w:r w:rsidRPr="00716528">
              <w:rPr>
                <w:szCs w:val="19"/>
              </w:rPr>
              <w:t>36</w:t>
            </w:r>
          </w:p>
        </w:tc>
        <w:tc>
          <w:tcPr>
            <w:tcW w:w="1800" w:type="dxa"/>
          </w:tcPr>
          <w:p w14:paraId="48219FEC" w14:textId="77777777" w:rsidR="008E6CEF" w:rsidRPr="00716528" w:rsidRDefault="008E6CEF" w:rsidP="00B50F71">
            <w:pPr>
              <w:pStyle w:val="Tabletext"/>
              <w:rPr>
                <w:szCs w:val="19"/>
              </w:rPr>
            </w:pPr>
            <w:r w:rsidRPr="00716528">
              <w:rPr>
                <w:szCs w:val="19"/>
              </w:rPr>
              <w:t>58</w:t>
            </w:r>
          </w:p>
          <w:p w14:paraId="4D00F182" w14:textId="77777777" w:rsidR="008E6CEF" w:rsidRPr="00716528" w:rsidRDefault="008E6CEF" w:rsidP="00B50F71">
            <w:pPr>
              <w:pStyle w:val="Tabletext"/>
              <w:rPr>
                <w:szCs w:val="19"/>
              </w:rPr>
            </w:pPr>
            <w:r w:rsidRPr="00716528">
              <w:rPr>
                <w:szCs w:val="19"/>
              </w:rPr>
              <w:t>42</w:t>
            </w:r>
          </w:p>
        </w:tc>
      </w:tr>
      <w:tr w:rsidR="0070286D" w:rsidRPr="008E6CEF" w14:paraId="18FA938D" w14:textId="77777777" w:rsidTr="00B178E4">
        <w:trPr>
          <w:trHeight w:val="20"/>
        </w:trPr>
        <w:tc>
          <w:tcPr>
            <w:tcW w:w="3657" w:type="dxa"/>
          </w:tcPr>
          <w:p w14:paraId="770C0FEF" w14:textId="35B2196A" w:rsidR="008E6CEF" w:rsidRPr="00716528" w:rsidRDefault="008E6CEF" w:rsidP="00E667E9">
            <w:pPr>
              <w:pStyle w:val="Tabletext"/>
              <w:rPr>
                <w:szCs w:val="19"/>
              </w:rPr>
            </w:pPr>
            <w:r w:rsidRPr="00716528">
              <w:rPr>
                <w:szCs w:val="19"/>
              </w:rPr>
              <w:t>Stage at initial diagnosis</w:t>
            </w:r>
          </w:p>
        </w:tc>
        <w:tc>
          <w:tcPr>
            <w:tcW w:w="1800" w:type="dxa"/>
          </w:tcPr>
          <w:p w14:paraId="24CC3A10" w14:textId="77777777" w:rsidR="008E6CEF" w:rsidRPr="00716528" w:rsidRDefault="008E6CEF" w:rsidP="00B50F71">
            <w:pPr>
              <w:pStyle w:val="Tabletext"/>
              <w:rPr>
                <w:szCs w:val="19"/>
              </w:rPr>
            </w:pPr>
            <w:r w:rsidRPr="00716528">
              <w:rPr>
                <w:szCs w:val="19"/>
              </w:rPr>
              <w:t>IA</w:t>
            </w:r>
          </w:p>
          <w:p w14:paraId="49DC4391" w14:textId="77777777" w:rsidR="008E6CEF" w:rsidRPr="00716528" w:rsidRDefault="008E6CEF" w:rsidP="00B50F71">
            <w:pPr>
              <w:pStyle w:val="Tabletext"/>
              <w:rPr>
                <w:szCs w:val="19"/>
              </w:rPr>
            </w:pPr>
            <w:r w:rsidRPr="00716528">
              <w:rPr>
                <w:szCs w:val="19"/>
              </w:rPr>
              <w:t>IB</w:t>
            </w:r>
          </w:p>
          <w:p w14:paraId="2218DDA8" w14:textId="77777777" w:rsidR="008E6CEF" w:rsidRPr="00716528" w:rsidRDefault="008E6CEF" w:rsidP="00B50F71">
            <w:pPr>
              <w:pStyle w:val="Tabletext"/>
              <w:rPr>
                <w:szCs w:val="19"/>
              </w:rPr>
            </w:pPr>
            <w:r w:rsidRPr="00716528">
              <w:rPr>
                <w:szCs w:val="19"/>
              </w:rPr>
              <w:t>IIA</w:t>
            </w:r>
          </w:p>
          <w:p w14:paraId="2EFC308D" w14:textId="77777777" w:rsidR="008E6CEF" w:rsidRPr="00716528" w:rsidRDefault="008E6CEF" w:rsidP="00B50F71">
            <w:pPr>
              <w:pStyle w:val="Tabletext"/>
              <w:rPr>
                <w:szCs w:val="19"/>
              </w:rPr>
            </w:pPr>
            <w:r w:rsidRPr="00716528">
              <w:rPr>
                <w:szCs w:val="19"/>
              </w:rPr>
              <w:t>IIB</w:t>
            </w:r>
          </w:p>
          <w:p w14:paraId="1BDF65BF" w14:textId="77777777" w:rsidR="008E6CEF" w:rsidRPr="00716528" w:rsidRDefault="008E6CEF" w:rsidP="00B50F71">
            <w:pPr>
              <w:pStyle w:val="Tabletext"/>
              <w:rPr>
                <w:szCs w:val="19"/>
              </w:rPr>
            </w:pPr>
            <w:r w:rsidRPr="00716528">
              <w:rPr>
                <w:szCs w:val="19"/>
              </w:rPr>
              <w:t>IIIA</w:t>
            </w:r>
          </w:p>
          <w:p w14:paraId="644EFFAA" w14:textId="77777777" w:rsidR="008E6CEF" w:rsidRPr="00716528" w:rsidRDefault="008E6CEF" w:rsidP="00B50F71">
            <w:pPr>
              <w:pStyle w:val="Tabletext"/>
              <w:rPr>
                <w:szCs w:val="19"/>
              </w:rPr>
            </w:pPr>
            <w:r w:rsidRPr="00716528">
              <w:rPr>
                <w:szCs w:val="19"/>
              </w:rPr>
              <w:t>IIIB</w:t>
            </w:r>
          </w:p>
          <w:p w14:paraId="45B30E33" w14:textId="77777777" w:rsidR="008E6CEF" w:rsidRPr="00716528" w:rsidRDefault="008E6CEF" w:rsidP="00B50F71">
            <w:pPr>
              <w:pStyle w:val="Tabletext"/>
              <w:rPr>
                <w:szCs w:val="19"/>
              </w:rPr>
            </w:pPr>
            <w:r w:rsidRPr="00716528">
              <w:rPr>
                <w:szCs w:val="19"/>
              </w:rPr>
              <w:t>IV</w:t>
            </w:r>
          </w:p>
          <w:p w14:paraId="01349485" w14:textId="77777777" w:rsidR="008E6CEF" w:rsidRPr="00716528" w:rsidRDefault="008E6CEF" w:rsidP="00B50F71">
            <w:pPr>
              <w:pStyle w:val="Tabletext"/>
              <w:rPr>
                <w:szCs w:val="19"/>
              </w:rPr>
            </w:pPr>
            <w:r w:rsidRPr="00716528">
              <w:rPr>
                <w:szCs w:val="19"/>
              </w:rPr>
              <w:t>Unknown</w:t>
            </w:r>
          </w:p>
        </w:tc>
        <w:tc>
          <w:tcPr>
            <w:tcW w:w="1620" w:type="dxa"/>
          </w:tcPr>
          <w:p w14:paraId="59326B8F" w14:textId="77777777" w:rsidR="008E6CEF" w:rsidRPr="00716528" w:rsidRDefault="008E6CEF" w:rsidP="00B50F71">
            <w:pPr>
              <w:pStyle w:val="Tabletext"/>
              <w:rPr>
                <w:szCs w:val="19"/>
              </w:rPr>
            </w:pPr>
            <w:r w:rsidRPr="00716528">
              <w:rPr>
                <w:szCs w:val="19"/>
              </w:rPr>
              <w:t>2</w:t>
            </w:r>
          </w:p>
          <w:p w14:paraId="7E554475" w14:textId="77777777" w:rsidR="008E6CEF" w:rsidRPr="00716528" w:rsidRDefault="008E6CEF" w:rsidP="00B50F71">
            <w:pPr>
              <w:pStyle w:val="Tabletext"/>
              <w:rPr>
                <w:szCs w:val="19"/>
              </w:rPr>
            </w:pPr>
            <w:r w:rsidRPr="00716528">
              <w:rPr>
                <w:szCs w:val="19"/>
              </w:rPr>
              <w:t>5</w:t>
            </w:r>
          </w:p>
          <w:p w14:paraId="28303D4F" w14:textId="77777777" w:rsidR="008E6CEF" w:rsidRPr="00716528" w:rsidRDefault="008E6CEF" w:rsidP="00B50F71">
            <w:pPr>
              <w:pStyle w:val="Tabletext"/>
              <w:rPr>
                <w:szCs w:val="19"/>
              </w:rPr>
            </w:pPr>
            <w:r w:rsidRPr="00716528">
              <w:rPr>
                <w:szCs w:val="19"/>
              </w:rPr>
              <w:t>4</w:t>
            </w:r>
          </w:p>
          <w:p w14:paraId="5DACBC77" w14:textId="77777777" w:rsidR="008E6CEF" w:rsidRPr="00716528" w:rsidRDefault="008E6CEF" w:rsidP="00B50F71">
            <w:pPr>
              <w:pStyle w:val="Tabletext"/>
              <w:rPr>
                <w:szCs w:val="19"/>
              </w:rPr>
            </w:pPr>
            <w:r w:rsidRPr="00716528">
              <w:rPr>
                <w:szCs w:val="19"/>
              </w:rPr>
              <w:t>6</w:t>
            </w:r>
          </w:p>
          <w:p w14:paraId="46C706FC" w14:textId="77777777" w:rsidR="008E6CEF" w:rsidRPr="00716528" w:rsidRDefault="008E6CEF" w:rsidP="00B50F71">
            <w:pPr>
              <w:pStyle w:val="Tabletext"/>
              <w:rPr>
                <w:szCs w:val="19"/>
              </w:rPr>
            </w:pPr>
            <w:r w:rsidRPr="00716528">
              <w:rPr>
                <w:szCs w:val="19"/>
              </w:rPr>
              <w:t>4</w:t>
            </w:r>
          </w:p>
          <w:p w14:paraId="5C63BEA6" w14:textId="77777777" w:rsidR="008E6CEF" w:rsidRPr="00716528" w:rsidRDefault="008E6CEF" w:rsidP="00B50F71">
            <w:pPr>
              <w:pStyle w:val="Tabletext"/>
              <w:rPr>
                <w:szCs w:val="19"/>
              </w:rPr>
            </w:pPr>
            <w:r w:rsidRPr="00716528">
              <w:rPr>
                <w:szCs w:val="19"/>
              </w:rPr>
              <w:t>2</w:t>
            </w:r>
          </w:p>
          <w:p w14:paraId="7995BC9E" w14:textId="77777777" w:rsidR="008E6CEF" w:rsidRPr="00716528" w:rsidRDefault="008E6CEF" w:rsidP="00B50F71">
            <w:pPr>
              <w:pStyle w:val="Tabletext"/>
              <w:rPr>
                <w:szCs w:val="19"/>
              </w:rPr>
            </w:pPr>
            <w:r w:rsidRPr="00716528">
              <w:rPr>
                <w:szCs w:val="19"/>
              </w:rPr>
              <w:t>77</w:t>
            </w:r>
          </w:p>
          <w:p w14:paraId="00720332" w14:textId="77777777" w:rsidR="008E6CEF" w:rsidRPr="00716528" w:rsidRDefault="008E6CEF" w:rsidP="00B50F71">
            <w:pPr>
              <w:pStyle w:val="Tabletext"/>
              <w:rPr>
                <w:szCs w:val="19"/>
              </w:rPr>
            </w:pPr>
            <w:r w:rsidRPr="00716528">
              <w:rPr>
                <w:szCs w:val="19"/>
              </w:rPr>
              <w:t>0</w:t>
            </w:r>
          </w:p>
        </w:tc>
        <w:tc>
          <w:tcPr>
            <w:tcW w:w="1800" w:type="dxa"/>
          </w:tcPr>
          <w:p w14:paraId="30F14A24" w14:textId="77777777" w:rsidR="008E6CEF" w:rsidRPr="00716528" w:rsidRDefault="008E6CEF" w:rsidP="00B50F71">
            <w:pPr>
              <w:pStyle w:val="Tabletext"/>
              <w:rPr>
                <w:szCs w:val="19"/>
              </w:rPr>
            </w:pPr>
            <w:r w:rsidRPr="00716528">
              <w:rPr>
                <w:szCs w:val="19"/>
              </w:rPr>
              <w:t>3</w:t>
            </w:r>
          </w:p>
          <w:p w14:paraId="33B60AAA" w14:textId="77777777" w:rsidR="008E6CEF" w:rsidRPr="00716528" w:rsidRDefault="008E6CEF" w:rsidP="00B50F71">
            <w:pPr>
              <w:pStyle w:val="Tabletext"/>
              <w:rPr>
                <w:szCs w:val="19"/>
              </w:rPr>
            </w:pPr>
            <w:r w:rsidRPr="00716528">
              <w:rPr>
                <w:szCs w:val="19"/>
              </w:rPr>
              <w:t>7</w:t>
            </w:r>
          </w:p>
          <w:p w14:paraId="69C3FAF4" w14:textId="77777777" w:rsidR="008E6CEF" w:rsidRPr="00716528" w:rsidRDefault="008E6CEF" w:rsidP="00B50F71">
            <w:pPr>
              <w:pStyle w:val="Tabletext"/>
              <w:rPr>
                <w:szCs w:val="19"/>
              </w:rPr>
            </w:pPr>
            <w:r w:rsidRPr="00716528">
              <w:rPr>
                <w:szCs w:val="19"/>
              </w:rPr>
              <w:t>9</w:t>
            </w:r>
          </w:p>
          <w:p w14:paraId="1E7F4702" w14:textId="77777777" w:rsidR="008E6CEF" w:rsidRPr="00716528" w:rsidRDefault="008E6CEF" w:rsidP="00B50F71">
            <w:pPr>
              <w:pStyle w:val="Tabletext"/>
              <w:rPr>
                <w:szCs w:val="19"/>
              </w:rPr>
            </w:pPr>
            <w:r w:rsidRPr="00716528">
              <w:rPr>
                <w:szCs w:val="19"/>
              </w:rPr>
              <w:t>2</w:t>
            </w:r>
          </w:p>
          <w:p w14:paraId="13D3EA27" w14:textId="77777777" w:rsidR="008E6CEF" w:rsidRPr="00716528" w:rsidRDefault="008E6CEF" w:rsidP="00B50F71">
            <w:pPr>
              <w:pStyle w:val="Tabletext"/>
              <w:rPr>
                <w:szCs w:val="19"/>
              </w:rPr>
            </w:pPr>
            <w:r w:rsidRPr="00716528">
              <w:rPr>
                <w:szCs w:val="19"/>
              </w:rPr>
              <w:t>7</w:t>
            </w:r>
          </w:p>
          <w:p w14:paraId="43CA8627" w14:textId="77777777" w:rsidR="008E6CEF" w:rsidRPr="00716528" w:rsidRDefault="008E6CEF" w:rsidP="00B50F71">
            <w:pPr>
              <w:pStyle w:val="Tabletext"/>
              <w:rPr>
                <w:szCs w:val="19"/>
              </w:rPr>
            </w:pPr>
            <w:r w:rsidRPr="00716528">
              <w:rPr>
                <w:szCs w:val="19"/>
              </w:rPr>
              <w:t>2</w:t>
            </w:r>
          </w:p>
          <w:p w14:paraId="4B89518C" w14:textId="77777777" w:rsidR="008E6CEF" w:rsidRPr="00716528" w:rsidRDefault="008E6CEF" w:rsidP="00B50F71">
            <w:pPr>
              <w:pStyle w:val="Tabletext"/>
              <w:rPr>
                <w:szCs w:val="19"/>
              </w:rPr>
            </w:pPr>
            <w:r w:rsidRPr="00716528">
              <w:rPr>
                <w:szCs w:val="19"/>
              </w:rPr>
              <w:t>68</w:t>
            </w:r>
          </w:p>
          <w:p w14:paraId="6E0A375B" w14:textId="77777777" w:rsidR="008E6CEF" w:rsidRPr="00716528" w:rsidRDefault="008E6CEF" w:rsidP="00B50F71">
            <w:pPr>
              <w:pStyle w:val="Tabletext"/>
              <w:rPr>
                <w:szCs w:val="19"/>
              </w:rPr>
            </w:pPr>
            <w:r w:rsidRPr="00716528">
              <w:rPr>
                <w:szCs w:val="19"/>
              </w:rPr>
              <w:t>2</w:t>
            </w:r>
          </w:p>
        </w:tc>
      </w:tr>
      <w:tr w:rsidR="0070286D" w:rsidRPr="008E6CEF" w14:paraId="1F977779" w14:textId="77777777" w:rsidTr="00B178E4">
        <w:trPr>
          <w:trHeight w:val="20"/>
        </w:trPr>
        <w:tc>
          <w:tcPr>
            <w:tcW w:w="3657" w:type="dxa"/>
          </w:tcPr>
          <w:p w14:paraId="5FFB3481" w14:textId="77777777" w:rsidR="008E6CEF" w:rsidRPr="00716528" w:rsidRDefault="008E6CEF" w:rsidP="00B50F71">
            <w:pPr>
              <w:pStyle w:val="Tabletext"/>
              <w:rPr>
                <w:szCs w:val="19"/>
              </w:rPr>
            </w:pPr>
            <w:r w:rsidRPr="00716528">
              <w:rPr>
                <w:szCs w:val="19"/>
              </w:rPr>
              <w:t>Histology at initial diagnosis</w:t>
            </w:r>
          </w:p>
        </w:tc>
        <w:tc>
          <w:tcPr>
            <w:tcW w:w="1800" w:type="dxa"/>
          </w:tcPr>
          <w:p w14:paraId="431A201D" w14:textId="77777777" w:rsidR="008E6CEF" w:rsidRPr="00716528" w:rsidRDefault="008E6CEF" w:rsidP="00B50F71">
            <w:pPr>
              <w:pStyle w:val="Tabletext"/>
              <w:rPr>
                <w:szCs w:val="19"/>
              </w:rPr>
            </w:pPr>
            <w:r w:rsidRPr="00716528">
              <w:rPr>
                <w:szCs w:val="19"/>
              </w:rPr>
              <w:t>Squamous</w:t>
            </w:r>
          </w:p>
          <w:p w14:paraId="5C4EDDE9" w14:textId="77777777" w:rsidR="008E6CEF" w:rsidRPr="00716528" w:rsidRDefault="008E6CEF" w:rsidP="00B50F71">
            <w:pPr>
              <w:pStyle w:val="Tabletext"/>
              <w:rPr>
                <w:szCs w:val="19"/>
              </w:rPr>
            </w:pPr>
            <w:r w:rsidRPr="00716528">
              <w:rPr>
                <w:szCs w:val="19"/>
              </w:rPr>
              <w:t>Non-squamous</w:t>
            </w:r>
          </w:p>
        </w:tc>
        <w:tc>
          <w:tcPr>
            <w:tcW w:w="1620" w:type="dxa"/>
          </w:tcPr>
          <w:p w14:paraId="58A42AA1" w14:textId="77777777" w:rsidR="008E6CEF" w:rsidRPr="00716528" w:rsidRDefault="008E6CEF" w:rsidP="00B50F71">
            <w:pPr>
              <w:pStyle w:val="Tabletext"/>
              <w:rPr>
                <w:szCs w:val="19"/>
              </w:rPr>
            </w:pPr>
            <w:r w:rsidRPr="00716528">
              <w:rPr>
                <w:szCs w:val="19"/>
              </w:rPr>
              <w:t>23</w:t>
            </w:r>
          </w:p>
          <w:p w14:paraId="2D044D6A" w14:textId="77777777" w:rsidR="008E6CEF" w:rsidRPr="00716528" w:rsidRDefault="008E6CEF" w:rsidP="00B50F71">
            <w:pPr>
              <w:pStyle w:val="Tabletext"/>
              <w:rPr>
                <w:szCs w:val="19"/>
              </w:rPr>
            </w:pPr>
            <w:r w:rsidRPr="00716528">
              <w:rPr>
                <w:szCs w:val="19"/>
              </w:rPr>
              <w:t>77</w:t>
            </w:r>
          </w:p>
        </w:tc>
        <w:tc>
          <w:tcPr>
            <w:tcW w:w="1800" w:type="dxa"/>
          </w:tcPr>
          <w:p w14:paraId="191A96B4" w14:textId="77777777" w:rsidR="008E6CEF" w:rsidRPr="00716528" w:rsidRDefault="008E6CEF" w:rsidP="00B50F71">
            <w:pPr>
              <w:pStyle w:val="Tabletext"/>
              <w:rPr>
                <w:szCs w:val="19"/>
              </w:rPr>
            </w:pPr>
            <w:r w:rsidRPr="00716528">
              <w:rPr>
                <w:szCs w:val="19"/>
              </w:rPr>
              <w:t>25</w:t>
            </w:r>
          </w:p>
          <w:p w14:paraId="2C143DE6" w14:textId="77777777" w:rsidR="008E6CEF" w:rsidRPr="00716528" w:rsidRDefault="008E6CEF" w:rsidP="00B50F71">
            <w:pPr>
              <w:pStyle w:val="Tabletext"/>
              <w:rPr>
                <w:szCs w:val="19"/>
              </w:rPr>
            </w:pPr>
            <w:r w:rsidRPr="00716528">
              <w:rPr>
                <w:szCs w:val="19"/>
              </w:rPr>
              <w:t>75</w:t>
            </w:r>
          </w:p>
        </w:tc>
      </w:tr>
      <w:tr w:rsidR="0070286D" w:rsidRPr="008E6CEF" w14:paraId="342ACB33" w14:textId="77777777" w:rsidTr="00B178E4">
        <w:trPr>
          <w:trHeight w:val="20"/>
        </w:trPr>
        <w:tc>
          <w:tcPr>
            <w:tcW w:w="3657" w:type="dxa"/>
          </w:tcPr>
          <w:p w14:paraId="10CF2B69" w14:textId="77777777" w:rsidR="008E6CEF" w:rsidRPr="00716528" w:rsidRDefault="008E6CEF" w:rsidP="00B50F71">
            <w:pPr>
              <w:pStyle w:val="Tabletext"/>
              <w:rPr>
                <w:szCs w:val="19"/>
              </w:rPr>
            </w:pPr>
            <w:r w:rsidRPr="00716528">
              <w:rPr>
                <w:szCs w:val="19"/>
              </w:rPr>
              <w:t>Baseline SLD</w:t>
            </w:r>
          </w:p>
        </w:tc>
        <w:tc>
          <w:tcPr>
            <w:tcW w:w="1800" w:type="dxa"/>
          </w:tcPr>
          <w:p w14:paraId="76C11570" w14:textId="77777777" w:rsidR="008E6CEF" w:rsidRPr="00716528" w:rsidRDefault="008E6CEF" w:rsidP="00B50F71">
            <w:pPr>
              <w:pStyle w:val="Tabletext"/>
              <w:rPr>
                <w:szCs w:val="19"/>
              </w:rPr>
            </w:pPr>
            <w:r w:rsidRPr="00716528">
              <w:rPr>
                <w:szCs w:val="19"/>
              </w:rPr>
              <w:t>&lt;86</w:t>
            </w:r>
          </w:p>
          <w:p w14:paraId="68604FAA" w14:textId="77777777" w:rsidR="008E6CEF" w:rsidRPr="00716528" w:rsidRDefault="008E6CEF" w:rsidP="00B50F71">
            <w:pPr>
              <w:pStyle w:val="Tabletext"/>
              <w:rPr>
                <w:szCs w:val="19"/>
              </w:rPr>
            </w:pPr>
            <w:r w:rsidRPr="00716528">
              <w:rPr>
                <w:szCs w:val="19"/>
              </w:rPr>
              <w:t>86+</w:t>
            </w:r>
          </w:p>
        </w:tc>
        <w:tc>
          <w:tcPr>
            <w:tcW w:w="1620" w:type="dxa"/>
          </w:tcPr>
          <w:p w14:paraId="51DD0ED7" w14:textId="77777777" w:rsidR="008E6CEF" w:rsidRPr="00716528" w:rsidRDefault="008E6CEF" w:rsidP="00B50F71">
            <w:pPr>
              <w:pStyle w:val="Tabletext"/>
              <w:rPr>
                <w:szCs w:val="19"/>
              </w:rPr>
            </w:pPr>
            <w:r w:rsidRPr="00716528">
              <w:rPr>
                <w:szCs w:val="19"/>
              </w:rPr>
              <w:t>37</w:t>
            </w:r>
          </w:p>
          <w:p w14:paraId="288F1F08" w14:textId="77777777" w:rsidR="008E6CEF" w:rsidRPr="00716528" w:rsidRDefault="008E6CEF" w:rsidP="00B50F71">
            <w:pPr>
              <w:pStyle w:val="Tabletext"/>
              <w:rPr>
                <w:szCs w:val="19"/>
              </w:rPr>
            </w:pPr>
            <w:r w:rsidRPr="00716528">
              <w:rPr>
                <w:szCs w:val="19"/>
              </w:rPr>
              <w:t>63</w:t>
            </w:r>
          </w:p>
        </w:tc>
        <w:tc>
          <w:tcPr>
            <w:tcW w:w="1800" w:type="dxa"/>
          </w:tcPr>
          <w:p w14:paraId="15A62FFB" w14:textId="77777777" w:rsidR="008E6CEF" w:rsidRPr="00716528" w:rsidRDefault="008E6CEF" w:rsidP="00B50F71">
            <w:pPr>
              <w:pStyle w:val="Tabletext"/>
              <w:rPr>
                <w:szCs w:val="19"/>
              </w:rPr>
            </w:pPr>
            <w:r w:rsidRPr="00716528">
              <w:rPr>
                <w:szCs w:val="19"/>
              </w:rPr>
              <w:t>50</w:t>
            </w:r>
          </w:p>
          <w:p w14:paraId="238B5AE5" w14:textId="77777777" w:rsidR="008E6CEF" w:rsidRPr="00716528" w:rsidRDefault="008E6CEF" w:rsidP="00B50F71">
            <w:pPr>
              <w:pStyle w:val="Tabletext"/>
              <w:rPr>
                <w:szCs w:val="19"/>
              </w:rPr>
            </w:pPr>
            <w:r w:rsidRPr="00716528">
              <w:rPr>
                <w:szCs w:val="19"/>
              </w:rPr>
              <w:t>50</w:t>
            </w:r>
          </w:p>
        </w:tc>
      </w:tr>
      <w:tr w:rsidR="0070286D" w:rsidRPr="008E6CEF" w14:paraId="29F61DD8" w14:textId="77777777" w:rsidTr="00B178E4">
        <w:trPr>
          <w:trHeight w:val="20"/>
        </w:trPr>
        <w:tc>
          <w:tcPr>
            <w:tcW w:w="3657" w:type="dxa"/>
          </w:tcPr>
          <w:p w14:paraId="68C22C5B" w14:textId="77777777" w:rsidR="008E6CEF" w:rsidRPr="00716528" w:rsidRDefault="008E6CEF" w:rsidP="00B50F71">
            <w:pPr>
              <w:pStyle w:val="Tabletext"/>
              <w:rPr>
                <w:szCs w:val="19"/>
              </w:rPr>
            </w:pPr>
            <w:r w:rsidRPr="00716528">
              <w:rPr>
                <w:szCs w:val="19"/>
              </w:rPr>
              <w:t>Metastatic sites at enrolment</w:t>
            </w:r>
          </w:p>
        </w:tc>
        <w:tc>
          <w:tcPr>
            <w:tcW w:w="1800" w:type="dxa"/>
          </w:tcPr>
          <w:p w14:paraId="7C2C8E2D" w14:textId="77777777" w:rsidR="008E6CEF" w:rsidRPr="00716528" w:rsidRDefault="008E6CEF" w:rsidP="00B50F71">
            <w:pPr>
              <w:pStyle w:val="Tabletext"/>
              <w:rPr>
                <w:szCs w:val="19"/>
              </w:rPr>
            </w:pPr>
            <w:r w:rsidRPr="00716528">
              <w:rPr>
                <w:szCs w:val="19"/>
              </w:rPr>
              <w:t>Mean (SD)</w:t>
            </w:r>
          </w:p>
          <w:p w14:paraId="54573C7F" w14:textId="77777777" w:rsidR="008E6CEF" w:rsidRPr="00716528" w:rsidRDefault="008E6CEF" w:rsidP="00B50F71">
            <w:pPr>
              <w:pStyle w:val="Tabletext"/>
              <w:rPr>
                <w:szCs w:val="19"/>
              </w:rPr>
            </w:pPr>
            <w:r w:rsidRPr="00716528">
              <w:rPr>
                <w:szCs w:val="19"/>
              </w:rPr>
              <w:t>Median</w:t>
            </w:r>
          </w:p>
          <w:p w14:paraId="31B8C08F" w14:textId="77777777" w:rsidR="008E6CEF" w:rsidRPr="00716528" w:rsidRDefault="008E6CEF" w:rsidP="00B50F71">
            <w:pPr>
              <w:pStyle w:val="Tabletext"/>
              <w:rPr>
                <w:szCs w:val="19"/>
              </w:rPr>
            </w:pPr>
            <w:r w:rsidRPr="00716528">
              <w:rPr>
                <w:szCs w:val="19"/>
              </w:rPr>
              <w:t>Range</w:t>
            </w:r>
          </w:p>
        </w:tc>
        <w:tc>
          <w:tcPr>
            <w:tcW w:w="1620" w:type="dxa"/>
          </w:tcPr>
          <w:p w14:paraId="17C0016C" w14:textId="77777777" w:rsidR="008E6CEF" w:rsidRPr="00716528" w:rsidRDefault="008E6CEF" w:rsidP="00B50F71">
            <w:pPr>
              <w:pStyle w:val="Tabletext"/>
              <w:rPr>
                <w:szCs w:val="19"/>
              </w:rPr>
            </w:pPr>
            <w:r w:rsidRPr="00716528">
              <w:rPr>
                <w:szCs w:val="19"/>
              </w:rPr>
              <w:t>3.3 (1.4)</w:t>
            </w:r>
          </w:p>
          <w:p w14:paraId="3C034D0C" w14:textId="77777777" w:rsidR="008E6CEF" w:rsidRPr="00716528" w:rsidRDefault="008E6CEF" w:rsidP="00B50F71">
            <w:pPr>
              <w:pStyle w:val="Tabletext"/>
              <w:rPr>
                <w:szCs w:val="19"/>
              </w:rPr>
            </w:pPr>
            <w:r w:rsidRPr="00716528">
              <w:rPr>
                <w:szCs w:val="19"/>
              </w:rPr>
              <w:t>3</w:t>
            </w:r>
          </w:p>
          <w:p w14:paraId="65AFA3C4" w14:textId="7F7A9F0E" w:rsidR="008E6CEF" w:rsidRPr="00716528" w:rsidRDefault="008E6CEF" w:rsidP="00B50F71">
            <w:pPr>
              <w:pStyle w:val="Tabletext"/>
              <w:rPr>
                <w:szCs w:val="19"/>
              </w:rPr>
            </w:pPr>
            <w:r w:rsidRPr="00716528">
              <w:rPr>
                <w:szCs w:val="19"/>
              </w:rPr>
              <w:t>1</w:t>
            </w:r>
            <w:r w:rsidR="00D00032">
              <w:rPr>
                <w:szCs w:val="19"/>
              </w:rPr>
              <w:t xml:space="preserve"> to </w:t>
            </w:r>
            <w:r w:rsidRPr="00716528">
              <w:rPr>
                <w:szCs w:val="19"/>
              </w:rPr>
              <w:t>9</w:t>
            </w:r>
          </w:p>
        </w:tc>
        <w:tc>
          <w:tcPr>
            <w:tcW w:w="1800" w:type="dxa"/>
          </w:tcPr>
          <w:p w14:paraId="1E2A9150" w14:textId="77777777" w:rsidR="008E6CEF" w:rsidRPr="00716528" w:rsidRDefault="008E6CEF" w:rsidP="00B50F71">
            <w:pPr>
              <w:pStyle w:val="Tabletext"/>
              <w:rPr>
                <w:szCs w:val="19"/>
              </w:rPr>
            </w:pPr>
            <w:r w:rsidRPr="00716528">
              <w:rPr>
                <w:szCs w:val="19"/>
              </w:rPr>
              <w:t>2.9 (1.3)</w:t>
            </w:r>
          </w:p>
          <w:p w14:paraId="62156E3F" w14:textId="77777777" w:rsidR="008E6CEF" w:rsidRPr="00716528" w:rsidRDefault="008E6CEF" w:rsidP="00B50F71">
            <w:pPr>
              <w:pStyle w:val="Tabletext"/>
              <w:rPr>
                <w:szCs w:val="19"/>
              </w:rPr>
            </w:pPr>
            <w:r w:rsidRPr="00716528">
              <w:rPr>
                <w:szCs w:val="19"/>
              </w:rPr>
              <w:t>3</w:t>
            </w:r>
          </w:p>
          <w:p w14:paraId="6B334BF6" w14:textId="1E34DA1E" w:rsidR="008E6CEF" w:rsidRPr="00716528" w:rsidRDefault="008E6CEF" w:rsidP="00B50F71">
            <w:pPr>
              <w:pStyle w:val="Tabletext"/>
              <w:rPr>
                <w:szCs w:val="19"/>
              </w:rPr>
            </w:pPr>
            <w:r w:rsidRPr="00716528">
              <w:rPr>
                <w:szCs w:val="19"/>
              </w:rPr>
              <w:t>1</w:t>
            </w:r>
            <w:r w:rsidR="00D00032">
              <w:rPr>
                <w:szCs w:val="19"/>
              </w:rPr>
              <w:t xml:space="preserve"> to </w:t>
            </w:r>
            <w:r w:rsidRPr="00716528">
              <w:rPr>
                <w:szCs w:val="19"/>
              </w:rPr>
              <w:t>7</w:t>
            </w:r>
          </w:p>
        </w:tc>
      </w:tr>
      <w:tr w:rsidR="0070286D" w:rsidRPr="008E6CEF" w14:paraId="3F38F173" w14:textId="77777777" w:rsidTr="00B178E4">
        <w:trPr>
          <w:trHeight w:val="20"/>
        </w:trPr>
        <w:tc>
          <w:tcPr>
            <w:tcW w:w="3657" w:type="dxa"/>
          </w:tcPr>
          <w:p w14:paraId="61E3BC83" w14:textId="6CA07874" w:rsidR="008E6CEF" w:rsidRPr="00716528" w:rsidRDefault="008E6CEF" w:rsidP="00B50F71">
            <w:pPr>
              <w:pStyle w:val="Tabletext"/>
              <w:rPr>
                <w:szCs w:val="19"/>
              </w:rPr>
            </w:pPr>
            <w:r w:rsidRPr="00716528">
              <w:rPr>
                <w:szCs w:val="19"/>
              </w:rPr>
              <w:t xml:space="preserve">Hepatic metastases at </w:t>
            </w:r>
            <w:r w:rsidR="00D00032">
              <w:rPr>
                <w:szCs w:val="19"/>
              </w:rPr>
              <w:t>B</w:t>
            </w:r>
            <w:r w:rsidRPr="00716528">
              <w:rPr>
                <w:szCs w:val="19"/>
              </w:rPr>
              <w:t>aseline</w:t>
            </w:r>
          </w:p>
        </w:tc>
        <w:tc>
          <w:tcPr>
            <w:tcW w:w="1800" w:type="dxa"/>
          </w:tcPr>
          <w:p w14:paraId="78C3CDA5" w14:textId="77777777" w:rsidR="008E6CEF" w:rsidRPr="00716528" w:rsidRDefault="008E6CEF" w:rsidP="00B50F71">
            <w:pPr>
              <w:pStyle w:val="Tabletext"/>
              <w:rPr>
                <w:szCs w:val="19"/>
              </w:rPr>
            </w:pPr>
            <w:r w:rsidRPr="00716528">
              <w:rPr>
                <w:szCs w:val="19"/>
              </w:rPr>
              <w:t>Yes</w:t>
            </w:r>
          </w:p>
        </w:tc>
        <w:tc>
          <w:tcPr>
            <w:tcW w:w="1620" w:type="dxa"/>
          </w:tcPr>
          <w:p w14:paraId="0AB52DE7" w14:textId="77777777" w:rsidR="008E6CEF" w:rsidRPr="00716528" w:rsidRDefault="008E6CEF" w:rsidP="00B50F71">
            <w:pPr>
              <w:pStyle w:val="Tabletext"/>
              <w:rPr>
                <w:szCs w:val="19"/>
              </w:rPr>
            </w:pPr>
            <w:r w:rsidRPr="00716528">
              <w:rPr>
                <w:szCs w:val="19"/>
              </w:rPr>
              <w:t>17</w:t>
            </w:r>
          </w:p>
        </w:tc>
        <w:tc>
          <w:tcPr>
            <w:tcW w:w="1800" w:type="dxa"/>
          </w:tcPr>
          <w:p w14:paraId="63AEAD3D" w14:textId="77777777" w:rsidR="008E6CEF" w:rsidRPr="00716528" w:rsidRDefault="008E6CEF" w:rsidP="00B50F71">
            <w:pPr>
              <w:pStyle w:val="Tabletext"/>
              <w:rPr>
                <w:szCs w:val="19"/>
              </w:rPr>
            </w:pPr>
            <w:r w:rsidRPr="00716528">
              <w:rPr>
                <w:szCs w:val="19"/>
              </w:rPr>
              <w:t>17</w:t>
            </w:r>
          </w:p>
        </w:tc>
      </w:tr>
      <w:tr w:rsidR="0070286D" w:rsidRPr="008E6CEF" w14:paraId="5C08978C" w14:textId="77777777" w:rsidTr="00B178E4">
        <w:trPr>
          <w:cantSplit/>
          <w:trHeight w:val="20"/>
        </w:trPr>
        <w:tc>
          <w:tcPr>
            <w:tcW w:w="3657" w:type="dxa"/>
          </w:tcPr>
          <w:p w14:paraId="06939F06" w14:textId="77777777" w:rsidR="008E6CEF" w:rsidRPr="00716528" w:rsidRDefault="008E6CEF" w:rsidP="00B50F71">
            <w:pPr>
              <w:pStyle w:val="Tabletext"/>
              <w:rPr>
                <w:szCs w:val="19"/>
              </w:rPr>
            </w:pPr>
            <w:r w:rsidRPr="00716528">
              <w:rPr>
                <w:szCs w:val="19"/>
              </w:rPr>
              <w:t>Time from first diagnosis of metastatic disease until first dose of trial medication (months)</w:t>
            </w:r>
          </w:p>
        </w:tc>
        <w:tc>
          <w:tcPr>
            <w:tcW w:w="1800" w:type="dxa"/>
          </w:tcPr>
          <w:p w14:paraId="68485F47" w14:textId="77777777" w:rsidR="008E6CEF" w:rsidRPr="00716528" w:rsidRDefault="008E6CEF" w:rsidP="00B50F71">
            <w:pPr>
              <w:pStyle w:val="Tabletext"/>
              <w:rPr>
                <w:szCs w:val="19"/>
              </w:rPr>
            </w:pPr>
            <w:r w:rsidRPr="00716528">
              <w:rPr>
                <w:szCs w:val="19"/>
              </w:rPr>
              <w:t>Mean (SD)</w:t>
            </w:r>
          </w:p>
          <w:p w14:paraId="3B7C062D" w14:textId="77777777" w:rsidR="008E6CEF" w:rsidRPr="00716528" w:rsidRDefault="008E6CEF" w:rsidP="00B50F71">
            <w:pPr>
              <w:pStyle w:val="Tabletext"/>
              <w:rPr>
                <w:szCs w:val="19"/>
              </w:rPr>
            </w:pPr>
            <w:r w:rsidRPr="00716528">
              <w:rPr>
                <w:szCs w:val="19"/>
              </w:rPr>
              <w:t>Median</w:t>
            </w:r>
          </w:p>
          <w:p w14:paraId="2005CEF5" w14:textId="77777777" w:rsidR="008E6CEF" w:rsidRPr="00716528" w:rsidRDefault="008E6CEF" w:rsidP="00B50F71">
            <w:pPr>
              <w:pStyle w:val="Tabletext"/>
              <w:rPr>
                <w:szCs w:val="19"/>
              </w:rPr>
            </w:pPr>
            <w:r w:rsidRPr="00716528">
              <w:rPr>
                <w:szCs w:val="19"/>
              </w:rPr>
              <w:t>Range</w:t>
            </w:r>
          </w:p>
        </w:tc>
        <w:tc>
          <w:tcPr>
            <w:tcW w:w="1620" w:type="dxa"/>
          </w:tcPr>
          <w:p w14:paraId="19E141FB" w14:textId="77777777" w:rsidR="008E6CEF" w:rsidRPr="00716528" w:rsidRDefault="008E6CEF" w:rsidP="00B50F71">
            <w:pPr>
              <w:pStyle w:val="Tabletext"/>
              <w:rPr>
                <w:szCs w:val="19"/>
              </w:rPr>
            </w:pPr>
            <w:r w:rsidRPr="00716528">
              <w:rPr>
                <w:szCs w:val="19"/>
              </w:rPr>
              <w:t>1.7 (1.3)</w:t>
            </w:r>
          </w:p>
          <w:p w14:paraId="71ACFDC4" w14:textId="77777777" w:rsidR="008E6CEF" w:rsidRPr="00716528" w:rsidRDefault="008E6CEF" w:rsidP="00B50F71">
            <w:pPr>
              <w:pStyle w:val="Tabletext"/>
              <w:rPr>
                <w:szCs w:val="19"/>
              </w:rPr>
            </w:pPr>
            <w:r w:rsidRPr="00716528">
              <w:rPr>
                <w:szCs w:val="19"/>
              </w:rPr>
              <w:t>1.48</w:t>
            </w:r>
          </w:p>
          <w:p w14:paraId="14904244" w14:textId="6339E5E3" w:rsidR="008E6CEF" w:rsidRPr="00716528" w:rsidRDefault="008E6CEF" w:rsidP="00B50F71">
            <w:pPr>
              <w:pStyle w:val="Tabletext"/>
              <w:rPr>
                <w:szCs w:val="19"/>
              </w:rPr>
            </w:pPr>
            <w:r w:rsidRPr="00716528">
              <w:rPr>
                <w:szCs w:val="19"/>
              </w:rPr>
              <w:t>0.1</w:t>
            </w:r>
            <w:r w:rsidR="00D00032">
              <w:rPr>
                <w:szCs w:val="19"/>
              </w:rPr>
              <w:t xml:space="preserve"> to </w:t>
            </w:r>
            <w:r w:rsidRPr="00716528">
              <w:rPr>
                <w:szCs w:val="19"/>
              </w:rPr>
              <w:t>9.9</w:t>
            </w:r>
          </w:p>
        </w:tc>
        <w:tc>
          <w:tcPr>
            <w:tcW w:w="1800" w:type="dxa"/>
          </w:tcPr>
          <w:p w14:paraId="7D4ADA21" w14:textId="77777777" w:rsidR="008E6CEF" w:rsidRPr="00716528" w:rsidRDefault="008E6CEF" w:rsidP="00B50F71">
            <w:pPr>
              <w:pStyle w:val="Tabletext"/>
              <w:rPr>
                <w:szCs w:val="19"/>
              </w:rPr>
            </w:pPr>
            <w:r w:rsidRPr="00716528">
              <w:rPr>
                <w:szCs w:val="19"/>
              </w:rPr>
              <w:t>2.9 (6.2)</w:t>
            </w:r>
          </w:p>
          <w:p w14:paraId="3B9F235E" w14:textId="77777777" w:rsidR="008E6CEF" w:rsidRPr="00716528" w:rsidRDefault="008E6CEF" w:rsidP="00B50F71">
            <w:pPr>
              <w:pStyle w:val="Tabletext"/>
              <w:rPr>
                <w:szCs w:val="19"/>
              </w:rPr>
            </w:pPr>
            <w:r w:rsidRPr="00716528">
              <w:rPr>
                <w:szCs w:val="19"/>
              </w:rPr>
              <w:t>1.64</w:t>
            </w:r>
          </w:p>
          <w:p w14:paraId="631C9EE5" w14:textId="3F351719" w:rsidR="008E6CEF" w:rsidRPr="00716528" w:rsidRDefault="008E6CEF" w:rsidP="00B50F71">
            <w:pPr>
              <w:pStyle w:val="Tabletext"/>
              <w:rPr>
                <w:szCs w:val="19"/>
              </w:rPr>
            </w:pPr>
            <w:r w:rsidRPr="00716528">
              <w:rPr>
                <w:szCs w:val="19"/>
              </w:rPr>
              <w:t>0.1</w:t>
            </w:r>
            <w:r w:rsidR="00D00032">
              <w:rPr>
                <w:szCs w:val="19"/>
              </w:rPr>
              <w:t xml:space="preserve"> to </w:t>
            </w:r>
            <w:r w:rsidRPr="00716528">
              <w:rPr>
                <w:szCs w:val="19"/>
              </w:rPr>
              <w:t>50.8</w:t>
            </w:r>
          </w:p>
        </w:tc>
      </w:tr>
      <w:tr w:rsidR="0070286D" w:rsidRPr="008E6CEF" w14:paraId="7D47441B" w14:textId="77777777" w:rsidTr="00B178E4">
        <w:trPr>
          <w:trHeight w:val="20"/>
        </w:trPr>
        <w:tc>
          <w:tcPr>
            <w:tcW w:w="3657" w:type="dxa"/>
          </w:tcPr>
          <w:p w14:paraId="50AAC653" w14:textId="77777777" w:rsidR="008E6CEF" w:rsidRPr="00716528" w:rsidRDefault="008E6CEF" w:rsidP="00B50F71">
            <w:pPr>
              <w:pStyle w:val="Tabletext"/>
              <w:rPr>
                <w:szCs w:val="19"/>
              </w:rPr>
            </w:pPr>
            <w:r w:rsidRPr="00B50F71">
              <w:rPr>
                <w:i/>
                <w:iCs/>
                <w:szCs w:val="19"/>
              </w:rPr>
              <w:t>KRAS</w:t>
            </w:r>
            <w:r w:rsidRPr="00716528">
              <w:rPr>
                <w:szCs w:val="19"/>
              </w:rPr>
              <w:t xml:space="preserve"> mutation status</w:t>
            </w:r>
          </w:p>
        </w:tc>
        <w:tc>
          <w:tcPr>
            <w:tcW w:w="1800" w:type="dxa"/>
          </w:tcPr>
          <w:p w14:paraId="428750A5" w14:textId="77777777" w:rsidR="008E6CEF" w:rsidRPr="00716528" w:rsidRDefault="008E6CEF" w:rsidP="00B50F71">
            <w:pPr>
              <w:pStyle w:val="Tabletext"/>
              <w:rPr>
                <w:szCs w:val="19"/>
              </w:rPr>
            </w:pPr>
            <w:r w:rsidRPr="00716528">
              <w:rPr>
                <w:szCs w:val="19"/>
              </w:rPr>
              <w:t>Positive</w:t>
            </w:r>
          </w:p>
          <w:p w14:paraId="5C2D9265" w14:textId="77777777" w:rsidR="008E6CEF" w:rsidRPr="00716528" w:rsidRDefault="008E6CEF" w:rsidP="00B50F71">
            <w:pPr>
              <w:pStyle w:val="Tabletext"/>
              <w:rPr>
                <w:szCs w:val="19"/>
              </w:rPr>
            </w:pPr>
            <w:r w:rsidRPr="00716528">
              <w:rPr>
                <w:szCs w:val="19"/>
              </w:rPr>
              <w:t>Negative</w:t>
            </w:r>
          </w:p>
          <w:p w14:paraId="5B561F55" w14:textId="77777777" w:rsidR="008E6CEF" w:rsidRPr="00716528" w:rsidRDefault="008E6CEF" w:rsidP="00B50F71">
            <w:pPr>
              <w:pStyle w:val="Tabletext"/>
              <w:rPr>
                <w:szCs w:val="19"/>
              </w:rPr>
            </w:pPr>
            <w:r w:rsidRPr="00716528">
              <w:rPr>
                <w:szCs w:val="19"/>
              </w:rPr>
              <w:t>Unknown</w:t>
            </w:r>
          </w:p>
        </w:tc>
        <w:tc>
          <w:tcPr>
            <w:tcW w:w="1620" w:type="dxa"/>
          </w:tcPr>
          <w:p w14:paraId="11FCD646" w14:textId="77777777" w:rsidR="008E6CEF" w:rsidRPr="00716528" w:rsidRDefault="008E6CEF" w:rsidP="00B50F71">
            <w:pPr>
              <w:pStyle w:val="Tabletext"/>
              <w:rPr>
                <w:szCs w:val="19"/>
              </w:rPr>
            </w:pPr>
            <w:r w:rsidRPr="00716528">
              <w:rPr>
                <w:szCs w:val="19"/>
              </w:rPr>
              <w:t>7</w:t>
            </w:r>
          </w:p>
          <w:p w14:paraId="2BB4FF77" w14:textId="77777777" w:rsidR="008E6CEF" w:rsidRPr="00716528" w:rsidRDefault="008E6CEF" w:rsidP="00B50F71">
            <w:pPr>
              <w:pStyle w:val="Tabletext"/>
              <w:rPr>
                <w:szCs w:val="19"/>
              </w:rPr>
            </w:pPr>
            <w:r w:rsidRPr="00716528">
              <w:rPr>
                <w:szCs w:val="19"/>
              </w:rPr>
              <w:t>6</w:t>
            </w:r>
          </w:p>
          <w:p w14:paraId="59B94F5F" w14:textId="77777777" w:rsidR="008E6CEF" w:rsidRPr="00716528" w:rsidRDefault="008E6CEF" w:rsidP="00B50F71">
            <w:pPr>
              <w:pStyle w:val="Tabletext"/>
              <w:rPr>
                <w:szCs w:val="19"/>
              </w:rPr>
            </w:pPr>
            <w:r w:rsidRPr="00716528">
              <w:rPr>
                <w:szCs w:val="19"/>
              </w:rPr>
              <w:t>87</w:t>
            </w:r>
          </w:p>
        </w:tc>
        <w:tc>
          <w:tcPr>
            <w:tcW w:w="1800" w:type="dxa"/>
          </w:tcPr>
          <w:p w14:paraId="3526D2DE" w14:textId="77777777" w:rsidR="008E6CEF" w:rsidRPr="00716528" w:rsidRDefault="008E6CEF" w:rsidP="00B50F71">
            <w:pPr>
              <w:pStyle w:val="Tabletext"/>
              <w:rPr>
                <w:szCs w:val="19"/>
              </w:rPr>
            </w:pPr>
            <w:r w:rsidRPr="00716528">
              <w:rPr>
                <w:szCs w:val="19"/>
              </w:rPr>
              <w:t>3</w:t>
            </w:r>
          </w:p>
          <w:p w14:paraId="2D7462F2" w14:textId="77777777" w:rsidR="008E6CEF" w:rsidRPr="00716528" w:rsidRDefault="008E6CEF" w:rsidP="00B50F71">
            <w:pPr>
              <w:pStyle w:val="Tabletext"/>
              <w:rPr>
                <w:szCs w:val="19"/>
              </w:rPr>
            </w:pPr>
            <w:r w:rsidRPr="00716528">
              <w:rPr>
                <w:szCs w:val="19"/>
              </w:rPr>
              <w:t>12</w:t>
            </w:r>
          </w:p>
          <w:p w14:paraId="65049EA6" w14:textId="77777777" w:rsidR="008E6CEF" w:rsidRPr="00716528" w:rsidRDefault="008E6CEF" w:rsidP="00B50F71">
            <w:pPr>
              <w:pStyle w:val="Tabletext"/>
              <w:rPr>
                <w:szCs w:val="19"/>
              </w:rPr>
            </w:pPr>
            <w:r w:rsidRPr="00716528">
              <w:rPr>
                <w:szCs w:val="19"/>
              </w:rPr>
              <w:t>85</w:t>
            </w:r>
          </w:p>
        </w:tc>
      </w:tr>
      <w:tr w:rsidR="0070286D" w:rsidRPr="008E6CEF" w14:paraId="6F04F8EF" w14:textId="77777777" w:rsidTr="00B178E4">
        <w:trPr>
          <w:trHeight w:val="20"/>
        </w:trPr>
        <w:tc>
          <w:tcPr>
            <w:tcW w:w="3657" w:type="dxa"/>
          </w:tcPr>
          <w:p w14:paraId="320CBF0A" w14:textId="77777777" w:rsidR="008E6CEF" w:rsidRPr="00716528" w:rsidRDefault="008E6CEF" w:rsidP="00B50F71">
            <w:pPr>
              <w:pStyle w:val="Tabletext"/>
              <w:rPr>
                <w:szCs w:val="19"/>
              </w:rPr>
            </w:pPr>
            <w:r w:rsidRPr="00B178E4">
              <w:rPr>
                <w:i/>
                <w:szCs w:val="19"/>
              </w:rPr>
              <w:t>EGFR</w:t>
            </w:r>
            <w:r w:rsidRPr="00716528">
              <w:rPr>
                <w:szCs w:val="19"/>
              </w:rPr>
              <w:t xml:space="preserve"> mutation status</w:t>
            </w:r>
          </w:p>
        </w:tc>
        <w:tc>
          <w:tcPr>
            <w:tcW w:w="1800" w:type="dxa"/>
          </w:tcPr>
          <w:p w14:paraId="2E09A698" w14:textId="77777777" w:rsidR="008E6CEF" w:rsidRPr="00716528" w:rsidRDefault="008E6CEF" w:rsidP="00B50F71">
            <w:pPr>
              <w:pStyle w:val="Tabletext"/>
              <w:rPr>
                <w:szCs w:val="19"/>
              </w:rPr>
            </w:pPr>
            <w:r w:rsidRPr="00716528">
              <w:rPr>
                <w:szCs w:val="19"/>
              </w:rPr>
              <w:t>Positive</w:t>
            </w:r>
          </w:p>
          <w:p w14:paraId="4348E564" w14:textId="77777777" w:rsidR="008E6CEF" w:rsidRPr="00716528" w:rsidRDefault="008E6CEF" w:rsidP="00B50F71">
            <w:pPr>
              <w:pStyle w:val="Tabletext"/>
              <w:rPr>
                <w:szCs w:val="19"/>
              </w:rPr>
            </w:pPr>
            <w:r w:rsidRPr="00716528">
              <w:rPr>
                <w:szCs w:val="19"/>
              </w:rPr>
              <w:lastRenderedPageBreak/>
              <w:t>Negative</w:t>
            </w:r>
          </w:p>
          <w:p w14:paraId="5E9514CD" w14:textId="77777777" w:rsidR="008E6CEF" w:rsidRPr="00716528" w:rsidRDefault="008E6CEF" w:rsidP="00B50F71">
            <w:pPr>
              <w:pStyle w:val="Tabletext"/>
              <w:rPr>
                <w:szCs w:val="19"/>
              </w:rPr>
            </w:pPr>
            <w:r w:rsidRPr="00716528">
              <w:rPr>
                <w:szCs w:val="19"/>
              </w:rPr>
              <w:t>Unknown</w:t>
            </w:r>
          </w:p>
        </w:tc>
        <w:tc>
          <w:tcPr>
            <w:tcW w:w="1620" w:type="dxa"/>
          </w:tcPr>
          <w:p w14:paraId="184BF6C2" w14:textId="77777777" w:rsidR="008E6CEF" w:rsidRPr="00716528" w:rsidRDefault="008E6CEF" w:rsidP="00B50F71">
            <w:pPr>
              <w:pStyle w:val="Tabletext"/>
              <w:rPr>
                <w:szCs w:val="19"/>
              </w:rPr>
            </w:pPr>
            <w:r w:rsidRPr="00716528">
              <w:rPr>
                <w:szCs w:val="19"/>
              </w:rPr>
              <w:lastRenderedPageBreak/>
              <w:t>0</w:t>
            </w:r>
          </w:p>
          <w:p w14:paraId="354634BD" w14:textId="77777777" w:rsidR="008E6CEF" w:rsidRPr="00716528" w:rsidRDefault="008E6CEF" w:rsidP="00B50F71">
            <w:pPr>
              <w:pStyle w:val="Tabletext"/>
              <w:rPr>
                <w:szCs w:val="19"/>
              </w:rPr>
            </w:pPr>
            <w:r w:rsidRPr="00716528">
              <w:rPr>
                <w:szCs w:val="19"/>
              </w:rPr>
              <w:lastRenderedPageBreak/>
              <w:t>80</w:t>
            </w:r>
          </w:p>
          <w:p w14:paraId="6161FC57" w14:textId="77777777" w:rsidR="008E6CEF" w:rsidRPr="00716528" w:rsidRDefault="008E6CEF" w:rsidP="00B50F71">
            <w:pPr>
              <w:pStyle w:val="Tabletext"/>
              <w:rPr>
                <w:szCs w:val="19"/>
              </w:rPr>
            </w:pPr>
            <w:r w:rsidRPr="00716528">
              <w:rPr>
                <w:szCs w:val="19"/>
              </w:rPr>
              <w:t>20</w:t>
            </w:r>
          </w:p>
        </w:tc>
        <w:tc>
          <w:tcPr>
            <w:tcW w:w="1800" w:type="dxa"/>
          </w:tcPr>
          <w:p w14:paraId="071A92F7" w14:textId="77777777" w:rsidR="008E6CEF" w:rsidRPr="00716528" w:rsidRDefault="008E6CEF" w:rsidP="00B50F71">
            <w:pPr>
              <w:pStyle w:val="Tabletext"/>
              <w:rPr>
                <w:szCs w:val="19"/>
              </w:rPr>
            </w:pPr>
            <w:r w:rsidRPr="00716528">
              <w:rPr>
                <w:szCs w:val="19"/>
              </w:rPr>
              <w:lastRenderedPageBreak/>
              <w:t>0</w:t>
            </w:r>
          </w:p>
          <w:p w14:paraId="2184BCCA" w14:textId="77777777" w:rsidR="008E6CEF" w:rsidRPr="00716528" w:rsidRDefault="008E6CEF" w:rsidP="00B50F71">
            <w:pPr>
              <w:pStyle w:val="Tabletext"/>
              <w:rPr>
                <w:szCs w:val="19"/>
              </w:rPr>
            </w:pPr>
            <w:r w:rsidRPr="00716528">
              <w:rPr>
                <w:szCs w:val="19"/>
              </w:rPr>
              <w:lastRenderedPageBreak/>
              <w:t>77</w:t>
            </w:r>
          </w:p>
          <w:p w14:paraId="7C4B478D" w14:textId="77777777" w:rsidR="008E6CEF" w:rsidRPr="00716528" w:rsidRDefault="008E6CEF" w:rsidP="00B50F71">
            <w:pPr>
              <w:pStyle w:val="Tabletext"/>
              <w:rPr>
                <w:szCs w:val="19"/>
              </w:rPr>
            </w:pPr>
            <w:r w:rsidRPr="00716528">
              <w:rPr>
                <w:szCs w:val="19"/>
              </w:rPr>
              <w:t>23</w:t>
            </w:r>
          </w:p>
        </w:tc>
      </w:tr>
    </w:tbl>
    <w:p w14:paraId="1BA53115" w14:textId="54E07A20" w:rsidR="0070286D" w:rsidRPr="00B31ACA" w:rsidRDefault="00D00032" w:rsidP="00B31ACA">
      <w:pPr>
        <w:pStyle w:val="TableDescription"/>
      </w:pPr>
      <w:r w:rsidRPr="00B31ACA">
        <w:lastRenderedPageBreak/>
        <w:t xml:space="preserve">Abbreviations: </w:t>
      </w:r>
      <w:r w:rsidR="0070286D" w:rsidRPr="00B31ACA">
        <w:t xml:space="preserve">ECOG = </w:t>
      </w:r>
      <w:r w:rsidR="008159EE" w:rsidRPr="00B31ACA">
        <w:t>Eastern Cooperative Oncology Group</w:t>
      </w:r>
      <w:r w:rsidR="00725DB0" w:rsidRPr="00B31ACA">
        <w:t xml:space="preserve">; EGFR = epidermal growth factor receptor; </w:t>
      </w:r>
      <w:r w:rsidR="00C22682" w:rsidRPr="00B31ACA">
        <w:t xml:space="preserve">IC = immune cell; </w:t>
      </w:r>
      <w:r w:rsidR="00725DB0" w:rsidRPr="00B31ACA">
        <w:t xml:space="preserve">N = total number of subjects; </w:t>
      </w:r>
      <w:r w:rsidR="0070286D" w:rsidRPr="00B31ACA">
        <w:t xml:space="preserve">PD-L1 = </w:t>
      </w:r>
      <w:r w:rsidR="008159EE" w:rsidRPr="00B31ACA">
        <w:t>programmed death-ligand 1</w:t>
      </w:r>
      <w:r w:rsidR="00725DB0" w:rsidRPr="00B31ACA">
        <w:t xml:space="preserve">; SD = standard deviation; </w:t>
      </w:r>
      <w:r w:rsidR="0070286D" w:rsidRPr="00B31ACA">
        <w:t>SLD = sum of longest diameters</w:t>
      </w:r>
      <w:r w:rsidR="00C22682" w:rsidRPr="00B31ACA">
        <w:t>; TC = tumour cell.</w:t>
      </w:r>
    </w:p>
    <w:p w14:paraId="7BBC34BD" w14:textId="7BC5DB21" w:rsidR="003B1C34" w:rsidRPr="00B31ACA" w:rsidRDefault="003B1C34" w:rsidP="00B31ACA">
      <w:pPr>
        <w:pStyle w:val="TableDescription"/>
      </w:pPr>
      <w:r w:rsidRPr="00B31ACA">
        <w:t>TC3 or IC3 denotes PD-L1 expression on ≥</w:t>
      </w:r>
      <w:r w:rsidR="002F6D11" w:rsidRPr="00B31ACA">
        <w:t xml:space="preserve"> </w:t>
      </w:r>
      <w:r w:rsidRPr="00B31ACA">
        <w:t xml:space="preserve">50% of </w:t>
      </w:r>
      <w:r w:rsidR="002F6D11" w:rsidRPr="00B31ACA">
        <w:t>tumour cells</w:t>
      </w:r>
      <w:r w:rsidRPr="00B31ACA">
        <w:t xml:space="preserve"> or on ≥</w:t>
      </w:r>
      <w:r w:rsidR="002F6D11" w:rsidRPr="00B31ACA">
        <w:t xml:space="preserve"> </w:t>
      </w:r>
      <w:r w:rsidRPr="00B31ACA">
        <w:t xml:space="preserve">10% of </w:t>
      </w:r>
      <w:r w:rsidR="002F6D11" w:rsidRPr="00B31ACA">
        <w:t>immune cells</w:t>
      </w:r>
      <w:r w:rsidRPr="00B31ACA">
        <w:t xml:space="preserve"> (</w:t>
      </w:r>
      <w:r w:rsidR="002F6D11" w:rsidRPr="00B31ACA">
        <w:t>PD-L1 expression ‘</w:t>
      </w:r>
      <w:r w:rsidRPr="00B31ACA">
        <w:t>high</w:t>
      </w:r>
      <w:r w:rsidR="002F6D11" w:rsidRPr="00B31ACA">
        <w:t>’</w:t>
      </w:r>
      <w:r w:rsidRPr="00B31ACA">
        <w:t>)</w:t>
      </w:r>
      <w:r w:rsidR="002F6D11" w:rsidRPr="00B31ACA">
        <w:t>.</w:t>
      </w:r>
    </w:p>
    <w:p w14:paraId="00D0BDF7" w14:textId="77777777" w:rsidR="00210E11" w:rsidRDefault="00210E11" w:rsidP="00210E11">
      <w:pPr>
        <w:pStyle w:val="Heading4"/>
      </w:pPr>
      <w:r>
        <w:t>Results</w:t>
      </w:r>
    </w:p>
    <w:p w14:paraId="631459B0" w14:textId="76CB04C9" w:rsidR="00210E11" w:rsidRDefault="00210E11" w:rsidP="009E1C2D">
      <w:pPr>
        <w:pStyle w:val="Heading5"/>
        <w:tabs>
          <w:tab w:val="right" w:pos="8504"/>
        </w:tabs>
      </w:pPr>
      <w:bookmarkStart w:id="47" w:name="_Ref56092319"/>
      <w:bookmarkStart w:id="48" w:name="_Ref106761028"/>
      <w:r>
        <w:t>P</w:t>
      </w:r>
      <w:r w:rsidRPr="00AA53F4">
        <w:t xml:space="preserve">opulation </w:t>
      </w:r>
      <w:bookmarkEnd w:id="47"/>
      <w:r w:rsidR="001E01BA">
        <w:t>pharmacokinetics</w:t>
      </w:r>
      <w:bookmarkEnd w:id="48"/>
    </w:p>
    <w:p w14:paraId="1EC18E2E" w14:textId="0C5446B8" w:rsidR="00210E11" w:rsidRDefault="00210E11" w:rsidP="00E667E9">
      <w:r>
        <w:t>A decrease in clearance tends to occur over time during therapy with PD-(L)1 inhibitors.</w:t>
      </w:r>
      <w:bookmarkStart w:id="49" w:name="_Ref106427999"/>
      <w:r>
        <w:rPr>
          <w:rStyle w:val="FootnoteReference"/>
          <w:iCs/>
        </w:rPr>
        <w:footnoteReference w:id="17"/>
      </w:r>
      <w:bookmarkEnd w:id="49"/>
      <w:r>
        <w:rPr>
          <w:vertAlign w:val="superscript"/>
        </w:rPr>
        <w:t>,</w:t>
      </w:r>
      <w:bookmarkStart w:id="50" w:name="_Ref106428002"/>
      <w:r>
        <w:rPr>
          <w:rStyle w:val="FootnoteReference"/>
          <w:iCs/>
        </w:rPr>
        <w:footnoteReference w:id="18"/>
      </w:r>
      <w:bookmarkEnd w:id="50"/>
      <w:r>
        <w:rPr>
          <w:vertAlign w:val="superscript"/>
        </w:rPr>
        <w:t>,</w:t>
      </w:r>
      <w:r>
        <w:rPr>
          <w:rStyle w:val="FootnoteReference"/>
          <w:iCs/>
        </w:rPr>
        <w:footnoteReference w:id="19"/>
      </w:r>
      <w:r w:rsidR="0042377B">
        <w:t xml:space="preserve"> </w:t>
      </w:r>
      <w:r w:rsidRPr="009245A1">
        <w:t>A</w:t>
      </w:r>
      <w:r>
        <w:t>lthough the decrease is not considered clinically relevant,</w:t>
      </w:r>
      <w:r w:rsidRPr="009245A1">
        <w:t xml:space="preserve"> the</w:t>
      </w:r>
      <w:r>
        <w:t xml:space="preserve"> </w:t>
      </w:r>
      <w:r w:rsidRPr="009245A1">
        <w:t xml:space="preserve">magnitude of decrease in </w:t>
      </w:r>
      <w:r w:rsidR="004E29CD">
        <w:t>clearance</w:t>
      </w:r>
      <w:r w:rsidRPr="009245A1">
        <w:t xml:space="preserve"> </w:t>
      </w:r>
      <w:r>
        <w:t>has been</w:t>
      </w:r>
      <w:r w:rsidRPr="009245A1">
        <w:t xml:space="preserve"> found to be associ</w:t>
      </w:r>
      <w:r>
        <w:t>ated with best overall response.</w:t>
      </w:r>
      <w:r w:rsidRPr="00210E11">
        <w:rPr>
          <w:vertAlign w:val="superscript"/>
        </w:rPr>
        <w:fldChar w:fldCharType="begin"/>
      </w:r>
      <w:r w:rsidRPr="00210E11">
        <w:rPr>
          <w:vertAlign w:val="superscript"/>
        </w:rPr>
        <w:instrText xml:space="preserve"> NOTEREF _Ref106427999 \h </w:instrText>
      </w:r>
      <w:r>
        <w:rPr>
          <w:vertAlign w:val="superscript"/>
        </w:rPr>
        <w:instrText xml:space="preserve"> \* MERGEFORMAT </w:instrText>
      </w:r>
      <w:r w:rsidRPr="00210E11">
        <w:rPr>
          <w:vertAlign w:val="superscript"/>
        </w:rPr>
      </w:r>
      <w:r w:rsidRPr="00210E11">
        <w:rPr>
          <w:vertAlign w:val="superscript"/>
        </w:rPr>
        <w:fldChar w:fldCharType="separate"/>
      </w:r>
      <w:r w:rsidR="00C05B15">
        <w:rPr>
          <w:vertAlign w:val="superscript"/>
        </w:rPr>
        <w:t>17</w:t>
      </w:r>
      <w:r w:rsidRPr="00210E11">
        <w:rPr>
          <w:vertAlign w:val="superscript"/>
        </w:rPr>
        <w:fldChar w:fldCharType="end"/>
      </w:r>
      <w:r w:rsidRPr="00210E11">
        <w:rPr>
          <w:vertAlign w:val="superscript"/>
        </w:rPr>
        <w:t>,</w:t>
      </w:r>
      <w:r w:rsidRPr="00210E11">
        <w:rPr>
          <w:vertAlign w:val="superscript"/>
        </w:rPr>
        <w:fldChar w:fldCharType="begin"/>
      </w:r>
      <w:r w:rsidRPr="00210E11">
        <w:rPr>
          <w:vertAlign w:val="superscript"/>
        </w:rPr>
        <w:instrText xml:space="preserve"> NOTEREF _Ref106428002 \h </w:instrText>
      </w:r>
      <w:r>
        <w:rPr>
          <w:vertAlign w:val="superscript"/>
        </w:rPr>
        <w:instrText xml:space="preserve"> \* MERGEFORMAT </w:instrText>
      </w:r>
      <w:r w:rsidRPr="00210E11">
        <w:rPr>
          <w:vertAlign w:val="superscript"/>
        </w:rPr>
      </w:r>
      <w:r w:rsidRPr="00210E11">
        <w:rPr>
          <w:vertAlign w:val="superscript"/>
        </w:rPr>
        <w:fldChar w:fldCharType="separate"/>
      </w:r>
      <w:r w:rsidR="00C05B15">
        <w:rPr>
          <w:vertAlign w:val="superscript"/>
        </w:rPr>
        <w:t>18</w:t>
      </w:r>
      <w:r w:rsidRPr="00210E11">
        <w:rPr>
          <w:vertAlign w:val="superscript"/>
        </w:rPr>
        <w:fldChar w:fldCharType="end"/>
      </w:r>
      <w:r>
        <w:t xml:space="preserve"> That is, patients with more reduction in tumour size also seem to clear less drug (one hypothesis is that as the tumour shrinks, clearance decreases due to reduced tumour-related catabolism). </w:t>
      </w:r>
      <w:r w:rsidRPr="00CB25CB">
        <w:t xml:space="preserve">This correlation between </w:t>
      </w:r>
      <w:r>
        <w:t>a</w:t>
      </w:r>
      <w:r w:rsidRPr="00CB25CB">
        <w:t xml:space="preserve"> patients’ response category and change of </w:t>
      </w:r>
      <w:r w:rsidR="004E29CD">
        <w:t>clearance</w:t>
      </w:r>
      <w:r w:rsidRPr="00CB25CB">
        <w:t xml:space="preserve"> </w:t>
      </w:r>
      <w:r>
        <w:t>has</w:t>
      </w:r>
      <w:r w:rsidRPr="00CB25CB">
        <w:t xml:space="preserve"> important implications for exposure–response analyses. In a typical </w:t>
      </w:r>
      <w:r w:rsidR="000D2166" w:rsidRPr="00CB25CB">
        <w:t xml:space="preserve">exposure–response </w:t>
      </w:r>
      <w:r w:rsidRPr="00CB25CB">
        <w:t xml:space="preserve">analysis, the </w:t>
      </w:r>
      <w:r>
        <w:t xml:space="preserve">drug </w:t>
      </w:r>
      <w:r w:rsidRPr="00CB25CB">
        <w:t xml:space="preserve">exposure is assumed to be the cause and the response is considered the outcome. </w:t>
      </w:r>
      <w:r>
        <w:t>But i</w:t>
      </w:r>
      <w:r w:rsidRPr="00CB25CB">
        <w:t xml:space="preserve">f disease status influences </w:t>
      </w:r>
      <w:r w:rsidR="004E29CD">
        <w:t>clearance</w:t>
      </w:r>
      <w:r w:rsidRPr="00CB25CB">
        <w:t xml:space="preserve"> over time, the steady state drug exposure will be </w:t>
      </w:r>
      <w:r>
        <w:t>increased by the response, rather than the other way around.</w:t>
      </w:r>
      <w:r w:rsidRPr="00CB25CB">
        <w:t xml:space="preserve"> </w:t>
      </w:r>
      <w:r>
        <w:t>To minimise confounding</w:t>
      </w:r>
      <w:r w:rsidRPr="00F10C66">
        <w:t xml:space="preserve"> </w:t>
      </w:r>
      <w:r w:rsidRPr="009245A1">
        <w:t xml:space="preserve">due to </w:t>
      </w:r>
      <w:r>
        <w:t xml:space="preserve">response-related </w:t>
      </w:r>
      <w:r w:rsidRPr="009245A1">
        <w:t>time-varying clearance</w:t>
      </w:r>
      <w:r>
        <w:t xml:space="preserve">, it is recommended that only the </w:t>
      </w:r>
      <w:r w:rsidR="009E1C2D">
        <w:t>pharmacokinetic (</w:t>
      </w:r>
      <w:r>
        <w:t>PK</w:t>
      </w:r>
      <w:r w:rsidR="009E1C2D">
        <w:t>)</w:t>
      </w:r>
      <w:r>
        <w:t xml:space="preserve"> data from Cycle 1 are used to estimate </w:t>
      </w:r>
      <w:r w:rsidRPr="00CA20C1">
        <w:t>exposure.</w:t>
      </w:r>
      <w:r w:rsidRPr="00210E11">
        <w:rPr>
          <w:vertAlign w:val="superscript"/>
        </w:rPr>
        <w:fldChar w:fldCharType="begin"/>
      </w:r>
      <w:r w:rsidRPr="00210E11">
        <w:rPr>
          <w:vertAlign w:val="superscript"/>
        </w:rPr>
        <w:instrText xml:space="preserve"> NOTEREF _Ref106427999 \h </w:instrText>
      </w:r>
      <w:r>
        <w:rPr>
          <w:vertAlign w:val="superscript"/>
        </w:rPr>
        <w:instrText xml:space="preserve"> \* MERGEFORMAT </w:instrText>
      </w:r>
      <w:r w:rsidRPr="00210E11">
        <w:rPr>
          <w:vertAlign w:val="superscript"/>
        </w:rPr>
      </w:r>
      <w:r w:rsidRPr="00210E11">
        <w:rPr>
          <w:vertAlign w:val="superscript"/>
        </w:rPr>
        <w:fldChar w:fldCharType="separate"/>
      </w:r>
      <w:r w:rsidR="00C05B15">
        <w:rPr>
          <w:vertAlign w:val="superscript"/>
        </w:rPr>
        <w:t>17</w:t>
      </w:r>
      <w:r w:rsidRPr="00210E11">
        <w:rPr>
          <w:vertAlign w:val="superscript"/>
        </w:rPr>
        <w:fldChar w:fldCharType="end"/>
      </w:r>
      <w:r w:rsidRPr="00CA20C1">
        <w:t xml:space="preserve"> This is</w:t>
      </w:r>
      <w:r>
        <w:t xml:space="preserve"> the approach taken in the submitted </w:t>
      </w:r>
      <w:r w:rsidR="009E1C2D">
        <w:t>population pharmacokinetic (</w:t>
      </w:r>
      <w:proofErr w:type="spellStart"/>
      <w:r>
        <w:t>popPK</w:t>
      </w:r>
      <w:proofErr w:type="spellEnd"/>
      <w:r w:rsidR="009E1C2D">
        <w:t>)</w:t>
      </w:r>
      <w:r>
        <w:t xml:space="preserve"> </w:t>
      </w:r>
      <w:proofErr w:type="gramStart"/>
      <w:r>
        <w:t>analysis, and</w:t>
      </w:r>
      <w:proofErr w:type="gramEnd"/>
      <w:r>
        <w:t xml:space="preserve"> is considered appropriate.</w:t>
      </w:r>
    </w:p>
    <w:p w14:paraId="02784678" w14:textId="4B0307B3" w:rsidR="00210E11" w:rsidRDefault="009E1C2D" w:rsidP="00210E11">
      <w:r>
        <w:t xml:space="preserve">The submitted </w:t>
      </w:r>
      <w:proofErr w:type="spellStart"/>
      <w:r>
        <w:t>pop</w:t>
      </w:r>
      <w:r w:rsidR="00210E11">
        <w:t>PK</w:t>
      </w:r>
      <w:proofErr w:type="spellEnd"/>
      <w:r w:rsidR="00210E11">
        <w:t xml:space="preserve"> analysis consider</w:t>
      </w:r>
      <w:r w:rsidR="000D2166">
        <w:t>s the PK data from the pivotal Phase III</w:t>
      </w:r>
      <w:r w:rsidR="00210E11">
        <w:t xml:space="preserve"> </w:t>
      </w:r>
      <w:r w:rsidR="009258F9">
        <w:t>IMPOWER</w:t>
      </w:r>
      <w:r w:rsidR="00210E11">
        <w:t>110</w:t>
      </w:r>
      <w:r w:rsidR="000D2166">
        <w:t xml:space="preserve"> trial</w:t>
      </w:r>
      <w:r w:rsidR="00210E11">
        <w:t xml:space="preserve"> in context of the existing atezolizumab Phase I </w:t>
      </w:r>
      <w:proofErr w:type="spellStart"/>
      <w:r w:rsidR="00210E11">
        <w:t>popPK</w:t>
      </w:r>
      <w:proofErr w:type="spellEnd"/>
      <w:r w:rsidR="00210E11">
        <w:t xml:space="preserve"> model.</w:t>
      </w:r>
    </w:p>
    <w:p w14:paraId="11A2A7F0" w14:textId="133C7C5C" w:rsidR="00210E11" w:rsidRDefault="000D2166" w:rsidP="00210E11">
      <w:r>
        <w:rPr>
          <w:iCs/>
        </w:rPr>
        <w:t>The P</w:t>
      </w:r>
      <w:r w:rsidR="00210E11">
        <w:rPr>
          <w:iCs/>
        </w:rPr>
        <w:t xml:space="preserve">hase I </w:t>
      </w:r>
      <w:proofErr w:type="spellStart"/>
      <w:r w:rsidR="00210E11">
        <w:rPr>
          <w:iCs/>
        </w:rPr>
        <w:t>p</w:t>
      </w:r>
      <w:r w:rsidR="00210E11" w:rsidRPr="00695A4B">
        <w:rPr>
          <w:iCs/>
        </w:rPr>
        <w:t>opPK</w:t>
      </w:r>
      <w:proofErr w:type="spellEnd"/>
      <w:r w:rsidR="00210E11" w:rsidRPr="00695A4B">
        <w:rPr>
          <w:iCs/>
        </w:rPr>
        <w:t xml:space="preserve"> model and analyses were evaluated previously </w:t>
      </w:r>
      <w:r w:rsidR="00210E11">
        <w:rPr>
          <w:iCs/>
        </w:rPr>
        <w:t>by the TGA and Pharmacometrics Working G</w:t>
      </w:r>
      <w:r w:rsidR="00210E11" w:rsidRPr="00695A4B">
        <w:rPr>
          <w:iCs/>
        </w:rPr>
        <w:t xml:space="preserve">roup for </w:t>
      </w:r>
      <w:r w:rsidR="002C57C6">
        <w:rPr>
          <w:iCs/>
        </w:rPr>
        <w:t>S</w:t>
      </w:r>
      <w:r w:rsidR="00210E11" w:rsidRPr="00695A4B">
        <w:rPr>
          <w:iCs/>
        </w:rPr>
        <w:t>ubmissions PM-2016-02</w:t>
      </w:r>
      <w:r>
        <w:rPr>
          <w:iCs/>
        </w:rPr>
        <w:t>087-1-4</w:t>
      </w:r>
      <w:r w:rsidR="009E1C2D">
        <w:rPr>
          <w:iCs/>
        </w:rPr>
        <w:t>;</w:t>
      </w:r>
      <w:r w:rsidR="009E1C2D" w:rsidRPr="009E1C2D">
        <w:rPr>
          <w:iCs/>
          <w:vertAlign w:val="superscript"/>
        </w:rPr>
        <w:fldChar w:fldCharType="begin"/>
      </w:r>
      <w:r w:rsidR="009E1C2D" w:rsidRPr="009E1C2D">
        <w:rPr>
          <w:iCs/>
          <w:vertAlign w:val="superscript"/>
        </w:rPr>
        <w:instrText xml:space="preserve"> NOTEREF _Ref107385528 \h </w:instrText>
      </w:r>
      <w:r w:rsidR="009E1C2D">
        <w:rPr>
          <w:iCs/>
          <w:vertAlign w:val="superscript"/>
        </w:rPr>
        <w:instrText xml:space="preserve"> \* MERGEFORMAT </w:instrText>
      </w:r>
      <w:r w:rsidR="009E1C2D" w:rsidRPr="009E1C2D">
        <w:rPr>
          <w:iCs/>
          <w:vertAlign w:val="superscript"/>
        </w:rPr>
      </w:r>
      <w:r w:rsidR="009E1C2D" w:rsidRPr="009E1C2D">
        <w:rPr>
          <w:iCs/>
          <w:vertAlign w:val="superscript"/>
        </w:rPr>
        <w:fldChar w:fldCharType="separate"/>
      </w:r>
      <w:r w:rsidR="00C05B15">
        <w:rPr>
          <w:iCs/>
          <w:vertAlign w:val="superscript"/>
        </w:rPr>
        <w:t>9</w:t>
      </w:r>
      <w:r w:rsidR="009E1C2D" w:rsidRPr="009E1C2D">
        <w:rPr>
          <w:iCs/>
          <w:vertAlign w:val="superscript"/>
        </w:rPr>
        <w:fldChar w:fldCharType="end"/>
      </w:r>
      <w:r>
        <w:rPr>
          <w:iCs/>
        </w:rPr>
        <w:t xml:space="preserve"> and PM</w:t>
      </w:r>
      <w:r>
        <w:rPr>
          <w:iCs/>
        </w:rPr>
        <w:noBreakHyphen/>
        <w:t>2018</w:t>
      </w:r>
      <w:r>
        <w:rPr>
          <w:iCs/>
        </w:rPr>
        <w:noBreakHyphen/>
      </w:r>
      <w:r w:rsidR="00210E11">
        <w:rPr>
          <w:iCs/>
        </w:rPr>
        <w:t>02962-1-</w:t>
      </w:r>
      <w:proofErr w:type="gramStart"/>
      <w:r w:rsidR="00210E11">
        <w:rPr>
          <w:iCs/>
        </w:rPr>
        <w:t>4, a</w:t>
      </w:r>
      <w:r w:rsidR="00210E11" w:rsidRPr="00695A4B">
        <w:rPr>
          <w:iCs/>
        </w:rPr>
        <w:t>nd</w:t>
      </w:r>
      <w:proofErr w:type="gramEnd"/>
      <w:r w:rsidR="00210E11" w:rsidRPr="00695A4B">
        <w:rPr>
          <w:iCs/>
        </w:rPr>
        <w:t xml:space="preserve"> were considered appropriate and fit for purpose.</w:t>
      </w:r>
      <w:r w:rsidR="00210E11">
        <w:rPr>
          <w:iCs/>
        </w:rPr>
        <w:t xml:space="preserve"> </w:t>
      </w:r>
      <w:r w:rsidR="009E1C2D">
        <w:t>In the P</w:t>
      </w:r>
      <w:r w:rsidR="00210E11">
        <w:t>hase</w:t>
      </w:r>
      <w:r w:rsidR="007D374A">
        <w:t> </w:t>
      </w:r>
      <w:r w:rsidR="00210E11">
        <w:t xml:space="preserve">I </w:t>
      </w:r>
      <w:proofErr w:type="spellStart"/>
      <w:r w:rsidR="00210E11">
        <w:t>popPK</w:t>
      </w:r>
      <w:proofErr w:type="spellEnd"/>
      <w:r w:rsidR="00210E11">
        <w:t xml:space="preserve"> model</w:t>
      </w:r>
      <w:r w:rsidR="00210E11" w:rsidRPr="008C40DA">
        <w:t>, body weight, albu</w:t>
      </w:r>
      <w:r w:rsidR="00210E11">
        <w:t xml:space="preserve">min, tumour burden, and treatment-emergent anti-drug antibodies (ADA) were </w:t>
      </w:r>
      <w:r w:rsidR="00210E11" w:rsidRPr="008C40DA">
        <w:t>statisticall</w:t>
      </w:r>
      <w:r w:rsidR="00210E11">
        <w:t xml:space="preserve">y significant covariates for </w:t>
      </w:r>
      <w:r>
        <w:t>clearance</w:t>
      </w:r>
      <w:r w:rsidR="00210E11" w:rsidRPr="008C40DA">
        <w:t xml:space="preserve">. </w:t>
      </w:r>
      <w:r>
        <w:t>Unexplained inter</w:t>
      </w:r>
      <w:r>
        <w:noBreakHyphen/>
      </w:r>
      <w:r w:rsidR="00210E11">
        <w:t xml:space="preserve">individual variability for </w:t>
      </w:r>
      <w:r>
        <w:t>clearance</w:t>
      </w:r>
      <w:r w:rsidR="00210E11">
        <w:t xml:space="preserve"> was moderate for (29%). </w:t>
      </w:r>
      <w:r w:rsidR="00210E11" w:rsidRPr="00A45D03">
        <w:t xml:space="preserve">In treatment-emergent ADA positive patients, </w:t>
      </w:r>
      <w:r>
        <w:t>clearance</w:t>
      </w:r>
      <w:r w:rsidR="00210E11" w:rsidRPr="00A45D03">
        <w:t xml:space="preserve"> </w:t>
      </w:r>
      <w:r w:rsidR="00210E11">
        <w:t>was</w:t>
      </w:r>
      <w:r w:rsidR="00210E11" w:rsidRPr="00A45D03">
        <w:t xml:space="preserve"> estimated to be 16% higher than in ADA negative patients</w:t>
      </w:r>
      <w:r w:rsidR="00210E11" w:rsidRPr="00CF0313">
        <w:t xml:space="preserve">. </w:t>
      </w:r>
      <w:r w:rsidR="00210E11" w:rsidRPr="008C40DA">
        <w:t>No</w:t>
      </w:r>
      <w:r w:rsidR="00210E11">
        <w:t>ne of the</w:t>
      </w:r>
      <w:r w:rsidR="00210E11" w:rsidRPr="008C40DA">
        <w:t xml:space="preserve"> covaria</w:t>
      </w:r>
      <w:r w:rsidR="00210E11">
        <w:t xml:space="preserve">tes induced more than 27% change </w:t>
      </w:r>
      <w:r w:rsidR="00210E11" w:rsidRPr="008C40DA">
        <w:t>from the typical PK model parameter for extreme values</w:t>
      </w:r>
      <w:r w:rsidR="00210E11">
        <w:t>.</w:t>
      </w:r>
    </w:p>
    <w:p w14:paraId="28114B66" w14:textId="6F0B370B" w:rsidR="00210E11" w:rsidRDefault="00210E11" w:rsidP="00210E11">
      <w:r>
        <w:t xml:space="preserve">The new </w:t>
      </w:r>
      <w:proofErr w:type="spellStart"/>
      <w:r>
        <w:t>popPK</w:t>
      </w:r>
      <w:proofErr w:type="spellEnd"/>
      <w:r>
        <w:t xml:space="preserve"> report concludes that the </w:t>
      </w:r>
      <w:r w:rsidR="009258F9">
        <w:t>IMPOWER</w:t>
      </w:r>
      <w:r>
        <w:t xml:space="preserve">110 </w:t>
      </w:r>
      <w:r w:rsidR="000D2166">
        <w:t xml:space="preserve">trial </w:t>
      </w:r>
      <w:r>
        <w:t xml:space="preserve">PK was adequately predicted by the Phase I </w:t>
      </w:r>
      <w:proofErr w:type="spellStart"/>
      <w:r>
        <w:t>popPK</w:t>
      </w:r>
      <w:proofErr w:type="spellEnd"/>
      <w:r>
        <w:t xml:space="preserve"> model, and the co-variate effects were consistent.</w:t>
      </w:r>
    </w:p>
    <w:p w14:paraId="3A865E26" w14:textId="00590055" w:rsidR="00210E11" w:rsidRDefault="00210E11" w:rsidP="00210E11">
      <w:bookmarkStart w:id="51" w:name="poppk1"/>
      <w:bookmarkEnd w:id="51"/>
      <w:r>
        <w:rPr>
          <w:iCs/>
        </w:rPr>
        <w:t>The analysis of data from</w:t>
      </w:r>
      <w:r w:rsidR="000D2166">
        <w:rPr>
          <w:iCs/>
        </w:rPr>
        <w:t xml:space="preserve"> the</w:t>
      </w:r>
      <w:r>
        <w:rPr>
          <w:iCs/>
        </w:rPr>
        <w:t xml:space="preserve"> </w:t>
      </w:r>
      <w:r w:rsidR="009258F9">
        <w:rPr>
          <w:iCs/>
        </w:rPr>
        <w:t>IMPOWER</w:t>
      </w:r>
      <w:r>
        <w:rPr>
          <w:iCs/>
        </w:rPr>
        <w:t xml:space="preserve">110 </w:t>
      </w:r>
      <w:r w:rsidR="000D2166">
        <w:rPr>
          <w:iCs/>
        </w:rPr>
        <w:t xml:space="preserve">trial </w:t>
      </w:r>
      <w:r>
        <w:rPr>
          <w:iCs/>
        </w:rPr>
        <w:t xml:space="preserve">found </w:t>
      </w:r>
      <w:r w:rsidRPr="00695A4B">
        <w:rPr>
          <w:iCs/>
        </w:rPr>
        <w:t>a significant difference (p</w:t>
      </w:r>
      <w:r w:rsidR="000D2166">
        <w:rPr>
          <w:iCs/>
        </w:rPr>
        <w:t> </w:t>
      </w:r>
      <w:r w:rsidRPr="00695A4B">
        <w:rPr>
          <w:iCs/>
        </w:rPr>
        <w:t>&lt;</w:t>
      </w:r>
      <w:r w:rsidR="000D2166">
        <w:rPr>
          <w:iCs/>
        </w:rPr>
        <w:t> </w:t>
      </w:r>
      <w:r w:rsidRPr="00695A4B">
        <w:rPr>
          <w:iCs/>
        </w:rPr>
        <w:t>0.001) between atezolizumab clearance in ADA positive patients (mean</w:t>
      </w:r>
      <w:r w:rsidR="000D2166">
        <w:rPr>
          <w:iCs/>
        </w:rPr>
        <w:t> </w:t>
      </w:r>
      <w:r w:rsidRPr="00695A4B">
        <w:rPr>
          <w:iCs/>
        </w:rPr>
        <w:t>=</w:t>
      </w:r>
      <w:r w:rsidR="000D2166">
        <w:rPr>
          <w:iCs/>
        </w:rPr>
        <w:t> </w:t>
      </w:r>
      <w:r w:rsidRPr="00695A4B">
        <w:rPr>
          <w:iCs/>
        </w:rPr>
        <w:t>0.316 L/d</w:t>
      </w:r>
      <w:r w:rsidR="000D2166">
        <w:rPr>
          <w:iCs/>
        </w:rPr>
        <w:t xml:space="preserve">ay; standard deviation (SD) </w:t>
      </w:r>
      <w:r w:rsidRPr="00695A4B">
        <w:rPr>
          <w:iCs/>
        </w:rPr>
        <w:t>=</w:t>
      </w:r>
      <w:r w:rsidR="000D2166">
        <w:rPr>
          <w:iCs/>
        </w:rPr>
        <w:t> </w:t>
      </w:r>
      <w:r w:rsidRPr="00695A4B">
        <w:rPr>
          <w:iCs/>
        </w:rPr>
        <w:t>0.139) and ADA negative patients (mean</w:t>
      </w:r>
      <w:r w:rsidR="000D2166">
        <w:rPr>
          <w:iCs/>
        </w:rPr>
        <w:t> </w:t>
      </w:r>
      <w:r w:rsidRPr="00695A4B">
        <w:rPr>
          <w:iCs/>
        </w:rPr>
        <w:t>=</w:t>
      </w:r>
      <w:r w:rsidR="000D2166">
        <w:rPr>
          <w:iCs/>
        </w:rPr>
        <w:t> </w:t>
      </w:r>
      <w:r w:rsidRPr="00695A4B">
        <w:rPr>
          <w:iCs/>
        </w:rPr>
        <w:t>0.218 L/d</w:t>
      </w:r>
      <w:r w:rsidR="000D2166">
        <w:rPr>
          <w:iCs/>
        </w:rPr>
        <w:t>ay</w:t>
      </w:r>
      <w:r w:rsidRPr="00695A4B">
        <w:rPr>
          <w:iCs/>
        </w:rPr>
        <w:t>; SD</w:t>
      </w:r>
      <w:r w:rsidR="000D2166">
        <w:rPr>
          <w:iCs/>
        </w:rPr>
        <w:t xml:space="preserve"> </w:t>
      </w:r>
      <w:r w:rsidRPr="00695A4B">
        <w:rPr>
          <w:iCs/>
        </w:rPr>
        <w:t>=</w:t>
      </w:r>
      <w:r w:rsidR="000D2166">
        <w:rPr>
          <w:iCs/>
        </w:rPr>
        <w:t xml:space="preserve"> </w:t>
      </w:r>
      <w:r w:rsidRPr="00695A4B">
        <w:rPr>
          <w:iCs/>
        </w:rPr>
        <w:t xml:space="preserve">0.0801). </w:t>
      </w:r>
      <w:r>
        <w:rPr>
          <w:iCs/>
        </w:rPr>
        <w:lastRenderedPageBreak/>
        <w:t>However, the</w:t>
      </w:r>
      <w:r w:rsidRPr="00695A4B">
        <w:rPr>
          <w:iCs/>
        </w:rPr>
        <w:t xml:space="preserve"> mean </w:t>
      </w:r>
      <w:r w:rsidR="000D2166">
        <w:rPr>
          <w:iCs/>
        </w:rPr>
        <w:t>minimum concentration (</w:t>
      </w:r>
      <w:proofErr w:type="spellStart"/>
      <w:r w:rsidRPr="00695A4B">
        <w:rPr>
          <w:iCs/>
        </w:rPr>
        <w:t>C</w:t>
      </w:r>
      <w:r w:rsidRPr="00695A4B">
        <w:rPr>
          <w:iCs/>
          <w:vertAlign w:val="subscript"/>
        </w:rPr>
        <w:t>min</w:t>
      </w:r>
      <w:proofErr w:type="spellEnd"/>
      <w:r w:rsidR="000D2166">
        <w:rPr>
          <w:iCs/>
        </w:rPr>
        <w:t xml:space="preserve">) </w:t>
      </w:r>
      <w:r w:rsidRPr="00695A4B">
        <w:rPr>
          <w:iCs/>
        </w:rPr>
        <w:t xml:space="preserve">in </w:t>
      </w:r>
      <w:r>
        <w:rPr>
          <w:iCs/>
        </w:rPr>
        <w:t>ADA-</w:t>
      </w:r>
      <w:r w:rsidRPr="00695A4B">
        <w:rPr>
          <w:iCs/>
        </w:rPr>
        <w:t xml:space="preserve">positive subjects </w:t>
      </w:r>
      <w:r>
        <w:rPr>
          <w:iCs/>
        </w:rPr>
        <w:t xml:space="preserve">of 62 </w:t>
      </w:r>
      <w:r w:rsidR="007D374A">
        <w:rPr>
          <w:iCs/>
        </w:rPr>
        <w:t>µ</w:t>
      </w:r>
      <w:r>
        <w:rPr>
          <w:iCs/>
        </w:rPr>
        <w:t>g/mL (SD</w:t>
      </w:r>
      <w:r w:rsidR="000D2166">
        <w:rPr>
          <w:iCs/>
        </w:rPr>
        <w:t> </w:t>
      </w:r>
      <w:r>
        <w:rPr>
          <w:iCs/>
        </w:rPr>
        <w:t>=</w:t>
      </w:r>
      <w:r w:rsidR="000D2166">
        <w:rPr>
          <w:iCs/>
        </w:rPr>
        <w:t> </w:t>
      </w:r>
      <w:r>
        <w:rPr>
          <w:iCs/>
        </w:rPr>
        <w:t xml:space="preserve">23) still appears to be </w:t>
      </w:r>
      <w:r w:rsidRPr="00695A4B">
        <w:rPr>
          <w:iCs/>
        </w:rPr>
        <w:t xml:space="preserve">above the target trough </w:t>
      </w:r>
      <w:r>
        <w:rPr>
          <w:iCs/>
        </w:rPr>
        <w:t>concentration</w:t>
      </w:r>
      <w:r w:rsidRPr="00695A4B">
        <w:rPr>
          <w:iCs/>
        </w:rPr>
        <w:t xml:space="preserve"> of 6 µg/mL</w:t>
      </w:r>
    </w:p>
    <w:p w14:paraId="4FD6A654" w14:textId="716E5C45" w:rsidR="00210E11" w:rsidRPr="003304D2" w:rsidRDefault="00210E11" w:rsidP="00210E11">
      <w:pPr>
        <w:rPr>
          <w:iCs/>
        </w:rPr>
      </w:pPr>
      <w:r w:rsidRPr="00CF0313">
        <w:t>The</w:t>
      </w:r>
      <w:r w:rsidR="000D2166">
        <w:t xml:space="preserve"> Phase I</w:t>
      </w:r>
      <w:r w:rsidRPr="00CF0313">
        <w:t xml:space="preserve"> model</w:t>
      </w:r>
      <w:r>
        <w:t xml:space="preserve"> </w:t>
      </w:r>
      <w:r w:rsidRPr="003304D2">
        <w:t xml:space="preserve">was </w:t>
      </w:r>
      <w:r>
        <w:t>re-</w:t>
      </w:r>
      <w:r w:rsidR="000D2166">
        <w:t>run by the s</w:t>
      </w:r>
      <w:r w:rsidRPr="003304D2">
        <w:t xml:space="preserve">ponsor based on the </w:t>
      </w:r>
      <w:r w:rsidR="009258F9" w:rsidRPr="003304D2">
        <w:t>IMPOWER</w:t>
      </w:r>
      <w:r w:rsidRPr="003304D2">
        <w:t>1</w:t>
      </w:r>
      <w:r w:rsidR="00DB1208">
        <w:t>10</w:t>
      </w:r>
      <w:r w:rsidR="000D2166">
        <w:t xml:space="preserve"> trial</w:t>
      </w:r>
      <w:r w:rsidR="00DB1208">
        <w:t xml:space="preserve"> PK data at the </w:t>
      </w:r>
      <w:r w:rsidR="000D2166">
        <w:t>European Medicines Agency’s (EMA)</w:t>
      </w:r>
      <w:r w:rsidR="00DB1208">
        <w:t xml:space="preserve"> request;</w:t>
      </w:r>
      <w:bookmarkStart w:id="52" w:name="_Ref106705086"/>
      <w:r w:rsidR="00DB1208">
        <w:rPr>
          <w:rStyle w:val="FootnoteReference"/>
        </w:rPr>
        <w:footnoteReference w:id="20"/>
      </w:r>
      <w:bookmarkEnd w:id="52"/>
      <w:r w:rsidRPr="003304D2">
        <w:t xml:space="preserve"> </w:t>
      </w:r>
      <w:r>
        <w:t>to assess</w:t>
      </w:r>
      <w:r w:rsidRPr="003304D2">
        <w:t xml:space="preserve"> the impact of </w:t>
      </w:r>
      <w:r w:rsidRPr="003304D2">
        <w:rPr>
          <w:iCs/>
        </w:rPr>
        <w:t>ADA on clearance</w:t>
      </w:r>
      <w:r>
        <w:rPr>
          <w:iCs/>
        </w:rPr>
        <w:t xml:space="preserve"> when </w:t>
      </w:r>
      <w:r w:rsidRPr="003304D2">
        <w:rPr>
          <w:iCs/>
        </w:rPr>
        <w:t>ad</w:t>
      </w:r>
      <w:r>
        <w:rPr>
          <w:iCs/>
        </w:rPr>
        <w:t xml:space="preserve">justed for baseline covariates. The increase in clearance was slightly higher and </w:t>
      </w:r>
      <w:r w:rsidRPr="003304D2">
        <w:rPr>
          <w:iCs/>
        </w:rPr>
        <w:t xml:space="preserve">very similar to </w:t>
      </w:r>
      <w:r w:rsidR="000D2166">
        <w:rPr>
          <w:iCs/>
        </w:rPr>
        <w:t>that predicted using the Phase I</w:t>
      </w:r>
      <w:r w:rsidRPr="003304D2">
        <w:rPr>
          <w:iCs/>
        </w:rPr>
        <w:t xml:space="preserve"> data:</w:t>
      </w:r>
    </w:p>
    <w:p w14:paraId="78B7CC23" w14:textId="4301190A" w:rsidR="00210E11" w:rsidRPr="003304D2" w:rsidRDefault="000D2166" w:rsidP="00E667E9">
      <w:pPr>
        <w:pStyle w:val="ListBullet"/>
      </w:pPr>
      <w:r>
        <w:t>18.5% (relative standard error (RSE)</w:t>
      </w:r>
      <w:r w:rsidR="00210E11" w:rsidRPr="003304D2">
        <w:t xml:space="preserve"> of 30.7%) increase in ADA-positive patients compared to ADA-negative ones based on </w:t>
      </w:r>
      <w:r>
        <w:t xml:space="preserve">the </w:t>
      </w:r>
      <w:r w:rsidR="009258F9" w:rsidRPr="003304D2">
        <w:t>IMPOWER</w:t>
      </w:r>
      <w:r w:rsidR="00210E11" w:rsidRPr="003304D2">
        <w:t>110</w:t>
      </w:r>
      <w:r>
        <w:t xml:space="preserve"> trial</w:t>
      </w:r>
    </w:p>
    <w:p w14:paraId="3E1F62EF" w14:textId="77777777" w:rsidR="00210E11" w:rsidRPr="00E32A62" w:rsidRDefault="00210E11" w:rsidP="00E667E9">
      <w:pPr>
        <w:pStyle w:val="ListBullet"/>
      </w:pPr>
      <w:r w:rsidRPr="003304D2">
        <w:t xml:space="preserve">15.9% (RSE: 25%) increase based on the </w:t>
      </w:r>
      <w:r>
        <w:t>Phase I data</w:t>
      </w:r>
    </w:p>
    <w:p w14:paraId="55234D5B" w14:textId="07B662AD" w:rsidR="00210E11" w:rsidRPr="00D47F26" w:rsidRDefault="00210E11" w:rsidP="00210E11">
      <w:pPr>
        <w:rPr>
          <w:iCs/>
        </w:rPr>
      </w:pPr>
      <w:r>
        <w:rPr>
          <w:iCs/>
        </w:rPr>
        <w:t>The relevance of A</w:t>
      </w:r>
      <w:r w:rsidR="000D2166">
        <w:rPr>
          <w:iCs/>
        </w:rPr>
        <w:t xml:space="preserve">DAs is discussed further under </w:t>
      </w:r>
      <w:r w:rsidR="00F659BC">
        <w:rPr>
          <w:iCs/>
        </w:rPr>
        <w:t>S</w:t>
      </w:r>
      <w:r w:rsidR="000D2166" w:rsidRPr="000D2166">
        <w:rPr>
          <w:iCs/>
        </w:rPr>
        <w:t xml:space="preserve">ection: </w:t>
      </w:r>
      <w:r w:rsidRPr="000D2166">
        <w:rPr>
          <w:iCs/>
        </w:rPr>
        <w:fldChar w:fldCharType="begin"/>
      </w:r>
      <w:r w:rsidRPr="000D2166">
        <w:rPr>
          <w:iCs/>
        </w:rPr>
        <w:instrText xml:space="preserve"> REF _Ref63844093 \h </w:instrText>
      </w:r>
      <w:r w:rsidR="00DB1208" w:rsidRPr="000D2166">
        <w:rPr>
          <w:iCs/>
        </w:rPr>
        <w:instrText xml:space="preserve"> \* MERGEFORMAT </w:instrText>
      </w:r>
      <w:r w:rsidRPr="000D2166">
        <w:rPr>
          <w:iCs/>
        </w:rPr>
      </w:r>
      <w:r w:rsidRPr="000D2166">
        <w:rPr>
          <w:iCs/>
        </w:rPr>
        <w:fldChar w:fldCharType="separate"/>
      </w:r>
      <w:r w:rsidR="00C05B15">
        <w:t>Immunogenicity</w:t>
      </w:r>
      <w:r w:rsidRPr="000D2166">
        <w:rPr>
          <w:iCs/>
        </w:rPr>
        <w:fldChar w:fldCharType="end"/>
      </w:r>
      <w:r w:rsidR="000D2166" w:rsidRPr="000D2166">
        <w:rPr>
          <w:iCs/>
        </w:rPr>
        <w:t>, below.</w:t>
      </w:r>
    </w:p>
    <w:p w14:paraId="04480FDD" w14:textId="77777777" w:rsidR="00DB1208" w:rsidRDefault="00DB1208" w:rsidP="00B50F71">
      <w:pPr>
        <w:pStyle w:val="Heading4"/>
      </w:pPr>
      <w:r w:rsidRPr="00DB1208">
        <w:t>Efficacy</w:t>
      </w:r>
    </w:p>
    <w:p w14:paraId="5B9553F8" w14:textId="0877F48A" w:rsidR="00DB1208" w:rsidRPr="00716528" w:rsidRDefault="00DB1208" w:rsidP="00716528">
      <w:r w:rsidRPr="00716528">
        <w:t xml:space="preserve">Efficacy results for the </w:t>
      </w:r>
      <w:r w:rsidR="009258F9" w:rsidRPr="00716528">
        <w:t>IMPOWER</w:t>
      </w:r>
      <w:r w:rsidRPr="00716528">
        <w:t>110 trial are summarised i</w:t>
      </w:r>
      <w:r w:rsidR="00716528">
        <w:t xml:space="preserve">n </w:t>
      </w:r>
      <w:r w:rsidR="00716528">
        <w:fldChar w:fldCharType="begin"/>
      </w:r>
      <w:r w:rsidR="00716528">
        <w:instrText xml:space="preserve"> REF _Ref108515039 \h </w:instrText>
      </w:r>
      <w:r w:rsidR="00716528">
        <w:fldChar w:fldCharType="separate"/>
      </w:r>
      <w:r w:rsidR="00C05B15" w:rsidRPr="0083105F">
        <w:t xml:space="preserve">Table </w:t>
      </w:r>
      <w:r w:rsidR="00C05B15">
        <w:rPr>
          <w:noProof/>
        </w:rPr>
        <w:t>6</w:t>
      </w:r>
      <w:r w:rsidR="00716528">
        <w:fldChar w:fldCharType="end"/>
      </w:r>
      <w:r w:rsidRPr="00716528">
        <w:t xml:space="preserve"> and </w:t>
      </w:r>
      <w:r w:rsidRPr="00716528">
        <w:fldChar w:fldCharType="begin"/>
      </w:r>
      <w:r w:rsidRPr="00716528">
        <w:instrText xml:space="preserve"> REF _Ref54965602 \h </w:instrText>
      </w:r>
      <w:r w:rsidR="00716528">
        <w:instrText xml:space="preserve"> \* MERGEFORMAT </w:instrText>
      </w:r>
      <w:r w:rsidRPr="00716528">
        <w:fldChar w:fldCharType="separate"/>
      </w:r>
      <w:r w:rsidR="00C05B15" w:rsidRPr="00B31ACA">
        <w:t xml:space="preserve">Figure </w:t>
      </w:r>
      <w:r w:rsidR="00C05B15">
        <w:t>2</w:t>
      </w:r>
      <w:r w:rsidRPr="00716528">
        <w:fldChar w:fldCharType="end"/>
      </w:r>
      <w:r w:rsidRPr="00716528">
        <w:t>. Survival was compared using a stratified log-rank test. It was pre-specified that results would only be stratified by PD-L1 status for the PD-L1 positive (all enrolled patients) population (tested third in the hierarchy) and not for the PD-L1 high and PD-L1 intermediate-or-high populations (which are both subgroups of all-enrolled patients), to avoid over-stratification in the latter analyses.</w:t>
      </w:r>
      <w:r w:rsidRPr="00B178E4">
        <w:rPr>
          <w:vertAlign w:val="superscript"/>
        </w:rPr>
        <w:footnoteReference w:id="21"/>
      </w:r>
      <w:r w:rsidRPr="00B178E4">
        <w:rPr>
          <w:vertAlign w:val="superscript"/>
        </w:rPr>
        <w:t xml:space="preserve"> </w:t>
      </w:r>
      <w:r w:rsidR="003B1C34">
        <w:t>The following is from</w:t>
      </w:r>
      <w:r w:rsidRPr="00716528">
        <w:t xml:space="preserve"> </w:t>
      </w:r>
      <w:r w:rsidR="000D2166" w:rsidRPr="00716528">
        <w:t>the</w:t>
      </w:r>
      <w:r w:rsidR="003B1C34">
        <w:t xml:space="preserve"> clinical study report for the</w:t>
      </w:r>
      <w:r w:rsidR="000D2166" w:rsidRPr="00716528">
        <w:t xml:space="preserve"> </w:t>
      </w:r>
      <w:r w:rsidR="009258F9" w:rsidRPr="00716528">
        <w:t>IMPOWER</w:t>
      </w:r>
      <w:r w:rsidRPr="00716528">
        <w:t>110</w:t>
      </w:r>
      <w:r w:rsidR="000D2166" w:rsidRPr="00716528">
        <w:t xml:space="preserve"> trial</w:t>
      </w:r>
      <w:r w:rsidRPr="00716528">
        <w:t>:</w:t>
      </w:r>
    </w:p>
    <w:p w14:paraId="0AC34443" w14:textId="7D365C69" w:rsidR="00DB1208" w:rsidRPr="00DB1208" w:rsidRDefault="00DB1208" w:rsidP="00DB1208">
      <w:pPr>
        <w:ind w:left="425"/>
      </w:pPr>
      <w:r w:rsidRPr="00DB1208">
        <w:t>For the TC3 or IC3-WT subpopulation and the TC2/3 or IC2/3-WT subpopulation, the stratification factors were those that were used during randomi</w:t>
      </w:r>
      <w:r w:rsidR="00716528">
        <w:t>s</w:t>
      </w:r>
      <w:r w:rsidRPr="00DB1208">
        <w:t>ation (</w:t>
      </w:r>
      <w:r w:rsidR="00716528">
        <w:t>that is</w:t>
      </w:r>
      <w:r w:rsidRPr="00DB1208">
        <w:t xml:space="preserve">, sex </w:t>
      </w:r>
      <w:r w:rsidR="0046773A">
        <w:t>(</w:t>
      </w:r>
      <w:r w:rsidRPr="00DB1208">
        <w:t xml:space="preserve">male </w:t>
      </w:r>
      <w:r w:rsidR="00716528">
        <w:t>versus</w:t>
      </w:r>
      <w:r w:rsidRPr="00DB1208">
        <w:t xml:space="preserve"> female</w:t>
      </w:r>
      <w:r w:rsidR="0046773A">
        <w:t>)</w:t>
      </w:r>
      <w:r w:rsidRPr="00DB1208">
        <w:t xml:space="preserve">, ECOG </w:t>
      </w:r>
      <w:r w:rsidR="0035143E" w:rsidRPr="00DB1208">
        <w:t>Performance Status</w:t>
      </w:r>
      <w:r w:rsidRPr="00DB1208">
        <w:t xml:space="preserve"> </w:t>
      </w:r>
      <w:r w:rsidR="0046773A">
        <w:t>(</w:t>
      </w:r>
      <w:r w:rsidRPr="00DB1208">
        <w:t>0 v</w:t>
      </w:r>
      <w:r w:rsidR="00716528">
        <w:t>ersu</w:t>
      </w:r>
      <w:r w:rsidRPr="00DB1208">
        <w:t>s 1</w:t>
      </w:r>
      <w:r w:rsidR="0046773A">
        <w:t>)</w:t>
      </w:r>
      <w:r w:rsidRPr="00DB1208">
        <w:t xml:space="preserve">, histology </w:t>
      </w:r>
      <w:r w:rsidR="0046773A">
        <w:t>(</w:t>
      </w:r>
      <w:r w:rsidRPr="00DB1208">
        <w:t xml:space="preserve">non-squamous </w:t>
      </w:r>
      <w:r w:rsidR="00716528">
        <w:t>versus</w:t>
      </w:r>
      <w:r w:rsidRPr="00DB1208">
        <w:t xml:space="preserve"> squamous</w:t>
      </w:r>
      <w:r w:rsidR="0046773A">
        <w:t>)</w:t>
      </w:r>
      <w:r w:rsidRPr="00DB1208">
        <w:t>).</w:t>
      </w:r>
    </w:p>
    <w:p w14:paraId="2C1ABF92" w14:textId="1E95A682" w:rsidR="00725DB0" w:rsidRDefault="00DB1208" w:rsidP="00E667E9">
      <w:pPr>
        <w:ind w:left="425"/>
      </w:pPr>
      <w:r w:rsidRPr="00DB1208">
        <w:t>For the TC1/2/3 or IC1/2/3-WT population, the stratification factors were those that were used during randomi</w:t>
      </w:r>
      <w:r w:rsidR="00716528">
        <w:t>s</w:t>
      </w:r>
      <w:r w:rsidRPr="00DB1208">
        <w:t>ation (</w:t>
      </w:r>
      <w:r w:rsidR="00716528">
        <w:t>that is</w:t>
      </w:r>
      <w:r w:rsidRPr="00DB1208">
        <w:t xml:space="preserve">, sex </w:t>
      </w:r>
      <w:r w:rsidR="0046773A">
        <w:t>(</w:t>
      </w:r>
      <w:r w:rsidRPr="00DB1208">
        <w:t xml:space="preserve">male </w:t>
      </w:r>
      <w:r w:rsidR="00716528" w:rsidRPr="00DB1208">
        <w:t>v</w:t>
      </w:r>
      <w:r w:rsidR="00716528">
        <w:t>ersu</w:t>
      </w:r>
      <w:r w:rsidR="00716528" w:rsidRPr="00DB1208">
        <w:t>s</w:t>
      </w:r>
      <w:r w:rsidRPr="00DB1208">
        <w:t xml:space="preserve"> female</w:t>
      </w:r>
      <w:r w:rsidR="0046773A">
        <w:t>)</w:t>
      </w:r>
      <w:r w:rsidRPr="00DB1208">
        <w:t xml:space="preserve">, ECOG </w:t>
      </w:r>
      <w:r w:rsidR="0035143E" w:rsidRPr="00DB1208">
        <w:t>Performance Status</w:t>
      </w:r>
      <w:r w:rsidRPr="00DB1208">
        <w:t xml:space="preserve"> </w:t>
      </w:r>
      <w:r w:rsidR="0046773A">
        <w:t>(</w:t>
      </w:r>
      <w:r w:rsidRPr="00DB1208">
        <w:t xml:space="preserve">0 </w:t>
      </w:r>
      <w:r w:rsidR="00716528" w:rsidRPr="00DB1208">
        <w:t>v</w:t>
      </w:r>
      <w:r w:rsidR="00716528">
        <w:t>ersu</w:t>
      </w:r>
      <w:r w:rsidR="00716528" w:rsidRPr="00DB1208">
        <w:t>s</w:t>
      </w:r>
      <w:r w:rsidRPr="00DB1208">
        <w:t xml:space="preserve"> 1</w:t>
      </w:r>
      <w:r w:rsidR="0046773A">
        <w:t>)</w:t>
      </w:r>
      <w:r w:rsidRPr="00DB1208">
        <w:t xml:space="preserve">, histology </w:t>
      </w:r>
      <w:r w:rsidR="0046773A">
        <w:t>(</w:t>
      </w:r>
      <w:r w:rsidRPr="00DB1208">
        <w:t xml:space="preserve">non-squamous </w:t>
      </w:r>
      <w:r w:rsidR="00716528" w:rsidRPr="00DB1208">
        <w:t>v</w:t>
      </w:r>
      <w:r w:rsidR="00716528">
        <w:t>ersu</w:t>
      </w:r>
      <w:r w:rsidR="00716528" w:rsidRPr="00DB1208">
        <w:t xml:space="preserve">s </w:t>
      </w:r>
      <w:r w:rsidRPr="00DB1208">
        <w:t>squamous</w:t>
      </w:r>
      <w:r w:rsidR="0046773A">
        <w:t>)</w:t>
      </w:r>
      <w:r w:rsidRPr="00DB1208">
        <w:t>, and PD-L1 tumo</w:t>
      </w:r>
      <w:r w:rsidR="00716528">
        <w:t>u</w:t>
      </w:r>
      <w:r w:rsidRPr="00DB1208">
        <w:t xml:space="preserve">r expression status </w:t>
      </w:r>
      <w:r w:rsidR="0046773A">
        <w:t>(</w:t>
      </w:r>
      <w:r w:rsidRPr="00DB1208">
        <w:t xml:space="preserve">TC1/2/3 and any IC </w:t>
      </w:r>
      <w:r w:rsidR="00716528" w:rsidRPr="00DB1208">
        <w:t>v</w:t>
      </w:r>
      <w:r w:rsidR="00716528">
        <w:t>ersu</w:t>
      </w:r>
      <w:r w:rsidR="00716528" w:rsidRPr="00DB1208">
        <w:t xml:space="preserve">s </w:t>
      </w:r>
      <w:r w:rsidRPr="00DB1208">
        <w:t>TC0 and IC1/2/3</w:t>
      </w:r>
      <w:r w:rsidR="0046773A">
        <w:t>)</w:t>
      </w:r>
      <w:r w:rsidRPr="00DB1208">
        <w:t xml:space="preserve">) as recorded in the </w:t>
      </w:r>
      <w:r w:rsidR="008D2B91">
        <w:t xml:space="preserve">interactive </w:t>
      </w:r>
      <w:r w:rsidR="009D6E11" w:rsidRPr="009D6E11">
        <w:t>web/voice</w:t>
      </w:r>
      <w:r w:rsidR="009D6E11">
        <w:t xml:space="preserve"> </w:t>
      </w:r>
      <w:r w:rsidR="008D2B91">
        <w:t>response system</w:t>
      </w:r>
      <w:r w:rsidR="009D6E11" w:rsidRPr="009D6E11">
        <w:t xml:space="preserve"> </w:t>
      </w:r>
      <w:r w:rsidR="009D6E11">
        <w:t>(</w:t>
      </w:r>
      <w:proofErr w:type="spellStart"/>
      <w:r w:rsidR="009D6E11">
        <w:t>I</w:t>
      </w:r>
      <w:r w:rsidR="009D6E11" w:rsidRPr="00DB1208">
        <w:t>xRS</w:t>
      </w:r>
      <w:proofErr w:type="spellEnd"/>
      <w:r w:rsidR="0046773A">
        <w:t>)</w:t>
      </w:r>
      <w:r w:rsidRPr="00DB1208">
        <w:t>.</w:t>
      </w:r>
      <w:bookmarkStart w:id="53" w:name="_Ref55902786"/>
      <w:bookmarkStart w:id="54" w:name="OLE_LINK1"/>
      <w:r w:rsidR="00725DB0">
        <w:br w:type="page"/>
      </w:r>
    </w:p>
    <w:p w14:paraId="2C0C8492" w14:textId="592D3C20" w:rsidR="00DB1208" w:rsidRPr="0083105F" w:rsidRDefault="00DB1208" w:rsidP="00E667E9">
      <w:pPr>
        <w:pStyle w:val="TableTitle"/>
      </w:pPr>
      <w:bookmarkStart w:id="55" w:name="_Ref108515039"/>
      <w:r w:rsidRPr="0083105F">
        <w:lastRenderedPageBreak/>
        <w:t xml:space="preserve">Table </w:t>
      </w:r>
      <w:fldSimple w:instr=" SEQ Table \* ARABIC ">
        <w:r w:rsidR="00C05B15">
          <w:rPr>
            <w:noProof/>
          </w:rPr>
          <w:t>6</w:t>
        </w:r>
      </w:fldSimple>
      <w:bookmarkEnd w:id="53"/>
      <w:bookmarkEnd w:id="55"/>
      <w:r w:rsidR="008D2B91" w:rsidRPr="0083105F">
        <w:t>:</w:t>
      </w:r>
      <w:r w:rsidRPr="0083105F">
        <w:t xml:space="preserve"> </w:t>
      </w:r>
      <w:r w:rsidR="009258F9" w:rsidRPr="0083105F">
        <w:t>IMPOWER</w:t>
      </w:r>
      <w:r w:rsidRPr="0083105F">
        <w:t xml:space="preserve">110 trial (Study GO29431) Overview of efficacy </w:t>
      </w:r>
      <w:r w:rsidR="003B1C34">
        <w:t>(</w:t>
      </w:r>
      <w:r w:rsidRPr="0083105F">
        <w:t>median follow up 15.7 months</w:t>
      </w:r>
      <w:r w:rsidR="003B1C34">
        <w:t>)</w:t>
      </w:r>
    </w:p>
    <w:tbl>
      <w:tblPr>
        <w:tblStyle w:val="TableTGAblue"/>
        <w:tblW w:w="9028" w:type="dxa"/>
        <w:tblLayout w:type="fixed"/>
        <w:tblCellMar>
          <w:left w:w="28" w:type="dxa"/>
          <w:right w:w="28" w:type="dxa"/>
        </w:tblCellMar>
        <w:tblLook w:val="0420" w:firstRow="1" w:lastRow="0" w:firstColumn="0" w:lastColumn="0" w:noHBand="0" w:noVBand="1"/>
      </w:tblPr>
      <w:tblGrid>
        <w:gridCol w:w="1446"/>
        <w:gridCol w:w="1276"/>
        <w:gridCol w:w="1275"/>
        <w:gridCol w:w="1276"/>
        <w:gridCol w:w="1276"/>
        <w:gridCol w:w="1276"/>
        <w:gridCol w:w="1203"/>
      </w:tblGrid>
      <w:tr w:rsidR="00DB1208" w:rsidRPr="00DB1208" w14:paraId="3FBB7FDF" w14:textId="77777777" w:rsidTr="00C22682">
        <w:trPr>
          <w:cnfStyle w:val="100000000000" w:firstRow="1" w:lastRow="0" w:firstColumn="0" w:lastColumn="0" w:oddVBand="0" w:evenVBand="0" w:oddHBand="0" w:evenHBand="0" w:firstRowFirstColumn="0" w:firstRowLastColumn="0" w:lastRowFirstColumn="0" w:lastRowLastColumn="0"/>
          <w:trHeight w:val="20"/>
        </w:trPr>
        <w:tc>
          <w:tcPr>
            <w:tcW w:w="1446" w:type="dxa"/>
          </w:tcPr>
          <w:p w14:paraId="7746AECD" w14:textId="387DCFF6" w:rsidR="00DB1208" w:rsidRPr="00DB1208" w:rsidRDefault="00DB1208" w:rsidP="00B50F71">
            <w:pPr>
              <w:pStyle w:val="Tabletext"/>
            </w:pPr>
            <w:r>
              <w:tab/>
            </w:r>
          </w:p>
        </w:tc>
        <w:tc>
          <w:tcPr>
            <w:tcW w:w="2551" w:type="dxa"/>
            <w:gridSpan w:val="2"/>
          </w:tcPr>
          <w:p w14:paraId="1E3075E4" w14:textId="358AFD8C" w:rsidR="00DB1208" w:rsidRPr="00DB1208" w:rsidRDefault="005D635A" w:rsidP="00B50F71">
            <w:pPr>
              <w:pStyle w:val="Tabletext"/>
            </w:pPr>
            <w:r>
              <w:t>PD-L1</w:t>
            </w:r>
            <w:r>
              <w:br/>
            </w:r>
            <w:r w:rsidRPr="00DB1208">
              <w:t xml:space="preserve">High </w:t>
            </w:r>
            <w:r w:rsidR="00DB1208" w:rsidRPr="00DB1208">
              <w:t>(TC3/IC3)</w:t>
            </w:r>
          </w:p>
        </w:tc>
        <w:tc>
          <w:tcPr>
            <w:tcW w:w="2552" w:type="dxa"/>
            <w:gridSpan w:val="2"/>
          </w:tcPr>
          <w:p w14:paraId="36EA34B7" w14:textId="4D4DCFC4" w:rsidR="00DB1208" w:rsidRPr="00DB1208" w:rsidRDefault="005D635A" w:rsidP="00B50F71">
            <w:pPr>
              <w:pStyle w:val="Tabletext"/>
            </w:pPr>
            <w:r>
              <w:t>PD-L1</w:t>
            </w:r>
            <w:r>
              <w:br/>
              <w:t>Intermediate-o</w:t>
            </w:r>
            <w:r w:rsidRPr="00DB1208">
              <w:t>r-High</w:t>
            </w:r>
          </w:p>
        </w:tc>
        <w:tc>
          <w:tcPr>
            <w:tcW w:w="2479" w:type="dxa"/>
            <w:gridSpan w:val="2"/>
          </w:tcPr>
          <w:p w14:paraId="424081AC" w14:textId="55ECC37F" w:rsidR="00DB1208" w:rsidRPr="00DB1208" w:rsidRDefault="005D635A" w:rsidP="00B50F71">
            <w:pPr>
              <w:pStyle w:val="Tabletext"/>
            </w:pPr>
            <w:r>
              <w:t>PD-L1</w:t>
            </w:r>
            <w:r>
              <w:br/>
            </w:r>
            <w:r w:rsidRPr="00DB1208">
              <w:t xml:space="preserve">Positive </w:t>
            </w:r>
          </w:p>
        </w:tc>
      </w:tr>
      <w:tr w:rsidR="00C22682" w:rsidRPr="00DB1208" w14:paraId="06CCA382" w14:textId="77777777" w:rsidTr="00C22682">
        <w:trPr>
          <w:trHeight w:val="20"/>
        </w:trPr>
        <w:tc>
          <w:tcPr>
            <w:tcW w:w="1446" w:type="dxa"/>
            <w:hideMark/>
          </w:tcPr>
          <w:p w14:paraId="1725666E" w14:textId="77777777" w:rsidR="00DB1208" w:rsidRPr="00DB1208" w:rsidRDefault="00DB1208" w:rsidP="00B50F71">
            <w:pPr>
              <w:pStyle w:val="Tabletext"/>
            </w:pPr>
          </w:p>
        </w:tc>
        <w:tc>
          <w:tcPr>
            <w:tcW w:w="1276" w:type="dxa"/>
            <w:hideMark/>
          </w:tcPr>
          <w:p w14:paraId="611BA4C7" w14:textId="77777777" w:rsidR="00C22682" w:rsidRDefault="005D635A" w:rsidP="00B50F71">
            <w:pPr>
              <w:pStyle w:val="Tabletext"/>
            </w:pPr>
            <w:r>
              <w:t>Chemo</w:t>
            </w:r>
          </w:p>
          <w:p w14:paraId="2E4B2D1E" w14:textId="07DDC001" w:rsidR="00DB1208" w:rsidRPr="00DB1208" w:rsidRDefault="00DB1208" w:rsidP="00B50F71">
            <w:pPr>
              <w:pStyle w:val="Tabletext"/>
            </w:pPr>
            <w:r w:rsidRPr="00DB1208">
              <w:t>(n</w:t>
            </w:r>
            <w:r w:rsidR="003F518C">
              <w:t xml:space="preserve"> </w:t>
            </w:r>
            <w:r w:rsidRPr="00DB1208">
              <w:t>=</w:t>
            </w:r>
            <w:r w:rsidR="003F518C">
              <w:t xml:space="preserve"> </w:t>
            </w:r>
            <w:r w:rsidRPr="00DB1208">
              <w:t>98)</w:t>
            </w:r>
          </w:p>
        </w:tc>
        <w:tc>
          <w:tcPr>
            <w:tcW w:w="1275" w:type="dxa"/>
            <w:hideMark/>
          </w:tcPr>
          <w:p w14:paraId="0DA1F27B" w14:textId="77777777" w:rsidR="00C22682" w:rsidRDefault="005D635A" w:rsidP="00B50F71">
            <w:pPr>
              <w:pStyle w:val="Tabletext"/>
            </w:pPr>
            <w:proofErr w:type="spellStart"/>
            <w:r>
              <w:t>Atez</w:t>
            </w:r>
            <w:proofErr w:type="spellEnd"/>
          </w:p>
          <w:p w14:paraId="6CF6D1A9" w14:textId="53A575B8" w:rsidR="00DB1208" w:rsidRPr="00DB1208" w:rsidRDefault="00DB1208" w:rsidP="00B50F71">
            <w:pPr>
              <w:pStyle w:val="Tabletext"/>
            </w:pPr>
            <w:r w:rsidRPr="00DB1208">
              <w:t>(n</w:t>
            </w:r>
            <w:r w:rsidR="003F518C">
              <w:t xml:space="preserve"> </w:t>
            </w:r>
            <w:r w:rsidRPr="00DB1208">
              <w:t>=</w:t>
            </w:r>
            <w:r w:rsidR="003F518C">
              <w:t xml:space="preserve"> </w:t>
            </w:r>
            <w:r w:rsidRPr="00DB1208">
              <w:t>107)</w:t>
            </w:r>
          </w:p>
        </w:tc>
        <w:tc>
          <w:tcPr>
            <w:tcW w:w="1276" w:type="dxa"/>
          </w:tcPr>
          <w:p w14:paraId="0A58A500" w14:textId="77777777" w:rsidR="00C22682" w:rsidRDefault="005D635A" w:rsidP="00B50F71">
            <w:pPr>
              <w:pStyle w:val="Tabletext"/>
            </w:pPr>
            <w:r>
              <w:t>Chemo</w:t>
            </w:r>
          </w:p>
          <w:p w14:paraId="5C9309AC" w14:textId="689DD747" w:rsidR="00DB1208" w:rsidRPr="00DB1208" w:rsidRDefault="00DB1208" w:rsidP="00B50F71">
            <w:pPr>
              <w:pStyle w:val="Tabletext"/>
            </w:pPr>
            <w:r w:rsidRPr="00DB1208">
              <w:t>(n</w:t>
            </w:r>
            <w:r w:rsidR="003F518C">
              <w:t xml:space="preserve"> </w:t>
            </w:r>
            <w:r w:rsidRPr="00DB1208">
              <w:t>=</w:t>
            </w:r>
            <w:r w:rsidR="003F518C">
              <w:t xml:space="preserve"> </w:t>
            </w:r>
            <w:r w:rsidRPr="00DB1208">
              <w:t>162)</w:t>
            </w:r>
          </w:p>
        </w:tc>
        <w:tc>
          <w:tcPr>
            <w:tcW w:w="1276" w:type="dxa"/>
          </w:tcPr>
          <w:p w14:paraId="46DC7838" w14:textId="77777777" w:rsidR="00C22682" w:rsidRDefault="005D635A" w:rsidP="00B50F71">
            <w:pPr>
              <w:pStyle w:val="Tabletext"/>
            </w:pPr>
            <w:proofErr w:type="spellStart"/>
            <w:r>
              <w:t>Atez</w:t>
            </w:r>
            <w:proofErr w:type="spellEnd"/>
          </w:p>
          <w:p w14:paraId="2C5C6042" w14:textId="7C543E06" w:rsidR="00DB1208" w:rsidRPr="00DB1208" w:rsidRDefault="00DB1208" w:rsidP="00B50F71">
            <w:pPr>
              <w:pStyle w:val="Tabletext"/>
            </w:pPr>
            <w:r w:rsidRPr="00DB1208">
              <w:t>(n</w:t>
            </w:r>
            <w:r w:rsidR="003F518C">
              <w:t xml:space="preserve"> </w:t>
            </w:r>
            <w:r w:rsidRPr="00DB1208">
              <w:t>=</w:t>
            </w:r>
            <w:r w:rsidR="003F518C">
              <w:t xml:space="preserve"> </w:t>
            </w:r>
            <w:r w:rsidRPr="00DB1208">
              <w:t>166)</w:t>
            </w:r>
          </w:p>
        </w:tc>
        <w:tc>
          <w:tcPr>
            <w:tcW w:w="1276" w:type="dxa"/>
          </w:tcPr>
          <w:p w14:paraId="514DD371" w14:textId="77777777" w:rsidR="00C22682" w:rsidRDefault="005D635A" w:rsidP="00B50F71">
            <w:pPr>
              <w:pStyle w:val="Tabletext"/>
            </w:pPr>
            <w:r>
              <w:t>Chemo</w:t>
            </w:r>
          </w:p>
          <w:p w14:paraId="79D00D80" w14:textId="0B803A6B" w:rsidR="00DB1208" w:rsidRPr="00DB1208" w:rsidRDefault="00DB1208" w:rsidP="00B50F71">
            <w:pPr>
              <w:pStyle w:val="Tabletext"/>
            </w:pPr>
            <w:r w:rsidRPr="00DB1208">
              <w:t>(n</w:t>
            </w:r>
            <w:r w:rsidR="003F518C">
              <w:t xml:space="preserve"> </w:t>
            </w:r>
            <w:r w:rsidRPr="00DB1208">
              <w:t>=</w:t>
            </w:r>
            <w:r w:rsidR="003F518C">
              <w:t xml:space="preserve"> </w:t>
            </w:r>
            <w:r w:rsidRPr="00DB1208">
              <w:t>287)</w:t>
            </w:r>
          </w:p>
        </w:tc>
        <w:tc>
          <w:tcPr>
            <w:tcW w:w="1203" w:type="dxa"/>
          </w:tcPr>
          <w:p w14:paraId="55881920" w14:textId="77777777" w:rsidR="00C22682" w:rsidRDefault="005D635A" w:rsidP="00B50F71">
            <w:pPr>
              <w:pStyle w:val="Tabletext"/>
            </w:pPr>
            <w:proofErr w:type="spellStart"/>
            <w:r>
              <w:t>Atez</w:t>
            </w:r>
            <w:proofErr w:type="spellEnd"/>
          </w:p>
          <w:p w14:paraId="2C244736" w14:textId="195E6652" w:rsidR="00DB1208" w:rsidRPr="00DB1208" w:rsidRDefault="00DB1208" w:rsidP="00B50F71">
            <w:pPr>
              <w:pStyle w:val="Tabletext"/>
            </w:pPr>
            <w:r w:rsidRPr="00DB1208">
              <w:t>(n</w:t>
            </w:r>
            <w:r w:rsidR="003F518C">
              <w:t xml:space="preserve"> </w:t>
            </w:r>
            <w:r w:rsidRPr="00DB1208">
              <w:t>=</w:t>
            </w:r>
            <w:r w:rsidR="003F518C">
              <w:t xml:space="preserve"> </w:t>
            </w:r>
            <w:r w:rsidRPr="00DB1208">
              <w:t>285)</w:t>
            </w:r>
          </w:p>
        </w:tc>
      </w:tr>
      <w:tr w:rsidR="005D635A" w:rsidRPr="00DB1208" w14:paraId="793EB7BB" w14:textId="77777777" w:rsidTr="00B178E4">
        <w:trPr>
          <w:trHeight w:val="20"/>
        </w:trPr>
        <w:tc>
          <w:tcPr>
            <w:tcW w:w="9028" w:type="dxa"/>
            <w:gridSpan w:val="7"/>
          </w:tcPr>
          <w:p w14:paraId="478CA264" w14:textId="29939B60" w:rsidR="005D635A" w:rsidRPr="005D635A" w:rsidRDefault="005D635A" w:rsidP="00B50F71">
            <w:pPr>
              <w:pStyle w:val="Tabletext"/>
            </w:pPr>
            <w:r w:rsidRPr="005D635A">
              <w:t>Overall survival</w:t>
            </w:r>
          </w:p>
        </w:tc>
      </w:tr>
      <w:tr w:rsidR="00C22682" w:rsidRPr="00DB1208" w14:paraId="6730841B" w14:textId="77777777" w:rsidTr="00C22682">
        <w:trPr>
          <w:trHeight w:val="20"/>
        </w:trPr>
        <w:tc>
          <w:tcPr>
            <w:tcW w:w="1446" w:type="dxa"/>
          </w:tcPr>
          <w:p w14:paraId="58698E1A" w14:textId="77777777" w:rsidR="00C22682" w:rsidRDefault="00DB1208" w:rsidP="00B50F71">
            <w:pPr>
              <w:pStyle w:val="Tabletext"/>
            </w:pPr>
            <w:r w:rsidRPr="00DB1208">
              <w:t>Patients with event,</w:t>
            </w:r>
          </w:p>
          <w:p w14:paraId="761B863A" w14:textId="4088BA8D" w:rsidR="00DB1208" w:rsidRPr="00DB1208" w:rsidRDefault="00DB1208" w:rsidP="00B50F71">
            <w:pPr>
              <w:pStyle w:val="Tabletext"/>
            </w:pPr>
            <w:r w:rsidRPr="00DB1208">
              <w:t>n (%)</w:t>
            </w:r>
          </w:p>
        </w:tc>
        <w:tc>
          <w:tcPr>
            <w:tcW w:w="1276" w:type="dxa"/>
          </w:tcPr>
          <w:p w14:paraId="18F964AC" w14:textId="77777777" w:rsidR="00DB1208" w:rsidRPr="00DB1208" w:rsidRDefault="00DB1208" w:rsidP="00B50F71">
            <w:pPr>
              <w:pStyle w:val="Tabletext"/>
            </w:pPr>
            <w:r w:rsidRPr="00DB1208">
              <w:t>57 (58)</w:t>
            </w:r>
          </w:p>
        </w:tc>
        <w:tc>
          <w:tcPr>
            <w:tcW w:w="1275" w:type="dxa"/>
          </w:tcPr>
          <w:p w14:paraId="3297C8DE" w14:textId="77777777" w:rsidR="00DB1208" w:rsidRPr="00DB1208" w:rsidRDefault="00DB1208" w:rsidP="00B50F71">
            <w:pPr>
              <w:pStyle w:val="Tabletext"/>
            </w:pPr>
            <w:r w:rsidRPr="00DB1208">
              <w:t>44 (41)</w:t>
            </w:r>
          </w:p>
        </w:tc>
        <w:tc>
          <w:tcPr>
            <w:tcW w:w="1276" w:type="dxa"/>
          </w:tcPr>
          <w:p w14:paraId="0401B0D6" w14:textId="77777777" w:rsidR="00DB1208" w:rsidRPr="00DB1208" w:rsidRDefault="00DB1208" w:rsidP="00B50F71">
            <w:pPr>
              <w:pStyle w:val="Tabletext"/>
            </w:pPr>
            <w:r w:rsidRPr="00DB1208">
              <w:t>83 (51)</w:t>
            </w:r>
          </w:p>
        </w:tc>
        <w:tc>
          <w:tcPr>
            <w:tcW w:w="1276" w:type="dxa"/>
          </w:tcPr>
          <w:p w14:paraId="4FE9C075" w14:textId="77777777" w:rsidR="00DB1208" w:rsidRPr="00DB1208" w:rsidRDefault="00DB1208" w:rsidP="00B50F71">
            <w:pPr>
              <w:pStyle w:val="Tabletext"/>
            </w:pPr>
            <w:r w:rsidRPr="00DB1208">
              <w:t>71 (43)</w:t>
            </w:r>
          </w:p>
        </w:tc>
        <w:tc>
          <w:tcPr>
            <w:tcW w:w="1276" w:type="dxa"/>
          </w:tcPr>
          <w:p w14:paraId="5589239E" w14:textId="77777777" w:rsidR="00DB1208" w:rsidRPr="00DB1208" w:rsidRDefault="00DB1208" w:rsidP="00B50F71">
            <w:pPr>
              <w:pStyle w:val="Tabletext"/>
            </w:pPr>
            <w:r w:rsidRPr="00DB1208">
              <w:t>132 (48)</w:t>
            </w:r>
          </w:p>
        </w:tc>
        <w:tc>
          <w:tcPr>
            <w:tcW w:w="1203" w:type="dxa"/>
          </w:tcPr>
          <w:p w14:paraId="09283972" w14:textId="77777777" w:rsidR="00DB1208" w:rsidRPr="00DB1208" w:rsidRDefault="00DB1208" w:rsidP="00B50F71">
            <w:pPr>
              <w:pStyle w:val="Tabletext"/>
            </w:pPr>
            <w:r w:rsidRPr="00DB1208">
              <w:t>121 (44)</w:t>
            </w:r>
          </w:p>
        </w:tc>
      </w:tr>
      <w:tr w:rsidR="00C22682" w:rsidRPr="00DB1208" w14:paraId="138BE379" w14:textId="77777777" w:rsidTr="00C22682">
        <w:trPr>
          <w:trHeight w:val="20"/>
        </w:trPr>
        <w:tc>
          <w:tcPr>
            <w:tcW w:w="1446" w:type="dxa"/>
          </w:tcPr>
          <w:p w14:paraId="3F09EE04" w14:textId="77777777" w:rsidR="00C22682" w:rsidRDefault="005D635A" w:rsidP="00B50F71">
            <w:pPr>
              <w:pStyle w:val="Tabletext"/>
            </w:pPr>
            <w:r>
              <w:t>Median, months</w:t>
            </w:r>
          </w:p>
          <w:p w14:paraId="4B48FAC4" w14:textId="36D907B8" w:rsidR="00DB1208" w:rsidRPr="00DB1208" w:rsidRDefault="005D635A" w:rsidP="00B50F71">
            <w:pPr>
              <w:pStyle w:val="Tabletext"/>
            </w:pPr>
            <w:r>
              <w:t>(95% </w:t>
            </w:r>
            <w:r w:rsidR="00DB1208" w:rsidRPr="00DB1208">
              <w:t>CI)</w:t>
            </w:r>
          </w:p>
        </w:tc>
        <w:tc>
          <w:tcPr>
            <w:tcW w:w="1276" w:type="dxa"/>
          </w:tcPr>
          <w:p w14:paraId="49C90DD0" w14:textId="35D8F9BB" w:rsidR="00DB1208" w:rsidRPr="00DB1208" w:rsidRDefault="00DB1208" w:rsidP="00B50F71">
            <w:pPr>
              <w:pStyle w:val="Tabletext"/>
            </w:pPr>
            <w:r w:rsidRPr="00DB1208">
              <w:t>13.1</w:t>
            </w:r>
          </w:p>
          <w:p w14:paraId="4123D1E2" w14:textId="77777777" w:rsidR="00DB1208" w:rsidRPr="00DB1208" w:rsidRDefault="00DB1208" w:rsidP="00B50F71">
            <w:pPr>
              <w:pStyle w:val="Tabletext"/>
            </w:pPr>
            <w:r w:rsidRPr="00DB1208">
              <w:t>(7.4, 16.5)</w:t>
            </w:r>
          </w:p>
        </w:tc>
        <w:tc>
          <w:tcPr>
            <w:tcW w:w="1275" w:type="dxa"/>
          </w:tcPr>
          <w:p w14:paraId="1637A578" w14:textId="5FF15CA3" w:rsidR="00DB1208" w:rsidRPr="00DB1208" w:rsidRDefault="00DB1208" w:rsidP="00B50F71">
            <w:pPr>
              <w:pStyle w:val="Tabletext"/>
            </w:pPr>
            <w:r w:rsidRPr="00DB1208">
              <w:t>20.2</w:t>
            </w:r>
          </w:p>
          <w:p w14:paraId="6FD3A251" w14:textId="77777777" w:rsidR="00DB1208" w:rsidRPr="00DB1208" w:rsidRDefault="00DB1208" w:rsidP="00B50F71">
            <w:pPr>
              <w:pStyle w:val="Tabletext"/>
            </w:pPr>
            <w:r w:rsidRPr="00DB1208">
              <w:t>(16.5, NE)</w:t>
            </w:r>
          </w:p>
        </w:tc>
        <w:tc>
          <w:tcPr>
            <w:tcW w:w="1276" w:type="dxa"/>
          </w:tcPr>
          <w:p w14:paraId="2506E055" w14:textId="497BD406" w:rsidR="00DB1208" w:rsidRPr="00DB1208" w:rsidRDefault="00DB1208" w:rsidP="00B50F71">
            <w:pPr>
              <w:pStyle w:val="Tabletext"/>
            </w:pPr>
            <w:r w:rsidRPr="00DB1208">
              <w:t>14.9</w:t>
            </w:r>
          </w:p>
          <w:p w14:paraId="13D8EDBB" w14:textId="77777777" w:rsidR="00DB1208" w:rsidRPr="00DB1208" w:rsidRDefault="00DB1208" w:rsidP="00B50F71">
            <w:pPr>
              <w:pStyle w:val="Tabletext"/>
            </w:pPr>
            <w:r w:rsidRPr="00DB1208">
              <w:t>(10.8, 16.6)</w:t>
            </w:r>
          </w:p>
        </w:tc>
        <w:tc>
          <w:tcPr>
            <w:tcW w:w="1276" w:type="dxa"/>
          </w:tcPr>
          <w:p w14:paraId="0424D20A" w14:textId="2E81B8DB" w:rsidR="00DB1208" w:rsidRPr="00DB1208" w:rsidRDefault="00DB1208" w:rsidP="00B50F71">
            <w:pPr>
              <w:pStyle w:val="Tabletext"/>
            </w:pPr>
            <w:r w:rsidRPr="00DB1208">
              <w:t>18.2</w:t>
            </w:r>
          </w:p>
          <w:p w14:paraId="139A7877" w14:textId="77777777" w:rsidR="00DB1208" w:rsidRPr="00DB1208" w:rsidRDefault="00DB1208" w:rsidP="00B50F71">
            <w:pPr>
              <w:pStyle w:val="Tabletext"/>
            </w:pPr>
            <w:r w:rsidRPr="00DB1208">
              <w:t>(13.3, NE)</w:t>
            </w:r>
          </w:p>
        </w:tc>
        <w:tc>
          <w:tcPr>
            <w:tcW w:w="1276" w:type="dxa"/>
          </w:tcPr>
          <w:p w14:paraId="280C34DD" w14:textId="419D78C2" w:rsidR="00DB1208" w:rsidRPr="00DB1208" w:rsidRDefault="00DB1208" w:rsidP="00B50F71">
            <w:pPr>
              <w:pStyle w:val="Tabletext"/>
            </w:pPr>
            <w:r w:rsidRPr="00DB1208">
              <w:t>14.1</w:t>
            </w:r>
          </w:p>
          <w:p w14:paraId="7754CEA2" w14:textId="77777777" w:rsidR="00DB1208" w:rsidRPr="00DB1208" w:rsidRDefault="00DB1208" w:rsidP="00B50F71">
            <w:pPr>
              <w:pStyle w:val="Tabletext"/>
            </w:pPr>
            <w:r w:rsidRPr="00DB1208">
              <w:t>(11.0, 16.6)</w:t>
            </w:r>
          </w:p>
        </w:tc>
        <w:tc>
          <w:tcPr>
            <w:tcW w:w="1203" w:type="dxa"/>
          </w:tcPr>
          <w:p w14:paraId="0B882094" w14:textId="512E8417" w:rsidR="00DB1208" w:rsidRPr="00DB1208" w:rsidRDefault="00DB1208" w:rsidP="00B50F71">
            <w:pPr>
              <w:pStyle w:val="Tabletext"/>
            </w:pPr>
            <w:r w:rsidRPr="00DB1208">
              <w:t>17.5</w:t>
            </w:r>
          </w:p>
          <w:p w14:paraId="00568DD5" w14:textId="77777777" w:rsidR="00DB1208" w:rsidRPr="00DB1208" w:rsidRDefault="00DB1208" w:rsidP="00B50F71">
            <w:pPr>
              <w:pStyle w:val="Tabletext"/>
            </w:pPr>
            <w:r w:rsidRPr="00DB1208">
              <w:t>(12.8, 23.1)</w:t>
            </w:r>
          </w:p>
        </w:tc>
      </w:tr>
      <w:tr w:rsidR="00DB1208" w:rsidRPr="00DB1208" w14:paraId="325D387E" w14:textId="77777777" w:rsidTr="00C22682">
        <w:trPr>
          <w:trHeight w:val="20"/>
        </w:trPr>
        <w:tc>
          <w:tcPr>
            <w:tcW w:w="1446" w:type="dxa"/>
          </w:tcPr>
          <w:p w14:paraId="0AA85FDD" w14:textId="77777777" w:rsidR="00C22682" w:rsidRDefault="00DB1208" w:rsidP="00B50F71">
            <w:pPr>
              <w:pStyle w:val="Tabletext"/>
            </w:pPr>
            <w:r w:rsidRPr="00DB1208">
              <w:t>HR</w:t>
            </w:r>
          </w:p>
          <w:p w14:paraId="78A24A2F" w14:textId="5599DC61" w:rsidR="00DB1208" w:rsidRPr="00DB1208" w:rsidRDefault="00DB1208" w:rsidP="00B50F71">
            <w:pPr>
              <w:pStyle w:val="Tabletext"/>
            </w:pPr>
            <w:r w:rsidRPr="00DB1208">
              <w:t>(95% CI)</w:t>
            </w:r>
          </w:p>
        </w:tc>
        <w:tc>
          <w:tcPr>
            <w:tcW w:w="2551" w:type="dxa"/>
            <w:gridSpan w:val="2"/>
            <w:shd w:val="clear" w:color="auto" w:fill="0070B5" w:themeFill="text2" w:themeFillTint="BF"/>
          </w:tcPr>
          <w:p w14:paraId="0504E23F" w14:textId="77777777" w:rsidR="00DB1208" w:rsidRPr="00DB1208" w:rsidRDefault="00DB1208" w:rsidP="00B50F71">
            <w:pPr>
              <w:pStyle w:val="Tabletext"/>
            </w:pPr>
            <w:r w:rsidRPr="00DB1208">
              <w:t>0.59 (0.40, 0.89)</w:t>
            </w:r>
          </w:p>
        </w:tc>
        <w:tc>
          <w:tcPr>
            <w:tcW w:w="2552" w:type="dxa"/>
            <w:gridSpan w:val="2"/>
          </w:tcPr>
          <w:p w14:paraId="2768499B" w14:textId="77777777" w:rsidR="00DB1208" w:rsidRPr="00DB1208" w:rsidRDefault="00DB1208" w:rsidP="00B50F71">
            <w:pPr>
              <w:pStyle w:val="Tabletext"/>
            </w:pPr>
            <w:r w:rsidRPr="00DB1208">
              <w:t>0.72 (0.52, 0.99)</w:t>
            </w:r>
          </w:p>
        </w:tc>
        <w:tc>
          <w:tcPr>
            <w:tcW w:w="2479" w:type="dxa"/>
            <w:gridSpan w:val="2"/>
          </w:tcPr>
          <w:p w14:paraId="66DC740E" w14:textId="77777777" w:rsidR="00DB1208" w:rsidRPr="00DB1208" w:rsidRDefault="00DB1208" w:rsidP="00B50F71">
            <w:pPr>
              <w:pStyle w:val="Tabletext"/>
            </w:pPr>
            <w:r w:rsidRPr="00DB1208">
              <w:t>0.83 (0.65, 1.07)</w:t>
            </w:r>
          </w:p>
        </w:tc>
      </w:tr>
      <w:tr w:rsidR="00DB1208" w:rsidRPr="00DB1208" w14:paraId="4F6B5080" w14:textId="77777777" w:rsidTr="00C22682">
        <w:trPr>
          <w:trHeight w:val="20"/>
        </w:trPr>
        <w:tc>
          <w:tcPr>
            <w:tcW w:w="1446" w:type="dxa"/>
          </w:tcPr>
          <w:p w14:paraId="3D4D19D5" w14:textId="77777777" w:rsidR="00DB1208" w:rsidRPr="00DB1208" w:rsidRDefault="00DB1208" w:rsidP="00B50F71">
            <w:pPr>
              <w:pStyle w:val="Tabletext"/>
            </w:pPr>
            <w:r w:rsidRPr="00DB1208">
              <w:t>p-value</w:t>
            </w:r>
          </w:p>
        </w:tc>
        <w:tc>
          <w:tcPr>
            <w:tcW w:w="2551" w:type="dxa"/>
            <w:gridSpan w:val="2"/>
            <w:shd w:val="clear" w:color="auto" w:fill="0070B5" w:themeFill="text2" w:themeFillTint="BF"/>
          </w:tcPr>
          <w:p w14:paraId="51E4D4F9" w14:textId="77777777" w:rsidR="00DB1208" w:rsidRPr="00DB1208" w:rsidRDefault="00DB1208" w:rsidP="00B50F71">
            <w:pPr>
              <w:pStyle w:val="Tabletext"/>
            </w:pPr>
            <w:r w:rsidRPr="00DB1208">
              <w:t>0.0106</w:t>
            </w:r>
          </w:p>
        </w:tc>
        <w:tc>
          <w:tcPr>
            <w:tcW w:w="2552" w:type="dxa"/>
            <w:gridSpan w:val="2"/>
          </w:tcPr>
          <w:p w14:paraId="52CB3111" w14:textId="77777777" w:rsidR="00DB1208" w:rsidRPr="00DB1208" w:rsidRDefault="00DB1208" w:rsidP="00B50F71">
            <w:pPr>
              <w:pStyle w:val="Tabletext"/>
            </w:pPr>
            <w:r w:rsidRPr="00DB1208">
              <w:t>0.0416*</w:t>
            </w:r>
          </w:p>
        </w:tc>
        <w:tc>
          <w:tcPr>
            <w:tcW w:w="2479" w:type="dxa"/>
            <w:gridSpan w:val="2"/>
          </w:tcPr>
          <w:p w14:paraId="5826467F" w14:textId="77777777" w:rsidR="00DB1208" w:rsidRPr="00DB1208" w:rsidRDefault="00DB1208" w:rsidP="00B50F71">
            <w:pPr>
              <w:pStyle w:val="Tabletext"/>
            </w:pPr>
            <w:r w:rsidRPr="00DB1208">
              <w:t>0.1481 (descriptive)</w:t>
            </w:r>
          </w:p>
        </w:tc>
      </w:tr>
      <w:tr w:rsidR="005D635A" w:rsidRPr="00DB1208" w14:paraId="346487D0" w14:textId="77777777" w:rsidTr="00B178E4">
        <w:trPr>
          <w:trHeight w:val="20"/>
        </w:trPr>
        <w:tc>
          <w:tcPr>
            <w:tcW w:w="9028" w:type="dxa"/>
            <w:gridSpan w:val="7"/>
          </w:tcPr>
          <w:p w14:paraId="016C577A" w14:textId="1D539A1D" w:rsidR="005D635A" w:rsidRPr="005D635A" w:rsidRDefault="005D635A" w:rsidP="00B50F71">
            <w:pPr>
              <w:pStyle w:val="Tabletext"/>
            </w:pPr>
            <w:r w:rsidRPr="005D635A">
              <w:t>Progression-free survival</w:t>
            </w:r>
          </w:p>
        </w:tc>
      </w:tr>
      <w:tr w:rsidR="00C22682" w:rsidRPr="00DB1208" w14:paraId="677992F7" w14:textId="77777777" w:rsidTr="00C22682">
        <w:trPr>
          <w:trHeight w:val="20"/>
        </w:trPr>
        <w:tc>
          <w:tcPr>
            <w:tcW w:w="1446" w:type="dxa"/>
          </w:tcPr>
          <w:p w14:paraId="0980947D" w14:textId="77777777" w:rsidR="00C22682" w:rsidRDefault="00DB1208" w:rsidP="00B50F71">
            <w:pPr>
              <w:pStyle w:val="Tabletext"/>
            </w:pPr>
            <w:r w:rsidRPr="00DB1208">
              <w:t>Patients with event,</w:t>
            </w:r>
          </w:p>
          <w:p w14:paraId="0FBAFBA7" w14:textId="57E50F16" w:rsidR="00DB1208" w:rsidRPr="00DB1208" w:rsidRDefault="00DB1208" w:rsidP="00B50F71">
            <w:pPr>
              <w:pStyle w:val="Tabletext"/>
            </w:pPr>
            <w:r w:rsidRPr="00DB1208">
              <w:t>n (%)</w:t>
            </w:r>
          </w:p>
        </w:tc>
        <w:tc>
          <w:tcPr>
            <w:tcW w:w="1276" w:type="dxa"/>
          </w:tcPr>
          <w:p w14:paraId="1354E06B" w14:textId="77777777" w:rsidR="00DB1208" w:rsidRPr="00DB1208" w:rsidRDefault="00DB1208" w:rsidP="00B50F71">
            <w:pPr>
              <w:pStyle w:val="Tabletext"/>
            </w:pPr>
            <w:r w:rsidRPr="00DB1208">
              <w:t>79 (81)</w:t>
            </w:r>
          </w:p>
        </w:tc>
        <w:tc>
          <w:tcPr>
            <w:tcW w:w="1275" w:type="dxa"/>
          </w:tcPr>
          <w:p w14:paraId="3A32212E" w14:textId="77777777" w:rsidR="00DB1208" w:rsidRPr="00DB1208" w:rsidRDefault="00DB1208" w:rsidP="00B50F71">
            <w:pPr>
              <w:pStyle w:val="Tabletext"/>
            </w:pPr>
            <w:r w:rsidRPr="00DB1208">
              <w:t>67 (63)</w:t>
            </w:r>
          </w:p>
        </w:tc>
        <w:tc>
          <w:tcPr>
            <w:tcW w:w="1276" w:type="dxa"/>
          </w:tcPr>
          <w:p w14:paraId="302FBBAA" w14:textId="77777777" w:rsidR="00DB1208" w:rsidRPr="00DB1208" w:rsidRDefault="00DB1208" w:rsidP="00B50F71">
            <w:pPr>
              <w:pStyle w:val="Tabletext"/>
            </w:pPr>
            <w:r w:rsidRPr="00DB1208">
              <w:t>127 (78)</w:t>
            </w:r>
          </w:p>
        </w:tc>
        <w:tc>
          <w:tcPr>
            <w:tcW w:w="1276" w:type="dxa"/>
          </w:tcPr>
          <w:p w14:paraId="323F31BD" w14:textId="77777777" w:rsidR="00DB1208" w:rsidRPr="00DB1208" w:rsidRDefault="00DB1208" w:rsidP="00B50F71">
            <w:pPr>
              <w:pStyle w:val="Tabletext"/>
            </w:pPr>
            <w:r w:rsidRPr="00DB1208">
              <w:t>110 (66)</w:t>
            </w:r>
          </w:p>
        </w:tc>
        <w:tc>
          <w:tcPr>
            <w:tcW w:w="1276" w:type="dxa"/>
          </w:tcPr>
          <w:p w14:paraId="3D63F65A" w14:textId="77777777" w:rsidR="00DB1208" w:rsidRPr="00DB1208" w:rsidRDefault="00DB1208" w:rsidP="00B50F71">
            <w:pPr>
              <w:pStyle w:val="Tabletext"/>
            </w:pPr>
            <w:r w:rsidRPr="00DB1208">
              <w:t>216 (78)</w:t>
            </w:r>
          </w:p>
        </w:tc>
        <w:tc>
          <w:tcPr>
            <w:tcW w:w="1203" w:type="dxa"/>
          </w:tcPr>
          <w:p w14:paraId="3EEEBA9B" w14:textId="77777777" w:rsidR="00DB1208" w:rsidRPr="00DB1208" w:rsidRDefault="00DB1208" w:rsidP="00B50F71">
            <w:pPr>
              <w:pStyle w:val="Tabletext"/>
            </w:pPr>
            <w:r w:rsidRPr="00DB1208">
              <w:t>193 (70)</w:t>
            </w:r>
          </w:p>
        </w:tc>
      </w:tr>
      <w:tr w:rsidR="00C22682" w:rsidRPr="00DB1208" w14:paraId="260C8615" w14:textId="77777777" w:rsidTr="00C22682">
        <w:trPr>
          <w:trHeight w:val="20"/>
        </w:trPr>
        <w:tc>
          <w:tcPr>
            <w:tcW w:w="1446" w:type="dxa"/>
          </w:tcPr>
          <w:p w14:paraId="0D46E899" w14:textId="77777777" w:rsidR="00C22682" w:rsidRDefault="005D635A" w:rsidP="00B50F71">
            <w:pPr>
              <w:pStyle w:val="Tabletext"/>
            </w:pPr>
            <w:r>
              <w:t>Median, months</w:t>
            </w:r>
          </w:p>
          <w:p w14:paraId="3E07F296" w14:textId="3B497CD6" w:rsidR="00DB1208" w:rsidRPr="00DB1208" w:rsidRDefault="005D635A" w:rsidP="00B50F71">
            <w:pPr>
              <w:pStyle w:val="Tabletext"/>
            </w:pPr>
            <w:r>
              <w:t>(95% </w:t>
            </w:r>
            <w:r w:rsidR="00DB1208" w:rsidRPr="00DB1208">
              <w:t>CI)</w:t>
            </w:r>
          </w:p>
        </w:tc>
        <w:tc>
          <w:tcPr>
            <w:tcW w:w="1276" w:type="dxa"/>
          </w:tcPr>
          <w:p w14:paraId="25D48971" w14:textId="77777777" w:rsidR="00C22682" w:rsidRDefault="005D635A" w:rsidP="00B50F71">
            <w:pPr>
              <w:pStyle w:val="Tabletext"/>
            </w:pPr>
            <w:r>
              <w:t>5.0</w:t>
            </w:r>
          </w:p>
          <w:p w14:paraId="51F22AB3" w14:textId="5A951F09" w:rsidR="00DB1208" w:rsidRPr="00DB1208" w:rsidRDefault="00DB1208" w:rsidP="00B50F71">
            <w:pPr>
              <w:pStyle w:val="Tabletext"/>
            </w:pPr>
            <w:r w:rsidRPr="00DB1208">
              <w:t>(4.2, 5.7)</w:t>
            </w:r>
          </w:p>
        </w:tc>
        <w:tc>
          <w:tcPr>
            <w:tcW w:w="1275" w:type="dxa"/>
          </w:tcPr>
          <w:p w14:paraId="0B963E77" w14:textId="77777777" w:rsidR="00C22682" w:rsidRDefault="005D635A" w:rsidP="00B50F71">
            <w:pPr>
              <w:pStyle w:val="Tabletext"/>
            </w:pPr>
            <w:r>
              <w:t>8.1</w:t>
            </w:r>
          </w:p>
          <w:p w14:paraId="525CF66F" w14:textId="32B2ACA7" w:rsidR="00DB1208" w:rsidRPr="00DB1208" w:rsidRDefault="00DB1208" w:rsidP="00B50F71">
            <w:pPr>
              <w:pStyle w:val="Tabletext"/>
            </w:pPr>
            <w:r w:rsidRPr="00DB1208">
              <w:t>(6.8, 11.0)</w:t>
            </w:r>
          </w:p>
        </w:tc>
        <w:tc>
          <w:tcPr>
            <w:tcW w:w="1276" w:type="dxa"/>
          </w:tcPr>
          <w:p w14:paraId="34FEF8D5" w14:textId="77777777" w:rsidR="00C22682" w:rsidRDefault="005D635A" w:rsidP="00B50F71">
            <w:pPr>
              <w:pStyle w:val="Tabletext"/>
            </w:pPr>
            <w:r>
              <w:t>5.5</w:t>
            </w:r>
          </w:p>
          <w:p w14:paraId="5366DF42" w14:textId="43E14ACA" w:rsidR="00DB1208" w:rsidRPr="00DB1208" w:rsidRDefault="00DB1208" w:rsidP="00B50F71">
            <w:pPr>
              <w:pStyle w:val="Tabletext"/>
            </w:pPr>
            <w:r w:rsidRPr="00DB1208">
              <w:t>(4.4, 5.7)</w:t>
            </w:r>
          </w:p>
        </w:tc>
        <w:tc>
          <w:tcPr>
            <w:tcW w:w="1276" w:type="dxa"/>
          </w:tcPr>
          <w:p w14:paraId="54B4B301" w14:textId="77777777" w:rsidR="00C22682" w:rsidRDefault="005D635A" w:rsidP="00B50F71">
            <w:pPr>
              <w:pStyle w:val="Tabletext"/>
            </w:pPr>
            <w:r>
              <w:t>7.2</w:t>
            </w:r>
          </w:p>
          <w:p w14:paraId="2C8FC623" w14:textId="7DAC43DF" w:rsidR="00DB1208" w:rsidRPr="00DB1208" w:rsidRDefault="00DB1208" w:rsidP="00B50F71">
            <w:pPr>
              <w:pStyle w:val="Tabletext"/>
            </w:pPr>
            <w:r w:rsidRPr="00DB1208">
              <w:t>(5.6, 8.7)</w:t>
            </w:r>
          </w:p>
        </w:tc>
        <w:tc>
          <w:tcPr>
            <w:tcW w:w="1276" w:type="dxa"/>
          </w:tcPr>
          <w:p w14:paraId="3F416583" w14:textId="77777777" w:rsidR="00C22682" w:rsidRDefault="005D635A" w:rsidP="00B50F71">
            <w:pPr>
              <w:pStyle w:val="Tabletext"/>
            </w:pPr>
            <w:r>
              <w:t>5.5</w:t>
            </w:r>
          </w:p>
          <w:p w14:paraId="22B0FA6B" w14:textId="5356AD40" w:rsidR="00DB1208" w:rsidRPr="00DB1208" w:rsidRDefault="00DB1208" w:rsidP="00B50F71">
            <w:pPr>
              <w:pStyle w:val="Tabletext"/>
            </w:pPr>
            <w:r w:rsidRPr="00DB1208">
              <w:t>(4.6, 5.7)</w:t>
            </w:r>
          </w:p>
        </w:tc>
        <w:tc>
          <w:tcPr>
            <w:tcW w:w="1203" w:type="dxa"/>
          </w:tcPr>
          <w:p w14:paraId="70655042" w14:textId="77777777" w:rsidR="00C22682" w:rsidRDefault="005D635A" w:rsidP="00B50F71">
            <w:pPr>
              <w:pStyle w:val="Tabletext"/>
            </w:pPr>
            <w:r>
              <w:t>5.7</w:t>
            </w:r>
          </w:p>
          <w:p w14:paraId="7A839C35" w14:textId="169F17EB" w:rsidR="00DB1208" w:rsidRPr="00DB1208" w:rsidRDefault="00DB1208" w:rsidP="00B50F71">
            <w:pPr>
              <w:pStyle w:val="Tabletext"/>
            </w:pPr>
            <w:r w:rsidRPr="00DB1208">
              <w:t>(5.5, 7.2)</w:t>
            </w:r>
          </w:p>
        </w:tc>
      </w:tr>
      <w:tr w:rsidR="00DB1208" w:rsidRPr="00DB1208" w14:paraId="5F30F2E1" w14:textId="77777777" w:rsidTr="00C22682">
        <w:trPr>
          <w:trHeight w:val="20"/>
        </w:trPr>
        <w:tc>
          <w:tcPr>
            <w:tcW w:w="1446" w:type="dxa"/>
          </w:tcPr>
          <w:p w14:paraId="022CD109" w14:textId="77777777" w:rsidR="00C22682" w:rsidRDefault="00DB1208" w:rsidP="00B50F71">
            <w:pPr>
              <w:pStyle w:val="Tabletext"/>
            </w:pPr>
            <w:r w:rsidRPr="00DB1208">
              <w:t>HR</w:t>
            </w:r>
          </w:p>
          <w:p w14:paraId="49808B9A" w14:textId="217E37BB" w:rsidR="00DB1208" w:rsidRPr="00DB1208" w:rsidRDefault="00DB1208" w:rsidP="00B50F71">
            <w:pPr>
              <w:pStyle w:val="Tabletext"/>
            </w:pPr>
            <w:r w:rsidRPr="00DB1208">
              <w:t>(95% CI)</w:t>
            </w:r>
          </w:p>
        </w:tc>
        <w:tc>
          <w:tcPr>
            <w:tcW w:w="2551" w:type="dxa"/>
            <w:gridSpan w:val="2"/>
          </w:tcPr>
          <w:p w14:paraId="637860B8" w14:textId="77777777" w:rsidR="00DB1208" w:rsidRPr="00DB1208" w:rsidRDefault="00DB1208" w:rsidP="00B50F71">
            <w:pPr>
              <w:pStyle w:val="Tabletext"/>
            </w:pPr>
            <w:r w:rsidRPr="00DB1208">
              <w:t>0.63 (0.45, 0.88)</w:t>
            </w:r>
          </w:p>
        </w:tc>
        <w:tc>
          <w:tcPr>
            <w:tcW w:w="2552" w:type="dxa"/>
            <w:gridSpan w:val="2"/>
          </w:tcPr>
          <w:p w14:paraId="1C236184" w14:textId="77777777" w:rsidR="00DB1208" w:rsidRPr="00DB1208" w:rsidRDefault="00DB1208" w:rsidP="00B50F71">
            <w:pPr>
              <w:pStyle w:val="Tabletext"/>
            </w:pPr>
            <w:r w:rsidRPr="00DB1208">
              <w:t>0.67 (0.52, 0.88)</w:t>
            </w:r>
          </w:p>
        </w:tc>
        <w:tc>
          <w:tcPr>
            <w:tcW w:w="2479" w:type="dxa"/>
            <w:gridSpan w:val="2"/>
          </w:tcPr>
          <w:p w14:paraId="1460C34C" w14:textId="77777777" w:rsidR="00DB1208" w:rsidRPr="00DB1208" w:rsidRDefault="00DB1208" w:rsidP="00B50F71">
            <w:pPr>
              <w:pStyle w:val="Tabletext"/>
            </w:pPr>
            <w:r w:rsidRPr="00DB1208">
              <w:t>0.77 (0.63, 0.94)</w:t>
            </w:r>
          </w:p>
        </w:tc>
      </w:tr>
      <w:tr w:rsidR="00DB1208" w:rsidRPr="00DB1208" w14:paraId="5D4BAB46" w14:textId="77777777" w:rsidTr="00C22682">
        <w:trPr>
          <w:trHeight w:val="20"/>
        </w:trPr>
        <w:tc>
          <w:tcPr>
            <w:tcW w:w="1446" w:type="dxa"/>
          </w:tcPr>
          <w:p w14:paraId="73E28B62" w14:textId="77777777" w:rsidR="00DB1208" w:rsidRPr="00DB1208" w:rsidRDefault="00DB1208" w:rsidP="00B50F71">
            <w:pPr>
              <w:pStyle w:val="Tabletext"/>
            </w:pPr>
            <w:r w:rsidRPr="00DB1208">
              <w:t>p-value</w:t>
            </w:r>
          </w:p>
        </w:tc>
        <w:tc>
          <w:tcPr>
            <w:tcW w:w="2551" w:type="dxa"/>
            <w:gridSpan w:val="2"/>
          </w:tcPr>
          <w:p w14:paraId="550A3326" w14:textId="77777777" w:rsidR="00DB1208" w:rsidRPr="00DB1208" w:rsidRDefault="00DB1208" w:rsidP="00B50F71">
            <w:pPr>
              <w:pStyle w:val="Tabletext"/>
            </w:pPr>
            <w:r w:rsidRPr="00DB1208">
              <w:t>0.0070 (descriptive)</w:t>
            </w:r>
          </w:p>
        </w:tc>
        <w:tc>
          <w:tcPr>
            <w:tcW w:w="2552" w:type="dxa"/>
            <w:gridSpan w:val="2"/>
          </w:tcPr>
          <w:p w14:paraId="03591F16" w14:textId="77777777" w:rsidR="00DB1208" w:rsidRPr="00DB1208" w:rsidRDefault="00DB1208" w:rsidP="00B50F71">
            <w:pPr>
              <w:pStyle w:val="Tabletext"/>
            </w:pPr>
            <w:r w:rsidRPr="00DB1208">
              <w:t>0.003 (descriptive)</w:t>
            </w:r>
          </w:p>
        </w:tc>
        <w:tc>
          <w:tcPr>
            <w:tcW w:w="2479" w:type="dxa"/>
            <w:gridSpan w:val="2"/>
          </w:tcPr>
          <w:p w14:paraId="0D0A4026" w14:textId="77777777" w:rsidR="00DB1208" w:rsidRPr="00DB1208" w:rsidRDefault="00DB1208" w:rsidP="00B50F71">
            <w:pPr>
              <w:pStyle w:val="Tabletext"/>
            </w:pPr>
            <w:r w:rsidRPr="00DB1208">
              <w:t>0.0104 (descriptive)</w:t>
            </w:r>
          </w:p>
        </w:tc>
      </w:tr>
      <w:tr w:rsidR="005D635A" w:rsidRPr="00DB1208" w14:paraId="39224688" w14:textId="77777777" w:rsidTr="00B178E4">
        <w:trPr>
          <w:trHeight w:val="20"/>
        </w:trPr>
        <w:tc>
          <w:tcPr>
            <w:tcW w:w="9028" w:type="dxa"/>
            <w:gridSpan w:val="7"/>
          </w:tcPr>
          <w:p w14:paraId="7A0BFE28" w14:textId="5E4B56B4" w:rsidR="005D635A" w:rsidRPr="005D635A" w:rsidRDefault="005D635A" w:rsidP="00B50F71">
            <w:pPr>
              <w:pStyle w:val="Tabletext"/>
            </w:pPr>
            <w:r w:rsidRPr="005D635A">
              <w:t>Objective response rate (ORR, confirmed)</w:t>
            </w:r>
          </w:p>
        </w:tc>
      </w:tr>
      <w:tr w:rsidR="00C22682" w:rsidRPr="00DB1208" w14:paraId="1B1CFD07" w14:textId="77777777" w:rsidTr="00C22682">
        <w:trPr>
          <w:trHeight w:val="20"/>
        </w:trPr>
        <w:tc>
          <w:tcPr>
            <w:tcW w:w="1446" w:type="dxa"/>
          </w:tcPr>
          <w:p w14:paraId="72F8AEF0" w14:textId="646A27EB" w:rsidR="00DB1208" w:rsidRPr="00DB1208" w:rsidRDefault="005D635A" w:rsidP="00B50F71">
            <w:pPr>
              <w:pStyle w:val="Tabletext"/>
            </w:pPr>
            <w:r>
              <w:t>ORR, % (95% </w:t>
            </w:r>
            <w:r w:rsidR="00DB1208" w:rsidRPr="00DB1208">
              <w:t>CI)</w:t>
            </w:r>
          </w:p>
        </w:tc>
        <w:tc>
          <w:tcPr>
            <w:tcW w:w="1276" w:type="dxa"/>
          </w:tcPr>
          <w:p w14:paraId="495C1DBB" w14:textId="77777777" w:rsidR="00DB1208" w:rsidRPr="00DB1208" w:rsidRDefault="00DB1208" w:rsidP="00B50F71">
            <w:pPr>
              <w:pStyle w:val="Tabletext"/>
            </w:pPr>
            <w:r w:rsidRPr="00DB1208">
              <w:t>29 (20, 39)</w:t>
            </w:r>
          </w:p>
        </w:tc>
        <w:tc>
          <w:tcPr>
            <w:tcW w:w="1275" w:type="dxa"/>
          </w:tcPr>
          <w:p w14:paraId="6DED622D" w14:textId="77777777" w:rsidR="00DB1208" w:rsidRPr="00DB1208" w:rsidRDefault="00DB1208" w:rsidP="00B50F71">
            <w:pPr>
              <w:pStyle w:val="Tabletext"/>
            </w:pPr>
            <w:r w:rsidRPr="00DB1208">
              <w:t>38 (29, 48)</w:t>
            </w:r>
          </w:p>
        </w:tc>
        <w:tc>
          <w:tcPr>
            <w:tcW w:w="1276" w:type="dxa"/>
          </w:tcPr>
          <w:p w14:paraId="46DC50FB" w14:textId="77777777" w:rsidR="00DB1208" w:rsidRPr="00DB1208" w:rsidRDefault="00DB1208" w:rsidP="00B50F71">
            <w:pPr>
              <w:pStyle w:val="Tabletext"/>
            </w:pPr>
            <w:r w:rsidRPr="00DB1208">
              <w:t>32 (25, 40)</w:t>
            </w:r>
          </w:p>
        </w:tc>
        <w:tc>
          <w:tcPr>
            <w:tcW w:w="1276" w:type="dxa"/>
          </w:tcPr>
          <w:p w14:paraId="0D1B981C" w14:textId="77777777" w:rsidR="00DB1208" w:rsidRPr="00DB1208" w:rsidRDefault="00DB1208" w:rsidP="00B50F71">
            <w:pPr>
              <w:pStyle w:val="Tabletext"/>
            </w:pPr>
            <w:r w:rsidRPr="00DB1208">
              <w:t>31 (24, 38)</w:t>
            </w:r>
          </w:p>
        </w:tc>
        <w:tc>
          <w:tcPr>
            <w:tcW w:w="1276" w:type="dxa"/>
          </w:tcPr>
          <w:p w14:paraId="76A7255D" w14:textId="77777777" w:rsidR="00DB1208" w:rsidRPr="00DB1208" w:rsidRDefault="00DB1208" w:rsidP="00B50F71">
            <w:pPr>
              <w:pStyle w:val="Tabletext"/>
            </w:pPr>
            <w:r w:rsidRPr="00DB1208">
              <w:t>32 (26, 38)</w:t>
            </w:r>
          </w:p>
        </w:tc>
        <w:tc>
          <w:tcPr>
            <w:tcW w:w="1203" w:type="dxa"/>
          </w:tcPr>
          <w:p w14:paraId="05514DA9" w14:textId="77777777" w:rsidR="00DB1208" w:rsidRPr="00DB1208" w:rsidRDefault="00DB1208" w:rsidP="00B50F71">
            <w:pPr>
              <w:pStyle w:val="Tabletext"/>
            </w:pPr>
            <w:r w:rsidRPr="00DB1208">
              <w:t>29 (24, 35)</w:t>
            </w:r>
          </w:p>
        </w:tc>
      </w:tr>
      <w:tr w:rsidR="005D635A" w:rsidRPr="00DB1208" w14:paraId="582A6A17" w14:textId="77777777" w:rsidTr="00B178E4">
        <w:trPr>
          <w:trHeight w:val="20"/>
        </w:trPr>
        <w:tc>
          <w:tcPr>
            <w:tcW w:w="9028" w:type="dxa"/>
            <w:gridSpan w:val="7"/>
          </w:tcPr>
          <w:p w14:paraId="0F0BF108" w14:textId="704015AC" w:rsidR="005D635A" w:rsidRPr="005D635A" w:rsidRDefault="005D635A" w:rsidP="00B50F71">
            <w:pPr>
              <w:pStyle w:val="Tabletext"/>
            </w:pPr>
            <w:r w:rsidRPr="005D635A">
              <w:t>Duration of response (confirmed)</w:t>
            </w:r>
          </w:p>
        </w:tc>
      </w:tr>
      <w:tr w:rsidR="00C22682" w:rsidRPr="00DB1208" w14:paraId="2F31D067" w14:textId="77777777" w:rsidTr="00C22682">
        <w:trPr>
          <w:trHeight w:val="20"/>
        </w:trPr>
        <w:tc>
          <w:tcPr>
            <w:tcW w:w="1446" w:type="dxa"/>
          </w:tcPr>
          <w:p w14:paraId="6E34D84F" w14:textId="77777777" w:rsidR="00DB1208" w:rsidRPr="00DB1208" w:rsidRDefault="00DB1208" w:rsidP="00B50F71">
            <w:pPr>
              <w:pStyle w:val="Tabletext"/>
            </w:pPr>
            <w:r w:rsidRPr="00DB1208">
              <w:t>responders, n</w:t>
            </w:r>
          </w:p>
        </w:tc>
        <w:tc>
          <w:tcPr>
            <w:tcW w:w="1276" w:type="dxa"/>
          </w:tcPr>
          <w:p w14:paraId="7C5B3460" w14:textId="77777777" w:rsidR="00DB1208" w:rsidRPr="00DB1208" w:rsidRDefault="00DB1208" w:rsidP="00B50F71">
            <w:pPr>
              <w:pStyle w:val="Tabletext"/>
            </w:pPr>
            <w:r w:rsidRPr="00DB1208">
              <w:t>28</w:t>
            </w:r>
          </w:p>
        </w:tc>
        <w:tc>
          <w:tcPr>
            <w:tcW w:w="1275" w:type="dxa"/>
          </w:tcPr>
          <w:p w14:paraId="51F53372" w14:textId="77777777" w:rsidR="00DB1208" w:rsidRPr="00DB1208" w:rsidRDefault="00DB1208" w:rsidP="00B50F71">
            <w:pPr>
              <w:pStyle w:val="Tabletext"/>
            </w:pPr>
            <w:r w:rsidRPr="00DB1208">
              <w:t>41</w:t>
            </w:r>
          </w:p>
        </w:tc>
        <w:tc>
          <w:tcPr>
            <w:tcW w:w="1276" w:type="dxa"/>
          </w:tcPr>
          <w:p w14:paraId="46C37DE5" w14:textId="77777777" w:rsidR="00DB1208" w:rsidRPr="00DB1208" w:rsidRDefault="00DB1208" w:rsidP="00B50F71">
            <w:pPr>
              <w:pStyle w:val="Tabletext"/>
            </w:pPr>
            <w:r w:rsidRPr="00DB1208">
              <w:t>52</w:t>
            </w:r>
          </w:p>
        </w:tc>
        <w:tc>
          <w:tcPr>
            <w:tcW w:w="1276" w:type="dxa"/>
          </w:tcPr>
          <w:p w14:paraId="54C1A018" w14:textId="77777777" w:rsidR="00DB1208" w:rsidRPr="00DB1208" w:rsidRDefault="00DB1208" w:rsidP="00B50F71">
            <w:pPr>
              <w:pStyle w:val="Tabletext"/>
            </w:pPr>
            <w:r w:rsidRPr="00DB1208">
              <w:t>51</w:t>
            </w:r>
          </w:p>
        </w:tc>
        <w:tc>
          <w:tcPr>
            <w:tcW w:w="1276" w:type="dxa"/>
          </w:tcPr>
          <w:p w14:paraId="232793C2" w14:textId="77777777" w:rsidR="00DB1208" w:rsidRPr="00DB1208" w:rsidRDefault="00DB1208" w:rsidP="00B50F71">
            <w:pPr>
              <w:pStyle w:val="Tabletext"/>
            </w:pPr>
            <w:r w:rsidRPr="00DB1208">
              <w:t>88</w:t>
            </w:r>
          </w:p>
        </w:tc>
        <w:tc>
          <w:tcPr>
            <w:tcW w:w="1203" w:type="dxa"/>
          </w:tcPr>
          <w:p w14:paraId="405C478D" w14:textId="77777777" w:rsidR="00DB1208" w:rsidRPr="00DB1208" w:rsidRDefault="00DB1208" w:rsidP="00B50F71">
            <w:pPr>
              <w:pStyle w:val="Tabletext"/>
            </w:pPr>
            <w:r w:rsidRPr="00DB1208">
              <w:t>81</w:t>
            </w:r>
          </w:p>
        </w:tc>
      </w:tr>
      <w:tr w:rsidR="00C22682" w:rsidRPr="00DB1208" w14:paraId="0C6604CB" w14:textId="77777777" w:rsidTr="00C22682">
        <w:trPr>
          <w:trHeight w:val="20"/>
        </w:trPr>
        <w:tc>
          <w:tcPr>
            <w:tcW w:w="1446" w:type="dxa"/>
          </w:tcPr>
          <w:p w14:paraId="315B7400" w14:textId="77777777" w:rsidR="00C22682" w:rsidRDefault="005D635A" w:rsidP="00B50F71">
            <w:pPr>
              <w:pStyle w:val="Tabletext"/>
            </w:pPr>
            <w:r>
              <w:t>Median, months</w:t>
            </w:r>
          </w:p>
          <w:p w14:paraId="2514D3A4" w14:textId="7098CF73" w:rsidR="00DB1208" w:rsidRPr="00DB1208" w:rsidRDefault="005D635A" w:rsidP="00B50F71">
            <w:pPr>
              <w:pStyle w:val="Tabletext"/>
            </w:pPr>
            <w:r>
              <w:t>(95% </w:t>
            </w:r>
            <w:r w:rsidR="00DB1208" w:rsidRPr="00DB1208">
              <w:t>CI)</w:t>
            </w:r>
          </w:p>
        </w:tc>
        <w:tc>
          <w:tcPr>
            <w:tcW w:w="1276" w:type="dxa"/>
          </w:tcPr>
          <w:p w14:paraId="2F068CF8" w14:textId="77777777" w:rsidR="00C22682" w:rsidRDefault="005D635A" w:rsidP="00B50F71">
            <w:pPr>
              <w:pStyle w:val="Tabletext"/>
            </w:pPr>
            <w:r>
              <w:t>6.7</w:t>
            </w:r>
          </w:p>
          <w:p w14:paraId="2B07F459" w14:textId="140C1822" w:rsidR="00DB1208" w:rsidRPr="00DB1208" w:rsidRDefault="00DB1208" w:rsidP="00B50F71">
            <w:pPr>
              <w:pStyle w:val="Tabletext"/>
            </w:pPr>
            <w:r w:rsidRPr="00DB1208">
              <w:t>(5.5, 17.3)</w:t>
            </w:r>
          </w:p>
        </w:tc>
        <w:tc>
          <w:tcPr>
            <w:tcW w:w="1275" w:type="dxa"/>
          </w:tcPr>
          <w:p w14:paraId="0265A77B" w14:textId="77777777" w:rsidR="00C22682" w:rsidRDefault="005D635A" w:rsidP="00B50F71">
            <w:pPr>
              <w:pStyle w:val="Tabletext"/>
            </w:pPr>
            <w:r>
              <w:t>NE</w:t>
            </w:r>
          </w:p>
          <w:p w14:paraId="6B35D5E4" w14:textId="1E0008FE" w:rsidR="00DB1208" w:rsidRPr="00DB1208" w:rsidRDefault="00DB1208" w:rsidP="00B50F71">
            <w:pPr>
              <w:pStyle w:val="Tabletext"/>
            </w:pPr>
            <w:r w:rsidRPr="00DB1208">
              <w:t>(11.8, NE)</w:t>
            </w:r>
          </w:p>
        </w:tc>
        <w:tc>
          <w:tcPr>
            <w:tcW w:w="1276" w:type="dxa"/>
          </w:tcPr>
          <w:p w14:paraId="2399D1CC" w14:textId="77777777" w:rsidR="00C22682" w:rsidRDefault="005D635A" w:rsidP="00B50F71">
            <w:pPr>
              <w:pStyle w:val="Tabletext"/>
            </w:pPr>
            <w:r>
              <w:t>5.8</w:t>
            </w:r>
          </w:p>
          <w:p w14:paraId="0B5B8AAF" w14:textId="1E0792DC" w:rsidR="00DB1208" w:rsidRPr="00DB1208" w:rsidRDefault="00DB1208" w:rsidP="00B50F71">
            <w:pPr>
              <w:pStyle w:val="Tabletext"/>
            </w:pPr>
            <w:r w:rsidRPr="00DB1208">
              <w:t>(5.1, 9.9)</w:t>
            </w:r>
          </w:p>
        </w:tc>
        <w:tc>
          <w:tcPr>
            <w:tcW w:w="1276" w:type="dxa"/>
          </w:tcPr>
          <w:p w14:paraId="4AF23371" w14:textId="77777777" w:rsidR="00C22682" w:rsidRDefault="005D635A" w:rsidP="00B50F71">
            <w:pPr>
              <w:pStyle w:val="Tabletext"/>
            </w:pPr>
            <w:r>
              <w:t>NE</w:t>
            </w:r>
          </w:p>
          <w:p w14:paraId="51E422FB" w14:textId="5BC90C85" w:rsidR="00DB1208" w:rsidRPr="00DB1208" w:rsidRDefault="00DB1208" w:rsidP="00B50F71">
            <w:pPr>
              <w:pStyle w:val="Tabletext"/>
            </w:pPr>
            <w:r w:rsidRPr="00DB1208">
              <w:t>(11.8, NE)</w:t>
            </w:r>
          </w:p>
        </w:tc>
        <w:tc>
          <w:tcPr>
            <w:tcW w:w="1276" w:type="dxa"/>
          </w:tcPr>
          <w:p w14:paraId="46EF19BF" w14:textId="77777777" w:rsidR="00C22682" w:rsidRDefault="005D635A" w:rsidP="00B50F71">
            <w:pPr>
              <w:pStyle w:val="Tabletext"/>
            </w:pPr>
            <w:r>
              <w:t>5.7</w:t>
            </w:r>
          </w:p>
          <w:p w14:paraId="381ED4FF" w14:textId="1498D9FA" w:rsidR="00DB1208" w:rsidRPr="00DB1208" w:rsidRDefault="00DB1208" w:rsidP="00B50F71">
            <w:pPr>
              <w:pStyle w:val="Tabletext"/>
            </w:pPr>
            <w:r w:rsidRPr="00DB1208">
              <w:t>(4.8, 9.7)</w:t>
            </w:r>
          </w:p>
        </w:tc>
        <w:tc>
          <w:tcPr>
            <w:tcW w:w="1203" w:type="dxa"/>
          </w:tcPr>
          <w:p w14:paraId="11DDFE00" w14:textId="70FDA2C2" w:rsidR="00DB1208" w:rsidRPr="00DB1208" w:rsidRDefault="005D635A" w:rsidP="00B50F71">
            <w:pPr>
              <w:pStyle w:val="Tabletext"/>
            </w:pPr>
            <w:r>
              <w:t>NE (11.8, </w:t>
            </w:r>
            <w:r w:rsidR="00DB1208" w:rsidRPr="00DB1208">
              <w:t>NE)</w:t>
            </w:r>
          </w:p>
        </w:tc>
      </w:tr>
    </w:tbl>
    <w:p w14:paraId="30AE8065" w14:textId="148AD911" w:rsidR="00301468" w:rsidRPr="00B31ACA" w:rsidRDefault="002F6D11" w:rsidP="00B31ACA">
      <w:pPr>
        <w:pStyle w:val="TableDescription"/>
      </w:pPr>
      <w:r w:rsidRPr="00B31ACA">
        <w:lastRenderedPageBreak/>
        <w:t xml:space="preserve">Abbreviations: </w:t>
      </w:r>
      <w:proofErr w:type="spellStart"/>
      <w:r w:rsidR="003F518C" w:rsidRPr="00B31ACA">
        <w:t>Atezo</w:t>
      </w:r>
      <w:proofErr w:type="spellEnd"/>
      <w:r w:rsidR="003F518C" w:rsidRPr="00B31ACA">
        <w:t xml:space="preserve"> = atezolizumab</w:t>
      </w:r>
      <w:r w:rsidR="00725DB0" w:rsidRPr="00B31ACA">
        <w:t>;</w:t>
      </w:r>
      <w:r w:rsidR="003F518C" w:rsidRPr="00B31ACA">
        <w:t xml:space="preserve"> Chemo = chemotherapy</w:t>
      </w:r>
      <w:r w:rsidR="00725DB0" w:rsidRPr="00B31ACA">
        <w:t>;</w:t>
      </w:r>
      <w:r w:rsidR="003F518C" w:rsidRPr="00B31ACA">
        <w:t xml:space="preserve"> </w:t>
      </w:r>
      <w:r w:rsidR="00DB1208" w:rsidRPr="00B31ACA">
        <w:t>CI = confidence interval</w:t>
      </w:r>
      <w:r w:rsidR="00725DB0" w:rsidRPr="00B31ACA">
        <w:t>;</w:t>
      </w:r>
      <w:r w:rsidR="00DB1208" w:rsidRPr="00B31ACA">
        <w:t xml:space="preserve"> HR = hazard ratio</w:t>
      </w:r>
      <w:r w:rsidR="00725DB0" w:rsidRPr="00B31ACA">
        <w:t>;</w:t>
      </w:r>
      <w:r w:rsidR="00DB1208" w:rsidRPr="00B31ACA">
        <w:t xml:space="preserve"> </w:t>
      </w:r>
      <w:r w:rsidR="00725DB0" w:rsidRPr="00B31ACA">
        <w:t xml:space="preserve">N = total number of subjects; n = numbers of subjects in group; </w:t>
      </w:r>
      <w:r w:rsidR="00DB1208" w:rsidRPr="00B31ACA">
        <w:t>NE = not estimable</w:t>
      </w:r>
      <w:r w:rsidR="00725DB0" w:rsidRPr="00B31ACA">
        <w:t>;</w:t>
      </w:r>
      <w:r w:rsidR="00DB1208" w:rsidRPr="00B31ACA">
        <w:t xml:space="preserve"> ORR = objective response rate</w:t>
      </w:r>
      <w:r w:rsidR="00725DB0" w:rsidRPr="00B31ACA">
        <w:t xml:space="preserve">; </w:t>
      </w:r>
      <w:r w:rsidR="0070286D" w:rsidRPr="00B31ACA">
        <w:t>PD-L1</w:t>
      </w:r>
      <w:r w:rsidR="00725DB0" w:rsidRPr="00B31ACA">
        <w:t xml:space="preserve"> = programmed death-ligand 1; </w:t>
      </w:r>
      <w:r w:rsidR="00301468" w:rsidRPr="00B31ACA">
        <w:t xml:space="preserve">TC = </w:t>
      </w:r>
      <w:r w:rsidR="008159EE" w:rsidRPr="00B31ACA">
        <w:t>tumour cell</w:t>
      </w:r>
      <w:r w:rsidR="00725DB0" w:rsidRPr="00B31ACA">
        <w:t>.</w:t>
      </w:r>
    </w:p>
    <w:p w14:paraId="519205A1" w14:textId="726F6DA6" w:rsidR="002F6D11" w:rsidRPr="00B31ACA" w:rsidRDefault="002F6D11" w:rsidP="00B31ACA">
      <w:pPr>
        <w:pStyle w:val="TableDescription"/>
      </w:pPr>
      <w:r w:rsidRPr="00B31ACA">
        <w:t>TC3 or IC3 denotes PD-L1 expression on ≥ 50% of tumour cells or on ≥ 10% of immune cells (PD-L1 expression ‘high’).</w:t>
      </w:r>
    </w:p>
    <w:p w14:paraId="7FD36018" w14:textId="77777777" w:rsidR="000B6A3D" w:rsidRPr="00B31ACA" w:rsidRDefault="000B6A3D" w:rsidP="00B31ACA">
      <w:pPr>
        <w:pStyle w:val="TableDescription"/>
      </w:pPr>
      <w:r w:rsidRPr="00B31ACA">
        <w:t>Immune cell scoring (PD-L1 expression): IC0 (0 to &lt; 1%); IC1 (1 to &lt; 5%); IC2 (5 to &lt;10%); IC3 (10%+).</w:t>
      </w:r>
    </w:p>
    <w:p w14:paraId="37CE747D" w14:textId="330EB869" w:rsidR="000B6A3D" w:rsidRPr="00B31ACA" w:rsidRDefault="000B6A3D" w:rsidP="00B31ACA">
      <w:pPr>
        <w:pStyle w:val="TableDescription"/>
      </w:pPr>
      <w:r w:rsidRPr="00B31ACA">
        <w:t>Tumour cell scoring (PD-L1 expression): TC0 (0 to &lt;1%); TC1 (1 to &lt; 5%); TC2 (5 to &lt; 50%); TC3 (50%+).</w:t>
      </w:r>
    </w:p>
    <w:p w14:paraId="18276492" w14:textId="77777777" w:rsidR="00301468" w:rsidRPr="00B31ACA" w:rsidRDefault="00DB1208" w:rsidP="00B31ACA">
      <w:pPr>
        <w:pStyle w:val="TableDescription"/>
      </w:pPr>
      <w:r w:rsidRPr="00B31ACA">
        <w:t>Hazard ratios: stratified Cox regression. P-values: stratified log-rank test.</w:t>
      </w:r>
    </w:p>
    <w:p w14:paraId="40D29B77" w14:textId="4A5934C8" w:rsidR="00DB1208" w:rsidRPr="00B31ACA" w:rsidRDefault="00DB1208" w:rsidP="00B31ACA">
      <w:pPr>
        <w:pStyle w:val="TableDescription"/>
      </w:pPr>
      <w:r w:rsidRPr="00B31ACA">
        <w:t xml:space="preserve">* Not statistically significant: the pre-specified </w:t>
      </w:r>
      <w:r w:rsidR="00301468" w:rsidRPr="00B31ACA">
        <w:t>overall survival</w:t>
      </w:r>
      <w:r w:rsidR="00301468" w:rsidRPr="00B31ACA" w:rsidDel="00301468">
        <w:t xml:space="preserve"> </w:t>
      </w:r>
      <w:r w:rsidRPr="00B31ACA">
        <w:t>interim analysis alpha boundary was 0.0400</w:t>
      </w:r>
      <w:r w:rsidR="00725DB0" w:rsidRPr="00B31ACA">
        <w:t>.</w:t>
      </w:r>
    </w:p>
    <w:p w14:paraId="08A3B99B" w14:textId="5382537A" w:rsidR="00DB1208" w:rsidRPr="00B31ACA" w:rsidRDefault="00DB1208" w:rsidP="00E667E9">
      <w:pPr>
        <w:pStyle w:val="FigureTitle"/>
      </w:pPr>
      <w:bookmarkStart w:id="56" w:name="_Ref54965602"/>
      <w:bookmarkEnd w:id="54"/>
      <w:r w:rsidRPr="00B31ACA">
        <w:t xml:space="preserve">Figure </w:t>
      </w:r>
      <w:fldSimple w:instr=" SEQ Figure \* ARABIC ">
        <w:r w:rsidR="00C05B15">
          <w:rPr>
            <w:noProof/>
          </w:rPr>
          <w:t>2</w:t>
        </w:r>
      </w:fldSimple>
      <w:bookmarkEnd w:id="56"/>
      <w:r w:rsidR="001E2AC5" w:rsidRPr="00B31ACA">
        <w:t>:</w:t>
      </w:r>
      <w:r w:rsidRPr="00B31ACA">
        <w:t xml:space="preserve"> </w:t>
      </w:r>
      <w:r w:rsidR="009258F9" w:rsidRPr="00B31ACA">
        <w:t>IMPOWER</w:t>
      </w:r>
      <w:r w:rsidR="005D635A" w:rsidRPr="00B31ACA">
        <w:t xml:space="preserve">110 trial (Study GO29431) </w:t>
      </w:r>
      <w:r w:rsidRPr="00B31ACA">
        <w:t xml:space="preserve">Kaplan-Meier curve for </w:t>
      </w:r>
      <w:r w:rsidR="005D635A" w:rsidRPr="00B31ACA">
        <w:t>overall survival</w:t>
      </w:r>
      <w:r w:rsidRPr="00B31ACA">
        <w:t xml:space="preserve"> for the primary efficacy population (</w:t>
      </w:r>
      <w:r w:rsidR="002F6D11" w:rsidRPr="00B31ACA">
        <w:t>TC</w:t>
      </w:r>
      <w:r w:rsidRPr="00B31ACA">
        <w:t xml:space="preserve">3 or </w:t>
      </w:r>
      <w:r w:rsidR="002F6D11" w:rsidRPr="00B31ACA">
        <w:t>IC3</w:t>
      </w:r>
      <w:r w:rsidR="005D635A" w:rsidRPr="00B31ACA">
        <w:t>, intent-to treat population</w:t>
      </w:r>
      <w:r w:rsidRPr="00B31ACA">
        <w:t>)</w:t>
      </w:r>
    </w:p>
    <w:p w14:paraId="0C141A05" w14:textId="52B69B14" w:rsidR="00DB1208" w:rsidRDefault="00DB1208" w:rsidP="00B31ACA">
      <w:r>
        <w:rPr>
          <w:noProof/>
          <w:lang w:val="en-GB" w:eastAsia="en-GB"/>
        </w:rPr>
        <w:drawing>
          <wp:inline distT="0" distB="0" distL="0" distR="0" wp14:anchorId="54A42BB4" wp14:editId="45DB26B7">
            <wp:extent cx="5093918" cy="2718094"/>
            <wp:effectExtent l="0" t="0" r="0" b="6350"/>
            <wp:docPr id="1" name="Picture 1" descr="Figure 2: IMPOWER110 trial (Study GO29431) Kaplan-Meier curve for overall survival for the primary efficacy population (TC3 or IC3, intent-to 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2: IMPOWER110 trial (Study GO29431) Kaplan-Meier curve for overall survival for the primary efficacy population (TC3 or IC3, intent-to treat population)"/>
                    <pic:cNvPicPr/>
                  </pic:nvPicPr>
                  <pic:blipFill rotWithShape="1">
                    <a:blip r:embed="rId17"/>
                    <a:srcRect l="1786" t="9015" r="2237" b="14957"/>
                    <a:stretch/>
                  </pic:blipFill>
                  <pic:spPr bwMode="auto">
                    <a:xfrm>
                      <a:off x="0" y="0"/>
                      <a:ext cx="5120420" cy="2732235"/>
                    </a:xfrm>
                    <a:prstGeom prst="rect">
                      <a:avLst/>
                    </a:prstGeom>
                    <a:ln>
                      <a:noFill/>
                    </a:ln>
                    <a:extLst>
                      <a:ext uri="{53640926-AAD7-44D8-BBD7-CCE9431645EC}">
                        <a14:shadowObscured xmlns:a14="http://schemas.microsoft.com/office/drawing/2010/main"/>
                      </a:ext>
                    </a:extLst>
                  </pic:spPr>
                </pic:pic>
              </a:graphicData>
            </a:graphic>
          </wp:inline>
        </w:drawing>
      </w:r>
    </w:p>
    <w:p w14:paraId="3C086AA6" w14:textId="029ADCDD" w:rsidR="00C22682" w:rsidRPr="00B31ACA" w:rsidRDefault="002F6D11" w:rsidP="00B31ACA">
      <w:pPr>
        <w:pStyle w:val="FigureDescription"/>
      </w:pPr>
      <w:r w:rsidRPr="00B31ACA">
        <w:t xml:space="preserve">Abbreviations: </w:t>
      </w:r>
      <w:r w:rsidR="00C165A4" w:rsidRPr="00B31ACA">
        <w:t xml:space="preserve">CI = confidence interval; </w:t>
      </w:r>
      <w:r w:rsidR="00C22682" w:rsidRPr="00B31ACA">
        <w:t xml:space="preserve">IC = immune cell; </w:t>
      </w:r>
      <w:r w:rsidR="00C165A4" w:rsidRPr="00B31ACA">
        <w:t>N = numbers of patients; NE = not estimable</w:t>
      </w:r>
      <w:r w:rsidR="00C22682" w:rsidRPr="00B31ACA">
        <w:t>; TC = tumour cell.</w:t>
      </w:r>
    </w:p>
    <w:p w14:paraId="060B0BE1" w14:textId="53180962" w:rsidR="002F6D11" w:rsidRPr="00B31ACA" w:rsidRDefault="002F6D11" w:rsidP="00B31ACA">
      <w:pPr>
        <w:pStyle w:val="FigureDescription"/>
      </w:pPr>
      <w:r w:rsidRPr="00B31ACA">
        <w:t>TC3 or IC3 denotes PD-L1 expression on ≥ 50% of tumour cells or on ≥ 10% of immune cells (PD-L1 expression ‘high’).</w:t>
      </w:r>
    </w:p>
    <w:p w14:paraId="09CE8091" w14:textId="77777777" w:rsidR="000B6A3D" w:rsidRPr="00B31ACA" w:rsidRDefault="000B6A3D" w:rsidP="00B31ACA">
      <w:pPr>
        <w:pStyle w:val="FigureDescription"/>
      </w:pPr>
      <w:r w:rsidRPr="00B31ACA">
        <w:t>Immune cell scoring (PD-L1 expression): IC0 (0 to &lt; 1%); IC1 (1 to &lt; 5%); IC2 (5 to &lt;10%); IC3 (10%+).</w:t>
      </w:r>
    </w:p>
    <w:p w14:paraId="5C2CD811" w14:textId="7E44830C" w:rsidR="000B6A3D" w:rsidRPr="00B31ACA" w:rsidRDefault="000B6A3D" w:rsidP="00B31ACA">
      <w:pPr>
        <w:pStyle w:val="FigureDescription"/>
      </w:pPr>
      <w:r w:rsidRPr="00B31ACA">
        <w:t>Tumour cell scoring (PD-L1 expression): TC0 (0 to &lt;1%); TC1 (1 to &lt; 5%); TC2 (5 to &lt; 50%); TC3 (50%+).</w:t>
      </w:r>
    </w:p>
    <w:p w14:paraId="4A5D45FB" w14:textId="3AA96CE6" w:rsidR="00544993" w:rsidRPr="00B31ACA" w:rsidRDefault="00C165A4" w:rsidP="00B31ACA">
      <w:pPr>
        <w:pStyle w:val="FigureDescription"/>
      </w:pPr>
      <w:r w:rsidRPr="00B31ACA">
        <w:t>Randomised treatments are displayed.</w:t>
      </w:r>
    </w:p>
    <w:p w14:paraId="42683EF5" w14:textId="0E252417" w:rsidR="00C165A4" w:rsidRPr="00B31ACA" w:rsidRDefault="00C165A4" w:rsidP="00B31ACA">
      <w:pPr>
        <w:pStyle w:val="FigureDescription"/>
      </w:pPr>
      <w:r w:rsidRPr="00B31ACA">
        <w:t xml:space="preserve">Stratification factors </w:t>
      </w:r>
      <w:proofErr w:type="gramStart"/>
      <w:r w:rsidRPr="00B31ACA">
        <w:t>are:</w:t>
      </w:r>
      <w:proofErr w:type="gramEnd"/>
      <w:r w:rsidRPr="00B31ACA">
        <w:t xml:space="preserve"> </w:t>
      </w:r>
      <w:r w:rsidR="0083105F" w:rsidRPr="00B31ACA">
        <w:t>s</w:t>
      </w:r>
      <w:r w:rsidRPr="00B31ACA">
        <w:t xml:space="preserve">ex (male versus female) and </w:t>
      </w:r>
      <w:r w:rsidR="0083105F" w:rsidRPr="00B31ACA">
        <w:t>Eastern Cooperative Oncology Group</w:t>
      </w:r>
      <w:r w:rsidR="0083105F" w:rsidRPr="00B31ACA" w:rsidDel="0083105F">
        <w:t xml:space="preserve"> </w:t>
      </w:r>
      <w:r w:rsidR="0035143E" w:rsidRPr="00B31ACA">
        <w:t>performance Status</w:t>
      </w:r>
      <w:r w:rsidRPr="00B31ACA">
        <w:t xml:space="preserve"> score (0 versus 1). Intent-to-treat wild-type patients are populations excluding patients with a sensitizing </w:t>
      </w:r>
      <w:r w:rsidR="0083105F" w:rsidRPr="00B31ACA">
        <w:t>epidermal growth factor receptor</w:t>
      </w:r>
      <w:r w:rsidR="0083105F" w:rsidRPr="00B31ACA" w:rsidDel="0083105F">
        <w:t xml:space="preserve"> </w:t>
      </w:r>
      <w:r w:rsidRPr="00B31ACA">
        <w:t xml:space="preserve">mutation or </w:t>
      </w:r>
      <w:r w:rsidR="0083105F" w:rsidRPr="00B31ACA">
        <w:t>anaplastic lymphoma kinase</w:t>
      </w:r>
      <w:r w:rsidR="0083105F" w:rsidRPr="00B31ACA" w:rsidDel="0083105F">
        <w:t xml:space="preserve"> </w:t>
      </w:r>
      <w:r w:rsidRPr="00B31ACA">
        <w:t>translocation).</w:t>
      </w:r>
    </w:p>
    <w:p w14:paraId="370213D2" w14:textId="0C94D824" w:rsidR="00C165A4" w:rsidRPr="00B31ACA" w:rsidRDefault="00C165A4" w:rsidP="00B31ACA">
      <w:pPr>
        <w:pStyle w:val="FigureDescription"/>
      </w:pPr>
      <w:r w:rsidRPr="00B31ACA">
        <w:t>Data extraction date: 31 August 2019; data cut-off date: 10 September 2018</w:t>
      </w:r>
      <w:r w:rsidR="0083105F" w:rsidRPr="00B31ACA">
        <w:t>.</w:t>
      </w:r>
    </w:p>
    <w:p w14:paraId="7A36F9D2" w14:textId="76689FF0" w:rsidR="00DB1208" w:rsidRDefault="00DB1208" w:rsidP="00DB1208">
      <w:r w:rsidRPr="00C165A4">
        <w:t xml:space="preserve">Crossing of the overall survival curve in the early months of therapy indicates that there is a higher risk of early mortality with atezolizumab treatment compared to chemotherapy </w:t>
      </w:r>
      <w:r w:rsidRPr="003F518C">
        <w:t xml:space="preserve">(see </w:t>
      </w:r>
      <w:r w:rsidR="00F659BC">
        <w:t>S</w:t>
      </w:r>
      <w:r w:rsidR="003F518C">
        <w:t>ection</w:t>
      </w:r>
      <w:r w:rsidR="007D374A">
        <w:t>:</w:t>
      </w:r>
      <w:r w:rsidR="003F518C">
        <w:t xml:space="preserve"> </w:t>
      </w:r>
      <w:r w:rsidRPr="003F518C">
        <w:fldChar w:fldCharType="begin"/>
      </w:r>
      <w:r w:rsidRPr="003F518C">
        <w:instrText xml:space="preserve"> REF _Ref63762112 \h  \* MERGEFORMAT </w:instrText>
      </w:r>
      <w:r w:rsidRPr="003F518C">
        <w:fldChar w:fldCharType="separate"/>
      </w:r>
      <w:r w:rsidR="00C05B15">
        <w:t>Early mortality</w:t>
      </w:r>
      <w:r w:rsidRPr="003F518C">
        <w:fldChar w:fldCharType="end"/>
      </w:r>
      <w:r w:rsidR="003F518C">
        <w:t>, below</w:t>
      </w:r>
      <w:r w:rsidRPr="003F518C">
        <w:t>).</w:t>
      </w:r>
    </w:p>
    <w:p w14:paraId="638949CD" w14:textId="2293379B" w:rsidR="00DB1208" w:rsidRDefault="00DB1208" w:rsidP="00B50F71">
      <w:pPr>
        <w:pStyle w:val="Heading5"/>
      </w:pPr>
      <w:bookmarkStart w:id="57" w:name="_Ref107301482"/>
      <w:bookmarkStart w:id="58" w:name="_Ref63762579"/>
      <w:r>
        <w:lastRenderedPageBreak/>
        <w:t>Subgroup analyses</w:t>
      </w:r>
      <w:bookmarkEnd w:id="57"/>
    </w:p>
    <w:p w14:paraId="24E125A0" w14:textId="2B6ECF87" w:rsidR="00DB1208" w:rsidRPr="00716528" w:rsidRDefault="003672E7" w:rsidP="00B31ACA">
      <w:pPr>
        <w:pStyle w:val="TableTitle"/>
      </w:pPr>
      <w:r w:rsidRPr="00716528">
        <w:t xml:space="preserve">Table </w:t>
      </w:r>
      <w:fldSimple w:instr=" SEQ Table \* ARABIC ">
        <w:r w:rsidR="00C05B15">
          <w:rPr>
            <w:noProof/>
          </w:rPr>
          <w:t>7</w:t>
        </w:r>
      </w:fldSimple>
      <w:r w:rsidRPr="00716528">
        <w:t>:</w:t>
      </w:r>
      <w:r w:rsidR="00DB1208" w:rsidRPr="00716528">
        <w:t xml:space="preserve"> </w:t>
      </w:r>
      <w:r w:rsidR="009258F9" w:rsidRPr="00716528">
        <w:t>IMPOWER</w:t>
      </w:r>
      <w:r w:rsidR="00C165A4" w:rsidRPr="00716528">
        <w:t>110 trial (Study GO29431) Overall survival</w:t>
      </w:r>
      <w:r w:rsidR="00DB1208" w:rsidRPr="00716528">
        <w:t xml:space="preserve"> in selected subgr</w:t>
      </w:r>
      <w:r w:rsidR="00C165A4" w:rsidRPr="00716528">
        <w:t xml:space="preserve">oups </w:t>
      </w:r>
      <w:r w:rsidR="002F6D11">
        <w:t>(TC3/IC3</w:t>
      </w:r>
      <w:r w:rsidR="00C165A4" w:rsidRPr="00716528">
        <w:t xml:space="preserve"> population</w:t>
      </w:r>
      <w:r w:rsidR="002F6D11">
        <w:t>)</w:t>
      </w:r>
    </w:p>
    <w:p w14:paraId="6A560CA3" w14:textId="3BB119DB" w:rsidR="00301468" w:rsidRDefault="00301468" w:rsidP="00B31ACA">
      <w:r>
        <w:rPr>
          <w:noProof/>
          <w:lang w:val="en-GB" w:eastAsia="en-GB"/>
        </w:rPr>
        <w:drawing>
          <wp:inline distT="0" distB="0" distL="0" distR="0" wp14:anchorId="1439B396" wp14:editId="4993B6F8">
            <wp:extent cx="5400040" cy="6370955"/>
            <wp:effectExtent l="0" t="0" r="0" b="0"/>
            <wp:docPr id="10" name="Picture 10" descr="Table 7: IMPOWER110 trial (Study GO29431) Overall survival in selected subgroups (TC3/IC3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 7: IMPOWER110 trial (Study GO29431) Overall survival in selected subgroups (TC3/IC3 population)"/>
                    <pic:cNvPicPr/>
                  </pic:nvPicPr>
                  <pic:blipFill>
                    <a:blip r:embed="rId18"/>
                    <a:stretch>
                      <a:fillRect/>
                    </a:stretch>
                  </pic:blipFill>
                  <pic:spPr>
                    <a:xfrm>
                      <a:off x="0" y="0"/>
                      <a:ext cx="5400040" cy="6370955"/>
                    </a:xfrm>
                    <a:prstGeom prst="rect">
                      <a:avLst/>
                    </a:prstGeom>
                  </pic:spPr>
                </pic:pic>
              </a:graphicData>
            </a:graphic>
          </wp:inline>
        </w:drawing>
      </w:r>
    </w:p>
    <w:p w14:paraId="4D6461AB" w14:textId="244DC319" w:rsidR="00C22682" w:rsidRPr="00B31ACA" w:rsidRDefault="002F6D11" w:rsidP="00B31ACA">
      <w:pPr>
        <w:pStyle w:val="TableDescription"/>
      </w:pPr>
      <w:r w:rsidRPr="00B31ACA">
        <w:t xml:space="preserve">Abbreviations: </w:t>
      </w:r>
      <w:r w:rsidR="00C703AD" w:rsidRPr="00B31ACA">
        <w:t xml:space="preserve">CI = confidence interval; </w:t>
      </w:r>
      <w:r w:rsidR="003672E7" w:rsidRPr="00B31ACA">
        <w:t xml:space="preserve">ECOG = Eastern Cooperative Oncology Group; eCRF = electronic case report form; </w:t>
      </w:r>
      <w:r w:rsidR="00C22682" w:rsidRPr="00B31ACA">
        <w:t xml:space="preserve">IC = immune cell; </w:t>
      </w:r>
      <w:proofErr w:type="spellStart"/>
      <w:r w:rsidR="009D6E11" w:rsidRPr="00B31ACA">
        <w:t>I</w:t>
      </w:r>
      <w:r w:rsidR="003672E7" w:rsidRPr="00B31ACA">
        <w:t>xRS</w:t>
      </w:r>
      <w:proofErr w:type="spellEnd"/>
      <w:r w:rsidR="003672E7" w:rsidRPr="00B31ACA">
        <w:t xml:space="preserve"> = </w:t>
      </w:r>
      <w:r w:rsidR="009D6E11" w:rsidRPr="00B31ACA">
        <w:t>interactive web/voice response system</w:t>
      </w:r>
      <w:r w:rsidR="003672E7" w:rsidRPr="00B31ACA">
        <w:t xml:space="preserve">; N = total number of subjects; </w:t>
      </w:r>
      <w:r w:rsidR="00C703AD" w:rsidRPr="00B31ACA">
        <w:t>n = numbers of subjects in group</w:t>
      </w:r>
      <w:r w:rsidR="003672E7" w:rsidRPr="00B31ACA">
        <w:t xml:space="preserve">; NE = not estimable; </w:t>
      </w:r>
      <w:r w:rsidR="00301468" w:rsidRPr="00B31ACA">
        <w:t>PS =</w:t>
      </w:r>
      <w:r w:rsidR="00E60EE4" w:rsidRPr="00B31ACA">
        <w:t xml:space="preserve"> </w:t>
      </w:r>
      <w:r w:rsidR="0035143E" w:rsidRPr="00B31ACA">
        <w:t>Performance Status</w:t>
      </w:r>
      <w:r w:rsidR="00C22682" w:rsidRPr="00B31ACA">
        <w:t>; TC = tumour cell.</w:t>
      </w:r>
    </w:p>
    <w:p w14:paraId="1DB4DE88" w14:textId="675B1CA1" w:rsidR="002F6D11" w:rsidRPr="00B31ACA" w:rsidRDefault="002F6D11" w:rsidP="00B31ACA">
      <w:pPr>
        <w:pStyle w:val="TableDescription"/>
      </w:pPr>
      <w:r w:rsidRPr="00B31ACA">
        <w:t>TC3 or IC3 denotes PD-L1 expression on ≥ 50% of tumour cells or on ≥ 10% of immune cells (PD-L1 expression ‘high’).</w:t>
      </w:r>
    </w:p>
    <w:p w14:paraId="56388D83" w14:textId="0D621215" w:rsidR="00DB1208" w:rsidRDefault="00DB1208" w:rsidP="00E667E9">
      <w:pPr>
        <w:pStyle w:val="Heading5"/>
      </w:pPr>
      <w:r>
        <w:t xml:space="preserve">Exploratory efficacy according to other </w:t>
      </w:r>
      <w:r w:rsidR="00697CCB" w:rsidRPr="00697CCB">
        <w:t>programmed death-ligand 1</w:t>
      </w:r>
      <w:r w:rsidR="00697CCB">
        <w:t xml:space="preserve"> </w:t>
      </w:r>
      <w:r>
        <w:t>tests</w:t>
      </w:r>
      <w:bookmarkEnd w:id="58"/>
    </w:p>
    <w:p w14:paraId="5299B1BB" w14:textId="065C6AE7" w:rsidR="00DB1208" w:rsidRDefault="00DB1208" w:rsidP="00DB1208">
      <w:r>
        <w:t>Other PD-L1 immunohistochemistry (IHC) diagnostic assays using different antibody clones (</w:t>
      </w:r>
      <w:r w:rsidR="00407D0F">
        <w:t>for example,</w:t>
      </w:r>
      <w:r>
        <w:t xml:space="preserve"> </w:t>
      </w:r>
      <w:proofErr w:type="spellStart"/>
      <w:r w:rsidR="00C703AD">
        <w:t>Dako</w:t>
      </w:r>
      <w:proofErr w:type="spellEnd"/>
      <w:r w:rsidR="00C703AD">
        <w:t xml:space="preserve"> </w:t>
      </w:r>
      <w:r>
        <w:t xml:space="preserve">22C3, </w:t>
      </w:r>
      <w:proofErr w:type="spellStart"/>
      <w:r w:rsidR="00C703AD">
        <w:t>Dako</w:t>
      </w:r>
      <w:proofErr w:type="spellEnd"/>
      <w:r w:rsidR="00C703AD">
        <w:t xml:space="preserve"> </w:t>
      </w:r>
      <w:r>
        <w:t xml:space="preserve">28-8, and </w:t>
      </w:r>
      <w:r w:rsidR="00C703AD">
        <w:t xml:space="preserve">Ventana </w:t>
      </w:r>
      <w:r>
        <w:t xml:space="preserve">SP263) have been developed in parallel to </w:t>
      </w:r>
      <w:r w:rsidR="00C703AD">
        <w:t xml:space="preserve">the Ventana </w:t>
      </w:r>
      <w:r>
        <w:t xml:space="preserve">SP142 </w:t>
      </w:r>
      <w:r w:rsidR="00C703AD">
        <w:t xml:space="preserve">assay </w:t>
      </w:r>
      <w:r>
        <w:t xml:space="preserve">by other pharmaceutical companies. Each assay and </w:t>
      </w:r>
      <w:r>
        <w:lastRenderedPageBreak/>
        <w:t>their associated cut-offs have been analytically validated, clinically validated in Phase</w:t>
      </w:r>
      <w:r w:rsidR="00682F4A">
        <w:t> </w:t>
      </w:r>
      <w:r>
        <w:t>III trials, and are commercially marketed for use with specific molecule</w:t>
      </w:r>
      <w:r w:rsidR="00407D0F">
        <w:t>s in the anti-PD-1/</w:t>
      </w:r>
      <w:r w:rsidR="00C703AD">
        <w:t xml:space="preserve"> </w:t>
      </w:r>
      <w:r w:rsidR="00407D0F">
        <w:t>PD-L1 class.</w:t>
      </w:r>
    </w:p>
    <w:p w14:paraId="6D443649" w14:textId="2439711A" w:rsidR="00DB1208" w:rsidRPr="00965711" w:rsidRDefault="00DB1208" w:rsidP="00222A45">
      <w:r w:rsidRPr="00222A45">
        <w:t>The 22C3 and the SP263 assays are extensively used in clinical practice, an</w:t>
      </w:r>
      <w:r w:rsidRPr="00965711">
        <w:t xml:space="preserve">d samples from </w:t>
      </w:r>
      <w:r w:rsidR="009258F9" w:rsidRPr="00965711">
        <w:t>IMPOWER</w:t>
      </w:r>
      <w:r w:rsidRPr="00965711">
        <w:t xml:space="preserve">110 </w:t>
      </w:r>
      <w:r w:rsidR="00C703AD" w:rsidRPr="00965711">
        <w:t xml:space="preserve">trial </w:t>
      </w:r>
      <w:r w:rsidRPr="00965711">
        <w:t xml:space="preserve">were retested using both of these assays to provide exploratory comparability data, which is summarised in </w:t>
      </w:r>
      <w:r w:rsidRPr="00B13A95">
        <w:fldChar w:fldCharType="begin"/>
      </w:r>
      <w:r w:rsidRPr="00965711">
        <w:instrText xml:space="preserve"> REF _Ref69808463 \h </w:instrText>
      </w:r>
      <w:r w:rsidR="00965711">
        <w:instrText xml:space="preserve"> \* MERGEFORMAT </w:instrText>
      </w:r>
      <w:r w:rsidRPr="00B13A95">
        <w:fldChar w:fldCharType="separate"/>
      </w:r>
      <w:r w:rsidR="00C05B15" w:rsidRPr="003672E7">
        <w:t xml:space="preserve">Table </w:t>
      </w:r>
      <w:r w:rsidR="00C05B15">
        <w:t>9</w:t>
      </w:r>
      <w:r w:rsidRPr="00B13A95">
        <w:fldChar w:fldCharType="end"/>
      </w:r>
      <w:r w:rsidRPr="00222A45">
        <w:t xml:space="preserve">, </w:t>
      </w:r>
      <w:r w:rsidRPr="00B13A95">
        <w:fldChar w:fldCharType="begin"/>
      </w:r>
      <w:r w:rsidRPr="00965711">
        <w:instrText xml:space="preserve"> REF _Ref63861954 \h </w:instrText>
      </w:r>
      <w:r w:rsidR="00965711">
        <w:instrText xml:space="preserve"> \* MERGEFORMAT </w:instrText>
      </w:r>
      <w:r w:rsidRPr="00B13A95">
        <w:fldChar w:fldCharType="separate"/>
      </w:r>
      <w:r w:rsidR="00C05B15" w:rsidRPr="003672E7">
        <w:t xml:space="preserve">Table </w:t>
      </w:r>
      <w:r w:rsidR="00C05B15">
        <w:t>10</w:t>
      </w:r>
      <w:r w:rsidRPr="00B13A95">
        <w:fldChar w:fldCharType="end"/>
      </w:r>
      <w:r w:rsidRPr="00222A45">
        <w:t xml:space="preserve"> and </w:t>
      </w:r>
      <w:r w:rsidR="00965711" w:rsidRPr="00B13A95">
        <w:fldChar w:fldCharType="begin"/>
      </w:r>
      <w:r w:rsidR="00965711" w:rsidRPr="00965711">
        <w:instrText xml:space="preserve"> REF _Ref108523064 \h </w:instrText>
      </w:r>
      <w:r w:rsidR="00965711">
        <w:instrText xml:space="preserve"> \* MERGEFORMAT </w:instrText>
      </w:r>
      <w:r w:rsidR="00965711" w:rsidRPr="00B13A95">
        <w:fldChar w:fldCharType="separate"/>
      </w:r>
      <w:r w:rsidR="00C05B15" w:rsidRPr="003672E7">
        <w:t xml:space="preserve">Table </w:t>
      </w:r>
      <w:r w:rsidR="00C05B15">
        <w:t>11</w:t>
      </w:r>
      <w:r w:rsidR="00965711" w:rsidRPr="00B13A95">
        <w:fldChar w:fldCharType="end"/>
      </w:r>
      <w:r w:rsidRPr="00222A45">
        <w:t xml:space="preserve">. </w:t>
      </w:r>
      <w:r w:rsidR="00407D0F" w:rsidRPr="00965711">
        <w:t>The s</w:t>
      </w:r>
      <w:r w:rsidRPr="00965711">
        <w:t xml:space="preserve">ponsor states that the exploratory efficacy data from </w:t>
      </w:r>
      <w:r w:rsidR="00407D0F" w:rsidRPr="00965711">
        <w:t xml:space="preserve">the </w:t>
      </w:r>
      <w:r w:rsidR="009258F9" w:rsidRPr="00965711">
        <w:t>IMPOWER</w:t>
      </w:r>
      <w:r w:rsidRPr="00965711">
        <w:t>110</w:t>
      </w:r>
      <w:r w:rsidR="00407D0F" w:rsidRPr="00965711">
        <w:t xml:space="preserve"> trial</w:t>
      </w:r>
      <w:r w:rsidRPr="00965711">
        <w:t xml:space="preserve"> by PD-L1 status according to 22C3 and SP263 was included in the clinical study report with the intent to support the overall risk/benef</w:t>
      </w:r>
      <w:r w:rsidR="00C703AD" w:rsidRPr="00965711">
        <w:t>it profile of atezolizumab in first-line treatment of</w:t>
      </w:r>
      <w:r w:rsidRPr="00965711">
        <w:t xml:space="preserve"> NSCLC. Due to missing data (for patients who tested negative on SP142</w:t>
      </w:r>
      <w:r w:rsidR="00407D0F" w:rsidRPr="00965711">
        <w:t xml:space="preserve"> </w:t>
      </w:r>
      <w:r w:rsidRPr="00965711">
        <w:t xml:space="preserve">and therefore were not enrolled in </w:t>
      </w:r>
      <w:r w:rsidR="00407D0F" w:rsidRPr="00965711">
        <w:t xml:space="preserve">the </w:t>
      </w:r>
      <w:r w:rsidR="009258F9" w:rsidRPr="00965711">
        <w:t>IMPOWER</w:t>
      </w:r>
      <w:r w:rsidRPr="00965711">
        <w:t>110</w:t>
      </w:r>
      <w:r w:rsidR="00407D0F" w:rsidRPr="00965711">
        <w:t xml:space="preserve"> trial</w:t>
      </w:r>
      <w:r w:rsidRPr="00965711">
        <w:t>, but who would have been positive if tested using 22C3 or SP263), the comparability data is not sufficiently robust to facilitate a direct comparison of the assays.</w:t>
      </w:r>
    </w:p>
    <w:p w14:paraId="6CE3892D" w14:textId="77777777" w:rsidR="00DB1208" w:rsidRDefault="00DB1208" w:rsidP="00DB1208">
      <w:r>
        <w:t>Results for the 22C3 and SP263 assay were available for most, but not all, enrolled patients due to tissue availability (for 22C3: 534 out of 554, and for SP263: 546 out of 554).</w:t>
      </w:r>
    </w:p>
    <w:p w14:paraId="70126A85" w14:textId="7D579465" w:rsidR="00DB1208" w:rsidRPr="003672E7" w:rsidRDefault="00DB1208" w:rsidP="00E667E9">
      <w:pPr>
        <w:pStyle w:val="TableTitle"/>
      </w:pPr>
      <w:r w:rsidRPr="003672E7">
        <w:t xml:space="preserve">Table </w:t>
      </w:r>
      <w:fldSimple w:instr=" SEQ Table \* ARABIC ">
        <w:r w:rsidR="00C05B15">
          <w:rPr>
            <w:noProof/>
          </w:rPr>
          <w:t>8</w:t>
        </w:r>
      </w:fldSimple>
      <w:r w:rsidR="00407D0F" w:rsidRPr="003672E7">
        <w:t>:</w:t>
      </w:r>
      <w:r w:rsidRPr="003672E7">
        <w:t xml:space="preserve"> </w:t>
      </w:r>
      <w:r w:rsidR="009258F9" w:rsidRPr="003672E7">
        <w:t>IMPOWER</w:t>
      </w:r>
      <w:r w:rsidR="00407D0F" w:rsidRPr="003672E7">
        <w:t xml:space="preserve">110 trial (Study GO29431) </w:t>
      </w:r>
      <w:r w:rsidRPr="003672E7">
        <w:t xml:space="preserve">showing exploratory analysis of </w:t>
      </w:r>
      <w:r w:rsidR="00407D0F" w:rsidRPr="003672E7">
        <w:t>overall survival</w:t>
      </w:r>
      <w:r w:rsidRPr="003672E7">
        <w:t xml:space="preserve"> in the </w:t>
      </w:r>
      <w:r w:rsidR="00407D0F" w:rsidRPr="003672E7">
        <w:t>intent-to-treat population</w:t>
      </w:r>
      <w:r w:rsidRPr="003672E7">
        <w:t xml:space="preserve"> according to </w:t>
      </w:r>
      <w:r w:rsidR="002F6D11">
        <w:t xml:space="preserve">PD-L1 </w:t>
      </w:r>
      <w:r w:rsidR="00407D0F" w:rsidRPr="003672E7">
        <w:t xml:space="preserve">status tested by </w:t>
      </w:r>
      <w:r w:rsidR="00C703AD" w:rsidRPr="003672E7">
        <w:t xml:space="preserve">Ventana </w:t>
      </w:r>
      <w:r w:rsidR="00407D0F" w:rsidRPr="003672E7">
        <w:t xml:space="preserve">SP263 or </w:t>
      </w:r>
      <w:proofErr w:type="spellStart"/>
      <w:r w:rsidR="00C703AD" w:rsidRPr="003672E7">
        <w:t>Dako</w:t>
      </w:r>
      <w:proofErr w:type="spellEnd"/>
      <w:r w:rsidR="00C703AD" w:rsidRPr="003672E7">
        <w:t xml:space="preserve"> </w:t>
      </w:r>
      <w:r w:rsidR="00407D0F" w:rsidRPr="003672E7">
        <w:t>22C3 assays</w:t>
      </w:r>
    </w:p>
    <w:p w14:paraId="0D8D752B" w14:textId="77777777" w:rsidR="00DB1208" w:rsidRDefault="00DB1208" w:rsidP="00B31ACA">
      <w:r>
        <w:rPr>
          <w:noProof/>
          <w:lang w:val="en-GB" w:eastAsia="en-GB"/>
        </w:rPr>
        <w:drawing>
          <wp:inline distT="0" distB="0" distL="0" distR="0" wp14:anchorId="6CC84BE5" wp14:editId="22696168">
            <wp:extent cx="4675517" cy="4571915"/>
            <wp:effectExtent l="0" t="0" r="0" b="635"/>
            <wp:docPr id="39" name="Picture 1" descr="Table 8: IMPOWER110 trial (Study GO29431) showing exploratory analysis of overall survival in the intent-to-treat population according to PD-L1 status tested by Ventana SP263 or Dako 22C3 assay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1" descr="Table 8: IMPOWER110 trial (Study GO29431) showing exploratory analysis of overall survival in the intent-to-treat population according to PD-L1 status tested by Ventana SP263 or Dako 22C3 assays"/>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27847" cy="4623085"/>
                    </a:xfrm>
                    <a:prstGeom prst="rect">
                      <a:avLst/>
                    </a:prstGeom>
                    <a:noFill/>
                    <a:ln>
                      <a:noFill/>
                    </a:ln>
                  </pic:spPr>
                </pic:pic>
              </a:graphicData>
            </a:graphic>
          </wp:inline>
        </w:drawing>
      </w:r>
    </w:p>
    <w:p w14:paraId="06D4A80C" w14:textId="0C5B5D2F" w:rsidR="00DB1208" w:rsidRPr="00B31ACA" w:rsidRDefault="002F6D11" w:rsidP="00B31ACA">
      <w:pPr>
        <w:pStyle w:val="TableDescription"/>
      </w:pPr>
      <w:r w:rsidRPr="00B31ACA">
        <w:t xml:space="preserve">Abbreviations: </w:t>
      </w:r>
      <w:r w:rsidR="00E77FE0" w:rsidRPr="00B31ACA">
        <w:t xml:space="preserve">CI = confidence interval; HR = hazard ratio; OS = overall survival; </w:t>
      </w:r>
      <w:r w:rsidR="003672E7" w:rsidRPr="00B31ACA">
        <w:t>N = total number of subjects; n</w:t>
      </w:r>
      <w:r w:rsidRPr="00B31ACA">
        <w:t> </w:t>
      </w:r>
      <w:r w:rsidR="003672E7" w:rsidRPr="00B31ACA">
        <w:t>=</w:t>
      </w:r>
      <w:r w:rsidRPr="00B31ACA">
        <w:t> </w:t>
      </w:r>
      <w:r w:rsidR="003672E7" w:rsidRPr="00B31ACA">
        <w:t xml:space="preserve">numbers of subjects in group; </w:t>
      </w:r>
      <w:r w:rsidR="00E77FE0" w:rsidRPr="00B31ACA">
        <w:t xml:space="preserve">NE = non-estimable; </w:t>
      </w:r>
      <w:r w:rsidRPr="00B31ACA">
        <w:t xml:space="preserve">PD-L1 = programmed death-ligand 1; </w:t>
      </w:r>
      <w:r w:rsidR="00E77FE0" w:rsidRPr="00B31ACA">
        <w:t>TC</w:t>
      </w:r>
      <w:r w:rsidRPr="00B31ACA">
        <w:t> </w:t>
      </w:r>
      <w:r w:rsidR="00E77FE0" w:rsidRPr="00B31ACA">
        <w:t>= tumour cell; TPS = tumour progression score</w:t>
      </w:r>
      <w:r w:rsidR="003672E7" w:rsidRPr="00B31ACA">
        <w:t>.</w:t>
      </w:r>
    </w:p>
    <w:p w14:paraId="30131A24" w14:textId="7BB131D3" w:rsidR="002F6D11" w:rsidRPr="00B31ACA" w:rsidRDefault="002F6D11" w:rsidP="00B31ACA">
      <w:pPr>
        <w:pStyle w:val="TableDescription"/>
      </w:pPr>
      <w:r w:rsidRPr="00B31ACA">
        <w:t>TC3 or IC3 denotes PD-L1 expression on ≥ 50% of tumour cells or on ≥ 10% of immune cells (PD-L1 expression ‘high’).</w:t>
      </w:r>
    </w:p>
    <w:p w14:paraId="4FE47A0F" w14:textId="77777777" w:rsidR="000B6A3D" w:rsidRPr="00B31ACA" w:rsidRDefault="000B6A3D" w:rsidP="00B31ACA">
      <w:pPr>
        <w:pStyle w:val="TableDescription"/>
      </w:pPr>
      <w:r w:rsidRPr="00B31ACA">
        <w:lastRenderedPageBreak/>
        <w:t>Immune cell scoring (PD-L1 expression): IC0 (0 to &lt; 1%); IC1 (1 to &lt; 5%); IC2 (5 to &lt;10%); IC3 (10%+).</w:t>
      </w:r>
    </w:p>
    <w:p w14:paraId="57D15719" w14:textId="66CB67EE" w:rsidR="000B6A3D" w:rsidRPr="00B31ACA" w:rsidRDefault="000B6A3D" w:rsidP="00B31ACA">
      <w:pPr>
        <w:pStyle w:val="TableDescription"/>
      </w:pPr>
      <w:r w:rsidRPr="00B31ACA">
        <w:t>Tumour cell scoring (PD-L1 expression): TC0 (0 to &lt;1%); TC1 (1 to &lt; 5%); TC2 (5 to &lt; 50%); TC3 (50%+).</w:t>
      </w:r>
    </w:p>
    <w:p w14:paraId="348250D3" w14:textId="332B5775" w:rsidR="00E77FE0" w:rsidRPr="003672E7" w:rsidRDefault="00DB1208" w:rsidP="00B31ACA">
      <w:pPr>
        <w:pStyle w:val="TableTitle"/>
      </w:pPr>
      <w:bookmarkStart w:id="59" w:name="_Ref69808463"/>
      <w:r w:rsidRPr="003672E7">
        <w:t xml:space="preserve">Table </w:t>
      </w:r>
      <w:fldSimple w:instr=" SEQ Table \* ARABIC ">
        <w:r w:rsidR="00C05B15">
          <w:rPr>
            <w:noProof/>
          </w:rPr>
          <w:t>9</w:t>
        </w:r>
      </w:fldSimple>
      <w:bookmarkEnd w:id="59"/>
      <w:r w:rsidR="00407D0F" w:rsidRPr="003672E7">
        <w:t xml:space="preserve">: </w:t>
      </w:r>
      <w:r w:rsidR="009258F9" w:rsidRPr="003672E7">
        <w:t>IMPOWER</w:t>
      </w:r>
      <w:r w:rsidR="00407D0F" w:rsidRPr="003672E7">
        <w:t xml:space="preserve">110 trial (Study GO29431) </w:t>
      </w:r>
      <w:r w:rsidRPr="003672E7">
        <w:t xml:space="preserve">Exploratory analysis of </w:t>
      </w:r>
      <w:r w:rsidR="00407D0F" w:rsidRPr="003672E7">
        <w:t>overall survival</w:t>
      </w:r>
      <w:r w:rsidRPr="003672E7">
        <w:t xml:space="preserve"> in the </w:t>
      </w:r>
      <w:r w:rsidR="002F6D11">
        <w:t>TC3/IC3</w:t>
      </w:r>
      <w:r w:rsidRPr="003672E7">
        <w:t xml:space="preserve"> population according to </w:t>
      </w:r>
      <w:r w:rsidR="002F6D11">
        <w:t>PD-L1</w:t>
      </w:r>
      <w:r w:rsidR="00407D0F" w:rsidRPr="003672E7">
        <w:t xml:space="preserve"> status tested by </w:t>
      </w:r>
      <w:r w:rsidR="00E77FE0" w:rsidRPr="003672E7">
        <w:t xml:space="preserve">Ventana </w:t>
      </w:r>
      <w:r w:rsidR="00407D0F" w:rsidRPr="003672E7">
        <w:t xml:space="preserve">SP263 or </w:t>
      </w:r>
      <w:proofErr w:type="spellStart"/>
      <w:r w:rsidR="00E77FE0" w:rsidRPr="003672E7">
        <w:t>Dako</w:t>
      </w:r>
      <w:proofErr w:type="spellEnd"/>
      <w:r w:rsidR="00E77FE0" w:rsidRPr="003672E7">
        <w:t xml:space="preserve"> </w:t>
      </w:r>
      <w:r w:rsidR="00407D0F" w:rsidRPr="003672E7">
        <w:t>22C3 assay</w:t>
      </w:r>
    </w:p>
    <w:p w14:paraId="4E392CA9" w14:textId="357A6BB2" w:rsidR="00DB1208" w:rsidRDefault="00DB1208" w:rsidP="00B31ACA">
      <w:r>
        <w:rPr>
          <w:noProof/>
          <w:lang w:val="en-GB" w:eastAsia="en-GB"/>
        </w:rPr>
        <w:drawing>
          <wp:inline distT="0" distB="0" distL="0" distR="0" wp14:anchorId="39EC7E60" wp14:editId="7936A771">
            <wp:extent cx="5060184" cy="3738067"/>
            <wp:effectExtent l="0" t="0" r="7620" b="0"/>
            <wp:docPr id="7" name="Picture 7" descr="Table 9: IMPOWER110 trial (Study GO29431) Exploratory analysis of overall survival in the TC3/IC3 population according to PD-L1 status tested by Ventana SP263 or Dako 22C3 ass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 9: IMPOWER110 trial (Study GO29431) Exploratory analysis of overall survival in the TC3/IC3 population according to PD-L1 status tested by Ventana SP263 or Dako 22C3 assay"/>
                    <pic:cNvPicPr/>
                  </pic:nvPicPr>
                  <pic:blipFill rotWithShape="1">
                    <a:blip r:embed="rId20"/>
                    <a:srcRect b="11510"/>
                    <a:stretch/>
                  </pic:blipFill>
                  <pic:spPr bwMode="auto">
                    <a:xfrm>
                      <a:off x="0" y="0"/>
                      <a:ext cx="5065621" cy="3742083"/>
                    </a:xfrm>
                    <a:prstGeom prst="rect">
                      <a:avLst/>
                    </a:prstGeom>
                    <a:ln>
                      <a:noFill/>
                    </a:ln>
                    <a:extLst>
                      <a:ext uri="{53640926-AAD7-44D8-BBD7-CCE9431645EC}">
                        <a14:shadowObscured xmlns:a14="http://schemas.microsoft.com/office/drawing/2010/main"/>
                      </a:ext>
                    </a:extLst>
                  </pic:spPr>
                </pic:pic>
              </a:graphicData>
            </a:graphic>
          </wp:inline>
        </w:drawing>
      </w:r>
    </w:p>
    <w:p w14:paraId="073ABFE3" w14:textId="7F8F6064" w:rsidR="00E77FE0" w:rsidRPr="00B31ACA" w:rsidRDefault="002F6D11" w:rsidP="00B31ACA">
      <w:pPr>
        <w:pStyle w:val="TableDescription"/>
      </w:pPr>
      <w:r w:rsidRPr="00B31ACA">
        <w:t xml:space="preserve">Abbreviations: </w:t>
      </w:r>
      <w:r w:rsidR="00E77FE0" w:rsidRPr="00B31ACA">
        <w:t xml:space="preserve">CI = confidence interval; HR = hazard ratio; </w:t>
      </w:r>
      <w:r w:rsidR="00C22682" w:rsidRPr="00B31ACA">
        <w:t xml:space="preserve">IC = immune cell; </w:t>
      </w:r>
      <w:r w:rsidR="00E77FE0" w:rsidRPr="00B31ACA">
        <w:t xml:space="preserve">OS = overall survival; </w:t>
      </w:r>
      <w:r w:rsidR="003672E7" w:rsidRPr="00B31ACA">
        <w:t xml:space="preserve">N = total number of subjects; n = numbers of subjects in group; </w:t>
      </w:r>
      <w:r w:rsidR="00E77FE0" w:rsidRPr="00B31ACA">
        <w:t xml:space="preserve">NE = non-estimable; </w:t>
      </w:r>
      <w:r w:rsidRPr="00B31ACA">
        <w:t xml:space="preserve">PD-L1 = programmed death ligand 1; </w:t>
      </w:r>
      <w:r w:rsidR="00E77FE0" w:rsidRPr="00B31ACA">
        <w:t>TC</w:t>
      </w:r>
      <w:r w:rsidRPr="00B31ACA">
        <w:t> </w:t>
      </w:r>
      <w:r w:rsidR="00E77FE0" w:rsidRPr="00B31ACA">
        <w:t>= tumour cell; TPS = tumour progression score</w:t>
      </w:r>
      <w:r w:rsidR="003672E7" w:rsidRPr="00B31ACA">
        <w:t>.</w:t>
      </w:r>
    </w:p>
    <w:p w14:paraId="1F783314" w14:textId="2F2BE88F" w:rsidR="00E77FE0" w:rsidRPr="00B31ACA" w:rsidRDefault="00E77FE0" w:rsidP="00B31ACA">
      <w:pPr>
        <w:pStyle w:val="TableDescription"/>
      </w:pPr>
      <w:r w:rsidRPr="00B31ACA">
        <w:t>* Unstratified anal</w:t>
      </w:r>
      <w:r w:rsidR="00301468" w:rsidRPr="00B31ACA">
        <w:t>y</w:t>
      </w:r>
      <w:r w:rsidRPr="00B31ACA">
        <w:t>sis</w:t>
      </w:r>
    </w:p>
    <w:p w14:paraId="42858274" w14:textId="698A9AB3" w:rsidR="002F6D11" w:rsidRPr="00B31ACA" w:rsidRDefault="002F6D11" w:rsidP="00B31ACA">
      <w:pPr>
        <w:pStyle w:val="TableDescription"/>
      </w:pPr>
      <w:r w:rsidRPr="00B31ACA">
        <w:t>TC3 or IC3 denotes PD-L1 expression on ≥ 50% of tumour cells or on ≥ 10% of immune cells (PD-L1 expression ‘high’).</w:t>
      </w:r>
    </w:p>
    <w:p w14:paraId="5D619B02" w14:textId="77777777" w:rsidR="000B6A3D" w:rsidRPr="00B31ACA" w:rsidRDefault="000B6A3D" w:rsidP="00B31ACA">
      <w:pPr>
        <w:pStyle w:val="TableDescription"/>
      </w:pPr>
      <w:r w:rsidRPr="00B31ACA">
        <w:t>Immune cell scoring (PD-L1 expression): IC0 (0 to &lt; 1%); IC1 (1 to &lt; 5%); IC2 (5 to &lt;10%); IC3 (10%+).</w:t>
      </w:r>
    </w:p>
    <w:p w14:paraId="055DA384" w14:textId="7946545B" w:rsidR="000B6A3D" w:rsidRPr="00B31ACA" w:rsidRDefault="000B6A3D" w:rsidP="00B31ACA">
      <w:pPr>
        <w:pStyle w:val="TableDescription"/>
      </w:pPr>
      <w:r w:rsidRPr="00B31ACA">
        <w:t>Tumour cell scoring (PD-L1 expression): TC0 (0 to &lt;1%); TC1 (1 to &lt; 5%); TC2 (5 to &lt; 50%); TC3 (50%+).</w:t>
      </w:r>
    </w:p>
    <w:p w14:paraId="0273275D" w14:textId="7745461D" w:rsidR="00DB1208" w:rsidRPr="003672E7" w:rsidRDefault="00DB1208" w:rsidP="00B31ACA">
      <w:pPr>
        <w:pStyle w:val="TableTitle"/>
      </w:pPr>
      <w:bookmarkStart w:id="60" w:name="_Ref63861954"/>
      <w:bookmarkStart w:id="61" w:name="_Ref63845924"/>
      <w:r w:rsidRPr="003672E7">
        <w:lastRenderedPageBreak/>
        <w:t xml:space="preserve">Table </w:t>
      </w:r>
      <w:fldSimple w:instr=" SEQ Table \* ARABIC ">
        <w:r w:rsidR="00C05B15">
          <w:rPr>
            <w:noProof/>
          </w:rPr>
          <w:t>10</w:t>
        </w:r>
      </w:fldSimple>
      <w:bookmarkEnd w:id="60"/>
      <w:r w:rsidR="00407D0F" w:rsidRPr="003672E7">
        <w:t>:</w:t>
      </w:r>
      <w:r w:rsidRPr="003672E7">
        <w:t xml:space="preserve"> </w:t>
      </w:r>
      <w:r w:rsidR="009258F9" w:rsidRPr="003672E7">
        <w:t>IMPOWER</w:t>
      </w:r>
      <w:r w:rsidR="00407D0F" w:rsidRPr="003672E7">
        <w:t xml:space="preserve">110 trial (Study GO29431) </w:t>
      </w:r>
      <w:r w:rsidRPr="003672E7">
        <w:t xml:space="preserve">Exploratory analyses of </w:t>
      </w:r>
      <w:r w:rsidR="00407D0F" w:rsidRPr="003672E7">
        <w:t>overall survival</w:t>
      </w:r>
      <w:r w:rsidRPr="003672E7">
        <w:t xml:space="preserve"> in patients who were not </w:t>
      </w:r>
      <w:r w:rsidR="002F6D11">
        <w:t>TC3</w:t>
      </w:r>
      <w:r w:rsidRPr="003672E7">
        <w:t xml:space="preserve"> or </w:t>
      </w:r>
      <w:r w:rsidR="002F6D11">
        <w:t>IC3</w:t>
      </w:r>
      <w:r w:rsidRPr="003672E7">
        <w:t xml:space="preserve"> per SP142, but on retesting with another </w:t>
      </w:r>
      <w:r w:rsidR="00697CCB" w:rsidRPr="003672E7">
        <w:t xml:space="preserve">programmed death-ligand 1 </w:t>
      </w:r>
      <w:r w:rsidRPr="003672E7">
        <w:t xml:space="preserve">assay had tumour </w:t>
      </w:r>
      <w:r w:rsidR="00697CCB" w:rsidRPr="003672E7">
        <w:t xml:space="preserve">programmed death-ligand 1 </w:t>
      </w:r>
      <w:r w:rsidRPr="003672E7">
        <w:t>expression of at least 50%</w:t>
      </w:r>
      <w:bookmarkEnd w:id="61"/>
    </w:p>
    <w:p w14:paraId="13A19239" w14:textId="1B1233A1" w:rsidR="00301468" w:rsidRPr="00716528" w:rsidRDefault="00301468" w:rsidP="00B31ACA">
      <w:r>
        <w:rPr>
          <w:noProof/>
          <w:lang w:val="en-GB" w:eastAsia="en-GB"/>
        </w:rPr>
        <w:drawing>
          <wp:inline distT="0" distB="0" distL="0" distR="0" wp14:anchorId="24537112" wp14:editId="5F40207B">
            <wp:extent cx="5400040" cy="3292475"/>
            <wp:effectExtent l="0" t="0" r="0" b="3175"/>
            <wp:docPr id="27" name="Picture 27" descr="Table 10: IMPOWER110 trial (Study GO29431) Exploratory analyses of overall survival in patients who were not TC3 or IC3 per SP142, but on retesting with another programmed death-ligand 1 assay had tumour programmed death-ligand 1 expression of at least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able 10: IMPOWER110 trial (Study GO29431) Exploratory analyses of overall survival in patients who were not TC3 or IC3 per SP142, but on retesting with another programmed death-ligand 1 assay had tumour programmed death-ligand 1 expression of at least 50%"/>
                    <pic:cNvPicPr/>
                  </pic:nvPicPr>
                  <pic:blipFill>
                    <a:blip r:embed="rId21"/>
                    <a:stretch>
                      <a:fillRect/>
                    </a:stretch>
                  </pic:blipFill>
                  <pic:spPr>
                    <a:xfrm>
                      <a:off x="0" y="0"/>
                      <a:ext cx="5400040" cy="3292475"/>
                    </a:xfrm>
                    <a:prstGeom prst="rect">
                      <a:avLst/>
                    </a:prstGeom>
                  </pic:spPr>
                </pic:pic>
              </a:graphicData>
            </a:graphic>
          </wp:inline>
        </w:drawing>
      </w:r>
    </w:p>
    <w:p w14:paraId="1C42E6F6" w14:textId="606CA90F" w:rsidR="00E77FE0" w:rsidRPr="00B31ACA" w:rsidRDefault="00DA3D21" w:rsidP="00B31ACA">
      <w:pPr>
        <w:pStyle w:val="TableDescription"/>
      </w:pPr>
      <w:r w:rsidRPr="00B31ACA">
        <w:t xml:space="preserve">Abbreviations: </w:t>
      </w:r>
      <w:r w:rsidR="00E77FE0" w:rsidRPr="00B31ACA">
        <w:t xml:space="preserve">CI = confidence interval; HR = hazard ratio; </w:t>
      </w:r>
      <w:r w:rsidR="00C22682" w:rsidRPr="00B31ACA">
        <w:t xml:space="preserve">IC = immune cell; </w:t>
      </w:r>
      <w:r w:rsidR="00E77FE0" w:rsidRPr="00B31ACA">
        <w:t xml:space="preserve">OS = overall survival; </w:t>
      </w:r>
      <w:r w:rsidR="003672E7" w:rsidRPr="00B31ACA">
        <w:t xml:space="preserve">N = total number of subjects; n = numbers of subjects in group; </w:t>
      </w:r>
      <w:r w:rsidR="00E77FE0" w:rsidRPr="00B31ACA">
        <w:t>NE = non-estimable; TC = tumour cell; TPS = tumour progression score</w:t>
      </w:r>
      <w:r w:rsidR="003672E7" w:rsidRPr="00B31ACA">
        <w:t>.</w:t>
      </w:r>
    </w:p>
    <w:p w14:paraId="7D9E8472" w14:textId="5C8358D6" w:rsidR="002F6D11" w:rsidRPr="00B31ACA" w:rsidRDefault="002F6D11" w:rsidP="00B31ACA">
      <w:pPr>
        <w:pStyle w:val="TableDescription"/>
      </w:pPr>
      <w:r w:rsidRPr="00B31ACA">
        <w:t>TC3 or IC3 denotes PD-L1 expression on ≥ 50% of tumour cells or on ≥ 10% of immune cells (PD-L1 expression ‘high’).</w:t>
      </w:r>
    </w:p>
    <w:p w14:paraId="1FB48080" w14:textId="77777777" w:rsidR="000B6A3D" w:rsidRPr="00B31ACA" w:rsidRDefault="000B6A3D" w:rsidP="00B31ACA">
      <w:pPr>
        <w:pStyle w:val="TableDescription"/>
      </w:pPr>
      <w:r w:rsidRPr="00B31ACA">
        <w:t>Immune cell scoring (PD-L1 expression): IC0 (0 to &lt; 1%); IC1 (1 to &lt; 5%); IC2 (5 to &lt;10%); IC3 (10%+).</w:t>
      </w:r>
    </w:p>
    <w:p w14:paraId="35F3ED9F" w14:textId="5872B6C8" w:rsidR="000B6A3D" w:rsidRPr="00B31ACA" w:rsidRDefault="000B6A3D" w:rsidP="00B31ACA">
      <w:pPr>
        <w:pStyle w:val="TableDescription"/>
      </w:pPr>
      <w:r w:rsidRPr="00B31ACA">
        <w:t>Tumour cell scoring (PD-L1 expression): TC0 (0 to &lt;1%); TC1 (1 to &lt; 5%); TC2 (5 to &lt; 50%); TC3 (50%+).</w:t>
      </w:r>
    </w:p>
    <w:p w14:paraId="7294E1B7" w14:textId="5ECC159A" w:rsidR="00DB1208" w:rsidRPr="00B31ACA" w:rsidRDefault="00E77FE0" w:rsidP="00B31ACA">
      <w:pPr>
        <w:pStyle w:val="TableDescription"/>
      </w:pPr>
      <w:r w:rsidRPr="00B31ACA">
        <w:t>* P-value is descriptive only.</w:t>
      </w:r>
    </w:p>
    <w:p w14:paraId="4FCE093F" w14:textId="196891B4" w:rsidR="00407D0F" w:rsidRPr="0060437B" w:rsidRDefault="00407D0F" w:rsidP="00E667E9">
      <w:pPr>
        <w:pStyle w:val="Heading4"/>
      </w:pPr>
      <w:r w:rsidRPr="0060437B">
        <w:t>Safety</w:t>
      </w:r>
    </w:p>
    <w:p w14:paraId="2E45A5C2" w14:textId="77777777" w:rsidR="00407D0F" w:rsidRPr="00B5105B" w:rsidRDefault="00407D0F" w:rsidP="00E667E9">
      <w:pPr>
        <w:pStyle w:val="Heading5"/>
      </w:pPr>
      <w:r w:rsidRPr="00B5105B">
        <w:t>Adverse events</w:t>
      </w:r>
    </w:p>
    <w:p w14:paraId="40F4CC9B" w14:textId="61D2AEA6" w:rsidR="00407D0F" w:rsidRPr="00965711" w:rsidRDefault="00407D0F" w:rsidP="00E667E9">
      <w:r w:rsidRPr="00222A45">
        <w:t>Safety in the</w:t>
      </w:r>
      <w:r w:rsidRPr="00965711">
        <w:t xml:space="preserve"> </w:t>
      </w:r>
      <w:r w:rsidR="009258F9" w:rsidRPr="00965711">
        <w:t>IMPOWER</w:t>
      </w:r>
      <w:r w:rsidR="00F72EA1" w:rsidRPr="00965711">
        <w:t>110 trial (Study GO29431)</w:t>
      </w:r>
      <w:r w:rsidRPr="00965711">
        <w:t xml:space="preserve"> safety population is the focus of this overview. The safety profile of atezolizumab monotherapy is reasonably well described in the setting of previously treated advanced NSCLC (and in other tumour settings</w:t>
      </w:r>
      <w:proofErr w:type="gramStart"/>
      <w:r w:rsidRPr="00965711">
        <w:t>), and</w:t>
      </w:r>
      <w:proofErr w:type="gramEnd"/>
      <w:r w:rsidRPr="00965711">
        <w:t xml:space="preserve"> is considered supportive (see currently approved Australian PI).</w:t>
      </w:r>
    </w:p>
    <w:p w14:paraId="0A5A3AF1" w14:textId="5EDC9A2C" w:rsidR="00407D0F" w:rsidRPr="00965711" w:rsidRDefault="00407D0F">
      <w:r w:rsidRPr="00965711">
        <w:t xml:space="preserve">Overall safety in </w:t>
      </w:r>
      <w:r w:rsidR="009258F9" w:rsidRPr="00965711">
        <w:t>IMPOWER</w:t>
      </w:r>
      <w:r w:rsidRPr="00965711">
        <w:t xml:space="preserve">110 is summarised in </w:t>
      </w:r>
      <w:r w:rsidR="00965711" w:rsidRPr="00B13A95">
        <w:fldChar w:fldCharType="begin"/>
      </w:r>
      <w:r w:rsidR="00965711" w:rsidRPr="00965711">
        <w:instrText xml:space="preserve"> REF _Ref108523064 \h </w:instrText>
      </w:r>
      <w:r w:rsidR="00965711">
        <w:instrText xml:space="preserve"> \* MERGEFORMAT </w:instrText>
      </w:r>
      <w:r w:rsidR="00965711" w:rsidRPr="00B13A95">
        <w:fldChar w:fldCharType="separate"/>
      </w:r>
      <w:r w:rsidR="00C05B15" w:rsidRPr="003672E7">
        <w:t xml:space="preserve">Table </w:t>
      </w:r>
      <w:r w:rsidR="00C05B15">
        <w:t>11</w:t>
      </w:r>
      <w:r w:rsidR="00965711" w:rsidRPr="00B13A95">
        <w:fldChar w:fldCharType="end"/>
      </w:r>
      <w:r w:rsidRPr="00222A45">
        <w:t>.</w:t>
      </w:r>
      <w:r w:rsidRPr="00965711">
        <w:t xml:space="preserve"> The median duration of treatment was longer in the atezolizumab arm (5.3 months) than the chemotherapy arm (3.5 months pemetrexed, 2.1 months cisplatin, 2.3 months carboplatin, 2.6 months gemcitabine).</w:t>
      </w:r>
    </w:p>
    <w:p w14:paraId="4293E0DB" w14:textId="627AAD2B" w:rsidR="00407D0F" w:rsidRPr="00965711" w:rsidRDefault="00407D0F">
      <w:r w:rsidRPr="00965711">
        <w:t>Adverse events (AEs) that were reported at least 5% more frequently with atezolizumab than chemotherapy were elevat</w:t>
      </w:r>
      <w:r w:rsidR="00E77FE0" w:rsidRPr="00965711">
        <w:t>ed alanine aminotransferase</w:t>
      </w:r>
      <w:r w:rsidRPr="00965711">
        <w:t xml:space="preserve">, </w:t>
      </w:r>
      <w:proofErr w:type="gramStart"/>
      <w:r w:rsidRPr="00965711">
        <w:t>pruritus</w:t>
      </w:r>
      <w:proofErr w:type="gramEnd"/>
      <w:r w:rsidRPr="00965711">
        <w:t xml:space="preserve"> and hypothyroidism.</w:t>
      </w:r>
    </w:p>
    <w:p w14:paraId="724320D6" w14:textId="175246A1" w:rsidR="003672E7" w:rsidRDefault="00F72EA1" w:rsidP="00B50F71">
      <w:r w:rsidRPr="00965711">
        <w:t>Adverse events</w:t>
      </w:r>
      <w:r w:rsidR="00407D0F" w:rsidRPr="00965711">
        <w:t xml:space="preserve"> that were reported at least 5% more frequently with chemotherapy than atezolizumab were nausea, constipation, vomiting, blood creatinine increased, platelet </w:t>
      </w:r>
      <w:r w:rsidR="00407D0F" w:rsidRPr="00965711">
        <w:lastRenderedPageBreak/>
        <w:t>count decreased, neutrophil count decreased, anaemia, thrombocytop</w:t>
      </w:r>
      <w:r w:rsidR="00682F4A" w:rsidRPr="00965711">
        <w:t>a</w:t>
      </w:r>
      <w:r w:rsidR="00407D0F" w:rsidRPr="00965711">
        <w:t xml:space="preserve">enia, </w:t>
      </w:r>
      <w:proofErr w:type="spellStart"/>
      <w:r w:rsidR="00407D0F" w:rsidRPr="00965711">
        <w:t>neutrop</w:t>
      </w:r>
      <w:r w:rsidR="00682F4A" w:rsidRPr="00965711">
        <w:t>a</w:t>
      </w:r>
      <w:r w:rsidR="00407D0F" w:rsidRPr="00965711">
        <w:t>enia</w:t>
      </w:r>
      <w:proofErr w:type="spellEnd"/>
      <w:r w:rsidR="00407D0F" w:rsidRPr="00965711">
        <w:t xml:space="preserve"> and </w:t>
      </w:r>
      <w:proofErr w:type="spellStart"/>
      <w:r w:rsidR="00407D0F" w:rsidRPr="00965711">
        <w:t>leukop</w:t>
      </w:r>
      <w:r w:rsidR="00682F4A" w:rsidRPr="00965711">
        <w:t>a</w:t>
      </w:r>
      <w:r w:rsidR="00407D0F" w:rsidRPr="00965711">
        <w:t>enia</w:t>
      </w:r>
      <w:proofErr w:type="spellEnd"/>
      <w:r w:rsidRPr="00965711">
        <w:t>.</w:t>
      </w:r>
      <w:bookmarkStart w:id="62" w:name="_Ref8809195"/>
    </w:p>
    <w:p w14:paraId="51CCF98A" w14:textId="6BC995F4" w:rsidR="00407D0F" w:rsidRPr="003672E7" w:rsidRDefault="00407D0F" w:rsidP="00B31ACA">
      <w:pPr>
        <w:pStyle w:val="TableTitle"/>
      </w:pPr>
      <w:bookmarkStart w:id="63" w:name="_Ref108523064"/>
      <w:r w:rsidRPr="003672E7">
        <w:t xml:space="preserve">Table </w:t>
      </w:r>
      <w:fldSimple w:instr=" SEQ Table \* ARABIC ">
        <w:r w:rsidR="00C05B15">
          <w:rPr>
            <w:noProof/>
          </w:rPr>
          <w:t>11</w:t>
        </w:r>
      </w:fldSimple>
      <w:bookmarkEnd w:id="62"/>
      <w:bookmarkEnd w:id="63"/>
      <w:r w:rsidR="003672E7" w:rsidRPr="003672E7">
        <w:t>:</w:t>
      </w:r>
      <w:r w:rsidRPr="003672E7">
        <w:t xml:space="preserve"> </w:t>
      </w:r>
      <w:r w:rsidR="009258F9" w:rsidRPr="003672E7">
        <w:t>IMPOWER</w:t>
      </w:r>
      <w:r w:rsidR="00F72EA1" w:rsidRPr="003672E7">
        <w:t xml:space="preserve">110 trial (Study GO29431) </w:t>
      </w:r>
      <w:r w:rsidRPr="003672E7">
        <w:t>Sel</w:t>
      </w:r>
      <w:r w:rsidR="00F72EA1" w:rsidRPr="003672E7">
        <w:t>ected summary safety parameters</w:t>
      </w:r>
    </w:p>
    <w:tbl>
      <w:tblPr>
        <w:tblStyle w:val="TableTGAblue"/>
        <w:tblW w:w="0" w:type="auto"/>
        <w:tblLayout w:type="fixed"/>
        <w:tblCellMar>
          <w:left w:w="28" w:type="dxa"/>
          <w:right w:w="28" w:type="dxa"/>
        </w:tblCellMar>
        <w:tblLook w:val="04A0" w:firstRow="1" w:lastRow="0" w:firstColumn="1" w:lastColumn="0" w:noHBand="0" w:noVBand="1"/>
      </w:tblPr>
      <w:tblGrid>
        <w:gridCol w:w="4990"/>
        <w:gridCol w:w="1701"/>
        <w:gridCol w:w="1701"/>
      </w:tblGrid>
      <w:tr w:rsidR="00407D0F" w:rsidRPr="008E501E" w14:paraId="18836BB1" w14:textId="77777777" w:rsidTr="00B50F71">
        <w:trPr>
          <w:cnfStyle w:val="100000000000" w:firstRow="1" w:lastRow="0" w:firstColumn="0" w:lastColumn="0" w:oddVBand="0" w:evenVBand="0" w:oddHBand="0" w:evenHBand="0" w:firstRowFirstColumn="0" w:firstRowLastColumn="0" w:lastRowFirstColumn="0" w:lastRowLastColumn="0"/>
        </w:trPr>
        <w:tc>
          <w:tcPr>
            <w:tcW w:w="4990" w:type="dxa"/>
          </w:tcPr>
          <w:p w14:paraId="3F8E0CDB" w14:textId="77777777" w:rsidR="00407D0F" w:rsidRPr="00B50F71" w:rsidRDefault="00407D0F" w:rsidP="00B50F71">
            <w:pPr>
              <w:pStyle w:val="Tabletext"/>
            </w:pPr>
          </w:p>
        </w:tc>
        <w:tc>
          <w:tcPr>
            <w:tcW w:w="1701" w:type="dxa"/>
          </w:tcPr>
          <w:p w14:paraId="479012B6" w14:textId="77777777" w:rsidR="00407D0F" w:rsidRPr="00B50F71" w:rsidRDefault="00407D0F" w:rsidP="00B50F71">
            <w:pPr>
              <w:pStyle w:val="Tabletext"/>
            </w:pPr>
            <w:r w:rsidRPr="00B50F71">
              <w:t>Chemotherapy</w:t>
            </w:r>
          </w:p>
          <w:p w14:paraId="7D2AB232" w14:textId="77777777" w:rsidR="00407D0F" w:rsidRPr="00B50F71" w:rsidRDefault="00407D0F" w:rsidP="00B50F71">
            <w:pPr>
              <w:pStyle w:val="Tabletext"/>
            </w:pPr>
            <w:r w:rsidRPr="00B50F71">
              <w:t>(n=263)</w:t>
            </w:r>
          </w:p>
        </w:tc>
        <w:tc>
          <w:tcPr>
            <w:tcW w:w="1701" w:type="dxa"/>
          </w:tcPr>
          <w:p w14:paraId="6A031F73" w14:textId="77777777" w:rsidR="00407D0F" w:rsidRPr="00B50F71" w:rsidRDefault="00407D0F" w:rsidP="00B50F71">
            <w:pPr>
              <w:pStyle w:val="Tabletext"/>
            </w:pPr>
            <w:r w:rsidRPr="00B50F71">
              <w:t>Atezolizumab</w:t>
            </w:r>
          </w:p>
          <w:p w14:paraId="14DA5F37" w14:textId="77777777" w:rsidR="00407D0F" w:rsidRPr="00B50F71" w:rsidRDefault="00407D0F" w:rsidP="00B50F71">
            <w:pPr>
              <w:pStyle w:val="Tabletext"/>
            </w:pPr>
            <w:r w:rsidRPr="00B50F71">
              <w:t>(n=286)</w:t>
            </w:r>
          </w:p>
        </w:tc>
      </w:tr>
      <w:tr w:rsidR="00407D0F" w:rsidRPr="008E501E" w14:paraId="6821F887" w14:textId="77777777" w:rsidTr="00B50F71">
        <w:tc>
          <w:tcPr>
            <w:tcW w:w="8392" w:type="dxa"/>
            <w:gridSpan w:val="3"/>
          </w:tcPr>
          <w:p w14:paraId="04C72D50" w14:textId="77777777" w:rsidR="00407D0F" w:rsidRPr="00B178E4" w:rsidRDefault="00407D0F" w:rsidP="00B50F71">
            <w:pPr>
              <w:pStyle w:val="Tabletext"/>
              <w:rPr>
                <w:b/>
              </w:rPr>
            </w:pPr>
            <w:r w:rsidRPr="00B178E4">
              <w:rPr>
                <w:b/>
              </w:rPr>
              <w:t>Exposure</w:t>
            </w:r>
          </w:p>
        </w:tc>
      </w:tr>
      <w:tr w:rsidR="00407D0F" w:rsidRPr="008E501E" w14:paraId="5B9B6557" w14:textId="77777777" w:rsidTr="00B50F71">
        <w:tc>
          <w:tcPr>
            <w:tcW w:w="4990" w:type="dxa"/>
          </w:tcPr>
          <w:p w14:paraId="7A484229" w14:textId="77777777" w:rsidR="00407D0F" w:rsidRPr="00B50F71" w:rsidRDefault="00407D0F" w:rsidP="00B50F71">
            <w:pPr>
              <w:pStyle w:val="Tabletext"/>
            </w:pPr>
            <w:r w:rsidRPr="00716528">
              <w:t>Median duration of exposure, months</w:t>
            </w:r>
          </w:p>
        </w:tc>
        <w:tc>
          <w:tcPr>
            <w:tcW w:w="1701" w:type="dxa"/>
          </w:tcPr>
          <w:p w14:paraId="411F070C" w14:textId="77777777" w:rsidR="00407D0F" w:rsidRPr="00B50F71" w:rsidRDefault="00407D0F" w:rsidP="00B50F71">
            <w:pPr>
              <w:pStyle w:val="Tabletext"/>
            </w:pPr>
            <w:r w:rsidRPr="00716528">
              <w:t>2.1 to 3.5</w:t>
            </w:r>
          </w:p>
        </w:tc>
        <w:tc>
          <w:tcPr>
            <w:tcW w:w="1701" w:type="dxa"/>
          </w:tcPr>
          <w:p w14:paraId="5E5E1D6A" w14:textId="77777777" w:rsidR="00407D0F" w:rsidRPr="00B50F71" w:rsidRDefault="00407D0F" w:rsidP="00B50F71">
            <w:pPr>
              <w:pStyle w:val="Tabletext"/>
            </w:pPr>
            <w:r w:rsidRPr="00716528">
              <w:t>5.3</w:t>
            </w:r>
          </w:p>
        </w:tc>
      </w:tr>
      <w:tr w:rsidR="00407D0F" w:rsidRPr="008E501E" w14:paraId="4ECA5411" w14:textId="77777777" w:rsidTr="00B50F71">
        <w:tc>
          <w:tcPr>
            <w:tcW w:w="8392" w:type="dxa"/>
            <w:gridSpan w:val="3"/>
          </w:tcPr>
          <w:p w14:paraId="738BA1C7" w14:textId="77777777" w:rsidR="00407D0F" w:rsidRPr="00B178E4" w:rsidRDefault="00407D0F" w:rsidP="00B50F71">
            <w:pPr>
              <w:pStyle w:val="Tabletext"/>
              <w:rPr>
                <w:b/>
              </w:rPr>
            </w:pPr>
            <w:r w:rsidRPr="00B178E4">
              <w:rPr>
                <w:b/>
              </w:rPr>
              <w:t>Deaths</w:t>
            </w:r>
          </w:p>
        </w:tc>
      </w:tr>
      <w:tr w:rsidR="00407D0F" w:rsidRPr="008E501E" w14:paraId="052E9FE5" w14:textId="77777777" w:rsidTr="00B50F71">
        <w:tc>
          <w:tcPr>
            <w:tcW w:w="4990" w:type="dxa"/>
          </w:tcPr>
          <w:p w14:paraId="4307E4EB" w14:textId="77777777" w:rsidR="00407D0F" w:rsidRPr="00B50F71" w:rsidRDefault="00407D0F" w:rsidP="00B50F71">
            <w:pPr>
              <w:pStyle w:val="Tabletext"/>
            </w:pPr>
            <w:r w:rsidRPr="00716528">
              <w:t>Patients who had a fatal (treatment-emergent) adverse event, n (%)</w:t>
            </w:r>
          </w:p>
        </w:tc>
        <w:tc>
          <w:tcPr>
            <w:tcW w:w="1701" w:type="dxa"/>
          </w:tcPr>
          <w:p w14:paraId="20E5F5EC" w14:textId="77777777" w:rsidR="00407D0F" w:rsidRPr="00B50F71" w:rsidRDefault="00407D0F" w:rsidP="00B50F71">
            <w:pPr>
              <w:pStyle w:val="Tabletext"/>
            </w:pPr>
            <w:r w:rsidRPr="00716528">
              <w:t>11 (4.2%)</w:t>
            </w:r>
          </w:p>
        </w:tc>
        <w:tc>
          <w:tcPr>
            <w:tcW w:w="1701" w:type="dxa"/>
          </w:tcPr>
          <w:p w14:paraId="31181D73" w14:textId="77777777" w:rsidR="00407D0F" w:rsidRPr="00B50F71" w:rsidRDefault="00407D0F" w:rsidP="00B50F71">
            <w:pPr>
              <w:pStyle w:val="Tabletext"/>
            </w:pPr>
            <w:r w:rsidRPr="00716528">
              <w:t>11 (3.8%)</w:t>
            </w:r>
          </w:p>
        </w:tc>
      </w:tr>
      <w:tr w:rsidR="00407D0F" w:rsidRPr="008E501E" w14:paraId="1318C513" w14:textId="77777777" w:rsidTr="00B50F71">
        <w:tc>
          <w:tcPr>
            <w:tcW w:w="8392" w:type="dxa"/>
            <w:gridSpan w:val="3"/>
          </w:tcPr>
          <w:p w14:paraId="68B8C2DF" w14:textId="4A34C739" w:rsidR="00407D0F" w:rsidRPr="00B178E4" w:rsidRDefault="00407D0F" w:rsidP="00B50F71">
            <w:pPr>
              <w:pStyle w:val="Tabletext"/>
              <w:rPr>
                <w:b/>
              </w:rPr>
            </w:pPr>
            <w:r w:rsidRPr="00B178E4">
              <w:rPr>
                <w:b/>
              </w:rPr>
              <w:t>Tre</w:t>
            </w:r>
            <w:r w:rsidR="00F72EA1" w:rsidRPr="00B178E4">
              <w:rPr>
                <w:b/>
              </w:rPr>
              <w:t>atment-emergent adverse events</w:t>
            </w:r>
          </w:p>
        </w:tc>
      </w:tr>
      <w:tr w:rsidR="00407D0F" w:rsidRPr="008E501E" w14:paraId="0AB7A84E" w14:textId="77777777" w:rsidTr="00B50F71">
        <w:tc>
          <w:tcPr>
            <w:tcW w:w="4990" w:type="dxa"/>
          </w:tcPr>
          <w:p w14:paraId="384D1822" w14:textId="4FD49F93" w:rsidR="00407D0F" w:rsidRPr="00B50F71" w:rsidRDefault="00407D0F" w:rsidP="00B50F71">
            <w:pPr>
              <w:pStyle w:val="Tabletext"/>
            </w:pPr>
            <w:r w:rsidRPr="00716528">
              <w:t xml:space="preserve">Subjects with at least one </w:t>
            </w:r>
            <w:r w:rsidR="00F72EA1" w:rsidRPr="00716528">
              <w:t>treatment-emergent adverse event</w:t>
            </w:r>
            <w:r w:rsidRPr="00716528">
              <w:t>, %</w:t>
            </w:r>
          </w:p>
        </w:tc>
        <w:tc>
          <w:tcPr>
            <w:tcW w:w="1701" w:type="dxa"/>
          </w:tcPr>
          <w:p w14:paraId="00A3ACF8" w14:textId="77777777" w:rsidR="00407D0F" w:rsidRPr="00B50F71" w:rsidRDefault="00407D0F" w:rsidP="00B50F71">
            <w:pPr>
              <w:pStyle w:val="Tabletext"/>
            </w:pPr>
            <w:r w:rsidRPr="00716528">
              <w:t>95</w:t>
            </w:r>
          </w:p>
        </w:tc>
        <w:tc>
          <w:tcPr>
            <w:tcW w:w="1701" w:type="dxa"/>
          </w:tcPr>
          <w:p w14:paraId="222F46B1" w14:textId="77777777" w:rsidR="00407D0F" w:rsidRPr="00B50F71" w:rsidRDefault="00407D0F" w:rsidP="00B50F71">
            <w:pPr>
              <w:pStyle w:val="Tabletext"/>
            </w:pPr>
            <w:r w:rsidRPr="00716528">
              <w:t>90</w:t>
            </w:r>
          </w:p>
        </w:tc>
      </w:tr>
      <w:tr w:rsidR="00407D0F" w:rsidRPr="008E501E" w14:paraId="6D045480" w14:textId="77777777" w:rsidTr="00B50F71">
        <w:tc>
          <w:tcPr>
            <w:tcW w:w="8392" w:type="dxa"/>
            <w:gridSpan w:val="3"/>
          </w:tcPr>
          <w:p w14:paraId="42C07990" w14:textId="782C6733" w:rsidR="00407D0F" w:rsidRPr="00B178E4" w:rsidRDefault="00407D0F" w:rsidP="00B50F71">
            <w:pPr>
              <w:pStyle w:val="Tabletext"/>
              <w:rPr>
                <w:b/>
              </w:rPr>
            </w:pPr>
            <w:r w:rsidRPr="00B178E4">
              <w:rPr>
                <w:b/>
              </w:rPr>
              <w:t xml:space="preserve">Most common </w:t>
            </w:r>
            <w:r w:rsidR="00F72EA1" w:rsidRPr="00B178E4">
              <w:rPr>
                <w:b/>
              </w:rPr>
              <w:t xml:space="preserve">treatment-emergent adverse events </w:t>
            </w:r>
            <w:r w:rsidRPr="00B178E4">
              <w:rPr>
                <w:b/>
              </w:rPr>
              <w:t>(≥</w:t>
            </w:r>
            <w:r w:rsidR="00F72EA1" w:rsidRPr="00B178E4">
              <w:rPr>
                <w:b/>
              </w:rPr>
              <w:t xml:space="preserve"> </w:t>
            </w:r>
            <w:r w:rsidRPr="00B178E4">
              <w:rPr>
                <w:b/>
              </w:rPr>
              <w:t>10% in either arm):</w:t>
            </w:r>
          </w:p>
        </w:tc>
      </w:tr>
      <w:tr w:rsidR="00407D0F" w:rsidRPr="008E501E" w14:paraId="33B351CC" w14:textId="77777777" w:rsidTr="00B50F71">
        <w:tc>
          <w:tcPr>
            <w:tcW w:w="4990" w:type="dxa"/>
          </w:tcPr>
          <w:p w14:paraId="5A2AAA16" w14:textId="77777777" w:rsidR="00407D0F" w:rsidRPr="00B50F71" w:rsidRDefault="00407D0F" w:rsidP="00B50F71">
            <w:pPr>
              <w:pStyle w:val="Tabletext"/>
            </w:pPr>
            <w:r w:rsidRPr="00B50F71">
              <w:t>anaemia, %</w:t>
            </w:r>
          </w:p>
        </w:tc>
        <w:tc>
          <w:tcPr>
            <w:tcW w:w="1701" w:type="dxa"/>
          </w:tcPr>
          <w:p w14:paraId="31CBE3F0" w14:textId="77777777" w:rsidR="00407D0F" w:rsidRPr="00B50F71" w:rsidRDefault="00407D0F" w:rsidP="00B50F71">
            <w:pPr>
              <w:pStyle w:val="Tabletext"/>
            </w:pPr>
            <w:r w:rsidRPr="00B50F71">
              <w:t>48</w:t>
            </w:r>
          </w:p>
        </w:tc>
        <w:tc>
          <w:tcPr>
            <w:tcW w:w="1701" w:type="dxa"/>
          </w:tcPr>
          <w:p w14:paraId="75F42EC6" w14:textId="77777777" w:rsidR="00407D0F" w:rsidRPr="00B50F71" w:rsidRDefault="00407D0F" w:rsidP="00B50F71">
            <w:pPr>
              <w:pStyle w:val="Tabletext"/>
            </w:pPr>
            <w:r w:rsidRPr="00B50F71">
              <w:t>15</w:t>
            </w:r>
          </w:p>
        </w:tc>
      </w:tr>
      <w:tr w:rsidR="00407D0F" w:rsidRPr="008E501E" w14:paraId="65D80FAE" w14:textId="77777777" w:rsidTr="00B50F71">
        <w:tc>
          <w:tcPr>
            <w:tcW w:w="4990" w:type="dxa"/>
          </w:tcPr>
          <w:p w14:paraId="0155E04C" w14:textId="77777777" w:rsidR="00407D0F" w:rsidRPr="00B50F71" w:rsidRDefault="00407D0F" w:rsidP="00B50F71">
            <w:pPr>
              <w:pStyle w:val="Tabletext"/>
            </w:pPr>
            <w:r w:rsidRPr="00B50F71">
              <w:t>nausea, %</w:t>
            </w:r>
          </w:p>
        </w:tc>
        <w:tc>
          <w:tcPr>
            <w:tcW w:w="1701" w:type="dxa"/>
          </w:tcPr>
          <w:p w14:paraId="568A6746" w14:textId="77777777" w:rsidR="00407D0F" w:rsidRPr="00B50F71" w:rsidRDefault="00407D0F" w:rsidP="00B50F71">
            <w:pPr>
              <w:pStyle w:val="Tabletext"/>
            </w:pPr>
            <w:r w:rsidRPr="00B50F71">
              <w:t>34</w:t>
            </w:r>
          </w:p>
        </w:tc>
        <w:tc>
          <w:tcPr>
            <w:tcW w:w="1701" w:type="dxa"/>
          </w:tcPr>
          <w:p w14:paraId="16A8D3F5" w14:textId="77777777" w:rsidR="00407D0F" w:rsidRPr="00B50F71" w:rsidRDefault="00407D0F" w:rsidP="00B50F71">
            <w:pPr>
              <w:pStyle w:val="Tabletext"/>
            </w:pPr>
            <w:r w:rsidRPr="00B50F71">
              <w:t>14</w:t>
            </w:r>
          </w:p>
        </w:tc>
      </w:tr>
      <w:tr w:rsidR="00407D0F" w:rsidRPr="008E501E" w14:paraId="0A8EE043" w14:textId="77777777" w:rsidTr="00B50F71">
        <w:tc>
          <w:tcPr>
            <w:tcW w:w="4990" w:type="dxa"/>
          </w:tcPr>
          <w:p w14:paraId="2CDE7076" w14:textId="4FE3BE20" w:rsidR="00407D0F" w:rsidRPr="00B50F71" w:rsidRDefault="00407D0F" w:rsidP="00B50F71">
            <w:pPr>
              <w:pStyle w:val="Tabletext"/>
            </w:pPr>
            <w:proofErr w:type="spellStart"/>
            <w:r w:rsidRPr="00B50F71">
              <w:t>neutrop</w:t>
            </w:r>
            <w:r w:rsidR="007E45AA" w:rsidRPr="00B50F71">
              <w:t>a</w:t>
            </w:r>
            <w:r w:rsidRPr="00B50F71">
              <w:t>enia</w:t>
            </w:r>
            <w:proofErr w:type="spellEnd"/>
            <w:r w:rsidRPr="00B50F71">
              <w:t>, %</w:t>
            </w:r>
          </w:p>
        </w:tc>
        <w:tc>
          <w:tcPr>
            <w:tcW w:w="1701" w:type="dxa"/>
          </w:tcPr>
          <w:p w14:paraId="6C8D2812" w14:textId="77777777" w:rsidR="00407D0F" w:rsidRPr="00B50F71" w:rsidRDefault="00407D0F" w:rsidP="00B50F71">
            <w:pPr>
              <w:pStyle w:val="Tabletext"/>
            </w:pPr>
            <w:r w:rsidRPr="00B50F71">
              <w:t>28</w:t>
            </w:r>
          </w:p>
        </w:tc>
        <w:tc>
          <w:tcPr>
            <w:tcW w:w="1701" w:type="dxa"/>
          </w:tcPr>
          <w:p w14:paraId="7E472622" w14:textId="77777777" w:rsidR="00407D0F" w:rsidRPr="00B50F71" w:rsidRDefault="00407D0F" w:rsidP="00B50F71">
            <w:pPr>
              <w:pStyle w:val="Tabletext"/>
            </w:pPr>
            <w:r w:rsidRPr="00B50F71">
              <w:t>1</w:t>
            </w:r>
          </w:p>
        </w:tc>
      </w:tr>
      <w:tr w:rsidR="00407D0F" w:rsidRPr="008E501E" w14:paraId="7D074FD5" w14:textId="77777777" w:rsidTr="00B50F71">
        <w:tc>
          <w:tcPr>
            <w:tcW w:w="4990" w:type="dxa"/>
          </w:tcPr>
          <w:p w14:paraId="263E3233" w14:textId="77777777" w:rsidR="00407D0F" w:rsidRPr="00B50F71" w:rsidRDefault="00407D0F" w:rsidP="00B50F71">
            <w:pPr>
              <w:pStyle w:val="Tabletext"/>
            </w:pPr>
            <w:r w:rsidRPr="00B50F71">
              <w:t>constipation, %</w:t>
            </w:r>
          </w:p>
        </w:tc>
        <w:tc>
          <w:tcPr>
            <w:tcW w:w="1701" w:type="dxa"/>
          </w:tcPr>
          <w:p w14:paraId="3B18896C" w14:textId="77777777" w:rsidR="00407D0F" w:rsidRPr="00B50F71" w:rsidRDefault="00407D0F" w:rsidP="00B50F71">
            <w:pPr>
              <w:pStyle w:val="Tabletext"/>
            </w:pPr>
            <w:r w:rsidRPr="00B50F71">
              <w:t>22</w:t>
            </w:r>
          </w:p>
        </w:tc>
        <w:tc>
          <w:tcPr>
            <w:tcW w:w="1701" w:type="dxa"/>
          </w:tcPr>
          <w:p w14:paraId="375CC53C" w14:textId="77777777" w:rsidR="00407D0F" w:rsidRPr="00B50F71" w:rsidRDefault="00407D0F" w:rsidP="00B50F71">
            <w:pPr>
              <w:pStyle w:val="Tabletext"/>
            </w:pPr>
            <w:r w:rsidRPr="00B50F71">
              <w:t>12</w:t>
            </w:r>
          </w:p>
        </w:tc>
      </w:tr>
      <w:tr w:rsidR="00407D0F" w:rsidRPr="008E501E" w14:paraId="38AA4387" w14:textId="77777777" w:rsidTr="00B50F71">
        <w:tc>
          <w:tcPr>
            <w:tcW w:w="4990" w:type="dxa"/>
          </w:tcPr>
          <w:p w14:paraId="1C8E91B2" w14:textId="77777777" w:rsidR="00407D0F" w:rsidRPr="00B50F71" w:rsidRDefault="00407D0F" w:rsidP="00B50F71">
            <w:pPr>
              <w:pStyle w:val="Tabletext"/>
            </w:pPr>
            <w:r w:rsidRPr="00B50F71">
              <w:t>decreased appetite, %</w:t>
            </w:r>
          </w:p>
        </w:tc>
        <w:tc>
          <w:tcPr>
            <w:tcW w:w="1701" w:type="dxa"/>
          </w:tcPr>
          <w:p w14:paraId="2478221F" w14:textId="77777777" w:rsidR="00407D0F" w:rsidRPr="00B50F71" w:rsidRDefault="00407D0F" w:rsidP="00B50F71">
            <w:pPr>
              <w:pStyle w:val="Tabletext"/>
            </w:pPr>
            <w:r w:rsidRPr="00B50F71">
              <w:t>19</w:t>
            </w:r>
          </w:p>
        </w:tc>
        <w:tc>
          <w:tcPr>
            <w:tcW w:w="1701" w:type="dxa"/>
          </w:tcPr>
          <w:p w14:paraId="2FC1CB8A" w14:textId="77777777" w:rsidR="00407D0F" w:rsidRPr="00B50F71" w:rsidRDefault="00407D0F" w:rsidP="00B50F71">
            <w:pPr>
              <w:pStyle w:val="Tabletext"/>
            </w:pPr>
            <w:r w:rsidRPr="00B50F71">
              <w:t>15</w:t>
            </w:r>
          </w:p>
        </w:tc>
      </w:tr>
      <w:tr w:rsidR="00407D0F" w:rsidRPr="008E501E" w14:paraId="68A29BE1" w14:textId="77777777" w:rsidTr="00B50F71">
        <w:tc>
          <w:tcPr>
            <w:tcW w:w="4990" w:type="dxa"/>
          </w:tcPr>
          <w:p w14:paraId="76ED5613" w14:textId="77777777" w:rsidR="00407D0F" w:rsidRPr="00B50F71" w:rsidRDefault="00407D0F" w:rsidP="00B50F71">
            <w:pPr>
              <w:pStyle w:val="Tabletext"/>
            </w:pPr>
            <w:r w:rsidRPr="00B50F71">
              <w:t>fatigue (same number of events for asthenia), %</w:t>
            </w:r>
          </w:p>
        </w:tc>
        <w:tc>
          <w:tcPr>
            <w:tcW w:w="1701" w:type="dxa"/>
          </w:tcPr>
          <w:p w14:paraId="0A0C1469" w14:textId="77777777" w:rsidR="00407D0F" w:rsidRPr="00B50F71" w:rsidRDefault="00407D0F" w:rsidP="00B50F71">
            <w:pPr>
              <w:pStyle w:val="Tabletext"/>
            </w:pPr>
            <w:r w:rsidRPr="00B50F71">
              <w:t>18</w:t>
            </w:r>
          </w:p>
        </w:tc>
        <w:tc>
          <w:tcPr>
            <w:tcW w:w="1701" w:type="dxa"/>
          </w:tcPr>
          <w:p w14:paraId="0C77BD37" w14:textId="77777777" w:rsidR="00407D0F" w:rsidRPr="00B50F71" w:rsidRDefault="00407D0F" w:rsidP="00B50F71">
            <w:pPr>
              <w:pStyle w:val="Tabletext"/>
            </w:pPr>
            <w:r w:rsidRPr="00B50F71">
              <w:t>13</w:t>
            </w:r>
          </w:p>
        </w:tc>
      </w:tr>
      <w:tr w:rsidR="00407D0F" w:rsidRPr="008E501E" w14:paraId="7849773A" w14:textId="77777777" w:rsidTr="00B50F71">
        <w:tc>
          <w:tcPr>
            <w:tcW w:w="4990" w:type="dxa"/>
          </w:tcPr>
          <w:p w14:paraId="4142E9B8" w14:textId="6F01BD25" w:rsidR="00407D0F" w:rsidRPr="00B50F71" w:rsidRDefault="00407D0F" w:rsidP="00B50F71">
            <w:pPr>
              <w:pStyle w:val="Tabletext"/>
            </w:pPr>
            <w:r w:rsidRPr="00B50F71">
              <w:t>thrombocytop</w:t>
            </w:r>
            <w:r w:rsidR="007E45AA" w:rsidRPr="00B50F71">
              <w:t>a</w:t>
            </w:r>
            <w:r w:rsidRPr="00B50F71">
              <w:t>enia, %</w:t>
            </w:r>
          </w:p>
        </w:tc>
        <w:tc>
          <w:tcPr>
            <w:tcW w:w="1701" w:type="dxa"/>
          </w:tcPr>
          <w:p w14:paraId="3F0D0FA9" w14:textId="77777777" w:rsidR="00407D0F" w:rsidRPr="00B50F71" w:rsidRDefault="00407D0F" w:rsidP="00B50F71">
            <w:pPr>
              <w:pStyle w:val="Tabletext"/>
            </w:pPr>
            <w:r w:rsidRPr="00B50F71">
              <w:t>17</w:t>
            </w:r>
          </w:p>
        </w:tc>
        <w:tc>
          <w:tcPr>
            <w:tcW w:w="1701" w:type="dxa"/>
          </w:tcPr>
          <w:p w14:paraId="731E9BBC" w14:textId="77777777" w:rsidR="00407D0F" w:rsidRPr="00B50F71" w:rsidRDefault="00407D0F" w:rsidP="00B50F71">
            <w:pPr>
              <w:pStyle w:val="Tabletext"/>
            </w:pPr>
            <w:r w:rsidRPr="00B50F71">
              <w:t>2</w:t>
            </w:r>
          </w:p>
        </w:tc>
      </w:tr>
      <w:tr w:rsidR="00407D0F" w:rsidRPr="008E501E" w14:paraId="1011B877" w14:textId="77777777" w:rsidTr="00B50F71">
        <w:tc>
          <w:tcPr>
            <w:tcW w:w="4990" w:type="dxa"/>
          </w:tcPr>
          <w:p w14:paraId="356FD6B2" w14:textId="77777777" w:rsidR="00407D0F" w:rsidRPr="00B50F71" w:rsidRDefault="00407D0F" w:rsidP="00B50F71">
            <w:pPr>
              <w:pStyle w:val="Tabletext"/>
            </w:pPr>
            <w:r w:rsidRPr="00B50F71">
              <w:t>vomiting, %</w:t>
            </w:r>
          </w:p>
        </w:tc>
        <w:tc>
          <w:tcPr>
            <w:tcW w:w="1701" w:type="dxa"/>
          </w:tcPr>
          <w:p w14:paraId="1E8C306D" w14:textId="77777777" w:rsidR="00407D0F" w:rsidRPr="00B50F71" w:rsidRDefault="00407D0F" w:rsidP="00B50F71">
            <w:pPr>
              <w:pStyle w:val="Tabletext"/>
            </w:pPr>
            <w:r w:rsidRPr="00B50F71">
              <w:t>13</w:t>
            </w:r>
          </w:p>
        </w:tc>
        <w:tc>
          <w:tcPr>
            <w:tcW w:w="1701" w:type="dxa"/>
          </w:tcPr>
          <w:p w14:paraId="032A7D33" w14:textId="77777777" w:rsidR="00407D0F" w:rsidRPr="00B50F71" w:rsidRDefault="00407D0F" w:rsidP="00B50F71">
            <w:pPr>
              <w:pStyle w:val="Tabletext"/>
            </w:pPr>
            <w:r w:rsidRPr="00B50F71">
              <w:t>6</w:t>
            </w:r>
          </w:p>
        </w:tc>
      </w:tr>
      <w:tr w:rsidR="00407D0F" w:rsidRPr="008E501E" w14:paraId="66EB5BF5" w14:textId="77777777" w:rsidTr="00B50F71">
        <w:tc>
          <w:tcPr>
            <w:tcW w:w="4990" w:type="dxa"/>
          </w:tcPr>
          <w:p w14:paraId="12DE63C9" w14:textId="77777777" w:rsidR="00407D0F" w:rsidRPr="00B50F71" w:rsidRDefault="00407D0F" w:rsidP="00B50F71">
            <w:pPr>
              <w:pStyle w:val="Tabletext"/>
            </w:pPr>
            <w:r w:rsidRPr="00B50F71">
              <w:t>diarrhoea, %</w:t>
            </w:r>
          </w:p>
        </w:tc>
        <w:tc>
          <w:tcPr>
            <w:tcW w:w="1701" w:type="dxa"/>
          </w:tcPr>
          <w:p w14:paraId="78A6C320" w14:textId="77777777" w:rsidR="00407D0F" w:rsidRPr="00B50F71" w:rsidRDefault="00407D0F" w:rsidP="00B50F71">
            <w:pPr>
              <w:pStyle w:val="Tabletext"/>
            </w:pPr>
            <w:r w:rsidRPr="00B50F71">
              <w:t>12</w:t>
            </w:r>
          </w:p>
        </w:tc>
        <w:tc>
          <w:tcPr>
            <w:tcW w:w="1701" w:type="dxa"/>
          </w:tcPr>
          <w:p w14:paraId="309889CD" w14:textId="77777777" w:rsidR="00407D0F" w:rsidRPr="00B50F71" w:rsidRDefault="00407D0F" w:rsidP="00B50F71">
            <w:pPr>
              <w:pStyle w:val="Tabletext"/>
            </w:pPr>
            <w:r w:rsidRPr="00B50F71">
              <w:t>11</w:t>
            </w:r>
          </w:p>
        </w:tc>
      </w:tr>
      <w:tr w:rsidR="00407D0F" w:rsidRPr="008E501E" w14:paraId="038ECFC3" w14:textId="77777777" w:rsidTr="00B50F71">
        <w:tc>
          <w:tcPr>
            <w:tcW w:w="4990" w:type="dxa"/>
          </w:tcPr>
          <w:p w14:paraId="6E33A1B7" w14:textId="77777777" w:rsidR="00407D0F" w:rsidRPr="00B50F71" w:rsidRDefault="00407D0F" w:rsidP="00B50F71">
            <w:pPr>
              <w:pStyle w:val="Tabletext"/>
            </w:pPr>
            <w:r w:rsidRPr="00B50F71">
              <w:t>dyspnoea, %</w:t>
            </w:r>
          </w:p>
        </w:tc>
        <w:tc>
          <w:tcPr>
            <w:tcW w:w="1701" w:type="dxa"/>
          </w:tcPr>
          <w:p w14:paraId="4DCFCFE8" w14:textId="77777777" w:rsidR="00407D0F" w:rsidRPr="00B50F71" w:rsidRDefault="00407D0F" w:rsidP="00B50F71">
            <w:pPr>
              <w:pStyle w:val="Tabletext"/>
            </w:pPr>
            <w:r w:rsidRPr="00B50F71">
              <w:t>10</w:t>
            </w:r>
          </w:p>
        </w:tc>
        <w:tc>
          <w:tcPr>
            <w:tcW w:w="1701" w:type="dxa"/>
          </w:tcPr>
          <w:p w14:paraId="3867DCCF" w14:textId="77777777" w:rsidR="00407D0F" w:rsidRPr="00B50F71" w:rsidRDefault="00407D0F" w:rsidP="00B50F71">
            <w:pPr>
              <w:pStyle w:val="Tabletext"/>
            </w:pPr>
            <w:r w:rsidRPr="00B50F71">
              <w:t>14</w:t>
            </w:r>
          </w:p>
        </w:tc>
      </w:tr>
      <w:tr w:rsidR="00407D0F" w:rsidRPr="008E501E" w14:paraId="736E181B" w14:textId="77777777" w:rsidTr="00B50F71">
        <w:tc>
          <w:tcPr>
            <w:tcW w:w="4990" w:type="dxa"/>
          </w:tcPr>
          <w:p w14:paraId="18C52829" w14:textId="77777777" w:rsidR="00407D0F" w:rsidRPr="00B50F71" w:rsidRDefault="00407D0F" w:rsidP="00B50F71">
            <w:pPr>
              <w:pStyle w:val="Tabletext"/>
            </w:pPr>
            <w:r w:rsidRPr="00B50F71">
              <w:t>pyrexia, %</w:t>
            </w:r>
          </w:p>
        </w:tc>
        <w:tc>
          <w:tcPr>
            <w:tcW w:w="1701" w:type="dxa"/>
          </w:tcPr>
          <w:p w14:paraId="5EA268D6" w14:textId="77777777" w:rsidR="00407D0F" w:rsidRPr="00B50F71" w:rsidRDefault="00407D0F" w:rsidP="00B50F71">
            <w:pPr>
              <w:pStyle w:val="Tabletext"/>
            </w:pPr>
            <w:r w:rsidRPr="00B50F71">
              <w:t>9</w:t>
            </w:r>
          </w:p>
        </w:tc>
        <w:tc>
          <w:tcPr>
            <w:tcW w:w="1701" w:type="dxa"/>
          </w:tcPr>
          <w:p w14:paraId="179CBF93" w14:textId="77777777" w:rsidR="00407D0F" w:rsidRPr="00B50F71" w:rsidRDefault="00407D0F" w:rsidP="00B50F71">
            <w:pPr>
              <w:pStyle w:val="Tabletext"/>
            </w:pPr>
            <w:r w:rsidRPr="00B50F71">
              <w:t>14</w:t>
            </w:r>
          </w:p>
        </w:tc>
      </w:tr>
      <w:tr w:rsidR="00407D0F" w:rsidRPr="008E501E" w14:paraId="5FC5DCDE" w14:textId="77777777" w:rsidTr="00B50F71">
        <w:tc>
          <w:tcPr>
            <w:tcW w:w="4990" w:type="dxa"/>
          </w:tcPr>
          <w:p w14:paraId="619FBC5E" w14:textId="77777777" w:rsidR="00407D0F" w:rsidRPr="00B50F71" w:rsidRDefault="00407D0F" w:rsidP="00B50F71">
            <w:pPr>
              <w:pStyle w:val="Tabletext"/>
            </w:pPr>
            <w:r w:rsidRPr="00B50F71">
              <w:t>cough, %</w:t>
            </w:r>
          </w:p>
        </w:tc>
        <w:tc>
          <w:tcPr>
            <w:tcW w:w="1701" w:type="dxa"/>
          </w:tcPr>
          <w:p w14:paraId="480A4607" w14:textId="77777777" w:rsidR="00407D0F" w:rsidRPr="00B50F71" w:rsidRDefault="00407D0F" w:rsidP="00B50F71">
            <w:pPr>
              <w:pStyle w:val="Tabletext"/>
            </w:pPr>
            <w:r w:rsidRPr="00B50F71">
              <w:t>10</w:t>
            </w:r>
          </w:p>
        </w:tc>
        <w:tc>
          <w:tcPr>
            <w:tcW w:w="1701" w:type="dxa"/>
          </w:tcPr>
          <w:p w14:paraId="4D2D5940" w14:textId="77777777" w:rsidR="00407D0F" w:rsidRPr="00B50F71" w:rsidRDefault="00407D0F" w:rsidP="00B50F71">
            <w:pPr>
              <w:pStyle w:val="Tabletext"/>
            </w:pPr>
            <w:r w:rsidRPr="00B50F71">
              <w:t>12</w:t>
            </w:r>
          </w:p>
        </w:tc>
      </w:tr>
      <w:tr w:rsidR="00407D0F" w:rsidRPr="008E501E" w14:paraId="38DE08A7" w14:textId="77777777" w:rsidTr="00B50F71">
        <w:tc>
          <w:tcPr>
            <w:tcW w:w="4990" w:type="dxa"/>
          </w:tcPr>
          <w:p w14:paraId="44B70AB6" w14:textId="77777777" w:rsidR="00407D0F" w:rsidRPr="00B50F71" w:rsidRDefault="00407D0F" w:rsidP="00B50F71">
            <w:pPr>
              <w:pStyle w:val="Tabletext"/>
            </w:pPr>
            <w:r w:rsidRPr="00B50F71">
              <w:t>alanine aminotransferase increased, %</w:t>
            </w:r>
          </w:p>
        </w:tc>
        <w:tc>
          <w:tcPr>
            <w:tcW w:w="1701" w:type="dxa"/>
          </w:tcPr>
          <w:p w14:paraId="3D22CEB2" w14:textId="77777777" w:rsidR="00407D0F" w:rsidRPr="00B50F71" w:rsidRDefault="00407D0F" w:rsidP="00B50F71">
            <w:pPr>
              <w:pStyle w:val="Tabletext"/>
            </w:pPr>
            <w:r w:rsidRPr="00B50F71">
              <w:t>6</w:t>
            </w:r>
          </w:p>
        </w:tc>
        <w:tc>
          <w:tcPr>
            <w:tcW w:w="1701" w:type="dxa"/>
          </w:tcPr>
          <w:p w14:paraId="7B604FB0" w14:textId="77777777" w:rsidR="00407D0F" w:rsidRPr="00B50F71" w:rsidRDefault="00407D0F" w:rsidP="00B50F71">
            <w:pPr>
              <w:pStyle w:val="Tabletext"/>
            </w:pPr>
            <w:r w:rsidRPr="00B50F71">
              <w:t>11</w:t>
            </w:r>
          </w:p>
        </w:tc>
      </w:tr>
      <w:tr w:rsidR="00407D0F" w:rsidRPr="008E501E" w14:paraId="1DB01F52" w14:textId="77777777" w:rsidTr="00B50F71">
        <w:tc>
          <w:tcPr>
            <w:tcW w:w="8392" w:type="dxa"/>
            <w:gridSpan w:val="3"/>
          </w:tcPr>
          <w:p w14:paraId="38FEAFEE" w14:textId="0D401A22" w:rsidR="00407D0F" w:rsidRPr="00B178E4" w:rsidRDefault="00407D0F" w:rsidP="00B50F71">
            <w:pPr>
              <w:pStyle w:val="Tabletext"/>
              <w:rPr>
                <w:b/>
              </w:rPr>
            </w:pPr>
            <w:r w:rsidRPr="00B178E4">
              <w:rPr>
                <w:b/>
              </w:rPr>
              <w:t xml:space="preserve">Serious </w:t>
            </w:r>
            <w:r w:rsidR="00F72EA1" w:rsidRPr="00B178E4">
              <w:rPr>
                <w:b/>
              </w:rPr>
              <w:t>treatment-emergent adverse events</w:t>
            </w:r>
          </w:p>
        </w:tc>
      </w:tr>
      <w:tr w:rsidR="00407D0F" w:rsidRPr="008E501E" w14:paraId="43D1540B" w14:textId="77777777" w:rsidTr="00B50F71">
        <w:tc>
          <w:tcPr>
            <w:tcW w:w="4990" w:type="dxa"/>
          </w:tcPr>
          <w:p w14:paraId="08AE48CF" w14:textId="492DD2EF" w:rsidR="00407D0F" w:rsidRPr="00B50F71" w:rsidRDefault="00407D0F" w:rsidP="00B50F71">
            <w:pPr>
              <w:pStyle w:val="Tabletext"/>
            </w:pPr>
            <w:r w:rsidRPr="00716528">
              <w:t xml:space="preserve">Subjects with at least one </w:t>
            </w:r>
            <w:r w:rsidR="00F72EA1" w:rsidRPr="00716528">
              <w:t xml:space="preserve">serious adverse </w:t>
            </w:r>
            <w:proofErr w:type="gramStart"/>
            <w:r w:rsidR="00F72EA1" w:rsidRPr="00716528">
              <w:t>events</w:t>
            </w:r>
            <w:proofErr w:type="gramEnd"/>
            <w:r w:rsidRPr="00716528">
              <w:t>, %</w:t>
            </w:r>
          </w:p>
        </w:tc>
        <w:tc>
          <w:tcPr>
            <w:tcW w:w="1701" w:type="dxa"/>
          </w:tcPr>
          <w:p w14:paraId="212BF3A2" w14:textId="77777777" w:rsidR="00407D0F" w:rsidRPr="00B50F71" w:rsidRDefault="00407D0F" w:rsidP="00B50F71">
            <w:pPr>
              <w:pStyle w:val="Tabletext"/>
            </w:pPr>
            <w:r w:rsidRPr="00716528">
              <w:t>29</w:t>
            </w:r>
          </w:p>
        </w:tc>
        <w:tc>
          <w:tcPr>
            <w:tcW w:w="1701" w:type="dxa"/>
          </w:tcPr>
          <w:p w14:paraId="2E2E5DCD" w14:textId="77777777" w:rsidR="00407D0F" w:rsidRPr="00B50F71" w:rsidRDefault="00407D0F" w:rsidP="00B50F71">
            <w:pPr>
              <w:pStyle w:val="Tabletext"/>
            </w:pPr>
            <w:r w:rsidRPr="00716528">
              <w:t>28</w:t>
            </w:r>
          </w:p>
        </w:tc>
      </w:tr>
      <w:tr w:rsidR="00407D0F" w:rsidRPr="008E501E" w14:paraId="0DA12F4C" w14:textId="77777777" w:rsidTr="00B50F71">
        <w:tc>
          <w:tcPr>
            <w:tcW w:w="8392" w:type="dxa"/>
            <w:gridSpan w:val="3"/>
          </w:tcPr>
          <w:p w14:paraId="50920A47" w14:textId="3C57EB8E" w:rsidR="00407D0F" w:rsidRPr="00B178E4" w:rsidRDefault="00407D0F" w:rsidP="00B50F71">
            <w:pPr>
              <w:pStyle w:val="Tabletext"/>
              <w:rPr>
                <w:b/>
              </w:rPr>
            </w:pPr>
            <w:r w:rsidRPr="00B178E4">
              <w:rPr>
                <w:b/>
              </w:rPr>
              <w:t xml:space="preserve">Most common </w:t>
            </w:r>
            <w:r w:rsidR="00F72EA1" w:rsidRPr="00B178E4">
              <w:rPr>
                <w:b/>
              </w:rPr>
              <w:t>serious adverse events</w:t>
            </w:r>
            <w:r w:rsidRPr="00B178E4">
              <w:rPr>
                <w:b/>
              </w:rPr>
              <w:t xml:space="preserve"> (≥</w:t>
            </w:r>
            <w:r w:rsidR="00F72EA1" w:rsidRPr="00B178E4">
              <w:rPr>
                <w:b/>
              </w:rPr>
              <w:t> </w:t>
            </w:r>
            <w:r w:rsidRPr="00B178E4">
              <w:rPr>
                <w:b/>
              </w:rPr>
              <w:t>2% in either arm):</w:t>
            </w:r>
          </w:p>
        </w:tc>
      </w:tr>
      <w:tr w:rsidR="00407D0F" w:rsidRPr="008E501E" w14:paraId="732EE3D0" w14:textId="77777777" w:rsidTr="00B50F71">
        <w:tc>
          <w:tcPr>
            <w:tcW w:w="4990" w:type="dxa"/>
          </w:tcPr>
          <w:p w14:paraId="7BA0207E" w14:textId="77777777" w:rsidR="00407D0F" w:rsidRPr="00B50F71" w:rsidRDefault="00407D0F" w:rsidP="00B50F71">
            <w:pPr>
              <w:pStyle w:val="Tabletext"/>
            </w:pPr>
            <w:r w:rsidRPr="00B50F71">
              <w:lastRenderedPageBreak/>
              <w:t>pneumonia, %</w:t>
            </w:r>
          </w:p>
        </w:tc>
        <w:tc>
          <w:tcPr>
            <w:tcW w:w="1701" w:type="dxa"/>
          </w:tcPr>
          <w:p w14:paraId="490B7038" w14:textId="77777777" w:rsidR="00407D0F" w:rsidRPr="00B50F71" w:rsidRDefault="00407D0F" w:rsidP="00B50F71">
            <w:pPr>
              <w:pStyle w:val="Tabletext"/>
            </w:pPr>
            <w:r w:rsidRPr="00B50F71">
              <w:t>4.2</w:t>
            </w:r>
          </w:p>
        </w:tc>
        <w:tc>
          <w:tcPr>
            <w:tcW w:w="1701" w:type="dxa"/>
          </w:tcPr>
          <w:p w14:paraId="56DCE44B" w14:textId="77777777" w:rsidR="00407D0F" w:rsidRPr="00B50F71" w:rsidRDefault="00407D0F" w:rsidP="00B50F71">
            <w:pPr>
              <w:pStyle w:val="Tabletext"/>
            </w:pPr>
            <w:r w:rsidRPr="00B50F71">
              <w:t>2.8</w:t>
            </w:r>
          </w:p>
        </w:tc>
      </w:tr>
      <w:tr w:rsidR="00407D0F" w:rsidRPr="008E501E" w14:paraId="734CE4C1" w14:textId="77777777" w:rsidTr="00B50F71">
        <w:tc>
          <w:tcPr>
            <w:tcW w:w="4990" w:type="dxa"/>
          </w:tcPr>
          <w:p w14:paraId="68E6A935" w14:textId="77777777" w:rsidR="00407D0F" w:rsidRPr="00B50F71" w:rsidRDefault="00407D0F" w:rsidP="00B50F71">
            <w:pPr>
              <w:pStyle w:val="Tabletext"/>
            </w:pPr>
            <w:r w:rsidRPr="00B50F71">
              <w:t>anaemia, %</w:t>
            </w:r>
          </w:p>
        </w:tc>
        <w:tc>
          <w:tcPr>
            <w:tcW w:w="1701" w:type="dxa"/>
          </w:tcPr>
          <w:p w14:paraId="73F63FD3" w14:textId="77777777" w:rsidR="00407D0F" w:rsidRPr="00B50F71" w:rsidRDefault="00407D0F" w:rsidP="00B50F71">
            <w:pPr>
              <w:pStyle w:val="Tabletext"/>
            </w:pPr>
            <w:r w:rsidRPr="00B50F71">
              <w:t>3.4</w:t>
            </w:r>
          </w:p>
        </w:tc>
        <w:tc>
          <w:tcPr>
            <w:tcW w:w="1701" w:type="dxa"/>
          </w:tcPr>
          <w:p w14:paraId="48FB7F3B" w14:textId="77777777" w:rsidR="00407D0F" w:rsidRPr="00B50F71" w:rsidRDefault="00407D0F" w:rsidP="00B50F71">
            <w:pPr>
              <w:pStyle w:val="Tabletext"/>
            </w:pPr>
            <w:r w:rsidRPr="00B50F71">
              <w:t>0.3</w:t>
            </w:r>
          </w:p>
        </w:tc>
      </w:tr>
      <w:tr w:rsidR="00407D0F" w:rsidRPr="008E501E" w14:paraId="75FBAECE" w14:textId="77777777" w:rsidTr="00B50F71">
        <w:tc>
          <w:tcPr>
            <w:tcW w:w="4990" w:type="dxa"/>
          </w:tcPr>
          <w:p w14:paraId="67F0B6A6" w14:textId="30C22762" w:rsidR="00407D0F" w:rsidRPr="00B50F71" w:rsidRDefault="00407D0F" w:rsidP="00B50F71">
            <w:pPr>
              <w:pStyle w:val="Tabletext"/>
            </w:pPr>
            <w:r w:rsidRPr="00B50F71">
              <w:t>thrombocytop</w:t>
            </w:r>
            <w:r w:rsidR="007E45AA" w:rsidRPr="00B50F71">
              <w:t>a</w:t>
            </w:r>
            <w:r w:rsidRPr="00B50F71">
              <w:t>enia, %</w:t>
            </w:r>
          </w:p>
        </w:tc>
        <w:tc>
          <w:tcPr>
            <w:tcW w:w="1701" w:type="dxa"/>
          </w:tcPr>
          <w:p w14:paraId="189BE5EF" w14:textId="77777777" w:rsidR="00407D0F" w:rsidRPr="00B50F71" w:rsidRDefault="00407D0F" w:rsidP="00B50F71">
            <w:pPr>
              <w:pStyle w:val="Tabletext"/>
            </w:pPr>
            <w:r w:rsidRPr="00B50F71">
              <w:t>3.4</w:t>
            </w:r>
          </w:p>
        </w:tc>
        <w:tc>
          <w:tcPr>
            <w:tcW w:w="1701" w:type="dxa"/>
          </w:tcPr>
          <w:p w14:paraId="2FD0BD52" w14:textId="77777777" w:rsidR="00407D0F" w:rsidRPr="00B50F71" w:rsidRDefault="00407D0F" w:rsidP="00B50F71">
            <w:pPr>
              <w:pStyle w:val="Tabletext"/>
            </w:pPr>
            <w:r w:rsidRPr="00B50F71">
              <w:t>0.3</w:t>
            </w:r>
          </w:p>
        </w:tc>
      </w:tr>
      <w:tr w:rsidR="00407D0F" w:rsidRPr="008E501E" w14:paraId="70CC5047" w14:textId="77777777" w:rsidTr="00B50F71">
        <w:tc>
          <w:tcPr>
            <w:tcW w:w="4990" w:type="dxa"/>
          </w:tcPr>
          <w:p w14:paraId="536E01A2" w14:textId="77777777" w:rsidR="00407D0F" w:rsidRPr="00B50F71" w:rsidRDefault="00407D0F" w:rsidP="00B50F71">
            <w:pPr>
              <w:pStyle w:val="Tabletext"/>
            </w:pPr>
            <w:r w:rsidRPr="00B50F71">
              <w:t>pneumonitis, %</w:t>
            </w:r>
          </w:p>
        </w:tc>
        <w:tc>
          <w:tcPr>
            <w:tcW w:w="1701" w:type="dxa"/>
          </w:tcPr>
          <w:p w14:paraId="3E4173CD" w14:textId="77777777" w:rsidR="00407D0F" w:rsidRPr="00B50F71" w:rsidRDefault="00407D0F" w:rsidP="00B50F71">
            <w:pPr>
              <w:pStyle w:val="Tabletext"/>
            </w:pPr>
            <w:r w:rsidRPr="00B50F71">
              <w:t>0.4</w:t>
            </w:r>
          </w:p>
        </w:tc>
        <w:tc>
          <w:tcPr>
            <w:tcW w:w="1701" w:type="dxa"/>
          </w:tcPr>
          <w:p w14:paraId="7004520B" w14:textId="77777777" w:rsidR="00407D0F" w:rsidRPr="00B50F71" w:rsidRDefault="00407D0F" w:rsidP="00B50F71">
            <w:pPr>
              <w:pStyle w:val="Tabletext"/>
            </w:pPr>
            <w:r w:rsidRPr="00B50F71">
              <w:t>2.1</w:t>
            </w:r>
          </w:p>
        </w:tc>
      </w:tr>
      <w:tr w:rsidR="00407D0F" w:rsidRPr="008E501E" w14:paraId="4A2CC43C" w14:textId="77777777" w:rsidTr="00B50F71">
        <w:tc>
          <w:tcPr>
            <w:tcW w:w="4990" w:type="dxa"/>
          </w:tcPr>
          <w:p w14:paraId="69309D5D" w14:textId="77777777" w:rsidR="00407D0F" w:rsidRPr="00B50F71" w:rsidRDefault="00407D0F" w:rsidP="00B50F71">
            <w:pPr>
              <w:pStyle w:val="Tabletext"/>
            </w:pPr>
            <w:r w:rsidRPr="00B50F71">
              <w:t>chronic obstructive pulmonary disease (COPD), %</w:t>
            </w:r>
          </w:p>
        </w:tc>
        <w:tc>
          <w:tcPr>
            <w:tcW w:w="1701" w:type="dxa"/>
          </w:tcPr>
          <w:p w14:paraId="0911F672" w14:textId="77777777" w:rsidR="00407D0F" w:rsidRPr="00B50F71" w:rsidRDefault="00407D0F" w:rsidP="00B50F71">
            <w:pPr>
              <w:pStyle w:val="Tabletext"/>
            </w:pPr>
            <w:r w:rsidRPr="00B50F71">
              <w:t>0</w:t>
            </w:r>
          </w:p>
        </w:tc>
        <w:tc>
          <w:tcPr>
            <w:tcW w:w="1701" w:type="dxa"/>
          </w:tcPr>
          <w:p w14:paraId="112817FB" w14:textId="77777777" w:rsidR="00407D0F" w:rsidRPr="00B50F71" w:rsidRDefault="00407D0F" w:rsidP="00B50F71">
            <w:pPr>
              <w:pStyle w:val="Tabletext"/>
            </w:pPr>
            <w:r w:rsidRPr="00B50F71">
              <w:t>2.1</w:t>
            </w:r>
          </w:p>
        </w:tc>
      </w:tr>
      <w:tr w:rsidR="00407D0F" w:rsidRPr="008E501E" w14:paraId="37F1C5B4" w14:textId="77777777" w:rsidTr="00B50F71">
        <w:tc>
          <w:tcPr>
            <w:tcW w:w="8392" w:type="dxa"/>
            <w:gridSpan w:val="3"/>
          </w:tcPr>
          <w:p w14:paraId="327119A6" w14:textId="7BADE596" w:rsidR="00407D0F" w:rsidRPr="00B178E4" w:rsidRDefault="00407D0F" w:rsidP="00B50F71">
            <w:pPr>
              <w:pStyle w:val="Tabletext"/>
              <w:rPr>
                <w:b/>
              </w:rPr>
            </w:pPr>
            <w:r w:rsidRPr="00B178E4">
              <w:rPr>
                <w:b/>
              </w:rPr>
              <w:t xml:space="preserve">Higher grade </w:t>
            </w:r>
            <w:r w:rsidR="00F72EA1" w:rsidRPr="00B178E4">
              <w:rPr>
                <w:b/>
              </w:rPr>
              <w:t>treatment-emergent adverse event</w:t>
            </w:r>
          </w:p>
        </w:tc>
      </w:tr>
      <w:tr w:rsidR="00407D0F" w:rsidRPr="008E501E" w14:paraId="430C4E69" w14:textId="77777777" w:rsidTr="00B50F71">
        <w:tc>
          <w:tcPr>
            <w:tcW w:w="4990" w:type="dxa"/>
          </w:tcPr>
          <w:p w14:paraId="513A6068" w14:textId="76716160" w:rsidR="00407D0F" w:rsidRPr="00B50F71" w:rsidRDefault="00407D0F" w:rsidP="00B50F71">
            <w:pPr>
              <w:pStyle w:val="Tabletext"/>
            </w:pPr>
            <w:r w:rsidRPr="00716528">
              <w:t>Subjects with at least 1 ≥</w:t>
            </w:r>
            <w:r w:rsidR="00F72EA1" w:rsidRPr="00716528">
              <w:t xml:space="preserve"> </w:t>
            </w:r>
            <w:r w:rsidRPr="00716528">
              <w:t xml:space="preserve">Grade 3 </w:t>
            </w:r>
            <w:r w:rsidR="00F72EA1" w:rsidRPr="00716528">
              <w:t>adverse events</w:t>
            </w:r>
            <w:r w:rsidRPr="00716528">
              <w:t>, %</w:t>
            </w:r>
          </w:p>
        </w:tc>
        <w:tc>
          <w:tcPr>
            <w:tcW w:w="1701" w:type="dxa"/>
          </w:tcPr>
          <w:p w14:paraId="479163B3" w14:textId="77777777" w:rsidR="00407D0F" w:rsidRPr="00B50F71" w:rsidRDefault="00407D0F" w:rsidP="00B50F71">
            <w:pPr>
              <w:pStyle w:val="Tabletext"/>
            </w:pPr>
            <w:r w:rsidRPr="00716528">
              <w:t>57</w:t>
            </w:r>
          </w:p>
        </w:tc>
        <w:tc>
          <w:tcPr>
            <w:tcW w:w="1701" w:type="dxa"/>
          </w:tcPr>
          <w:p w14:paraId="2FAAB5C7" w14:textId="77777777" w:rsidR="00407D0F" w:rsidRPr="00B50F71" w:rsidRDefault="00407D0F" w:rsidP="00B50F71">
            <w:pPr>
              <w:pStyle w:val="Tabletext"/>
            </w:pPr>
            <w:r w:rsidRPr="00716528">
              <w:t>34</w:t>
            </w:r>
          </w:p>
        </w:tc>
      </w:tr>
      <w:tr w:rsidR="00407D0F" w:rsidRPr="008E501E" w14:paraId="20C0BF66" w14:textId="77777777" w:rsidTr="00B50F71">
        <w:tc>
          <w:tcPr>
            <w:tcW w:w="8392" w:type="dxa"/>
            <w:gridSpan w:val="3"/>
          </w:tcPr>
          <w:p w14:paraId="4A28F80C" w14:textId="1A8E8346" w:rsidR="00407D0F" w:rsidRPr="00B178E4" w:rsidRDefault="00407D0F" w:rsidP="00B50F71">
            <w:pPr>
              <w:pStyle w:val="Tabletext"/>
              <w:rPr>
                <w:b/>
              </w:rPr>
            </w:pPr>
            <w:r w:rsidRPr="00B178E4">
              <w:rPr>
                <w:b/>
              </w:rPr>
              <w:t xml:space="preserve">Most common Grade 3-4 </w:t>
            </w:r>
            <w:r w:rsidR="00F72EA1" w:rsidRPr="00B178E4">
              <w:rPr>
                <w:b/>
              </w:rPr>
              <w:t>adverse events</w:t>
            </w:r>
            <w:r w:rsidRPr="00B178E4">
              <w:rPr>
                <w:b/>
              </w:rPr>
              <w:t xml:space="preserve"> (≥</w:t>
            </w:r>
            <w:r w:rsidR="00F72EA1" w:rsidRPr="00B178E4">
              <w:rPr>
                <w:b/>
              </w:rPr>
              <w:t xml:space="preserve"> </w:t>
            </w:r>
            <w:r w:rsidRPr="00B178E4">
              <w:rPr>
                <w:b/>
              </w:rPr>
              <w:t>5% in either arm)</w:t>
            </w:r>
          </w:p>
        </w:tc>
      </w:tr>
      <w:tr w:rsidR="00407D0F" w:rsidRPr="008E501E" w14:paraId="7C23913C" w14:textId="77777777" w:rsidTr="00B50F71">
        <w:tc>
          <w:tcPr>
            <w:tcW w:w="4990" w:type="dxa"/>
          </w:tcPr>
          <w:p w14:paraId="1D7B7A22" w14:textId="77777777" w:rsidR="00407D0F" w:rsidRPr="00B50F71" w:rsidRDefault="00407D0F" w:rsidP="00B50F71">
            <w:pPr>
              <w:pStyle w:val="Tabletext"/>
            </w:pPr>
            <w:r w:rsidRPr="00B50F71">
              <w:t>anaemia, %</w:t>
            </w:r>
          </w:p>
        </w:tc>
        <w:tc>
          <w:tcPr>
            <w:tcW w:w="1701" w:type="dxa"/>
          </w:tcPr>
          <w:p w14:paraId="2509282B" w14:textId="77777777" w:rsidR="00407D0F" w:rsidRPr="00B50F71" w:rsidRDefault="00407D0F" w:rsidP="00B50F71">
            <w:pPr>
              <w:pStyle w:val="Tabletext"/>
            </w:pPr>
            <w:r w:rsidRPr="00B50F71">
              <w:t>48 (18.3)</w:t>
            </w:r>
          </w:p>
        </w:tc>
        <w:tc>
          <w:tcPr>
            <w:tcW w:w="1701" w:type="dxa"/>
          </w:tcPr>
          <w:p w14:paraId="6B56CDD7" w14:textId="77777777" w:rsidR="00407D0F" w:rsidRPr="00B50F71" w:rsidRDefault="00407D0F" w:rsidP="00B50F71">
            <w:pPr>
              <w:pStyle w:val="Tabletext"/>
            </w:pPr>
            <w:r w:rsidRPr="00B50F71">
              <w:t>5 (1.7)</w:t>
            </w:r>
          </w:p>
        </w:tc>
      </w:tr>
      <w:tr w:rsidR="00407D0F" w:rsidRPr="008E501E" w14:paraId="6BDC613A" w14:textId="77777777" w:rsidTr="00B50F71">
        <w:tc>
          <w:tcPr>
            <w:tcW w:w="4990" w:type="dxa"/>
          </w:tcPr>
          <w:p w14:paraId="7B87ACCB" w14:textId="236DA6A8" w:rsidR="00407D0F" w:rsidRPr="00B50F71" w:rsidRDefault="00407D0F" w:rsidP="00B50F71">
            <w:pPr>
              <w:pStyle w:val="Tabletext"/>
            </w:pPr>
            <w:proofErr w:type="spellStart"/>
            <w:r w:rsidRPr="00B50F71">
              <w:t>neutrop</w:t>
            </w:r>
            <w:r w:rsidR="007E45AA" w:rsidRPr="00B50F71">
              <w:t>a</w:t>
            </w:r>
            <w:r w:rsidRPr="00B50F71">
              <w:t>enia</w:t>
            </w:r>
            <w:proofErr w:type="spellEnd"/>
            <w:r w:rsidRPr="00B50F71">
              <w:t>, %</w:t>
            </w:r>
          </w:p>
        </w:tc>
        <w:tc>
          <w:tcPr>
            <w:tcW w:w="1701" w:type="dxa"/>
          </w:tcPr>
          <w:p w14:paraId="1EFCEDA5" w14:textId="77777777" w:rsidR="00407D0F" w:rsidRPr="00B50F71" w:rsidRDefault="00407D0F" w:rsidP="00B50F71">
            <w:pPr>
              <w:pStyle w:val="Tabletext"/>
            </w:pPr>
            <w:r w:rsidRPr="00B50F71">
              <w:t>46 (17.5)</w:t>
            </w:r>
          </w:p>
        </w:tc>
        <w:tc>
          <w:tcPr>
            <w:tcW w:w="1701" w:type="dxa"/>
          </w:tcPr>
          <w:p w14:paraId="68359D31" w14:textId="77777777" w:rsidR="00407D0F" w:rsidRPr="00B50F71" w:rsidRDefault="00407D0F" w:rsidP="00B50F71">
            <w:pPr>
              <w:pStyle w:val="Tabletext"/>
            </w:pPr>
            <w:r w:rsidRPr="00B50F71">
              <w:t>2 (0.7)</w:t>
            </w:r>
          </w:p>
        </w:tc>
      </w:tr>
      <w:tr w:rsidR="00407D0F" w:rsidRPr="008E501E" w14:paraId="150FE2FB" w14:textId="77777777" w:rsidTr="00B50F71">
        <w:tc>
          <w:tcPr>
            <w:tcW w:w="4990" w:type="dxa"/>
          </w:tcPr>
          <w:p w14:paraId="008AD4A7" w14:textId="409F3C85" w:rsidR="00407D0F" w:rsidRPr="00B50F71" w:rsidRDefault="00407D0F" w:rsidP="00B50F71">
            <w:pPr>
              <w:pStyle w:val="Tabletext"/>
            </w:pPr>
            <w:r w:rsidRPr="00B50F71">
              <w:t>thrombocytop</w:t>
            </w:r>
            <w:r w:rsidR="007E45AA" w:rsidRPr="00B50F71">
              <w:t>a</w:t>
            </w:r>
            <w:r w:rsidRPr="00B50F71">
              <w:t>enia, %</w:t>
            </w:r>
          </w:p>
        </w:tc>
        <w:tc>
          <w:tcPr>
            <w:tcW w:w="1701" w:type="dxa"/>
          </w:tcPr>
          <w:p w14:paraId="690CB167" w14:textId="77777777" w:rsidR="00407D0F" w:rsidRPr="00B50F71" w:rsidRDefault="00407D0F" w:rsidP="00B50F71">
            <w:pPr>
              <w:pStyle w:val="Tabletext"/>
            </w:pPr>
            <w:r w:rsidRPr="00B50F71">
              <w:t>19 (7.2)</w:t>
            </w:r>
          </w:p>
        </w:tc>
        <w:tc>
          <w:tcPr>
            <w:tcW w:w="1701" w:type="dxa"/>
          </w:tcPr>
          <w:p w14:paraId="26FEB91A" w14:textId="77777777" w:rsidR="00407D0F" w:rsidRPr="00B50F71" w:rsidRDefault="00407D0F" w:rsidP="00B50F71">
            <w:pPr>
              <w:pStyle w:val="Tabletext"/>
            </w:pPr>
            <w:r w:rsidRPr="00B50F71">
              <w:t>1 (0.3)</w:t>
            </w:r>
          </w:p>
        </w:tc>
      </w:tr>
    </w:tbl>
    <w:p w14:paraId="54F8D610" w14:textId="439E8183" w:rsidR="00460DD3" w:rsidRPr="00400B3D" w:rsidRDefault="00DA3D21" w:rsidP="00400B3D">
      <w:pPr>
        <w:pStyle w:val="TableDescription"/>
      </w:pPr>
      <w:r w:rsidRPr="00400B3D">
        <w:t xml:space="preserve">Abbreviation: </w:t>
      </w:r>
      <w:r w:rsidR="00460DD3" w:rsidRPr="00400B3D">
        <w:t xml:space="preserve">n = </w:t>
      </w:r>
      <w:r w:rsidR="008159EE" w:rsidRPr="00400B3D">
        <w:t>numbers of subjects in group</w:t>
      </w:r>
      <w:r w:rsidR="003672E7" w:rsidRPr="00400B3D">
        <w:t>.</w:t>
      </w:r>
    </w:p>
    <w:p w14:paraId="1D836411" w14:textId="144FB3D2" w:rsidR="00407D0F" w:rsidRPr="00400B3D" w:rsidRDefault="00407D0F" w:rsidP="00400B3D">
      <w:pPr>
        <w:pStyle w:val="TableDescription"/>
      </w:pPr>
      <w:r w:rsidRPr="00400B3D">
        <w:t>Database cut</w:t>
      </w:r>
      <w:r w:rsidR="00E77FE0" w:rsidRPr="00400B3D">
        <w:t>-</w:t>
      </w:r>
      <w:r w:rsidRPr="00400B3D">
        <w:t>off date: 10 Sept</w:t>
      </w:r>
      <w:r w:rsidR="00F72EA1" w:rsidRPr="00400B3D">
        <w:t>ember</w:t>
      </w:r>
      <w:r w:rsidRPr="00400B3D">
        <w:t xml:space="preserve"> 2018</w:t>
      </w:r>
      <w:r w:rsidR="003672E7" w:rsidRPr="00400B3D">
        <w:t>.</w:t>
      </w:r>
    </w:p>
    <w:p w14:paraId="54A2B272" w14:textId="77777777" w:rsidR="00407D0F" w:rsidRPr="008E501E" w:rsidRDefault="00407D0F" w:rsidP="00B50F71">
      <w:pPr>
        <w:pStyle w:val="Heading5"/>
      </w:pPr>
      <w:r w:rsidRPr="008E501E">
        <w:t>Deaths</w:t>
      </w:r>
    </w:p>
    <w:p w14:paraId="00A4AA31" w14:textId="4D50FA8C" w:rsidR="00407D0F" w:rsidRDefault="00407D0F" w:rsidP="00407D0F">
      <w:pPr>
        <w:rPr>
          <w:rFonts w:asciiTheme="minorHAnsi" w:hAnsiTheme="minorHAnsi" w:cs="Calibri"/>
        </w:rPr>
      </w:pPr>
      <w:r w:rsidRPr="008E501E">
        <w:rPr>
          <w:rFonts w:asciiTheme="minorHAnsi" w:hAnsiTheme="minorHAnsi" w:cs="Calibri"/>
        </w:rPr>
        <w:t xml:space="preserve">Fatal </w:t>
      </w:r>
      <w:r w:rsidR="00DA3D21">
        <w:rPr>
          <w:rFonts w:asciiTheme="minorHAnsi" w:hAnsiTheme="minorHAnsi" w:cs="Calibri"/>
        </w:rPr>
        <w:t>adverse events</w:t>
      </w:r>
      <w:r w:rsidR="00DA3D21" w:rsidRPr="008E501E">
        <w:rPr>
          <w:rFonts w:asciiTheme="minorHAnsi" w:hAnsiTheme="minorHAnsi" w:cs="Calibri"/>
        </w:rPr>
        <w:t xml:space="preserve"> </w:t>
      </w:r>
      <w:r w:rsidRPr="008E501E">
        <w:rPr>
          <w:rFonts w:asciiTheme="minorHAnsi" w:hAnsiTheme="minorHAnsi" w:cs="Calibri"/>
        </w:rPr>
        <w:t xml:space="preserve">reported in </w:t>
      </w:r>
      <w:r w:rsidR="009258F9">
        <w:t>IMPOWER</w:t>
      </w:r>
      <w:r w:rsidR="00F72EA1">
        <w:t>110 trial (Study GO29431)</w:t>
      </w:r>
      <w:r w:rsidRPr="008E501E">
        <w:rPr>
          <w:rFonts w:asciiTheme="minorHAnsi" w:hAnsiTheme="minorHAnsi" w:cs="Calibri"/>
        </w:rPr>
        <w:t xml:space="preserve"> are summarised in </w:t>
      </w:r>
      <w:r w:rsidRPr="008E501E">
        <w:rPr>
          <w:rFonts w:asciiTheme="minorHAnsi" w:hAnsiTheme="minorHAnsi" w:cs="Calibri"/>
        </w:rPr>
        <w:fldChar w:fldCharType="begin"/>
      </w:r>
      <w:r w:rsidRPr="008E501E">
        <w:rPr>
          <w:rFonts w:asciiTheme="minorHAnsi" w:hAnsiTheme="minorHAnsi" w:cs="Calibri"/>
        </w:rPr>
        <w:instrText xml:space="preserve"> REF _Ref43307063 \h  \* MERGEFORMAT </w:instrText>
      </w:r>
      <w:r w:rsidRPr="008E501E">
        <w:rPr>
          <w:rFonts w:asciiTheme="minorHAnsi" w:hAnsiTheme="minorHAnsi" w:cs="Calibri"/>
        </w:rPr>
      </w:r>
      <w:r w:rsidRPr="008E501E">
        <w:rPr>
          <w:rFonts w:asciiTheme="minorHAnsi" w:hAnsiTheme="minorHAnsi" w:cs="Calibri"/>
        </w:rPr>
        <w:fldChar w:fldCharType="separate"/>
      </w:r>
      <w:r w:rsidR="00C05B15" w:rsidRPr="00C05B15">
        <w:rPr>
          <w:rFonts w:asciiTheme="minorHAnsi" w:hAnsiTheme="minorHAnsi" w:cs="Calibri"/>
        </w:rPr>
        <w:t xml:space="preserve">Table </w:t>
      </w:r>
      <w:r w:rsidR="00C05B15" w:rsidRPr="00C05B15">
        <w:rPr>
          <w:rFonts w:asciiTheme="minorHAnsi" w:hAnsiTheme="minorHAnsi" w:cs="Calibri"/>
          <w:noProof/>
        </w:rPr>
        <w:t>12</w:t>
      </w:r>
      <w:r w:rsidRPr="008E501E">
        <w:rPr>
          <w:rFonts w:asciiTheme="minorHAnsi" w:hAnsiTheme="minorHAnsi" w:cs="Calibri"/>
        </w:rPr>
        <w:fldChar w:fldCharType="end"/>
      </w:r>
      <w:r w:rsidRPr="008E501E">
        <w:rPr>
          <w:rFonts w:asciiTheme="minorHAnsi" w:hAnsiTheme="minorHAnsi" w:cs="Calibri"/>
        </w:rPr>
        <w:t xml:space="preserve">. The only event considered related to study treatment by the investigator was the case of </w:t>
      </w:r>
      <w:proofErr w:type="spellStart"/>
      <w:r w:rsidRPr="008E501E">
        <w:rPr>
          <w:rFonts w:asciiTheme="minorHAnsi" w:hAnsiTheme="minorHAnsi" w:cs="Calibri"/>
        </w:rPr>
        <w:t>pancytop</w:t>
      </w:r>
      <w:r w:rsidR="007E45AA">
        <w:rPr>
          <w:rFonts w:asciiTheme="minorHAnsi" w:hAnsiTheme="minorHAnsi" w:cs="Calibri"/>
        </w:rPr>
        <w:t>a</w:t>
      </w:r>
      <w:r w:rsidRPr="008E501E">
        <w:rPr>
          <w:rFonts w:asciiTheme="minorHAnsi" w:hAnsiTheme="minorHAnsi" w:cs="Calibri"/>
        </w:rPr>
        <w:t>enia</w:t>
      </w:r>
      <w:proofErr w:type="spellEnd"/>
      <w:r w:rsidRPr="008E501E">
        <w:rPr>
          <w:rFonts w:asciiTheme="minorHAnsi" w:hAnsiTheme="minorHAnsi" w:cs="Calibri"/>
        </w:rPr>
        <w:t xml:space="preserve"> in the chemotherapy arm.</w:t>
      </w:r>
    </w:p>
    <w:p w14:paraId="4821C70F" w14:textId="4748A664" w:rsidR="00407D0F" w:rsidRPr="00F72EA1" w:rsidRDefault="00407D0F" w:rsidP="00407D0F">
      <w:r w:rsidRPr="008E501E">
        <w:rPr>
          <w:rFonts w:asciiTheme="minorHAnsi" w:hAnsiTheme="minorHAnsi" w:cs="Calibri"/>
        </w:rPr>
        <w:t xml:space="preserve">No common toxicity cause of death was apparent amongst </w:t>
      </w:r>
      <w:r w:rsidR="007E45AA" w:rsidRPr="007E45AA">
        <w:rPr>
          <w:rFonts w:asciiTheme="minorHAnsi" w:hAnsiTheme="minorHAnsi" w:cs="Calibri"/>
        </w:rPr>
        <w:t>AE</w:t>
      </w:r>
      <w:r w:rsidR="00F72EA1">
        <w:rPr>
          <w:rFonts w:asciiTheme="minorHAnsi" w:hAnsiTheme="minorHAnsi" w:cs="Calibri"/>
        </w:rPr>
        <w:t>s</w:t>
      </w:r>
      <w:r w:rsidRPr="008E501E">
        <w:rPr>
          <w:rFonts w:asciiTheme="minorHAnsi" w:hAnsiTheme="minorHAnsi" w:cs="Calibri"/>
        </w:rPr>
        <w:t xml:space="preserve"> reported as fatal events in the atezolizumab a</w:t>
      </w:r>
      <w:r w:rsidR="00F72EA1">
        <w:t>rm.</w:t>
      </w:r>
    </w:p>
    <w:p w14:paraId="52DE5933" w14:textId="70C5C9FB" w:rsidR="00407D0F" w:rsidRPr="003672E7" w:rsidRDefault="00407D0F" w:rsidP="00400B3D">
      <w:pPr>
        <w:pStyle w:val="TableTitle"/>
      </w:pPr>
      <w:bookmarkStart w:id="64" w:name="_Ref43307063"/>
      <w:r w:rsidRPr="003672E7">
        <w:t xml:space="preserve">Table </w:t>
      </w:r>
      <w:fldSimple w:instr=" SEQ Table \* ARABIC ">
        <w:r w:rsidR="00C05B15">
          <w:rPr>
            <w:noProof/>
          </w:rPr>
          <w:t>12</w:t>
        </w:r>
      </w:fldSimple>
      <w:bookmarkEnd w:id="64"/>
      <w:r w:rsidR="003672E7" w:rsidRPr="00B50F71">
        <w:t>:</w:t>
      </w:r>
      <w:r w:rsidRPr="003672E7">
        <w:t xml:space="preserve"> </w:t>
      </w:r>
      <w:r w:rsidR="009258F9" w:rsidRPr="003672E7">
        <w:t>IMPOWER</w:t>
      </w:r>
      <w:r w:rsidR="00F72EA1" w:rsidRPr="003672E7">
        <w:t xml:space="preserve">110 trial (Study GO29431) </w:t>
      </w:r>
      <w:r w:rsidRPr="003672E7">
        <w:t>Adverse events</w:t>
      </w:r>
      <w:r w:rsidR="00F72EA1" w:rsidRPr="003672E7">
        <w:t xml:space="preserve"> reported as G</w:t>
      </w:r>
      <w:r w:rsidRPr="003672E7">
        <w:t>rade</w:t>
      </w:r>
      <w:r w:rsidR="003672E7" w:rsidRPr="003672E7">
        <w:t> </w:t>
      </w:r>
      <w:r w:rsidRPr="003672E7">
        <w:t>5 (fatal)</w:t>
      </w:r>
    </w:p>
    <w:tbl>
      <w:tblPr>
        <w:tblStyle w:val="TableTGAblue"/>
        <w:tblW w:w="0" w:type="auto"/>
        <w:tblCellMar>
          <w:left w:w="28" w:type="dxa"/>
          <w:right w:w="28" w:type="dxa"/>
        </w:tblCellMar>
        <w:tblLook w:val="04A0" w:firstRow="1" w:lastRow="0" w:firstColumn="1" w:lastColumn="0" w:noHBand="0" w:noVBand="1"/>
      </w:tblPr>
      <w:tblGrid>
        <w:gridCol w:w="3430"/>
        <w:gridCol w:w="3828"/>
      </w:tblGrid>
      <w:tr w:rsidR="00407D0F" w:rsidRPr="00F72EA1" w14:paraId="53D3EC4E" w14:textId="77777777" w:rsidTr="00B50F71">
        <w:trPr>
          <w:cnfStyle w:val="100000000000" w:firstRow="1" w:lastRow="0" w:firstColumn="0" w:lastColumn="0" w:oddVBand="0" w:evenVBand="0" w:oddHBand="0" w:evenHBand="0" w:firstRowFirstColumn="0" w:firstRowLastColumn="0" w:lastRowFirstColumn="0" w:lastRowLastColumn="0"/>
        </w:trPr>
        <w:tc>
          <w:tcPr>
            <w:tcW w:w="3430" w:type="dxa"/>
          </w:tcPr>
          <w:p w14:paraId="3710DB29" w14:textId="2C53628E" w:rsidR="00407D0F" w:rsidRPr="00F72EA1" w:rsidRDefault="00407D0F" w:rsidP="00F72EA1">
            <w:pPr>
              <w:rPr>
                <w:sz w:val="20"/>
              </w:rPr>
            </w:pPr>
            <w:r w:rsidRPr="00F72EA1">
              <w:rPr>
                <w:sz w:val="20"/>
              </w:rPr>
              <w:t>Chemotherapy arm (total</w:t>
            </w:r>
            <w:r w:rsidR="00F72EA1">
              <w:rPr>
                <w:sz w:val="20"/>
              </w:rPr>
              <w:t xml:space="preserve"> </w:t>
            </w:r>
            <w:r w:rsidRPr="00F72EA1">
              <w:rPr>
                <w:sz w:val="20"/>
              </w:rPr>
              <w:t>=</w:t>
            </w:r>
            <w:r w:rsidR="00F72EA1">
              <w:rPr>
                <w:sz w:val="20"/>
              </w:rPr>
              <w:t xml:space="preserve"> </w:t>
            </w:r>
            <w:r w:rsidRPr="00F72EA1">
              <w:rPr>
                <w:sz w:val="20"/>
              </w:rPr>
              <w:t>11)</w:t>
            </w:r>
          </w:p>
        </w:tc>
        <w:tc>
          <w:tcPr>
            <w:tcW w:w="3828" w:type="dxa"/>
          </w:tcPr>
          <w:p w14:paraId="1CB4815F" w14:textId="33B2B8F8" w:rsidR="00407D0F" w:rsidRPr="00F72EA1" w:rsidRDefault="00407D0F" w:rsidP="00F72EA1">
            <w:pPr>
              <w:rPr>
                <w:sz w:val="20"/>
              </w:rPr>
            </w:pPr>
            <w:r w:rsidRPr="00F72EA1">
              <w:rPr>
                <w:sz w:val="20"/>
              </w:rPr>
              <w:t>Atezolizumab arm (total</w:t>
            </w:r>
            <w:r w:rsidR="00F72EA1">
              <w:rPr>
                <w:sz w:val="20"/>
              </w:rPr>
              <w:t xml:space="preserve"> </w:t>
            </w:r>
            <w:r w:rsidRPr="00F72EA1">
              <w:rPr>
                <w:sz w:val="20"/>
              </w:rPr>
              <w:t>=</w:t>
            </w:r>
            <w:r w:rsidR="00F72EA1">
              <w:rPr>
                <w:sz w:val="20"/>
              </w:rPr>
              <w:t xml:space="preserve"> </w:t>
            </w:r>
            <w:r w:rsidRPr="00F72EA1">
              <w:rPr>
                <w:sz w:val="20"/>
              </w:rPr>
              <w:t>11)</w:t>
            </w:r>
          </w:p>
        </w:tc>
      </w:tr>
      <w:tr w:rsidR="00F72EA1" w:rsidRPr="00F72EA1" w14:paraId="2497D94D" w14:textId="77777777" w:rsidTr="00B50F71">
        <w:trPr>
          <w:trHeight w:val="3835"/>
        </w:trPr>
        <w:tc>
          <w:tcPr>
            <w:tcW w:w="3430" w:type="dxa"/>
          </w:tcPr>
          <w:p w14:paraId="12AD07FB" w14:textId="77777777" w:rsidR="00F72EA1" w:rsidRPr="00F72EA1" w:rsidRDefault="00F72EA1" w:rsidP="00F72EA1">
            <w:pPr>
              <w:rPr>
                <w:sz w:val="20"/>
              </w:rPr>
            </w:pPr>
            <w:r w:rsidRPr="00F72EA1">
              <w:rPr>
                <w:sz w:val="20"/>
              </w:rPr>
              <w:t>Acute pulmonary oedema</w:t>
            </w:r>
          </w:p>
          <w:p w14:paraId="1317EBFF" w14:textId="77777777" w:rsidR="00F72EA1" w:rsidRPr="00F72EA1" w:rsidRDefault="00F72EA1" w:rsidP="00F72EA1">
            <w:pPr>
              <w:rPr>
                <w:sz w:val="20"/>
              </w:rPr>
            </w:pPr>
            <w:r w:rsidRPr="00F72EA1">
              <w:rPr>
                <w:sz w:val="20"/>
              </w:rPr>
              <w:t>Cardiac arrest (x2)</w:t>
            </w:r>
          </w:p>
          <w:p w14:paraId="17C557E0" w14:textId="77777777" w:rsidR="00F72EA1" w:rsidRPr="00F72EA1" w:rsidRDefault="00F72EA1" w:rsidP="00F72EA1">
            <w:pPr>
              <w:rPr>
                <w:sz w:val="20"/>
              </w:rPr>
            </w:pPr>
            <w:r w:rsidRPr="00F72EA1">
              <w:rPr>
                <w:sz w:val="20"/>
              </w:rPr>
              <w:t>Cardiac failure</w:t>
            </w:r>
          </w:p>
          <w:p w14:paraId="08C8F5BC" w14:textId="77777777" w:rsidR="00F72EA1" w:rsidRPr="00F72EA1" w:rsidRDefault="00F72EA1" w:rsidP="00F72EA1">
            <w:pPr>
              <w:rPr>
                <w:sz w:val="20"/>
              </w:rPr>
            </w:pPr>
            <w:r w:rsidRPr="00F72EA1">
              <w:rPr>
                <w:sz w:val="20"/>
              </w:rPr>
              <w:t>Death (x3)</w:t>
            </w:r>
          </w:p>
          <w:p w14:paraId="2087DA1B" w14:textId="77777777" w:rsidR="00F72EA1" w:rsidRPr="00F72EA1" w:rsidRDefault="00F72EA1" w:rsidP="00F72EA1">
            <w:pPr>
              <w:rPr>
                <w:sz w:val="20"/>
              </w:rPr>
            </w:pPr>
            <w:r w:rsidRPr="00F72EA1">
              <w:rPr>
                <w:sz w:val="20"/>
              </w:rPr>
              <w:t>Pneumonia</w:t>
            </w:r>
          </w:p>
          <w:p w14:paraId="16C7091D" w14:textId="77777777" w:rsidR="00F72EA1" w:rsidRPr="00F72EA1" w:rsidRDefault="00F72EA1" w:rsidP="00F72EA1">
            <w:pPr>
              <w:rPr>
                <w:sz w:val="20"/>
              </w:rPr>
            </w:pPr>
            <w:r w:rsidRPr="00F72EA1">
              <w:rPr>
                <w:sz w:val="20"/>
              </w:rPr>
              <w:t>Respiratory tract infection</w:t>
            </w:r>
          </w:p>
          <w:p w14:paraId="6CB56610" w14:textId="77777777" w:rsidR="00F72EA1" w:rsidRPr="00F72EA1" w:rsidRDefault="00F72EA1" w:rsidP="00F72EA1">
            <w:pPr>
              <w:rPr>
                <w:sz w:val="20"/>
              </w:rPr>
            </w:pPr>
            <w:r w:rsidRPr="00F72EA1">
              <w:rPr>
                <w:sz w:val="20"/>
              </w:rPr>
              <w:t>Tuberculosis</w:t>
            </w:r>
          </w:p>
          <w:p w14:paraId="041D6187" w14:textId="6293647F" w:rsidR="00F72EA1" w:rsidRPr="00F72EA1" w:rsidRDefault="00F72EA1" w:rsidP="00F72EA1">
            <w:pPr>
              <w:rPr>
                <w:sz w:val="20"/>
              </w:rPr>
            </w:pPr>
            <w:proofErr w:type="spellStart"/>
            <w:r w:rsidRPr="00F72EA1">
              <w:rPr>
                <w:sz w:val="20"/>
              </w:rPr>
              <w:t>Pancytop</w:t>
            </w:r>
            <w:r w:rsidR="007E45AA">
              <w:rPr>
                <w:sz w:val="20"/>
              </w:rPr>
              <w:t>a</w:t>
            </w:r>
            <w:r w:rsidRPr="00F72EA1">
              <w:rPr>
                <w:sz w:val="20"/>
              </w:rPr>
              <w:t>enia</w:t>
            </w:r>
            <w:proofErr w:type="spellEnd"/>
          </w:p>
        </w:tc>
        <w:tc>
          <w:tcPr>
            <w:tcW w:w="3828" w:type="dxa"/>
          </w:tcPr>
          <w:p w14:paraId="21A7FE0E" w14:textId="77777777" w:rsidR="00F72EA1" w:rsidRPr="00F72EA1" w:rsidRDefault="00F72EA1" w:rsidP="00F72EA1">
            <w:pPr>
              <w:rPr>
                <w:sz w:val="20"/>
              </w:rPr>
            </w:pPr>
            <w:r w:rsidRPr="00F72EA1">
              <w:rPr>
                <w:sz w:val="20"/>
              </w:rPr>
              <w:t>Aspiration</w:t>
            </w:r>
          </w:p>
          <w:p w14:paraId="44CA2332" w14:textId="77777777" w:rsidR="00F72EA1" w:rsidRPr="00F72EA1" w:rsidRDefault="00F72EA1" w:rsidP="00F72EA1">
            <w:pPr>
              <w:rPr>
                <w:sz w:val="20"/>
              </w:rPr>
            </w:pPr>
            <w:r w:rsidRPr="00F72EA1">
              <w:rPr>
                <w:sz w:val="20"/>
              </w:rPr>
              <w:t>Cardiac arrest</w:t>
            </w:r>
          </w:p>
          <w:p w14:paraId="19B51347" w14:textId="77777777" w:rsidR="00F72EA1" w:rsidRPr="00F72EA1" w:rsidRDefault="00F72EA1" w:rsidP="00F72EA1">
            <w:pPr>
              <w:rPr>
                <w:sz w:val="20"/>
              </w:rPr>
            </w:pPr>
            <w:r w:rsidRPr="00F72EA1">
              <w:rPr>
                <w:sz w:val="20"/>
              </w:rPr>
              <w:t>Acute myocardial infarction</w:t>
            </w:r>
          </w:p>
          <w:p w14:paraId="52B143AA" w14:textId="77777777" w:rsidR="00F72EA1" w:rsidRPr="00F72EA1" w:rsidRDefault="00F72EA1" w:rsidP="00F72EA1">
            <w:pPr>
              <w:rPr>
                <w:sz w:val="20"/>
              </w:rPr>
            </w:pPr>
            <w:r w:rsidRPr="00F72EA1">
              <w:rPr>
                <w:sz w:val="20"/>
              </w:rPr>
              <w:t>Death (x2)</w:t>
            </w:r>
          </w:p>
          <w:p w14:paraId="527E3C78" w14:textId="3366A82C" w:rsidR="00460DD3" w:rsidRDefault="00460DD3" w:rsidP="00F72EA1">
            <w:pPr>
              <w:rPr>
                <w:sz w:val="20"/>
              </w:rPr>
            </w:pPr>
            <w:r w:rsidRPr="00460DD3">
              <w:rPr>
                <w:sz w:val="20"/>
              </w:rPr>
              <w:t>Chronic obstructive pulmonary disease</w:t>
            </w:r>
          </w:p>
          <w:p w14:paraId="70402A2D" w14:textId="40748E27" w:rsidR="00F72EA1" w:rsidRPr="00F72EA1" w:rsidRDefault="00F72EA1" w:rsidP="00F72EA1">
            <w:pPr>
              <w:rPr>
                <w:sz w:val="20"/>
              </w:rPr>
            </w:pPr>
            <w:r w:rsidRPr="00F72EA1">
              <w:rPr>
                <w:sz w:val="20"/>
              </w:rPr>
              <w:t>Pulmonary embolism</w:t>
            </w:r>
          </w:p>
          <w:p w14:paraId="689EE99F" w14:textId="77777777" w:rsidR="00F72EA1" w:rsidRPr="00F72EA1" w:rsidRDefault="00F72EA1" w:rsidP="00F72EA1">
            <w:pPr>
              <w:rPr>
                <w:sz w:val="20"/>
              </w:rPr>
            </w:pPr>
            <w:r w:rsidRPr="00F72EA1">
              <w:rPr>
                <w:sz w:val="20"/>
              </w:rPr>
              <w:t>Mechanical ileus</w:t>
            </w:r>
          </w:p>
          <w:p w14:paraId="33755A8B" w14:textId="77777777" w:rsidR="00F72EA1" w:rsidRPr="00F72EA1" w:rsidRDefault="00F72EA1" w:rsidP="00F72EA1">
            <w:pPr>
              <w:rPr>
                <w:sz w:val="20"/>
              </w:rPr>
            </w:pPr>
            <w:r w:rsidRPr="00F72EA1">
              <w:rPr>
                <w:sz w:val="20"/>
              </w:rPr>
              <w:t>Sepsis</w:t>
            </w:r>
          </w:p>
          <w:p w14:paraId="381F61E9" w14:textId="044E684B" w:rsidR="00F72EA1" w:rsidRPr="00F72EA1" w:rsidRDefault="00F72EA1" w:rsidP="00F72EA1">
            <w:pPr>
              <w:rPr>
                <w:sz w:val="20"/>
              </w:rPr>
            </w:pPr>
            <w:r w:rsidRPr="00F72EA1">
              <w:rPr>
                <w:sz w:val="20"/>
              </w:rPr>
              <w:t>Cerebral infarction</w:t>
            </w:r>
          </w:p>
          <w:p w14:paraId="76332ED0" w14:textId="26FBF233" w:rsidR="00F72EA1" w:rsidRPr="00F72EA1" w:rsidRDefault="00F72EA1" w:rsidP="00F72EA1">
            <w:pPr>
              <w:rPr>
                <w:sz w:val="20"/>
              </w:rPr>
            </w:pPr>
            <w:r w:rsidRPr="00F72EA1">
              <w:rPr>
                <w:sz w:val="20"/>
              </w:rPr>
              <w:t>Device occlusion</w:t>
            </w:r>
          </w:p>
        </w:tc>
      </w:tr>
    </w:tbl>
    <w:p w14:paraId="65125D3E" w14:textId="77777777" w:rsidR="00407D0F" w:rsidRPr="008E501E" w:rsidRDefault="00407D0F" w:rsidP="00B50F71">
      <w:pPr>
        <w:pStyle w:val="Heading5"/>
      </w:pPr>
      <w:r w:rsidRPr="008E501E">
        <w:lastRenderedPageBreak/>
        <w:t>Discontinuations, dose interruptions and dose modifications</w:t>
      </w:r>
    </w:p>
    <w:p w14:paraId="0C8FEE6A" w14:textId="76C73067" w:rsidR="00407D0F" w:rsidRPr="00F72EA1" w:rsidRDefault="00F72EA1" w:rsidP="00407D0F">
      <w:r>
        <w:rPr>
          <w:rFonts w:asciiTheme="minorHAnsi" w:hAnsiTheme="minorHAnsi" w:cs="Calibri"/>
        </w:rPr>
        <w:t xml:space="preserve">Adverse events </w:t>
      </w:r>
      <w:r w:rsidR="00407D0F" w:rsidRPr="008E501E">
        <w:rPr>
          <w:rFonts w:asciiTheme="minorHAnsi" w:hAnsiTheme="minorHAnsi" w:cs="Calibri"/>
        </w:rPr>
        <w:t>led to treatment modification/interruption in 26% of the atezolizumab and 44% of the chemotherapy arm</w:t>
      </w:r>
      <w:r w:rsidR="00407D0F" w:rsidRPr="00F72EA1">
        <w:t>.</w:t>
      </w:r>
    </w:p>
    <w:p w14:paraId="08BA18A6" w14:textId="341D4F30" w:rsidR="00407D0F" w:rsidRPr="008E501E" w:rsidRDefault="00407D0F" w:rsidP="00E667E9">
      <w:pPr>
        <w:pStyle w:val="Heading5"/>
      </w:pPr>
      <w:r w:rsidRPr="008E501E">
        <w:t>Adve</w:t>
      </w:r>
      <w:r w:rsidR="00F72EA1">
        <w:t>rse events of special interest</w:t>
      </w:r>
    </w:p>
    <w:p w14:paraId="66505E5C" w14:textId="76463ED7" w:rsidR="00407D0F" w:rsidRPr="00F72EA1" w:rsidRDefault="00407D0F" w:rsidP="00407D0F">
      <w:r w:rsidRPr="008E501E">
        <w:rPr>
          <w:rFonts w:asciiTheme="minorHAnsi" w:hAnsiTheme="minorHAnsi" w:cs="Calibri"/>
        </w:rPr>
        <w:t xml:space="preserve">A list of </w:t>
      </w:r>
      <w:r w:rsidR="00F72EA1">
        <w:rPr>
          <w:rFonts w:asciiTheme="minorHAnsi" w:hAnsiTheme="minorHAnsi" w:cs="Calibri"/>
        </w:rPr>
        <w:t>adverse events of special interest</w:t>
      </w:r>
      <w:r w:rsidR="007E45AA">
        <w:rPr>
          <w:rFonts w:asciiTheme="minorHAnsi" w:hAnsiTheme="minorHAnsi" w:cs="Calibri"/>
        </w:rPr>
        <w:t xml:space="preserve"> (</w:t>
      </w:r>
      <w:bookmarkStart w:id="65" w:name="_Hlk108099439"/>
      <w:r w:rsidR="007E45AA">
        <w:rPr>
          <w:rFonts w:asciiTheme="minorHAnsi" w:hAnsiTheme="minorHAnsi" w:cs="Calibri"/>
        </w:rPr>
        <w:t>AESIs</w:t>
      </w:r>
      <w:bookmarkEnd w:id="65"/>
      <w:r w:rsidR="007E45AA">
        <w:rPr>
          <w:rFonts w:asciiTheme="minorHAnsi" w:hAnsiTheme="minorHAnsi" w:cs="Calibri"/>
        </w:rPr>
        <w:t>)</w:t>
      </w:r>
      <w:r w:rsidR="00F72EA1">
        <w:rPr>
          <w:rFonts w:asciiTheme="minorHAnsi" w:hAnsiTheme="minorHAnsi" w:cs="Calibri"/>
        </w:rPr>
        <w:t xml:space="preserve"> were predefined by the s</w:t>
      </w:r>
      <w:r w:rsidRPr="008E501E">
        <w:rPr>
          <w:rFonts w:asciiTheme="minorHAnsi" w:hAnsiTheme="minorHAnsi" w:cs="Calibri"/>
        </w:rPr>
        <w:t xml:space="preserve">ponsor consistent with the identified risks of atezolizumab and events potentially associated with an immune aetiology. </w:t>
      </w:r>
      <w:r w:rsidR="00F72EA1">
        <w:rPr>
          <w:rFonts w:asciiTheme="minorHAnsi" w:hAnsiTheme="minorHAnsi" w:cs="Calibri"/>
        </w:rPr>
        <w:t>Adverse events of special interest</w:t>
      </w:r>
      <w:r w:rsidRPr="008E501E">
        <w:rPr>
          <w:rFonts w:asciiTheme="minorHAnsi" w:hAnsiTheme="minorHAnsi" w:cs="Calibri"/>
        </w:rPr>
        <w:t xml:space="preserve"> occurred in 40% of the atezolizumab arm and 17% of the chemotherapy </w:t>
      </w:r>
      <w:proofErr w:type="gramStart"/>
      <w:r w:rsidRPr="008E501E">
        <w:rPr>
          <w:rFonts w:asciiTheme="minorHAnsi" w:hAnsiTheme="minorHAnsi" w:cs="Calibri"/>
        </w:rPr>
        <w:t>arm, and</w:t>
      </w:r>
      <w:proofErr w:type="gramEnd"/>
      <w:r w:rsidRPr="008E501E">
        <w:rPr>
          <w:rFonts w:asciiTheme="minorHAnsi" w:hAnsiTheme="minorHAnsi" w:cs="Calibri"/>
        </w:rPr>
        <w:t xml:space="preserve"> led to discontinuation in 2% of atezolizumab recipients and 1% of chemotherapy recipients</w:t>
      </w:r>
      <w:r w:rsidRPr="00F72EA1">
        <w:t>.</w:t>
      </w:r>
    </w:p>
    <w:p w14:paraId="3440E942" w14:textId="040A2547" w:rsidR="00407D0F" w:rsidRPr="00F72EA1" w:rsidRDefault="00407D0F" w:rsidP="00407D0F">
      <w:r w:rsidRPr="008E501E">
        <w:rPr>
          <w:rFonts w:asciiTheme="minorHAnsi" w:hAnsiTheme="minorHAnsi" w:cs="Calibri"/>
        </w:rPr>
        <w:t xml:space="preserve">There were no fatal </w:t>
      </w:r>
      <w:r w:rsidR="007E45AA" w:rsidRPr="007E45AA">
        <w:rPr>
          <w:rFonts w:asciiTheme="minorHAnsi" w:hAnsiTheme="minorHAnsi" w:cs="Calibri"/>
        </w:rPr>
        <w:t>AESIs</w:t>
      </w:r>
      <w:r w:rsidR="00F72EA1">
        <w:rPr>
          <w:rFonts w:asciiTheme="minorHAnsi" w:hAnsiTheme="minorHAnsi" w:cs="Calibri"/>
        </w:rPr>
        <w:t xml:space="preserve">. Grade 3 to </w:t>
      </w:r>
      <w:r w:rsidRPr="008E501E">
        <w:rPr>
          <w:rFonts w:asciiTheme="minorHAnsi" w:hAnsiTheme="minorHAnsi" w:cs="Calibri"/>
        </w:rPr>
        <w:t xml:space="preserve">4 </w:t>
      </w:r>
      <w:r w:rsidR="007E45AA" w:rsidRPr="007E45AA">
        <w:rPr>
          <w:rFonts w:asciiTheme="minorHAnsi" w:hAnsiTheme="minorHAnsi" w:cs="Calibri"/>
        </w:rPr>
        <w:t>AESIs</w:t>
      </w:r>
      <w:r w:rsidR="00F72EA1" w:rsidRPr="008E501E">
        <w:rPr>
          <w:rFonts w:asciiTheme="minorHAnsi" w:hAnsiTheme="minorHAnsi" w:cs="Calibri"/>
        </w:rPr>
        <w:t xml:space="preserve"> </w:t>
      </w:r>
      <w:r w:rsidRPr="008E501E">
        <w:rPr>
          <w:rFonts w:asciiTheme="minorHAnsi" w:hAnsiTheme="minorHAnsi" w:cs="Calibri"/>
        </w:rPr>
        <w:t xml:space="preserve">occurred in 19 (7%) subjects who received atezolizumab and 4 (2%) subjects who received </w:t>
      </w:r>
      <w:r w:rsidRPr="00F72EA1">
        <w:t>chemotherapy</w:t>
      </w:r>
      <w:r w:rsidR="00F72EA1">
        <w:t>.</w:t>
      </w:r>
    </w:p>
    <w:p w14:paraId="394149CA" w14:textId="1444CC9E" w:rsidR="00407D0F" w:rsidRPr="008E501E" w:rsidRDefault="00407D0F" w:rsidP="00407D0F">
      <w:pPr>
        <w:rPr>
          <w:rFonts w:asciiTheme="minorHAnsi" w:hAnsiTheme="minorHAnsi" w:cs="Calibri"/>
        </w:rPr>
      </w:pPr>
      <w:r w:rsidRPr="008E501E">
        <w:rPr>
          <w:rFonts w:asciiTheme="minorHAnsi" w:hAnsiTheme="minorHAnsi" w:cs="Calibri"/>
        </w:rPr>
        <w:t xml:space="preserve">Serious </w:t>
      </w:r>
      <w:r w:rsidR="007E45AA" w:rsidRPr="007E45AA">
        <w:rPr>
          <w:rFonts w:asciiTheme="minorHAnsi" w:hAnsiTheme="minorHAnsi" w:cs="Calibri"/>
        </w:rPr>
        <w:t>AESIs</w:t>
      </w:r>
      <w:r w:rsidR="008641AB" w:rsidRPr="008E501E">
        <w:rPr>
          <w:rFonts w:asciiTheme="minorHAnsi" w:hAnsiTheme="minorHAnsi" w:cs="Calibri"/>
        </w:rPr>
        <w:t xml:space="preserve"> </w:t>
      </w:r>
      <w:r w:rsidRPr="008E501E">
        <w:rPr>
          <w:rFonts w:asciiTheme="minorHAnsi" w:hAnsiTheme="minorHAnsi" w:cs="Calibri"/>
        </w:rPr>
        <w:t xml:space="preserve">occurred in 5% of subjects who received atezolizumab and 1% of subjects who received </w:t>
      </w:r>
      <w:r w:rsidR="008641AB">
        <w:rPr>
          <w:rFonts w:asciiTheme="minorHAnsi" w:hAnsiTheme="minorHAnsi" w:cs="Calibri"/>
        </w:rPr>
        <w:t>standard of care</w:t>
      </w:r>
      <w:r w:rsidRPr="008E501E">
        <w:rPr>
          <w:rFonts w:asciiTheme="minorHAnsi" w:hAnsiTheme="minorHAnsi" w:cs="Calibri"/>
        </w:rPr>
        <w:t>.</w:t>
      </w:r>
    </w:p>
    <w:p w14:paraId="18B8A8CC" w14:textId="2E6A893D" w:rsidR="00407D0F" w:rsidRDefault="00407D0F" w:rsidP="00407D0F">
      <w:pPr>
        <w:rPr>
          <w:rFonts w:asciiTheme="minorHAnsi" w:hAnsiTheme="minorHAnsi" w:cs="Calibri"/>
        </w:rPr>
      </w:pPr>
      <w:r w:rsidRPr="008E501E">
        <w:rPr>
          <w:rFonts w:asciiTheme="minorHAnsi" w:hAnsiTheme="minorHAnsi" w:cs="Calibri"/>
        </w:rPr>
        <w:t xml:space="preserve">The most common </w:t>
      </w:r>
      <w:r w:rsidR="007E45AA" w:rsidRPr="007E45AA">
        <w:rPr>
          <w:rFonts w:asciiTheme="minorHAnsi" w:hAnsiTheme="minorHAnsi" w:cs="Calibri"/>
        </w:rPr>
        <w:t>AESIs</w:t>
      </w:r>
      <w:r w:rsidR="008641AB" w:rsidRPr="008E501E">
        <w:rPr>
          <w:rFonts w:asciiTheme="minorHAnsi" w:hAnsiTheme="minorHAnsi" w:cs="Calibri"/>
        </w:rPr>
        <w:t xml:space="preserve"> </w:t>
      </w:r>
      <w:r w:rsidRPr="008E501E">
        <w:rPr>
          <w:rFonts w:asciiTheme="minorHAnsi" w:hAnsiTheme="minorHAnsi" w:cs="Calibri"/>
        </w:rPr>
        <w:t>(≥</w:t>
      </w:r>
      <w:r w:rsidR="008641AB">
        <w:rPr>
          <w:rFonts w:asciiTheme="minorHAnsi" w:hAnsiTheme="minorHAnsi" w:cs="Calibri"/>
        </w:rPr>
        <w:t xml:space="preserve"> </w:t>
      </w:r>
      <w:r w:rsidRPr="008E501E">
        <w:rPr>
          <w:rFonts w:asciiTheme="minorHAnsi" w:hAnsiTheme="minorHAnsi" w:cs="Calibri"/>
        </w:rPr>
        <w:t xml:space="preserve">2% incidence) in the atezolizumab group were immune-related hepatitis, rash, hypothyroidism, </w:t>
      </w:r>
      <w:proofErr w:type="gramStart"/>
      <w:r w:rsidRPr="008E501E">
        <w:rPr>
          <w:rFonts w:asciiTheme="minorHAnsi" w:hAnsiTheme="minorHAnsi" w:cs="Calibri"/>
        </w:rPr>
        <w:t>hyperthyroidism</w:t>
      </w:r>
      <w:proofErr w:type="gramEnd"/>
      <w:r w:rsidRPr="008E501E">
        <w:rPr>
          <w:rFonts w:asciiTheme="minorHAnsi" w:hAnsiTheme="minorHAnsi" w:cs="Calibri"/>
        </w:rPr>
        <w:t xml:space="preserve"> and pneumonitis.</w:t>
      </w:r>
    </w:p>
    <w:p w14:paraId="7A59CDF4" w14:textId="1A74B335" w:rsidR="00407D0F" w:rsidRPr="008E501E" w:rsidRDefault="00407D0F" w:rsidP="00407D0F">
      <w:pPr>
        <w:rPr>
          <w:rFonts w:asciiTheme="minorHAnsi" w:hAnsiTheme="minorHAnsi" w:cs="Calibri"/>
        </w:rPr>
      </w:pPr>
      <w:r>
        <w:rPr>
          <w:rFonts w:asciiTheme="minorHAnsi" w:hAnsiTheme="minorHAnsi" w:cs="Calibri"/>
        </w:rPr>
        <w:t xml:space="preserve">One case of </w:t>
      </w:r>
      <w:proofErr w:type="spellStart"/>
      <w:r w:rsidRPr="00E56307">
        <w:rPr>
          <w:rFonts w:asciiTheme="minorHAnsi" w:hAnsiTheme="minorHAnsi" w:cs="Calibri"/>
        </w:rPr>
        <w:t>haemophagocytic</w:t>
      </w:r>
      <w:proofErr w:type="spellEnd"/>
      <w:r w:rsidRPr="00E56307">
        <w:rPr>
          <w:rFonts w:asciiTheme="minorHAnsi" w:hAnsiTheme="minorHAnsi" w:cs="Calibri"/>
        </w:rPr>
        <w:t xml:space="preserve"> </w:t>
      </w:r>
      <w:proofErr w:type="spellStart"/>
      <w:r w:rsidRPr="00E56307">
        <w:rPr>
          <w:rFonts w:asciiTheme="minorHAnsi" w:hAnsiTheme="minorHAnsi" w:cs="Calibri"/>
        </w:rPr>
        <w:t>lymphohistiocytosis</w:t>
      </w:r>
      <w:proofErr w:type="spellEnd"/>
      <w:r>
        <w:rPr>
          <w:rFonts w:asciiTheme="minorHAnsi" w:hAnsiTheme="minorHAnsi" w:cs="Calibri"/>
        </w:rPr>
        <w:t xml:space="preserve"> occurred (in a patient who was </w:t>
      </w:r>
      <w:r w:rsidR="008641AB">
        <w:rPr>
          <w:rFonts w:asciiTheme="minorHAnsi" w:hAnsiTheme="minorHAnsi" w:cs="Calibri"/>
        </w:rPr>
        <w:t>antidrug antibody</w:t>
      </w:r>
      <w:r>
        <w:rPr>
          <w:rFonts w:asciiTheme="minorHAnsi" w:hAnsiTheme="minorHAnsi" w:cs="Calibri"/>
        </w:rPr>
        <w:t>-positive). Based on the biological plausibility, this event is highly likely to be related to atezolizumab treatment and should be noted in the adv</w:t>
      </w:r>
      <w:r w:rsidR="008641AB">
        <w:rPr>
          <w:rFonts w:asciiTheme="minorHAnsi" w:hAnsiTheme="minorHAnsi" w:cs="Calibri"/>
        </w:rPr>
        <w:t>erse effects section of the PI.</w:t>
      </w:r>
    </w:p>
    <w:p w14:paraId="623F153B" w14:textId="77777777" w:rsidR="00407D0F" w:rsidRPr="008E501E" w:rsidRDefault="00407D0F" w:rsidP="00E667E9">
      <w:pPr>
        <w:pStyle w:val="Heading5"/>
      </w:pPr>
      <w:r w:rsidRPr="008E501E">
        <w:t>Safety-related conclusions</w:t>
      </w:r>
    </w:p>
    <w:p w14:paraId="291E618F" w14:textId="481FB9B5" w:rsidR="00407D0F" w:rsidRDefault="00407D0F" w:rsidP="00407D0F">
      <w:pPr>
        <w:rPr>
          <w:rFonts w:asciiTheme="minorHAnsi" w:hAnsiTheme="minorHAnsi" w:cs="Calibri"/>
        </w:rPr>
      </w:pPr>
      <w:r w:rsidRPr="008E501E">
        <w:rPr>
          <w:rFonts w:asciiTheme="minorHAnsi" w:hAnsiTheme="minorHAnsi" w:cs="Calibri"/>
        </w:rPr>
        <w:t xml:space="preserve">The safety profile seen in </w:t>
      </w:r>
      <w:r w:rsidR="009258F9">
        <w:t>IMPOWER</w:t>
      </w:r>
      <w:r w:rsidR="008641AB">
        <w:t xml:space="preserve">110 trial (Study GO29431) </w:t>
      </w:r>
      <w:r w:rsidRPr="008E501E">
        <w:rPr>
          <w:rFonts w:asciiTheme="minorHAnsi" w:hAnsiTheme="minorHAnsi" w:cs="Calibri"/>
        </w:rPr>
        <w:t xml:space="preserve">is </w:t>
      </w:r>
      <w:r>
        <w:rPr>
          <w:rFonts w:asciiTheme="minorHAnsi" w:hAnsiTheme="minorHAnsi" w:cs="Calibri"/>
        </w:rPr>
        <w:t xml:space="preserve">generally </w:t>
      </w:r>
      <w:r w:rsidRPr="008E501E">
        <w:rPr>
          <w:rFonts w:asciiTheme="minorHAnsi" w:hAnsiTheme="minorHAnsi" w:cs="Calibri"/>
        </w:rPr>
        <w:t>consistent with the previously safety profile of atezolizumab monotherapy. The toxicity profile is different to that of chemotherapy, and the overall risk of higher grade and serious adverse events in this study was lower with atezolizumab monotherapy than chemotherapy.</w:t>
      </w:r>
    </w:p>
    <w:p w14:paraId="0D917EB9" w14:textId="77777777" w:rsidR="00407D0F" w:rsidRPr="008E501E" w:rsidRDefault="00407D0F" w:rsidP="00407D0F">
      <w:pPr>
        <w:rPr>
          <w:rFonts w:asciiTheme="minorHAnsi" w:hAnsiTheme="minorHAnsi" w:cs="Calibri"/>
          <w:lang w:eastAsia="zh-TW"/>
        </w:rPr>
      </w:pPr>
      <w:r>
        <w:rPr>
          <w:rFonts w:asciiTheme="minorHAnsi" w:hAnsiTheme="minorHAnsi" w:cs="Calibri"/>
        </w:rPr>
        <w:t xml:space="preserve">Regardless of whether the new indication is approved, </w:t>
      </w:r>
      <w:proofErr w:type="spellStart"/>
      <w:r w:rsidRPr="00E56307">
        <w:rPr>
          <w:rFonts w:asciiTheme="minorHAnsi" w:hAnsiTheme="minorHAnsi" w:cs="Calibri"/>
        </w:rPr>
        <w:t>haemophagocytic</w:t>
      </w:r>
      <w:proofErr w:type="spellEnd"/>
      <w:r w:rsidRPr="00E56307">
        <w:rPr>
          <w:rFonts w:asciiTheme="minorHAnsi" w:hAnsiTheme="minorHAnsi" w:cs="Calibri"/>
        </w:rPr>
        <w:t xml:space="preserve"> </w:t>
      </w:r>
      <w:proofErr w:type="spellStart"/>
      <w:r w:rsidRPr="00E56307">
        <w:rPr>
          <w:rFonts w:asciiTheme="minorHAnsi" w:hAnsiTheme="minorHAnsi" w:cs="Calibri"/>
        </w:rPr>
        <w:t>lymphohistiocytosis</w:t>
      </w:r>
      <w:proofErr w:type="spellEnd"/>
      <w:r>
        <w:rPr>
          <w:rFonts w:asciiTheme="minorHAnsi" w:hAnsiTheme="minorHAnsi" w:cs="Calibri"/>
        </w:rPr>
        <w:t xml:space="preserve"> should be added to the adverse effects section of the Australian PI.</w:t>
      </w:r>
    </w:p>
    <w:p w14:paraId="21B73588" w14:textId="77777777" w:rsidR="00407D0F" w:rsidRPr="00CF0313" w:rsidRDefault="00407D0F" w:rsidP="00B50F71">
      <w:pPr>
        <w:pStyle w:val="Heading4"/>
      </w:pPr>
      <w:bookmarkStart w:id="66" w:name="_Ref69212728"/>
      <w:bookmarkStart w:id="67" w:name="_Ref55899733"/>
      <w:bookmarkStart w:id="68" w:name="_Toc12019956"/>
      <w:r w:rsidRPr="00CF0313">
        <w:t>Immunogenicity results</w:t>
      </w:r>
      <w:bookmarkEnd w:id="66"/>
    </w:p>
    <w:p w14:paraId="0C8D7056" w14:textId="6DF44EED" w:rsidR="00407D0F" w:rsidRPr="008641AB" w:rsidRDefault="00407D0F" w:rsidP="008641AB">
      <w:r w:rsidRPr="008641AB">
        <w:t xml:space="preserve">Treatment-emergent anti-drug antibodies (ADA) occurred in 65 (24%) of the patients who received atezolizumab in </w:t>
      </w:r>
      <w:r w:rsidR="00E77FE0">
        <w:t xml:space="preserve">the </w:t>
      </w:r>
      <w:r w:rsidR="009258F9" w:rsidRPr="008641AB">
        <w:t>IMPOWER</w:t>
      </w:r>
      <w:r w:rsidRPr="008641AB">
        <w:t>110</w:t>
      </w:r>
      <w:r w:rsidR="00E77FE0">
        <w:t xml:space="preserve"> trial</w:t>
      </w:r>
      <w:r w:rsidRPr="008641AB">
        <w:t>. This is within the range of ADA-positive incidences observed across atezolizumab studies. Within the TC3/IC3 population, 23 (24%) patients were ADA-positive, and 75 patients were ADA-negative.</w:t>
      </w:r>
    </w:p>
    <w:p w14:paraId="5F63CA93" w14:textId="77777777" w:rsidR="00C05B15" w:rsidRPr="00400B3D" w:rsidRDefault="00407D0F" w:rsidP="00C05B15">
      <w:r w:rsidRPr="008641AB">
        <w:t xml:space="preserve">ADA-positive patients received a median of two fewer </w:t>
      </w:r>
      <w:r w:rsidR="00E77FE0">
        <w:t>cycles of atezolizumab than ADA</w:t>
      </w:r>
      <w:r w:rsidR="00E77FE0">
        <w:noBreakHyphen/>
      </w:r>
      <w:r w:rsidRPr="008641AB">
        <w:t>negative patients (8 versus 10 cycles, respectively), and had a shorter median duration of exposure (4.9 versus 6.8 months, respectively).</w:t>
      </w:r>
      <w:r w:rsidRPr="008641AB">
        <w:fldChar w:fldCharType="begin"/>
      </w:r>
      <w:r w:rsidRPr="008641AB">
        <w:instrText xml:space="preserve"> REF _Ref69811684 \h  \* MERGEFORMAT </w:instrText>
      </w:r>
      <w:r w:rsidRPr="008641AB">
        <w:fldChar w:fldCharType="separate"/>
      </w:r>
      <w:r w:rsidR="00C05B15" w:rsidRPr="00400B3D">
        <w:t xml:space="preserve">Abbreviations: ADA = antidrug antibody; CI = confidence interval; IC = immune cell; n = numbers of subjects in group; N/A = not applicable; NE = non-estimable; ORR = overall response rate; TC = </w:t>
      </w:r>
      <w:r w:rsidR="00C05B15" w:rsidRPr="00C05B15">
        <w:rPr>
          <w:shd w:val="clear" w:color="auto" w:fill="FFFFFF"/>
        </w:rPr>
        <w:t>tumour cell.</w:t>
      </w:r>
    </w:p>
    <w:p w14:paraId="125F5BF9" w14:textId="77777777" w:rsidR="00C05B15" w:rsidRDefault="00C05B15" w:rsidP="00C05B15">
      <w:r w:rsidRPr="00400B3D">
        <w:t>TC3 or IC3 denotes PD-L1 expression on ≥ 50% of tumour cells or on ≥ 10% of immune cells (PD-L1 expression ‘high’).</w:t>
      </w:r>
      <w:r>
        <w:br w:type="page"/>
      </w:r>
    </w:p>
    <w:p w14:paraId="15EAD8BA" w14:textId="2970AC29" w:rsidR="00407D0F" w:rsidRPr="008641AB" w:rsidRDefault="00C05B15" w:rsidP="008641AB">
      <w:r w:rsidRPr="003672E7">
        <w:lastRenderedPageBreak/>
        <w:t xml:space="preserve">Table </w:t>
      </w:r>
      <w:r>
        <w:rPr>
          <w:noProof/>
        </w:rPr>
        <w:t>14</w:t>
      </w:r>
      <w:r w:rsidR="00407D0F" w:rsidRPr="008641AB">
        <w:fldChar w:fldCharType="end"/>
      </w:r>
      <w:r w:rsidR="00407D0F" w:rsidRPr="008641AB">
        <w:t xml:space="preserve"> and</w:t>
      </w:r>
      <w:r w:rsidR="00D6299E">
        <w:t xml:space="preserve"> </w:t>
      </w:r>
      <w:r w:rsidR="000328E6">
        <w:fldChar w:fldCharType="begin"/>
      </w:r>
      <w:r w:rsidR="000328E6">
        <w:instrText xml:space="preserve"> REF _Ref108511425 \h </w:instrText>
      </w:r>
      <w:r w:rsidR="000328E6">
        <w:fldChar w:fldCharType="separate"/>
      </w:r>
      <w:r w:rsidRPr="00716528">
        <w:t xml:space="preserve">Table </w:t>
      </w:r>
      <w:r>
        <w:rPr>
          <w:noProof/>
        </w:rPr>
        <w:t>19</w:t>
      </w:r>
      <w:r w:rsidR="000328E6">
        <w:fldChar w:fldCharType="end"/>
      </w:r>
      <w:r w:rsidR="00407D0F" w:rsidRPr="008641AB">
        <w:t xml:space="preserve"> suggest that efficacy is no better with atezolizumab than with platinum-doublet chemotherapy in patients who develop treatment-emergent ADAs. However, prognostic factors were not balanced between the ADA +/- subgroups, confounding interpretation:</w:t>
      </w:r>
    </w:p>
    <w:p w14:paraId="6D891097" w14:textId="77777777" w:rsidR="00407D0F" w:rsidRPr="00CF0313" w:rsidRDefault="00407D0F" w:rsidP="008641AB">
      <w:pPr>
        <w:pStyle w:val="ListBullet"/>
      </w:pPr>
      <w:r w:rsidRPr="00CF0313">
        <w:t>16% more of the ADA-positive subgroup had no smoking history (better prognosis)</w:t>
      </w:r>
    </w:p>
    <w:p w14:paraId="3E4E5376" w14:textId="77777777" w:rsidR="00407D0F" w:rsidRPr="00CF0313" w:rsidRDefault="00407D0F" w:rsidP="008641AB">
      <w:pPr>
        <w:pStyle w:val="ListBullet"/>
      </w:pPr>
      <w:r w:rsidRPr="00CF0313">
        <w:t>18% more of the ADA-positive subgroup had squamous NSCLC histology (worse prognosis)</w:t>
      </w:r>
    </w:p>
    <w:p w14:paraId="5DE4B134" w14:textId="7B8FA401" w:rsidR="00407D0F" w:rsidRPr="00CF0313" w:rsidRDefault="00407D0F" w:rsidP="008641AB">
      <w:pPr>
        <w:pStyle w:val="ListBullet"/>
      </w:pPr>
      <w:r w:rsidRPr="00CF0313">
        <w:t xml:space="preserve">16% more of the ADA-positive subgroup had </w:t>
      </w:r>
      <w:r w:rsidR="00DA3D21">
        <w:t xml:space="preserve">an </w:t>
      </w:r>
      <w:r w:rsidRPr="00CF0313">
        <w:t xml:space="preserve">ECOG </w:t>
      </w:r>
      <w:r w:rsidR="00DA3D21">
        <w:t xml:space="preserve">PS of </w:t>
      </w:r>
      <w:r w:rsidRPr="00CF0313">
        <w:t xml:space="preserve">1 than ECOG </w:t>
      </w:r>
      <w:r w:rsidR="00DA3D21">
        <w:t xml:space="preserve">PS </w:t>
      </w:r>
      <w:r w:rsidRPr="00CF0313">
        <w:t>0 (worse prognosis)</w:t>
      </w:r>
    </w:p>
    <w:p w14:paraId="296F01D7" w14:textId="78D08B05" w:rsidR="00407D0F" w:rsidRDefault="00407D0F" w:rsidP="008641AB">
      <w:pPr>
        <w:pStyle w:val="ListBullet"/>
      </w:pPr>
      <w:r w:rsidRPr="00CF0313">
        <w:t>23% more of the ADA-positive subgroup had bone metastases (worse prognosis)</w:t>
      </w:r>
    </w:p>
    <w:p w14:paraId="22A668CD" w14:textId="04ED483C" w:rsidR="001260F6" w:rsidRDefault="00407D0F" w:rsidP="008641AB">
      <w:r w:rsidRPr="008641AB">
        <w:t xml:space="preserve">A summary of safety by ADA subgroup is given in </w:t>
      </w:r>
      <w:r w:rsidRPr="008641AB">
        <w:fldChar w:fldCharType="begin"/>
      </w:r>
      <w:r w:rsidRPr="008641AB">
        <w:instrText xml:space="preserve"> REF _Ref69809260 \h </w:instrText>
      </w:r>
      <w:r w:rsidRPr="008641AB">
        <w:fldChar w:fldCharType="separate"/>
      </w:r>
      <w:r w:rsidR="00C05B15" w:rsidRPr="009E2618">
        <w:t xml:space="preserve">Table </w:t>
      </w:r>
      <w:r w:rsidR="00C05B15">
        <w:rPr>
          <w:noProof/>
        </w:rPr>
        <w:t>15</w:t>
      </w:r>
      <w:r w:rsidRPr="008641AB">
        <w:fldChar w:fldCharType="end"/>
      </w:r>
      <w:r w:rsidRPr="008641AB">
        <w:t>.</w:t>
      </w:r>
    </w:p>
    <w:p w14:paraId="650F5630" w14:textId="6CC2968A" w:rsidR="00407D0F" w:rsidRPr="00400B3D" w:rsidRDefault="00407D0F" w:rsidP="00E667E9">
      <w:pPr>
        <w:pStyle w:val="TableTitle"/>
      </w:pPr>
      <w:bookmarkStart w:id="69" w:name="_Ref69810053"/>
      <w:r w:rsidRPr="00400B3D">
        <w:t xml:space="preserve">Table </w:t>
      </w:r>
      <w:fldSimple w:instr=" SEQ Table \* ARABIC ">
        <w:r w:rsidR="00C05B15">
          <w:rPr>
            <w:noProof/>
          </w:rPr>
          <w:t>13</w:t>
        </w:r>
      </w:fldSimple>
      <w:bookmarkEnd w:id="69"/>
      <w:r w:rsidR="008641AB" w:rsidRPr="00400B3D">
        <w:t xml:space="preserve">: </w:t>
      </w:r>
      <w:r w:rsidR="009258F9" w:rsidRPr="00400B3D">
        <w:t>IMPOWER</w:t>
      </w:r>
      <w:r w:rsidR="008641AB" w:rsidRPr="00400B3D">
        <w:t>110 trial (Study GO29431)</w:t>
      </w:r>
      <w:r w:rsidRPr="00400B3D">
        <w:t xml:space="preserve"> Exploratory efficacy analyses by treatment-emergent </w:t>
      </w:r>
      <w:r w:rsidR="004877F8" w:rsidRPr="00400B3D">
        <w:t>antidrug antibody</w:t>
      </w:r>
      <w:r w:rsidRPr="00400B3D">
        <w:t xml:space="preserve"> status subgroups of the atezolizumab </w:t>
      </w:r>
      <w:r w:rsidR="004877F8" w:rsidRPr="00400B3D">
        <w:t xml:space="preserve">and </w:t>
      </w:r>
      <w:r w:rsidRPr="00400B3D">
        <w:t>chemo</w:t>
      </w:r>
      <w:r w:rsidR="004877F8" w:rsidRPr="00400B3D">
        <w:t>therapy</w:t>
      </w:r>
      <w:r w:rsidRPr="00400B3D">
        <w:t xml:space="preserve"> arm</w:t>
      </w:r>
      <w:r w:rsidR="004877F8" w:rsidRPr="00400B3D">
        <w:t>s (</w:t>
      </w:r>
      <w:r w:rsidR="00DA3D21" w:rsidRPr="00400B3D">
        <w:t>TC3/IC3</w:t>
      </w:r>
      <w:r w:rsidR="004877F8" w:rsidRPr="00400B3D">
        <w:t>, interim analysis</w:t>
      </w:r>
      <w:r w:rsidR="00697CCB" w:rsidRPr="00400B3D">
        <w:t xml:space="preserve"> </w:t>
      </w:r>
      <w:r w:rsidRPr="00400B3D">
        <w:t xml:space="preserve">(median </w:t>
      </w:r>
      <w:r w:rsidR="004877F8" w:rsidRPr="00400B3D">
        <w:t xml:space="preserve">follow-up 15.7 months; </w:t>
      </w:r>
      <w:r w:rsidRPr="00400B3D">
        <w:t>min</w:t>
      </w:r>
      <w:r w:rsidR="008641AB" w:rsidRPr="00400B3D">
        <w:t>imum follow-up of 7 months)</w:t>
      </w:r>
    </w:p>
    <w:tbl>
      <w:tblPr>
        <w:tblStyle w:val="TableTGAblue"/>
        <w:tblW w:w="7966" w:type="dxa"/>
        <w:tblLayout w:type="fixed"/>
        <w:tblCellMar>
          <w:left w:w="28" w:type="dxa"/>
          <w:right w:w="28" w:type="dxa"/>
        </w:tblCellMar>
        <w:tblLook w:val="0420" w:firstRow="1" w:lastRow="0" w:firstColumn="0" w:lastColumn="0" w:noHBand="0" w:noVBand="1"/>
      </w:tblPr>
      <w:tblGrid>
        <w:gridCol w:w="2296"/>
        <w:gridCol w:w="1560"/>
        <w:gridCol w:w="1559"/>
        <w:gridCol w:w="2551"/>
      </w:tblGrid>
      <w:tr w:rsidR="00407D0F" w:rsidRPr="00E32A62" w14:paraId="54A4F4B7" w14:textId="77777777" w:rsidTr="006E617D">
        <w:trPr>
          <w:cnfStyle w:val="100000000000" w:firstRow="1" w:lastRow="0" w:firstColumn="0" w:lastColumn="0" w:oddVBand="0" w:evenVBand="0" w:oddHBand="0" w:evenHBand="0" w:firstRowFirstColumn="0" w:firstRowLastColumn="0" w:lastRowFirstColumn="0" w:lastRowLastColumn="0"/>
          <w:trHeight w:val="388"/>
        </w:trPr>
        <w:tc>
          <w:tcPr>
            <w:tcW w:w="229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6A67DA" w14:textId="77777777" w:rsidR="00407D0F" w:rsidRPr="004877F8" w:rsidRDefault="00407D0F" w:rsidP="00B50F71">
            <w:pPr>
              <w:pStyle w:val="Tabletext"/>
            </w:pPr>
          </w:p>
        </w:tc>
        <w:tc>
          <w:tcPr>
            <w:tcW w:w="3119"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1EC5B3" w14:textId="5C71AA3A" w:rsidR="00407D0F" w:rsidRPr="004877F8" w:rsidRDefault="00407D0F" w:rsidP="00B50F71">
            <w:pPr>
              <w:pStyle w:val="Tabletext"/>
            </w:pPr>
            <w:r w:rsidRPr="004877F8">
              <w:t>Atez</w:t>
            </w:r>
            <w:r w:rsidR="004877F8">
              <w:t>olizumab</w:t>
            </w:r>
            <w:r w:rsidR="00696BFE">
              <w:t xml:space="preserve"> </w:t>
            </w:r>
            <w:r w:rsidRPr="004877F8">
              <w:t>(n</w:t>
            </w:r>
            <w:r w:rsidR="004877F8" w:rsidRPr="004877F8">
              <w:t xml:space="preserve"> </w:t>
            </w:r>
            <w:r w:rsidRPr="004877F8">
              <w:t>=</w:t>
            </w:r>
            <w:r w:rsidR="004877F8" w:rsidRPr="004877F8">
              <w:t xml:space="preserve"> </w:t>
            </w:r>
            <w:r w:rsidRPr="004877F8">
              <w:t>107)</w:t>
            </w:r>
          </w:p>
        </w:tc>
        <w:tc>
          <w:tcPr>
            <w:tcW w:w="2551"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8934403" w14:textId="4C9682A9" w:rsidR="00407D0F" w:rsidRPr="004877F8" w:rsidRDefault="004877F8" w:rsidP="00B50F71">
            <w:pPr>
              <w:pStyle w:val="Tabletext"/>
            </w:pPr>
            <w:r>
              <w:t>Chemotherapy</w:t>
            </w:r>
            <w:r w:rsidR="00696BFE">
              <w:t xml:space="preserve"> </w:t>
            </w:r>
            <w:r w:rsidR="00407D0F" w:rsidRPr="004877F8">
              <w:t>(n</w:t>
            </w:r>
            <w:r w:rsidRPr="004877F8">
              <w:t xml:space="preserve"> </w:t>
            </w:r>
            <w:r w:rsidR="00407D0F" w:rsidRPr="004877F8">
              <w:t>=</w:t>
            </w:r>
            <w:r w:rsidRPr="004877F8">
              <w:t xml:space="preserve"> </w:t>
            </w:r>
            <w:r w:rsidR="00407D0F" w:rsidRPr="004877F8">
              <w:t>98)</w:t>
            </w:r>
          </w:p>
        </w:tc>
      </w:tr>
      <w:tr w:rsidR="00407D0F" w:rsidRPr="00E32A62" w14:paraId="5D73FF97" w14:textId="77777777" w:rsidTr="006E617D">
        <w:trPr>
          <w:trHeight w:val="240"/>
        </w:trPr>
        <w:tc>
          <w:tcPr>
            <w:tcW w:w="2296" w:type="dxa"/>
            <w:hideMark/>
          </w:tcPr>
          <w:p w14:paraId="574CF136" w14:textId="77777777" w:rsidR="00407D0F" w:rsidRPr="001260F6" w:rsidRDefault="00407D0F" w:rsidP="00B50F71">
            <w:pPr>
              <w:pStyle w:val="Tabletext"/>
              <w:rPr>
                <w:iCs/>
                <w:sz w:val="20"/>
              </w:rPr>
            </w:pPr>
            <w:r w:rsidRPr="001260F6">
              <w:rPr>
                <w:iCs/>
                <w:sz w:val="20"/>
              </w:rPr>
              <w:t>ADA status</w:t>
            </w:r>
          </w:p>
        </w:tc>
        <w:tc>
          <w:tcPr>
            <w:tcW w:w="1560" w:type="dxa"/>
            <w:hideMark/>
          </w:tcPr>
          <w:p w14:paraId="3DCE9190" w14:textId="77777777" w:rsidR="00407D0F" w:rsidRPr="00B178E4" w:rsidRDefault="00407D0F" w:rsidP="00B50F71">
            <w:pPr>
              <w:pStyle w:val="Tabletext"/>
              <w:rPr>
                <w:sz w:val="20"/>
              </w:rPr>
            </w:pPr>
            <w:r w:rsidRPr="00B178E4">
              <w:rPr>
                <w:sz w:val="20"/>
              </w:rPr>
              <w:t>ADA- (n=75)</w:t>
            </w:r>
          </w:p>
        </w:tc>
        <w:tc>
          <w:tcPr>
            <w:tcW w:w="1559" w:type="dxa"/>
          </w:tcPr>
          <w:p w14:paraId="38B31F33" w14:textId="77777777" w:rsidR="00407D0F" w:rsidRPr="00B178E4" w:rsidRDefault="00407D0F" w:rsidP="00B50F71">
            <w:pPr>
              <w:pStyle w:val="Tabletext"/>
              <w:rPr>
                <w:sz w:val="20"/>
              </w:rPr>
            </w:pPr>
            <w:r w:rsidRPr="00B178E4">
              <w:rPr>
                <w:sz w:val="20"/>
              </w:rPr>
              <w:t>ADA+ (n=23)</w:t>
            </w:r>
          </w:p>
        </w:tc>
        <w:tc>
          <w:tcPr>
            <w:tcW w:w="2551" w:type="dxa"/>
          </w:tcPr>
          <w:p w14:paraId="4AC0B1DB" w14:textId="77777777" w:rsidR="00407D0F" w:rsidRPr="00B178E4" w:rsidRDefault="00407D0F" w:rsidP="00B50F71">
            <w:pPr>
              <w:pStyle w:val="Tabletext"/>
              <w:rPr>
                <w:sz w:val="20"/>
              </w:rPr>
            </w:pPr>
            <w:r w:rsidRPr="00B178E4">
              <w:rPr>
                <w:sz w:val="20"/>
              </w:rPr>
              <w:t>N/A</w:t>
            </w:r>
          </w:p>
        </w:tc>
      </w:tr>
      <w:tr w:rsidR="00407D0F" w:rsidRPr="00E32A62" w14:paraId="00C79878" w14:textId="77777777" w:rsidTr="006E617D">
        <w:trPr>
          <w:trHeight w:val="20"/>
        </w:trPr>
        <w:tc>
          <w:tcPr>
            <w:tcW w:w="7966" w:type="dxa"/>
            <w:gridSpan w:val="4"/>
          </w:tcPr>
          <w:p w14:paraId="46212650" w14:textId="57F710B3" w:rsidR="00407D0F" w:rsidRPr="00696BFE" w:rsidRDefault="004877F8" w:rsidP="00B50F71">
            <w:pPr>
              <w:pStyle w:val="Tabletext"/>
              <w:rPr>
                <w:sz w:val="20"/>
              </w:rPr>
            </w:pPr>
            <w:r w:rsidRPr="00696BFE">
              <w:rPr>
                <w:sz w:val="20"/>
              </w:rPr>
              <w:t>Overall survival</w:t>
            </w:r>
          </w:p>
        </w:tc>
      </w:tr>
      <w:tr w:rsidR="00407D0F" w:rsidRPr="00E32A62" w14:paraId="1550DE07" w14:textId="77777777" w:rsidTr="006E617D">
        <w:trPr>
          <w:trHeight w:val="20"/>
        </w:trPr>
        <w:tc>
          <w:tcPr>
            <w:tcW w:w="2296" w:type="dxa"/>
          </w:tcPr>
          <w:p w14:paraId="0430D910" w14:textId="77777777" w:rsidR="00407D0F" w:rsidRPr="00696BFE" w:rsidRDefault="00407D0F" w:rsidP="00B50F71">
            <w:pPr>
              <w:pStyle w:val="Tabletext"/>
              <w:rPr>
                <w:sz w:val="20"/>
              </w:rPr>
            </w:pPr>
            <w:r w:rsidRPr="00696BFE">
              <w:rPr>
                <w:sz w:val="20"/>
              </w:rPr>
              <w:t>Patients with event, n (%)</w:t>
            </w:r>
          </w:p>
        </w:tc>
        <w:tc>
          <w:tcPr>
            <w:tcW w:w="1560" w:type="dxa"/>
          </w:tcPr>
          <w:p w14:paraId="6103E765" w14:textId="77777777" w:rsidR="00407D0F" w:rsidRPr="00696BFE" w:rsidRDefault="00407D0F" w:rsidP="00B50F71">
            <w:pPr>
              <w:pStyle w:val="Tabletext"/>
              <w:rPr>
                <w:sz w:val="20"/>
              </w:rPr>
            </w:pPr>
            <w:r w:rsidRPr="00696BFE">
              <w:rPr>
                <w:sz w:val="20"/>
              </w:rPr>
              <w:t>24 (32%)</w:t>
            </w:r>
          </w:p>
        </w:tc>
        <w:tc>
          <w:tcPr>
            <w:tcW w:w="1559" w:type="dxa"/>
          </w:tcPr>
          <w:p w14:paraId="6DD0F5F2" w14:textId="77777777" w:rsidR="00407D0F" w:rsidRPr="00696BFE" w:rsidRDefault="00407D0F" w:rsidP="00B50F71">
            <w:pPr>
              <w:pStyle w:val="Tabletext"/>
              <w:rPr>
                <w:sz w:val="20"/>
              </w:rPr>
            </w:pPr>
            <w:r w:rsidRPr="00696BFE">
              <w:rPr>
                <w:sz w:val="20"/>
              </w:rPr>
              <w:t>13 (57%)</w:t>
            </w:r>
          </w:p>
        </w:tc>
        <w:tc>
          <w:tcPr>
            <w:tcW w:w="2551" w:type="dxa"/>
          </w:tcPr>
          <w:p w14:paraId="04784738" w14:textId="77777777" w:rsidR="00407D0F" w:rsidRPr="00696BFE" w:rsidRDefault="00407D0F" w:rsidP="00B50F71">
            <w:pPr>
              <w:pStyle w:val="Tabletext"/>
              <w:rPr>
                <w:sz w:val="20"/>
              </w:rPr>
            </w:pPr>
            <w:r w:rsidRPr="00696BFE">
              <w:rPr>
                <w:sz w:val="20"/>
              </w:rPr>
              <w:t>57 (58%)</w:t>
            </w:r>
          </w:p>
        </w:tc>
      </w:tr>
      <w:tr w:rsidR="00407D0F" w:rsidRPr="00E32A62" w14:paraId="62FB6F68" w14:textId="77777777" w:rsidTr="006E617D">
        <w:trPr>
          <w:trHeight w:val="20"/>
        </w:trPr>
        <w:tc>
          <w:tcPr>
            <w:tcW w:w="2296" w:type="dxa"/>
          </w:tcPr>
          <w:p w14:paraId="5A626C3D" w14:textId="77777777" w:rsidR="00407D0F" w:rsidRPr="00696BFE" w:rsidRDefault="00407D0F" w:rsidP="00B50F71">
            <w:pPr>
              <w:pStyle w:val="Tabletext"/>
              <w:rPr>
                <w:sz w:val="20"/>
              </w:rPr>
            </w:pPr>
            <w:r w:rsidRPr="00696BFE">
              <w:rPr>
                <w:sz w:val="20"/>
              </w:rPr>
              <w:t>Median, months (95% CI)</w:t>
            </w:r>
          </w:p>
        </w:tc>
        <w:tc>
          <w:tcPr>
            <w:tcW w:w="1560" w:type="dxa"/>
          </w:tcPr>
          <w:p w14:paraId="0CDF34C2" w14:textId="77777777" w:rsidR="00407D0F" w:rsidRPr="00696BFE" w:rsidRDefault="00407D0F" w:rsidP="00B50F71">
            <w:pPr>
              <w:pStyle w:val="Tabletext"/>
              <w:rPr>
                <w:sz w:val="20"/>
              </w:rPr>
            </w:pPr>
            <w:r w:rsidRPr="00696BFE">
              <w:rPr>
                <w:sz w:val="20"/>
              </w:rPr>
              <w:t>NE (17.8, NE)</w:t>
            </w:r>
          </w:p>
        </w:tc>
        <w:tc>
          <w:tcPr>
            <w:tcW w:w="1559" w:type="dxa"/>
          </w:tcPr>
          <w:p w14:paraId="69F7ACB9" w14:textId="77777777" w:rsidR="00407D0F" w:rsidRPr="00696BFE" w:rsidRDefault="00407D0F" w:rsidP="00B50F71">
            <w:pPr>
              <w:pStyle w:val="Tabletext"/>
              <w:rPr>
                <w:sz w:val="20"/>
              </w:rPr>
            </w:pPr>
            <w:r w:rsidRPr="00696BFE">
              <w:rPr>
                <w:sz w:val="20"/>
              </w:rPr>
              <w:t>13.8 (4.9, NE)</w:t>
            </w:r>
          </w:p>
        </w:tc>
        <w:tc>
          <w:tcPr>
            <w:tcW w:w="2551" w:type="dxa"/>
          </w:tcPr>
          <w:p w14:paraId="5DAA2287" w14:textId="77777777" w:rsidR="00407D0F" w:rsidRPr="00696BFE" w:rsidRDefault="00407D0F" w:rsidP="00B50F71">
            <w:pPr>
              <w:pStyle w:val="Tabletext"/>
              <w:rPr>
                <w:sz w:val="20"/>
              </w:rPr>
            </w:pPr>
            <w:r w:rsidRPr="00696BFE">
              <w:rPr>
                <w:sz w:val="20"/>
              </w:rPr>
              <w:t>13.1 (7.4, 16.5)</w:t>
            </w:r>
          </w:p>
        </w:tc>
      </w:tr>
      <w:tr w:rsidR="00407D0F" w:rsidRPr="00E32A62" w14:paraId="56A65B8D" w14:textId="77777777" w:rsidTr="006E617D">
        <w:trPr>
          <w:trHeight w:val="20"/>
        </w:trPr>
        <w:tc>
          <w:tcPr>
            <w:tcW w:w="7966" w:type="dxa"/>
            <w:gridSpan w:val="4"/>
          </w:tcPr>
          <w:p w14:paraId="62EDC4DE" w14:textId="384DB427" w:rsidR="00407D0F" w:rsidRPr="00696BFE" w:rsidRDefault="004877F8" w:rsidP="00B50F71">
            <w:pPr>
              <w:pStyle w:val="Tabletext"/>
              <w:rPr>
                <w:sz w:val="20"/>
              </w:rPr>
            </w:pPr>
            <w:r w:rsidRPr="00696BFE">
              <w:rPr>
                <w:sz w:val="20"/>
              </w:rPr>
              <w:t>Progression-free survival</w:t>
            </w:r>
          </w:p>
        </w:tc>
      </w:tr>
      <w:tr w:rsidR="00407D0F" w:rsidRPr="00E32A62" w14:paraId="4035BE68" w14:textId="77777777" w:rsidTr="006E617D">
        <w:trPr>
          <w:trHeight w:val="20"/>
        </w:trPr>
        <w:tc>
          <w:tcPr>
            <w:tcW w:w="2296" w:type="dxa"/>
          </w:tcPr>
          <w:p w14:paraId="4713276F" w14:textId="77777777" w:rsidR="00407D0F" w:rsidRPr="00696BFE" w:rsidRDefault="00407D0F" w:rsidP="00B50F71">
            <w:pPr>
              <w:pStyle w:val="Tabletext"/>
              <w:rPr>
                <w:sz w:val="20"/>
              </w:rPr>
            </w:pPr>
            <w:r w:rsidRPr="00696BFE">
              <w:rPr>
                <w:sz w:val="20"/>
              </w:rPr>
              <w:t>Patients with event, n (%)</w:t>
            </w:r>
          </w:p>
        </w:tc>
        <w:tc>
          <w:tcPr>
            <w:tcW w:w="1560" w:type="dxa"/>
          </w:tcPr>
          <w:p w14:paraId="44DCA6CA" w14:textId="77777777" w:rsidR="00407D0F" w:rsidRPr="00696BFE" w:rsidRDefault="00407D0F" w:rsidP="00B50F71">
            <w:pPr>
              <w:pStyle w:val="Tabletext"/>
              <w:rPr>
                <w:sz w:val="20"/>
              </w:rPr>
            </w:pPr>
            <w:r w:rsidRPr="00696BFE">
              <w:rPr>
                <w:sz w:val="20"/>
              </w:rPr>
              <w:t>42 (56%)</w:t>
            </w:r>
          </w:p>
        </w:tc>
        <w:tc>
          <w:tcPr>
            <w:tcW w:w="1559" w:type="dxa"/>
          </w:tcPr>
          <w:p w14:paraId="5FF76893" w14:textId="77777777" w:rsidR="00407D0F" w:rsidRPr="00696BFE" w:rsidRDefault="00407D0F" w:rsidP="00B50F71">
            <w:pPr>
              <w:pStyle w:val="Tabletext"/>
              <w:rPr>
                <w:sz w:val="20"/>
              </w:rPr>
            </w:pPr>
            <w:r w:rsidRPr="00696BFE">
              <w:rPr>
                <w:sz w:val="20"/>
              </w:rPr>
              <w:t>18 (78%)</w:t>
            </w:r>
          </w:p>
        </w:tc>
        <w:tc>
          <w:tcPr>
            <w:tcW w:w="2551" w:type="dxa"/>
          </w:tcPr>
          <w:p w14:paraId="3173BD66" w14:textId="77777777" w:rsidR="00407D0F" w:rsidRPr="00696BFE" w:rsidRDefault="00407D0F" w:rsidP="00B50F71">
            <w:pPr>
              <w:pStyle w:val="Tabletext"/>
              <w:rPr>
                <w:sz w:val="20"/>
              </w:rPr>
            </w:pPr>
            <w:r w:rsidRPr="00696BFE">
              <w:rPr>
                <w:sz w:val="20"/>
              </w:rPr>
              <w:t>79 (81%)</w:t>
            </w:r>
          </w:p>
        </w:tc>
      </w:tr>
      <w:tr w:rsidR="00407D0F" w:rsidRPr="00E32A62" w14:paraId="23A4D8DA" w14:textId="77777777" w:rsidTr="006E617D">
        <w:trPr>
          <w:trHeight w:val="20"/>
        </w:trPr>
        <w:tc>
          <w:tcPr>
            <w:tcW w:w="2296" w:type="dxa"/>
          </w:tcPr>
          <w:p w14:paraId="68D67924" w14:textId="77777777" w:rsidR="00407D0F" w:rsidRPr="00696BFE" w:rsidRDefault="00407D0F" w:rsidP="00B50F71">
            <w:pPr>
              <w:pStyle w:val="Tabletext"/>
              <w:rPr>
                <w:sz w:val="20"/>
              </w:rPr>
            </w:pPr>
            <w:r w:rsidRPr="00696BFE">
              <w:rPr>
                <w:sz w:val="20"/>
              </w:rPr>
              <w:t>Median, months (95% CI)</w:t>
            </w:r>
          </w:p>
        </w:tc>
        <w:tc>
          <w:tcPr>
            <w:tcW w:w="1560" w:type="dxa"/>
          </w:tcPr>
          <w:p w14:paraId="06F2405C" w14:textId="77777777" w:rsidR="00407D0F" w:rsidRPr="00696BFE" w:rsidRDefault="00407D0F" w:rsidP="00B50F71">
            <w:pPr>
              <w:pStyle w:val="Tabletext"/>
              <w:rPr>
                <w:sz w:val="20"/>
              </w:rPr>
            </w:pPr>
            <w:r w:rsidRPr="00696BFE">
              <w:rPr>
                <w:sz w:val="20"/>
              </w:rPr>
              <w:t>9.6 (7.7, 17.5)</w:t>
            </w:r>
          </w:p>
        </w:tc>
        <w:tc>
          <w:tcPr>
            <w:tcW w:w="1559" w:type="dxa"/>
          </w:tcPr>
          <w:p w14:paraId="169BBA94" w14:textId="77777777" w:rsidR="00407D0F" w:rsidRPr="00696BFE" w:rsidRDefault="00407D0F" w:rsidP="00B50F71">
            <w:pPr>
              <w:pStyle w:val="Tabletext"/>
              <w:rPr>
                <w:sz w:val="20"/>
              </w:rPr>
            </w:pPr>
            <w:r w:rsidRPr="00696BFE">
              <w:rPr>
                <w:sz w:val="20"/>
              </w:rPr>
              <w:t>4.5 (2.3, 8.2)</w:t>
            </w:r>
          </w:p>
        </w:tc>
        <w:tc>
          <w:tcPr>
            <w:tcW w:w="2551" w:type="dxa"/>
          </w:tcPr>
          <w:p w14:paraId="6F51793C" w14:textId="77777777" w:rsidR="00407D0F" w:rsidRPr="00696BFE" w:rsidRDefault="00407D0F" w:rsidP="00B50F71">
            <w:pPr>
              <w:pStyle w:val="Tabletext"/>
              <w:rPr>
                <w:sz w:val="20"/>
              </w:rPr>
            </w:pPr>
            <w:r w:rsidRPr="00696BFE">
              <w:rPr>
                <w:sz w:val="20"/>
              </w:rPr>
              <w:t>5.0 (4.2, 5.7)</w:t>
            </w:r>
          </w:p>
        </w:tc>
      </w:tr>
      <w:tr w:rsidR="00407D0F" w:rsidRPr="00E32A62" w14:paraId="10C5BBC7" w14:textId="77777777" w:rsidTr="006E617D">
        <w:trPr>
          <w:trHeight w:val="20"/>
        </w:trPr>
        <w:tc>
          <w:tcPr>
            <w:tcW w:w="7966" w:type="dxa"/>
            <w:gridSpan w:val="4"/>
          </w:tcPr>
          <w:p w14:paraId="061FE5F6" w14:textId="1B4A28BD" w:rsidR="00407D0F" w:rsidRPr="00696BFE" w:rsidRDefault="00696BFE" w:rsidP="00B50F71">
            <w:pPr>
              <w:pStyle w:val="Tabletext"/>
              <w:rPr>
                <w:sz w:val="20"/>
              </w:rPr>
            </w:pPr>
            <w:r w:rsidRPr="00696BFE">
              <w:rPr>
                <w:sz w:val="20"/>
              </w:rPr>
              <w:t>Objective response rate</w:t>
            </w:r>
          </w:p>
        </w:tc>
      </w:tr>
      <w:tr w:rsidR="00407D0F" w:rsidRPr="00E32A62" w14:paraId="4F42BE6C" w14:textId="77777777" w:rsidTr="006E617D">
        <w:trPr>
          <w:trHeight w:val="20"/>
        </w:trPr>
        <w:tc>
          <w:tcPr>
            <w:tcW w:w="2296" w:type="dxa"/>
          </w:tcPr>
          <w:p w14:paraId="0CC1779F" w14:textId="77777777" w:rsidR="00407D0F" w:rsidRPr="00696BFE" w:rsidRDefault="00407D0F" w:rsidP="00B50F71">
            <w:pPr>
              <w:pStyle w:val="Tabletext"/>
              <w:rPr>
                <w:sz w:val="20"/>
              </w:rPr>
            </w:pPr>
            <w:r w:rsidRPr="00696BFE">
              <w:rPr>
                <w:sz w:val="20"/>
              </w:rPr>
              <w:t xml:space="preserve">Patients with event, n </w:t>
            </w:r>
          </w:p>
        </w:tc>
        <w:tc>
          <w:tcPr>
            <w:tcW w:w="1560" w:type="dxa"/>
          </w:tcPr>
          <w:p w14:paraId="7516B652" w14:textId="77777777" w:rsidR="00407D0F" w:rsidRPr="00696BFE" w:rsidRDefault="00407D0F" w:rsidP="00B50F71">
            <w:pPr>
              <w:pStyle w:val="Tabletext"/>
              <w:rPr>
                <w:sz w:val="20"/>
              </w:rPr>
            </w:pPr>
            <w:r w:rsidRPr="00696BFE">
              <w:rPr>
                <w:sz w:val="20"/>
              </w:rPr>
              <w:t>34</w:t>
            </w:r>
          </w:p>
        </w:tc>
        <w:tc>
          <w:tcPr>
            <w:tcW w:w="1559" w:type="dxa"/>
          </w:tcPr>
          <w:p w14:paraId="035D6466" w14:textId="77777777" w:rsidR="00407D0F" w:rsidRPr="00696BFE" w:rsidRDefault="00407D0F" w:rsidP="00B50F71">
            <w:pPr>
              <w:pStyle w:val="Tabletext"/>
              <w:rPr>
                <w:sz w:val="20"/>
              </w:rPr>
            </w:pPr>
            <w:r w:rsidRPr="00696BFE">
              <w:rPr>
                <w:sz w:val="20"/>
              </w:rPr>
              <w:t>7</w:t>
            </w:r>
          </w:p>
        </w:tc>
        <w:tc>
          <w:tcPr>
            <w:tcW w:w="2551" w:type="dxa"/>
          </w:tcPr>
          <w:p w14:paraId="30E1533B" w14:textId="77777777" w:rsidR="00407D0F" w:rsidRPr="00696BFE" w:rsidRDefault="00407D0F" w:rsidP="00B50F71">
            <w:pPr>
              <w:pStyle w:val="Tabletext"/>
              <w:rPr>
                <w:sz w:val="20"/>
              </w:rPr>
            </w:pPr>
            <w:r w:rsidRPr="00696BFE">
              <w:rPr>
                <w:sz w:val="20"/>
              </w:rPr>
              <w:t>28</w:t>
            </w:r>
          </w:p>
        </w:tc>
      </w:tr>
      <w:tr w:rsidR="00407D0F" w:rsidRPr="00E32A62" w14:paraId="08D56B17" w14:textId="77777777" w:rsidTr="006E617D">
        <w:trPr>
          <w:trHeight w:val="20"/>
        </w:trPr>
        <w:tc>
          <w:tcPr>
            <w:tcW w:w="2296" w:type="dxa"/>
          </w:tcPr>
          <w:p w14:paraId="4E9013B8" w14:textId="77777777" w:rsidR="00407D0F" w:rsidRPr="00696BFE" w:rsidRDefault="00407D0F" w:rsidP="00B50F71">
            <w:pPr>
              <w:pStyle w:val="Tabletext"/>
              <w:rPr>
                <w:sz w:val="20"/>
              </w:rPr>
            </w:pPr>
            <w:r w:rsidRPr="00696BFE">
              <w:rPr>
                <w:sz w:val="20"/>
              </w:rPr>
              <w:t>ORR, % (95% CI)</w:t>
            </w:r>
          </w:p>
        </w:tc>
        <w:tc>
          <w:tcPr>
            <w:tcW w:w="1560" w:type="dxa"/>
          </w:tcPr>
          <w:p w14:paraId="0851558F" w14:textId="77777777" w:rsidR="00407D0F" w:rsidRPr="00696BFE" w:rsidRDefault="00407D0F" w:rsidP="00B50F71">
            <w:pPr>
              <w:pStyle w:val="Tabletext"/>
              <w:rPr>
                <w:sz w:val="20"/>
              </w:rPr>
            </w:pPr>
            <w:r w:rsidRPr="00696BFE">
              <w:rPr>
                <w:sz w:val="20"/>
              </w:rPr>
              <w:t>45 (34, 57)</w:t>
            </w:r>
          </w:p>
        </w:tc>
        <w:tc>
          <w:tcPr>
            <w:tcW w:w="1559" w:type="dxa"/>
          </w:tcPr>
          <w:p w14:paraId="334C0F04" w14:textId="77777777" w:rsidR="00407D0F" w:rsidRPr="00696BFE" w:rsidRDefault="00407D0F" w:rsidP="00B50F71">
            <w:pPr>
              <w:pStyle w:val="Tabletext"/>
              <w:rPr>
                <w:sz w:val="20"/>
              </w:rPr>
            </w:pPr>
            <w:r w:rsidRPr="00696BFE">
              <w:rPr>
                <w:sz w:val="20"/>
              </w:rPr>
              <w:t>30 (13, 53)</w:t>
            </w:r>
          </w:p>
        </w:tc>
        <w:tc>
          <w:tcPr>
            <w:tcW w:w="2551" w:type="dxa"/>
          </w:tcPr>
          <w:p w14:paraId="07E8CB8C" w14:textId="77777777" w:rsidR="00407D0F" w:rsidRPr="00696BFE" w:rsidRDefault="00407D0F" w:rsidP="00B50F71">
            <w:pPr>
              <w:pStyle w:val="Tabletext"/>
              <w:rPr>
                <w:sz w:val="20"/>
              </w:rPr>
            </w:pPr>
            <w:r w:rsidRPr="00696BFE">
              <w:rPr>
                <w:sz w:val="20"/>
              </w:rPr>
              <w:t>29 (20, 39)</w:t>
            </w:r>
          </w:p>
        </w:tc>
      </w:tr>
    </w:tbl>
    <w:p w14:paraId="167D5C10" w14:textId="2F085421" w:rsidR="00DF6DE3" w:rsidRPr="00400B3D" w:rsidRDefault="00DA3D21" w:rsidP="00400B3D">
      <w:pPr>
        <w:pStyle w:val="TableDescription"/>
      </w:pPr>
      <w:bookmarkStart w:id="70" w:name="_Ref69811684"/>
      <w:r w:rsidRPr="00400B3D">
        <w:t xml:space="preserve">Abbreviations: </w:t>
      </w:r>
      <w:r w:rsidR="00D6299E" w:rsidRPr="00400B3D">
        <w:t xml:space="preserve">ADA = antidrug antibody; CI = confidence interval; </w:t>
      </w:r>
      <w:r w:rsidR="00DF6DE3" w:rsidRPr="00400B3D">
        <w:t xml:space="preserve">IC = immune cell; </w:t>
      </w:r>
      <w:r w:rsidR="003672E7" w:rsidRPr="00400B3D">
        <w:t xml:space="preserve">n = numbers of subjects in group; </w:t>
      </w:r>
      <w:r w:rsidR="00D6299E" w:rsidRPr="00400B3D">
        <w:t>N/A</w:t>
      </w:r>
      <w:r w:rsidRPr="00400B3D">
        <w:t> </w:t>
      </w:r>
      <w:r w:rsidR="00D6299E" w:rsidRPr="00400B3D">
        <w:t>= not applicable; NE = non-estimable; ORR = overall response rate</w:t>
      </w:r>
      <w:r w:rsidR="00DF6DE3" w:rsidRPr="00400B3D">
        <w:t>; TC = tumour cell.</w:t>
      </w:r>
    </w:p>
    <w:p w14:paraId="2BC821DF" w14:textId="3112CC97" w:rsidR="00400B3D" w:rsidRDefault="00DA3D21" w:rsidP="00400B3D">
      <w:pPr>
        <w:pStyle w:val="TableDescription"/>
      </w:pPr>
      <w:r w:rsidRPr="00400B3D">
        <w:t>TC3 or IC3 denotes PD-L1 expression on ≥ 50% of tumour cells or on ≥ 10% of immune cells (PD-L1 expression ‘high’).</w:t>
      </w:r>
      <w:r w:rsidR="00400B3D">
        <w:br w:type="page"/>
      </w:r>
    </w:p>
    <w:p w14:paraId="2C097AAE" w14:textId="71A673F4" w:rsidR="00407D0F" w:rsidRPr="003672E7" w:rsidRDefault="00407D0F" w:rsidP="00E667E9">
      <w:pPr>
        <w:pStyle w:val="TableTitle"/>
      </w:pPr>
      <w:bookmarkStart w:id="71" w:name="_Ref108515510"/>
      <w:r w:rsidRPr="003672E7">
        <w:lastRenderedPageBreak/>
        <w:t xml:space="preserve">Table </w:t>
      </w:r>
      <w:fldSimple w:instr=" SEQ Table \* ARABIC ">
        <w:r w:rsidR="00C05B15">
          <w:rPr>
            <w:noProof/>
          </w:rPr>
          <w:t>14</w:t>
        </w:r>
      </w:fldSimple>
      <w:bookmarkEnd w:id="70"/>
      <w:bookmarkEnd w:id="71"/>
      <w:r w:rsidR="00D6299E" w:rsidRPr="003672E7">
        <w:t>:</w:t>
      </w:r>
      <w:r w:rsidRPr="003672E7">
        <w:t xml:space="preserve"> </w:t>
      </w:r>
      <w:r w:rsidR="009258F9" w:rsidRPr="003672E7">
        <w:t>IMPOWER</w:t>
      </w:r>
      <w:r w:rsidR="008641AB" w:rsidRPr="003672E7">
        <w:t xml:space="preserve">110 trial (Study GO29431) </w:t>
      </w:r>
      <w:r w:rsidRPr="003672E7">
        <w:t xml:space="preserve">Exploratory </w:t>
      </w:r>
      <w:r w:rsidR="008641AB" w:rsidRPr="003672E7">
        <w:t>overall survival analysis with a further 17 </w:t>
      </w:r>
      <w:proofErr w:type="gramStart"/>
      <w:r w:rsidRPr="003672E7">
        <w:t>months</w:t>
      </w:r>
      <w:proofErr w:type="gramEnd"/>
      <w:r w:rsidRPr="003672E7">
        <w:t xml:space="preserve"> follow-up </w:t>
      </w:r>
      <w:r w:rsidR="008641AB" w:rsidRPr="003672E7">
        <w:t xml:space="preserve">(above; </w:t>
      </w:r>
      <w:r w:rsidRPr="003672E7">
        <w:t xml:space="preserve">clinical cut-off </w:t>
      </w:r>
      <w:r w:rsidR="008641AB" w:rsidRPr="003672E7">
        <w:t xml:space="preserve">date </w:t>
      </w:r>
      <w:r w:rsidRPr="003672E7">
        <w:t>4 Feb</w:t>
      </w:r>
      <w:r w:rsidR="008641AB" w:rsidRPr="003672E7">
        <w:t>ruary 2020) by treatment</w:t>
      </w:r>
      <w:r w:rsidR="008641AB" w:rsidRPr="003672E7">
        <w:noBreakHyphen/>
      </w:r>
      <w:r w:rsidRPr="003672E7">
        <w:t xml:space="preserve">emergent </w:t>
      </w:r>
      <w:r w:rsidR="00D6299E" w:rsidRPr="003672E7">
        <w:t>antidrug antibody</w:t>
      </w:r>
      <w:r w:rsidRPr="003672E7">
        <w:t xml:space="preserve"> status (</w:t>
      </w:r>
      <w:r w:rsidR="008641AB" w:rsidRPr="003672E7">
        <w:t>cut-off date</w:t>
      </w:r>
      <w:r w:rsidRPr="003672E7">
        <w:t xml:space="preserve"> 10 </w:t>
      </w:r>
      <w:r w:rsidR="00696BFE" w:rsidRPr="003672E7">
        <w:t>September</w:t>
      </w:r>
      <w:r w:rsidRPr="003672E7">
        <w:t xml:space="preserve"> 2018) for patients in the atezolizumab arm, compared to patients in the chemo</w:t>
      </w:r>
      <w:r w:rsidR="00D6299E" w:rsidRPr="003672E7">
        <w:t>therapy</w:t>
      </w:r>
      <w:r w:rsidR="008641AB" w:rsidRPr="003672E7">
        <w:t xml:space="preserve"> arm, in the </w:t>
      </w:r>
      <w:r w:rsidR="00DA3D21">
        <w:t>TC3/IC3 population</w:t>
      </w:r>
    </w:p>
    <w:tbl>
      <w:tblPr>
        <w:tblStyle w:val="TableTGAblue"/>
        <w:tblW w:w="8392" w:type="dxa"/>
        <w:tblLayout w:type="fixed"/>
        <w:tblLook w:val="0420" w:firstRow="1" w:lastRow="0" w:firstColumn="0" w:lastColumn="0" w:noHBand="0" w:noVBand="1"/>
      </w:tblPr>
      <w:tblGrid>
        <w:gridCol w:w="2802"/>
        <w:gridCol w:w="2409"/>
        <w:gridCol w:w="1418"/>
        <w:gridCol w:w="1763"/>
      </w:tblGrid>
      <w:tr w:rsidR="00A97B0B" w:rsidRPr="00A97B0B" w14:paraId="5E0C7837" w14:textId="77777777" w:rsidTr="006E617D">
        <w:trPr>
          <w:cnfStyle w:val="100000000000" w:firstRow="1" w:lastRow="0" w:firstColumn="0" w:lastColumn="0" w:oddVBand="0" w:evenVBand="0" w:oddHBand="0" w:evenHBand="0" w:firstRowFirstColumn="0" w:firstRowLastColumn="0" w:lastRowFirstColumn="0" w:lastRowLastColumn="0"/>
          <w:trHeight w:val="20"/>
        </w:trPr>
        <w:tc>
          <w:tcPr>
            <w:tcW w:w="2802"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2B42847" w14:textId="77777777" w:rsidR="00407D0F" w:rsidRPr="00B50F71" w:rsidRDefault="00407D0F" w:rsidP="00B50F71">
            <w:pPr>
              <w:pStyle w:val="Tabletext"/>
              <w:ind w:left="0" w:right="0"/>
              <w:rPr>
                <w:sz w:val="20"/>
                <w:szCs w:val="20"/>
              </w:rPr>
            </w:pPr>
          </w:p>
        </w:tc>
        <w:tc>
          <w:tcPr>
            <w:tcW w:w="3827" w:type="dxa"/>
            <w:gridSpan w:val="2"/>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479CEB5" w14:textId="6788C59D" w:rsidR="00407D0F" w:rsidRPr="00B50F71" w:rsidRDefault="00E31736" w:rsidP="00B50F71">
            <w:pPr>
              <w:pStyle w:val="Tabletext"/>
              <w:ind w:left="0" w:right="0"/>
              <w:rPr>
                <w:sz w:val="20"/>
                <w:szCs w:val="20"/>
              </w:rPr>
            </w:pPr>
            <w:r w:rsidRPr="00B50F71">
              <w:rPr>
                <w:sz w:val="20"/>
                <w:szCs w:val="20"/>
              </w:rPr>
              <w:t xml:space="preserve">Atezolizumab </w:t>
            </w:r>
            <w:r w:rsidR="00407D0F" w:rsidRPr="00B50F71">
              <w:rPr>
                <w:sz w:val="20"/>
                <w:szCs w:val="20"/>
              </w:rPr>
              <w:t>(n=107)</w:t>
            </w:r>
          </w:p>
        </w:tc>
        <w:tc>
          <w:tcPr>
            <w:tcW w:w="1763"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FFBE852" w14:textId="77777777" w:rsidR="00407D0F" w:rsidRPr="00B50F71" w:rsidRDefault="00407D0F" w:rsidP="00B50F71">
            <w:pPr>
              <w:pStyle w:val="Tabletext"/>
              <w:ind w:left="0" w:right="0"/>
              <w:rPr>
                <w:sz w:val="20"/>
                <w:szCs w:val="20"/>
              </w:rPr>
            </w:pPr>
            <w:r w:rsidRPr="00B50F71">
              <w:rPr>
                <w:sz w:val="20"/>
                <w:szCs w:val="20"/>
              </w:rPr>
              <w:t>Chemo (n=92)</w:t>
            </w:r>
          </w:p>
        </w:tc>
      </w:tr>
      <w:tr w:rsidR="00407D0F" w:rsidRPr="00A97B0B" w14:paraId="196FBD57" w14:textId="77777777" w:rsidTr="006E617D">
        <w:trPr>
          <w:trHeight w:val="240"/>
        </w:trPr>
        <w:tc>
          <w:tcPr>
            <w:tcW w:w="2802" w:type="dxa"/>
            <w:hideMark/>
          </w:tcPr>
          <w:p w14:paraId="1F6CBB70" w14:textId="77777777" w:rsidR="00407D0F" w:rsidRPr="00B50F71" w:rsidRDefault="00407D0F" w:rsidP="00B50F71">
            <w:pPr>
              <w:pStyle w:val="Tabletext"/>
              <w:ind w:left="0" w:right="0"/>
              <w:rPr>
                <w:sz w:val="20"/>
                <w:szCs w:val="20"/>
              </w:rPr>
            </w:pPr>
            <w:r w:rsidRPr="00B50F71">
              <w:rPr>
                <w:sz w:val="20"/>
                <w:szCs w:val="20"/>
              </w:rPr>
              <w:t>ADA status</w:t>
            </w:r>
          </w:p>
        </w:tc>
        <w:tc>
          <w:tcPr>
            <w:tcW w:w="2409" w:type="dxa"/>
            <w:hideMark/>
          </w:tcPr>
          <w:p w14:paraId="295F68EB" w14:textId="77777777" w:rsidR="00407D0F" w:rsidRPr="00B50F71" w:rsidRDefault="00407D0F" w:rsidP="00B50F71">
            <w:pPr>
              <w:pStyle w:val="Tabletext"/>
              <w:ind w:left="0" w:right="0"/>
              <w:rPr>
                <w:sz w:val="20"/>
                <w:szCs w:val="20"/>
              </w:rPr>
            </w:pPr>
            <w:r w:rsidRPr="00B50F71">
              <w:rPr>
                <w:sz w:val="20"/>
                <w:szCs w:val="20"/>
              </w:rPr>
              <w:t>ADA- (n=75)</w:t>
            </w:r>
          </w:p>
        </w:tc>
        <w:tc>
          <w:tcPr>
            <w:tcW w:w="1418" w:type="dxa"/>
          </w:tcPr>
          <w:p w14:paraId="4C48BFCF" w14:textId="77777777" w:rsidR="00407D0F" w:rsidRPr="00B50F71" w:rsidRDefault="00407D0F" w:rsidP="00B50F71">
            <w:pPr>
              <w:pStyle w:val="Tabletext"/>
              <w:ind w:left="0" w:right="0"/>
              <w:rPr>
                <w:sz w:val="20"/>
                <w:szCs w:val="20"/>
              </w:rPr>
            </w:pPr>
            <w:r w:rsidRPr="00B50F71">
              <w:rPr>
                <w:sz w:val="20"/>
                <w:szCs w:val="20"/>
              </w:rPr>
              <w:t>ADA+ (n=23)</w:t>
            </w:r>
          </w:p>
        </w:tc>
        <w:tc>
          <w:tcPr>
            <w:tcW w:w="1763" w:type="dxa"/>
          </w:tcPr>
          <w:p w14:paraId="1DF34A22" w14:textId="77777777" w:rsidR="00407D0F" w:rsidRPr="00B50F71" w:rsidRDefault="00407D0F" w:rsidP="00B50F71">
            <w:pPr>
              <w:pStyle w:val="Tabletext"/>
              <w:ind w:left="0" w:right="0"/>
              <w:rPr>
                <w:sz w:val="20"/>
                <w:szCs w:val="20"/>
              </w:rPr>
            </w:pPr>
            <w:r w:rsidRPr="00B50F71">
              <w:rPr>
                <w:sz w:val="20"/>
                <w:szCs w:val="20"/>
              </w:rPr>
              <w:t>N/A</w:t>
            </w:r>
          </w:p>
        </w:tc>
      </w:tr>
      <w:tr w:rsidR="00407D0F" w:rsidRPr="00A97B0B" w14:paraId="41F52BB2" w14:textId="77777777" w:rsidTr="006E617D">
        <w:trPr>
          <w:trHeight w:val="20"/>
        </w:trPr>
        <w:tc>
          <w:tcPr>
            <w:tcW w:w="8392" w:type="dxa"/>
            <w:gridSpan w:val="4"/>
          </w:tcPr>
          <w:p w14:paraId="6EBF74EA" w14:textId="40B3B19C" w:rsidR="00407D0F" w:rsidRPr="00B50F71" w:rsidRDefault="00D6299E" w:rsidP="00B50F71">
            <w:pPr>
              <w:pStyle w:val="Tabletext"/>
              <w:ind w:left="0" w:right="0"/>
              <w:rPr>
                <w:sz w:val="20"/>
                <w:szCs w:val="20"/>
              </w:rPr>
            </w:pPr>
            <w:r w:rsidRPr="00B50F71">
              <w:rPr>
                <w:sz w:val="20"/>
                <w:szCs w:val="20"/>
              </w:rPr>
              <w:t>Overall survival</w:t>
            </w:r>
          </w:p>
        </w:tc>
      </w:tr>
      <w:tr w:rsidR="00407D0F" w:rsidRPr="00A97B0B" w14:paraId="52F782CF" w14:textId="77777777" w:rsidTr="006E617D">
        <w:trPr>
          <w:trHeight w:val="20"/>
        </w:trPr>
        <w:tc>
          <w:tcPr>
            <w:tcW w:w="2802" w:type="dxa"/>
          </w:tcPr>
          <w:p w14:paraId="759A1AB6" w14:textId="77777777" w:rsidR="00407D0F" w:rsidRPr="00B50F71" w:rsidRDefault="00407D0F" w:rsidP="00B50F71">
            <w:pPr>
              <w:pStyle w:val="Tabletext"/>
              <w:ind w:left="0" w:right="0"/>
              <w:rPr>
                <w:sz w:val="20"/>
                <w:szCs w:val="20"/>
              </w:rPr>
            </w:pPr>
            <w:r w:rsidRPr="00B50F71">
              <w:rPr>
                <w:sz w:val="20"/>
                <w:szCs w:val="20"/>
              </w:rPr>
              <w:t>Patients with event, n (%)</w:t>
            </w:r>
          </w:p>
        </w:tc>
        <w:tc>
          <w:tcPr>
            <w:tcW w:w="2409" w:type="dxa"/>
          </w:tcPr>
          <w:p w14:paraId="33FFAA29" w14:textId="77777777" w:rsidR="00407D0F" w:rsidRPr="00B50F71" w:rsidRDefault="00407D0F" w:rsidP="00B50F71">
            <w:pPr>
              <w:pStyle w:val="Tabletext"/>
              <w:ind w:left="0" w:right="0"/>
              <w:rPr>
                <w:sz w:val="20"/>
                <w:szCs w:val="20"/>
              </w:rPr>
            </w:pPr>
            <w:r w:rsidRPr="00B50F71">
              <w:rPr>
                <w:sz w:val="20"/>
                <w:szCs w:val="20"/>
              </w:rPr>
              <w:t>39 (52%)</w:t>
            </w:r>
          </w:p>
        </w:tc>
        <w:tc>
          <w:tcPr>
            <w:tcW w:w="1418" w:type="dxa"/>
          </w:tcPr>
          <w:p w14:paraId="722FAC0D" w14:textId="77777777" w:rsidR="00407D0F" w:rsidRPr="00B50F71" w:rsidRDefault="00407D0F" w:rsidP="00B50F71">
            <w:pPr>
              <w:pStyle w:val="Tabletext"/>
              <w:ind w:left="0" w:right="0"/>
              <w:rPr>
                <w:sz w:val="20"/>
                <w:szCs w:val="20"/>
              </w:rPr>
            </w:pPr>
            <w:r w:rsidRPr="00B50F71">
              <w:rPr>
                <w:sz w:val="20"/>
                <w:szCs w:val="20"/>
              </w:rPr>
              <w:t>17 (74%)</w:t>
            </w:r>
          </w:p>
        </w:tc>
        <w:tc>
          <w:tcPr>
            <w:tcW w:w="1763" w:type="dxa"/>
          </w:tcPr>
          <w:p w14:paraId="29E861AA" w14:textId="77777777" w:rsidR="00407D0F" w:rsidRPr="00B50F71" w:rsidRDefault="00407D0F" w:rsidP="00B50F71">
            <w:pPr>
              <w:pStyle w:val="Tabletext"/>
              <w:ind w:left="0" w:right="0"/>
              <w:rPr>
                <w:sz w:val="20"/>
                <w:szCs w:val="20"/>
              </w:rPr>
            </w:pPr>
            <w:r w:rsidRPr="00B50F71">
              <w:rPr>
                <w:sz w:val="20"/>
                <w:szCs w:val="20"/>
              </w:rPr>
              <w:t>60 (65%)</w:t>
            </w:r>
          </w:p>
        </w:tc>
      </w:tr>
      <w:tr w:rsidR="00407D0F" w:rsidRPr="00A97B0B" w14:paraId="008181C2" w14:textId="77777777" w:rsidTr="006E617D">
        <w:trPr>
          <w:trHeight w:val="20"/>
        </w:trPr>
        <w:tc>
          <w:tcPr>
            <w:tcW w:w="2802" w:type="dxa"/>
          </w:tcPr>
          <w:p w14:paraId="7C62270C" w14:textId="77777777" w:rsidR="00407D0F" w:rsidRPr="00B50F71" w:rsidRDefault="00407D0F" w:rsidP="00B50F71">
            <w:pPr>
              <w:pStyle w:val="Tabletext"/>
              <w:ind w:left="0" w:right="0"/>
              <w:rPr>
                <w:sz w:val="20"/>
                <w:szCs w:val="20"/>
              </w:rPr>
            </w:pPr>
            <w:r w:rsidRPr="00B50F71">
              <w:rPr>
                <w:sz w:val="20"/>
                <w:szCs w:val="20"/>
              </w:rPr>
              <w:t>Median, months (95% CI)</w:t>
            </w:r>
          </w:p>
        </w:tc>
        <w:tc>
          <w:tcPr>
            <w:tcW w:w="2409" w:type="dxa"/>
          </w:tcPr>
          <w:p w14:paraId="5C80EE1F" w14:textId="77777777" w:rsidR="00407D0F" w:rsidRPr="00B50F71" w:rsidRDefault="00407D0F" w:rsidP="00B50F71">
            <w:pPr>
              <w:pStyle w:val="Tabletext"/>
              <w:ind w:left="0" w:right="0"/>
              <w:rPr>
                <w:sz w:val="20"/>
                <w:szCs w:val="20"/>
              </w:rPr>
            </w:pPr>
            <w:r w:rsidRPr="00B50F71">
              <w:rPr>
                <w:sz w:val="20"/>
                <w:szCs w:val="20"/>
              </w:rPr>
              <w:t>27.1 (20.2, NE)</w:t>
            </w:r>
          </w:p>
        </w:tc>
        <w:tc>
          <w:tcPr>
            <w:tcW w:w="1418" w:type="dxa"/>
          </w:tcPr>
          <w:p w14:paraId="593BF15A" w14:textId="77777777" w:rsidR="00407D0F" w:rsidRPr="00B50F71" w:rsidRDefault="00407D0F" w:rsidP="00B50F71">
            <w:pPr>
              <w:pStyle w:val="Tabletext"/>
              <w:ind w:left="0" w:right="0"/>
              <w:rPr>
                <w:sz w:val="20"/>
                <w:szCs w:val="20"/>
              </w:rPr>
            </w:pPr>
            <w:r w:rsidRPr="00B50F71">
              <w:rPr>
                <w:sz w:val="20"/>
                <w:szCs w:val="20"/>
              </w:rPr>
              <w:t>13.8 (4.9, 23.1)</w:t>
            </w:r>
          </w:p>
        </w:tc>
        <w:tc>
          <w:tcPr>
            <w:tcW w:w="1763" w:type="dxa"/>
          </w:tcPr>
          <w:p w14:paraId="6BA6FE95" w14:textId="77777777" w:rsidR="00407D0F" w:rsidRPr="00B50F71" w:rsidRDefault="00407D0F" w:rsidP="00B50F71">
            <w:pPr>
              <w:pStyle w:val="Tabletext"/>
              <w:ind w:left="0" w:right="0"/>
              <w:rPr>
                <w:sz w:val="20"/>
                <w:szCs w:val="20"/>
              </w:rPr>
            </w:pPr>
            <w:r w:rsidRPr="00B50F71">
              <w:rPr>
                <w:sz w:val="20"/>
                <w:szCs w:val="20"/>
              </w:rPr>
              <w:t>14.7 (7.4, 17.7)</w:t>
            </w:r>
          </w:p>
        </w:tc>
      </w:tr>
    </w:tbl>
    <w:p w14:paraId="533C763B" w14:textId="4BEB00A7" w:rsidR="00DF6DE3" w:rsidRPr="00400B3D" w:rsidRDefault="00DA3D21" w:rsidP="00400B3D">
      <w:pPr>
        <w:pStyle w:val="TableDescription"/>
      </w:pPr>
      <w:bookmarkStart w:id="72" w:name="_Ref69910780"/>
      <w:r w:rsidRPr="00400B3D">
        <w:t xml:space="preserve">Abbreviations: </w:t>
      </w:r>
      <w:r w:rsidR="00D6299E" w:rsidRPr="00400B3D">
        <w:t xml:space="preserve">ADA = antidrug antibody; chemo = chemotherapy; CI = confidence interval; </w:t>
      </w:r>
      <w:r w:rsidR="003672E7" w:rsidRPr="00400B3D">
        <w:t xml:space="preserve">n = numbers of subjects in group; </w:t>
      </w:r>
      <w:r w:rsidR="00DF6DE3" w:rsidRPr="00400B3D">
        <w:t xml:space="preserve">IC = immune cell; </w:t>
      </w:r>
      <w:r w:rsidR="00D6299E" w:rsidRPr="00400B3D">
        <w:t>NE = non-estimable</w:t>
      </w:r>
      <w:r w:rsidR="00DF6DE3" w:rsidRPr="00400B3D">
        <w:t>; TC = tumour cell.</w:t>
      </w:r>
    </w:p>
    <w:p w14:paraId="0DBCE49A" w14:textId="2B947A3F" w:rsidR="00DA3D21" w:rsidRPr="00400B3D" w:rsidRDefault="00DA3D21" w:rsidP="00400B3D">
      <w:pPr>
        <w:pStyle w:val="TableDescription"/>
      </w:pPr>
      <w:r w:rsidRPr="00400B3D">
        <w:t>TC3 or IC3 denotes PD-L1 expression on ≥ 50% of tumour cells or on ≥ 10% of immune cells (PD-L1 expression ‘high’).</w:t>
      </w:r>
    </w:p>
    <w:p w14:paraId="552E58BD" w14:textId="68B08A9D" w:rsidR="008641AB" w:rsidRPr="00400B3D" w:rsidRDefault="008641AB" w:rsidP="00400B3D">
      <w:pPr>
        <w:pStyle w:val="TableDescription"/>
      </w:pPr>
      <w:r w:rsidRPr="00400B3D">
        <w:t>Extract from</w:t>
      </w:r>
      <w:r w:rsidR="0080592A" w:rsidRPr="0080592A">
        <w:t xml:space="preserve"> European Medicines Agency</w:t>
      </w:r>
      <w:r w:rsidR="0080592A">
        <w:t xml:space="preserve"> (</w:t>
      </w:r>
      <w:r w:rsidRPr="00400B3D">
        <w:t>EMA</w:t>
      </w:r>
      <w:r w:rsidR="0080592A">
        <w:t>)</w:t>
      </w:r>
      <w:r w:rsidRPr="00400B3D">
        <w:t xml:space="preserve"> </w:t>
      </w:r>
      <w:r w:rsidR="0080592A" w:rsidRPr="0080592A">
        <w:t xml:space="preserve">Committee for Medicinal Products for Human Use </w:t>
      </w:r>
      <w:r w:rsidR="0080592A">
        <w:t>(</w:t>
      </w:r>
      <w:r w:rsidRPr="00400B3D">
        <w:t>CHMP</w:t>
      </w:r>
      <w:r w:rsidR="0080592A">
        <w:t>)</w:t>
      </w:r>
      <w:r w:rsidRPr="00400B3D">
        <w:t xml:space="preserve"> </w:t>
      </w:r>
      <w:proofErr w:type="gramStart"/>
      <w:r w:rsidRPr="00400B3D">
        <w:t>rapporteurs</w:t>
      </w:r>
      <w:proofErr w:type="gramEnd"/>
      <w:r w:rsidRPr="00400B3D">
        <w:t xml:space="preserve"> joint assessment report, after two rounds of questions and answers, supplied by sponsor to TGA for reference.</w:t>
      </w:r>
      <w:r w:rsidR="00716528" w:rsidRPr="00400B3D">
        <w:rPr>
          <w:vertAlign w:val="superscript"/>
        </w:rPr>
        <w:fldChar w:fldCharType="begin"/>
      </w:r>
      <w:r w:rsidR="00716528" w:rsidRPr="00400B3D">
        <w:rPr>
          <w:vertAlign w:val="superscript"/>
        </w:rPr>
        <w:instrText xml:space="preserve"> NOTEREF _Ref106705086 \h  \* MERGEFORMAT </w:instrText>
      </w:r>
      <w:r w:rsidR="00716528" w:rsidRPr="00400B3D">
        <w:rPr>
          <w:vertAlign w:val="superscript"/>
        </w:rPr>
      </w:r>
      <w:r w:rsidR="00716528" w:rsidRPr="00400B3D">
        <w:rPr>
          <w:vertAlign w:val="superscript"/>
        </w:rPr>
        <w:fldChar w:fldCharType="separate"/>
      </w:r>
      <w:r w:rsidR="00C05B15">
        <w:rPr>
          <w:vertAlign w:val="superscript"/>
        </w:rPr>
        <w:t>20</w:t>
      </w:r>
      <w:r w:rsidR="00716528" w:rsidRPr="00400B3D">
        <w:rPr>
          <w:vertAlign w:val="superscript"/>
        </w:rPr>
        <w:fldChar w:fldCharType="end"/>
      </w:r>
    </w:p>
    <w:p w14:paraId="4EEADD5E" w14:textId="56B36125" w:rsidR="00696BFE" w:rsidRPr="00400B3D" w:rsidRDefault="00696BFE" w:rsidP="00400B3D">
      <w:pPr>
        <w:pStyle w:val="TableDescription"/>
      </w:pPr>
      <w:r w:rsidRPr="00400B3D">
        <w:t xml:space="preserve">Note: Further follow up 17 months compared to data presented in </w:t>
      </w:r>
      <w:r w:rsidRPr="00400B3D">
        <w:fldChar w:fldCharType="begin"/>
      </w:r>
      <w:r w:rsidRPr="00400B3D">
        <w:instrText xml:space="preserve"> REF _Ref69810053 \h  \* MERGEFORMAT </w:instrText>
      </w:r>
      <w:r w:rsidRPr="00400B3D">
        <w:fldChar w:fldCharType="separate"/>
      </w:r>
      <w:r w:rsidR="00C05B15" w:rsidRPr="00400B3D">
        <w:t xml:space="preserve">Table </w:t>
      </w:r>
      <w:r w:rsidR="00C05B15">
        <w:t>13</w:t>
      </w:r>
      <w:r w:rsidRPr="00400B3D">
        <w:fldChar w:fldCharType="end"/>
      </w:r>
      <w:r w:rsidR="003672E7" w:rsidRPr="00400B3D">
        <w:t>.</w:t>
      </w:r>
    </w:p>
    <w:p w14:paraId="035BAB0C" w14:textId="104CB4D1" w:rsidR="00407D0F" w:rsidRPr="00400B3D" w:rsidRDefault="00407D0F" w:rsidP="00E667E9">
      <w:pPr>
        <w:pStyle w:val="FigureTitle"/>
      </w:pPr>
      <w:r w:rsidRPr="00400B3D">
        <w:t xml:space="preserve">Figure </w:t>
      </w:r>
      <w:fldSimple w:instr=" SEQ Figure \* ARABIC ">
        <w:r w:rsidR="00C05B15">
          <w:rPr>
            <w:noProof/>
          </w:rPr>
          <w:t>3</w:t>
        </w:r>
      </w:fldSimple>
      <w:bookmarkEnd w:id="72"/>
      <w:r w:rsidR="00D6299E" w:rsidRPr="00400B3D">
        <w:t>:</w:t>
      </w:r>
      <w:r w:rsidRPr="00400B3D">
        <w:t xml:space="preserve"> </w:t>
      </w:r>
      <w:r w:rsidR="009258F9" w:rsidRPr="00400B3D">
        <w:t>IMPOWER</w:t>
      </w:r>
      <w:r w:rsidR="004877F8" w:rsidRPr="00400B3D">
        <w:t xml:space="preserve">110 trial (Study GO29431) </w:t>
      </w:r>
      <w:r w:rsidRPr="00400B3D">
        <w:t xml:space="preserve">Kaplan-Meier plot of updated overall survival exploratory analysis by treatment-emergent </w:t>
      </w:r>
      <w:r w:rsidR="004877F8" w:rsidRPr="00400B3D">
        <w:t>antidrug antibody</w:t>
      </w:r>
      <w:r w:rsidRPr="00400B3D">
        <w:t xml:space="preserve"> status in the </w:t>
      </w:r>
      <w:r w:rsidR="00DA3D21" w:rsidRPr="00400B3D">
        <w:t>TC3/IC3 population</w:t>
      </w:r>
      <w:r w:rsidR="004877F8" w:rsidRPr="00400B3D">
        <w:t xml:space="preserve"> (intent-to-treat population, wild-type)</w:t>
      </w:r>
    </w:p>
    <w:p w14:paraId="6EBDAE58" w14:textId="51BED6C5" w:rsidR="00407D0F" w:rsidRDefault="00407D0F" w:rsidP="00400B3D">
      <w:pPr>
        <w:rPr>
          <w:lang w:val="en-US"/>
        </w:rPr>
      </w:pPr>
      <w:r w:rsidRPr="00E32A62">
        <w:rPr>
          <w:noProof/>
          <w:lang w:val="en-GB" w:eastAsia="en-GB"/>
        </w:rPr>
        <w:drawing>
          <wp:inline distT="0" distB="0" distL="0" distR="0" wp14:anchorId="6C25BC38" wp14:editId="1C24F78E">
            <wp:extent cx="5734006" cy="3008753"/>
            <wp:effectExtent l="0" t="0" r="635" b="1270"/>
            <wp:docPr id="8" name="Picture 8" descr="Figure 3: IMPOWER110 trial (Study GO29431) Kaplan-Meier plot of updated overall survival exploratory analysis by treatment-emergent antidrug antibody status in the TC3/IC3 population (intent-to-treat population, wild-typ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3: IMPOWER110 trial (Study GO29431) Kaplan-Meier plot of updated overall survival exploratory analysis by treatment-emergent antidrug antibody status in the TC3/IC3 population (intent-to-treat population, wild-type)"/>
                    <pic:cNvPicPr/>
                  </pic:nvPicPr>
                  <pic:blipFill rotWithShape="1">
                    <a:blip r:embed="rId22"/>
                    <a:srcRect l="1310" t="11225" r="1995" b="12854"/>
                    <a:stretch/>
                  </pic:blipFill>
                  <pic:spPr bwMode="auto">
                    <a:xfrm>
                      <a:off x="0" y="0"/>
                      <a:ext cx="5747736" cy="3015958"/>
                    </a:xfrm>
                    <a:prstGeom prst="rect">
                      <a:avLst/>
                    </a:prstGeom>
                    <a:ln>
                      <a:noFill/>
                    </a:ln>
                    <a:extLst>
                      <a:ext uri="{53640926-AAD7-44D8-BBD7-CCE9431645EC}">
                        <a14:shadowObscured xmlns:a14="http://schemas.microsoft.com/office/drawing/2010/main"/>
                      </a:ext>
                    </a:extLst>
                  </pic:spPr>
                </pic:pic>
              </a:graphicData>
            </a:graphic>
          </wp:inline>
        </w:drawing>
      </w:r>
    </w:p>
    <w:p w14:paraId="2F8C2515" w14:textId="3874ED77" w:rsidR="00DF6DE3" w:rsidRDefault="00DA3D21" w:rsidP="00400B3D">
      <w:pPr>
        <w:pStyle w:val="TableDescription"/>
      </w:pPr>
      <w:r>
        <w:t xml:space="preserve">Abbreviations: </w:t>
      </w:r>
      <w:r w:rsidR="004877F8">
        <w:t>ADA = antidrug antibodies; ADA+ = antidrug antibody positive; ADA- = antidrug antibody negative; CI</w:t>
      </w:r>
      <w:r>
        <w:t> </w:t>
      </w:r>
      <w:r w:rsidR="004877F8">
        <w:t>=</w:t>
      </w:r>
      <w:r>
        <w:t> </w:t>
      </w:r>
      <w:r w:rsidR="004877F8">
        <w:t xml:space="preserve">confidence interval; </w:t>
      </w:r>
      <w:r w:rsidR="00DF6DE3">
        <w:t>IC = i</w:t>
      </w:r>
      <w:r w:rsidR="00DF6DE3" w:rsidRPr="008159EE">
        <w:t>mmune cell</w:t>
      </w:r>
      <w:r w:rsidR="00DF6DE3">
        <w:t xml:space="preserve">; </w:t>
      </w:r>
      <w:r w:rsidR="004877F8">
        <w:t xml:space="preserve">N = numbers of patients; </w:t>
      </w:r>
      <w:r w:rsidR="009E2618">
        <w:t xml:space="preserve">n = numbers of subjects in group; </w:t>
      </w:r>
      <w:r w:rsidR="004877F8">
        <w:t>NE = not estimable</w:t>
      </w:r>
      <w:r w:rsidR="00DF6DE3">
        <w:t xml:space="preserve">; TC = </w:t>
      </w:r>
      <w:r w:rsidR="00DF6DE3">
        <w:rPr>
          <w:shd w:val="clear" w:color="auto" w:fill="FFFFFF"/>
        </w:rPr>
        <w:t>t</w:t>
      </w:r>
      <w:r w:rsidR="00DF6DE3" w:rsidRPr="008159EE">
        <w:rPr>
          <w:shd w:val="clear" w:color="auto" w:fill="FFFFFF"/>
        </w:rPr>
        <w:t>umour cell</w:t>
      </w:r>
      <w:r w:rsidR="00DF6DE3">
        <w:rPr>
          <w:shd w:val="clear" w:color="auto" w:fill="FFFFFF"/>
        </w:rPr>
        <w:t>.</w:t>
      </w:r>
    </w:p>
    <w:p w14:paraId="21FED9EF" w14:textId="77777777" w:rsidR="00DA3D21" w:rsidRDefault="00DA3D21" w:rsidP="00400B3D">
      <w:pPr>
        <w:pStyle w:val="TableDescription"/>
      </w:pPr>
      <w:r>
        <w:t>TC3 or IC3 denotes PD-L1 expression on ≥ 50% of tumour cells or on ≥ 10% of immune cells (PD-L1 expression ‘high’).</w:t>
      </w:r>
    </w:p>
    <w:p w14:paraId="1356E6C8" w14:textId="2E30BBB8" w:rsidR="004877F8" w:rsidRDefault="004877F8" w:rsidP="00400B3D">
      <w:pPr>
        <w:pStyle w:val="TableDescription"/>
      </w:pPr>
      <w:r>
        <w:t xml:space="preserve">Note: from </w:t>
      </w:r>
      <w:r w:rsidRPr="00E32A62">
        <w:t>same datas</w:t>
      </w:r>
      <w:r>
        <w:t xml:space="preserve">et as shown </w:t>
      </w:r>
      <w:r w:rsidRPr="00E32A62">
        <w:t xml:space="preserve">in </w:t>
      </w:r>
      <w:r w:rsidR="00716528">
        <w:fldChar w:fldCharType="begin"/>
      </w:r>
      <w:r w:rsidR="00716528">
        <w:instrText xml:space="preserve"> REF _Ref108515510 \h </w:instrText>
      </w:r>
      <w:r w:rsidR="00400B3D">
        <w:instrText xml:space="preserve"> \* MERGEFORMAT </w:instrText>
      </w:r>
      <w:r w:rsidR="00716528">
        <w:fldChar w:fldCharType="separate"/>
      </w:r>
      <w:r w:rsidR="00C05B15" w:rsidRPr="003672E7">
        <w:t xml:space="preserve">Table </w:t>
      </w:r>
      <w:r w:rsidR="00C05B15">
        <w:rPr>
          <w:noProof/>
        </w:rPr>
        <w:t>14</w:t>
      </w:r>
      <w:r w:rsidR="00716528">
        <w:fldChar w:fldCharType="end"/>
      </w:r>
      <w:r w:rsidR="00716528">
        <w:t>.</w:t>
      </w:r>
    </w:p>
    <w:p w14:paraId="130B3233" w14:textId="77777777" w:rsidR="007E45AA" w:rsidRDefault="004877F8" w:rsidP="00400B3D">
      <w:pPr>
        <w:pStyle w:val="TableDescription"/>
      </w:pPr>
      <w:r>
        <w:lastRenderedPageBreak/>
        <w:t>Randomised treatments are displayed.</w:t>
      </w:r>
    </w:p>
    <w:p w14:paraId="3C1EE9C2" w14:textId="09AD7D1E" w:rsidR="004877F8" w:rsidRDefault="004877F8" w:rsidP="00400B3D">
      <w:pPr>
        <w:pStyle w:val="TableDescription"/>
      </w:pPr>
      <w:r>
        <w:t xml:space="preserve">Stratification factors are: Sex (male versus female) and ECOG performance-status score (0 versus 1). Intent-to-treat wild-type patients are populations excluding patients with a sensitizing </w:t>
      </w:r>
      <w:r w:rsidRPr="00B178E4">
        <w:rPr>
          <w:i/>
        </w:rPr>
        <w:t>EGFR</w:t>
      </w:r>
      <w:r>
        <w:t xml:space="preserve"> mutation or </w:t>
      </w:r>
      <w:r w:rsidRPr="00B178E4">
        <w:rPr>
          <w:i/>
        </w:rPr>
        <w:t>ALK</w:t>
      </w:r>
      <w:r>
        <w:t xml:space="preserve"> translocation).</w:t>
      </w:r>
    </w:p>
    <w:p w14:paraId="21421BFC" w14:textId="5FA59381" w:rsidR="004877F8" w:rsidRPr="00E32A62" w:rsidRDefault="004877F8" w:rsidP="00400B3D">
      <w:pPr>
        <w:pStyle w:val="TableDescription"/>
        <w:rPr>
          <w:lang w:val="en-US"/>
        </w:rPr>
      </w:pPr>
      <w:r>
        <w:t>Data extraction date: 24 March 2020; data cut-off date: 4 February 2020.</w:t>
      </w:r>
    </w:p>
    <w:p w14:paraId="234CEE86" w14:textId="63C91D9A" w:rsidR="00407D0F" w:rsidRPr="009E2618" w:rsidRDefault="00407D0F" w:rsidP="00400B3D">
      <w:pPr>
        <w:pStyle w:val="TableTitle"/>
      </w:pPr>
      <w:bookmarkStart w:id="73" w:name="_Ref69809260"/>
      <w:r w:rsidRPr="009E2618">
        <w:t xml:space="preserve">Table </w:t>
      </w:r>
      <w:fldSimple w:instr=" SEQ Table \* ARABIC ">
        <w:r w:rsidR="00C05B15">
          <w:rPr>
            <w:noProof/>
          </w:rPr>
          <w:t>15</w:t>
        </w:r>
      </w:fldSimple>
      <w:bookmarkEnd w:id="73"/>
      <w:r w:rsidR="00D6299E" w:rsidRPr="009E2618">
        <w:t>:</w:t>
      </w:r>
      <w:r w:rsidRPr="009E2618">
        <w:t xml:space="preserve"> </w:t>
      </w:r>
      <w:r w:rsidR="009258F9" w:rsidRPr="009E2618">
        <w:t>IMPOWER</w:t>
      </w:r>
      <w:r w:rsidR="00696BFE" w:rsidRPr="009E2618">
        <w:t>110 trial (Study GO29431) S</w:t>
      </w:r>
      <w:r w:rsidRPr="009E2618">
        <w:t>ummar</w:t>
      </w:r>
      <w:r w:rsidR="00696BFE" w:rsidRPr="009E2618">
        <w:t>y of</w:t>
      </w:r>
      <w:r w:rsidRPr="009E2618">
        <w:t xml:space="preserve"> exploratory safety analysis by </w:t>
      </w:r>
      <w:r w:rsidR="00D6299E" w:rsidRPr="009E2618">
        <w:t>antidrug antibody</w:t>
      </w:r>
      <w:r w:rsidRPr="009E2618">
        <w:t xml:space="preserve"> subgroups in </w:t>
      </w:r>
      <w:r w:rsidR="00696BFE" w:rsidRPr="009E2618">
        <w:t>the safety evaluable population</w:t>
      </w:r>
    </w:p>
    <w:p w14:paraId="5DAAA014" w14:textId="4CF9E449" w:rsidR="00460DD3" w:rsidRPr="00716528" w:rsidRDefault="00460DD3" w:rsidP="00400B3D">
      <w:r>
        <w:rPr>
          <w:noProof/>
          <w:lang w:val="en-GB" w:eastAsia="en-GB"/>
        </w:rPr>
        <w:drawing>
          <wp:inline distT="0" distB="0" distL="0" distR="0" wp14:anchorId="29B7AB79" wp14:editId="5AE893E7">
            <wp:extent cx="5400040" cy="1927225"/>
            <wp:effectExtent l="0" t="0" r="0" b="0"/>
            <wp:docPr id="28" name="Picture 28" descr="Table 15: IMPOWER110 trial (Study GO29431) Summary of exploratory safety analysis by antidrug antibody subgroups in the safety evaluable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able 15: IMPOWER110 trial (Study GO29431) Summary of exploratory safety analysis by antidrug antibody subgroups in the safety evaluable population"/>
                    <pic:cNvPicPr/>
                  </pic:nvPicPr>
                  <pic:blipFill>
                    <a:blip r:embed="rId23"/>
                    <a:stretch>
                      <a:fillRect/>
                    </a:stretch>
                  </pic:blipFill>
                  <pic:spPr>
                    <a:xfrm>
                      <a:off x="0" y="0"/>
                      <a:ext cx="5400040" cy="1927225"/>
                    </a:xfrm>
                    <a:prstGeom prst="rect">
                      <a:avLst/>
                    </a:prstGeom>
                  </pic:spPr>
                </pic:pic>
              </a:graphicData>
            </a:graphic>
          </wp:inline>
        </w:drawing>
      </w:r>
    </w:p>
    <w:p w14:paraId="09431879" w14:textId="0068820E" w:rsidR="00460DD3" w:rsidRPr="00400B3D" w:rsidRDefault="00DA3D21" w:rsidP="00400B3D">
      <w:pPr>
        <w:pStyle w:val="TableDescription"/>
      </w:pPr>
      <w:r w:rsidRPr="00400B3D">
        <w:t xml:space="preserve">Abbreviations: </w:t>
      </w:r>
      <w:r w:rsidR="00460DD3" w:rsidRPr="00400B3D">
        <w:t>ADA = antidrug antibody; AE = adverse event</w:t>
      </w:r>
      <w:r w:rsidR="009E2618" w:rsidRPr="00400B3D">
        <w:t xml:space="preserve">; </w:t>
      </w:r>
      <w:r w:rsidR="00460DD3" w:rsidRPr="00400B3D">
        <w:t xml:space="preserve">N = </w:t>
      </w:r>
      <w:r w:rsidR="008159EE" w:rsidRPr="00400B3D">
        <w:t>total number of subjects</w:t>
      </w:r>
      <w:r w:rsidR="009E2618" w:rsidRPr="00400B3D">
        <w:t>.</w:t>
      </w:r>
    </w:p>
    <w:p w14:paraId="4045F559" w14:textId="3813D3A8" w:rsidR="00460DD3" w:rsidRPr="00400B3D" w:rsidRDefault="00460DD3" w:rsidP="00400B3D">
      <w:pPr>
        <w:pStyle w:val="TableDescription"/>
      </w:pPr>
      <w:r w:rsidRPr="00400B3D">
        <w:t>Only events reported in the Adverse Events Form are included.</w:t>
      </w:r>
    </w:p>
    <w:p w14:paraId="01098324" w14:textId="1EC9D668" w:rsidR="00460DD3" w:rsidRPr="00400B3D" w:rsidRDefault="00460DD3" w:rsidP="00E667E9">
      <w:pPr>
        <w:pStyle w:val="TableDescription"/>
      </w:pPr>
      <w:r w:rsidRPr="00400B3D">
        <w:t xml:space="preserve">Investigator text for AEs encoded using </w:t>
      </w:r>
      <w:r w:rsidR="00716528" w:rsidRPr="00400B3D">
        <w:t>Medical Dictionary for Regulatory Activities (</w:t>
      </w:r>
      <w:r w:rsidRPr="00400B3D">
        <w:t>MedDRA</w:t>
      </w:r>
      <w:r w:rsidR="00716528" w:rsidRPr="00400B3D">
        <w:t>);</w:t>
      </w:r>
      <w:r w:rsidR="00716528" w:rsidRPr="00400B3D">
        <w:rPr>
          <w:rStyle w:val="FootnoteReference"/>
        </w:rPr>
        <w:footnoteReference w:id="22"/>
      </w:r>
      <w:r w:rsidRPr="00400B3D">
        <w:t xml:space="preserve"> version</w:t>
      </w:r>
      <w:r w:rsidR="00400B3D">
        <w:t> </w:t>
      </w:r>
      <w:r w:rsidRPr="00400B3D">
        <w:t>22.0. Percentages are based</w:t>
      </w:r>
      <w:r w:rsidR="009E2618" w:rsidRPr="00400B3D">
        <w:t xml:space="preserve"> </w:t>
      </w:r>
      <w:r w:rsidRPr="00400B3D">
        <w:t>on N in the column headings. Multiple occurrences of the same AE in one individual are counted only once except for ‘total number of events’ row in which multiple occurrences of the same AE are counted separately.</w:t>
      </w:r>
    </w:p>
    <w:p w14:paraId="5BEFDA17" w14:textId="6BABB73C" w:rsidR="00460DD3" w:rsidRPr="00400B3D" w:rsidRDefault="00460DD3" w:rsidP="00400B3D">
      <w:pPr>
        <w:pStyle w:val="TableDescription"/>
      </w:pPr>
      <w:r w:rsidRPr="00400B3D">
        <w:t>Counts in ‘Grade 3</w:t>
      </w:r>
      <w:r w:rsidR="000036F6" w:rsidRPr="00400B3D">
        <w:t xml:space="preserve"> to </w:t>
      </w:r>
      <w:r w:rsidRPr="00400B3D">
        <w:t>4 AE’ are number of patients whose highest grades of AE are 3 or 4.</w:t>
      </w:r>
    </w:p>
    <w:p w14:paraId="76F60F75" w14:textId="00EF3D8C" w:rsidR="00460DD3" w:rsidRPr="00400B3D" w:rsidRDefault="00460DD3" w:rsidP="00400B3D">
      <w:pPr>
        <w:pStyle w:val="TableDescription"/>
      </w:pPr>
      <w:r w:rsidRPr="00400B3D">
        <w:t xml:space="preserve">Data </w:t>
      </w:r>
      <w:r w:rsidR="009E2618" w:rsidRPr="00400B3D">
        <w:t>extraction date</w:t>
      </w:r>
      <w:r w:rsidRPr="00400B3D">
        <w:t xml:space="preserve">: 31 august 2019; </w:t>
      </w:r>
      <w:r w:rsidR="009E2618" w:rsidRPr="00400B3D">
        <w:t>d</w:t>
      </w:r>
      <w:r w:rsidRPr="00400B3D">
        <w:t xml:space="preserve">ata </w:t>
      </w:r>
      <w:r w:rsidR="00400B3D">
        <w:t>c</w:t>
      </w:r>
      <w:r w:rsidRPr="00400B3D">
        <w:t>ut-off date: 10 September 2018.</w:t>
      </w:r>
    </w:p>
    <w:p w14:paraId="256130D6" w14:textId="1DC6A9BA" w:rsidR="00407D0F" w:rsidRPr="00696BFE" w:rsidRDefault="00407D0F" w:rsidP="00E667E9">
      <w:r w:rsidRPr="00696BFE">
        <w:t xml:space="preserve">The relevance of ADAs is discussed </w:t>
      </w:r>
      <w:r w:rsidRPr="00D6299E">
        <w:t xml:space="preserve">under </w:t>
      </w:r>
      <w:r w:rsidR="00F659BC">
        <w:t>S</w:t>
      </w:r>
      <w:r w:rsidR="00D6299E" w:rsidRPr="00D6299E">
        <w:t>ection</w:t>
      </w:r>
      <w:r w:rsidR="00F659BC">
        <w:t xml:space="preserve">: </w:t>
      </w:r>
      <w:r w:rsidRPr="00D6299E">
        <w:fldChar w:fldCharType="begin"/>
      </w:r>
      <w:r w:rsidRPr="00D6299E">
        <w:instrText xml:space="preserve"> REF _Ref63844093 \h  \* MERGEFORMAT </w:instrText>
      </w:r>
      <w:r w:rsidRPr="00D6299E">
        <w:fldChar w:fldCharType="separate"/>
      </w:r>
      <w:r w:rsidR="00C05B15">
        <w:t>Immunogenicity</w:t>
      </w:r>
      <w:r w:rsidRPr="00D6299E">
        <w:fldChar w:fldCharType="end"/>
      </w:r>
      <w:r w:rsidR="00D6299E" w:rsidRPr="00D6299E">
        <w:t>, below</w:t>
      </w:r>
      <w:r w:rsidR="00D6299E">
        <w:t>.</w:t>
      </w:r>
    </w:p>
    <w:p w14:paraId="1C9B560A" w14:textId="77777777" w:rsidR="00407D0F" w:rsidRPr="00E32A62" w:rsidRDefault="00407D0F" w:rsidP="00B50F71">
      <w:pPr>
        <w:pStyle w:val="Heading4"/>
      </w:pPr>
      <w:bookmarkStart w:id="74" w:name="_Ref63843891"/>
      <w:r w:rsidRPr="00E32A62">
        <w:t>Companion diagnostic considerations</w:t>
      </w:r>
      <w:bookmarkEnd w:id="67"/>
      <w:bookmarkEnd w:id="74"/>
    </w:p>
    <w:p w14:paraId="0E407E60" w14:textId="5115DBB4" w:rsidR="00407D0F" w:rsidRDefault="00407D0F" w:rsidP="00407D0F">
      <w:r w:rsidRPr="00E32A62">
        <w:t>A range of assays for PD-L1 have been developed simultaneously</w:t>
      </w:r>
      <w:r w:rsidRPr="009A1682">
        <w:t xml:space="preserve"> by competing companies, each </w:t>
      </w:r>
      <w:r>
        <w:t>using different antibody clones</w:t>
      </w:r>
      <w:r w:rsidRPr="002966D9">
        <w:t xml:space="preserve"> </w:t>
      </w:r>
      <w:r>
        <w:t xml:space="preserve">(such as </w:t>
      </w:r>
      <w:r w:rsidR="00D6299E">
        <w:t xml:space="preserve">the </w:t>
      </w:r>
      <w:proofErr w:type="spellStart"/>
      <w:r w:rsidR="00D6299E">
        <w:t>Dako</w:t>
      </w:r>
      <w:proofErr w:type="spellEnd"/>
      <w:r w:rsidRPr="009A1682">
        <w:t xml:space="preserve"> 22C3, </w:t>
      </w:r>
      <w:proofErr w:type="spellStart"/>
      <w:r w:rsidR="00D6299E">
        <w:t>Dako</w:t>
      </w:r>
      <w:proofErr w:type="spellEnd"/>
      <w:r w:rsidR="00D6299E">
        <w:t xml:space="preserve"> </w:t>
      </w:r>
      <w:r w:rsidRPr="009A1682">
        <w:t>28-8</w:t>
      </w:r>
      <w:r>
        <w:t xml:space="preserve"> </w:t>
      </w:r>
      <w:r w:rsidRPr="009A1682">
        <w:t>and Ventana SP263</w:t>
      </w:r>
      <w:r>
        <w:t xml:space="preserve">), and with different proprietary </w:t>
      </w:r>
      <w:r w:rsidRPr="009A1682">
        <w:t>testing platforms</w:t>
      </w:r>
      <w:r>
        <w:t xml:space="preserve"> and reagents</w:t>
      </w:r>
      <w:r w:rsidRPr="009A1682">
        <w:t xml:space="preserve"> to the others. </w:t>
      </w:r>
      <w:r>
        <w:t xml:space="preserve">Numerous studies have been performed to compare the analytical features of each PD-L1 assay </w:t>
      </w:r>
      <w:proofErr w:type="gramStart"/>
      <w:r>
        <w:t>in an effort to</w:t>
      </w:r>
      <w:proofErr w:type="gramEnd"/>
      <w:r>
        <w:t xml:space="preserve"> potentially harmonise the PD-L1 testing landscape in NSCLC.</w:t>
      </w:r>
    </w:p>
    <w:p w14:paraId="5B3CD9F4" w14:textId="09DF283E" w:rsidR="00407D0F" w:rsidRPr="008934DC" w:rsidRDefault="00407D0F" w:rsidP="00407D0F">
      <w:r>
        <w:t xml:space="preserve">There are </w:t>
      </w:r>
      <w:proofErr w:type="gramStart"/>
      <w:r>
        <w:t>a number of</w:t>
      </w:r>
      <w:proofErr w:type="gramEnd"/>
      <w:r>
        <w:t xml:space="preserve"> complexities around the use of the Ventana SP142</w:t>
      </w:r>
      <w:r w:rsidR="00161FAE">
        <w:t xml:space="preserve"> assay</w:t>
      </w:r>
      <w:r>
        <w:t xml:space="preserve"> test as a companion diagnostic assay, which are outlined below.</w:t>
      </w:r>
    </w:p>
    <w:p w14:paraId="48823E81" w14:textId="77777777" w:rsidR="00407D0F" w:rsidRDefault="00407D0F" w:rsidP="00B50F71">
      <w:pPr>
        <w:pStyle w:val="Heading5"/>
      </w:pPr>
      <w:bookmarkStart w:id="75" w:name="_Ref63758863"/>
      <w:r>
        <w:t xml:space="preserve">Complexity 1: faulty dispenser </w:t>
      </w:r>
      <w:bookmarkEnd w:id="75"/>
      <w:r>
        <w:t>lots</w:t>
      </w:r>
    </w:p>
    <w:p w14:paraId="47A4C509" w14:textId="1F4599FB" w:rsidR="00407D0F" w:rsidRDefault="00407D0F" w:rsidP="00407D0F">
      <w:r>
        <w:t xml:space="preserve">Faulty dispenser lots were deployed </w:t>
      </w:r>
      <w:proofErr w:type="gramStart"/>
      <w:r>
        <w:t>during the course of</w:t>
      </w:r>
      <w:proofErr w:type="gramEnd"/>
      <w:r>
        <w:t xml:space="preserve"> the </w:t>
      </w:r>
      <w:r w:rsidR="009258F9">
        <w:t>IMPOWER</w:t>
      </w:r>
      <w:r w:rsidR="00696BFE">
        <w:t xml:space="preserve">110 trial (Study GO29431) </w:t>
      </w:r>
      <w:r>
        <w:t>(as a componen</w:t>
      </w:r>
      <w:r w:rsidR="00696BFE">
        <w:t xml:space="preserve">t of the investigational PD-L1 </w:t>
      </w:r>
      <w:r w:rsidR="00696BFE" w:rsidRPr="009A1682">
        <w:t>Ventana SP263</w:t>
      </w:r>
      <w:r w:rsidR="00696BFE">
        <w:t xml:space="preserve"> </w:t>
      </w:r>
      <w:r>
        <w:t xml:space="preserve">assay) and </w:t>
      </w:r>
      <w:r>
        <w:lastRenderedPageBreak/>
        <w:t xml:space="preserve">were used to determine the PD-L1 status of 103 patients enrolled in </w:t>
      </w:r>
      <w:r w:rsidR="00D6299E">
        <w:t xml:space="preserve">the </w:t>
      </w:r>
      <w:r w:rsidR="009258F9">
        <w:t>IMPOWER</w:t>
      </w:r>
      <w:r w:rsidR="003F23C2">
        <w:t xml:space="preserve">110 trial (Study GO29431) </w:t>
      </w:r>
      <w:r>
        <w:t>(18% of the TC1/2/3 or IC1/2/3 population):</w:t>
      </w:r>
    </w:p>
    <w:p w14:paraId="4352242E" w14:textId="4F5B9098" w:rsidR="009E2618" w:rsidRDefault="00407D0F" w:rsidP="00E667E9">
      <w:pPr>
        <w:pStyle w:val="ListParagraph"/>
      </w:pPr>
      <w:r w:rsidRPr="003F23C2">
        <w:t xml:space="preserve">Analyses were performed to evaluate the impact of the detection dispenser issue on the </w:t>
      </w:r>
      <w:proofErr w:type="spellStart"/>
      <w:r w:rsidRPr="003F23C2">
        <w:t>enrollment</w:t>
      </w:r>
      <w:proofErr w:type="spellEnd"/>
      <w:r w:rsidRPr="003F23C2">
        <w:t xml:space="preserve"> and stratification of patients as well as patient-level concordance analyses. Sensitivity analyses were performed for OS </w:t>
      </w:r>
      <w:r w:rsidR="0046773A">
        <w:t>(</w:t>
      </w:r>
      <w:r w:rsidR="00161FAE">
        <w:t>overall survival</w:t>
      </w:r>
      <w:r w:rsidR="0046773A">
        <w:t>)</w:t>
      </w:r>
      <w:r w:rsidR="00161FAE">
        <w:t xml:space="preserve"> </w:t>
      </w:r>
      <w:r w:rsidRPr="003F23C2">
        <w:t>based on PD-L1 status defined by the highest PD-L1 level measures in th</w:t>
      </w:r>
      <w:r w:rsidR="003F23C2">
        <w:t xml:space="preserve">e original or re-tested sample. </w:t>
      </w:r>
      <w:r w:rsidR="0046773A">
        <w:t>(</w:t>
      </w:r>
      <w:r w:rsidRPr="003F23C2">
        <w:t>…</w:t>
      </w:r>
      <w:r w:rsidR="0046773A">
        <w:t>)</w:t>
      </w:r>
      <w:r w:rsidR="003F23C2">
        <w:t xml:space="preserve"> </w:t>
      </w:r>
      <w:r w:rsidRPr="003F23C2">
        <w:t>Tissue heterogeneity and the considerable distance (</w:t>
      </w:r>
      <w:r w:rsidR="003F23C2">
        <w:t xml:space="preserve">≥ </w:t>
      </w:r>
      <w:r w:rsidRPr="003F23C2">
        <w:t xml:space="preserve">80 </w:t>
      </w:r>
      <w:r w:rsidR="00716528">
        <w:t>µm</w:t>
      </w:r>
      <w:r w:rsidRPr="003F23C2">
        <w:t>) between sections of original and re-test samples may have contributed to the observed TC0 and IC0 results at re-testing. Only a directional change of PD-L1 status from PD-L1 positive (</w:t>
      </w:r>
      <w:r w:rsidR="00716528">
        <w:t>for example</w:t>
      </w:r>
      <w:r w:rsidRPr="003F23C2">
        <w:t>, TC1/2/3 or IC1/2/3) to TC0 and IC0 could be evaluated, as patients with an original PD-L1 score of TC0 and IC0 would have screen failed and samples were not availab</w:t>
      </w:r>
      <w:r w:rsidR="003F23C2">
        <w:t>le for re-testing and analysis.</w:t>
      </w:r>
    </w:p>
    <w:p w14:paraId="6DD17E5D" w14:textId="3CFCB8AE" w:rsidR="00407D0F" w:rsidRPr="009E2618" w:rsidRDefault="00407D0F" w:rsidP="00400B3D">
      <w:pPr>
        <w:pStyle w:val="TableTitle"/>
      </w:pPr>
      <w:r w:rsidRPr="009E2618">
        <w:t xml:space="preserve">Table </w:t>
      </w:r>
      <w:fldSimple w:instr=" SEQ Table \* ARABIC ">
        <w:r w:rsidR="00C05B15">
          <w:rPr>
            <w:noProof/>
          </w:rPr>
          <w:t>16</w:t>
        </w:r>
      </w:fldSimple>
      <w:r w:rsidR="00D6299E" w:rsidRPr="009E2618">
        <w:t>:</w:t>
      </w:r>
      <w:r w:rsidRPr="009E2618">
        <w:t xml:space="preserve"> </w:t>
      </w:r>
      <w:r w:rsidR="009258F9" w:rsidRPr="009E2618">
        <w:t>IMPOWER</w:t>
      </w:r>
      <w:r w:rsidR="003F23C2" w:rsidRPr="009E2618">
        <w:t xml:space="preserve">110 trial (Study GO29431) </w:t>
      </w:r>
      <w:r w:rsidRPr="009E2618">
        <w:t xml:space="preserve">Concordance between </w:t>
      </w:r>
      <w:r w:rsidR="003F23C2" w:rsidRPr="009E2618">
        <w:t xml:space="preserve">Ventana SP142 </w:t>
      </w:r>
      <w:r w:rsidRPr="009E2618">
        <w:t>result at enrolment (with faulty dispenser lots) and</w:t>
      </w:r>
      <w:r w:rsidR="00D6299E" w:rsidRPr="009E2618">
        <w:t xml:space="preserve"> on retesting</w:t>
      </w:r>
    </w:p>
    <w:tbl>
      <w:tblPr>
        <w:tblStyle w:val="TableTGAblue"/>
        <w:tblW w:w="8488" w:type="dxa"/>
        <w:tblCellMar>
          <w:left w:w="28" w:type="dxa"/>
          <w:right w:w="28" w:type="dxa"/>
        </w:tblCellMar>
        <w:tblLook w:val="0420" w:firstRow="1" w:lastRow="0" w:firstColumn="0" w:lastColumn="0" w:noHBand="0" w:noVBand="1"/>
      </w:tblPr>
      <w:tblGrid>
        <w:gridCol w:w="2155"/>
        <w:gridCol w:w="1417"/>
        <w:gridCol w:w="1985"/>
        <w:gridCol w:w="1417"/>
        <w:gridCol w:w="1514"/>
      </w:tblGrid>
      <w:tr w:rsidR="00407D0F" w:rsidRPr="003B78C4" w14:paraId="52FE28FD" w14:textId="77777777" w:rsidTr="00DF6DE3">
        <w:trPr>
          <w:cnfStyle w:val="100000000000" w:firstRow="1" w:lastRow="0" w:firstColumn="0" w:lastColumn="0" w:oddVBand="0" w:evenVBand="0" w:oddHBand="0" w:evenHBand="0" w:firstRowFirstColumn="0" w:firstRowLastColumn="0" w:lastRowFirstColumn="0" w:lastRowLastColumn="0"/>
          <w:trHeight w:val="20"/>
        </w:trPr>
        <w:tc>
          <w:tcPr>
            <w:tcW w:w="215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8E9AF52" w14:textId="77777777" w:rsidR="00407D0F" w:rsidRPr="00716528" w:rsidRDefault="00407D0F" w:rsidP="006E617D">
            <w:pPr>
              <w:pStyle w:val="Tabletext"/>
              <w:ind w:left="0" w:right="0"/>
              <w:rPr>
                <w:szCs w:val="19"/>
              </w:rPr>
            </w:pPr>
          </w:p>
        </w:tc>
        <w:tc>
          <w:tcPr>
            <w:tcW w:w="6333"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vAlign w:val="bottom"/>
          </w:tcPr>
          <w:p w14:paraId="57F7A83E" w14:textId="77777777" w:rsidR="00407D0F" w:rsidRPr="005E2B92" w:rsidRDefault="00407D0F" w:rsidP="00B178E4">
            <w:r w:rsidRPr="005E2B92">
              <w:t>Original test result using faulty kit</w:t>
            </w:r>
          </w:p>
        </w:tc>
      </w:tr>
      <w:tr w:rsidR="00407D0F" w:rsidRPr="003B78C4" w14:paraId="505C2674" w14:textId="77777777" w:rsidTr="00DF6DE3">
        <w:trPr>
          <w:trHeight w:val="20"/>
        </w:trPr>
        <w:tc>
          <w:tcPr>
            <w:tcW w:w="2155" w:type="dxa"/>
            <w:vAlign w:val="bottom"/>
          </w:tcPr>
          <w:p w14:paraId="7B776346" w14:textId="77777777" w:rsidR="00407D0F" w:rsidRPr="00716528" w:rsidRDefault="00407D0F" w:rsidP="006E617D">
            <w:pPr>
              <w:pStyle w:val="Tabletext"/>
              <w:ind w:left="0" w:right="0"/>
              <w:rPr>
                <w:szCs w:val="19"/>
              </w:rPr>
            </w:pPr>
          </w:p>
        </w:tc>
        <w:tc>
          <w:tcPr>
            <w:tcW w:w="1417" w:type="dxa"/>
            <w:vAlign w:val="bottom"/>
          </w:tcPr>
          <w:p w14:paraId="2E286DD1" w14:textId="79F64FEE" w:rsidR="00407D0F" w:rsidRPr="00716528" w:rsidRDefault="00407D0F" w:rsidP="00B178E4">
            <w:pPr>
              <w:pStyle w:val="Tabletext"/>
              <w:ind w:left="0" w:right="0"/>
              <w:jc w:val="center"/>
              <w:rPr>
                <w:szCs w:val="19"/>
              </w:rPr>
            </w:pPr>
            <w:r w:rsidRPr="00716528">
              <w:rPr>
                <w:szCs w:val="19"/>
              </w:rPr>
              <w:t>High (N</w:t>
            </w:r>
            <w:r w:rsidR="00D6299E" w:rsidRPr="00716528">
              <w:rPr>
                <w:szCs w:val="19"/>
              </w:rPr>
              <w:t xml:space="preserve"> </w:t>
            </w:r>
            <w:r w:rsidRPr="00716528">
              <w:rPr>
                <w:szCs w:val="19"/>
              </w:rPr>
              <w:t>=</w:t>
            </w:r>
            <w:r w:rsidR="00D6299E" w:rsidRPr="00716528">
              <w:rPr>
                <w:szCs w:val="19"/>
              </w:rPr>
              <w:t xml:space="preserve"> </w:t>
            </w:r>
            <w:r w:rsidRPr="00716528">
              <w:rPr>
                <w:szCs w:val="19"/>
              </w:rPr>
              <w:t>22)</w:t>
            </w:r>
          </w:p>
        </w:tc>
        <w:tc>
          <w:tcPr>
            <w:tcW w:w="1985" w:type="dxa"/>
            <w:vAlign w:val="bottom"/>
          </w:tcPr>
          <w:p w14:paraId="6009A84A" w14:textId="79611EB8" w:rsidR="00407D0F" w:rsidRPr="00716528" w:rsidRDefault="00407D0F" w:rsidP="00B178E4">
            <w:pPr>
              <w:pStyle w:val="Tabletext"/>
              <w:ind w:left="0" w:right="0"/>
              <w:jc w:val="center"/>
              <w:rPr>
                <w:bCs/>
                <w:szCs w:val="19"/>
                <w:lang w:val="en-US"/>
              </w:rPr>
            </w:pPr>
            <w:r w:rsidRPr="00716528">
              <w:rPr>
                <w:bCs/>
                <w:szCs w:val="19"/>
                <w:lang w:val="en-US"/>
              </w:rPr>
              <w:t>Intermediate (N</w:t>
            </w:r>
            <w:r w:rsidR="00D6299E" w:rsidRPr="00716528">
              <w:rPr>
                <w:bCs/>
                <w:szCs w:val="19"/>
                <w:lang w:val="en-US"/>
              </w:rPr>
              <w:t xml:space="preserve"> </w:t>
            </w:r>
            <w:r w:rsidRPr="00716528">
              <w:rPr>
                <w:bCs/>
                <w:szCs w:val="19"/>
                <w:lang w:val="en-US"/>
              </w:rPr>
              <w:t>=</w:t>
            </w:r>
            <w:r w:rsidR="00D6299E" w:rsidRPr="00716528">
              <w:rPr>
                <w:bCs/>
                <w:szCs w:val="19"/>
                <w:lang w:val="en-US"/>
              </w:rPr>
              <w:t xml:space="preserve"> </w:t>
            </w:r>
            <w:r w:rsidRPr="00716528">
              <w:rPr>
                <w:bCs/>
                <w:szCs w:val="19"/>
                <w:lang w:val="en-US"/>
              </w:rPr>
              <w:t>17)</w:t>
            </w:r>
          </w:p>
        </w:tc>
        <w:tc>
          <w:tcPr>
            <w:tcW w:w="1417" w:type="dxa"/>
            <w:vAlign w:val="bottom"/>
          </w:tcPr>
          <w:p w14:paraId="6D8A1604" w14:textId="54491B80" w:rsidR="00407D0F" w:rsidRPr="00716528" w:rsidRDefault="00407D0F" w:rsidP="00B178E4">
            <w:pPr>
              <w:pStyle w:val="Tabletext"/>
              <w:ind w:left="0" w:right="0"/>
              <w:jc w:val="center"/>
              <w:rPr>
                <w:bCs/>
                <w:szCs w:val="19"/>
                <w:lang w:val="en-US"/>
              </w:rPr>
            </w:pPr>
            <w:r w:rsidRPr="00716528">
              <w:rPr>
                <w:bCs/>
                <w:szCs w:val="19"/>
                <w:lang w:val="en-US"/>
              </w:rPr>
              <w:t>Low (N</w:t>
            </w:r>
            <w:r w:rsidR="00D6299E" w:rsidRPr="00716528">
              <w:rPr>
                <w:bCs/>
                <w:szCs w:val="19"/>
                <w:lang w:val="en-US"/>
              </w:rPr>
              <w:t xml:space="preserve"> </w:t>
            </w:r>
            <w:r w:rsidRPr="00716528">
              <w:rPr>
                <w:bCs/>
                <w:szCs w:val="19"/>
                <w:lang w:val="en-US"/>
              </w:rPr>
              <w:t>=</w:t>
            </w:r>
            <w:r w:rsidR="00D6299E" w:rsidRPr="00716528">
              <w:rPr>
                <w:bCs/>
                <w:szCs w:val="19"/>
                <w:lang w:val="en-US"/>
              </w:rPr>
              <w:t xml:space="preserve"> </w:t>
            </w:r>
            <w:r w:rsidRPr="00716528">
              <w:rPr>
                <w:bCs/>
                <w:szCs w:val="19"/>
                <w:lang w:val="en-US"/>
              </w:rPr>
              <w:t>64)</w:t>
            </w:r>
          </w:p>
        </w:tc>
        <w:tc>
          <w:tcPr>
            <w:tcW w:w="1514" w:type="dxa"/>
            <w:vAlign w:val="bottom"/>
          </w:tcPr>
          <w:p w14:paraId="657B904F" w14:textId="0AD4E25C" w:rsidR="00407D0F" w:rsidRPr="00716528" w:rsidRDefault="00407D0F" w:rsidP="00B178E4">
            <w:pPr>
              <w:pStyle w:val="Tabletext"/>
              <w:ind w:left="0" w:right="0"/>
              <w:jc w:val="center"/>
              <w:rPr>
                <w:szCs w:val="19"/>
              </w:rPr>
            </w:pPr>
            <w:r w:rsidRPr="00716528">
              <w:rPr>
                <w:szCs w:val="19"/>
              </w:rPr>
              <w:t>TOTAL (N</w:t>
            </w:r>
            <w:r w:rsidR="00D6299E" w:rsidRPr="00716528">
              <w:rPr>
                <w:szCs w:val="19"/>
              </w:rPr>
              <w:t> </w:t>
            </w:r>
            <w:r w:rsidRPr="00716528">
              <w:rPr>
                <w:szCs w:val="19"/>
              </w:rPr>
              <w:t>=</w:t>
            </w:r>
            <w:r w:rsidR="00D6299E" w:rsidRPr="00716528">
              <w:rPr>
                <w:szCs w:val="19"/>
              </w:rPr>
              <w:t> </w:t>
            </w:r>
            <w:r w:rsidRPr="00716528">
              <w:rPr>
                <w:szCs w:val="19"/>
              </w:rPr>
              <w:t>103)</w:t>
            </w:r>
          </w:p>
        </w:tc>
      </w:tr>
      <w:tr w:rsidR="00407D0F" w:rsidRPr="003B78C4" w14:paraId="4F415414" w14:textId="77777777" w:rsidTr="00DF6DE3">
        <w:trPr>
          <w:trHeight w:val="20"/>
        </w:trPr>
        <w:tc>
          <w:tcPr>
            <w:tcW w:w="2155" w:type="dxa"/>
          </w:tcPr>
          <w:p w14:paraId="7A3BFE5D" w14:textId="77777777" w:rsidR="00407D0F" w:rsidRPr="00B50F71" w:rsidRDefault="00407D0F" w:rsidP="006E617D">
            <w:pPr>
              <w:pStyle w:val="Tabletext"/>
              <w:ind w:left="0" w:right="0"/>
              <w:rPr>
                <w:szCs w:val="19"/>
              </w:rPr>
            </w:pPr>
            <w:r w:rsidRPr="00B50F71">
              <w:rPr>
                <w:szCs w:val="19"/>
              </w:rPr>
              <w:t>High on re-test</w:t>
            </w:r>
          </w:p>
        </w:tc>
        <w:tc>
          <w:tcPr>
            <w:tcW w:w="1417" w:type="dxa"/>
            <w:shd w:val="clear" w:color="auto" w:fill="ADFFFD" w:themeFill="accent4" w:themeFillTint="33"/>
            <w:vAlign w:val="center"/>
          </w:tcPr>
          <w:p w14:paraId="6A9A27E6" w14:textId="77777777" w:rsidR="00407D0F" w:rsidRPr="005E2B92" w:rsidRDefault="00407D0F" w:rsidP="00B178E4">
            <w:pPr>
              <w:pStyle w:val="Tabletext"/>
              <w:ind w:left="0" w:right="0"/>
              <w:jc w:val="center"/>
              <w:rPr>
                <w:color w:val="auto"/>
                <w:szCs w:val="19"/>
                <w:lang w:val="en-US"/>
              </w:rPr>
            </w:pPr>
            <w:r w:rsidRPr="005E2B92">
              <w:rPr>
                <w:szCs w:val="19"/>
                <w:lang w:val="en-US"/>
              </w:rPr>
              <w:t>16 (73%)</w:t>
            </w:r>
          </w:p>
        </w:tc>
        <w:tc>
          <w:tcPr>
            <w:tcW w:w="1985" w:type="dxa"/>
            <w:vAlign w:val="center"/>
          </w:tcPr>
          <w:p w14:paraId="36F994F9" w14:textId="77777777" w:rsidR="00407D0F" w:rsidRPr="005E2B92" w:rsidRDefault="00407D0F" w:rsidP="00B178E4">
            <w:pPr>
              <w:pStyle w:val="Tabletext"/>
              <w:ind w:left="0" w:right="0"/>
              <w:jc w:val="center"/>
              <w:rPr>
                <w:color w:val="auto"/>
                <w:szCs w:val="19"/>
              </w:rPr>
            </w:pPr>
            <w:r w:rsidRPr="005E2B92">
              <w:rPr>
                <w:szCs w:val="19"/>
              </w:rPr>
              <w:t>4 (24%)</w:t>
            </w:r>
          </w:p>
        </w:tc>
        <w:tc>
          <w:tcPr>
            <w:tcW w:w="1417" w:type="dxa"/>
            <w:vAlign w:val="center"/>
          </w:tcPr>
          <w:p w14:paraId="1FD4D5F2" w14:textId="77777777" w:rsidR="00407D0F" w:rsidRPr="00CF3F54" w:rsidRDefault="00407D0F" w:rsidP="00B178E4">
            <w:pPr>
              <w:pStyle w:val="Tabletext"/>
              <w:ind w:left="0" w:right="0"/>
              <w:jc w:val="center"/>
              <w:rPr>
                <w:color w:val="auto"/>
                <w:szCs w:val="19"/>
              </w:rPr>
            </w:pPr>
            <w:r w:rsidRPr="00CF3F54">
              <w:rPr>
                <w:szCs w:val="19"/>
              </w:rPr>
              <w:t>0</w:t>
            </w:r>
          </w:p>
        </w:tc>
        <w:tc>
          <w:tcPr>
            <w:tcW w:w="1514" w:type="dxa"/>
            <w:vAlign w:val="center"/>
          </w:tcPr>
          <w:p w14:paraId="43207550" w14:textId="77777777" w:rsidR="00407D0F" w:rsidRPr="00B178E4" w:rsidRDefault="00407D0F" w:rsidP="00B178E4">
            <w:pPr>
              <w:pStyle w:val="Tabletext"/>
              <w:ind w:left="0" w:right="0"/>
              <w:jc w:val="center"/>
              <w:rPr>
                <w:szCs w:val="19"/>
              </w:rPr>
            </w:pPr>
            <w:r w:rsidRPr="00B178E4">
              <w:rPr>
                <w:szCs w:val="19"/>
              </w:rPr>
              <w:t>20 (19%)</w:t>
            </w:r>
          </w:p>
        </w:tc>
      </w:tr>
      <w:tr w:rsidR="00407D0F" w:rsidRPr="003B78C4" w14:paraId="28C76FD2" w14:textId="77777777" w:rsidTr="00DF6DE3">
        <w:trPr>
          <w:trHeight w:val="20"/>
        </w:trPr>
        <w:tc>
          <w:tcPr>
            <w:tcW w:w="2155" w:type="dxa"/>
          </w:tcPr>
          <w:p w14:paraId="18437130" w14:textId="77777777" w:rsidR="00407D0F" w:rsidRPr="00B50F71" w:rsidRDefault="00407D0F" w:rsidP="006E617D">
            <w:pPr>
              <w:pStyle w:val="Tabletext"/>
              <w:ind w:left="0" w:right="0"/>
              <w:rPr>
                <w:szCs w:val="19"/>
              </w:rPr>
            </w:pPr>
            <w:r w:rsidRPr="00B50F71">
              <w:rPr>
                <w:szCs w:val="19"/>
              </w:rPr>
              <w:t>Intermediate on re-test</w:t>
            </w:r>
          </w:p>
        </w:tc>
        <w:tc>
          <w:tcPr>
            <w:tcW w:w="1417" w:type="dxa"/>
            <w:vAlign w:val="center"/>
          </w:tcPr>
          <w:p w14:paraId="6E5A03D2" w14:textId="77777777" w:rsidR="00407D0F" w:rsidRPr="005E2B92" w:rsidRDefault="00407D0F" w:rsidP="00B178E4">
            <w:pPr>
              <w:pStyle w:val="Tabletext"/>
              <w:ind w:left="0" w:right="0"/>
              <w:jc w:val="center"/>
              <w:rPr>
                <w:color w:val="auto"/>
                <w:szCs w:val="19"/>
                <w:lang w:val="en-US"/>
              </w:rPr>
            </w:pPr>
            <w:r w:rsidRPr="005E2B92">
              <w:rPr>
                <w:szCs w:val="19"/>
                <w:lang w:val="en-US"/>
              </w:rPr>
              <w:t>3 (14%)</w:t>
            </w:r>
          </w:p>
        </w:tc>
        <w:tc>
          <w:tcPr>
            <w:tcW w:w="1985" w:type="dxa"/>
            <w:shd w:val="clear" w:color="auto" w:fill="ADFFFD" w:themeFill="accent4" w:themeFillTint="33"/>
            <w:vAlign w:val="center"/>
          </w:tcPr>
          <w:p w14:paraId="0E5170C6" w14:textId="77777777" w:rsidR="00407D0F" w:rsidRPr="00CF3F54" w:rsidRDefault="00407D0F" w:rsidP="00B178E4">
            <w:pPr>
              <w:pStyle w:val="Tabletext"/>
              <w:ind w:left="0" w:right="0"/>
              <w:jc w:val="center"/>
              <w:rPr>
                <w:color w:val="auto"/>
                <w:szCs w:val="19"/>
              </w:rPr>
            </w:pPr>
            <w:r w:rsidRPr="005E2B92">
              <w:rPr>
                <w:szCs w:val="19"/>
              </w:rPr>
              <w:t>5 (29%)</w:t>
            </w:r>
          </w:p>
        </w:tc>
        <w:tc>
          <w:tcPr>
            <w:tcW w:w="1417" w:type="dxa"/>
            <w:vAlign w:val="center"/>
          </w:tcPr>
          <w:p w14:paraId="65601B8B" w14:textId="77777777" w:rsidR="00407D0F" w:rsidRPr="00DA3D21" w:rsidRDefault="00407D0F" w:rsidP="00B178E4">
            <w:pPr>
              <w:pStyle w:val="Tabletext"/>
              <w:ind w:left="0" w:right="0"/>
              <w:jc w:val="center"/>
              <w:rPr>
                <w:color w:val="auto"/>
                <w:szCs w:val="19"/>
              </w:rPr>
            </w:pPr>
            <w:r w:rsidRPr="00CF3F54">
              <w:rPr>
                <w:szCs w:val="19"/>
              </w:rPr>
              <w:t>4 (6%)</w:t>
            </w:r>
          </w:p>
        </w:tc>
        <w:tc>
          <w:tcPr>
            <w:tcW w:w="1514" w:type="dxa"/>
            <w:vAlign w:val="center"/>
          </w:tcPr>
          <w:p w14:paraId="330D8581" w14:textId="77777777" w:rsidR="00407D0F" w:rsidRPr="00B178E4" w:rsidRDefault="00407D0F" w:rsidP="00B178E4">
            <w:pPr>
              <w:pStyle w:val="Tabletext"/>
              <w:ind w:left="0" w:right="0"/>
              <w:jc w:val="center"/>
              <w:rPr>
                <w:szCs w:val="19"/>
              </w:rPr>
            </w:pPr>
            <w:r w:rsidRPr="00B178E4">
              <w:rPr>
                <w:szCs w:val="19"/>
              </w:rPr>
              <w:t>12 (12%)</w:t>
            </w:r>
          </w:p>
        </w:tc>
      </w:tr>
      <w:tr w:rsidR="00407D0F" w:rsidRPr="003B78C4" w14:paraId="1A687FF4" w14:textId="77777777" w:rsidTr="00DF6DE3">
        <w:trPr>
          <w:trHeight w:val="20"/>
        </w:trPr>
        <w:tc>
          <w:tcPr>
            <w:tcW w:w="2155" w:type="dxa"/>
          </w:tcPr>
          <w:p w14:paraId="0619897C" w14:textId="77777777" w:rsidR="00407D0F" w:rsidRPr="00B50F71" w:rsidRDefault="00407D0F" w:rsidP="006E617D">
            <w:pPr>
              <w:pStyle w:val="Tabletext"/>
              <w:ind w:left="0" w:right="0"/>
              <w:rPr>
                <w:szCs w:val="19"/>
              </w:rPr>
            </w:pPr>
            <w:r w:rsidRPr="00B50F71">
              <w:rPr>
                <w:szCs w:val="19"/>
              </w:rPr>
              <w:t>Low on re-test</w:t>
            </w:r>
          </w:p>
        </w:tc>
        <w:tc>
          <w:tcPr>
            <w:tcW w:w="1417" w:type="dxa"/>
            <w:vAlign w:val="center"/>
          </w:tcPr>
          <w:p w14:paraId="1CBC0462" w14:textId="77777777" w:rsidR="00407D0F" w:rsidRPr="005E2B92" w:rsidRDefault="00407D0F" w:rsidP="00B178E4">
            <w:pPr>
              <w:pStyle w:val="Tabletext"/>
              <w:ind w:left="0" w:right="0"/>
              <w:jc w:val="center"/>
              <w:rPr>
                <w:color w:val="auto"/>
                <w:szCs w:val="19"/>
                <w:lang w:val="en-US"/>
              </w:rPr>
            </w:pPr>
            <w:r w:rsidRPr="005E2B92">
              <w:rPr>
                <w:szCs w:val="19"/>
                <w:lang w:val="en-US"/>
              </w:rPr>
              <w:t>0</w:t>
            </w:r>
          </w:p>
        </w:tc>
        <w:tc>
          <w:tcPr>
            <w:tcW w:w="1985" w:type="dxa"/>
            <w:vAlign w:val="center"/>
          </w:tcPr>
          <w:p w14:paraId="7400EF20" w14:textId="77777777" w:rsidR="00407D0F" w:rsidRPr="005E2B92" w:rsidRDefault="00407D0F" w:rsidP="00B178E4">
            <w:pPr>
              <w:pStyle w:val="Tabletext"/>
              <w:ind w:left="0" w:right="0"/>
              <w:jc w:val="center"/>
              <w:rPr>
                <w:color w:val="auto"/>
                <w:szCs w:val="19"/>
              </w:rPr>
            </w:pPr>
            <w:r w:rsidRPr="005E2B92">
              <w:rPr>
                <w:szCs w:val="19"/>
              </w:rPr>
              <w:t>1 (6%)</w:t>
            </w:r>
          </w:p>
        </w:tc>
        <w:tc>
          <w:tcPr>
            <w:tcW w:w="1417" w:type="dxa"/>
            <w:shd w:val="clear" w:color="auto" w:fill="ADFFFD" w:themeFill="accent4" w:themeFillTint="33"/>
            <w:vAlign w:val="center"/>
          </w:tcPr>
          <w:p w14:paraId="62E2A26C" w14:textId="77777777" w:rsidR="00407D0F" w:rsidRPr="00CF3F54" w:rsidRDefault="00407D0F" w:rsidP="00B178E4">
            <w:pPr>
              <w:pStyle w:val="Tabletext"/>
              <w:ind w:left="0" w:right="0"/>
              <w:jc w:val="center"/>
              <w:rPr>
                <w:color w:val="auto"/>
                <w:szCs w:val="19"/>
              </w:rPr>
            </w:pPr>
            <w:r w:rsidRPr="00CF3F54">
              <w:rPr>
                <w:szCs w:val="19"/>
              </w:rPr>
              <w:t>24 (38%)</w:t>
            </w:r>
          </w:p>
        </w:tc>
        <w:tc>
          <w:tcPr>
            <w:tcW w:w="1514" w:type="dxa"/>
            <w:vAlign w:val="center"/>
          </w:tcPr>
          <w:p w14:paraId="2B7DF68E" w14:textId="77777777" w:rsidR="00407D0F" w:rsidRPr="00B178E4" w:rsidRDefault="00407D0F" w:rsidP="00B178E4">
            <w:pPr>
              <w:pStyle w:val="Tabletext"/>
              <w:ind w:left="0" w:right="0"/>
              <w:jc w:val="center"/>
              <w:rPr>
                <w:szCs w:val="19"/>
              </w:rPr>
            </w:pPr>
            <w:r w:rsidRPr="00B178E4">
              <w:rPr>
                <w:szCs w:val="19"/>
              </w:rPr>
              <w:t>25 (24%)</w:t>
            </w:r>
          </w:p>
        </w:tc>
      </w:tr>
      <w:tr w:rsidR="00407D0F" w:rsidRPr="003B78C4" w14:paraId="0308B4DE" w14:textId="77777777" w:rsidTr="00DF6DE3">
        <w:trPr>
          <w:trHeight w:val="20"/>
        </w:trPr>
        <w:tc>
          <w:tcPr>
            <w:tcW w:w="2155" w:type="dxa"/>
          </w:tcPr>
          <w:p w14:paraId="3601695D" w14:textId="77777777" w:rsidR="00407D0F" w:rsidRPr="00B50F71" w:rsidRDefault="00407D0F" w:rsidP="006E617D">
            <w:pPr>
              <w:pStyle w:val="Tabletext"/>
              <w:ind w:left="0" w:right="0"/>
              <w:rPr>
                <w:szCs w:val="19"/>
              </w:rPr>
            </w:pPr>
            <w:r w:rsidRPr="00B50F71">
              <w:rPr>
                <w:szCs w:val="19"/>
              </w:rPr>
              <w:t>Negative on re-test</w:t>
            </w:r>
          </w:p>
        </w:tc>
        <w:tc>
          <w:tcPr>
            <w:tcW w:w="1417" w:type="dxa"/>
            <w:vAlign w:val="center"/>
          </w:tcPr>
          <w:p w14:paraId="6F33F7B0" w14:textId="77777777" w:rsidR="00407D0F" w:rsidRPr="005E2B92" w:rsidRDefault="00407D0F" w:rsidP="00B178E4">
            <w:pPr>
              <w:pStyle w:val="Tabletext"/>
              <w:ind w:left="0" w:right="0"/>
              <w:jc w:val="center"/>
              <w:rPr>
                <w:color w:val="auto"/>
                <w:szCs w:val="19"/>
                <w:lang w:val="en-US"/>
              </w:rPr>
            </w:pPr>
            <w:r w:rsidRPr="005E2B92">
              <w:rPr>
                <w:szCs w:val="19"/>
                <w:lang w:val="en-US"/>
              </w:rPr>
              <w:t>0</w:t>
            </w:r>
          </w:p>
        </w:tc>
        <w:tc>
          <w:tcPr>
            <w:tcW w:w="1985" w:type="dxa"/>
            <w:vAlign w:val="center"/>
          </w:tcPr>
          <w:p w14:paraId="37B21226" w14:textId="77777777" w:rsidR="00407D0F" w:rsidRPr="005E2B92" w:rsidRDefault="00407D0F" w:rsidP="00B178E4">
            <w:pPr>
              <w:pStyle w:val="Tabletext"/>
              <w:ind w:left="0" w:right="0"/>
              <w:jc w:val="center"/>
              <w:rPr>
                <w:szCs w:val="19"/>
              </w:rPr>
            </w:pPr>
            <w:r w:rsidRPr="005E2B92">
              <w:rPr>
                <w:szCs w:val="19"/>
              </w:rPr>
              <w:t>2 (12%)</w:t>
            </w:r>
          </w:p>
        </w:tc>
        <w:tc>
          <w:tcPr>
            <w:tcW w:w="1417" w:type="dxa"/>
            <w:vAlign w:val="center"/>
          </w:tcPr>
          <w:p w14:paraId="456F1558" w14:textId="77777777" w:rsidR="00407D0F" w:rsidRPr="005E2B92" w:rsidRDefault="00407D0F" w:rsidP="00B178E4">
            <w:pPr>
              <w:pStyle w:val="Tabletext"/>
              <w:ind w:left="0" w:right="0"/>
              <w:jc w:val="center"/>
              <w:rPr>
                <w:szCs w:val="19"/>
              </w:rPr>
            </w:pPr>
            <w:r w:rsidRPr="005E2B92">
              <w:rPr>
                <w:szCs w:val="19"/>
              </w:rPr>
              <w:t>12 (19%)</w:t>
            </w:r>
          </w:p>
        </w:tc>
        <w:tc>
          <w:tcPr>
            <w:tcW w:w="1514" w:type="dxa"/>
            <w:vAlign w:val="center"/>
          </w:tcPr>
          <w:p w14:paraId="5192AD21" w14:textId="77777777" w:rsidR="00407D0F" w:rsidRPr="00B178E4" w:rsidRDefault="00407D0F" w:rsidP="00B178E4">
            <w:pPr>
              <w:pStyle w:val="Tabletext"/>
              <w:ind w:left="0" w:right="0"/>
              <w:jc w:val="center"/>
              <w:rPr>
                <w:szCs w:val="19"/>
              </w:rPr>
            </w:pPr>
            <w:r w:rsidRPr="00B178E4">
              <w:rPr>
                <w:szCs w:val="19"/>
              </w:rPr>
              <w:t>14 (14%)</w:t>
            </w:r>
          </w:p>
        </w:tc>
      </w:tr>
      <w:tr w:rsidR="00407D0F" w:rsidRPr="00EB1479" w14:paraId="009AECF2" w14:textId="77777777" w:rsidTr="00DF6DE3">
        <w:trPr>
          <w:trHeight w:val="20"/>
        </w:trPr>
        <w:tc>
          <w:tcPr>
            <w:tcW w:w="2155" w:type="dxa"/>
          </w:tcPr>
          <w:p w14:paraId="000F4F04" w14:textId="77777777" w:rsidR="00407D0F" w:rsidRPr="00B50F71" w:rsidRDefault="00407D0F" w:rsidP="006E617D">
            <w:pPr>
              <w:pStyle w:val="Tabletext"/>
              <w:ind w:left="0" w:right="0"/>
              <w:rPr>
                <w:szCs w:val="19"/>
              </w:rPr>
            </w:pPr>
            <w:r w:rsidRPr="00B50F71">
              <w:rPr>
                <w:szCs w:val="19"/>
              </w:rPr>
              <w:t>Not Evaluable</w:t>
            </w:r>
          </w:p>
        </w:tc>
        <w:tc>
          <w:tcPr>
            <w:tcW w:w="1417" w:type="dxa"/>
            <w:vAlign w:val="center"/>
          </w:tcPr>
          <w:p w14:paraId="6656FFEE" w14:textId="77777777" w:rsidR="00407D0F" w:rsidRPr="005E2B92" w:rsidRDefault="00407D0F" w:rsidP="00B178E4">
            <w:pPr>
              <w:pStyle w:val="Tabletext"/>
              <w:ind w:left="0" w:right="0"/>
              <w:jc w:val="center"/>
              <w:rPr>
                <w:color w:val="auto"/>
                <w:szCs w:val="19"/>
                <w:lang w:val="en-US"/>
              </w:rPr>
            </w:pPr>
            <w:r w:rsidRPr="005E2B92">
              <w:rPr>
                <w:szCs w:val="19"/>
                <w:lang w:val="en-US"/>
              </w:rPr>
              <w:t>1 (5%)</w:t>
            </w:r>
          </w:p>
        </w:tc>
        <w:tc>
          <w:tcPr>
            <w:tcW w:w="1985" w:type="dxa"/>
            <w:vAlign w:val="center"/>
          </w:tcPr>
          <w:p w14:paraId="32A53622" w14:textId="77777777" w:rsidR="00407D0F" w:rsidRPr="005E2B92" w:rsidRDefault="00407D0F" w:rsidP="00B178E4">
            <w:pPr>
              <w:pStyle w:val="Tabletext"/>
              <w:ind w:left="0" w:right="0"/>
              <w:jc w:val="center"/>
              <w:rPr>
                <w:szCs w:val="19"/>
              </w:rPr>
            </w:pPr>
            <w:r w:rsidRPr="005E2B92">
              <w:rPr>
                <w:szCs w:val="19"/>
              </w:rPr>
              <w:t>2 (12%)</w:t>
            </w:r>
          </w:p>
        </w:tc>
        <w:tc>
          <w:tcPr>
            <w:tcW w:w="1417" w:type="dxa"/>
            <w:vAlign w:val="center"/>
          </w:tcPr>
          <w:p w14:paraId="071A75BF" w14:textId="77777777" w:rsidR="00407D0F" w:rsidRPr="005E2B92" w:rsidRDefault="00407D0F" w:rsidP="00B178E4">
            <w:pPr>
              <w:pStyle w:val="Tabletext"/>
              <w:ind w:left="0" w:right="0"/>
              <w:jc w:val="center"/>
              <w:rPr>
                <w:szCs w:val="19"/>
              </w:rPr>
            </w:pPr>
            <w:r w:rsidRPr="005E2B92">
              <w:rPr>
                <w:szCs w:val="19"/>
              </w:rPr>
              <w:t>7 (11%)</w:t>
            </w:r>
          </w:p>
        </w:tc>
        <w:tc>
          <w:tcPr>
            <w:tcW w:w="1514" w:type="dxa"/>
            <w:vAlign w:val="center"/>
          </w:tcPr>
          <w:p w14:paraId="1D23C721" w14:textId="77777777" w:rsidR="00407D0F" w:rsidRPr="00B178E4" w:rsidRDefault="00407D0F" w:rsidP="00B178E4">
            <w:pPr>
              <w:pStyle w:val="Tabletext"/>
              <w:ind w:left="0" w:right="0"/>
              <w:jc w:val="center"/>
              <w:rPr>
                <w:szCs w:val="19"/>
              </w:rPr>
            </w:pPr>
            <w:r w:rsidRPr="00B178E4">
              <w:rPr>
                <w:szCs w:val="19"/>
              </w:rPr>
              <w:t>10 (10%)</w:t>
            </w:r>
          </w:p>
        </w:tc>
      </w:tr>
      <w:tr w:rsidR="00407D0F" w:rsidRPr="00EB1479" w14:paraId="3FF4DBA1" w14:textId="77777777" w:rsidTr="00DF6DE3">
        <w:trPr>
          <w:trHeight w:val="43"/>
        </w:trPr>
        <w:tc>
          <w:tcPr>
            <w:tcW w:w="2155" w:type="dxa"/>
          </w:tcPr>
          <w:p w14:paraId="5280BCFB" w14:textId="77777777" w:rsidR="00407D0F" w:rsidRPr="00B50F71" w:rsidRDefault="00407D0F" w:rsidP="006E617D">
            <w:pPr>
              <w:pStyle w:val="Tabletext"/>
              <w:ind w:left="0" w:right="0"/>
              <w:rPr>
                <w:szCs w:val="19"/>
              </w:rPr>
            </w:pPr>
            <w:r w:rsidRPr="00B50F71">
              <w:rPr>
                <w:szCs w:val="19"/>
              </w:rPr>
              <w:t xml:space="preserve">Not Tested </w:t>
            </w:r>
          </w:p>
        </w:tc>
        <w:tc>
          <w:tcPr>
            <w:tcW w:w="1417" w:type="dxa"/>
            <w:vAlign w:val="center"/>
          </w:tcPr>
          <w:p w14:paraId="2FDEC473" w14:textId="77777777" w:rsidR="00407D0F" w:rsidRPr="005E2B92" w:rsidRDefault="00407D0F" w:rsidP="00B178E4">
            <w:pPr>
              <w:pStyle w:val="Tabletext"/>
              <w:ind w:left="0" w:right="0"/>
              <w:jc w:val="center"/>
              <w:rPr>
                <w:color w:val="auto"/>
                <w:szCs w:val="19"/>
                <w:lang w:val="en-US"/>
              </w:rPr>
            </w:pPr>
            <w:r w:rsidRPr="005E2B92">
              <w:rPr>
                <w:szCs w:val="19"/>
                <w:lang w:val="en-US"/>
              </w:rPr>
              <w:t>2 (9%)</w:t>
            </w:r>
          </w:p>
        </w:tc>
        <w:tc>
          <w:tcPr>
            <w:tcW w:w="1985" w:type="dxa"/>
            <w:vAlign w:val="center"/>
          </w:tcPr>
          <w:p w14:paraId="102337DD" w14:textId="77777777" w:rsidR="00407D0F" w:rsidRPr="005E2B92" w:rsidRDefault="00407D0F" w:rsidP="00B178E4">
            <w:pPr>
              <w:pStyle w:val="Tabletext"/>
              <w:ind w:left="0" w:right="0"/>
              <w:jc w:val="center"/>
              <w:rPr>
                <w:szCs w:val="19"/>
              </w:rPr>
            </w:pPr>
            <w:r w:rsidRPr="005E2B92">
              <w:rPr>
                <w:szCs w:val="19"/>
              </w:rPr>
              <w:t>3 (18%)</w:t>
            </w:r>
          </w:p>
        </w:tc>
        <w:tc>
          <w:tcPr>
            <w:tcW w:w="1417" w:type="dxa"/>
            <w:vAlign w:val="center"/>
          </w:tcPr>
          <w:p w14:paraId="3222C2B9" w14:textId="77777777" w:rsidR="00407D0F" w:rsidRPr="005E2B92" w:rsidRDefault="00407D0F" w:rsidP="00B178E4">
            <w:pPr>
              <w:pStyle w:val="Tabletext"/>
              <w:ind w:left="0" w:right="0"/>
              <w:jc w:val="center"/>
              <w:rPr>
                <w:szCs w:val="19"/>
              </w:rPr>
            </w:pPr>
            <w:r w:rsidRPr="005E2B92">
              <w:rPr>
                <w:szCs w:val="19"/>
              </w:rPr>
              <w:t>17 (27%)</w:t>
            </w:r>
          </w:p>
        </w:tc>
        <w:tc>
          <w:tcPr>
            <w:tcW w:w="1514" w:type="dxa"/>
            <w:vAlign w:val="center"/>
          </w:tcPr>
          <w:p w14:paraId="7A94F7D7" w14:textId="77777777" w:rsidR="00407D0F" w:rsidRPr="00B178E4" w:rsidRDefault="00407D0F" w:rsidP="00B178E4">
            <w:pPr>
              <w:pStyle w:val="Tabletext"/>
              <w:ind w:left="0" w:right="0"/>
              <w:jc w:val="center"/>
              <w:rPr>
                <w:szCs w:val="19"/>
              </w:rPr>
            </w:pPr>
            <w:r w:rsidRPr="00B178E4">
              <w:rPr>
                <w:szCs w:val="19"/>
              </w:rPr>
              <w:t>22 (21%)</w:t>
            </w:r>
          </w:p>
        </w:tc>
      </w:tr>
    </w:tbl>
    <w:p w14:paraId="2F9A9850" w14:textId="091FB102" w:rsidR="00407D0F" w:rsidRPr="00400B3D" w:rsidRDefault="00EC0FD4" w:rsidP="00400B3D">
      <w:pPr>
        <w:pStyle w:val="TableDescription"/>
      </w:pPr>
      <w:r w:rsidRPr="00400B3D">
        <w:t xml:space="preserve">Abbreviations: </w:t>
      </w:r>
      <w:r w:rsidR="003F23C2" w:rsidRPr="00400B3D">
        <w:t xml:space="preserve">High = </w:t>
      </w:r>
      <w:r w:rsidR="009E2618" w:rsidRPr="00400B3D">
        <w:t>tumour cell (</w:t>
      </w:r>
      <w:r w:rsidR="003F23C2" w:rsidRPr="00400B3D">
        <w:t>TC</w:t>
      </w:r>
      <w:r w:rsidR="009E2618" w:rsidRPr="00400B3D">
        <w:t>)</w:t>
      </w:r>
      <w:r w:rsidR="003F23C2" w:rsidRPr="00400B3D">
        <w:t xml:space="preserve">3 or </w:t>
      </w:r>
      <w:r w:rsidR="009E2618" w:rsidRPr="00400B3D">
        <w:t>immune cell (</w:t>
      </w:r>
      <w:r w:rsidR="003F23C2" w:rsidRPr="00400B3D">
        <w:t>IC</w:t>
      </w:r>
      <w:r w:rsidR="009E2618" w:rsidRPr="00400B3D">
        <w:t>)</w:t>
      </w:r>
      <w:r w:rsidR="003F23C2" w:rsidRPr="00400B3D">
        <w:t xml:space="preserve">3; </w:t>
      </w:r>
      <w:r w:rsidR="00407D0F" w:rsidRPr="00400B3D">
        <w:t xml:space="preserve">Intermediate = TC2/3 </w:t>
      </w:r>
      <w:r w:rsidR="003F23C2" w:rsidRPr="00400B3D">
        <w:t xml:space="preserve">or IC2/3 excluding TC3 or IC3; </w:t>
      </w:r>
      <w:r w:rsidR="00407D0F" w:rsidRPr="00400B3D">
        <w:t>Low = TC1/2/3 or I</w:t>
      </w:r>
      <w:r w:rsidR="003F23C2" w:rsidRPr="00400B3D">
        <w:t xml:space="preserve">C1/2/3 excluding TC2/3 or IC2/3; </w:t>
      </w:r>
      <w:r w:rsidR="00DF6DE3" w:rsidRPr="00400B3D">
        <w:t xml:space="preserve">N = total number of subjects; </w:t>
      </w:r>
      <w:r w:rsidR="00407D0F" w:rsidRPr="00400B3D">
        <w:t>Negative = TC0 and IC0</w:t>
      </w:r>
      <w:r w:rsidR="009E2618" w:rsidRPr="00400B3D">
        <w:t>.</w:t>
      </w:r>
    </w:p>
    <w:p w14:paraId="4644F9E1" w14:textId="1837FD72" w:rsidR="00EC0FD4" w:rsidRPr="00400B3D" w:rsidRDefault="00EC0FD4" w:rsidP="00400B3D">
      <w:pPr>
        <w:pStyle w:val="TableDescription"/>
      </w:pPr>
      <w:r w:rsidRPr="00400B3D">
        <w:t>TC3 or IC3 denotes PD-L1 expression on ≥ 50% of tumour cells or on ≥ 10% of immune cells (PD-L1 expression ‘high’).</w:t>
      </w:r>
    </w:p>
    <w:p w14:paraId="67757C21" w14:textId="77777777" w:rsidR="000B6A3D" w:rsidRPr="00400B3D" w:rsidRDefault="000B6A3D" w:rsidP="00400B3D">
      <w:pPr>
        <w:pStyle w:val="TableDescription"/>
      </w:pPr>
      <w:r w:rsidRPr="00400B3D">
        <w:t>Immune cell scoring (PD-L1 expression): IC0 (0 to &lt; 1%); IC1 (1 to &lt; 5%); IC2 (5 to &lt;10%); IC3 (10%+).</w:t>
      </w:r>
    </w:p>
    <w:p w14:paraId="3702B556" w14:textId="0B15E131" w:rsidR="000B6A3D" w:rsidRPr="00400B3D" w:rsidRDefault="000B6A3D" w:rsidP="00400B3D">
      <w:pPr>
        <w:pStyle w:val="TableDescription"/>
      </w:pPr>
      <w:r w:rsidRPr="00400B3D">
        <w:t>Tumour cell scoring (PD-L1 expression): TC0 (0 to &lt;1%); TC1 (1 to &lt; 5%); TC2 (5 to &lt; 50%); TC3 (50%+).</w:t>
      </w:r>
    </w:p>
    <w:p w14:paraId="2CE1792F" w14:textId="7382691D" w:rsidR="00D6299E" w:rsidRPr="00400B3D" w:rsidRDefault="00D6299E" w:rsidP="00400B3D">
      <w:pPr>
        <w:pStyle w:val="TableDescription"/>
      </w:pPr>
      <w:r w:rsidRPr="00400B3D">
        <w:t>Note: Blue highlighted boxes indicate concordance.</w:t>
      </w:r>
    </w:p>
    <w:p w14:paraId="58D21352" w14:textId="77777777" w:rsidR="00407D0F" w:rsidRPr="003F23C2" w:rsidRDefault="00407D0F" w:rsidP="003F23C2">
      <w:r w:rsidRPr="003F23C2">
        <w:t>Retesting was not carried out or was not evaluable for around 31% of patients with faulty kit results:</w:t>
      </w:r>
    </w:p>
    <w:p w14:paraId="0E3C1DF7" w14:textId="082F2A12" w:rsidR="00407D0F" w:rsidRPr="00585713" w:rsidRDefault="00407D0F" w:rsidP="003F23C2">
      <w:pPr>
        <w:pStyle w:val="ListBullet"/>
      </w:pPr>
      <w:r>
        <w:t>Three</w:t>
      </w:r>
      <w:r w:rsidRPr="00585713">
        <w:t xml:space="preserve"> patients were </w:t>
      </w:r>
      <w:r>
        <w:t>PD-L1 high</w:t>
      </w:r>
      <w:r w:rsidRPr="00585713">
        <w:t xml:space="preserve"> according to the faulty kits and may </w:t>
      </w:r>
      <w:r>
        <w:t>have been re</w:t>
      </w:r>
      <w:r w:rsidR="005D3783">
        <w:noBreakHyphen/>
      </w:r>
      <w:r>
        <w:t xml:space="preserve">classified </w:t>
      </w:r>
      <w:r w:rsidRPr="00D6299E">
        <w:rPr>
          <w:i/>
        </w:rPr>
        <w:t>out</w:t>
      </w:r>
      <w:r>
        <w:t xml:space="preserve"> of</w:t>
      </w:r>
      <w:r w:rsidRPr="00585713">
        <w:t xml:space="preserve"> </w:t>
      </w:r>
      <w:r>
        <w:t>the primary efficacy population</w:t>
      </w:r>
      <w:r w:rsidRPr="00585713">
        <w:t xml:space="preserve"> if</w:t>
      </w:r>
      <w:r>
        <w:t xml:space="preserve"> a</w:t>
      </w:r>
      <w:r w:rsidRPr="00585713">
        <w:t xml:space="preserve"> retest </w:t>
      </w:r>
      <w:r w:rsidRPr="00585713">
        <w:rPr>
          <w:i/>
        </w:rPr>
        <w:t>had</w:t>
      </w:r>
      <w:r w:rsidRPr="00585713">
        <w:t xml:space="preserve"> been </w:t>
      </w:r>
      <w:r>
        <w:t>conducted/was evaluable.</w:t>
      </w:r>
    </w:p>
    <w:p w14:paraId="335632CC" w14:textId="77777777" w:rsidR="00407D0F" w:rsidRDefault="00407D0F" w:rsidP="003F23C2">
      <w:pPr>
        <w:pStyle w:val="ListBullet"/>
      </w:pPr>
      <w:r>
        <w:t>In total, 29</w:t>
      </w:r>
      <w:r w:rsidRPr="00585713">
        <w:t xml:space="preserve"> patients </w:t>
      </w:r>
      <w:r>
        <w:t>were</w:t>
      </w:r>
      <w:r w:rsidRPr="00585713">
        <w:t xml:space="preserve"> </w:t>
      </w:r>
      <w:r>
        <w:t xml:space="preserve">either PD-L1 </w:t>
      </w:r>
      <w:r w:rsidRPr="00585713">
        <w:t xml:space="preserve">intermediate (5 patients) or low (24 patients) </w:t>
      </w:r>
      <w:r>
        <w:t>according to the faulty kits and</w:t>
      </w:r>
      <w:r w:rsidRPr="00585713">
        <w:t xml:space="preserve"> may </w:t>
      </w:r>
      <w:r>
        <w:t>have been reclassified</w:t>
      </w:r>
      <w:r w:rsidRPr="00D6299E">
        <w:rPr>
          <w:i/>
        </w:rPr>
        <w:t xml:space="preserve"> into</w:t>
      </w:r>
      <w:r w:rsidRPr="00585713">
        <w:t xml:space="preserve"> the primary analysis population</w:t>
      </w:r>
      <w:r>
        <w:t xml:space="preserve"> </w:t>
      </w:r>
      <w:r w:rsidRPr="00585713">
        <w:t>if</w:t>
      </w:r>
      <w:r>
        <w:t xml:space="preserve"> a</w:t>
      </w:r>
      <w:r w:rsidRPr="00585713">
        <w:t xml:space="preserve"> retest </w:t>
      </w:r>
      <w:r w:rsidRPr="00B50F71">
        <w:rPr>
          <w:iCs/>
        </w:rPr>
        <w:t>had</w:t>
      </w:r>
      <w:r w:rsidRPr="00585713">
        <w:t xml:space="preserve"> been </w:t>
      </w:r>
      <w:r>
        <w:t>conducted/was evaluable</w:t>
      </w:r>
    </w:p>
    <w:p w14:paraId="0CE77A14" w14:textId="659CED0D" w:rsidR="00407D0F" w:rsidRDefault="00407D0F" w:rsidP="00E667E9">
      <w:pPr>
        <w:pStyle w:val="ListBullet2"/>
      </w:pPr>
      <w:r>
        <w:lastRenderedPageBreak/>
        <w:t>This</w:t>
      </w:r>
      <w:r w:rsidRPr="00585713">
        <w:t xml:space="preserve"> seems less likely</w:t>
      </w:r>
      <w:r>
        <w:t xml:space="preserve"> for the low category</w:t>
      </w:r>
      <w:r w:rsidRPr="00585713">
        <w:t xml:space="preserve">, </w:t>
      </w:r>
      <w:r>
        <w:t xml:space="preserve">because 40 out of 64 </w:t>
      </w:r>
      <w:r w:rsidRPr="00585713">
        <w:t xml:space="preserve">samples that were low per the faulty kit </w:t>
      </w:r>
      <w:r>
        <w:t>were re-tested, and none o</w:t>
      </w:r>
      <w:r w:rsidR="00D6299E">
        <w:t>f those came back as high on re</w:t>
      </w:r>
      <w:r w:rsidR="00D6299E">
        <w:noBreakHyphen/>
      </w:r>
      <w:r>
        <w:t>test.</w:t>
      </w:r>
    </w:p>
    <w:p w14:paraId="27430D0F" w14:textId="2A8CEBC3" w:rsidR="00407D0F" w:rsidRDefault="00407D0F" w:rsidP="00407D0F">
      <w:r>
        <w:t>Given the primary efficacy analysis was conducted in a reasonably small population (n</w:t>
      </w:r>
      <w:r w:rsidR="003F23C2">
        <w:t> </w:t>
      </w:r>
      <w:r>
        <w:t>=</w:t>
      </w:r>
      <w:r w:rsidR="003F23C2">
        <w:t> </w:t>
      </w:r>
      <w:r>
        <w:t>98 v</w:t>
      </w:r>
      <w:r w:rsidR="003F23C2">
        <w:t>ersu</w:t>
      </w:r>
      <w:r>
        <w:t>s n</w:t>
      </w:r>
      <w:r w:rsidR="003F23C2">
        <w:t> </w:t>
      </w:r>
      <w:r>
        <w:t>=</w:t>
      </w:r>
      <w:r w:rsidR="003F23C2">
        <w:t> 107), the s</w:t>
      </w:r>
      <w:r>
        <w:t xml:space="preserve">ponsor was requested to perform additional exploratory </w:t>
      </w:r>
      <w:r w:rsidR="003F23C2">
        <w:t xml:space="preserve">overall survival </w:t>
      </w:r>
      <w:r>
        <w:t xml:space="preserve">sensitivity analyses in the TC3/IC3 population, to reduce uncertainty caused by use of the faulty test kit for </w:t>
      </w:r>
      <w:r w:rsidR="001C4404">
        <w:t>patients’</w:t>
      </w:r>
      <w:r>
        <w:t xml:space="preserve"> enrolment and stratification.</w:t>
      </w:r>
    </w:p>
    <w:p w14:paraId="5258D057" w14:textId="53684ADE" w:rsidR="00407D0F" w:rsidRDefault="00407D0F" w:rsidP="00407D0F">
      <w:r>
        <w:t>The</w:t>
      </w:r>
      <w:r w:rsidR="003F23C2">
        <w:t xml:space="preserve"> analyses were provided by the s</w:t>
      </w:r>
      <w:r>
        <w:t>ponsor as follows:</w:t>
      </w:r>
    </w:p>
    <w:p w14:paraId="343D75EB" w14:textId="6ADD9A80" w:rsidR="00407D0F" w:rsidRDefault="00407D0F" w:rsidP="003F23C2">
      <w:pPr>
        <w:pStyle w:val="ListBullet"/>
      </w:pPr>
      <w:r w:rsidRPr="00265FCF">
        <w:t>based on the highest PD-L1 level measures in the original or re-tested sample</w:t>
      </w:r>
      <w:r>
        <w:t>,</w:t>
      </w:r>
      <w:r w:rsidR="003F23C2">
        <w:t xml:space="preserve"> that is, </w:t>
      </w:r>
      <w:r>
        <w:t>moving the four additional n</w:t>
      </w:r>
      <w:r w:rsidR="003F23C2">
        <w:t>ewly ‘high’</w:t>
      </w:r>
      <w:r>
        <w:t xml:space="preserve"> patients into the TC3 or IC3 category</w:t>
      </w:r>
    </w:p>
    <w:p w14:paraId="34E189D2" w14:textId="707325E2" w:rsidR="00407D0F" w:rsidRDefault="00407D0F" w:rsidP="003F23C2">
      <w:pPr>
        <w:pStyle w:val="ListBullet2"/>
      </w:pPr>
      <w:r>
        <w:t xml:space="preserve">Stratified </w:t>
      </w:r>
      <w:r w:rsidR="003F23C2">
        <w:t>hazard ratio for overall survival</w:t>
      </w:r>
      <w:r>
        <w:t xml:space="preserve"> (95% </w:t>
      </w:r>
      <w:r w:rsidR="005D3783">
        <w:t>confidence interval (</w:t>
      </w:r>
      <w:r>
        <w:t>CI</w:t>
      </w:r>
      <w:r w:rsidR="005D3783">
        <w:t>)</w:t>
      </w:r>
      <w:r>
        <w:t xml:space="preserve">) </w:t>
      </w:r>
      <w:r w:rsidR="00E31736" w:rsidRPr="00E32A62">
        <w:t xml:space="preserve">atezolizumab </w:t>
      </w:r>
      <w:r>
        <w:t>versus chemo</w:t>
      </w:r>
      <w:r w:rsidR="00E31736">
        <w:t>therapy</w:t>
      </w:r>
      <w:r>
        <w:t xml:space="preserve"> = </w:t>
      </w:r>
      <w:r w:rsidRPr="00E80F53">
        <w:t>0.61 (0.41, 0.91)</w:t>
      </w:r>
    </w:p>
    <w:p w14:paraId="4B7101C6" w14:textId="77777777" w:rsidR="00407D0F" w:rsidRDefault="00407D0F" w:rsidP="00E31736">
      <w:pPr>
        <w:pStyle w:val="ListBullet"/>
      </w:pPr>
      <w:r>
        <w:t xml:space="preserve">including in the TC3/IC3 population the 4 patients who re-tested high </w:t>
      </w:r>
      <w:r w:rsidRPr="00E31736">
        <w:rPr>
          <w:i/>
        </w:rPr>
        <w:t>and</w:t>
      </w:r>
      <w:r>
        <w:t xml:space="preserve"> excluding the 3 patients who were confirmed intermediate on re-test</w:t>
      </w:r>
    </w:p>
    <w:p w14:paraId="495DE385" w14:textId="5A405113" w:rsidR="00407D0F" w:rsidRDefault="00407D0F" w:rsidP="00E31736">
      <w:pPr>
        <w:pStyle w:val="ListBullet2"/>
      </w:pPr>
      <w:r>
        <w:t xml:space="preserve">Stratified </w:t>
      </w:r>
      <w:r w:rsidR="00E31736">
        <w:t>hazard ratio</w:t>
      </w:r>
      <w:r>
        <w:t xml:space="preserve"> for </w:t>
      </w:r>
      <w:r w:rsidR="00E31736">
        <w:t>overall survival</w:t>
      </w:r>
      <w:r>
        <w:t xml:space="preserve"> (95% CI) </w:t>
      </w:r>
      <w:r w:rsidR="00E31736">
        <w:t xml:space="preserve">atezolizumab </w:t>
      </w:r>
      <w:r>
        <w:t xml:space="preserve">versus </w:t>
      </w:r>
      <w:r w:rsidR="00E31736">
        <w:t>chemotherapy</w:t>
      </w:r>
      <w:r>
        <w:t xml:space="preserve"> = </w:t>
      </w:r>
      <w:r w:rsidRPr="00E80F53">
        <w:t>0.60 (0.41, 0.89)</w:t>
      </w:r>
    </w:p>
    <w:p w14:paraId="31EE2FF2" w14:textId="77777777" w:rsidR="00407D0F" w:rsidRDefault="00407D0F" w:rsidP="00E31736">
      <w:pPr>
        <w:pStyle w:val="ListBullet"/>
      </w:pPr>
      <w:r>
        <w:t xml:space="preserve">including in the TC3/IC3 population the 4 patients who re-tested high </w:t>
      </w:r>
      <w:r w:rsidRPr="00B50F71">
        <w:rPr>
          <w:iCs/>
        </w:rPr>
        <w:t>and</w:t>
      </w:r>
      <w:r>
        <w:t xml:space="preserve"> excluding all 6 patients who were not confirmed to be high on re-test</w:t>
      </w:r>
    </w:p>
    <w:p w14:paraId="19B22D75" w14:textId="7CC2363D" w:rsidR="00407D0F" w:rsidRDefault="00407D0F" w:rsidP="00E31736">
      <w:pPr>
        <w:pStyle w:val="ListBullet2"/>
      </w:pPr>
      <w:r>
        <w:t xml:space="preserve">Stratified </w:t>
      </w:r>
      <w:r w:rsidR="00E31736">
        <w:t>hazard ratio</w:t>
      </w:r>
      <w:r>
        <w:t xml:space="preserve"> for </w:t>
      </w:r>
      <w:r w:rsidR="00E31736">
        <w:t>overall survival</w:t>
      </w:r>
      <w:r>
        <w:t xml:space="preserve"> (95% CI) </w:t>
      </w:r>
      <w:r w:rsidR="00E31736">
        <w:t xml:space="preserve">atezolizumab </w:t>
      </w:r>
      <w:r>
        <w:t xml:space="preserve">versus </w:t>
      </w:r>
      <w:r w:rsidR="00E31736">
        <w:t>chemotherapy</w:t>
      </w:r>
      <w:r>
        <w:t xml:space="preserve"> = </w:t>
      </w:r>
      <w:r w:rsidRPr="00E317A4">
        <w:t>0.62 (0.42, 0.92)</w:t>
      </w:r>
    </w:p>
    <w:p w14:paraId="6386B379" w14:textId="77777777" w:rsidR="00407D0F" w:rsidRDefault="00407D0F" w:rsidP="00E667E9">
      <w:pPr>
        <w:pStyle w:val="ListBullet"/>
      </w:pPr>
      <w:r>
        <w:t xml:space="preserve">including in the TC3/IC3 population the 4 patients who re-tested high </w:t>
      </w:r>
      <w:proofErr w:type="gramStart"/>
      <w:r w:rsidRPr="00B50F71">
        <w:rPr>
          <w:iCs/>
        </w:rPr>
        <w:t>and also</w:t>
      </w:r>
      <w:proofErr w:type="gramEnd"/>
      <w:r w:rsidRPr="00E31736">
        <w:rPr>
          <w:i/>
        </w:rPr>
        <w:t xml:space="preserve"> </w:t>
      </w:r>
      <w:r>
        <w:t>including all 5 patients who were initially intermediate and were not re-tested or not evaluable on re-test</w:t>
      </w:r>
    </w:p>
    <w:p w14:paraId="41A01E38" w14:textId="6FA12387" w:rsidR="00407D0F" w:rsidRDefault="00407D0F" w:rsidP="00E31736">
      <w:pPr>
        <w:pStyle w:val="ListBullet2"/>
      </w:pPr>
      <w:r>
        <w:t xml:space="preserve">Stratified </w:t>
      </w:r>
      <w:r w:rsidR="00E31736">
        <w:t>hazard ratio for overall survival</w:t>
      </w:r>
      <w:r>
        <w:t xml:space="preserve"> (95% CI) </w:t>
      </w:r>
      <w:r w:rsidR="00E31736">
        <w:t xml:space="preserve">atezolizumab </w:t>
      </w:r>
      <w:r>
        <w:t xml:space="preserve">versus </w:t>
      </w:r>
      <w:r w:rsidR="00E31736">
        <w:t>chemotherapy</w:t>
      </w:r>
      <w:r>
        <w:t xml:space="preserve"> = </w:t>
      </w:r>
      <w:r w:rsidRPr="00E80F53">
        <w:t>0.58 (0.40, 0.86)</w:t>
      </w:r>
    </w:p>
    <w:p w14:paraId="36B42E73" w14:textId="77777777" w:rsidR="00407D0F" w:rsidRDefault="00407D0F" w:rsidP="00E31736">
      <w:pPr>
        <w:pStyle w:val="ListBullet"/>
      </w:pPr>
      <w:r>
        <w:t xml:space="preserve">including in the TC3/IC3 population the 4 patients who re-tested high </w:t>
      </w:r>
      <w:proofErr w:type="gramStart"/>
      <w:r w:rsidRPr="00B50F71">
        <w:rPr>
          <w:iCs/>
        </w:rPr>
        <w:t>and also</w:t>
      </w:r>
      <w:proofErr w:type="gramEnd"/>
      <w:r w:rsidRPr="00E31736">
        <w:rPr>
          <w:i/>
        </w:rPr>
        <w:t xml:space="preserve"> </w:t>
      </w:r>
      <w:r>
        <w:t xml:space="preserve">including all 5 patients who were initially intermediate and were not re-tested or not evaluable on re-test </w:t>
      </w:r>
      <w:r w:rsidRPr="00B50F71">
        <w:rPr>
          <w:iCs/>
        </w:rPr>
        <w:t>and also</w:t>
      </w:r>
      <w:r w:rsidRPr="00B50F71">
        <w:t xml:space="preserve"> </w:t>
      </w:r>
      <w:r>
        <w:t>excluding all 6 patients who were not confirmed to be high on re-test</w:t>
      </w:r>
    </w:p>
    <w:p w14:paraId="3966BF07" w14:textId="01B3992A" w:rsidR="00407D0F" w:rsidRDefault="00407D0F" w:rsidP="00E31736">
      <w:pPr>
        <w:pStyle w:val="ListBullet2"/>
      </w:pPr>
      <w:r>
        <w:t xml:space="preserve">Stratified </w:t>
      </w:r>
      <w:r w:rsidR="00E31736">
        <w:t>hazard ratio for overall survival</w:t>
      </w:r>
      <w:r>
        <w:t xml:space="preserve"> (95% CI) </w:t>
      </w:r>
      <w:r w:rsidR="00E31736">
        <w:t xml:space="preserve">atezolizumab </w:t>
      </w:r>
      <w:r>
        <w:t xml:space="preserve">versus </w:t>
      </w:r>
      <w:r w:rsidR="00E31736">
        <w:t>chemotherapy</w:t>
      </w:r>
      <w:r>
        <w:t xml:space="preserve"> = </w:t>
      </w:r>
      <w:r w:rsidRPr="00E80F53">
        <w:t>0.59 (0.40, 0.88)</w:t>
      </w:r>
    </w:p>
    <w:p w14:paraId="35BB53CC" w14:textId="43F4B6D9" w:rsidR="00407D0F" w:rsidRDefault="00407D0F" w:rsidP="00407D0F">
      <w:r>
        <w:t xml:space="preserve">For comparison, the primary </w:t>
      </w:r>
      <w:r w:rsidR="00E31736">
        <w:t>overall survival</w:t>
      </w:r>
      <w:r>
        <w:t xml:space="preserve"> analysis, gave a </w:t>
      </w:r>
      <w:r w:rsidR="00E31736">
        <w:t>hazard ratio</w:t>
      </w:r>
      <w:r>
        <w:t xml:space="preserve"> (95%</w:t>
      </w:r>
      <w:r w:rsidR="00E31736">
        <w:t xml:space="preserve"> </w:t>
      </w:r>
      <w:r>
        <w:t xml:space="preserve">CI) for </w:t>
      </w:r>
      <w:r w:rsidR="00E31736">
        <w:t>overall survival</w:t>
      </w:r>
      <w:r>
        <w:t xml:space="preserve"> of 0</w:t>
      </w:r>
      <w:r w:rsidRPr="002966D9">
        <w:rPr>
          <w:rFonts w:asciiTheme="minorHAnsi" w:hAnsiTheme="minorHAnsi" w:cs="Calibri"/>
        </w:rPr>
        <w:t>.59 (0.40, 0.89)</w:t>
      </w:r>
      <w:r>
        <w:t>.</w:t>
      </w:r>
    </w:p>
    <w:p w14:paraId="6E8A944B" w14:textId="74F83F87" w:rsidR="00407D0F" w:rsidRDefault="00407D0F" w:rsidP="00407D0F">
      <w:r>
        <w:t xml:space="preserve">The misclassification of patients’ </w:t>
      </w:r>
      <w:r w:rsidR="00E31736">
        <w:t xml:space="preserve">Ventana SP142 </w:t>
      </w:r>
      <w:r>
        <w:t>PD-L1 status due to t</w:t>
      </w:r>
      <w:r w:rsidRPr="002966D9">
        <w:t>he deployment of faulty dispenser lots</w:t>
      </w:r>
      <w:r>
        <w:rPr>
          <w:color w:val="0070C0"/>
        </w:rPr>
        <w:t xml:space="preserve"> </w:t>
      </w:r>
      <w:r>
        <w:t>is not likely to have significantly affected the primary efficacy endpoint.</w:t>
      </w:r>
    </w:p>
    <w:p w14:paraId="5568039F" w14:textId="77777777" w:rsidR="00407D0F" w:rsidRPr="00064316" w:rsidRDefault="00407D0F" w:rsidP="00B50F71">
      <w:pPr>
        <w:pStyle w:val="Heading5"/>
      </w:pPr>
      <w:r>
        <w:t>Complexity 2: compound nature of the scoring system</w:t>
      </w:r>
    </w:p>
    <w:p w14:paraId="125FC6B4" w14:textId="146DBB93" w:rsidR="00407D0F" w:rsidRDefault="00E31736" w:rsidP="00407D0F">
      <w:r>
        <w:t xml:space="preserve">Ventana SP142 </w:t>
      </w:r>
      <w:r w:rsidR="00407D0F">
        <w:t xml:space="preserve">is the only </w:t>
      </w:r>
      <w:r w:rsidR="001C4404">
        <w:t>US Food and Drug Administration (</w:t>
      </w:r>
      <w:r w:rsidR="00407D0F">
        <w:t>FDA</w:t>
      </w:r>
      <w:r w:rsidR="001C4404">
        <w:t>)</w:t>
      </w:r>
      <w:r w:rsidR="00407D0F">
        <w:t>-approved assay for PD-L1 assessment in NSCLC that</w:t>
      </w:r>
      <w:r w:rsidR="00407D0F" w:rsidRPr="009A1682">
        <w:t xml:space="preserve"> incorporate</w:t>
      </w:r>
      <w:r w:rsidR="00407D0F">
        <w:t>s immune cell (IC) staining. T</w:t>
      </w:r>
      <w:r w:rsidR="00407D0F" w:rsidRPr="009A1682">
        <w:t xml:space="preserve">he scoring system used </w:t>
      </w:r>
      <w:r w:rsidR="00407D0F">
        <w:t xml:space="preserve">for SP142 in </w:t>
      </w:r>
      <w:r w:rsidR="001C4404">
        <w:t xml:space="preserve">the </w:t>
      </w:r>
      <w:r w:rsidR="009258F9">
        <w:t>IMPOWER</w:t>
      </w:r>
      <w:r w:rsidR="00407D0F">
        <w:t>110</w:t>
      </w:r>
      <w:r w:rsidR="00407D0F" w:rsidRPr="009A1682">
        <w:t xml:space="preserve"> </w:t>
      </w:r>
      <w:r w:rsidR="001C4404">
        <w:t xml:space="preserve">trial </w:t>
      </w:r>
      <w:r w:rsidR="00407D0F">
        <w:t xml:space="preserve">is </w:t>
      </w:r>
      <w:r w:rsidR="00407D0F" w:rsidRPr="009A1682">
        <w:t xml:space="preserve">compound in that it </w:t>
      </w:r>
      <w:r w:rsidR="00407D0F">
        <w:t xml:space="preserve">takes into account </w:t>
      </w:r>
      <w:r w:rsidR="00407D0F" w:rsidRPr="009A1682">
        <w:t>both immune</w:t>
      </w:r>
      <w:r w:rsidR="001C4404">
        <w:t xml:space="preserve"> (IC)</w:t>
      </w:r>
      <w:r w:rsidR="00407D0F" w:rsidRPr="009A1682">
        <w:t xml:space="preserve"> and tumour cell </w:t>
      </w:r>
      <w:r w:rsidR="00407D0F">
        <w:t xml:space="preserve">(TC) </w:t>
      </w:r>
      <w:proofErr w:type="gramStart"/>
      <w:r w:rsidR="00407D0F" w:rsidRPr="009A1682">
        <w:t>staining</w:t>
      </w:r>
      <w:r w:rsidR="00407D0F">
        <w:t>, and</w:t>
      </w:r>
      <w:proofErr w:type="gramEnd"/>
      <w:r w:rsidR="00407D0F">
        <w:t xml:space="preserve"> prevents the assessment of outcomes in </w:t>
      </w:r>
      <w:r w:rsidR="001C4404">
        <w:t xml:space="preserve">the </w:t>
      </w:r>
      <w:r w:rsidR="009258F9">
        <w:t>IMPOWER</w:t>
      </w:r>
      <w:r w:rsidR="00407D0F">
        <w:t xml:space="preserve">110 </w:t>
      </w:r>
      <w:r w:rsidR="001C4404">
        <w:t xml:space="preserve">trial </w:t>
      </w:r>
      <w:r w:rsidR="00407D0F">
        <w:t>based on IC or TC expression separately</w:t>
      </w:r>
      <w:r w:rsidR="00407D0F" w:rsidRPr="00A124B9">
        <w:t>.</w:t>
      </w:r>
    </w:p>
    <w:p w14:paraId="7F5695FE" w14:textId="030B1A09" w:rsidR="00407D0F" w:rsidRDefault="00E31736" w:rsidP="00407D0F">
      <w:r>
        <w:t>The s</w:t>
      </w:r>
      <w:r w:rsidR="00407D0F">
        <w:t>ponsor states:</w:t>
      </w:r>
    </w:p>
    <w:p w14:paraId="37C530BA" w14:textId="31BE617B" w:rsidR="00407D0F" w:rsidRPr="00E31736" w:rsidRDefault="00407D0F" w:rsidP="00E31736">
      <w:pPr>
        <w:ind w:left="720"/>
        <w:rPr>
          <w:vertAlign w:val="superscript"/>
        </w:rPr>
      </w:pPr>
      <w:r w:rsidRPr="00E31736">
        <w:t xml:space="preserve">While there has been debate over the predictive value and utility of TC </w:t>
      </w:r>
      <w:r w:rsidR="00E31736" w:rsidRPr="00E31736">
        <w:t>versus</w:t>
      </w:r>
      <w:r w:rsidRPr="00E31736">
        <w:t xml:space="preserve"> IC in NSCLC, the collective data from atezolizumab studies indicates that both TC and IC, </w:t>
      </w:r>
      <w:r w:rsidRPr="00E31736">
        <w:lastRenderedPageBreak/>
        <w:t>defined by the SP142 assay, independently enriches for clinical benefit in patients treated with atezolizumab monotherapy.</w:t>
      </w:r>
      <w:bookmarkStart w:id="76" w:name="_Ref106434447"/>
      <w:r w:rsidR="00E31736">
        <w:rPr>
          <w:rStyle w:val="FootnoteReference"/>
        </w:rPr>
        <w:footnoteReference w:id="23"/>
      </w:r>
      <w:bookmarkEnd w:id="76"/>
      <w:r w:rsidR="00E31736">
        <w:rPr>
          <w:vertAlign w:val="superscript"/>
        </w:rPr>
        <w:t>,</w:t>
      </w:r>
      <w:bookmarkStart w:id="77" w:name="_Ref106434464"/>
      <w:r w:rsidR="00E31736">
        <w:rPr>
          <w:rStyle w:val="FootnoteReference"/>
        </w:rPr>
        <w:footnoteReference w:id="24"/>
      </w:r>
      <w:bookmarkEnd w:id="77"/>
    </w:p>
    <w:p w14:paraId="22EB285D" w14:textId="7B0D5344" w:rsidR="00407D0F" w:rsidRDefault="00407D0F" w:rsidP="00407D0F">
      <w:r>
        <w:t>The</w:t>
      </w:r>
      <w:r w:rsidR="00E31736">
        <w:t xml:space="preserve"> first study referenced by the sponsor is a Phase I</w:t>
      </w:r>
      <w:r>
        <w:t xml:space="preserve"> study of atezolizumab in advanced </w:t>
      </w:r>
      <w:proofErr w:type="gramStart"/>
      <w:r>
        <w:t>NSCLC, and</w:t>
      </w:r>
      <w:proofErr w:type="gramEnd"/>
      <w:r>
        <w:t xml:space="preserve"> does not describe any findings in patients based on IC positivity distinct from TC positivity.</w:t>
      </w:r>
      <w:r w:rsidR="00E31736" w:rsidRPr="008622F0">
        <w:rPr>
          <w:vertAlign w:val="superscript"/>
        </w:rPr>
        <w:fldChar w:fldCharType="begin"/>
      </w:r>
      <w:r w:rsidR="00E31736" w:rsidRPr="008622F0">
        <w:rPr>
          <w:vertAlign w:val="superscript"/>
        </w:rPr>
        <w:instrText xml:space="preserve"> NOTEREF _Ref106434447 \h </w:instrText>
      </w:r>
      <w:r w:rsidR="008622F0">
        <w:rPr>
          <w:vertAlign w:val="superscript"/>
        </w:rPr>
        <w:instrText xml:space="preserve"> \* MERGEFORMAT </w:instrText>
      </w:r>
      <w:r w:rsidR="00E31736" w:rsidRPr="008622F0">
        <w:rPr>
          <w:vertAlign w:val="superscript"/>
        </w:rPr>
      </w:r>
      <w:r w:rsidR="00E31736" w:rsidRPr="008622F0">
        <w:rPr>
          <w:vertAlign w:val="superscript"/>
        </w:rPr>
        <w:fldChar w:fldCharType="separate"/>
      </w:r>
      <w:r w:rsidR="00C05B15">
        <w:rPr>
          <w:vertAlign w:val="superscript"/>
        </w:rPr>
        <w:t>23</w:t>
      </w:r>
      <w:r w:rsidR="00E31736" w:rsidRPr="008622F0">
        <w:rPr>
          <w:vertAlign w:val="superscript"/>
        </w:rPr>
        <w:fldChar w:fldCharType="end"/>
      </w:r>
    </w:p>
    <w:p w14:paraId="327834A1" w14:textId="1FA64CD6" w:rsidR="00407D0F" w:rsidRDefault="00407D0F" w:rsidP="00E667E9">
      <w:r>
        <w:t>The second study describes the molecular and cellular cha</w:t>
      </w:r>
      <w:r w:rsidR="008622F0">
        <w:t>racteristics associated with PD</w:t>
      </w:r>
      <w:r w:rsidR="008622F0">
        <w:noBreakHyphen/>
      </w:r>
      <w:r>
        <w:t>L1 expression in TC and IC in 4549 cases of NSCLC, as well as efficacy in a cohort of 938 patients with advanced NSCLC treated across 4</w:t>
      </w:r>
      <w:bookmarkStart w:id="78" w:name="_Ref56006944"/>
      <w:r w:rsidR="001C4404">
        <w:t xml:space="preserve"> Phase I</w:t>
      </w:r>
      <w:r>
        <w:t>/II studies.</w:t>
      </w:r>
      <w:bookmarkEnd w:id="78"/>
      <w:r w:rsidR="00E31736" w:rsidRPr="00E31736">
        <w:rPr>
          <w:vertAlign w:val="superscript"/>
        </w:rPr>
        <w:fldChar w:fldCharType="begin"/>
      </w:r>
      <w:r w:rsidR="00E31736" w:rsidRPr="00E31736">
        <w:rPr>
          <w:vertAlign w:val="superscript"/>
        </w:rPr>
        <w:instrText xml:space="preserve"> NOTEREF _Ref106434464 \h </w:instrText>
      </w:r>
      <w:r w:rsidR="00E31736">
        <w:rPr>
          <w:vertAlign w:val="superscript"/>
        </w:rPr>
        <w:instrText xml:space="preserve"> \* MERGEFORMAT </w:instrText>
      </w:r>
      <w:r w:rsidR="00E31736" w:rsidRPr="00E31736">
        <w:rPr>
          <w:vertAlign w:val="superscript"/>
        </w:rPr>
      </w:r>
      <w:r w:rsidR="00E31736" w:rsidRPr="00E31736">
        <w:rPr>
          <w:vertAlign w:val="superscript"/>
        </w:rPr>
        <w:fldChar w:fldCharType="separate"/>
      </w:r>
      <w:r w:rsidR="00C05B15">
        <w:rPr>
          <w:vertAlign w:val="superscript"/>
        </w:rPr>
        <w:t>24</w:t>
      </w:r>
      <w:r w:rsidR="00E31736" w:rsidRPr="00E31736">
        <w:rPr>
          <w:vertAlign w:val="superscript"/>
        </w:rPr>
        <w:fldChar w:fldCharType="end"/>
      </w:r>
      <w:r w:rsidRPr="00A124B9">
        <w:t xml:space="preserve"> </w:t>
      </w:r>
      <w:r>
        <w:t xml:space="preserve">This publication indicates that the IC3 population and the TC3 population were demonstrated to be almost mutually exclusive (1% overlap), with differing cellular and molecular features, and the authors speculated that they appear to represent </w:t>
      </w:r>
      <w:r w:rsidRPr="0086088B">
        <w:t>two distinct patient populations</w:t>
      </w:r>
      <w:r>
        <w:t xml:space="preserve">. The efficacy of atezolizumab also appeared to differ between these populations, with an </w:t>
      </w:r>
      <w:r w:rsidR="008622F0">
        <w:t>objective response rate</w:t>
      </w:r>
      <w:r>
        <w:t xml:space="preserve"> of 40% in TC3-IC0 patients, and an </w:t>
      </w:r>
      <w:r w:rsidR="008622F0">
        <w:t>objective response rate</w:t>
      </w:r>
      <w:r>
        <w:t xml:space="preserve"> of 22% in IC3-TC0 patients (</w:t>
      </w:r>
      <w:r w:rsidR="009E2618">
        <w:fldChar w:fldCharType="begin"/>
      </w:r>
      <w:r w:rsidR="009E2618">
        <w:instrText xml:space="preserve"> REF _Ref108458406 \h </w:instrText>
      </w:r>
      <w:r w:rsidR="009E2618">
        <w:fldChar w:fldCharType="separate"/>
      </w:r>
      <w:r w:rsidR="00C05B15" w:rsidRPr="00400B3D">
        <w:t xml:space="preserve">Table </w:t>
      </w:r>
      <w:r w:rsidR="00C05B15">
        <w:rPr>
          <w:noProof/>
        </w:rPr>
        <w:t>17</w:t>
      </w:r>
      <w:r w:rsidR="009E2618">
        <w:fldChar w:fldCharType="end"/>
      </w:r>
      <w:r>
        <w:t>).</w:t>
      </w:r>
    </w:p>
    <w:p w14:paraId="4887CAD9" w14:textId="1317DFEC" w:rsidR="00407D0F" w:rsidRPr="00400B3D" w:rsidRDefault="009E2618" w:rsidP="00400B3D">
      <w:pPr>
        <w:pStyle w:val="TableTitle"/>
      </w:pPr>
      <w:bookmarkStart w:id="79" w:name="_Ref108458406"/>
      <w:bookmarkStart w:id="80" w:name="_Ref56440210"/>
      <w:r w:rsidRPr="00400B3D">
        <w:t xml:space="preserve">Table </w:t>
      </w:r>
      <w:fldSimple w:instr=" SEQ Table \* ARABIC ">
        <w:r w:rsidR="00C05B15">
          <w:rPr>
            <w:noProof/>
          </w:rPr>
          <w:t>17</w:t>
        </w:r>
      </w:fldSimple>
      <w:bookmarkEnd w:id="79"/>
      <w:bookmarkEnd w:id="80"/>
      <w:r w:rsidR="008622F0" w:rsidRPr="00400B3D">
        <w:t>:</w:t>
      </w:r>
      <w:r w:rsidR="00407D0F" w:rsidRPr="00400B3D">
        <w:t xml:space="preserve"> </w:t>
      </w:r>
      <w:proofErr w:type="spellStart"/>
      <w:r w:rsidR="008622F0" w:rsidRPr="00400B3D">
        <w:t>Kowanetz</w:t>
      </w:r>
      <w:proofErr w:type="spellEnd"/>
      <w:r w:rsidR="008622F0" w:rsidRPr="00400B3D">
        <w:t xml:space="preserve"> et al. (2018) </w:t>
      </w:r>
      <w:r w:rsidR="00407D0F" w:rsidRPr="00400B3D">
        <w:t xml:space="preserve">Clinical outcomes were those recorded for a cohort of 938 patients with </w:t>
      </w:r>
      <w:r w:rsidR="00B31ACA" w:rsidRPr="00400B3D">
        <w:t xml:space="preserve">non-small cell lung cancer </w:t>
      </w:r>
      <w:r w:rsidR="008622F0" w:rsidRPr="00400B3D">
        <w:t xml:space="preserve">across 4 </w:t>
      </w:r>
      <w:r w:rsidR="00FE3F02" w:rsidRPr="00400B3D">
        <w:t>P</w:t>
      </w:r>
      <w:r w:rsidR="008622F0" w:rsidRPr="00400B3D">
        <w:t>hase I/II studies</w:t>
      </w:r>
    </w:p>
    <w:p w14:paraId="1C7DAFD1" w14:textId="5FEF8820" w:rsidR="00407D0F" w:rsidRDefault="00407D0F">
      <w:pPr>
        <w:rPr>
          <w:lang w:eastAsia="zh-TW"/>
        </w:rPr>
      </w:pPr>
      <w:r>
        <w:rPr>
          <w:noProof/>
          <w:lang w:val="en-GB" w:eastAsia="en-GB"/>
        </w:rPr>
        <w:drawing>
          <wp:inline distT="0" distB="0" distL="0" distR="0" wp14:anchorId="30FFE742" wp14:editId="2D1C665B">
            <wp:extent cx="5352143" cy="1214755"/>
            <wp:effectExtent l="0" t="0" r="1270" b="4445"/>
            <wp:docPr id="14" name="Picture 14" descr="Table 17: Kowanetz et al. (2018) Clinical outcomes were those recorded for a cohort of 938 patients with non-small cell lung cancer across 4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17: Kowanetz et al. (2018) Clinical outcomes were those recorded for a cohort of 938 patients with non-small cell lung cancer across 4 Phase I/II studies"/>
                    <pic:cNvPicPr/>
                  </pic:nvPicPr>
                  <pic:blipFill>
                    <a:blip r:embed="rId24"/>
                    <a:stretch>
                      <a:fillRect/>
                    </a:stretch>
                  </pic:blipFill>
                  <pic:spPr>
                    <a:xfrm>
                      <a:off x="0" y="0"/>
                      <a:ext cx="5377431" cy="1220494"/>
                    </a:xfrm>
                    <a:prstGeom prst="rect">
                      <a:avLst/>
                    </a:prstGeom>
                  </pic:spPr>
                </pic:pic>
              </a:graphicData>
            </a:graphic>
          </wp:inline>
        </w:drawing>
      </w:r>
    </w:p>
    <w:p w14:paraId="786F863B" w14:textId="08D581C8" w:rsidR="000036F6" w:rsidRPr="00400B3D" w:rsidRDefault="00EC0FD4" w:rsidP="00400B3D">
      <w:pPr>
        <w:pStyle w:val="TableDescription"/>
      </w:pPr>
      <w:r w:rsidRPr="00400B3D">
        <w:t xml:space="preserve">Abbreviations: </w:t>
      </w:r>
      <w:r w:rsidR="001C4404" w:rsidRPr="00400B3D">
        <w:t xml:space="preserve">CI = confidence interval; </w:t>
      </w:r>
      <w:r w:rsidR="009E2618" w:rsidRPr="00400B3D">
        <w:t xml:space="preserve">IC = immune cell; n = numbers of subjects in group; </w:t>
      </w:r>
      <w:r w:rsidR="001C4404" w:rsidRPr="00400B3D">
        <w:t>NE</w:t>
      </w:r>
      <w:r w:rsidR="000036F6" w:rsidRPr="00400B3D">
        <w:t xml:space="preserve"> =</w:t>
      </w:r>
      <w:r w:rsidR="001C4404" w:rsidRPr="00400B3D">
        <w:t xml:space="preserve"> not estimable; NR</w:t>
      </w:r>
      <w:r w:rsidR="000036F6" w:rsidRPr="00400B3D">
        <w:t xml:space="preserve"> =</w:t>
      </w:r>
      <w:r w:rsidR="001C4404" w:rsidRPr="00400B3D">
        <w:t xml:space="preserve"> not reached</w:t>
      </w:r>
      <w:r w:rsidR="009E2618" w:rsidRPr="00400B3D">
        <w:t xml:space="preserve">; PD-L1 = programmed death-ligand 1; </w:t>
      </w:r>
      <w:r w:rsidR="000036F6" w:rsidRPr="00400B3D">
        <w:t xml:space="preserve">TC = </w:t>
      </w:r>
      <w:r w:rsidR="008159EE" w:rsidRPr="00400B3D">
        <w:t>tumour cell</w:t>
      </w:r>
      <w:r w:rsidR="009E2618" w:rsidRPr="00400B3D">
        <w:t>.</w:t>
      </w:r>
    </w:p>
    <w:p w14:paraId="300E4C08" w14:textId="77777777" w:rsidR="000B6A3D" w:rsidRPr="00400B3D" w:rsidRDefault="000B6A3D" w:rsidP="00400B3D">
      <w:pPr>
        <w:pStyle w:val="TableDescription"/>
      </w:pPr>
      <w:r w:rsidRPr="00400B3D">
        <w:t>Immune cell scoring (PD-L1 expression): IC0 (0 to &lt; 1%); IC1 (1 to &lt; 5%); IC2 (5 to &lt;10%); IC3 (10%+).</w:t>
      </w:r>
    </w:p>
    <w:p w14:paraId="2F879A49" w14:textId="77777777" w:rsidR="000B6A3D" w:rsidRPr="00400B3D" w:rsidRDefault="000B6A3D" w:rsidP="00400B3D">
      <w:pPr>
        <w:pStyle w:val="TableDescription"/>
      </w:pPr>
      <w:r w:rsidRPr="00400B3D">
        <w:t>Tumour cell scoring (PD-L1 expression): TC0 (0 to &lt;1%); TC1 (1 to &lt; 5%); TC2 (5 to &lt; 50%); TC3 (50%+).</w:t>
      </w:r>
    </w:p>
    <w:p w14:paraId="143D608B" w14:textId="7B7A8756" w:rsidR="008622F0" w:rsidRPr="00400B3D" w:rsidRDefault="008622F0" w:rsidP="00400B3D">
      <w:pPr>
        <w:pStyle w:val="TableDescription"/>
      </w:pPr>
      <w:r w:rsidRPr="00400B3D">
        <w:t xml:space="preserve">Extract of Figure 4 ‘Clinical outcomes from atezolizumab treatment in </w:t>
      </w:r>
      <w:r w:rsidR="001C4404" w:rsidRPr="00400B3D">
        <w:t xml:space="preserve">PD-L1 TC and IC </w:t>
      </w:r>
      <w:proofErr w:type="spellStart"/>
      <w:r w:rsidR="001C4404" w:rsidRPr="00400B3D">
        <w:t>tumor</w:t>
      </w:r>
      <w:proofErr w:type="spellEnd"/>
      <w:r w:rsidR="001C4404" w:rsidRPr="00400B3D">
        <w:t xml:space="preserve"> </w:t>
      </w:r>
      <w:proofErr w:type="gramStart"/>
      <w:r w:rsidR="001C4404" w:rsidRPr="00400B3D">
        <w:t>subgroups</w:t>
      </w:r>
      <w:r w:rsidRPr="00400B3D">
        <w:t>’</w:t>
      </w:r>
      <w:proofErr w:type="gramEnd"/>
      <w:r w:rsidR="009E2618" w:rsidRPr="00400B3D">
        <w:t>.</w:t>
      </w:r>
      <w:bookmarkStart w:id="81" w:name="_Ref108523352"/>
      <w:r w:rsidR="009E2618" w:rsidRPr="00400B3D">
        <w:rPr>
          <w:rStyle w:val="FootnoteReference"/>
        </w:rPr>
        <w:footnoteReference w:id="25"/>
      </w:r>
      <w:bookmarkEnd w:id="81"/>
    </w:p>
    <w:p w14:paraId="1CCE9542" w14:textId="40312D26" w:rsidR="00407D0F" w:rsidRDefault="00407D0F" w:rsidP="00407D0F">
      <w:r>
        <w:t xml:space="preserve">Due to the compound scoring approach and the definitions selected for efficacy populations, it was not clear whether efficacy in </w:t>
      </w:r>
      <w:r w:rsidR="001C4404">
        <w:t xml:space="preserve">the </w:t>
      </w:r>
      <w:r w:rsidR="009258F9">
        <w:t>IMPOWER</w:t>
      </w:r>
      <w:r w:rsidR="00893B02">
        <w:t xml:space="preserve">110 trial (Study GO29431) </w:t>
      </w:r>
      <w:r>
        <w:t xml:space="preserve">was being driven by patients with high TC. Based on the above, it was unclear whether there could be poorer efficacy for patients included in the primary efficacy population </w:t>
      </w:r>
      <w:r w:rsidR="00893B02">
        <w:t>based on their IC score only, that is,</w:t>
      </w:r>
      <w:r>
        <w:t xml:space="preserve"> those with TC0/1/2 and IC3, and particularly those with TC0 and IC3.</w:t>
      </w:r>
    </w:p>
    <w:p w14:paraId="3C40BE86" w14:textId="086F1C5B" w:rsidR="00407D0F" w:rsidRPr="004E2ECE" w:rsidRDefault="00407D0F" w:rsidP="00407D0F">
      <w:r>
        <w:t>T</w:t>
      </w:r>
      <w:r w:rsidRPr="00E80F53">
        <w:t xml:space="preserve">he </w:t>
      </w:r>
      <w:r w:rsidR="008622F0">
        <w:t>s</w:t>
      </w:r>
      <w:r w:rsidRPr="00E80F53">
        <w:t xml:space="preserve">ponsor was </w:t>
      </w:r>
      <w:r w:rsidRPr="004E2ECE">
        <w:t>therefore asked to provide exploratory analyses of efficacy in TC0</w:t>
      </w:r>
      <w:r w:rsidR="0009673E">
        <w:t xml:space="preserve"> </w:t>
      </w:r>
      <w:r w:rsidRPr="004E2ECE">
        <w:t>+</w:t>
      </w:r>
      <w:r w:rsidR="0009673E">
        <w:t xml:space="preserve"> </w:t>
      </w:r>
      <w:r w:rsidRPr="004E2ECE">
        <w:t xml:space="preserve">IC3 patients, which are reproduced in </w:t>
      </w:r>
      <w:r w:rsidR="0066268A">
        <w:fldChar w:fldCharType="begin"/>
      </w:r>
      <w:r w:rsidR="0066268A">
        <w:instrText xml:space="preserve"> REF _Ref108521947 \h </w:instrText>
      </w:r>
      <w:r w:rsidR="0066268A">
        <w:fldChar w:fldCharType="separate"/>
      </w:r>
      <w:r w:rsidR="00C05B15" w:rsidRPr="00222A45">
        <w:t xml:space="preserve">Table </w:t>
      </w:r>
      <w:r w:rsidR="00C05B15">
        <w:rPr>
          <w:noProof/>
        </w:rPr>
        <w:t>18</w:t>
      </w:r>
      <w:r w:rsidR="0066268A">
        <w:fldChar w:fldCharType="end"/>
      </w:r>
      <w:r w:rsidR="0066268A">
        <w:t xml:space="preserve"> and </w:t>
      </w:r>
      <w:r w:rsidR="0066268A">
        <w:fldChar w:fldCharType="begin"/>
      </w:r>
      <w:r w:rsidR="0066268A">
        <w:instrText xml:space="preserve"> REF _Ref108521930 \h </w:instrText>
      </w:r>
      <w:r w:rsidR="0066268A">
        <w:fldChar w:fldCharType="separate"/>
      </w:r>
      <w:r w:rsidR="00C05B15" w:rsidRPr="00400B3D">
        <w:t xml:space="preserve">Figure </w:t>
      </w:r>
      <w:r w:rsidR="00C05B15">
        <w:rPr>
          <w:noProof/>
        </w:rPr>
        <w:t>4</w:t>
      </w:r>
      <w:r w:rsidR="0066268A">
        <w:fldChar w:fldCharType="end"/>
      </w:r>
      <w:r w:rsidR="008622F0">
        <w:t>. The s</w:t>
      </w:r>
      <w:r w:rsidRPr="004E2ECE">
        <w:t xml:space="preserve">ponsor also provided another requested </w:t>
      </w:r>
      <w:r w:rsidRPr="008622F0">
        <w:rPr>
          <w:i/>
        </w:rPr>
        <w:t>post-hoc</w:t>
      </w:r>
      <w:r w:rsidRPr="004E2ECE">
        <w:t xml:space="preserve"> exploratory analysis of </w:t>
      </w:r>
      <w:r w:rsidR="008622F0">
        <w:t>overall survival</w:t>
      </w:r>
      <w:r w:rsidRPr="004E2ECE">
        <w:t xml:space="preserve"> within subgroups of the TC3/IC3 population that indicated similar efficacy to the primary endpoint for patients included in the TC3/IC3 pop</w:t>
      </w:r>
      <w:r w:rsidR="008622F0">
        <w:t>ulation based on an IC3 score (‘IC3, not TC’</w:t>
      </w:r>
      <w:r w:rsidRPr="004E2ECE">
        <w:t xml:space="preserve"> in </w:t>
      </w:r>
      <w:r w:rsidR="000328E6">
        <w:fldChar w:fldCharType="begin"/>
      </w:r>
      <w:r w:rsidR="000328E6">
        <w:instrText xml:space="preserve"> REF _Ref108511425 \h </w:instrText>
      </w:r>
      <w:r w:rsidR="000328E6">
        <w:fldChar w:fldCharType="separate"/>
      </w:r>
      <w:r w:rsidR="00C05B15" w:rsidRPr="00716528">
        <w:t xml:space="preserve">Table </w:t>
      </w:r>
      <w:r w:rsidR="00C05B15">
        <w:rPr>
          <w:noProof/>
        </w:rPr>
        <w:t>19</w:t>
      </w:r>
      <w:r w:rsidR="000328E6">
        <w:fldChar w:fldCharType="end"/>
      </w:r>
      <w:r w:rsidR="000328E6">
        <w:t>)</w:t>
      </w:r>
      <w:r w:rsidRPr="004E2ECE">
        <w:t>.</w:t>
      </w:r>
    </w:p>
    <w:p w14:paraId="1AD9E157" w14:textId="45B618EC" w:rsidR="00407D0F" w:rsidRPr="00B50F71" w:rsidRDefault="0066268A" w:rsidP="00400B3D">
      <w:pPr>
        <w:pStyle w:val="TableTitle"/>
      </w:pPr>
      <w:bookmarkStart w:id="82" w:name="_Ref108521947"/>
      <w:bookmarkStart w:id="83" w:name="_Ref63759371"/>
      <w:r w:rsidRPr="00222A45">
        <w:lastRenderedPageBreak/>
        <w:t xml:space="preserve">Table </w:t>
      </w:r>
      <w:r w:rsidRPr="00B13A95">
        <w:fldChar w:fldCharType="begin"/>
      </w:r>
      <w:r w:rsidRPr="00B50F71">
        <w:instrText xml:space="preserve"> SEQ Table \* ARABIC </w:instrText>
      </w:r>
      <w:r w:rsidRPr="00B13A95">
        <w:fldChar w:fldCharType="separate"/>
      </w:r>
      <w:r w:rsidR="00C05B15">
        <w:rPr>
          <w:noProof/>
        </w:rPr>
        <w:t>18</w:t>
      </w:r>
      <w:r w:rsidRPr="00B13A95">
        <w:fldChar w:fldCharType="end"/>
      </w:r>
      <w:bookmarkEnd w:id="82"/>
      <w:bookmarkEnd w:id="83"/>
      <w:r w:rsidR="0066527A" w:rsidRPr="00B50F71">
        <w:t>:</w:t>
      </w:r>
      <w:r w:rsidR="00407D0F" w:rsidRPr="00B50F71">
        <w:t xml:space="preserve"> </w:t>
      </w:r>
      <w:r w:rsidR="009258F9" w:rsidRPr="00B50F71">
        <w:t>IMPOWER</w:t>
      </w:r>
      <w:r w:rsidR="00893B02" w:rsidRPr="00B50F71">
        <w:t xml:space="preserve">110 trial (Study GO29431) Sponsor’s </w:t>
      </w:r>
      <w:r w:rsidR="00893B02" w:rsidRPr="00B178E4">
        <w:rPr>
          <w:i/>
        </w:rPr>
        <w:t xml:space="preserve">post-hoc </w:t>
      </w:r>
      <w:r w:rsidR="00893B02" w:rsidRPr="00222A45">
        <w:t>e</w:t>
      </w:r>
      <w:r w:rsidR="00407D0F" w:rsidRPr="00B13A95">
        <w:t xml:space="preserve">xploratory sensitivity analysis of efficacy in the </w:t>
      </w:r>
      <w:r w:rsidR="00FE3F02">
        <w:t>TC</w:t>
      </w:r>
      <w:r w:rsidR="00407D0F" w:rsidRPr="00B50F71">
        <w:t xml:space="preserve">0 and </w:t>
      </w:r>
      <w:r w:rsidR="00FE3F02">
        <w:t>IC</w:t>
      </w:r>
      <w:r w:rsidR="00407D0F" w:rsidRPr="00B50F71">
        <w:t>3 population</w:t>
      </w:r>
    </w:p>
    <w:p w14:paraId="0BF142DD" w14:textId="56CB80E3" w:rsidR="0066268A" w:rsidRDefault="0066268A" w:rsidP="00400B3D">
      <w:r>
        <w:rPr>
          <w:noProof/>
          <w:lang w:val="en-GB" w:eastAsia="en-GB"/>
        </w:rPr>
        <w:drawing>
          <wp:inline distT="0" distB="0" distL="0" distR="0" wp14:anchorId="6EE02AF6" wp14:editId="5B92A2E5">
            <wp:extent cx="5400040" cy="1482548"/>
            <wp:effectExtent l="0" t="0" r="0" b="3810"/>
            <wp:docPr id="32" name="Picture 32" descr="Table 18: IMPOWER110 trial (Study GO29431) Sponsor’s post-hoc exploratory sensitivity analysis of efficacy in the TC0 and IC3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 18: IMPOWER110 trial (Study GO29431) Sponsor’s post-hoc exploratory sensitivity analysis of efficacy in the TC0 and IC3 popul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00040" cy="1482548"/>
                    </a:xfrm>
                    <a:prstGeom prst="rect">
                      <a:avLst/>
                    </a:prstGeom>
                    <a:noFill/>
                    <a:ln>
                      <a:noFill/>
                    </a:ln>
                  </pic:spPr>
                </pic:pic>
              </a:graphicData>
            </a:graphic>
          </wp:inline>
        </w:drawing>
      </w:r>
    </w:p>
    <w:p w14:paraId="0C91B17C" w14:textId="4BFB624B" w:rsidR="00C977D7" w:rsidRPr="00400B3D" w:rsidRDefault="00FE3F02" w:rsidP="00400B3D">
      <w:pPr>
        <w:pStyle w:val="TableDescription"/>
      </w:pPr>
      <w:r w:rsidRPr="00400B3D">
        <w:t xml:space="preserve">Abbreviations: </w:t>
      </w:r>
      <w:r w:rsidR="00C977D7" w:rsidRPr="00400B3D">
        <w:t>CI = confidence interval; IC = immune cell; n = number of subjects in group; NE = not estimable; TC = tumour cell; WT = wild type.</w:t>
      </w:r>
    </w:p>
    <w:p w14:paraId="73D18A48" w14:textId="5B4775B1" w:rsidR="000B6A3D" w:rsidRPr="00400B3D" w:rsidRDefault="000B6A3D" w:rsidP="00400B3D">
      <w:pPr>
        <w:pStyle w:val="TableDescription"/>
      </w:pPr>
      <w:r w:rsidRPr="00400B3D">
        <w:t>Immune cell scoring (PD-L1 expression): IC0 (0 to &lt; 1%); IC1 (1 to &lt; 5%); IC2 (5 to &lt;10%); IC3 (10%+).</w:t>
      </w:r>
    </w:p>
    <w:p w14:paraId="48B2E16B" w14:textId="77777777" w:rsidR="000B6A3D" w:rsidRPr="00400B3D" w:rsidRDefault="000B6A3D" w:rsidP="00400B3D">
      <w:pPr>
        <w:pStyle w:val="TableDescription"/>
      </w:pPr>
      <w:r w:rsidRPr="00400B3D">
        <w:t>Tumour cell scoring (PD-L1 expression): TC0 (0 to &lt;1%); TC1 (1 to &lt; 5%); TC2 (5 to &lt; 50%); TC3 (50%+).</w:t>
      </w:r>
    </w:p>
    <w:p w14:paraId="7CF92478" w14:textId="4C001A86" w:rsidR="0066268A" w:rsidRPr="00400B3D" w:rsidRDefault="0066268A" w:rsidP="00400B3D">
      <w:pPr>
        <w:pStyle w:val="FigureTitle"/>
      </w:pPr>
      <w:bookmarkStart w:id="84" w:name="_Ref108521930"/>
      <w:r w:rsidRPr="00400B3D">
        <w:t xml:space="preserve">Figure </w:t>
      </w:r>
      <w:fldSimple w:instr=" SEQ Figure \* ARABIC ">
        <w:r w:rsidR="00C05B15">
          <w:rPr>
            <w:noProof/>
          </w:rPr>
          <w:t>4</w:t>
        </w:r>
      </w:fldSimple>
      <w:bookmarkEnd w:id="84"/>
      <w:r w:rsidRPr="00400B3D">
        <w:t xml:space="preserve">: IMPOWER110 trial (Study GO29431) Kaplan-Meier plot of overall survival, </w:t>
      </w:r>
      <w:r w:rsidR="0041155F" w:rsidRPr="00400B3D">
        <w:t>TC</w:t>
      </w:r>
      <w:r w:rsidRPr="00400B3D">
        <w:t xml:space="preserve">0 and </w:t>
      </w:r>
      <w:r w:rsidR="0041155F" w:rsidRPr="00400B3D">
        <w:t>IC</w:t>
      </w:r>
      <w:r w:rsidRPr="00400B3D">
        <w:t>3 (intent-to-treat patients)</w:t>
      </w:r>
    </w:p>
    <w:p w14:paraId="6790156A" w14:textId="434E4C40" w:rsidR="0066268A" w:rsidRDefault="0066268A" w:rsidP="00400B3D">
      <w:r>
        <w:rPr>
          <w:noProof/>
          <w:lang w:val="en-GB" w:eastAsia="en-GB"/>
        </w:rPr>
        <w:drawing>
          <wp:inline distT="0" distB="0" distL="0" distR="0" wp14:anchorId="15DDBD07" wp14:editId="19EF637A">
            <wp:extent cx="5390866" cy="3006437"/>
            <wp:effectExtent l="0" t="0" r="635" b="3810"/>
            <wp:docPr id="35" name="Picture 35" descr="Figure 4: IMPOWER110 trial (Study GO29431) Kaplan-Meier plot of overall survival, TC0 and IC3 (intent-to-treat pati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Figure 4: IMPOWER110 trial (Study GO29431) Kaplan-Meier plot of overall survival, TC0 and IC3 (intent-to-treat patients)"/>
                    <pic:cNvPicPr/>
                  </pic:nvPicPr>
                  <pic:blipFill rotWithShape="1">
                    <a:blip r:embed="rId26"/>
                    <a:srcRect t="8115" r="1573" b="9543"/>
                    <a:stretch/>
                  </pic:blipFill>
                  <pic:spPr bwMode="auto">
                    <a:xfrm>
                      <a:off x="0" y="0"/>
                      <a:ext cx="5417784" cy="3021449"/>
                    </a:xfrm>
                    <a:prstGeom prst="rect">
                      <a:avLst/>
                    </a:prstGeom>
                    <a:ln>
                      <a:noFill/>
                    </a:ln>
                    <a:extLst>
                      <a:ext uri="{53640926-AAD7-44D8-BBD7-CCE9431645EC}">
                        <a14:shadowObscured xmlns:a14="http://schemas.microsoft.com/office/drawing/2010/main"/>
                      </a:ext>
                    </a:extLst>
                  </pic:spPr>
                </pic:pic>
              </a:graphicData>
            </a:graphic>
          </wp:inline>
        </w:drawing>
      </w:r>
    </w:p>
    <w:p w14:paraId="626B94C4" w14:textId="169A66CF" w:rsidR="00DF6DE3" w:rsidRPr="00B50F71" w:rsidRDefault="0041155F" w:rsidP="00400B3D">
      <w:pPr>
        <w:pStyle w:val="FigureDescription"/>
      </w:pPr>
      <w:r>
        <w:t xml:space="preserve">Abbreviations: </w:t>
      </w:r>
      <w:r w:rsidR="00893B02" w:rsidRPr="00C977D7">
        <w:t xml:space="preserve">CI = confidence interval; </w:t>
      </w:r>
      <w:r w:rsidR="00DF6DE3">
        <w:t>IC = i</w:t>
      </w:r>
      <w:r w:rsidR="00DF6DE3" w:rsidRPr="008159EE">
        <w:t>mmune cell</w:t>
      </w:r>
      <w:r w:rsidR="00DF6DE3">
        <w:t xml:space="preserve">; </w:t>
      </w:r>
      <w:r w:rsidR="00893B02" w:rsidRPr="00C977D7">
        <w:t>N = numbers of patients; NE = not estimable</w:t>
      </w:r>
      <w:r w:rsidR="00DF6DE3">
        <w:t xml:space="preserve">; TC = </w:t>
      </w:r>
      <w:r w:rsidR="00DF6DE3">
        <w:rPr>
          <w:shd w:val="clear" w:color="auto" w:fill="FFFFFF"/>
        </w:rPr>
        <w:t>t</w:t>
      </w:r>
      <w:r w:rsidR="00DF6DE3" w:rsidRPr="008159EE">
        <w:rPr>
          <w:shd w:val="clear" w:color="auto" w:fill="FFFFFF"/>
        </w:rPr>
        <w:t>umour cell</w:t>
      </w:r>
      <w:r w:rsidR="00DF6DE3">
        <w:rPr>
          <w:shd w:val="clear" w:color="auto" w:fill="FFFFFF"/>
        </w:rPr>
        <w:t>.</w:t>
      </w:r>
    </w:p>
    <w:p w14:paraId="278406A5" w14:textId="11AF673C" w:rsidR="00893B02" w:rsidRDefault="00893B02" w:rsidP="00400B3D">
      <w:pPr>
        <w:pStyle w:val="FigureDescription"/>
      </w:pPr>
      <w:r w:rsidRPr="00C977D7">
        <w:t>Randomised treatments are displayed.</w:t>
      </w:r>
    </w:p>
    <w:p w14:paraId="70FF5A89" w14:textId="77777777" w:rsidR="000B6A3D" w:rsidRDefault="000B6A3D" w:rsidP="00400B3D">
      <w:pPr>
        <w:pStyle w:val="FigureDescription"/>
      </w:pPr>
      <w:r>
        <w:t>Immune cell scoring (PD-L1 expression): IC0 (0 to &lt; 1%); IC1 (1 to &lt; 5%); IC2 (5 to &lt;10%); IC3 (10%+).</w:t>
      </w:r>
    </w:p>
    <w:p w14:paraId="0F4132A2" w14:textId="77777777" w:rsidR="000B6A3D" w:rsidRDefault="000B6A3D" w:rsidP="00400B3D">
      <w:pPr>
        <w:pStyle w:val="FigureDescription"/>
      </w:pPr>
      <w:r>
        <w:t>Tumour cell scoring (PD-L1 expression): TC0 (0 to &lt;1%); TC1 (1 to &lt; 5%); TC2 (5 to &lt; 50%); TC3 (50%+).</w:t>
      </w:r>
    </w:p>
    <w:p w14:paraId="2DC7EA9E" w14:textId="3A3F3FEC" w:rsidR="00893B02" w:rsidRPr="00C977D7" w:rsidRDefault="00893B02" w:rsidP="00400B3D">
      <w:pPr>
        <w:pStyle w:val="FigureDescription"/>
      </w:pPr>
      <w:r w:rsidRPr="00B50F71">
        <w:t>Data extraction date: 31 August 2019; data cut-off date: 10 September 2018</w:t>
      </w:r>
    </w:p>
    <w:p w14:paraId="30700BA3" w14:textId="6104FC79" w:rsidR="0066527A" w:rsidRPr="00716528" w:rsidRDefault="000328E6" w:rsidP="00400B3D">
      <w:pPr>
        <w:pStyle w:val="TableTitle"/>
      </w:pPr>
      <w:bookmarkStart w:id="85" w:name="_Ref108511425"/>
      <w:bookmarkStart w:id="86" w:name="_Ref63681393"/>
      <w:r w:rsidRPr="00716528">
        <w:lastRenderedPageBreak/>
        <w:t xml:space="preserve">Table </w:t>
      </w:r>
      <w:fldSimple w:instr=" SEQ Table \* ARABIC ">
        <w:r w:rsidR="00C05B15">
          <w:rPr>
            <w:noProof/>
          </w:rPr>
          <w:t>19</w:t>
        </w:r>
      </w:fldSimple>
      <w:bookmarkEnd w:id="85"/>
      <w:bookmarkEnd w:id="86"/>
      <w:r w:rsidR="0066527A" w:rsidRPr="00716528">
        <w:t xml:space="preserve">: </w:t>
      </w:r>
      <w:r w:rsidR="009258F9" w:rsidRPr="00716528">
        <w:t>IMPOWER</w:t>
      </w:r>
      <w:r w:rsidR="0066527A" w:rsidRPr="00716528">
        <w:t xml:space="preserve">110 trial (Study GO29431) Sponsor’s </w:t>
      </w:r>
      <w:r w:rsidR="0066527A" w:rsidRPr="00B50F71">
        <w:t>post-hoc</w:t>
      </w:r>
      <w:r w:rsidR="00407D0F" w:rsidRPr="00716528">
        <w:t xml:space="preserve"> </w:t>
      </w:r>
      <w:r w:rsidR="0066527A" w:rsidRPr="00716528">
        <w:t>exploratory analysis, f</w:t>
      </w:r>
      <w:r w:rsidR="00407D0F" w:rsidRPr="00716528">
        <w:t>orest plot of overall surviva</w:t>
      </w:r>
      <w:r w:rsidR="0066527A" w:rsidRPr="00716528">
        <w:t xml:space="preserve">l in the </w:t>
      </w:r>
      <w:r w:rsidR="0041155F">
        <w:t>TC</w:t>
      </w:r>
      <w:r w:rsidR="0066527A" w:rsidRPr="00716528">
        <w:t>3/</w:t>
      </w:r>
      <w:r w:rsidR="0041155F">
        <w:t>IC</w:t>
      </w:r>
      <w:r w:rsidR="0066527A" w:rsidRPr="00716528">
        <w:t xml:space="preserve">3 </w:t>
      </w:r>
      <w:r w:rsidR="00013622" w:rsidRPr="00716528">
        <w:t>(intention-to-treat</w:t>
      </w:r>
      <w:r w:rsidR="0066527A" w:rsidRPr="00716528">
        <w:t xml:space="preserve"> population</w:t>
      </w:r>
      <w:r w:rsidR="00013622" w:rsidRPr="00716528">
        <w:t>)</w:t>
      </w:r>
    </w:p>
    <w:p w14:paraId="38E7FFA1" w14:textId="05327E8A" w:rsidR="00A97B0B" w:rsidRPr="0066527A" w:rsidRDefault="00A97B0B" w:rsidP="00400B3D">
      <w:r>
        <w:rPr>
          <w:noProof/>
          <w:lang w:val="en-GB" w:eastAsia="en-GB"/>
        </w:rPr>
        <w:drawing>
          <wp:inline distT="0" distB="0" distL="0" distR="0" wp14:anchorId="7D2D18B2" wp14:editId="089C9865">
            <wp:extent cx="5690526" cy="2794407"/>
            <wp:effectExtent l="0" t="0" r="5715" b="6350"/>
            <wp:docPr id="9" name="Picture 9" descr="Table 19: IMPOWER110 trial (Study GO29431) Sponsor’s post-hoc exploratory analysis, forest plot of overall survival in the TC3/IC3 (intention-to-treat pop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able 19: IMPOWER110 trial (Study GO29431) Sponsor’s post-hoc exploratory analysis, forest plot of overall survival in the TC3/IC3 (intention-to-treat population)"/>
                    <pic:cNvPicPr/>
                  </pic:nvPicPr>
                  <pic:blipFill>
                    <a:blip r:embed="rId27"/>
                    <a:stretch>
                      <a:fillRect/>
                    </a:stretch>
                  </pic:blipFill>
                  <pic:spPr>
                    <a:xfrm>
                      <a:off x="0" y="0"/>
                      <a:ext cx="5697984" cy="2798070"/>
                    </a:xfrm>
                    <a:prstGeom prst="rect">
                      <a:avLst/>
                    </a:prstGeom>
                  </pic:spPr>
                </pic:pic>
              </a:graphicData>
            </a:graphic>
          </wp:inline>
        </w:drawing>
      </w:r>
    </w:p>
    <w:p w14:paraId="070B9AB6" w14:textId="7B452280" w:rsidR="00A97B0B" w:rsidRPr="00400B3D" w:rsidRDefault="0041155F" w:rsidP="00400B3D">
      <w:pPr>
        <w:pStyle w:val="TableDescription"/>
      </w:pPr>
      <w:r w:rsidRPr="00400B3D">
        <w:t xml:space="preserve">Abbreviations: </w:t>
      </w:r>
      <w:r w:rsidR="002B494C" w:rsidRPr="00400B3D">
        <w:t>BL =</w:t>
      </w:r>
      <w:r w:rsidR="00716528" w:rsidRPr="00400B3D">
        <w:t xml:space="preserve"> Baseline</w:t>
      </w:r>
      <w:r w:rsidR="002B494C" w:rsidRPr="00400B3D">
        <w:t>; CI = confidence interval; IC = immune cell; ECOG = Eastern Cooperative Oncology Group; eCRF = electronic case report form; ME = mutually exclusive; N = total number of subjects; n = numbers of subjects in group</w:t>
      </w:r>
      <w:r w:rsidR="0066527A" w:rsidRPr="00400B3D">
        <w:t>; NE = not estimable</w:t>
      </w:r>
      <w:r w:rsidR="002B494C" w:rsidRPr="00400B3D">
        <w:t xml:space="preserve">; </w:t>
      </w:r>
      <w:r w:rsidR="00A97B0B" w:rsidRPr="00400B3D">
        <w:t>TC =</w:t>
      </w:r>
      <w:r w:rsidR="008159EE" w:rsidRPr="00400B3D">
        <w:t xml:space="preserve"> tumour cell</w:t>
      </w:r>
      <w:r w:rsidR="000328E6" w:rsidRPr="00400B3D">
        <w:t>.</w:t>
      </w:r>
    </w:p>
    <w:p w14:paraId="264993B8" w14:textId="02F89298" w:rsidR="0041155F" w:rsidRPr="00400B3D" w:rsidRDefault="0041155F" w:rsidP="00400B3D">
      <w:pPr>
        <w:pStyle w:val="TableDescription"/>
      </w:pPr>
      <w:r w:rsidRPr="00400B3D">
        <w:t>TC3 or IC3 denotes PD-L1 expression on ≥ 50% of tumour cells or on ≥ 10% of immune cells (PD-L1 expression ‘high’).</w:t>
      </w:r>
    </w:p>
    <w:p w14:paraId="364A2C74" w14:textId="75982004" w:rsidR="0066527A" w:rsidRPr="00400B3D" w:rsidRDefault="0066527A" w:rsidP="00400B3D">
      <w:pPr>
        <w:pStyle w:val="TableDescription"/>
      </w:pPr>
      <w:r w:rsidRPr="00400B3D">
        <w:t>Probability of survival was estimated from Kaplan-Meier method. Unstratified hazard ratio relative to chemotherapy and 95% confidence intervals for the hazard ratio were estimated using Cox regression. The vertical dashed line indicates the hazard ratio for all patients. The diameter of the circle is proportional to the square root of the total number of events. Randomised treatments are displayed.</w:t>
      </w:r>
    </w:p>
    <w:p w14:paraId="6811244C" w14:textId="32D7393A" w:rsidR="0066527A" w:rsidRPr="00400B3D" w:rsidRDefault="0066527A" w:rsidP="00400B3D">
      <w:pPr>
        <w:pStyle w:val="TableDescription"/>
      </w:pPr>
      <w:r w:rsidRPr="00400B3D">
        <w:t xml:space="preserve">Intent to treat wild type patients are populations excluding patients with a sensitizing </w:t>
      </w:r>
      <w:r w:rsidR="000328E6" w:rsidRPr="00400B3D">
        <w:t>epidermal growth factor receptor</w:t>
      </w:r>
      <w:r w:rsidR="000328E6" w:rsidRPr="00400B3D" w:rsidDel="000328E6">
        <w:t xml:space="preserve"> </w:t>
      </w:r>
      <w:r w:rsidRPr="00400B3D">
        <w:t xml:space="preserve">mutation or </w:t>
      </w:r>
      <w:r w:rsidR="000328E6" w:rsidRPr="00400B3D">
        <w:t>anaplastic lymphoma kinase</w:t>
      </w:r>
      <w:r w:rsidR="000328E6" w:rsidRPr="00400B3D" w:rsidDel="000328E6">
        <w:t xml:space="preserve"> </w:t>
      </w:r>
      <w:r w:rsidRPr="00400B3D">
        <w:t>translocation.</w:t>
      </w:r>
    </w:p>
    <w:p w14:paraId="11FED582" w14:textId="32CFEFFD" w:rsidR="0066527A" w:rsidRPr="00400B3D" w:rsidRDefault="0066527A" w:rsidP="00400B3D">
      <w:pPr>
        <w:pStyle w:val="TableDescription"/>
      </w:pPr>
      <w:r w:rsidRPr="00400B3D">
        <w:t>Data extraction date: 31 August 2019; data cut-off date 10 September 2018.</w:t>
      </w:r>
    </w:p>
    <w:p w14:paraId="67EF13D1" w14:textId="05BB25EA" w:rsidR="00407D0F" w:rsidRDefault="00407D0F" w:rsidP="00B50F71">
      <w:pPr>
        <w:pStyle w:val="Heading5"/>
      </w:pPr>
      <w:bookmarkStart w:id="87" w:name="_Ref63853050"/>
      <w:bookmarkStart w:id="88" w:name="_Ref63846352"/>
      <w:r>
        <w:t xml:space="preserve">Complexity 3: changing definitions of </w:t>
      </w:r>
      <w:r w:rsidR="00697CCB" w:rsidRPr="00697CCB">
        <w:t>programmed death-ligand 1</w:t>
      </w:r>
      <w:r w:rsidR="00697CCB">
        <w:t xml:space="preserve"> </w:t>
      </w:r>
      <w:r>
        <w:t>levels for both enrolment eligibility and stratification, and timing of this change</w:t>
      </w:r>
      <w:bookmarkEnd w:id="87"/>
    </w:p>
    <w:p w14:paraId="59D81815" w14:textId="6C8DF0BA" w:rsidR="00407D0F" w:rsidRDefault="00407D0F" w:rsidP="00407D0F">
      <w:r>
        <w:t>T</w:t>
      </w:r>
      <w:r w:rsidRPr="00EE3BD8">
        <w:t>he PD-L1 requirements for enrolment eligibility were changed during the study</w:t>
      </w:r>
      <w:r>
        <w:t xml:space="preserve"> to include patients with lower categories of PD-L1 expression</w:t>
      </w:r>
      <w:r w:rsidRPr="00EE3BD8">
        <w:t xml:space="preserve"> </w:t>
      </w:r>
      <w:r>
        <w:t>(</w:t>
      </w:r>
      <w:r w:rsidR="00161FAE">
        <w:t xml:space="preserve">see </w:t>
      </w:r>
      <w:r w:rsidR="000328E6">
        <w:fldChar w:fldCharType="begin"/>
      </w:r>
      <w:r w:rsidR="000328E6">
        <w:instrText xml:space="preserve"> REF _Ref108511612 \h </w:instrText>
      </w:r>
      <w:r w:rsidR="000328E6">
        <w:fldChar w:fldCharType="separate"/>
      </w:r>
      <w:r w:rsidR="00C05B15">
        <w:t xml:space="preserve">Table </w:t>
      </w:r>
      <w:r w:rsidR="00C05B15">
        <w:rPr>
          <w:noProof/>
        </w:rPr>
        <w:t>20</w:t>
      </w:r>
      <w:r w:rsidR="000328E6">
        <w:fldChar w:fldCharType="end"/>
      </w:r>
      <w:r w:rsidR="00161FAE">
        <w:t>, below</w:t>
      </w:r>
      <w:r>
        <w:t xml:space="preserve">), </w:t>
      </w:r>
      <w:r w:rsidRPr="00EE3BD8">
        <w:t xml:space="preserve">and </w:t>
      </w:r>
      <w:r>
        <w:t xml:space="preserve">the </w:t>
      </w:r>
      <w:r w:rsidRPr="00EE3BD8">
        <w:t>randomisation strata</w:t>
      </w:r>
      <w:r>
        <w:t xml:space="preserve"> were also adjusted at that time:</w:t>
      </w:r>
    </w:p>
    <w:p w14:paraId="5220D1B1" w14:textId="77777777" w:rsidR="00407D0F" w:rsidRDefault="00407D0F" w:rsidP="00161FAE">
      <w:pPr>
        <w:pStyle w:val="ListBullet"/>
      </w:pPr>
      <w:r w:rsidRPr="00EE3BD8">
        <w:t>For</w:t>
      </w:r>
      <w:r>
        <w:t xml:space="preserve"> protocol versions 1 through 4:</w:t>
      </w:r>
    </w:p>
    <w:p w14:paraId="50195B00" w14:textId="5D5DCCF0" w:rsidR="00407D0F" w:rsidRDefault="00407D0F" w:rsidP="00161FAE">
      <w:pPr>
        <w:pStyle w:val="ListBullet2"/>
      </w:pPr>
      <w:r>
        <w:t>O</w:t>
      </w:r>
      <w:r w:rsidRPr="00EE3BD8">
        <w:t>nly patients w</w:t>
      </w:r>
      <w:r>
        <w:t xml:space="preserve">ith high PD-L1 expression </w:t>
      </w:r>
      <w:r w:rsidRPr="00EE3BD8">
        <w:t>were eligible to enrol.</w:t>
      </w:r>
    </w:p>
    <w:p w14:paraId="77C4F7D2" w14:textId="77777777" w:rsidR="00407D0F" w:rsidRDefault="00407D0F" w:rsidP="00161FAE">
      <w:pPr>
        <w:pStyle w:val="ListBullet2"/>
      </w:pPr>
      <w:r>
        <w:t>During this time, the PD-L1 randomisation strata were TC3 (and any IC)</w:t>
      </w:r>
      <w:r w:rsidRPr="00EE3BD8">
        <w:t xml:space="preserve"> </w:t>
      </w:r>
      <w:r>
        <w:t>versus IC3 (and TC0/1/2)</w:t>
      </w:r>
    </w:p>
    <w:p w14:paraId="5A6437E9" w14:textId="77777777" w:rsidR="00407D0F" w:rsidRDefault="00407D0F" w:rsidP="00161FAE">
      <w:pPr>
        <w:pStyle w:val="ListBullet"/>
      </w:pPr>
      <w:r>
        <w:t>From protocol version 5 (</w:t>
      </w:r>
      <w:r w:rsidRPr="0038518B">
        <w:t>29 June 2016</w:t>
      </w:r>
      <w:r>
        <w:t>) onwards:</w:t>
      </w:r>
    </w:p>
    <w:p w14:paraId="51C1D2F7" w14:textId="728C0D9E" w:rsidR="00407D0F" w:rsidRDefault="00407D0F" w:rsidP="00161FAE">
      <w:pPr>
        <w:pStyle w:val="ListBullet2"/>
      </w:pPr>
      <w:r>
        <w:t>Enrolment eligibility was expanded to include lower levels of TC or IC PD-L1 expression.</w:t>
      </w:r>
    </w:p>
    <w:p w14:paraId="13C72819" w14:textId="01F35EF6" w:rsidR="00407D0F" w:rsidRPr="00093274" w:rsidRDefault="00407D0F" w:rsidP="00161FAE">
      <w:pPr>
        <w:pStyle w:val="ListBullet2"/>
      </w:pPr>
      <w:r>
        <w:t>The randomisation strata were also adjusted to TC1/2/3 (and any IC) versus</w:t>
      </w:r>
      <w:r w:rsidRPr="00093274">
        <w:t xml:space="preserve"> </w:t>
      </w:r>
      <w:r>
        <w:t>IC1/2/3 (and TC0).</w:t>
      </w:r>
    </w:p>
    <w:p w14:paraId="5A59FCCE" w14:textId="154A58ED" w:rsidR="00407D0F" w:rsidRDefault="00407D0F" w:rsidP="00161FAE">
      <w:r>
        <w:t xml:space="preserve">Both these stratification approaches prioritise the TC score over IC, in keeping with the stepwise approach to scoring using the </w:t>
      </w:r>
      <w:r w:rsidR="00161FAE">
        <w:t xml:space="preserve">Ventana SP142 assay </w:t>
      </w:r>
      <w:r>
        <w:t>algorithm (first check TC, and only if sample is not positive at that TC cut</w:t>
      </w:r>
      <w:r w:rsidR="00161FAE">
        <w:t>-</w:t>
      </w:r>
      <w:r>
        <w:t>off, then check IC).</w:t>
      </w:r>
    </w:p>
    <w:p w14:paraId="49444DBE" w14:textId="3BB1BFB1" w:rsidR="00407D0F" w:rsidRDefault="00407D0F" w:rsidP="00161FAE">
      <w:r>
        <w:lastRenderedPageBreak/>
        <w:t>There were 71 patients enr</w:t>
      </w:r>
      <w:r w:rsidR="00161FAE">
        <w:t xml:space="preserve">olled under protocol versions 1 to </w:t>
      </w:r>
      <w:r>
        <w:t>4 (</w:t>
      </w:r>
      <w:r w:rsidR="00161FAE">
        <w:t xml:space="preserve">that is, </w:t>
      </w:r>
      <w:r>
        <w:t>all PD-L1 high): these patients make up 35% of the primary efficacy population.</w:t>
      </w:r>
    </w:p>
    <w:p w14:paraId="5C6742DF" w14:textId="53386638" w:rsidR="00407D0F" w:rsidRPr="00E573DC" w:rsidRDefault="00407D0F" w:rsidP="00407D0F">
      <w:r>
        <w:t xml:space="preserve">Subsequently, in </w:t>
      </w:r>
      <w:r w:rsidR="00161FAE">
        <w:t>statistical analysis plan</w:t>
      </w:r>
      <w:r>
        <w:t xml:space="preserve"> version 3 (2 Apr</w:t>
      </w:r>
      <w:r w:rsidR="00161FAE">
        <w:t>il</w:t>
      </w:r>
      <w:r>
        <w:t xml:space="preserve"> 2019), the analysis plan was changed to introduce a hierarchical approach to testing survival </w:t>
      </w:r>
      <w:r w:rsidRPr="00E573DC">
        <w:t>(</w:t>
      </w:r>
      <w:r w:rsidR="00161FAE">
        <w:t>see</w:t>
      </w:r>
      <w:r w:rsidR="000328E6">
        <w:t xml:space="preserve"> </w:t>
      </w:r>
      <w:r w:rsidR="000328E6">
        <w:fldChar w:fldCharType="begin"/>
      </w:r>
      <w:r w:rsidR="000328E6">
        <w:instrText xml:space="preserve"> REF _Ref108511774 \h </w:instrText>
      </w:r>
      <w:r w:rsidR="000328E6">
        <w:fldChar w:fldCharType="separate"/>
      </w:r>
      <w:r w:rsidR="00C05B15" w:rsidRPr="00716528">
        <w:t xml:space="preserve">Table </w:t>
      </w:r>
      <w:r w:rsidR="00C05B15">
        <w:rPr>
          <w:noProof/>
        </w:rPr>
        <w:t>21</w:t>
      </w:r>
      <w:r w:rsidR="000328E6">
        <w:fldChar w:fldCharType="end"/>
      </w:r>
      <w:r w:rsidR="00161FAE">
        <w:t>, shown below</w:t>
      </w:r>
      <w:r w:rsidRPr="00E573DC">
        <w:t>)</w:t>
      </w:r>
      <w:r>
        <w:t xml:space="preserve"> in the following populations (in sequential order of testing)</w:t>
      </w:r>
      <w:r w:rsidRPr="00E573DC">
        <w:t>:</w:t>
      </w:r>
    </w:p>
    <w:p w14:paraId="007D3E7B" w14:textId="77777777" w:rsidR="00407D0F" w:rsidRPr="0009673E" w:rsidRDefault="00407D0F" w:rsidP="00B15BCB">
      <w:pPr>
        <w:pStyle w:val="Numberbullet0"/>
        <w:numPr>
          <w:ilvl w:val="0"/>
          <w:numId w:val="15"/>
        </w:numPr>
      </w:pPr>
      <w:r w:rsidRPr="00B50F71">
        <w:t>PD-L1 high</w:t>
      </w:r>
      <w:r w:rsidRPr="00B15BCB">
        <w:t xml:space="preserve"> (TC3 or IC3)</w:t>
      </w:r>
    </w:p>
    <w:p w14:paraId="5FD2A383" w14:textId="77777777" w:rsidR="00407D0F" w:rsidRPr="00B15BCB" w:rsidRDefault="00407D0F" w:rsidP="00B50F71">
      <w:pPr>
        <w:pStyle w:val="Numberbullet0"/>
      </w:pPr>
      <w:r w:rsidRPr="00B50F71">
        <w:t>PD-L1 high or intermediate</w:t>
      </w:r>
      <w:r w:rsidRPr="00B15BCB">
        <w:t xml:space="preserve"> (TC2/3 or IC2/3)</w:t>
      </w:r>
    </w:p>
    <w:p w14:paraId="2ED7C696" w14:textId="77777777" w:rsidR="00407D0F" w:rsidRPr="00B15BCB" w:rsidRDefault="00407D0F" w:rsidP="00B50F71">
      <w:pPr>
        <w:pStyle w:val="Numberbullet0"/>
      </w:pPr>
      <w:r w:rsidRPr="00B50F71">
        <w:t>PD-L1 positive at all</w:t>
      </w:r>
      <w:r w:rsidRPr="00B15BCB">
        <w:t xml:space="preserve"> (TC1/2/3 or IC1/2/3)</w:t>
      </w:r>
    </w:p>
    <w:p w14:paraId="26EA404F" w14:textId="7145E2BF" w:rsidR="00407D0F" w:rsidRDefault="00407D0F" w:rsidP="00E667E9">
      <w:r>
        <w:t xml:space="preserve">It is noted that this </w:t>
      </w:r>
      <w:r w:rsidRPr="00B70B33">
        <w:t xml:space="preserve">change in </w:t>
      </w:r>
      <w:r>
        <w:t xml:space="preserve">the </w:t>
      </w:r>
      <w:r w:rsidRPr="00B70B33">
        <w:t xml:space="preserve">statistical analysis plan </w:t>
      </w:r>
      <w:r>
        <w:t>occurred around 6 months after the clinical cut-off date for the clinical study report (</w:t>
      </w:r>
      <w:r w:rsidR="00161FAE">
        <w:t xml:space="preserve">dated </w:t>
      </w:r>
      <w:r>
        <w:t>10 Sep</w:t>
      </w:r>
      <w:r w:rsidR="00161FAE">
        <w:t>tember</w:t>
      </w:r>
      <w:r>
        <w:t xml:space="preserve"> </w:t>
      </w:r>
      <w:r w:rsidR="00161FAE">
        <w:t>2018). The s</w:t>
      </w:r>
      <w:r w:rsidRPr="00265FCF">
        <w:t xml:space="preserve">ponsor states the change was </w:t>
      </w:r>
      <w:r>
        <w:t xml:space="preserve">based on new external data that indicated that </w:t>
      </w:r>
      <w:proofErr w:type="gramStart"/>
      <w:r>
        <w:t>the majority of</w:t>
      </w:r>
      <w:proofErr w:type="gramEnd"/>
      <w:r>
        <w:t xml:space="preserve"> clinical benefit was likely to be restrict</w:t>
      </w:r>
      <w:r w:rsidR="00161FAE">
        <w:t>ed to the PD-L1 high population;</w:t>
      </w:r>
      <w:r w:rsidR="00161FAE">
        <w:rPr>
          <w:rStyle w:val="FootnoteReference"/>
        </w:rPr>
        <w:footnoteReference w:id="26"/>
      </w:r>
      <w:r w:rsidR="00161FAE">
        <w:rPr>
          <w:vertAlign w:val="superscript"/>
        </w:rPr>
        <w:t>,</w:t>
      </w:r>
      <w:r w:rsidR="00161FAE">
        <w:rPr>
          <w:rStyle w:val="FootnoteReference"/>
        </w:rPr>
        <w:footnoteReference w:id="27"/>
      </w:r>
      <w:r w:rsidR="00161FAE">
        <w:rPr>
          <w:vertAlign w:val="superscript"/>
        </w:rPr>
        <w:t>,</w:t>
      </w:r>
      <w:r w:rsidR="00161FAE">
        <w:rPr>
          <w:rStyle w:val="FootnoteReference"/>
        </w:rPr>
        <w:footnoteReference w:id="28"/>
      </w:r>
      <w:r w:rsidR="00161FAE" w:rsidRPr="00265FCF">
        <w:t xml:space="preserve"> </w:t>
      </w:r>
      <w:r w:rsidRPr="00265FCF">
        <w:t>and that the company did not have access to the unblinded data at that time</w:t>
      </w:r>
      <w:r>
        <w:t xml:space="preserve">. Although </w:t>
      </w:r>
      <w:proofErr w:type="gramStart"/>
      <w:r>
        <w:t>an</w:t>
      </w:r>
      <w:proofErr w:type="gramEnd"/>
      <w:r>
        <w:t xml:space="preserve"> </w:t>
      </w:r>
      <w:r w:rsidR="00161FAE">
        <w:t>European Medicines Agency (</w:t>
      </w:r>
      <w:r>
        <w:t>EMA</w:t>
      </w:r>
      <w:r w:rsidR="00161FAE">
        <w:t xml:space="preserve">) </w:t>
      </w:r>
      <w:r w:rsidR="002466A8">
        <w:t xml:space="preserve">inspection for </w:t>
      </w:r>
      <w:r w:rsidR="00161FAE">
        <w:t>Good Clinical Practice (</w:t>
      </w:r>
      <w:r>
        <w:t>GCP</w:t>
      </w:r>
      <w:r w:rsidR="00161FAE">
        <w:t>)</w:t>
      </w:r>
      <w:r w:rsidR="00716528">
        <w:rPr>
          <w:rStyle w:val="FootnoteReference"/>
        </w:rPr>
        <w:footnoteReference w:id="29"/>
      </w:r>
      <w:r>
        <w:t xml:space="preserve"> </w:t>
      </w:r>
      <w:r w:rsidR="00161FAE">
        <w:t>raised concerns regarding s</w:t>
      </w:r>
      <w:r>
        <w:t xml:space="preserve">ponsor </w:t>
      </w:r>
      <w:r w:rsidRPr="001C4404">
        <w:t>responsibilities (</w:t>
      </w:r>
      <w:r w:rsidR="001C4404" w:rsidRPr="001C4404">
        <w:t xml:space="preserve">see </w:t>
      </w:r>
      <w:r w:rsidR="00F659BC">
        <w:t>S</w:t>
      </w:r>
      <w:r w:rsidR="001C4404">
        <w:t>ection</w:t>
      </w:r>
      <w:r w:rsidR="00F659BC">
        <w:t xml:space="preserve">: </w:t>
      </w:r>
      <w:r w:rsidRPr="001C4404">
        <w:fldChar w:fldCharType="begin"/>
      </w:r>
      <w:r w:rsidRPr="001C4404">
        <w:instrText xml:space="preserve"> REF _Ref63688022 \h </w:instrText>
      </w:r>
      <w:r w:rsidR="00161FAE" w:rsidRPr="001C4404">
        <w:instrText xml:space="preserve"> \* MERGEFORMAT </w:instrText>
      </w:r>
      <w:r w:rsidRPr="001C4404">
        <w:fldChar w:fldCharType="separate"/>
      </w:r>
      <w:r w:rsidR="00C05B15">
        <w:t>Good Clinical Practice</w:t>
      </w:r>
      <w:r w:rsidRPr="001C4404">
        <w:fldChar w:fldCharType="end"/>
      </w:r>
      <w:r w:rsidRPr="001C4404">
        <w:t>),</w:t>
      </w:r>
      <w:r>
        <w:t xml:space="preserve"> the EMA </w:t>
      </w:r>
      <w:r w:rsidR="001C4404">
        <w:t>Committee for Medicinal Products for Human Use (</w:t>
      </w:r>
      <w:r>
        <w:t>CHMP</w:t>
      </w:r>
      <w:r w:rsidR="001C4404">
        <w:t>)</w:t>
      </w:r>
      <w:r>
        <w:t xml:space="preserve"> have given a positive o</w:t>
      </w:r>
      <w:r w:rsidR="001C4404">
        <w:t>pinion regarding authorisation</w:t>
      </w:r>
      <w:r w:rsidR="00F92E33">
        <w:t>;</w:t>
      </w:r>
      <w:r w:rsidR="00F92E33">
        <w:rPr>
          <w:rStyle w:val="FootnoteReference"/>
        </w:rPr>
        <w:footnoteReference w:id="30"/>
      </w:r>
      <w:r w:rsidR="001C4404">
        <w:t xml:space="preserve"> </w:t>
      </w:r>
      <w:r>
        <w:t>indicating that the study data is considered of adequate integrity to supporting regulatory decision-making.</w:t>
      </w:r>
    </w:p>
    <w:p w14:paraId="03B1EC0C" w14:textId="6EEFCB5F" w:rsidR="00407D0F" w:rsidRDefault="000328E6" w:rsidP="00400B3D">
      <w:pPr>
        <w:pStyle w:val="TableTitle"/>
      </w:pPr>
      <w:bookmarkStart w:id="89" w:name="_Ref108511612"/>
      <w:bookmarkStart w:id="90" w:name="_Ref54711808"/>
      <w:bookmarkStart w:id="91" w:name="_Ref54965709"/>
      <w:bookmarkStart w:id="92" w:name="_Ref54965774"/>
      <w:r>
        <w:t xml:space="preserve">Table </w:t>
      </w:r>
      <w:fldSimple w:instr=" SEQ Table \* ARABIC ">
        <w:r w:rsidR="00C05B15">
          <w:rPr>
            <w:noProof/>
          </w:rPr>
          <w:t>20</w:t>
        </w:r>
      </w:fldSimple>
      <w:bookmarkEnd w:id="89"/>
      <w:bookmarkEnd w:id="90"/>
      <w:bookmarkEnd w:id="91"/>
      <w:r>
        <w:t>:</w:t>
      </w:r>
      <w:r w:rsidR="00407D0F">
        <w:t xml:space="preserve"> </w:t>
      </w:r>
      <w:r w:rsidR="009258F9">
        <w:t>IMPOWER</w:t>
      </w:r>
      <w:r w:rsidR="00727791">
        <w:t xml:space="preserve">110 trial (Study GO29431) </w:t>
      </w:r>
      <w:r w:rsidR="00BC5166" w:rsidRPr="00BC5166">
        <w:t xml:space="preserve">PD-L1 </w:t>
      </w:r>
      <w:r w:rsidR="00727791" w:rsidRPr="00EE3BD8">
        <w:t>requirements for enrolment eligibility</w:t>
      </w:r>
      <w:r w:rsidR="00727791">
        <w:t>, categories of PD-L1 expression</w:t>
      </w:r>
      <w:r w:rsidR="00727791" w:rsidRPr="00EE3BD8">
        <w:t xml:space="preserve"> </w:t>
      </w:r>
      <w:r w:rsidR="00727791">
        <w:t>and randomisation strata (Protocol </w:t>
      </w:r>
      <w:r w:rsidR="00407D0F">
        <w:t>versions 1 to 4 and protocol version 5 onwards</w:t>
      </w:r>
      <w:r w:rsidR="00727791">
        <w:t>)</w:t>
      </w:r>
      <w:bookmarkEnd w:id="92"/>
    </w:p>
    <w:p w14:paraId="5BB93790" w14:textId="77777777" w:rsidR="00407D0F" w:rsidRDefault="00407D0F" w:rsidP="00400B3D">
      <w:pPr>
        <w:rPr>
          <w:highlight w:val="yellow"/>
        </w:rPr>
      </w:pPr>
      <w:r w:rsidRPr="00EE3BD8">
        <w:rPr>
          <w:noProof/>
          <w:lang w:val="en-GB" w:eastAsia="en-GB"/>
        </w:rPr>
        <w:drawing>
          <wp:inline distT="0" distB="0" distL="0" distR="0" wp14:anchorId="6F563DE6" wp14:editId="09B12B2E">
            <wp:extent cx="5347411" cy="2170980"/>
            <wp:effectExtent l="0" t="0" r="5715" b="1270"/>
            <wp:docPr id="6" name="Picture 6" descr="Table 20: IMPOWER110 trial (Study GO29431) PD-L1 requirements for enrolment eligibility, categories of PD-L1 expression and randomisation strata (Protocol versions 1 to 4 and protocol version 5 onwar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able 20: IMPOWER110 trial (Study GO29431) PD-L1 requirements for enrolment eligibility, categories of PD-L1 expression and randomisation strata (Protocol versions 1 to 4 and protocol version 5 onwards)"/>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426939" cy="2203267"/>
                    </a:xfrm>
                    <a:prstGeom prst="rect">
                      <a:avLst/>
                    </a:prstGeom>
                    <a:noFill/>
                  </pic:spPr>
                </pic:pic>
              </a:graphicData>
            </a:graphic>
          </wp:inline>
        </w:drawing>
      </w:r>
    </w:p>
    <w:p w14:paraId="4C044F96" w14:textId="0D424611" w:rsidR="00A97B0B" w:rsidRPr="00400B3D" w:rsidRDefault="0041155F" w:rsidP="00400B3D">
      <w:pPr>
        <w:pStyle w:val="TableDescription"/>
      </w:pPr>
      <w:r w:rsidRPr="00400B3D">
        <w:t xml:space="preserve">Abbreviations: </w:t>
      </w:r>
      <w:r w:rsidR="00A97B0B" w:rsidRPr="00400B3D">
        <w:t xml:space="preserve">IC = </w:t>
      </w:r>
      <w:r w:rsidR="008159EE" w:rsidRPr="00400B3D">
        <w:t>immune cell</w:t>
      </w:r>
      <w:r w:rsidR="000328E6" w:rsidRPr="00400B3D">
        <w:t xml:space="preserve">; </w:t>
      </w:r>
      <w:r w:rsidR="00DF6DE3" w:rsidRPr="00400B3D">
        <w:t xml:space="preserve">PD-L1 = programmed death-ligand 1; </w:t>
      </w:r>
      <w:r w:rsidR="00A97B0B" w:rsidRPr="00400B3D">
        <w:t>TC =</w:t>
      </w:r>
      <w:r w:rsidR="008159EE" w:rsidRPr="00400B3D">
        <w:t xml:space="preserve"> tumour cell</w:t>
      </w:r>
      <w:r w:rsidR="000328E6" w:rsidRPr="00400B3D">
        <w:t>.</w:t>
      </w:r>
    </w:p>
    <w:p w14:paraId="6B9579C9" w14:textId="6CD232B0" w:rsidR="00407D0F" w:rsidRPr="00400B3D" w:rsidRDefault="00407D0F" w:rsidP="00400B3D">
      <w:pPr>
        <w:pStyle w:val="TableDescription"/>
      </w:pPr>
      <w:r w:rsidRPr="00400B3D">
        <w:t>T</w:t>
      </w:r>
      <w:r w:rsidR="002466A8" w:rsidRPr="00400B3D">
        <w:t>umour cell definitions</w:t>
      </w:r>
      <w:r w:rsidRPr="00400B3D">
        <w:t xml:space="preserve"> = discernible PD-L1 staining of any intensity in x% of tumour cells</w:t>
      </w:r>
      <w:r w:rsidR="00BC5166">
        <w:t>.</w:t>
      </w:r>
    </w:p>
    <w:p w14:paraId="606DF221" w14:textId="50F11A6B" w:rsidR="00407D0F" w:rsidRPr="00400B3D" w:rsidRDefault="00407D0F" w:rsidP="00400B3D">
      <w:pPr>
        <w:pStyle w:val="TableDescription"/>
      </w:pPr>
      <w:r w:rsidRPr="00400B3D">
        <w:lastRenderedPageBreak/>
        <w:t>I</w:t>
      </w:r>
      <w:r w:rsidR="002466A8" w:rsidRPr="00400B3D">
        <w:t>mmune cell definitions</w:t>
      </w:r>
      <w:r w:rsidRPr="00400B3D">
        <w:t xml:space="preserve"> = discernible PD-L1 staining of any intensity in immune infiltrati</w:t>
      </w:r>
      <w:r w:rsidR="00727791" w:rsidRPr="00400B3D">
        <w:t>ng tumour cells covering x% of ‘tumour</w:t>
      </w:r>
      <w:r w:rsidRPr="00400B3D">
        <w:t xml:space="preserve"> area occupied by </w:t>
      </w:r>
      <w:r w:rsidR="00727791" w:rsidRPr="00400B3D">
        <w:t>tumour</w:t>
      </w:r>
      <w:r w:rsidRPr="00400B3D">
        <w:t xml:space="preserve"> cells, associated intra</w:t>
      </w:r>
      <w:r w:rsidR="000328E6" w:rsidRPr="00400B3D">
        <w:t>-</w:t>
      </w:r>
      <w:proofErr w:type="spellStart"/>
      <w:r w:rsidRPr="00400B3D">
        <w:t>tumo</w:t>
      </w:r>
      <w:r w:rsidR="00727791" w:rsidRPr="00400B3D">
        <w:t>u</w:t>
      </w:r>
      <w:r w:rsidRPr="00400B3D">
        <w:t>ral</w:t>
      </w:r>
      <w:proofErr w:type="spellEnd"/>
      <w:r w:rsidRPr="00400B3D">
        <w:t>, and contiguous p</w:t>
      </w:r>
      <w:r w:rsidR="00727791" w:rsidRPr="00400B3D">
        <w:t>eri</w:t>
      </w:r>
      <w:r w:rsidR="002466A8" w:rsidRPr="00400B3D">
        <w:noBreakHyphen/>
      </w:r>
      <w:proofErr w:type="spellStart"/>
      <w:r w:rsidR="00727791" w:rsidRPr="00400B3D">
        <w:t>tumoural</w:t>
      </w:r>
      <w:proofErr w:type="spellEnd"/>
      <w:r w:rsidR="00727791" w:rsidRPr="00400B3D">
        <w:t xml:space="preserve"> desmoplastic stroma’.</w:t>
      </w:r>
    </w:p>
    <w:p w14:paraId="74EEBB38" w14:textId="31DF99B9" w:rsidR="00407D0F" w:rsidRPr="00400B3D" w:rsidRDefault="00727791" w:rsidP="00400B3D">
      <w:pPr>
        <w:pStyle w:val="TableDescription"/>
      </w:pPr>
      <w:r w:rsidRPr="00400B3D">
        <w:t xml:space="preserve">For protocol versions 1 to 4 (red, dashed edge) and from protocol version 5 onwards (blue, solid edge): PD-L1 TC and IC eligibility requirements (combined area of boxes) and randomisation strata (each box </w:t>
      </w:r>
      <w:r w:rsidR="002466A8" w:rsidRPr="00400B3D">
        <w:t>is one</w:t>
      </w:r>
      <w:r w:rsidRPr="00400B3D">
        <w:t xml:space="preserve"> stratum).</w:t>
      </w:r>
    </w:p>
    <w:p w14:paraId="05914E61" w14:textId="19AB5354" w:rsidR="00407D0F" w:rsidRPr="00716528" w:rsidRDefault="000328E6" w:rsidP="00400B3D">
      <w:pPr>
        <w:pStyle w:val="TableTitle"/>
      </w:pPr>
      <w:bookmarkStart w:id="93" w:name="_Ref108511774"/>
      <w:bookmarkStart w:id="94" w:name="_Ref53762295"/>
      <w:r w:rsidRPr="00716528">
        <w:t xml:space="preserve">Table </w:t>
      </w:r>
      <w:fldSimple w:instr=" SEQ Table \* ARABIC ">
        <w:r w:rsidR="00C05B15">
          <w:rPr>
            <w:noProof/>
          </w:rPr>
          <w:t>21</w:t>
        </w:r>
      </w:fldSimple>
      <w:bookmarkEnd w:id="93"/>
      <w:bookmarkEnd w:id="94"/>
      <w:r w:rsidR="00727791" w:rsidRPr="00716528">
        <w:t>:</w:t>
      </w:r>
      <w:r w:rsidR="00407D0F" w:rsidRPr="00716528">
        <w:t xml:space="preserve"> </w:t>
      </w:r>
      <w:r w:rsidR="009258F9" w:rsidRPr="00716528">
        <w:t>IMPOWER</w:t>
      </w:r>
      <w:r w:rsidR="00727791" w:rsidRPr="00716528">
        <w:t>110 trial (Study GO29431) Changes to statistical analysis plan to introduce a hierarchical approach to testing survival (Statistical analysis plan version 3 dated 2 April 2019)</w:t>
      </w:r>
    </w:p>
    <w:p w14:paraId="32789C9B" w14:textId="77777777" w:rsidR="00407D0F" w:rsidRDefault="00407D0F" w:rsidP="00400B3D">
      <w:r>
        <w:rPr>
          <w:noProof/>
          <w:lang w:val="en-GB" w:eastAsia="en-GB"/>
        </w:rPr>
        <w:drawing>
          <wp:inline distT="0" distB="0" distL="0" distR="0" wp14:anchorId="1C616BCD" wp14:editId="3DC13E76">
            <wp:extent cx="5263243" cy="2308225"/>
            <wp:effectExtent l="0" t="0" r="0" b="0"/>
            <wp:docPr id="3" name="Picture 3" descr="Table 21: IMPOWER110 trial (Study GO29431) Changes to statistical analysis plan to introduce a hierarchical approach to testing survival (Statistical analysis plan version 3 dated 2 April 2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 21: IMPOWER110 trial (Study GO29431) Changes to statistical analysis plan to introduce a hierarchical approach to testing survival (Statistical analysis plan version 3 dated 2 April 20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304918" cy="2326502"/>
                    </a:xfrm>
                    <a:prstGeom prst="rect">
                      <a:avLst/>
                    </a:prstGeom>
                    <a:noFill/>
                  </pic:spPr>
                </pic:pic>
              </a:graphicData>
            </a:graphic>
          </wp:inline>
        </w:drawing>
      </w:r>
    </w:p>
    <w:p w14:paraId="63591849" w14:textId="1C1C45E2" w:rsidR="00A97B0B" w:rsidRPr="00400B3D" w:rsidRDefault="0041155F" w:rsidP="00400B3D">
      <w:pPr>
        <w:pStyle w:val="TableDescription"/>
      </w:pPr>
      <w:r w:rsidRPr="00400B3D">
        <w:t xml:space="preserve">Abbreviations: </w:t>
      </w:r>
      <w:r w:rsidR="00A97B0B" w:rsidRPr="00400B3D">
        <w:t>IC =</w:t>
      </w:r>
      <w:r w:rsidR="008159EE" w:rsidRPr="00400B3D">
        <w:t xml:space="preserve"> immune cell</w:t>
      </w:r>
      <w:r w:rsidR="000328E6" w:rsidRPr="00400B3D">
        <w:t xml:space="preserve">; </w:t>
      </w:r>
      <w:r w:rsidR="00A97B0B" w:rsidRPr="00400B3D">
        <w:t>TC =</w:t>
      </w:r>
      <w:r w:rsidR="008159EE" w:rsidRPr="00400B3D">
        <w:t xml:space="preserve"> tumour cell</w:t>
      </w:r>
      <w:r w:rsidR="000328E6" w:rsidRPr="00400B3D">
        <w:t>.</w:t>
      </w:r>
    </w:p>
    <w:p w14:paraId="581CB715" w14:textId="39861168" w:rsidR="00407D0F" w:rsidRPr="00400B3D" w:rsidRDefault="00334FA6" w:rsidP="00400B3D">
      <w:pPr>
        <w:pStyle w:val="TableDescription"/>
      </w:pPr>
      <w:r w:rsidRPr="00400B3D">
        <w:t>Tumour cell definitions</w:t>
      </w:r>
      <w:r w:rsidR="00407D0F" w:rsidRPr="00400B3D">
        <w:t xml:space="preserve"> = discernible PD-L1 staining of any intensity in x% of tumour cells</w:t>
      </w:r>
      <w:r w:rsidR="00BC5166">
        <w:t>.</w:t>
      </w:r>
    </w:p>
    <w:p w14:paraId="60A87320" w14:textId="383B2730" w:rsidR="00407D0F" w:rsidRPr="00400B3D" w:rsidRDefault="00334FA6" w:rsidP="00400B3D">
      <w:pPr>
        <w:pStyle w:val="TableDescription"/>
      </w:pPr>
      <w:r w:rsidRPr="00400B3D">
        <w:t xml:space="preserve">Immune cell definitions </w:t>
      </w:r>
      <w:r w:rsidR="00407D0F" w:rsidRPr="00400B3D">
        <w:t>= discernible PD-L1 staining of any intensity in immune infiltrati</w:t>
      </w:r>
      <w:r w:rsidR="00727791" w:rsidRPr="00400B3D">
        <w:t>ng tumour cells covering x% of ‘</w:t>
      </w:r>
      <w:r w:rsidR="00407D0F" w:rsidRPr="00400B3D">
        <w:t>tumo</w:t>
      </w:r>
      <w:r w:rsidR="00727791" w:rsidRPr="00400B3D">
        <w:t>u</w:t>
      </w:r>
      <w:r w:rsidR="00407D0F" w:rsidRPr="00400B3D">
        <w:t>r area occupied by tumo</w:t>
      </w:r>
      <w:r w:rsidR="00727791" w:rsidRPr="00400B3D">
        <w:t>u</w:t>
      </w:r>
      <w:r w:rsidR="00407D0F" w:rsidRPr="00400B3D">
        <w:t>r cells, associated intra</w:t>
      </w:r>
      <w:r w:rsidR="000328E6" w:rsidRPr="00400B3D">
        <w:t>-</w:t>
      </w:r>
      <w:proofErr w:type="spellStart"/>
      <w:r w:rsidR="00407D0F" w:rsidRPr="00400B3D">
        <w:t>tumo</w:t>
      </w:r>
      <w:r w:rsidR="00727791" w:rsidRPr="00400B3D">
        <w:t>u</w:t>
      </w:r>
      <w:r w:rsidR="00407D0F" w:rsidRPr="00400B3D">
        <w:t>ral</w:t>
      </w:r>
      <w:proofErr w:type="spellEnd"/>
      <w:r w:rsidR="00407D0F" w:rsidRPr="00400B3D">
        <w:t>, and contiguous peri-</w:t>
      </w:r>
      <w:proofErr w:type="spellStart"/>
      <w:r w:rsidR="00407D0F" w:rsidRPr="00400B3D">
        <w:t>tumo</w:t>
      </w:r>
      <w:r w:rsidR="00727791" w:rsidRPr="00400B3D">
        <w:t>ural</w:t>
      </w:r>
      <w:proofErr w:type="spellEnd"/>
      <w:r w:rsidR="00727791" w:rsidRPr="00400B3D">
        <w:t xml:space="preserve"> desmoplastic stroma’</w:t>
      </w:r>
    </w:p>
    <w:p w14:paraId="44E5A967" w14:textId="2C08725A" w:rsidR="00727791" w:rsidRPr="00400B3D" w:rsidRDefault="00727791" w:rsidP="00400B3D">
      <w:pPr>
        <w:pStyle w:val="TableDescription"/>
      </w:pPr>
      <w:r w:rsidRPr="00400B3D">
        <w:t>The PD-L1 TC and IC positivity category groupings in which efficacy was analysed.</w:t>
      </w:r>
    </w:p>
    <w:p w14:paraId="1D1AC3CF" w14:textId="5E90B632" w:rsidR="00407D0F" w:rsidRDefault="00407D0F" w:rsidP="00727791">
      <w:r>
        <w:t>Comparing</w:t>
      </w:r>
      <w:r w:rsidR="000328E6">
        <w:t xml:space="preserve"> </w:t>
      </w:r>
      <w:r w:rsidR="000328E6">
        <w:fldChar w:fldCharType="begin"/>
      </w:r>
      <w:r w:rsidR="000328E6">
        <w:instrText xml:space="preserve"> REF _Ref108511612 \h </w:instrText>
      </w:r>
      <w:r w:rsidR="000328E6">
        <w:fldChar w:fldCharType="separate"/>
      </w:r>
      <w:r w:rsidR="00C05B15">
        <w:t xml:space="preserve">Table </w:t>
      </w:r>
      <w:r w:rsidR="00C05B15">
        <w:rPr>
          <w:noProof/>
        </w:rPr>
        <w:t>20</w:t>
      </w:r>
      <w:r w:rsidR="000328E6">
        <w:fldChar w:fldCharType="end"/>
      </w:r>
      <w:r>
        <w:t xml:space="preserve"> and </w:t>
      </w:r>
      <w:r w:rsidR="000328E6">
        <w:fldChar w:fldCharType="begin"/>
      </w:r>
      <w:r w:rsidR="000328E6">
        <w:instrText xml:space="preserve"> REF _Ref108511774 \h </w:instrText>
      </w:r>
      <w:r w:rsidR="000328E6">
        <w:fldChar w:fldCharType="separate"/>
      </w:r>
      <w:r w:rsidR="00C05B15" w:rsidRPr="00716528">
        <w:t xml:space="preserve">Table </w:t>
      </w:r>
      <w:r w:rsidR="00C05B15">
        <w:rPr>
          <w:noProof/>
        </w:rPr>
        <w:t>21</w:t>
      </w:r>
      <w:r w:rsidR="000328E6">
        <w:fldChar w:fldCharType="end"/>
      </w:r>
      <w:r>
        <w:t xml:space="preserve">, </w:t>
      </w:r>
      <w:proofErr w:type="gramStart"/>
      <w:r>
        <w:t>it can be seen that the</w:t>
      </w:r>
      <w:proofErr w:type="gramEnd"/>
      <w:r>
        <w:t xml:space="preserve"> subgroup in whom the primary endpoint was tested (TC3 or IC3) is not congruent with a PD-L1 randomisation </w:t>
      </w:r>
      <w:r w:rsidRPr="00AD63AB">
        <w:t>stratum. This is discussed furthe</w:t>
      </w:r>
      <w:r>
        <w:t>r</w:t>
      </w:r>
      <w:r w:rsidRPr="00AD63AB">
        <w:t xml:space="preserve"> </w:t>
      </w:r>
      <w:r w:rsidRPr="00F92E33">
        <w:t xml:space="preserve">under </w:t>
      </w:r>
      <w:r w:rsidR="00F659BC">
        <w:t>S</w:t>
      </w:r>
      <w:r w:rsidR="00F92E33">
        <w:t>ection</w:t>
      </w:r>
      <w:r w:rsidR="00F659BC">
        <w:t>:</w:t>
      </w:r>
      <w:r w:rsidR="00F92E33">
        <w:t xml:space="preserve"> </w:t>
      </w:r>
      <w:r w:rsidRPr="00F92E33">
        <w:fldChar w:fldCharType="begin"/>
      </w:r>
      <w:r w:rsidRPr="00F92E33">
        <w:instrText xml:space="preserve"> REF _Ref63954103 \h </w:instrText>
      </w:r>
      <w:r w:rsidR="00727791" w:rsidRPr="00F92E33">
        <w:instrText xml:space="preserve"> \* MERGEFORMAT </w:instrText>
      </w:r>
      <w:r w:rsidRPr="00F92E33">
        <w:fldChar w:fldCharType="separate"/>
      </w:r>
      <w:r w:rsidR="00C05B15">
        <w:t>Primary efficacy population</w:t>
      </w:r>
      <w:r w:rsidRPr="00F92E33">
        <w:fldChar w:fldCharType="end"/>
      </w:r>
      <w:r w:rsidR="00F92E33">
        <w:t>, above.</w:t>
      </w:r>
    </w:p>
    <w:p w14:paraId="26D6AC13" w14:textId="77777777" w:rsidR="00407D0F" w:rsidRPr="00D2216D" w:rsidRDefault="00407D0F" w:rsidP="00B50F71">
      <w:pPr>
        <w:pStyle w:val="Heading5"/>
      </w:pPr>
      <w:r w:rsidRPr="00D2216D">
        <w:t>Complexity 4: stepwise scoring methodology</w:t>
      </w:r>
      <w:bookmarkEnd w:id="88"/>
    </w:p>
    <w:p w14:paraId="14942082" w14:textId="0C6405CB" w:rsidR="00407D0F" w:rsidRPr="00D2216D" w:rsidRDefault="00407D0F" w:rsidP="00407D0F">
      <w:r w:rsidRPr="00D2216D">
        <w:t xml:space="preserve">The </w:t>
      </w:r>
      <w:r w:rsidR="00613D48">
        <w:t>Ventana SP142 assay</w:t>
      </w:r>
      <w:r w:rsidR="0009673E">
        <w:t>-</w:t>
      </w:r>
      <w:r w:rsidRPr="00D2216D">
        <w:t>scoring algorithm employs a stepwise approach.</w:t>
      </w:r>
    </w:p>
    <w:p w14:paraId="11AFD945" w14:textId="2CDB5B1B" w:rsidR="00407D0F" w:rsidRPr="00D2216D" w:rsidRDefault="00407D0F" w:rsidP="00407D0F">
      <w:r w:rsidRPr="00D2216D">
        <w:t xml:space="preserve">The pathologist first scores the TC status of the sample (positive or negative) at the </w:t>
      </w:r>
      <w:r>
        <w:t>relevant</w:t>
      </w:r>
      <w:r w:rsidRPr="00D2216D">
        <w:t xml:space="preserve"> cut</w:t>
      </w:r>
      <w:r w:rsidR="0009673E">
        <w:t>-</w:t>
      </w:r>
      <w:r w:rsidRPr="00D2216D">
        <w:t xml:space="preserve">off. If the TC status is positive, then the sample is considered positive at that </w:t>
      </w:r>
      <w:r>
        <w:t>c</w:t>
      </w:r>
      <w:r w:rsidRPr="00D2216D">
        <w:t>ut</w:t>
      </w:r>
      <w:r w:rsidR="00613D48">
        <w:t>-</w:t>
      </w:r>
      <w:r w:rsidRPr="00D2216D">
        <w:t>off</w:t>
      </w:r>
      <w:r w:rsidR="00613D48">
        <w:t xml:space="preserve"> (for example ‘</w:t>
      </w:r>
      <w:r>
        <w:t>TC</w:t>
      </w:r>
      <w:r w:rsidR="00613D48">
        <w:t>3/IC3 positive’</w:t>
      </w:r>
      <w:r>
        <w:t>)</w:t>
      </w:r>
      <w:r w:rsidRPr="00D2216D">
        <w:t>. If the TC status is negative, then the pathologist subsequently scores the sample for IC status (positive or negative) at that cut</w:t>
      </w:r>
      <w:r w:rsidR="00613D48">
        <w:t>-</w:t>
      </w:r>
      <w:r w:rsidRPr="00D2216D">
        <w:t>off. Upon completion of the binary scoring, the pathologist also records an exploratory ‘raw’ percentage for both TC and IC.</w:t>
      </w:r>
    </w:p>
    <w:p w14:paraId="222EEED4" w14:textId="743EE894" w:rsidR="00407D0F" w:rsidRDefault="00407D0F" w:rsidP="00407D0F">
      <w:r w:rsidRPr="00D2216D">
        <w:t>As noted above, the cut</w:t>
      </w:r>
      <w:r w:rsidR="00613D48">
        <w:t xml:space="preserve">-off used during </w:t>
      </w:r>
      <w:r w:rsidR="00F92E33">
        <w:t xml:space="preserve">the </w:t>
      </w:r>
      <w:r w:rsidR="009258F9">
        <w:t>IMPOWER</w:t>
      </w:r>
      <w:r w:rsidR="00613D48">
        <w:t xml:space="preserve">110 trial (Study GO29431) </w:t>
      </w:r>
      <w:r w:rsidRPr="00D2216D">
        <w:t>entry screening was initially TC3/IC3, and then from protocol version 5 onwards the cut</w:t>
      </w:r>
      <w:r w:rsidR="00613D48">
        <w:t>-</w:t>
      </w:r>
      <w:r w:rsidRPr="00D2216D">
        <w:t>off for screening was reduced to TC1/IC1.</w:t>
      </w:r>
    </w:p>
    <w:p w14:paraId="7D8D0EC8" w14:textId="2C6D5992" w:rsidR="00407D0F" w:rsidRPr="00A631AC" w:rsidRDefault="00407D0F" w:rsidP="00407D0F">
      <w:r w:rsidRPr="00D2216D">
        <w:t xml:space="preserve">The </w:t>
      </w:r>
      <w:r w:rsidRPr="002A39D2">
        <w:t xml:space="preserve">binary (positive or negative) score at a particular cut-off defined the efficacy analysis populations. The raw, numerical percentage score(s) that were recorded at the same time as the binary scores were considered exploratory in nature in this </w:t>
      </w:r>
      <w:proofErr w:type="gramStart"/>
      <w:r w:rsidRPr="002A39D2">
        <w:t>study, and</w:t>
      </w:r>
      <w:proofErr w:type="gramEnd"/>
      <w:r w:rsidRPr="002A39D2">
        <w:t xml:space="preserve"> were not used in defining </w:t>
      </w:r>
      <w:r w:rsidRPr="00A631AC">
        <w:t>analysis populations.</w:t>
      </w:r>
    </w:p>
    <w:p w14:paraId="277D11B5" w14:textId="3E344399" w:rsidR="00407D0F" w:rsidRPr="00A631AC" w:rsidRDefault="00613D48" w:rsidP="00407D0F">
      <w:r>
        <w:t>From p</w:t>
      </w:r>
      <w:r w:rsidR="00407D0F" w:rsidRPr="00A631AC">
        <w:t>rotocol version 5 onwards, the enrolment screening result (either positive or negative at the TC1/IC1 cut</w:t>
      </w:r>
      <w:r>
        <w:t>-</w:t>
      </w:r>
      <w:r w:rsidR="00407D0F" w:rsidRPr="00A631AC">
        <w:t xml:space="preserve">off) did not provide information as to whether the sample was </w:t>
      </w:r>
      <w:r w:rsidR="00407D0F" w:rsidRPr="00A631AC">
        <w:lastRenderedPageBreak/>
        <w:t>positive at the TC2/IC2 or TC3/IC3 cut</w:t>
      </w:r>
      <w:r>
        <w:t>-</w:t>
      </w:r>
      <w:r w:rsidR="00407D0F" w:rsidRPr="00A631AC">
        <w:t>offs. Therefore, the sample was retrospectively scored (after the patient was enrolled in the study) to capture this information. For enrolled patients that were TC1/IC1 positive in protocol v</w:t>
      </w:r>
      <w:r>
        <w:t xml:space="preserve">ersion </w:t>
      </w:r>
      <w:r w:rsidR="00407D0F" w:rsidRPr="00A631AC">
        <w:t>5 onward, the sample was next scored at the TC2/IC2 cut</w:t>
      </w:r>
      <w:r>
        <w:t>-</w:t>
      </w:r>
      <w:r w:rsidR="00407D0F" w:rsidRPr="00A631AC">
        <w:t>off. If the sample was TC2/IC2 positive, then the sample was next scored to the TC3/IC3 cut</w:t>
      </w:r>
      <w:r>
        <w:t>-</w:t>
      </w:r>
      <w:r w:rsidR="00407D0F" w:rsidRPr="00A631AC">
        <w:t>off.</w:t>
      </w:r>
    </w:p>
    <w:p w14:paraId="041D1AC2" w14:textId="3C6E4C46" w:rsidR="00407D0F" w:rsidRDefault="00407D0F" w:rsidP="00407D0F">
      <w:r w:rsidRPr="00A631AC">
        <w:t>As an exploratory raw score was recorded each time a sample was scored at a new TC/IC cut</w:t>
      </w:r>
      <w:r w:rsidR="00613D48">
        <w:t>-</w:t>
      </w:r>
      <w:r w:rsidRPr="00A631AC">
        <w:t>off, a single sample (for a</w:t>
      </w:r>
      <w:r w:rsidR="00613D48">
        <w:t xml:space="preserve"> patient enrolled according to p</w:t>
      </w:r>
      <w:r w:rsidRPr="00A631AC">
        <w:t>rotocol version 5 or later) could have two or three exploratory raw TC and IC scores. This is relevant to th</w:t>
      </w:r>
      <w:r w:rsidR="00613D48">
        <w:t xml:space="preserve">e tables presented in </w:t>
      </w:r>
      <w:r w:rsidR="0009673E">
        <w:t xml:space="preserve">Section: </w:t>
      </w:r>
      <w:r w:rsidRPr="00A631AC">
        <w:fldChar w:fldCharType="begin"/>
      </w:r>
      <w:r w:rsidRPr="00A631AC">
        <w:instrText xml:space="preserve"> REF _Ref63862739 \h  \* MERGEFORMAT </w:instrText>
      </w:r>
      <w:r w:rsidRPr="00A631AC">
        <w:fldChar w:fldCharType="separate"/>
      </w:r>
      <w:r w:rsidR="00C05B15" w:rsidRPr="009A1682">
        <w:t xml:space="preserve">Complexity </w:t>
      </w:r>
      <w:r w:rsidR="00C05B15">
        <w:t>5</w:t>
      </w:r>
      <w:r w:rsidR="00C05B15" w:rsidRPr="009A1682">
        <w:t xml:space="preserve">: </w:t>
      </w:r>
      <w:r w:rsidR="00C05B15" w:rsidRPr="00C05B15">
        <w:t>sensitivity</w:t>
      </w:r>
      <w:r w:rsidR="00C05B15">
        <w:rPr>
          <w:rFonts w:eastAsiaTheme="minorHAnsi"/>
          <w:lang w:val="en-US"/>
        </w:rPr>
        <w:t xml:space="preserve"> of </w:t>
      </w:r>
      <w:r w:rsidRPr="00A631AC">
        <w:fldChar w:fldCharType="end"/>
      </w:r>
      <w:r w:rsidR="00F92E33">
        <w:t>Ventana Sp142 assay</w:t>
      </w:r>
      <w:r w:rsidR="00613D48">
        <w:t>, as follows.</w:t>
      </w:r>
    </w:p>
    <w:p w14:paraId="6B983B52" w14:textId="4EF1A030" w:rsidR="00407D0F" w:rsidRDefault="00407D0F" w:rsidP="00B50F71">
      <w:pPr>
        <w:pStyle w:val="Heading5"/>
      </w:pPr>
      <w:bookmarkStart w:id="95" w:name="_Ref63862739"/>
      <w:bookmarkStart w:id="96" w:name="_Ref63430471"/>
      <w:r w:rsidRPr="009A1682">
        <w:t xml:space="preserve">Complexity </w:t>
      </w:r>
      <w:r>
        <w:t>5</w:t>
      </w:r>
      <w:r w:rsidRPr="009A1682">
        <w:t xml:space="preserve">: </w:t>
      </w:r>
      <w:r w:rsidR="00613D48">
        <w:rPr>
          <w:rFonts w:eastAsiaTheme="minorHAnsi"/>
          <w:lang w:val="en-US"/>
        </w:rPr>
        <w:t>sensitivity</w:t>
      </w:r>
      <w:r>
        <w:rPr>
          <w:rFonts w:eastAsiaTheme="minorHAnsi"/>
          <w:lang w:val="en-US"/>
        </w:rPr>
        <w:t xml:space="preserve"> of </w:t>
      </w:r>
      <w:bookmarkEnd w:id="95"/>
      <w:r w:rsidR="00613D48">
        <w:t>Ventana SP142</w:t>
      </w:r>
      <w:r w:rsidR="00F92E33">
        <w:t xml:space="preserve"> assay</w:t>
      </w:r>
    </w:p>
    <w:p w14:paraId="4A28B77E" w14:textId="388D077B" w:rsidR="00407D0F" w:rsidRPr="00613D48" w:rsidRDefault="00613D48" w:rsidP="00613D48">
      <w:pPr>
        <w:rPr>
          <w:vertAlign w:val="superscript"/>
        </w:rPr>
      </w:pPr>
      <w:r>
        <w:t>The Ventana</w:t>
      </w:r>
      <w:r w:rsidR="00407D0F" w:rsidRPr="009A1682">
        <w:t xml:space="preserve"> </w:t>
      </w:r>
      <w:r>
        <w:t xml:space="preserve">PD-L1 </w:t>
      </w:r>
      <w:r w:rsidR="00407D0F">
        <w:t>SP142 antibody</w:t>
      </w:r>
      <w:r w:rsidR="00407D0F" w:rsidRPr="009A1682">
        <w:t xml:space="preserve"> is known to be less sensitive than </w:t>
      </w:r>
      <w:proofErr w:type="spellStart"/>
      <w:r w:rsidR="00F92E33">
        <w:t>Dako</w:t>
      </w:r>
      <w:proofErr w:type="spellEnd"/>
      <w:r w:rsidR="00F92E33">
        <w:t xml:space="preserve"> </w:t>
      </w:r>
      <w:r w:rsidRPr="00613D48">
        <w:t>PD</w:t>
      </w:r>
      <w:r w:rsidR="00F92E33">
        <w:t>-L1 IHC 22C3</w:t>
      </w:r>
      <w:r w:rsidR="00407D0F" w:rsidRPr="009A1682">
        <w:t xml:space="preserve">, </w:t>
      </w:r>
      <w:proofErr w:type="spellStart"/>
      <w:r w:rsidR="00F92E33">
        <w:t>Dako</w:t>
      </w:r>
      <w:proofErr w:type="spellEnd"/>
      <w:r w:rsidR="00F92E33">
        <w:t xml:space="preserve"> </w:t>
      </w:r>
      <w:r>
        <w:t xml:space="preserve">D-L1 IHC 28-8 </w:t>
      </w:r>
      <w:proofErr w:type="spellStart"/>
      <w:r>
        <w:t>pharmDx</w:t>
      </w:r>
      <w:proofErr w:type="spellEnd"/>
      <w:r>
        <w:t>,</w:t>
      </w:r>
      <w:r w:rsidR="00407D0F" w:rsidRPr="009A1682">
        <w:t xml:space="preserve"> and </w:t>
      </w:r>
      <w:r>
        <w:t>Ventana PD-L1 SP263</w:t>
      </w:r>
      <w:r w:rsidRPr="00613D48">
        <w:t xml:space="preserve"> </w:t>
      </w:r>
      <w:r w:rsidR="00407D0F">
        <w:t>for</w:t>
      </w:r>
      <w:r w:rsidR="00407D0F" w:rsidRPr="009A1682">
        <w:t xml:space="preserve"> the detection of </w:t>
      </w:r>
      <w:r w:rsidR="00407D0F">
        <w:t>PD-L1 on tumour cells and immune cells in NSCLC</w:t>
      </w:r>
      <w:r>
        <w:t>.</w:t>
      </w:r>
      <w:r>
        <w:rPr>
          <w:rStyle w:val="FootnoteReference"/>
        </w:rPr>
        <w:footnoteReference w:id="31"/>
      </w:r>
      <w:r>
        <w:rPr>
          <w:vertAlign w:val="superscript"/>
        </w:rPr>
        <w:t>,</w:t>
      </w:r>
      <w:r>
        <w:rPr>
          <w:rStyle w:val="FootnoteReference"/>
        </w:rPr>
        <w:footnoteReference w:id="32"/>
      </w:r>
      <w:r>
        <w:rPr>
          <w:vertAlign w:val="superscript"/>
        </w:rPr>
        <w:t>,</w:t>
      </w:r>
      <w:r>
        <w:rPr>
          <w:rStyle w:val="FootnoteReference"/>
        </w:rPr>
        <w:footnoteReference w:id="33"/>
      </w:r>
    </w:p>
    <w:p w14:paraId="17143C9C" w14:textId="022DB3FD" w:rsidR="00407D0F" w:rsidRPr="00B64A30" w:rsidRDefault="00407D0F" w:rsidP="00407D0F">
      <w:r w:rsidRPr="008A3F7F">
        <w:t xml:space="preserve">Exploratory analyses of </w:t>
      </w:r>
      <w:r w:rsidRPr="00B64A30">
        <w:t xml:space="preserve">tissue PD-L1 status according to </w:t>
      </w:r>
      <w:proofErr w:type="spellStart"/>
      <w:r w:rsidR="00F92E33">
        <w:t>Dako</w:t>
      </w:r>
      <w:proofErr w:type="spellEnd"/>
      <w:r w:rsidR="00F92E33">
        <w:t xml:space="preserve"> </w:t>
      </w:r>
      <w:r w:rsidRPr="00B64A30">
        <w:t>22C3</w:t>
      </w:r>
      <w:r w:rsidR="00F92E33">
        <w:t xml:space="preserve"> </w:t>
      </w:r>
      <w:r w:rsidRPr="00B64A30">
        <w:t xml:space="preserve">and </w:t>
      </w:r>
      <w:r w:rsidR="00630A86">
        <w:t xml:space="preserve">Ventana </w:t>
      </w:r>
      <w:r w:rsidRPr="00B64A30">
        <w:t xml:space="preserve">SP263, and of </w:t>
      </w:r>
      <w:r w:rsidR="00630A86">
        <w:t>overall survival</w:t>
      </w:r>
      <w:r w:rsidRPr="00B64A30">
        <w:t xml:space="preserve"> according to that re-assessed PD-L1 status were performed within </w:t>
      </w:r>
      <w:r w:rsidR="00630A86">
        <w:t xml:space="preserve">the </w:t>
      </w:r>
      <w:r w:rsidR="009258F9">
        <w:t>IMPOWER</w:t>
      </w:r>
      <w:r w:rsidR="00630A86">
        <w:t>110 trial (Study GO29431)</w:t>
      </w:r>
      <w:r w:rsidR="00F92E33">
        <w:t xml:space="preserve">, as noted in </w:t>
      </w:r>
      <w:r w:rsidR="00F659BC">
        <w:t>S</w:t>
      </w:r>
      <w:r w:rsidR="00F92E33">
        <w:t>ection</w:t>
      </w:r>
      <w:r w:rsidR="00F659BC">
        <w:t>:</w:t>
      </w:r>
      <w:r w:rsidR="00F92E33">
        <w:t xml:space="preserve"> </w:t>
      </w:r>
      <w:r w:rsidR="00F92E33">
        <w:fldChar w:fldCharType="begin"/>
      </w:r>
      <w:r w:rsidR="00F92E33">
        <w:instrText xml:space="preserve"> REF _Ref107301482 \h </w:instrText>
      </w:r>
      <w:r w:rsidR="00F92E33">
        <w:fldChar w:fldCharType="separate"/>
      </w:r>
      <w:r w:rsidR="00C05B15">
        <w:t>Subgroup analyses</w:t>
      </w:r>
      <w:r w:rsidR="00F92E33">
        <w:fldChar w:fldCharType="end"/>
      </w:r>
      <w:r w:rsidR="00F92E33">
        <w:t>, above.</w:t>
      </w:r>
    </w:p>
    <w:p w14:paraId="7E65EC5C" w14:textId="3ED2708C" w:rsidR="00407D0F" w:rsidRDefault="00407D0F" w:rsidP="00407D0F">
      <w:r w:rsidRPr="00B64A30">
        <w:t xml:space="preserve">To further explore the </w:t>
      </w:r>
      <w:r w:rsidR="00630A86">
        <w:t>correlation between tests, the s</w:t>
      </w:r>
      <w:r w:rsidRPr="00B64A30">
        <w:t xml:space="preserve">ponsor was asked to provide the breakdown of TC and </w:t>
      </w:r>
      <w:r w:rsidR="00630A86">
        <w:t xml:space="preserve">IC (exploratory) raw scores in the </w:t>
      </w:r>
      <w:r w:rsidR="009258F9">
        <w:t>IMPOWER</w:t>
      </w:r>
      <w:r w:rsidR="00630A86">
        <w:t>110 trial (Study GO29431)</w:t>
      </w:r>
      <w:r w:rsidRPr="00B64A30">
        <w:t xml:space="preserve">, and then the number of them that corresponded to each category of </w:t>
      </w:r>
      <w:r w:rsidR="00630A86">
        <w:t>PD</w:t>
      </w:r>
      <w:r w:rsidR="00630A86">
        <w:noBreakHyphen/>
      </w:r>
      <w:r w:rsidRPr="00B64A30">
        <w:t>L1 result according to the other two tests.</w:t>
      </w:r>
    </w:p>
    <w:p w14:paraId="27296E66" w14:textId="34E2AFB2" w:rsidR="00407D0F" w:rsidRPr="00965711" w:rsidRDefault="00407D0F" w:rsidP="00222A45">
      <w:r w:rsidRPr="00222A45">
        <w:t xml:space="preserve">The data are summarised in </w:t>
      </w:r>
      <w:r w:rsidRPr="00B13A95">
        <w:fldChar w:fldCharType="begin"/>
      </w:r>
      <w:r w:rsidRPr="00965711">
        <w:instrText xml:space="preserve"> REF _Ref63787073 \h </w:instrText>
      </w:r>
      <w:r w:rsidR="00965711">
        <w:instrText xml:space="preserve"> \* MERGEFORMAT </w:instrText>
      </w:r>
      <w:r w:rsidRPr="00B13A95">
        <w:fldChar w:fldCharType="separate"/>
      </w:r>
      <w:r w:rsidR="00C05B15" w:rsidRPr="000328E6">
        <w:t xml:space="preserve">Table </w:t>
      </w:r>
      <w:r w:rsidR="00C05B15">
        <w:t>22</w:t>
      </w:r>
      <w:r w:rsidRPr="00B13A95">
        <w:fldChar w:fldCharType="end"/>
      </w:r>
      <w:r w:rsidRPr="00222A45">
        <w:t xml:space="preserve"> through</w:t>
      </w:r>
      <w:r w:rsidR="00965711" w:rsidRPr="00965711">
        <w:t xml:space="preserve"> </w:t>
      </w:r>
      <w:r w:rsidR="00965711" w:rsidRPr="00B13A95">
        <w:fldChar w:fldCharType="begin"/>
      </w:r>
      <w:r w:rsidR="00965711" w:rsidRPr="00965711">
        <w:instrText xml:space="preserve"> NOTEREF _Ref108523352 \h </w:instrText>
      </w:r>
      <w:r w:rsidR="00965711">
        <w:instrText xml:space="preserve"> \* MERGEFORMAT </w:instrText>
      </w:r>
      <w:r w:rsidR="00965711" w:rsidRPr="00B13A95">
        <w:fldChar w:fldCharType="separate"/>
      </w:r>
      <w:r w:rsidR="00C05B15">
        <w:t>25</w:t>
      </w:r>
      <w:r w:rsidR="00965711" w:rsidRPr="00B13A95">
        <w:fldChar w:fldCharType="end"/>
      </w:r>
      <w:r w:rsidRPr="00222A45">
        <w:t>.</w:t>
      </w:r>
    </w:p>
    <w:p w14:paraId="7B7D04F6" w14:textId="3E10C9ED" w:rsidR="00407D0F" w:rsidRPr="00965711" w:rsidRDefault="00407D0F">
      <w:r w:rsidRPr="00965711">
        <w:t>T</w:t>
      </w:r>
      <w:r w:rsidR="00630A86" w:rsidRPr="00965711">
        <w:t>he s</w:t>
      </w:r>
      <w:r w:rsidRPr="00965711">
        <w:t>ponsor provided the following clarifications along with the requested data:</w:t>
      </w:r>
    </w:p>
    <w:p w14:paraId="06343D45" w14:textId="643366EE" w:rsidR="00407D0F" w:rsidRPr="00630A86" w:rsidRDefault="00407D0F" w:rsidP="00630A86">
      <w:pPr>
        <w:ind w:left="720"/>
      </w:pPr>
      <w:r w:rsidRPr="00630A86">
        <w:t xml:space="preserve">In the analysis provided </w:t>
      </w:r>
      <w:r w:rsidR="0046773A">
        <w:t>(</w:t>
      </w:r>
      <w:r w:rsidRPr="00630A86">
        <w:t>…</w:t>
      </w:r>
      <w:r w:rsidR="0046773A">
        <w:t>)</w:t>
      </w:r>
      <w:r w:rsidRPr="00630A86">
        <w:t xml:space="preserve"> SP142 TC and IC status was defined using the highest raw TC and IC percentages recorded (per sample). </w:t>
      </w:r>
      <w:proofErr w:type="gramStart"/>
      <w:r w:rsidRPr="00630A86">
        <w:t>As a consequence</w:t>
      </w:r>
      <w:proofErr w:type="gramEnd"/>
      <w:r w:rsidRPr="00630A86">
        <w:t>, the number of patients in this exploratory analysis may not exactly reflect the total number of patients in the primary analyses that were defined by the binary stepwise scoring method.</w:t>
      </w:r>
    </w:p>
    <w:p w14:paraId="1D1F22C3" w14:textId="2300947A" w:rsidR="00407D0F" w:rsidRPr="00630A86" w:rsidRDefault="00407D0F" w:rsidP="00630A86">
      <w:pPr>
        <w:ind w:left="720"/>
      </w:pPr>
      <w:r w:rsidRPr="00630A86">
        <w:t>The applicant notes that if a sample was re-tested for SP142 due to the dispenser issue, the re-test result was used for this analysis. If a sample was tested with an impacted dispenser and a re-test result was not available, then the original SP142 result was used.</w:t>
      </w:r>
    </w:p>
    <w:p w14:paraId="4E854A23" w14:textId="783FBCD9" w:rsidR="00400B3D" w:rsidRDefault="00407D0F" w:rsidP="00407D0F">
      <w:r>
        <w:t xml:space="preserve">The patterns seen in these tables are in keeping with the lower sensitivity of SP142 for tumour cell PD-L1 staining. The possible implications of lower SP142 sensitivity are discussed under </w:t>
      </w:r>
      <w:r w:rsidR="00F659BC">
        <w:t>S</w:t>
      </w:r>
      <w:r w:rsidR="0082463A" w:rsidRPr="0082463A">
        <w:t xml:space="preserve">ection: </w:t>
      </w:r>
      <w:r w:rsidRPr="0082463A">
        <w:fldChar w:fldCharType="begin"/>
      </w:r>
      <w:r w:rsidRPr="0082463A">
        <w:instrText xml:space="preserve"> REF _Ref63868109 \h </w:instrText>
      </w:r>
      <w:r w:rsidR="00630A86" w:rsidRPr="0082463A">
        <w:instrText xml:space="preserve"> \* MERGEFORMAT </w:instrText>
      </w:r>
      <w:r w:rsidRPr="0082463A">
        <w:fldChar w:fldCharType="separate"/>
      </w:r>
      <w:r w:rsidR="00C05B15">
        <w:t>Sensitivity of the Ventana SP142</w:t>
      </w:r>
      <w:r w:rsidRPr="0082463A">
        <w:fldChar w:fldCharType="end"/>
      </w:r>
      <w:r w:rsidR="0082463A">
        <w:t>, above</w:t>
      </w:r>
      <w:r w:rsidR="0082463A" w:rsidRPr="0082463A">
        <w:t>.</w:t>
      </w:r>
      <w:r w:rsidR="00400B3D">
        <w:br w:type="page"/>
      </w:r>
    </w:p>
    <w:p w14:paraId="371835A5" w14:textId="038C4C66" w:rsidR="00407D0F" w:rsidRPr="000328E6" w:rsidRDefault="00407D0F" w:rsidP="00DE31C1">
      <w:pPr>
        <w:pStyle w:val="TableTitle"/>
      </w:pPr>
      <w:bookmarkStart w:id="97" w:name="_Ref63787073"/>
      <w:bookmarkStart w:id="98" w:name="_Ref67405679"/>
      <w:r w:rsidRPr="000328E6">
        <w:lastRenderedPageBreak/>
        <w:t xml:space="preserve">Table </w:t>
      </w:r>
      <w:fldSimple w:instr=" SEQ Table \* ARABIC ">
        <w:r w:rsidR="00C05B15">
          <w:rPr>
            <w:noProof/>
          </w:rPr>
          <w:t>22</w:t>
        </w:r>
      </w:fldSimple>
      <w:bookmarkEnd w:id="97"/>
      <w:r w:rsidR="00630A86" w:rsidRPr="000328E6">
        <w:t>:</w:t>
      </w:r>
      <w:r w:rsidRPr="000328E6">
        <w:t xml:space="preserve"> </w:t>
      </w:r>
      <w:r w:rsidR="009258F9" w:rsidRPr="000328E6">
        <w:t>IMPOWER</w:t>
      </w:r>
      <w:r w:rsidR="00630A86" w:rsidRPr="000328E6">
        <w:t>110 trial (Study GO29431) Sponsor-supplied breakdown of n</w:t>
      </w:r>
      <w:r w:rsidRPr="000328E6">
        <w:t>umber</w:t>
      </w:r>
      <w:r w:rsidR="00630A86" w:rsidRPr="000328E6">
        <w:t xml:space="preserve"> and percentage of patients</w:t>
      </w:r>
      <w:r w:rsidRPr="000328E6">
        <w:t xml:space="preserve"> i</w:t>
      </w:r>
      <w:r w:rsidR="00630A86" w:rsidRPr="000328E6">
        <w:t xml:space="preserve">n each </w:t>
      </w:r>
      <w:r w:rsidR="00013622" w:rsidRPr="00B50F71">
        <w:t>tumour cell</w:t>
      </w:r>
      <w:r w:rsidR="00013622" w:rsidRPr="000328E6" w:rsidDel="00013622">
        <w:t xml:space="preserve"> </w:t>
      </w:r>
      <w:r w:rsidR="00630A86" w:rsidRPr="000328E6">
        <w:t xml:space="preserve">category according to SP142 </w:t>
      </w:r>
      <w:r w:rsidR="00334FA6">
        <w:t xml:space="preserve">testing </w:t>
      </w:r>
      <w:r w:rsidR="00630A86" w:rsidRPr="000328E6">
        <w:t>at enrolment (</w:t>
      </w:r>
      <w:r w:rsidRPr="000328E6">
        <w:t>all-randomised population</w:t>
      </w:r>
      <w:r w:rsidR="00630A86" w:rsidRPr="000328E6">
        <w:t>)</w:t>
      </w:r>
      <w:bookmarkEnd w:id="98"/>
    </w:p>
    <w:tbl>
      <w:tblPr>
        <w:tblStyle w:val="TableTGAblue"/>
        <w:tblW w:w="7399" w:type="dxa"/>
        <w:tblLayout w:type="fixed"/>
        <w:tblCellMar>
          <w:left w:w="28" w:type="dxa"/>
          <w:right w:w="28" w:type="dxa"/>
        </w:tblCellMar>
        <w:tblLook w:val="0420" w:firstRow="1" w:lastRow="0" w:firstColumn="0" w:lastColumn="0" w:noHBand="0" w:noVBand="1"/>
      </w:tblPr>
      <w:tblGrid>
        <w:gridCol w:w="595"/>
        <w:gridCol w:w="851"/>
        <w:gridCol w:w="850"/>
        <w:gridCol w:w="851"/>
        <w:gridCol w:w="850"/>
        <w:gridCol w:w="851"/>
        <w:gridCol w:w="850"/>
        <w:gridCol w:w="851"/>
        <w:gridCol w:w="850"/>
      </w:tblGrid>
      <w:tr w:rsidR="00407D0F" w:rsidRPr="003B78C4" w14:paraId="095ECBD7" w14:textId="77777777" w:rsidTr="00DF6DE3">
        <w:trPr>
          <w:cnfStyle w:val="100000000000" w:firstRow="1" w:lastRow="0" w:firstColumn="0" w:lastColumn="0" w:oddVBand="0" w:evenVBand="0" w:oddHBand="0" w:evenHBand="0" w:firstRowFirstColumn="0" w:firstRowLastColumn="0" w:lastRowFirstColumn="0" w:lastRowLastColumn="0"/>
          <w:trHeight w:val="20"/>
        </w:trPr>
        <w:tc>
          <w:tcPr>
            <w:tcW w:w="595"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6CEDE39" w14:textId="77777777" w:rsidR="00407D0F" w:rsidRPr="00EB1479" w:rsidRDefault="00407D0F" w:rsidP="000741BA">
            <w:pPr>
              <w:pStyle w:val="Tabletext"/>
              <w:ind w:left="0" w:right="0"/>
            </w:pPr>
          </w:p>
        </w:tc>
        <w:tc>
          <w:tcPr>
            <w:tcW w:w="3402"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316422" w14:textId="2A1B5B96" w:rsidR="00407D0F" w:rsidRPr="00B178E4" w:rsidRDefault="00407D0F" w:rsidP="00B178E4">
            <w:pPr>
              <w:rPr>
                <w:sz w:val="20"/>
              </w:rPr>
            </w:pPr>
            <w:r w:rsidRPr="00B178E4">
              <w:rPr>
                <w:sz w:val="20"/>
              </w:rPr>
              <w:t>Chemotherapy</w:t>
            </w:r>
            <w:r w:rsidR="00334FA6" w:rsidRPr="00B178E4">
              <w:rPr>
                <w:sz w:val="20"/>
              </w:rPr>
              <w:t xml:space="preserve"> </w:t>
            </w:r>
            <w:r w:rsidR="00630A86" w:rsidRPr="00B178E4">
              <w:rPr>
                <w:sz w:val="20"/>
              </w:rPr>
              <w:t>(</w:t>
            </w:r>
            <w:r w:rsidRPr="00B178E4">
              <w:rPr>
                <w:sz w:val="20"/>
              </w:rPr>
              <w:t>N</w:t>
            </w:r>
            <w:r w:rsidR="00630A86" w:rsidRPr="00B178E4">
              <w:rPr>
                <w:sz w:val="20"/>
              </w:rPr>
              <w:t xml:space="preserve"> </w:t>
            </w:r>
            <w:r w:rsidRPr="00B178E4">
              <w:rPr>
                <w:sz w:val="20"/>
              </w:rPr>
              <w:t>=</w:t>
            </w:r>
            <w:r w:rsidR="00630A86" w:rsidRPr="00B178E4">
              <w:rPr>
                <w:sz w:val="20"/>
              </w:rPr>
              <w:t xml:space="preserve"> </w:t>
            </w:r>
            <w:r w:rsidRPr="00B178E4">
              <w:rPr>
                <w:sz w:val="20"/>
              </w:rPr>
              <w:t>287</w:t>
            </w:r>
            <w:r w:rsidR="00630A86" w:rsidRPr="00B178E4">
              <w:rPr>
                <w:sz w:val="20"/>
              </w:rPr>
              <w:t>)</w:t>
            </w:r>
          </w:p>
        </w:tc>
        <w:tc>
          <w:tcPr>
            <w:tcW w:w="3402"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6F67E7A" w14:textId="769548BB" w:rsidR="00407D0F" w:rsidRPr="00B178E4" w:rsidRDefault="00407D0F" w:rsidP="00B178E4">
            <w:pPr>
              <w:rPr>
                <w:sz w:val="20"/>
              </w:rPr>
            </w:pPr>
            <w:r w:rsidRPr="00B178E4">
              <w:rPr>
                <w:sz w:val="20"/>
              </w:rPr>
              <w:t>Atezolizumab</w:t>
            </w:r>
            <w:r w:rsidR="00334FA6" w:rsidRPr="00B178E4">
              <w:rPr>
                <w:sz w:val="20"/>
              </w:rPr>
              <w:t xml:space="preserve"> </w:t>
            </w:r>
            <w:r w:rsidR="00630A86" w:rsidRPr="00B178E4">
              <w:rPr>
                <w:sz w:val="20"/>
              </w:rPr>
              <w:t>(</w:t>
            </w:r>
            <w:r w:rsidRPr="00B178E4">
              <w:rPr>
                <w:sz w:val="20"/>
              </w:rPr>
              <w:t>N</w:t>
            </w:r>
            <w:r w:rsidR="00630A86" w:rsidRPr="00B178E4">
              <w:rPr>
                <w:sz w:val="20"/>
              </w:rPr>
              <w:t xml:space="preserve"> </w:t>
            </w:r>
            <w:r w:rsidRPr="00B178E4">
              <w:rPr>
                <w:sz w:val="20"/>
              </w:rPr>
              <w:t>=</w:t>
            </w:r>
            <w:r w:rsidR="00630A86" w:rsidRPr="00B178E4">
              <w:rPr>
                <w:sz w:val="20"/>
              </w:rPr>
              <w:t xml:space="preserve"> </w:t>
            </w:r>
            <w:r w:rsidRPr="00B178E4">
              <w:rPr>
                <w:sz w:val="20"/>
              </w:rPr>
              <w:t>285</w:t>
            </w:r>
            <w:r w:rsidR="00630A86" w:rsidRPr="00B178E4">
              <w:rPr>
                <w:sz w:val="20"/>
              </w:rPr>
              <w:t>)</w:t>
            </w:r>
          </w:p>
        </w:tc>
      </w:tr>
      <w:tr w:rsidR="00407D0F" w:rsidRPr="003B78C4" w14:paraId="725DBF64" w14:textId="77777777" w:rsidTr="00DF6DE3">
        <w:trPr>
          <w:trHeight w:val="63"/>
        </w:trPr>
        <w:tc>
          <w:tcPr>
            <w:tcW w:w="7399" w:type="dxa"/>
            <w:gridSpan w:val="9"/>
          </w:tcPr>
          <w:p w14:paraId="14BEAF74" w14:textId="77777777" w:rsidR="00407D0F" w:rsidRPr="00B178E4" w:rsidRDefault="00407D0F" w:rsidP="00B178E4">
            <w:pPr>
              <w:rPr>
                <w:b/>
              </w:rPr>
            </w:pPr>
            <w:r w:rsidRPr="00B178E4">
              <w:rPr>
                <w:b/>
                <w:sz w:val="20"/>
              </w:rPr>
              <w:t>Absolute number of patients</w:t>
            </w:r>
          </w:p>
        </w:tc>
      </w:tr>
      <w:tr w:rsidR="00407D0F" w:rsidRPr="003B78C4" w14:paraId="280FAFFB" w14:textId="77777777" w:rsidTr="00DF6DE3">
        <w:trPr>
          <w:trHeight w:val="685"/>
        </w:trPr>
        <w:tc>
          <w:tcPr>
            <w:tcW w:w="595" w:type="dxa"/>
          </w:tcPr>
          <w:p w14:paraId="11845FC2" w14:textId="77777777" w:rsidR="00407D0F" w:rsidRPr="00EB1479" w:rsidRDefault="00407D0F" w:rsidP="000741BA">
            <w:pPr>
              <w:pStyle w:val="Tabletext"/>
              <w:ind w:left="0" w:right="0"/>
            </w:pPr>
          </w:p>
        </w:tc>
        <w:tc>
          <w:tcPr>
            <w:tcW w:w="851" w:type="dxa"/>
            <w:vAlign w:val="bottom"/>
          </w:tcPr>
          <w:p w14:paraId="1E5A55D8" w14:textId="77777777" w:rsidR="00407D0F" w:rsidRPr="00B178E4" w:rsidRDefault="00407D0F" w:rsidP="00B178E4">
            <w:pPr>
              <w:pStyle w:val="Tabletext"/>
              <w:ind w:left="0" w:right="0"/>
              <w:jc w:val="center"/>
              <w:rPr>
                <w:b/>
                <w:bCs/>
                <w:lang w:val="en-US"/>
              </w:rPr>
            </w:pPr>
            <w:r w:rsidRPr="00B178E4">
              <w:rPr>
                <w:b/>
                <w:bCs/>
                <w:lang w:val="en-US"/>
              </w:rPr>
              <w:t>TC0</w:t>
            </w:r>
          </w:p>
          <w:p w14:paraId="0A9BF412" w14:textId="77777777" w:rsidR="00407D0F" w:rsidRPr="00175377" w:rsidRDefault="00407D0F" w:rsidP="00B178E4">
            <w:pPr>
              <w:pStyle w:val="Tabletext"/>
              <w:ind w:left="0" w:right="0"/>
              <w:jc w:val="center"/>
              <w:rPr>
                <w:bCs/>
                <w:lang w:val="en-US"/>
              </w:rPr>
            </w:pPr>
            <w:r w:rsidRPr="00175377">
              <w:rPr>
                <w:bCs/>
                <w:lang w:val="en-US"/>
              </w:rPr>
              <w:t>N=127</w:t>
            </w:r>
          </w:p>
        </w:tc>
        <w:tc>
          <w:tcPr>
            <w:tcW w:w="850" w:type="dxa"/>
            <w:vAlign w:val="bottom"/>
          </w:tcPr>
          <w:p w14:paraId="1BEF1DA6" w14:textId="77777777" w:rsidR="00407D0F" w:rsidRPr="00B178E4" w:rsidRDefault="00407D0F" w:rsidP="00B178E4">
            <w:pPr>
              <w:pStyle w:val="Tabletext"/>
              <w:ind w:left="0" w:right="0"/>
              <w:jc w:val="center"/>
              <w:rPr>
                <w:b/>
                <w:bCs/>
                <w:szCs w:val="22"/>
                <w:lang w:val="en-US"/>
              </w:rPr>
            </w:pPr>
            <w:r w:rsidRPr="00B178E4">
              <w:rPr>
                <w:b/>
                <w:bCs/>
                <w:lang w:val="en-US"/>
              </w:rPr>
              <w:t>TC1</w:t>
            </w:r>
          </w:p>
          <w:p w14:paraId="3F512B3E" w14:textId="77777777" w:rsidR="00407D0F" w:rsidRPr="00175377" w:rsidRDefault="00407D0F" w:rsidP="00B178E4">
            <w:pPr>
              <w:pStyle w:val="Tabletext"/>
              <w:ind w:left="0" w:right="0"/>
              <w:jc w:val="center"/>
              <w:rPr>
                <w:bCs/>
                <w:lang w:val="en-US"/>
              </w:rPr>
            </w:pPr>
            <w:r w:rsidRPr="00175377">
              <w:rPr>
                <w:bCs/>
                <w:lang w:val="en-US"/>
              </w:rPr>
              <w:t>N=32</w:t>
            </w:r>
          </w:p>
        </w:tc>
        <w:tc>
          <w:tcPr>
            <w:tcW w:w="851" w:type="dxa"/>
            <w:vAlign w:val="bottom"/>
          </w:tcPr>
          <w:p w14:paraId="27F4BD5F" w14:textId="77777777" w:rsidR="00407D0F" w:rsidRPr="00B178E4" w:rsidRDefault="00407D0F" w:rsidP="00B178E4">
            <w:pPr>
              <w:pStyle w:val="Tabletext"/>
              <w:ind w:left="0" w:right="0"/>
              <w:jc w:val="center"/>
              <w:rPr>
                <w:b/>
                <w:bCs/>
                <w:szCs w:val="22"/>
                <w:lang w:val="en-US"/>
              </w:rPr>
            </w:pPr>
            <w:r w:rsidRPr="00B178E4">
              <w:rPr>
                <w:b/>
                <w:bCs/>
                <w:lang w:val="en-US"/>
              </w:rPr>
              <w:t>TC2</w:t>
            </w:r>
          </w:p>
          <w:p w14:paraId="7311A2CD" w14:textId="77777777" w:rsidR="00407D0F" w:rsidRPr="00175377" w:rsidRDefault="00407D0F" w:rsidP="00B178E4">
            <w:pPr>
              <w:pStyle w:val="Tabletext"/>
              <w:ind w:left="0" w:right="0"/>
              <w:jc w:val="center"/>
              <w:rPr>
                <w:bCs/>
                <w:lang w:val="en-US"/>
              </w:rPr>
            </w:pPr>
            <w:r w:rsidRPr="00175377">
              <w:rPr>
                <w:bCs/>
                <w:lang w:val="en-US"/>
              </w:rPr>
              <w:t>N=55</w:t>
            </w:r>
          </w:p>
        </w:tc>
        <w:tc>
          <w:tcPr>
            <w:tcW w:w="850" w:type="dxa"/>
            <w:vAlign w:val="bottom"/>
          </w:tcPr>
          <w:p w14:paraId="069F82A5" w14:textId="77777777" w:rsidR="00407D0F" w:rsidRPr="00B178E4" w:rsidRDefault="00407D0F" w:rsidP="00B178E4">
            <w:pPr>
              <w:pStyle w:val="Tabletext"/>
              <w:ind w:left="0" w:right="0"/>
              <w:jc w:val="center"/>
              <w:rPr>
                <w:b/>
                <w:bCs/>
                <w:szCs w:val="22"/>
                <w:lang w:val="en-US"/>
              </w:rPr>
            </w:pPr>
            <w:r w:rsidRPr="00B178E4">
              <w:rPr>
                <w:b/>
                <w:bCs/>
                <w:lang w:val="en-US"/>
              </w:rPr>
              <w:t>TC3</w:t>
            </w:r>
          </w:p>
          <w:p w14:paraId="3063A445" w14:textId="6066C339" w:rsidR="00407D0F" w:rsidRPr="00175377" w:rsidRDefault="00407D0F" w:rsidP="00B178E4">
            <w:pPr>
              <w:pStyle w:val="Tabletext"/>
              <w:ind w:left="0" w:right="0"/>
              <w:jc w:val="center"/>
              <w:rPr>
                <w:bCs/>
                <w:lang w:val="en-US"/>
              </w:rPr>
            </w:pPr>
            <w:r w:rsidRPr="00175377">
              <w:rPr>
                <w:bCs/>
                <w:lang w:val="en-US"/>
              </w:rPr>
              <w:t>N=73</w:t>
            </w:r>
          </w:p>
        </w:tc>
        <w:tc>
          <w:tcPr>
            <w:tcW w:w="851" w:type="dxa"/>
            <w:vAlign w:val="bottom"/>
          </w:tcPr>
          <w:p w14:paraId="79A1CAF9" w14:textId="77777777" w:rsidR="00407D0F" w:rsidRPr="00B178E4" w:rsidRDefault="00407D0F" w:rsidP="00B178E4">
            <w:pPr>
              <w:pStyle w:val="Tabletext"/>
              <w:ind w:left="0" w:right="0"/>
              <w:jc w:val="center"/>
              <w:rPr>
                <w:b/>
                <w:bCs/>
                <w:szCs w:val="22"/>
                <w:lang w:val="en-US"/>
              </w:rPr>
            </w:pPr>
            <w:r w:rsidRPr="00B178E4">
              <w:rPr>
                <w:b/>
                <w:bCs/>
                <w:lang w:val="en-US"/>
              </w:rPr>
              <w:t>TC0</w:t>
            </w:r>
          </w:p>
          <w:p w14:paraId="4EF49F7A" w14:textId="615C5C83" w:rsidR="00407D0F" w:rsidRPr="00175377" w:rsidRDefault="00407D0F" w:rsidP="00B178E4">
            <w:pPr>
              <w:pStyle w:val="Tabletext"/>
              <w:ind w:left="0" w:right="0"/>
              <w:jc w:val="center"/>
              <w:rPr>
                <w:bCs/>
                <w:lang w:val="en-US"/>
              </w:rPr>
            </w:pPr>
            <w:r w:rsidRPr="00175377">
              <w:rPr>
                <w:bCs/>
                <w:lang w:val="en-US"/>
              </w:rPr>
              <w:t>N=120</w:t>
            </w:r>
          </w:p>
        </w:tc>
        <w:tc>
          <w:tcPr>
            <w:tcW w:w="850" w:type="dxa"/>
            <w:vAlign w:val="bottom"/>
          </w:tcPr>
          <w:p w14:paraId="1996F040" w14:textId="77777777" w:rsidR="00407D0F" w:rsidRPr="00B178E4" w:rsidRDefault="00407D0F" w:rsidP="00B178E4">
            <w:pPr>
              <w:pStyle w:val="Tabletext"/>
              <w:ind w:left="0" w:right="0"/>
              <w:jc w:val="center"/>
              <w:rPr>
                <w:b/>
                <w:bCs/>
                <w:szCs w:val="22"/>
                <w:lang w:val="en-US"/>
              </w:rPr>
            </w:pPr>
            <w:r w:rsidRPr="00B178E4">
              <w:rPr>
                <w:b/>
                <w:bCs/>
                <w:lang w:val="en-US"/>
              </w:rPr>
              <w:t>TC1</w:t>
            </w:r>
          </w:p>
          <w:p w14:paraId="4E8B946D" w14:textId="77777777" w:rsidR="00407D0F" w:rsidRPr="00175377" w:rsidRDefault="00407D0F" w:rsidP="00B178E4">
            <w:pPr>
              <w:pStyle w:val="Tabletext"/>
              <w:ind w:left="0" w:right="0"/>
              <w:jc w:val="center"/>
              <w:rPr>
                <w:bCs/>
                <w:lang w:val="en-US"/>
              </w:rPr>
            </w:pPr>
            <w:r w:rsidRPr="00175377">
              <w:rPr>
                <w:bCs/>
                <w:lang w:val="en-US"/>
              </w:rPr>
              <w:t>N=32</w:t>
            </w:r>
          </w:p>
        </w:tc>
        <w:tc>
          <w:tcPr>
            <w:tcW w:w="851" w:type="dxa"/>
            <w:vAlign w:val="bottom"/>
          </w:tcPr>
          <w:p w14:paraId="5BC9F6E2" w14:textId="77777777" w:rsidR="00407D0F" w:rsidRPr="00B178E4" w:rsidRDefault="00407D0F" w:rsidP="00B178E4">
            <w:pPr>
              <w:pStyle w:val="Tabletext"/>
              <w:ind w:left="0" w:right="0"/>
              <w:jc w:val="center"/>
              <w:rPr>
                <w:b/>
                <w:bCs/>
                <w:szCs w:val="22"/>
                <w:lang w:val="en-US"/>
              </w:rPr>
            </w:pPr>
            <w:r w:rsidRPr="00B178E4">
              <w:rPr>
                <w:b/>
                <w:bCs/>
                <w:lang w:val="en-US"/>
              </w:rPr>
              <w:t>TC2</w:t>
            </w:r>
          </w:p>
          <w:p w14:paraId="6E111B68" w14:textId="77777777" w:rsidR="00407D0F" w:rsidRPr="00175377" w:rsidRDefault="00407D0F" w:rsidP="00B178E4">
            <w:pPr>
              <w:pStyle w:val="Tabletext"/>
              <w:ind w:left="0" w:right="0"/>
              <w:jc w:val="center"/>
              <w:rPr>
                <w:bCs/>
                <w:lang w:val="en-US"/>
              </w:rPr>
            </w:pPr>
            <w:r w:rsidRPr="00175377">
              <w:rPr>
                <w:bCs/>
                <w:lang w:val="en-US"/>
              </w:rPr>
              <w:t>N=59</w:t>
            </w:r>
          </w:p>
        </w:tc>
        <w:tc>
          <w:tcPr>
            <w:tcW w:w="850" w:type="dxa"/>
            <w:vAlign w:val="bottom"/>
          </w:tcPr>
          <w:p w14:paraId="215566C9" w14:textId="77777777" w:rsidR="00407D0F" w:rsidRPr="00B178E4" w:rsidRDefault="00407D0F" w:rsidP="00B178E4">
            <w:pPr>
              <w:pStyle w:val="Tabletext"/>
              <w:ind w:left="0" w:right="0"/>
              <w:jc w:val="center"/>
              <w:rPr>
                <w:b/>
                <w:bCs/>
                <w:szCs w:val="22"/>
                <w:lang w:val="en-US"/>
              </w:rPr>
            </w:pPr>
            <w:r w:rsidRPr="00B178E4">
              <w:rPr>
                <w:b/>
                <w:bCs/>
                <w:lang w:val="en-US"/>
              </w:rPr>
              <w:t>TC3</w:t>
            </w:r>
          </w:p>
          <w:p w14:paraId="6454E630" w14:textId="4B99A549" w:rsidR="00407D0F" w:rsidRPr="00175377" w:rsidRDefault="00407D0F" w:rsidP="00B178E4">
            <w:pPr>
              <w:pStyle w:val="Tabletext"/>
              <w:ind w:left="0" w:right="0"/>
              <w:jc w:val="center"/>
              <w:rPr>
                <w:bCs/>
                <w:lang w:val="en-US"/>
              </w:rPr>
            </w:pPr>
            <w:r w:rsidRPr="00175377">
              <w:rPr>
                <w:bCs/>
                <w:lang w:val="en-US"/>
              </w:rPr>
              <w:t>N=74</w:t>
            </w:r>
          </w:p>
        </w:tc>
      </w:tr>
      <w:tr w:rsidR="00407D0F" w:rsidRPr="003B78C4" w14:paraId="4275E6D2" w14:textId="77777777" w:rsidTr="00DF6DE3">
        <w:trPr>
          <w:trHeight w:val="223"/>
        </w:trPr>
        <w:tc>
          <w:tcPr>
            <w:tcW w:w="595" w:type="dxa"/>
          </w:tcPr>
          <w:p w14:paraId="7CDF0347" w14:textId="77777777" w:rsidR="00407D0F" w:rsidRPr="00B178E4" w:rsidRDefault="00407D0F" w:rsidP="00B178E4">
            <w:pPr>
              <w:pStyle w:val="Tabletext"/>
              <w:ind w:left="0" w:right="0"/>
              <w:jc w:val="right"/>
              <w:rPr>
                <w:b/>
                <w:bCs/>
                <w:color w:val="auto"/>
                <w:szCs w:val="19"/>
                <w:lang w:val="en-US"/>
              </w:rPr>
            </w:pPr>
            <w:r w:rsidRPr="00B178E4">
              <w:rPr>
                <w:b/>
                <w:bCs/>
                <w:szCs w:val="19"/>
                <w:lang w:val="en-US"/>
              </w:rPr>
              <w:t>IC0</w:t>
            </w:r>
          </w:p>
        </w:tc>
        <w:tc>
          <w:tcPr>
            <w:tcW w:w="851" w:type="dxa"/>
            <w:vAlign w:val="center"/>
          </w:tcPr>
          <w:p w14:paraId="128DA57E" w14:textId="77777777" w:rsidR="00407D0F" w:rsidRPr="00477E1D" w:rsidRDefault="00407D0F" w:rsidP="00B178E4">
            <w:pPr>
              <w:pStyle w:val="Tabletext"/>
              <w:ind w:left="0" w:right="0"/>
              <w:jc w:val="center"/>
              <w:rPr>
                <w:color w:val="auto"/>
                <w:szCs w:val="19"/>
              </w:rPr>
            </w:pPr>
            <w:r w:rsidRPr="00477E1D">
              <w:rPr>
                <w:bCs/>
                <w:color w:val="auto"/>
                <w:szCs w:val="19"/>
              </w:rPr>
              <w:t>10</w:t>
            </w:r>
          </w:p>
        </w:tc>
        <w:tc>
          <w:tcPr>
            <w:tcW w:w="850" w:type="dxa"/>
            <w:vAlign w:val="center"/>
          </w:tcPr>
          <w:p w14:paraId="5F129F6C" w14:textId="77777777" w:rsidR="00407D0F" w:rsidRPr="00477E1D" w:rsidRDefault="00407D0F" w:rsidP="00B178E4">
            <w:pPr>
              <w:pStyle w:val="Tabletext"/>
              <w:ind w:left="0" w:right="0"/>
              <w:jc w:val="center"/>
              <w:rPr>
                <w:color w:val="auto"/>
                <w:szCs w:val="19"/>
              </w:rPr>
            </w:pPr>
            <w:r w:rsidRPr="00477E1D">
              <w:rPr>
                <w:bCs/>
                <w:color w:val="auto"/>
                <w:szCs w:val="19"/>
              </w:rPr>
              <w:t>2</w:t>
            </w:r>
          </w:p>
        </w:tc>
        <w:tc>
          <w:tcPr>
            <w:tcW w:w="851" w:type="dxa"/>
            <w:vAlign w:val="center"/>
          </w:tcPr>
          <w:p w14:paraId="687AEB77" w14:textId="77777777" w:rsidR="00407D0F" w:rsidRPr="00477E1D" w:rsidRDefault="00407D0F" w:rsidP="00B178E4">
            <w:pPr>
              <w:pStyle w:val="Tabletext"/>
              <w:ind w:left="0" w:right="0"/>
              <w:jc w:val="center"/>
              <w:rPr>
                <w:color w:val="auto"/>
                <w:szCs w:val="19"/>
              </w:rPr>
            </w:pPr>
            <w:r w:rsidRPr="00477E1D">
              <w:rPr>
                <w:bCs/>
                <w:color w:val="auto"/>
                <w:szCs w:val="19"/>
              </w:rPr>
              <w:t>0</w:t>
            </w:r>
          </w:p>
        </w:tc>
        <w:tc>
          <w:tcPr>
            <w:tcW w:w="850" w:type="dxa"/>
            <w:vAlign w:val="center"/>
          </w:tcPr>
          <w:p w14:paraId="4EA83063" w14:textId="77777777" w:rsidR="00407D0F" w:rsidRPr="002B48C8" w:rsidRDefault="00407D0F" w:rsidP="00B178E4">
            <w:pPr>
              <w:pStyle w:val="Tabletext"/>
              <w:ind w:left="0" w:right="0"/>
              <w:jc w:val="center"/>
              <w:rPr>
                <w:color w:val="FF0000"/>
                <w:szCs w:val="19"/>
              </w:rPr>
            </w:pPr>
            <w:r w:rsidRPr="002B48C8">
              <w:rPr>
                <w:bCs/>
                <w:iCs/>
                <w:color w:val="FF0000"/>
                <w:szCs w:val="19"/>
              </w:rPr>
              <w:t>7</w:t>
            </w:r>
          </w:p>
        </w:tc>
        <w:tc>
          <w:tcPr>
            <w:tcW w:w="851" w:type="dxa"/>
            <w:vAlign w:val="center"/>
          </w:tcPr>
          <w:p w14:paraId="25551EFB" w14:textId="77777777" w:rsidR="00407D0F" w:rsidRPr="00477E1D" w:rsidRDefault="00407D0F" w:rsidP="00B178E4">
            <w:pPr>
              <w:pStyle w:val="Tabletext"/>
              <w:ind w:left="0" w:right="0"/>
              <w:jc w:val="center"/>
              <w:rPr>
                <w:color w:val="auto"/>
                <w:szCs w:val="19"/>
              </w:rPr>
            </w:pPr>
            <w:r w:rsidRPr="00477E1D">
              <w:rPr>
                <w:bCs/>
                <w:color w:val="auto"/>
                <w:szCs w:val="19"/>
              </w:rPr>
              <w:t>4</w:t>
            </w:r>
          </w:p>
        </w:tc>
        <w:tc>
          <w:tcPr>
            <w:tcW w:w="850" w:type="dxa"/>
            <w:vAlign w:val="center"/>
          </w:tcPr>
          <w:p w14:paraId="4D9254EE" w14:textId="77777777" w:rsidR="00407D0F" w:rsidRPr="00477E1D" w:rsidRDefault="00407D0F" w:rsidP="00B178E4">
            <w:pPr>
              <w:pStyle w:val="Tabletext"/>
              <w:ind w:left="0" w:right="0"/>
              <w:jc w:val="center"/>
              <w:rPr>
                <w:color w:val="auto"/>
                <w:szCs w:val="19"/>
              </w:rPr>
            </w:pPr>
            <w:r w:rsidRPr="00477E1D">
              <w:rPr>
                <w:bCs/>
                <w:color w:val="auto"/>
                <w:szCs w:val="19"/>
              </w:rPr>
              <w:t>1</w:t>
            </w:r>
          </w:p>
        </w:tc>
        <w:tc>
          <w:tcPr>
            <w:tcW w:w="851" w:type="dxa"/>
            <w:vAlign w:val="center"/>
          </w:tcPr>
          <w:p w14:paraId="01D10ED3" w14:textId="77777777" w:rsidR="00407D0F" w:rsidRPr="00477E1D" w:rsidRDefault="00407D0F" w:rsidP="00B178E4">
            <w:pPr>
              <w:pStyle w:val="Tabletext"/>
              <w:ind w:left="0" w:right="0"/>
              <w:jc w:val="center"/>
              <w:rPr>
                <w:color w:val="auto"/>
                <w:szCs w:val="19"/>
              </w:rPr>
            </w:pPr>
            <w:r w:rsidRPr="00477E1D">
              <w:rPr>
                <w:bCs/>
                <w:color w:val="auto"/>
                <w:szCs w:val="19"/>
              </w:rPr>
              <w:t>1</w:t>
            </w:r>
          </w:p>
        </w:tc>
        <w:tc>
          <w:tcPr>
            <w:tcW w:w="850" w:type="dxa"/>
            <w:vAlign w:val="center"/>
          </w:tcPr>
          <w:p w14:paraId="4C325865" w14:textId="77777777" w:rsidR="00407D0F" w:rsidRPr="002B48C8" w:rsidRDefault="00407D0F" w:rsidP="00B178E4">
            <w:pPr>
              <w:pStyle w:val="Tabletext"/>
              <w:ind w:left="0" w:right="0"/>
              <w:jc w:val="center"/>
              <w:rPr>
                <w:color w:val="FF0000"/>
                <w:szCs w:val="19"/>
              </w:rPr>
            </w:pPr>
            <w:r w:rsidRPr="002B48C8">
              <w:rPr>
                <w:bCs/>
                <w:iCs/>
                <w:color w:val="FF0000"/>
                <w:szCs w:val="19"/>
              </w:rPr>
              <w:t>11</w:t>
            </w:r>
          </w:p>
        </w:tc>
      </w:tr>
      <w:tr w:rsidR="00407D0F" w:rsidRPr="003B78C4" w14:paraId="7D0F94A5" w14:textId="77777777" w:rsidTr="00DF6DE3">
        <w:trPr>
          <w:trHeight w:val="223"/>
        </w:trPr>
        <w:tc>
          <w:tcPr>
            <w:tcW w:w="595" w:type="dxa"/>
          </w:tcPr>
          <w:p w14:paraId="4024E5BF" w14:textId="77777777" w:rsidR="00407D0F" w:rsidRPr="00B178E4" w:rsidRDefault="00407D0F" w:rsidP="00B178E4">
            <w:pPr>
              <w:pStyle w:val="Tabletext"/>
              <w:ind w:left="0" w:right="0"/>
              <w:jc w:val="right"/>
              <w:rPr>
                <w:b/>
                <w:bCs/>
                <w:color w:val="auto"/>
                <w:szCs w:val="19"/>
                <w:lang w:val="en-US"/>
              </w:rPr>
            </w:pPr>
            <w:r w:rsidRPr="00B178E4">
              <w:rPr>
                <w:b/>
                <w:bCs/>
                <w:szCs w:val="19"/>
                <w:lang w:val="en-US"/>
              </w:rPr>
              <w:t>IC1</w:t>
            </w:r>
          </w:p>
        </w:tc>
        <w:tc>
          <w:tcPr>
            <w:tcW w:w="851" w:type="dxa"/>
            <w:vAlign w:val="center"/>
          </w:tcPr>
          <w:p w14:paraId="628EB9F5" w14:textId="77777777" w:rsidR="00407D0F" w:rsidRPr="00477E1D" w:rsidRDefault="00407D0F" w:rsidP="00B178E4">
            <w:pPr>
              <w:pStyle w:val="Tabletext"/>
              <w:ind w:left="0" w:right="0"/>
              <w:jc w:val="center"/>
              <w:rPr>
                <w:color w:val="auto"/>
                <w:szCs w:val="19"/>
              </w:rPr>
            </w:pPr>
            <w:r w:rsidRPr="00477E1D">
              <w:rPr>
                <w:color w:val="auto"/>
                <w:szCs w:val="19"/>
              </w:rPr>
              <w:t>84</w:t>
            </w:r>
          </w:p>
        </w:tc>
        <w:tc>
          <w:tcPr>
            <w:tcW w:w="850" w:type="dxa"/>
            <w:vAlign w:val="center"/>
          </w:tcPr>
          <w:p w14:paraId="1880E996" w14:textId="77777777" w:rsidR="00407D0F" w:rsidRPr="00477E1D" w:rsidRDefault="00407D0F" w:rsidP="00B178E4">
            <w:pPr>
              <w:pStyle w:val="Tabletext"/>
              <w:ind w:left="0" w:right="0"/>
              <w:jc w:val="center"/>
              <w:rPr>
                <w:color w:val="auto"/>
                <w:szCs w:val="19"/>
              </w:rPr>
            </w:pPr>
            <w:r w:rsidRPr="00477E1D">
              <w:rPr>
                <w:color w:val="auto"/>
                <w:szCs w:val="19"/>
              </w:rPr>
              <w:t>16</w:t>
            </w:r>
          </w:p>
        </w:tc>
        <w:tc>
          <w:tcPr>
            <w:tcW w:w="851" w:type="dxa"/>
            <w:vAlign w:val="center"/>
          </w:tcPr>
          <w:p w14:paraId="248DE374" w14:textId="77777777" w:rsidR="00407D0F" w:rsidRPr="00477E1D" w:rsidRDefault="00407D0F" w:rsidP="00B178E4">
            <w:pPr>
              <w:pStyle w:val="Tabletext"/>
              <w:ind w:left="0" w:right="0"/>
              <w:jc w:val="center"/>
              <w:rPr>
                <w:color w:val="auto"/>
                <w:szCs w:val="19"/>
              </w:rPr>
            </w:pPr>
            <w:r w:rsidRPr="00477E1D">
              <w:rPr>
                <w:color w:val="auto"/>
                <w:szCs w:val="19"/>
              </w:rPr>
              <w:t>21</w:t>
            </w:r>
          </w:p>
        </w:tc>
        <w:tc>
          <w:tcPr>
            <w:tcW w:w="850" w:type="dxa"/>
            <w:vAlign w:val="center"/>
          </w:tcPr>
          <w:p w14:paraId="725BA950" w14:textId="77777777" w:rsidR="00407D0F" w:rsidRPr="002B48C8" w:rsidRDefault="00407D0F" w:rsidP="00B178E4">
            <w:pPr>
              <w:pStyle w:val="Tabletext"/>
              <w:ind w:left="0" w:right="0"/>
              <w:jc w:val="center"/>
              <w:rPr>
                <w:color w:val="FF0000"/>
                <w:szCs w:val="19"/>
              </w:rPr>
            </w:pPr>
            <w:r w:rsidRPr="002B48C8">
              <w:rPr>
                <w:iCs/>
                <w:color w:val="FF0000"/>
                <w:szCs w:val="19"/>
              </w:rPr>
              <w:t>26</w:t>
            </w:r>
          </w:p>
        </w:tc>
        <w:tc>
          <w:tcPr>
            <w:tcW w:w="851" w:type="dxa"/>
            <w:vAlign w:val="center"/>
          </w:tcPr>
          <w:p w14:paraId="417B498A" w14:textId="77777777" w:rsidR="00407D0F" w:rsidRPr="00477E1D" w:rsidRDefault="00407D0F" w:rsidP="00B178E4">
            <w:pPr>
              <w:pStyle w:val="Tabletext"/>
              <w:ind w:left="0" w:right="0"/>
              <w:jc w:val="center"/>
              <w:rPr>
                <w:color w:val="auto"/>
                <w:szCs w:val="19"/>
              </w:rPr>
            </w:pPr>
            <w:r w:rsidRPr="00477E1D">
              <w:rPr>
                <w:color w:val="auto"/>
                <w:szCs w:val="19"/>
              </w:rPr>
              <w:t>81</w:t>
            </w:r>
          </w:p>
        </w:tc>
        <w:tc>
          <w:tcPr>
            <w:tcW w:w="850" w:type="dxa"/>
            <w:vAlign w:val="center"/>
          </w:tcPr>
          <w:p w14:paraId="31C10721" w14:textId="77777777" w:rsidR="00407D0F" w:rsidRPr="00477E1D" w:rsidRDefault="00407D0F" w:rsidP="00B178E4">
            <w:pPr>
              <w:pStyle w:val="Tabletext"/>
              <w:ind w:left="0" w:right="0"/>
              <w:jc w:val="center"/>
              <w:rPr>
                <w:color w:val="auto"/>
                <w:szCs w:val="19"/>
              </w:rPr>
            </w:pPr>
            <w:r w:rsidRPr="00477E1D">
              <w:rPr>
                <w:color w:val="auto"/>
                <w:szCs w:val="19"/>
              </w:rPr>
              <w:t>15</w:t>
            </w:r>
          </w:p>
        </w:tc>
        <w:tc>
          <w:tcPr>
            <w:tcW w:w="851" w:type="dxa"/>
            <w:vAlign w:val="center"/>
          </w:tcPr>
          <w:p w14:paraId="553B4837" w14:textId="77777777" w:rsidR="00407D0F" w:rsidRPr="00477E1D" w:rsidRDefault="00407D0F" w:rsidP="00B178E4">
            <w:pPr>
              <w:pStyle w:val="Tabletext"/>
              <w:ind w:left="0" w:right="0"/>
              <w:jc w:val="center"/>
              <w:rPr>
                <w:color w:val="auto"/>
                <w:szCs w:val="19"/>
              </w:rPr>
            </w:pPr>
            <w:r w:rsidRPr="00477E1D">
              <w:rPr>
                <w:color w:val="auto"/>
                <w:szCs w:val="19"/>
              </w:rPr>
              <w:t>12</w:t>
            </w:r>
          </w:p>
        </w:tc>
        <w:tc>
          <w:tcPr>
            <w:tcW w:w="850" w:type="dxa"/>
            <w:vAlign w:val="center"/>
          </w:tcPr>
          <w:p w14:paraId="5E4E4DE8" w14:textId="77777777" w:rsidR="00407D0F" w:rsidRPr="002B48C8" w:rsidRDefault="00407D0F" w:rsidP="00B178E4">
            <w:pPr>
              <w:pStyle w:val="Tabletext"/>
              <w:ind w:left="0" w:right="0"/>
              <w:jc w:val="center"/>
              <w:rPr>
                <w:color w:val="FF0000"/>
                <w:szCs w:val="19"/>
              </w:rPr>
            </w:pPr>
            <w:r w:rsidRPr="002B48C8">
              <w:rPr>
                <w:iCs/>
                <w:color w:val="FF0000"/>
                <w:szCs w:val="19"/>
              </w:rPr>
              <w:t>34</w:t>
            </w:r>
          </w:p>
        </w:tc>
      </w:tr>
      <w:tr w:rsidR="00407D0F" w:rsidRPr="00EB1479" w14:paraId="4C6FA2AA" w14:textId="77777777" w:rsidTr="00DF6DE3">
        <w:trPr>
          <w:trHeight w:val="223"/>
        </w:trPr>
        <w:tc>
          <w:tcPr>
            <w:tcW w:w="595" w:type="dxa"/>
          </w:tcPr>
          <w:p w14:paraId="59C67633" w14:textId="77777777" w:rsidR="00407D0F" w:rsidRPr="00B178E4" w:rsidRDefault="00407D0F" w:rsidP="00B178E4">
            <w:pPr>
              <w:pStyle w:val="Tabletext"/>
              <w:ind w:left="0" w:right="0"/>
              <w:jc w:val="right"/>
              <w:rPr>
                <w:b/>
                <w:bCs/>
                <w:color w:val="auto"/>
                <w:szCs w:val="19"/>
                <w:lang w:val="en-US"/>
              </w:rPr>
            </w:pPr>
            <w:r w:rsidRPr="00B178E4">
              <w:rPr>
                <w:b/>
                <w:bCs/>
                <w:szCs w:val="19"/>
                <w:lang w:val="en-US"/>
              </w:rPr>
              <w:t>IC2</w:t>
            </w:r>
          </w:p>
        </w:tc>
        <w:tc>
          <w:tcPr>
            <w:tcW w:w="851" w:type="dxa"/>
            <w:vAlign w:val="center"/>
          </w:tcPr>
          <w:p w14:paraId="2DB170E6" w14:textId="77777777" w:rsidR="00407D0F" w:rsidRPr="00477E1D" w:rsidRDefault="00407D0F" w:rsidP="00B178E4">
            <w:pPr>
              <w:pStyle w:val="Tabletext"/>
              <w:ind w:left="0" w:right="0"/>
              <w:jc w:val="center"/>
              <w:rPr>
                <w:color w:val="auto"/>
                <w:szCs w:val="19"/>
              </w:rPr>
            </w:pPr>
            <w:r w:rsidRPr="00477E1D">
              <w:rPr>
                <w:color w:val="auto"/>
                <w:szCs w:val="19"/>
              </w:rPr>
              <w:t>19</w:t>
            </w:r>
          </w:p>
        </w:tc>
        <w:tc>
          <w:tcPr>
            <w:tcW w:w="850" w:type="dxa"/>
            <w:vAlign w:val="center"/>
          </w:tcPr>
          <w:p w14:paraId="0B44F063" w14:textId="77777777" w:rsidR="00407D0F" w:rsidRPr="00477E1D" w:rsidRDefault="00407D0F" w:rsidP="00B178E4">
            <w:pPr>
              <w:pStyle w:val="Tabletext"/>
              <w:ind w:left="0" w:right="0"/>
              <w:jc w:val="center"/>
              <w:rPr>
                <w:color w:val="auto"/>
                <w:szCs w:val="19"/>
              </w:rPr>
            </w:pPr>
            <w:r w:rsidRPr="00477E1D">
              <w:rPr>
                <w:color w:val="auto"/>
                <w:szCs w:val="19"/>
              </w:rPr>
              <w:t>8</w:t>
            </w:r>
          </w:p>
        </w:tc>
        <w:tc>
          <w:tcPr>
            <w:tcW w:w="851" w:type="dxa"/>
            <w:vAlign w:val="center"/>
          </w:tcPr>
          <w:p w14:paraId="6EC6CEB8" w14:textId="77777777" w:rsidR="00407D0F" w:rsidRPr="00477E1D" w:rsidRDefault="00407D0F" w:rsidP="00B178E4">
            <w:pPr>
              <w:pStyle w:val="Tabletext"/>
              <w:ind w:left="0" w:right="0"/>
              <w:jc w:val="center"/>
              <w:rPr>
                <w:color w:val="auto"/>
                <w:szCs w:val="19"/>
              </w:rPr>
            </w:pPr>
            <w:r w:rsidRPr="00477E1D">
              <w:rPr>
                <w:color w:val="auto"/>
                <w:szCs w:val="19"/>
              </w:rPr>
              <w:t>20</w:t>
            </w:r>
          </w:p>
        </w:tc>
        <w:tc>
          <w:tcPr>
            <w:tcW w:w="850" w:type="dxa"/>
            <w:vAlign w:val="center"/>
          </w:tcPr>
          <w:p w14:paraId="5BF550FE" w14:textId="77777777" w:rsidR="00407D0F" w:rsidRPr="002B48C8" w:rsidRDefault="00407D0F" w:rsidP="00B178E4">
            <w:pPr>
              <w:pStyle w:val="Tabletext"/>
              <w:ind w:left="0" w:right="0"/>
              <w:jc w:val="center"/>
              <w:rPr>
                <w:color w:val="FF0000"/>
                <w:szCs w:val="19"/>
              </w:rPr>
            </w:pPr>
            <w:r w:rsidRPr="002B48C8">
              <w:rPr>
                <w:iCs/>
                <w:color w:val="FF0000"/>
                <w:szCs w:val="19"/>
              </w:rPr>
              <w:t>32</w:t>
            </w:r>
          </w:p>
        </w:tc>
        <w:tc>
          <w:tcPr>
            <w:tcW w:w="851" w:type="dxa"/>
            <w:vAlign w:val="center"/>
          </w:tcPr>
          <w:p w14:paraId="6D310CB1" w14:textId="77777777" w:rsidR="00407D0F" w:rsidRPr="00477E1D" w:rsidRDefault="00407D0F" w:rsidP="00B178E4">
            <w:pPr>
              <w:pStyle w:val="Tabletext"/>
              <w:ind w:left="0" w:right="0"/>
              <w:jc w:val="center"/>
              <w:rPr>
                <w:color w:val="auto"/>
                <w:szCs w:val="19"/>
              </w:rPr>
            </w:pPr>
            <w:r w:rsidRPr="00477E1D">
              <w:rPr>
                <w:color w:val="auto"/>
                <w:szCs w:val="19"/>
              </w:rPr>
              <w:t>20</w:t>
            </w:r>
          </w:p>
        </w:tc>
        <w:tc>
          <w:tcPr>
            <w:tcW w:w="850" w:type="dxa"/>
            <w:vAlign w:val="center"/>
          </w:tcPr>
          <w:p w14:paraId="0DC0DC23" w14:textId="77777777" w:rsidR="00407D0F" w:rsidRPr="00477E1D" w:rsidRDefault="00407D0F" w:rsidP="00B178E4">
            <w:pPr>
              <w:pStyle w:val="Tabletext"/>
              <w:ind w:left="0" w:right="0"/>
              <w:jc w:val="center"/>
              <w:rPr>
                <w:color w:val="auto"/>
                <w:szCs w:val="19"/>
              </w:rPr>
            </w:pPr>
            <w:r w:rsidRPr="00477E1D">
              <w:rPr>
                <w:color w:val="auto"/>
                <w:szCs w:val="19"/>
              </w:rPr>
              <w:t>8</w:t>
            </w:r>
          </w:p>
        </w:tc>
        <w:tc>
          <w:tcPr>
            <w:tcW w:w="851" w:type="dxa"/>
            <w:vAlign w:val="center"/>
          </w:tcPr>
          <w:p w14:paraId="3AC9EBAE" w14:textId="77777777" w:rsidR="00407D0F" w:rsidRPr="00477E1D" w:rsidRDefault="00407D0F" w:rsidP="00B178E4">
            <w:pPr>
              <w:pStyle w:val="Tabletext"/>
              <w:ind w:left="0" w:right="0"/>
              <w:jc w:val="center"/>
              <w:rPr>
                <w:color w:val="auto"/>
                <w:szCs w:val="19"/>
              </w:rPr>
            </w:pPr>
            <w:r w:rsidRPr="00477E1D">
              <w:rPr>
                <w:color w:val="auto"/>
                <w:szCs w:val="19"/>
              </w:rPr>
              <w:t>19</w:t>
            </w:r>
          </w:p>
        </w:tc>
        <w:tc>
          <w:tcPr>
            <w:tcW w:w="850" w:type="dxa"/>
            <w:vAlign w:val="center"/>
          </w:tcPr>
          <w:p w14:paraId="6F633831" w14:textId="77777777" w:rsidR="00407D0F" w:rsidRPr="002B48C8" w:rsidRDefault="00407D0F" w:rsidP="00B178E4">
            <w:pPr>
              <w:pStyle w:val="Tabletext"/>
              <w:ind w:left="0" w:right="0"/>
              <w:jc w:val="center"/>
              <w:rPr>
                <w:color w:val="FF0000"/>
                <w:szCs w:val="19"/>
              </w:rPr>
            </w:pPr>
            <w:r w:rsidRPr="002B48C8">
              <w:rPr>
                <w:iCs/>
                <w:color w:val="FF0000"/>
                <w:szCs w:val="19"/>
              </w:rPr>
              <w:t>15</w:t>
            </w:r>
          </w:p>
        </w:tc>
      </w:tr>
      <w:tr w:rsidR="00407D0F" w:rsidRPr="00EB1479" w14:paraId="5C99C685" w14:textId="77777777" w:rsidTr="00DF6DE3">
        <w:trPr>
          <w:trHeight w:val="223"/>
        </w:trPr>
        <w:tc>
          <w:tcPr>
            <w:tcW w:w="595" w:type="dxa"/>
          </w:tcPr>
          <w:p w14:paraId="71C03F21" w14:textId="77777777" w:rsidR="00407D0F" w:rsidRPr="00B178E4" w:rsidRDefault="00407D0F" w:rsidP="00B178E4">
            <w:pPr>
              <w:pStyle w:val="Tabletext"/>
              <w:ind w:left="0" w:right="0"/>
              <w:jc w:val="right"/>
              <w:rPr>
                <w:b/>
                <w:bCs/>
                <w:color w:val="auto"/>
                <w:szCs w:val="19"/>
                <w:lang w:val="en-US"/>
              </w:rPr>
            </w:pPr>
            <w:r w:rsidRPr="00B178E4">
              <w:rPr>
                <w:b/>
                <w:bCs/>
                <w:szCs w:val="19"/>
                <w:lang w:val="en-US"/>
              </w:rPr>
              <w:t>IC3</w:t>
            </w:r>
          </w:p>
        </w:tc>
        <w:tc>
          <w:tcPr>
            <w:tcW w:w="851" w:type="dxa"/>
            <w:vAlign w:val="center"/>
          </w:tcPr>
          <w:p w14:paraId="7742B9FD" w14:textId="77777777" w:rsidR="00407D0F" w:rsidRPr="002B48C8" w:rsidRDefault="00407D0F" w:rsidP="00B178E4">
            <w:pPr>
              <w:pStyle w:val="Tabletext"/>
              <w:ind w:left="0" w:right="0"/>
              <w:jc w:val="center"/>
              <w:rPr>
                <w:color w:val="FF0000"/>
                <w:szCs w:val="19"/>
              </w:rPr>
            </w:pPr>
            <w:r w:rsidRPr="002B48C8">
              <w:rPr>
                <w:iCs/>
                <w:color w:val="FF0000"/>
                <w:szCs w:val="19"/>
              </w:rPr>
              <w:t>14</w:t>
            </w:r>
          </w:p>
        </w:tc>
        <w:tc>
          <w:tcPr>
            <w:tcW w:w="850" w:type="dxa"/>
            <w:vAlign w:val="center"/>
          </w:tcPr>
          <w:p w14:paraId="55E6196B" w14:textId="77777777" w:rsidR="00407D0F" w:rsidRPr="002B48C8" w:rsidRDefault="00407D0F" w:rsidP="00B178E4">
            <w:pPr>
              <w:pStyle w:val="Tabletext"/>
              <w:ind w:left="0" w:right="0"/>
              <w:jc w:val="center"/>
              <w:rPr>
                <w:color w:val="FF0000"/>
                <w:szCs w:val="19"/>
              </w:rPr>
            </w:pPr>
            <w:r w:rsidRPr="002B48C8">
              <w:rPr>
                <w:iCs/>
                <w:color w:val="FF0000"/>
                <w:szCs w:val="19"/>
              </w:rPr>
              <w:t>6</w:t>
            </w:r>
          </w:p>
        </w:tc>
        <w:tc>
          <w:tcPr>
            <w:tcW w:w="851" w:type="dxa"/>
            <w:vAlign w:val="center"/>
          </w:tcPr>
          <w:p w14:paraId="7769F71C" w14:textId="77777777" w:rsidR="00407D0F" w:rsidRPr="002B48C8" w:rsidRDefault="00407D0F" w:rsidP="00B178E4">
            <w:pPr>
              <w:pStyle w:val="Tabletext"/>
              <w:ind w:left="0" w:right="0"/>
              <w:jc w:val="center"/>
              <w:rPr>
                <w:color w:val="FF0000"/>
                <w:szCs w:val="19"/>
              </w:rPr>
            </w:pPr>
            <w:r w:rsidRPr="002B48C8">
              <w:rPr>
                <w:iCs/>
                <w:color w:val="FF0000"/>
                <w:szCs w:val="19"/>
              </w:rPr>
              <w:t>14</w:t>
            </w:r>
          </w:p>
        </w:tc>
        <w:tc>
          <w:tcPr>
            <w:tcW w:w="850" w:type="dxa"/>
            <w:vAlign w:val="center"/>
          </w:tcPr>
          <w:p w14:paraId="3739D3D3" w14:textId="77777777" w:rsidR="00407D0F" w:rsidRPr="002B48C8" w:rsidRDefault="00407D0F" w:rsidP="00B178E4">
            <w:pPr>
              <w:pStyle w:val="Tabletext"/>
              <w:ind w:left="0" w:right="0"/>
              <w:jc w:val="center"/>
              <w:rPr>
                <w:color w:val="FF0000"/>
                <w:szCs w:val="19"/>
              </w:rPr>
            </w:pPr>
            <w:r w:rsidRPr="002B48C8">
              <w:rPr>
                <w:iCs/>
                <w:color w:val="FF0000"/>
                <w:szCs w:val="19"/>
              </w:rPr>
              <w:t>8</w:t>
            </w:r>
          </w:p>
        </w:tc>
        <w:tc>
          <w:tcPr>
            <w:tcW w:w="851" w:type="dxa"/>
            <w:vAlign w:val="center"/>
          </w:tcPr>
          <w:p w14:paraId="408019CC" w14:textId="77777777" w:rsidR="00407D0F" w:rsidRPr="002B48C8" w:rsidRDefault="00407D0F" w:rsidP="00B178E4">
            <w:pPr>
              <w:pStyle w:val="Tabletext"/>
              <w:ind w:left="0" w:right="0"/>
              <w:jc w:val="center"/>
              <w:rPr>
                <w:color w:val="FF0000"/>
                <w:szCs w:val="19"/>
              </w:rPr>
            </w:pPr>
            <w:r w:rsidRPr="002B48C8">
              <w:rPr>
                <w:iCs/>
                <w:color w:val="FF0000"/>
                <w:szCs w:val="19"/>
              </w:rPr>
              <w:t>15</w:t>
            </w:r>
          </w:p>
        </w:tc>
        <w:tc>
          <w:tcPr>
            <w:tcW w:w="850" w:type="dxa"/>
            <w:vAlign w:val="center"/>
          </w:tcPr>
          <w:p w14:paraId="0D6A8047" w14:textId="77777777" w:rsidR="00407D0F" w:rsidRPr="002B48C8" w:rsidRDefault="00407D0F" w:rsidP="00B178E4">
            <w:pPr>
              <w:pStyle w:val="Tabletext"/>
              <w:ind w:left="0" w:right="0"/>
              <w:jc w:val="center"/>
              <w:rPr>
                <w:color w:val="FF0000"/>
                <w:szCs w:val="19"/>
              </w:rPr>
            </w:pPr>
            <w:r w:rsidRPr="002B48C8">
              <w:rPr>
                <w:iCs/>
                <w:color w:val="FF0000"/>
                <w:szCs w:val="19"/>
              </w:rPr>
              <w:t>8</w:t>
            </w:r>
          </w:p>
        </w:tc>
        <w:tc>
          <w:tcPr>
            <w:tcW w:w="851" w:type="dxa"/>
            <w:vAlign w:val="center"/>
          </w:tcPr>
          <w:p w14:paraId="49C7DD1D" w14:textId="77777777" w:rsidR="00407D0F" w:rsidRPr="002B48C8" w:rsidRDefault="00407D0F" w:rsidP="00B178E4">
            <w:pPr>
              <w:pStyle w:val="Tabletext"/>
              <w:ind w:left="0" w:right="0"/>
              <w:jc w:val="center"/>
              <w:rPr>
                <w:color w:val="FF0000"/>
                <w:szCs w:val="19"/>
              </w:rPr>
            </w:pPr>
            <w:r w:rsidRPr="002B48C8">
              <w:rPr>
                <w:iCs/>
                <w:color w:val="FF0000"/>
                <w:szCs w:val="19"/>
              </w:rPr>
              <w:t>27</w:t>
            </w:r>
          </w:p>
        </w:tc>
        <w:tc>
          <w:tcPr>
            <w:tcW w:w="850" w:type="dxa"/>
            <w:vAlign w:val="center"/>
          </w:tcPr>
          <w:p w14:paraId="137A79A7" w14:textId="77777777" w:rsidR="00407D0F" w:rsidRPr="002B48C8" w:rsidRDefault="00407D0F" w:rsidP="00B178E4">
            <w:pPr>
              <w:pStyle w:val="Tabletext"/>
              <w:ind w:left="0" w:right="0"/>
              <w:jc w:val="center"/>
              <w:rPr>
                <w:color w:val="FF0000"/>
                <w:szCs w:val="19"/>
              </w:rPr>
            </w:pPr>
            <w:r w:rsidRPr="002B48C8">
              <w:rPr>
                <w:iCs/>
                <w:color w:val="FF0000"/>
                <w:szCs w:val="19"/>
              </w:rPr>
              <w:t>14</w:t>
            </w:r>
          </w:p>
        </w:tc>
      </w:tr>
      <w:tr w:rsidR="00407D0F" w:rsidRPr="00EB1479" w14:paraId="4C396FD0" w14:textId="77777777" w:rsidTr="00DF6DE3">
        <w:trPr>
          <w:trHeight w:val="223"/>
        </w:trPr>
        <w:tc>
          <w:tcPr>
            <w:tcW w:w="7399" w:type="dxa"/>
            <w:gridSpan w:val="9"/>
          </w:tcPr>
          <w:p w14:paraId="1261C7C4" w14:textId="77777777" w:rsidR="00407D0F" w:rsidRPr="00B178E4" w:rsidRDefault="00407D0F" w:rsidP="00B178E4">
            <w:pPr>
              <w:rPr>
                <w:b/>
              </w:rPr>
            </w:pPr>
            <w:r w:rsidRPr="00B178E4">
              <w:rPr>
                <w:b/>
                <w:color w:val="auto"/>
                <w:sz w:val="20"/>
                <w:szCs w:val="22"/>
              </w:rPr>
              <w:t>Percentage (of TC category)</w:t>
            </w:r>
          </w:p>
        </w:tc>
      </w:tr>
      <w:tr w:rsidR="00B178E4" w:rsidRPr="00697281" w14:paraId="23F3E4A3" w14:textId="77777777" w:rsidTr="00DF6DE3">
        <w:tblPrEx>
          <w:tblCellMar>
            <w:left w:w="108" w:type="dxa"/>
            <w:right w:w="108" w:type="dxa"/>
          </w:tblCellMar>
          <w:tblLook w:val="04A0" w:firstRow="1" w:lastRow="0" w:firstColumn="1" w:lastColumn="0" w:noHBand="0" w:noVBand="1"/>
        </w:tblPrEx>
        <w:trPr>
          <w:trHeight w:val="223"/>
        </w:trPr>
        <w:tc>
          <w:tcPr>
            <w:tcW w:w="595" w:type="dxa"/>
          </w:tcPr>
          <w:p w14:paraId="52834E96" w14:textId="77777777" w:rsidR="00407D0F" w:rsidRPr="00B178E4" w:rsidRDefault="00407D0F" w:rsidP="00B178E4">
            <w:pPr>
              <w:pStyle w:val="Tabletext"/>
              <w:ind w:left="0" w:right="0"/>
              <w:jc w:val="right"/>
              <w:rPr>
                <w:b/>
                <w:bCs/>
                <w:color w:val="auto"/>
                <w:szCs w:val="19"/>
                <w:lang w:val="en-US"/>
              </w:rPr>
            </w:pPr>
            <w:r w:rsidRPr="00B178E4">
              <w:rPr>
                <w:b/>
                <w:bCs/>
                <w:szCs w:val="19"/>
                <w:lang w:val="en-US"/>
              </w:rPr>
              <w:t>IC0</w:t>
            </w:r>
          </w:p>
        </w:tc>
        <w:tc>
          <w:tcPr>
            <w:tcW w:w="851" w:type="dxa"/>
            <w:shd w:val="clear" w:color="000000" w:fill="FFFAEB"/>
            <w:vAlign w:val="bottom"/>
          </w:tcPr>
          <w:p w14:paraId="126AAA09" w14:textId="77777777" w:rsidR="00407D0F" w:rsidRPr="00477E1D" w:rsidRDefault="00407D0F" w:rsidP="000741BA">
            <w:pPr>
              <w:pStyle w:val="Tabletext"/>
              <w:ind w:left="0" w:right="0"/>
              <w:rPr>
                <w:color w:val="auto"/>
                <w:szCs w:val="19"/>
              </w:rPr>
            </w:pPr>
            <w:r w:rsidRPr="00477E1D">
              <w:rPr>
                <w:color w:val="000000"/>
                <w:szCs w:val="19"/>
              </w:rPr>
              <w:t>8%</w:t>
            </w:r>
          </w:p>
        </w:tc>
        <w:tc>
          <w:tcPr>
            <w:tcW w:w="850" w:type="dxa"/>
            <w:shd w:val="clear" w:color="000000" w:fill="FFFCEF"/>
            <w:vAlign w:val="bottom"/>
          </w:tcPr>
          <w:p w14:paraId="2109D112" w14:textId="77777777" w:rsidR="00407D0F" w:rsidRPr="00477E1D" w:rsidRDefault="00407D0F" w:rsidP="000741BA">
            <w:pPr>
              <w:pStyle w:val="Tabletext"/>
              <w:ind w:left="0" w:right="0"/>
              <w:rPr>
                <w:color w:val="auto"/>
                <w:szCs w:val="19"/>
              </w:rPr>
            </w:pPr>
            <w:r w:rsidRPr="00477E1D">
              <w:rPr>
                <w:color w:val="000000"/>
                <w:szCs w:val="19"/>
              </w:rPr>
              <w:t>6%</w:t>
            </w:r>
          </w:p>
        </w:tc>
        <w:tc>
          <w:tcPr>
            <w:tcW w:w="851" w:type="dxa"/>
            <w:shd w:val="clear" w:color="000000" w:fill="FFFFFF"/>
            <w:vAlign w:val="bottom"/>
          </w:tcPr>
          <w:p w14:paraId="10A6630D" w14:textId="77777777" w:rsidR="00407D0F" w:rsidRPr="00477E1D" w:rsidRDefault="00407D0F" w:rsidP="000741BA">
            <w:pPr>
              <w:pStyle w:val="Tabletext"/>
              <w:ind w:left="0" w:right="0"/>
              <w:rPr>
                <w:color w:val="auto"/>
                <w:szCs w:val="19"/>
              </w:rPr>
            </w:pPr>
            <w:r w:rsidRPr="00477E1D">
              <w:rPr>
                <w:color w:val="000000"/>
                <w:szCs w:val="19"/>
              </w:rPr>
              <w:t>0%</w:t>
            </w:r>
          </w:p>
        </w:tc>
        <w:tc>
          <w:tcPr>
            <w:tcW w:w="850" w:type="dxa"/>
            <w:shd w:val="clear" w:color="000000" w:fill="FFF9E7"/>
            <w:vAlign w:val="bottom"/>
          </w:tcPr>
          <w:p w14:paraId="5A32B673" w14:textId="77777777" w:rsidR="00407D0F" w:rsidRPr="009F3145" w:rsidRDefault="00407D0F" w:rsidP="000741BA">
            <w:pPr>
              <w:pStyle w:val="Tabletext"/>
              <w:ind w:left="0" w:right="0"/>
              <w:rPr>
                <w:color w:val="FF0000"/>
                <w:szCs w:val="19"/>
              </w:rPr>
            </w:pPr>
            <w:r w:rsidRPr="009F3145">
              <w:rPr>
                <w:color w:val="FF0000"/>
                <w:szCs w:val="19"/>
              </w:rPr>
              <w:t>10%</w:t>
            </w:r>
          </w:p>
        </w:tc>
        <w:tc>
          <w:tcPr>
            <w:tcW w:w="851" w:type="dxa"/>
            <w:shd w:val="clear" w:color="000000" w:fill="FFFDF7"/>
            <w:vAlign w:val="bottom"/>
          </w:tcPr>
          <w:p w14:paraId="668E339D" w14:textId="77777777" w:rsidR="00407D0F" w:rsidRPr="00477E1D" w:rsidRDefault="00407D0F" w:rsidP="000741BA">
            <w:pPr>
              <w:pStyle w:val="Tabletext"/>
              <w:ind w:left="0" w:right="0"/>
              <w:rPr>
                <w:color w:val="auto"/>
                <w:szCs w:val="19"/>
              </w:rPr>
            </w:pPr>
            <w:r w:rsidRPr="00477E1D">
              <w:rPr>
                <w:color w:val="000000"/>
                <w:szCs w:val="19"/>
              </w:rPr>
              <w:t>3%</w:t>
            </w:r>
          </w:p>
        </w:tc>
        <w:tc>
          <w:tcPr>
            <w:tcW w:w="850" w:type="dxa"/>
            <w:shd w:val="clear" w:color="000000" w:fill="FFFEF7"/>
            <w:vAlign w:val="bottom"/>
          </w:tcPr>
          <w:p w14:paraId="785F0611" w14:textId="77777777" w:rsidR="00407D0F" w:rsidRPr="00477E1D" w:rsidRDefault="00407D0F" w:rsidP="000741BA">
            <w:pPr>
              <w:pStyle w:val="Tabletext"/>
              <w:ind w:left="0" w:right="0"/>
              <w:rPr>
                <w:color w:val="auto"/>
                <w:szCs w:val="19"/>
              </w:rPr>
            </w:pPr>
            <w:r w:rsidRPr="00477E1D">
              <w:rPr>
                <w:color w:val="000000"/>
                <w:szCs w:val="19"/>
              </w:rPr>
              <w:t>3%</w:t>
            </w:r>
          </w:p>
        </w:tc>
        <w:tc>
          <w:tcPr>
            <w:tcW w:w="851" w:type="dxa"/>
            <w:shd w:val="clear" w:color="000000" w:fill="FFFEFB"/>
            <w:vAlign w:val="bottom"/>
          </w:tcPr>
          <w:p w14:paraId="7078B9ED" w14:textId="77777777" w:rsidR="00407D0F" w:rsidRPr="00477E1D" w:rsidRDefault="00407D0F" w:rsidP="000741BA">
            <w:pPr>
              <w:pStyle w:val="Tabletext"/>
              <w:ind w:left="0" w:right="0"/>
              <w:rPr>
                <w:color w:val="auto"/>
                <w:szCs w:val="19"/>
              </w:rPr>
            </w:pPr>
            <w:r w:rsidRPr="00477E1D">
              <w:rPr>
                <w:color w:val="000000"/>
                <w:szCs w:val="19"/>
              </w:rPr>
              <w:t>2%</w:t>
            </w:r>
          </w:p>
        </w:tc>
        <w:tc>
          <w:tcPr>
            <w:tcW w:w="850" w:type="dxa"/>
            <w:shd w:val="clear" w:color="000000" w:fill="FFF6D9"/>
            <w:vAlign w:val="bottom"/>
          </w:tcPr>
          <w:p w14:paraId="6281ADC2" w14:textId="77777777" w:rsidR="00407D0F" w:rsidRPr="009F3145" w:rsidRDefault="00407D0F" w:rsidP="000741BA">
            <w:pPr>
              <w:pStyle w:val="Tabletext"/>
              <w:ind w:left="0" w:right="0"/>
              <w:rPr>
                <w:color w:val="FF0000"/>
                <w:szCs w:val="19"/>
              </w:rPr>
            </w:pPr>
            <w:r w:rsidRPr="009F3145">
              <w:rPr>
                <w:color w:val="FF0000"/>
                <w:szCs w:val="19"/>
              </w:rPr>
              <w:t>15%</w:t>
            </w:r>
          </w:p>
        </w:tc>
      </w:tr>
      <w:tr w:rsidR="00B178E4" w:rsidRPr="00697281" w14:paraId="10DA70A1" w14:textId="77777777" w:rsidTr="00DF6DE3">
        <w:tblPrEx>
          <w:tblCellMar>
            <w:left w:w="108" w:type="dxa"/>
            <w:right w:w="108" w:type="dxa"/>
          </w:tblCellMar>
          <w:tblLook w:val="04A0" w:firstRow="1" w:lastRow="0" w:firstColumn="1" w:lastColumn="0" w:noHBand="0" w:noVBand="1"/>
        </w:tblPrEx>
        <w:trPr>
          <w:trHeight w:val="223"/>
        </w:trPr>
        <w:tc>
          <w:tcPr>
            <w:tcW w:w="595" w:type="dxa"/>
          </w:tcPr>
          <w:p w14:paraId="5E97100A" w14:textId="77777777" w:rsidR="00407D0F" w:rsidRPr="00B178E4" w:rsidRDefault="00407D0F" w:rsidP="00B178E4">
            <w:pPr>
              <w:pStyle w:val="Tabletext"/>
              <w:ind w:left="0" w:right="0"/>
              <w:jc w:val="right"/>
              <w:rPr>
                <w:b/>
                <w:bCs/>
                <w:color w:val="auto"/>
                <w:szCs w:val="19"/>
                <w:lang w:val="en-US"/>
              </w:rPr>
            </w:pPr>
            <w:r w:rsidRPr="00B178E4">
              <w:rPr>
                <w:b/>
                <w:bCs/>
                <w:szCs w:val="19"/>
                <w:lang w:val="en-US"/>
              </w:rPr>
              <w:t>IC1</w:t>
            </w:r>
          </w:p>
        </w:tc>
        <w:tc>
          <w:tcPr>
            <w:tcW w:w="851" w:type="dxa"/>
            <w:shd w:val="clear" w:color="000000" w:fill="FFD554"/>
            <w:vAlign w:val="bottom"/>
          </w:tcPr>
          <w:p w14:paraId="644F2CC4" w14:textId="77777777" w:rsidR="00407D0F" w:rsidRPr="00477E1D" w:rsidRDefault="00407D0F" w:rsidP="000741BA">
            <w:pPr>
              <w:pStyle w:val="Tabletext"/>
              <w:ind w:left="0" w:right="0"/>
              <w:rPr>
                <w:color w:val="auto"/>
                <w:szCs w:val="19"/>
              </w:rPr>
            </w:pPr>
            <w:r w:rsidRPr="00477E1D">
              <w:rPr>
                <w:color w:val="000000"/>
                <w:szCs w:val="19"/>
              </w:rPr>
              <w:t>66%</w:t>
            </w:r>
          </w:p>
        </w:tc>
        <w:tc>
          <w:tcPr>
            <w:tcW w:w="850" w:type="dxa"/>
            <w:shd w:val="clear" w:color="000000" w:fill="FFE07E"/>
            <w:vAlign w:val="bottom"/>
          </w:tcPr>
          <w:p w14:paraId="4C7552F0" w14:textId="77777777" w:rsidR="00407D0F" w:rsidRPr="00477E1D" w:rsidRDefault="00407D0F" w:rsidP="000741BA">
            <w:pPr>
              <w:pStyle w:val="Tabletext"/>
              <w:ind w:left="0" w:right="0"/>
              <w:rPr>
                <w:color w:val="auto"/>
                <w:szCs w:val="19"/>
              </w:rPr>
            </w:pPr>
            <w:r w:rsidRPr="00477E1D">
              <w:rPr>
                <w:color w:val="000000"/>
                <w:szCs w:val="19"/>
              </w:rPr>
              <w:t>50%</w:t>
            </w:r>
          </w:p>
        </w:tc>
        <w:tc>
          <w:tcPr>
            <w:tcW w:w="851" w:type="dxa"/>
            <w:shd w:val="clear" w:color="000000" w:fill="FFE79D"/>
            <w:vAlign w:val="bottom"/>
          </w:tcPr>
          <w:p w14:paraId="4BFBA511" w14:textId="77777777" w:rsidR="00407D0F" w:rsidRPr="00477E1D" w:rsidRDefault="00407D0F" w:rsidP="000741BA">
            <w:pPr>
              <w:pStyle w:val="Tabletext"/>
              <w:ind w:left="0" w:right="0"/>
              <w:rPr>
                <w:color w:val="auto"/>
                <w:szCs w:val="19"/>
              </w:rPr>
            </w:pPr>
            <w:r w:rsidRPr="00477E1D">
              <w:rPr>
                <w:color w:val="000000"/>
                <w:szCs w:val="19"/>
              </w:rPr>
              <w:t>38%</w:t>
            </w:r>
          </w:p>
        </w:tc>
        <w:tc>
          <w:tcPr>
            <w:tcW w:w="850" w:type="dxa"/>
            <w:shd w:val="clear" w:color="000000" w:fill="FFE9A3"/>
            <w:vAlign w:val="bottom"/>
          </w:tcPr>
          <w:p w14:paraId="0FF85BE3" w14:textId="77777777" w:rsidR="00407D0F" w:rsidRPr="009F3145" w:rsidRDefault="00407D0F" w:rsidP="000741BA">
            <w:pPr>
              <w:pStyle w:val="Tabletext"/>
              <w:ind w:left="0" w:right="0"/>
              <w:rPr>
                <w:color w:val="FF0000"/>
                <w:szCs w:val="19"/>
              </w:rPr>
            </w:pPr>
            <w:r w:rsidRPr="009F3145">
              <w:rPr>
                <w:color w:val="FF0000"/>
                <w:szCs w:val="19"/>
              </w:rPr>
              <w:t>36%</w:t>
            </w:r>
          </w:p>
        </w:tc>
        <w:tc>
          <w:tcPr>
            <w:tcW w:w="851" w:type="dxa"/>
            <w:shd w:val="clear" w:color="000000" w:fill="FFD451"/>
            <w:vAlign w:val="bottom"/>
          </w:tcPr>
          <w:p w14:paraId="45E9DDB8" w14:textId="77777777" w:rsidR="00407D0F" w:rsidRPr="00477E1D" w:rsidRDefault="00407D0F" w:rsidP="000741BA">
            <w:pPr>
              <w:pStyle w:val="Tabletext"/>
              <w:ind w:left="0" w:right="0"/>
              <w:rPr>
                <w:color w:val="auto"/>
                <w:szCs w:val="19"/>
              </w:rPr>
            </w:pPr>
            <w:r w:rsidRPr="00477E1D">
              <w:rPr>
                <w:color w:val="000000"/>
                <w:szCs w:val="19"/>
              </w:rPr>
              <w:t>68%</w:t>
            </w:r>
          </w:p>
        </w:tc>
        <w:tc>
          <w:tcPr>
            <w:tcW w:w="850" w:type="dxa"/>
            <w:shd w:val="clear" w:color="000000" w:fill="FFE286"/>
            <w:vAlign w:val="bottom"/>
          </w:tcPr>
          <w:p w14:paraId="37EBB5E9" w14:textId="77777777" w:rsidR="00407D0F" w:rsidRPr="00477E1D" w:rsidRDefault="00407D0F" w:rsidP="000741BA">
            <w:pPr>
              <w:pStyle w:val="Tabletext"/>
              <w:ind w:left="0" w:right="0"/>
              <w:rPr>
                <w:color w:val="auto"/>
                <w:szCs w:val="19"/>
              </w:rPr>
            </w:pPr>
            <w:r w:rsidRPr="00477E1D">
              <w:rPr>
                <w:color w:val="000000"/>
                <w:szCs w:val="19"/>
              </w:rPr>
              <w:t>47%</w:t>
            </w:r>
          </w:p>
        </w:tc>
        <w:tc>
          <w:tcPr>
            <w:tcW w:w="851" w:type="dxa"/>
            <w:shd w:val="clear" w:color="000000" w:fill="FFF3CB"/>
            <w:vAlign w:val="bottom"/>
          </w:tcPr>
          <w:p w14:paraId="68AE6BDB" w14:textId="77777777" w:rsidR="00407D0F" w:rsidRPr="00477E1D" w:rsidRDefault="00407D0F" w:rsidP="000741BA">
            <w:pPr>
              <w:pStyle w:val="Tabletext"/>
              <w:ind w:left="0" w:right="0"/>
              <w:rPr>
                <w:color w:val="auto"/>
                <w:szCs w:val="19"/>
              </w:rPr>
            </w:pPr>
            <w:r w:rsidRPr="00477E1D">
              <w:rPr>
                <w:color w:val="000000"/>
                <w:szCs w:val="19"/>
              </w:rPr>
              <w:t>20%</w:t>
            </w:r>
          </w:p>
        </w:tc>
        <w:tc>
          <w:tcPr>
            <w:tcW w:w="850" w:type="dxa"/>
            <w:shd w:val="clear" w:color="000000" w:fill="FFE289"/>
            <w:vAlign w:val="bottom"/>
          </w:tcPr>
          <w:p w14:paraId="066CA3F4" w14:textId="77777777" w:rsidR="00407D0F" w:rsidRPr="009F3145" w:rsidRDefault="00407D0F" w:rsidP="000741BA">
            <w:pPr>
              <w:pStyle w:val="Tabletext"/>
              <w:ind w:left="0" w:right="0"/>
              <w:rPr>
                <w:color w:val="FF0000"/>
                <w:szCs w:val="19"/>
              </w:rPr>
            </w:pPr>
            <w:r w:rsidRPr="009F3145">
              <w:rPr>
                <w:color w:val="FF0000"/>
                <w:szCs w:val="19"/>
              </w:rPr>
              <w:t>46%</w:t>
            </w:r>
          </w:p>
        </w:tc>
      </w:tr>
      <w:tr w:rsidR="00B178E4" w:rsidRPr="00697281" w14:paraId="2163F127" w14:textId="77777777" w:rsidTr="00DF6DE3">
        <w:tblPrEx>
          <w:tblCellMar>
            <w:left w:w="108" w:type="dxa"/>
            <w:right w:w="108" w:type="dxa"/>
          </w:tblCellMar>
          <w:tblLook w:val="04A0" w:firstRow="1" w:lastRow="0" w:firstColumn="1" w:lastColumn="0" w:noHBand="0" w:noVBand="1"/>
        </w:tblPrEx>
        <w:trPr>
          <w:trHeight w:val="223"/>
        </w:trPr>
        <w:tc>
          <w:tcPr>
            <w:tcW w:w="595" w:type="dxa"/>
          </w:tcPr>
          <w:p w14:paraId="271F91AE" w14:textId="77777777" w:rsidR="00407D0F" w:rsidRPr="00B178E4" w:rsidRDefault="00407D0F" w:rsidP="00B178E4">
            <w:pPr>
              <w:pStyle w:val="Tabletext"/>
              <w:ind w:left="0" w:right="0"/>
              <w:jc w:val="right"/>
              <w:rPr>
                <w:b/>
                <w:bCs/>
                <w:color w:val="auto"/>
                <w:szCs w:val="19"/>
                <w:lang w:val="en-US"/>
              </w:rPr>
            </w:pPr>
            <w:r w:rsidRPr="00B178E4">
              <w:rPr>
                <w:b/>
                <w:bCs/>
                <w:szCs w:val="19"/>
                <w:lang w:val="en-US"/>
              </w:rPr>
              <w:t>IC2</w:t>
            </w:r>
          </w:p>
        </w:tc>
        <w:tc>
          <w:tcPr>
            <w:tcW w:w="851" w:type="dxa"/>
            <w:shd w:val="clear" w:color="000000" w:fill="FFF6D9"/>
            <w:vAlign w:val="bottom"/>
          </w:tcPr>
          <w:p w14:paraId="012474BD" w14:textId="77777777" w:rsidR="00407D0F" w:rsidRPr="00477E1D" w:rsidRDefault="00407D0F" w:rsidP="000741BA">
            <w:pPr>
              <w:pStyle w:val="Tabletext"/>
              <w:ind w:left="0" w:right="0"/>
              <w:rPr>
                <w:color w:val="auto"/>
                <w:szCs w:val="19"/>
              </w:rPr>
            </w:pPr>
            <w:r w:rsidRPr="00477E1D">
              <w:rPr>
                <w:color w:val="000000"/>
                <w:szCs w:val="19"/>
              </w:rPr>
              <w:t>15%</w:t>
            </w:r>
          </w:p>
        </w:tc>
        <w:tc>
          <w:tcPr>
            <w:tcW w:w="850" w:type="dxa"/>
            <w:shd w:val="clear" w:color="000000" w:fill="FFF0BF"/>
            <w:vAlign w:val="bottom"/>
          </w:tcPr>
          <w:p w14:paraId="6E9F36CC" w14:textId="77777777" w:rsidR="00407D0F" w:rsidRPr="00477E1D" w:rsidRDefault="00407D0F" w:rsidP="000741BA">
            <w:pPr>
              <w:pStyle w:val="Tabletext"/>
              <w:ind w:left="0" w:right="0"/>
              <w:rPr>
                <w:color w:val="auto"/>
                <w:szCs w:val="19"/>
              </w:rPr>
            </w:pPr>
            <w:r w:rsidRPr="00477E1D">
              <w:rPr>
                <w:color w:val="000000"/>
                <w:szCs w:val="19"/>
              </w:rPr>
              <w:t>25%</w:t>
            </w:r>
          </w:p>
        </w:tc>
        <w:tc>
          <w:tcPr>
            <w:tcW w:w="851" w:type="dxa"/>
            <w:shd w:val="clear" w:color="000000" w:fill="FFE8A1"/>
            <w:vAlign w:val="bottom"/>
          </w:tcPr>
          <w:p w14:paraId="6D061C88" w14:textId="77777777" w:rsidR="00407D0F" w:rsidRPr="00477E1D" w:rsidRDefault="00407D0F" w:rsidP="000741BA">
            <w:pPr>
              <w:pStyle w:val="Tabletext"/>
              <w:ind w:left="0" w:right="0"/>
              <w:rPr>
                <w:color w:val="auto"/>
                <w:szCs w:val="19"/>
              </w:rPr>
            </w:pPr>
            <w:r w:rsidRPr="00477E1D">
              <w:rPr>
                <w:color w:val="000000"/>
                <w:szCs w:val="19"/>
              </w:rPr>
              <w:t>36%</w:t>
            </w:r>
          </w:p>
        </w:tc>
        <w:tc>
          <w:tcPr>
            <w:tcW w:w="850" w:type="dxa"/>
            <w:shd w:val="clear" w:color="000000" w:fill="FFE38E"/>
            <w:vAlign w:val="bottom"/>
          </w:tcPr>
          <w:p w14:paraId="1E816C7E" w14:textId="77777777" w:rsidR="00407D0F" w:rsidRPr="009F3145" w:rsidRDefault="00407D0F" w:rsidP="000741BA">
            <w:pPr>
              <w:pStyle w:val="Tabletext"/>
              <w:ind w:left="0" w:right="0"/>
              <w:rPr>
                <w:color w:val="FF0000"/>
                <w:szCs w:val="19"/>
              </w:rPr>
            </w:pPr>
            <w:r w:rsidRPr="009F3145">
              <w:rPr>
                <w:color w:val="FF0000"/>
                <w:szCs w:val="19"/>
              </w:rPr>
              <w:t>44%</w:t>
            </w:r>
          </w:p>
        </w:tc>
        <w:tc>
          <w:tcPr>
            <w:tcW w:w="851" w:type="dxa"/>
            <w:shd w:val="clear" w:color="000000" w:fill="FFF5D4"/>
            <w:vAlign w:val="bottom"/>
          </w:tcPr>
          <w:p w14:paraId="662BE494" w14:textId="77777777" w:rsidR="00407D0F" w:rsidRPr="00477E1D" w:rsidRDefault="00407D0F" w:rsidP="000741BA">
            <w:pPr>
              <w:pStyle w:val="Tabletext"/>
              <w:ind w:left="0" w:right="0"/>
              <w:rPr>
                <w:color w:val="auto"/>
                <w:szCs w:val="19"/>
              </w:rPr>
            </w:pPr>
            <w:r w:rsidRPr="00477E1D">
              <w:rPr>
                <w:color w:val="000000"/>
                <w:szCs w:val="19"/>
              </w:rPr>
              <w:t>17%</w:t>
            </w:r>
          </w:p>
        </w:tc>
        <w:tc>
          <w:tcPr>
            <w:tcW w:w="850" w:type="dxa"/>
            <w:shd w:val="clear" w:color="000000" w:fill="FFF0BF"/>
            <w:vAlign w:val="bottom"/>
          </w:tcPr>
          <w:p w14:paraId="3CECF48E" w14:textId="77777777" w:rsidR="00407D0F" w:rsidRPr="00477E1D" w:rsidRDefault="00407D0F" w:rsidP="000741BA">
            <w:pPr>
              <w:pStyle w:val="Tabletext"/>
              <w:ind w:left="0" w:right="0"/>
              <w:rPr>
                <w:color w:val="auto"/>
                <w:szCs w:val="19"/>
              </w:rPr>
            </w:pPr>
            <w:r w:rsidRPr="00477E1D">
              <w:rPr>
                <w:color w:val="000000"/>
                <w:szCs w:val="19"/>
              </w:rPr>
              <w:t>25%</w:t>
            </w:r>
          </w:p>
        </w:tc>
        <w:tc>
          <w:tcPr>
            <w:tcW w:w="851" w:type="dxa"/>
            <w:shd w:val="clear" w:color="000000" w:fill="FFEBAC"/>
            <w:vAlign w:val="bottom"/>
          </w:tcPr>
          <w:p w14:paraId="696ECFEA" w14:textId="77777777" w:rsidR="00407D0F" w:rsidRPr="00477E1D" w:rsidRDefault="00407D0F" w:rsidP="000741BA">
            <w:pPr>
              <w:pStyle w:val="Tabletext"/>
              <w:ind w:left="0" w:right="0"/>
              <w:rPr>
                <w:color w:val="auto"/>
                <w:szCs w:val="19"/>
              </w:rPr>
            </w:pPr>
            <w:r w:rsidRPr="00477E1D">
              <w:rPr>
                <w:color w:val="000000"/>
                <w:szCs w:val="19"/>
              </w:rPr>
              <w:t>32%</w:t>
            </w:r>
          </w:p>
        </w:tc>
        <w:tc>
          <w:tcPr>
            <w:tcW w:w="850" w:type="dxa"/>
            <w:shd w:val="clear" w:color="000000" w:fill="FFF3CB"/>
            <w:vAlign w:val="bottom"/>
          </w:tcPr>
          <w:p w14:paraId="5B2B262A" w14:textId="77777777" w:rsidR="00407D0F" w:rsidRPr="009F3145" w:rsidRDefault="00407D0F" w:rsidP="000741BA">
            <w:pPr>
              <w:pStyle w:val="Tabletext"/>
              <w:ind w:left="0" w:right="0"/>
              <w:rPr>
                <w:color w:val="FF0000"/>
                <w:szCs w:val="19"/>
              </w:rPr>
            </w:pPr>
            <w:r w:rsidRPr="009F3145">
              <w:rPr>
                <w:color w:val="FF0000"/>
                <w:szCs w:val="19"/>
              </w:rPr>
              <w:t>20%</w:t>
            </w:r>
          </w:p>
        </w:tc>
      </w:tr>
      <w:tr w:rsidR="00B178E4" w:rsidRPr="00697281" w14:paraId="6E21AD9D" w14:textId="77777777" w:rsidTr="00DF6DE3">
        <w:tblPrEx>
          <w:tblCellMar>
            <w:left w:w="108" w:type="dxa"/>
            <w:right w:w="108" w:type="dxa"/>
          </w:tblCellMar>
          <w:tblLook w:val="04A0" w:firstRow="1" w:lastRow="0" w:firstColumn="1" w:lastColumn="0" w:noHBand="0" w:noVBand="1"/>
        </w:tblPrEx>
        <w:trPr>
          <w:trHeight w:val="223"/>
        </w:trPr>
        <w:tc>
          <w:tcPr>
            <w:tcW w:w="595" w:type="dxa"/>
          </w:tcPr>
          <w:p w14:paraId="12271B1F" w14:textId="77777777" w:rsidR="00407D0F" w:rsidRPr="00B178E4" w:rsidRDefault="00407D0F" w:rsidP="00B178E4">
            <w:pPr>
              <w:pStyle w:val="Tabletext"/>
              <w:ind w:left="0" w:right="0"/>
              <w:jc w:val="right"/>
              <w:rPr>
                <w:b/>
                <w:bCs/>
                <w:color w:val="auto"/>
                <w:szCs w:val="19"/>
                <w:lang w:val="en-US"/>
              </w:rPr>
            </w:pPr>
            <w:r w:rsidRPr="00B178E4">
              <w:rPr>
                <w:b/>
                <w:bCs/>
                <w:szCs w:val="19"/>
                <w:lang w:val="en-US"/>
              </w:rPr>
              <w:t>IC3</w:t>
            </w:r>
          </w:p>
        </w:tc>
        <w:tc>
          <w:tcPr>
            <w:tcW w:w="851" w:type="dxa"/>
            <w:shd w:val="clear" w:color="000000" w:fill="FFF8E3"/>
            <w:vAlign w:val="bottom"/>
          </w:tcPr>
          <w:p w14:paraId="01481F5A" w14:textId="77777777" w:rsidR="00407D0F" w:rsidRPr="009F3145" w:rsidRDefault="00407D0F" w:rsidP="000741BA">
            <w:pPr>
              <w:pStyle w:val="Tabletext"/>
              <w:ind w:left="0" w:right="0"/>
              <w:rPr>
                <w:color w:val="FF0000"/>
                <w:szCs w:val="19"/>
              </w:rPr>
            </w:pPr>
            <w:r w:rsidRPr="009F3145">
              <w:rPr>
                <w:color w:val="FF0000"/>
                <w:szCs w:val="19"/>
              </w:rPr>
              <w:t>11%</w:t>
            </w:r>
          </w:p>
        </w:tc>
        <w:tc>
          <w:tcPr>
            <w:tcW w:w="850" w:type="dxa"/>
            <w:shd w:val="clear" w:color="000000" w:fill="FFF4CF"/>
            <w:vAlign w:val="bottom"/>
          </w:tcPr>
          <w:p w14:paraId="46E75DD1" w14:textId="77777777" w:rsidR="00407D0F" w:rsidRPr="009F3145" w:rsidRDefault="00407D0F" w:rsidP="000741BA">
            <w:pPr>
              <w:pStyle w:val="Tabletext"/>
              <w:ind w:left="0" w:right="0"/>
              <w:rPr>
                <w:color w:val="FF0000"/>
                <w:szCs w:val="19"/>
              </w:rPr>
            </w:pPr>
            <w:r w:rsidRPr="009F3145">
              <w:rPr>
                <w:color w:val="FF0000"/>
                <w:szCs w:val="19"/>
              </w:rPr>
              <w:t>19%</w:t>
            </w:r>
          </w:p>
        </w:tc>
        <w:tc>
          <w:tcPr>
            <w:tcW w:w="851" w:type="dxa"/>
            <w:shd w:val="clear" w:color="000000" w:fill="FFEFBE"/>
            <w:vAlign w:val="bottom"/>
          </w:tcPr>
          <w:p w14:paraId="3506F584" w14:textId="77777777" w:rsidR="00407D0F" w:rsidRPr="009F3145" w:rsidRDefault="00407D0F" w:rsidP="000741BA">
            <w:pPr>
              <w:pStyle w:val="Tabletext"/>
              <w:ind w:left="0" w:right="0"/>
              <w:rPr>
                <w:color w:val="FF0000"/>
                <w:szCs w:val="19"/>
              </w:rPr>
            </w:pPr>
            <w:r w:rsidRPr="009F3145">
              <w:rPr>
                <w:color w:val="FF0000"/>
                <w:szCs w:val="19"/>
              </w:rPr>
              <w:t>25%</w:t>
            </w:r>
          </w:p>
        </w:tc>
        <w:tc>
          <w:tcPr>
            <w:tcW w:w="850" w:type="dxa"/>
            <w:shd w:val="clear" w:color="000000" w:fill="FFF8E3"/>
            <w:vAlign w:val="bottom"/>
          </w:tcPr>
          <w:p w14:paraId="67059F0B" w14:textId="77777777" w:rsidR="00407D0F" w:rsidRPr="009F3145" w:rsidRDefault="00407D0F" w:rsidP="000741BA">
            <w:pPr>
              <w:pStyle w:val="Tabletext"/>
              <w:ind w:left="0" w:right="0"/>
              <w:rPr>
                <w:color w:val="FF0000"/>
                <w:szCs w:val="19"/>
              </w:rPr>
            </w:pPr>
            <w:r w:rsidRPr="009F3145">
              <w:rPr>
                <w:color w:val="FF0000"/>
                <w:szCs w:val="19"/>
              </w:rPr>
              <w:t>11%</w:t>
            </w:r>
          </w:p>
        </w:tc>
        <w:tc>
          <w:tcPr>
            <w:tcW w:w="851" w:type="dxa"/>
            <w:shd w:val="clear" w:color="000000" w:fill="FFF8DF"/>
            <w:vAlign w:val="bottom"/>
          </w:tcPr>
          <w:p w14:paraId="5DB35DE2" w14:textId="77777777" w:rsidR="00407D0F" w:rsidRPr="009F3145" w:rsidRDefault="00407D0F" w:rsidP="000741BA">
            <w:pPr>
              <w:pStyle w:val="Tabletext"/>
              <w:ind w:left="0" w:right="0"/>
              <w:rPr>
                <w:color w:val="FF0000"/>
                <w:szCs w:val="19"/>
              </w:rPr>
            </w:pPr>
            <w:r w:rsidRPr="009F3145">
              <w:rPr>
                <w:color w:val="FF0000"/>
                <w:szCs w:val="19"/>
              </w:rPr>
              <w:t>13%</w:t>
            </w:r>
          </w:p>
        </w:tc>
        <w:tc>
          <w:tcPr>
            <w:tcW w:w="850" w:type="dxa"/>
            <w:shd w:val="clear" w:color="000000" w:fill="FFF0BF"/>
            <w:vAlign w:val="bottom"/>
          </w:tcPr>
          <w:p w14:paraId="45258EBA" w14:textId="77777777" w:rsidR="00407D0F" w:rsidRPr="009F3145" w:rsidRDefault="00407D0F" w:rsidP="000741BA">
            <w:pPr>
              <w:pStyle w:val="Tabletext"/>
              <w:ind w:left="0" w:right="0"/>
              <w:rPr>
                <w:color w:val="FF0000"/>
                <w:szCs w:val="19"/>
              </w:rPr>
            </w:pPr>
            <w:r w:rsidRPr="009F3145">
              <w:rPr>
                <w:color w:val="FF0000"/>
                <w:szCs w:val="19"/>
              </w:rPr>
              <w:t>25%</w:t>
            </w:r>
          </w:p>
        </w:tc>
        <w:tc>
          <w:tcPr>
            <w:tcW w:w="851" w:type="dxa"/>
            <w:shd w:val="clear" w:color="000000" w:fill="FFE289"/>
            <w:vAlign w:val="bottom"/>
          </w:tcPr>
          <w:p w14:paraId="4CE1576D" w14:textId="77777777" w:rsidR="00407D0F" w:rsidRPr="009F3145" w:rsidRDefault="00407D0F" w:rsidP="000741BA">
            <w:pPr>
              <w:pStyle w:val="Tabletext"/>
              <w:ind w:left="0" w:right="0"/>
              <w:rPr>
                <w:color w:val="FF0000"/>
                <w:szCs w:val="19"/>
              </w:rPr>
            </w:pPr>
            <w:r w:rsidRPr="009F3145">
              <w:rPr>
                <w:color w:val="FF0000"/>
                <w:szCs w:val="19"/>
              </w:rPr>
              <w:t>46%</w:t>
            </w:r>
          </w:p>
        </w:tc>
        <w:tc>
          <w:tcPr>
            <w:tcW w:w="850" w:type="dxa"/>
            <w:shd w:val="clear" w:color="000000" w:fill="FFF3CF"/>
            <w:vAlign w:val="bottom"/>
          </w:tcPr>
          <w:p w14:paraId="7BE3D2FA" w14:textId="77777777" w:rsidR="00407D0F" w:rsidRPr="009F3145" w:rsidRDefault="00407D0F" w:rsidP="000741BA">
            <w:pPr>
              <w:pStyle w:val="Tabletext"/>
              <w:ind w:left="0" w:right="0"/>
              <w:rPr>
                <w:color w:val="FF0000"/>
                <w:szCs w:val="19"/>
              </w:rPr>
            </w:pPr>
            <w:r w:rsidRPr="009F3145">
              <w:rPr>
                <w:color w:val="FF0000"/>
                <w:szCs w:val="19"/>
              </w:rPr>
              <w:t>19%</w:t>
            </w:r>
          </w:p>
        </w:tc>
      </w:tr>
    </w:tbl>
    <w:p w14:paraId="4D2B3E55" w14:textId="36B3B548" w:rsidR="00DE5259" w:rsidRPr="00400B3D" w:rsidRDefault="00334FA6" w:rsidP="00400B3D">
      <w:pPr>
        <w:pStyle w:val="TableDescription"/>
      </w:pPr>
      <w:r w:rsidRPr="00400B3D">
        <w:t xml:space="preserve">Abbreviations: </w:t>
      </w:r>
      <w:r w:rsidR="00A97B0B" w:rsidRPr="00400B3D">
        <w:t xml:space="preserve">IC = </w:t>
      </w:r>
      <w:r w:rsidR="008159EE" w:rsidRPr="00400B3D">
        <w:t>immune cell</w:t>
      </w:r>
      <w:r w:rsidR="00DE5259" w:rsidRPr="00400B3D">
        <w:t>; N = total number of subjects; TC = tumour cell.</w:t>
      </w:r>
    </w:p>
    <w:p w14:paraId="065CEB88" w14:textId="5D96A14A" w:rsidR="00630A86" w:rsidRPr="00400B3D" w:rsidRDefault="00630A86" w:rsidP="00400B3D">
      <w:pPr>
        <w:pStyle w:val="TableDescription"/>
      </w:pPr>
      <w:r w:rsidRPr="00400B3D">
        <w:t>Absolute number (top) and percentage of patients (bottom) in each TC category according to SP142 at enrolment in the all-randomised population, with each corresponding IC category.</w:t>
      </w:r>
    </w:p>
    <w:p w14:paraId="536EF336" w14:textId="3C2BD89E" w:rsidR="00334FA6" w:rsidRPr="00400B3D" w:rsidRDefault="00334FA6" w:rsidP="00400B3D">
      <w:pPr>
        <w:pStyle w:val="TableDescription"/>
      </w:pPr>
      <w:r w:rsidRPr="00400B3D">
        <w:t>Immune cell scoring</w:t>
      </w:r>
      <w:r w:rsidR="009B4AAF" w:rsidRPr="00400B3D">
        <w:t xml:space="preserve"> (PD-L1 expression)</w:t>
      </w:r>
      <w:r w:rsidRPr="00400B3D">
        <w:t>: IC0 (0 to &lt; 1%); IC1 (1 to &lt; 5%); IC2 (5 to &lt;10%); IC3 (10%+).</w:t>
      </w:r>
    </w:p>
    <w:p w14:paraId="76B687F2" w14:textId="0D6AE24F" w:rsidR="00334FA6" w:rsidRPr="00400B3D" w:rsidRDefault="00334FA6" w:rsidP="00400B3D">
      <w:pPr>
        <w:pStyle w:val="TableDescription"/>
      </w:pPr>
      <w:r w:rsidRPr="00400B3D">
        <w:t>Tumour cell scoring</w:t>
      </w:r>
      <w:r w:rsidR="009B4AAF" w:rsidRPr="00400B3D">
        <w:t xml:space="preserve"> (PD-L1 expression)</w:t>
      </w:r>
      <w:r w:rsidRPr="00400B3D">
        <w:t>: TC0 (0 to &lt;1%); TC1 (1 to &lt; 5%); TC2 (5 to &lt; 50%); TC3 (50%+).</w:t>
      </w:r>
    </w:p>
    <w:p w14:paraId="1D0E5659" w14:textId="17BECDC6" w:rsidR="001260F6" w:rsidRDefault="00630A86" w:rsidP="00400B3D">
      <w:pPr>
        <w:pStyle w:val="TableDescription"/>
      </w:pPr>
      <w:r w:rsidRPr="00400B3D">
        <w:t>Red text = approximately corresponding to the primary efficacy population (TC3/IC3). Colour gradient for percentages: white = 0, dark yellow = 100.</w:t>
      </w:r>
      <w:r w:rsidR="001260F6">
        <w:br w:type="page"/>
      </w:r>
    </w:p>
    <w:p w14:paraId="4A1366FA" w14:textId="7ABB6650" w:rsidR="00407D0F" w:rsidRPr="00DE5259" w:rsidRDefault="00407D0F" w:rsidP="00DE31C1">
      <w:pPr>
        <w:pStyle w:val="TableTitle"/>
      </w:pPr>
      <w:bookmarkStart w:id="99" w:name="_Ref69984105"/>
      <w:r w:rsidRPr="00DE5259">
        <w:lastRenderedPageBreak/>
        <w:t xml:space="preserve">Table </w:t>
      </w:r>
      <w:fldSimple w:instr=" SEQ Table \* ARABIC ">
        <w:r w:rsidR="00C05B15">
          <w:rPr>
            <w:noProof/>
          </w:rPr>
          <w:t>23</w:t>
        </w:r>
      </w:fldSimple>
      <w:bookmarkEnd w:id="99"/>
      <w:r w:rsidR="00630A86" w:rsidRPr="00DE5259">
        <w:t>:</w:t>
      </w:r>
      <w:r w:rsidRPr="00DE5259">
        <w:t xml:space="preserve"> </w:t>
      </w:r>
      <w:r w:rsidR="009258F9" w:rsidRPr="00DE5259">
        <w:t>IMPOWER</w:t>
      </w:r>
      <w:r w:rsidR="00630A86" w:rsidRPr="00DE5259">
        <w:t>110 trial (Study GO29431) Sponsor-supplied breakdown of n</w:t>
      </w:r>
      <w:r w:rsidRPr="00DE5259">
        <w:t xml:space="preserve">umber </w:t>
      </w:r>
      <w:r w:rsidR="00630A86" w:rsidRPr="00DE5259">
        <w:t xml:space="preserve">and percentage of patients </w:t>
      </w:r>
      <w:r w:rsidRPr="00DE5259">
        <w:t xml:space="preserve">in each </w:t>
      </w:r>
      <w:r w:rsidR="00013622" w:rsidRPr="00DE5259">
        <w:t>immune cell</w:t>
      </w:r>
      <w:r w:rsidR="00013622" w:rsidRPr="00DE5259" w:rsidDel="00013622">
        <w:t xml:space="preserve"> </w:t>
      </w:r>
      <w:r w:rsidRPr="00DE5259">
        <w:t>category according to SP142</w:t>
      </w:r>
      <w:r w:rsidR="00630A86" w:rsidRPr="00DE5259">
        <w:t xml:space="preserve"> at enrolment (</w:t>
      </w:r>
      <w:r w:rsidRPr="00DE5259">
        <w:t>all-randomised population</w:t>
      </w:r>
      <w:r w:rsidR="00630A86" w:rsidRPr="00DE5259">
        <w:t>)</w:t>
      </w:r>
      <w:r w:rsidRPr="00DE5259">
        <w:t xml:space="preserve"> with </w:t>
      </w:r>
      <w:r w:rsidR="00630A86" w:rsidRPr="00DE5259">
        <w:t xml:space="preserve">each corresponding </w:t>
      </w:r>
      <w:r w:rsidR="00013622" w:rsidRPr="00B50F71">
        <w:t>tumour cell</w:t>
      </w:r>
      <w:r w:rsidR="00013622" w:rsidRPr="00DE5259" w:rsidDel="00013622">
        <w:t xml:space="preserve"> </w:t>
      </w:r>
      <w:r w:rsidR="00630A86" w:rsidRPr="00DE5259">
        <w:t>category</w:t>
      </w:r>
    </w:p>
    <w:tbl>
      <w:tblPr>
        <w:tblStyle w:val="TableTGAblue"/>
        <w:tblW w:w="8578" w:type="dxa"/>
        <w:tblLayout w:type="fixed"/>
        <w:tblCellMar>
          <w:left w:w="28" w:type="dxa"/>
          <w:right w:w="28" w:type="dxa"/>
        </w:tblCellMar>
        <w:tblLook w:val="0420" w:firstRow="1" w:lastRow="0" w:firstColumn="0" w:lastColumn="0" w:noHBand="0" w:noVBand="1"/>
      </w:tblPr>
      <w:tblGrid>
        <w:gridCol w:w="928"/>
        <w:gridCol w:w="900"/>
        <w:gridCol w:w="900"/>
        <w:gridCol w:w="810"/>
        <w:gridCol w:w="1080"/>
        <w:gridCol w:w="810"/>
        <w:gridCol w:w="1121"/>
        <w:gridCol w:w="949"/>
        <w:gridCol w:w="1080"/>
      </w:tblGrid>
      <w:tr w:rsidR="00407D0F" w:rsidRPr="003B78C4" w14:paraId="56507BB7" w14:textId="77777777" w:rsidTr="00B178E4">
        <w:trPr>
          <w:cnfStyle w:val="100000000000" w:firstRow="1" w:lastRow="0" w:firstColumn="0" w:lastColumn="0" w:oddVBand="0" w:evenVBand="0" w:oddHBand="0" w:evenHBand="0" w:firstRowFirstColumn="0" w:firstRowLastColumn="0" w:lastRowFirstColumn="0" w:lastRowLastColumn="0"/>
          <w:trHeight w:val="20"/>
        </w:trPr>
        <w:tc>
          <w:tcPr>
            <w:tcW w:w="92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5626C12" w14:textId="588BB8D6" w:rsidR="00407D0F" w:rsidRPr="00175377" w:rsidRDefault="00407D0F" w:rsidP="000741BA">
            <w:pPr>
              <w:pStyle w:val="Tabletext"/>
              <w:ind w:left="0" w:right="0"/>
            </w:pPr>
          </w:p>
        </w:tc>
        <w:tc>
          <w:tcPr>
            <w:tcW w:w="3690"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BD8D3EC" w14:textId="77777777" w:rsidR="00407D0F" w:rsidRPr="0004734D" w:rsidRDefault="00407D0F" w:rsidP="000741BA">
            <w:pPr>
              <w:pStyle w:val="Tabletext"/>
              <w:ind w:left="0" w:right="0"/>
            </w:pPr>
            <w:r w:rsidRPr="0004734D">
              <w:t>Chemotherapy</w:t>
            </w:r>
          </w:p>
          <w:p w14:paraId="1846AEFF" w14:textId="40850AFF" w:rsidR="00407D0F" w:rsidRPr="0004734D" w:rsidRDefault="00407D0F" w:rsidP="000741BA">
            <w:pPr>
              <w:pStyle w:val="Tabletext"/>
              <w:ind w:left="0" w:right="0"/>
            </w:pPr>
            <w:r w:rsidRPr="0004734D">
              <w:t>N=287</w:t>
            </w:r>
          </w:p>
        </w:tc>
        <w:tc>
          <w:tcPr>
            <w:tcW w:w="3960"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AB43132" w14:textId="77777777" w:rsidR="00407D0F" w:rsidRPr="0004734D" w:rsidRDefault="00407D0F" w:rsidP="000741BA">
            <w:pPr>
              <w:pStyle w:val="Tabletext"/>
              <w:ind w:left="0" w:right="0"/>
            </w:pPr>
            <w:r w:rsidRPr="0004734D">
              <w:t>Atezolizumab</w:t>
            </w:r>
          </w:p>
          <w:p w14:paraId="1DD02CB9" w14:textId="4B03B9BE" w:rsidR="00407D0F" w:rsidRPr="0004734D" w:rsidRDefault="00407D0F" w:rsidP="000741BA">
            <w:pPr>
              <w:pStyle w:val="Tabletext"/>
              <w:ind w:left="0" w:right="0"/>
            </w:pPr>
            <w:r w:rsidRPr="0004734D">
              <w:t>N=285</w:t>
            </w:r>
          </w:p>
        </w:tc>
      </w:tr>
      <w:tr w:rsidR="00407D0F" w:rsidRPr="003B78C4" w14:paraId="67AE0181" w14:textId="77777777" w:rsidTr="00B178E4">
        <w:trPr>
          <w:trHeight w:val="63"/>
        </w:trPr>
        <w:tc>
          <w:tcPr>
            <w:tcW w:w="8578" w:type="dxa"/>
            <w:gridSpan w:val="9"/>
          </w:tcPr>
          <w:p w14:paraId="68A6F265" w14:textId="77777777" w:rsidR="00407D0F" w:rsidRPr="00B178E4" w:rsidRDefault="00407D0F" w:rsidP="00B178E4">
            <w:pPr>
              <w:rPr>
                <w:b/>
              </w:rPr>
            </w:pPr>
            <w:r w:rsidRPr="00B178E4">
              <w:rPr>
                <w:b/>
                <w:sz w:val="20"/>
                <w:lang w:val="en-US"/>
              </w:rPr>
              <w:t>Absolute number of patients</w:t>
            </w:r>
          </w:p>
        </w:tc>
      </w:tr>
      <w:tr w:rsidR="00407D0F" w:rsidRPr="003B78C4" w14:paraId="49AFF93B" w14:textId="77777777" w:rsidTr="00B178E4">
        <w:trPr>
          <w:trHeight w:val="565"/>
        </w:trPr>
        <w:tc>
          <w:tcPr>
            <w:tcW w:w="928" w:type="dxa"/>
          </w:tcPr>
          <w:p w14:paraId="197C9286" w14:textId="77777777" w:rsidR="00407D0F" w:rsidRPr="00175377" w:rsidRDefault="00407D0F" w:rsidP="00B178E4">
            <w:pPr>
              <w:pStyle w:val="Tabletext"/>
              <w:ind w:left="0" w:right="0"/>
              <w:jc w:val="center"/>
            </w:pPr>
          </w:p>
        </w:tc>
        <w:tc>
          <w:tcPr>
            <w:tcW w:w="900" w:type="dxa"/>
          </w:tcPr>
          <w:p w14:paraId="5B0DDE4B" w14:textId="77777777" w:rsidR="00407D0F" w:rsidRPr="00B178E4" w:rsidRDefault="00407D0F" w:rsidP="00B178E4">
            <w:pPr>
              <w:pStyle w:val="Tabletext"/>
              <w:ind w:left="0" w:right="0"/>
              <w:jc w:val="center"/>
              <w:rPr>
                <w:b/>
                <w:bCs/>
                <w:lang w:val="en-US"/>
              </w:rPr>
            </w:pPr>
            <w:r w:rsidRPr="00B178E4">
              <w:rPr>
                <w:b/>
                <w:bCs/>
                <w:lang w:val="en-US"/>
              </w:rPr>
              <w:t>IC0</w:t>
            </w:r>
          </w:p>
          <w:p w14:paraId="3E15C541" w14:textId="77777777" w:rsidR="00407D0F" w:rsidRPr="00175377" w:rsidRDefault="00407D0F" w:rsidP="00B178E4">
            <w:pPr>
              <w:pStyle w:val="Tabletext"/>
              <w:ind w:left="0" w:right="0"/>
              <w:jc w:val="center"/>
              <w:rPr>
                <w:bCs/>
                <w:lang w:val="en-US"/>
              </w:rPr>
            </w:pPr>
            <w:r w:rsidRPr="00175377">
              <w:rPr>
                <w:bCs/>
                <w:lang w:val="en-US"/>
              </w:rPr>
              <w:t>N=19</w:t>
            </w:r>
          </w:p>
        </w:tc>
        <w:tc>
          <w:tcPr>
            <w:tcW w:w="900" w:type="dxa"/>
          </w:tcPr>
          <w:p w14:paraId="643D1891" w14:textId="77777777" w:rsidR="00407D0F" w:rsidRPr="00B178E4" w:rsidRDefault="00407D0F" w:rsidP="00B178E4">
            <w:pPr>
              <w:pStyle w:val="Tabletext"/>
              <w:ind w:left="0" w:right="0"/>
              <w:jc w:val="center"/>
              <w:rPr>
                <w:b/>
                <w:bCs/>
                <w:lang w:val="en-US"/>
              </w:rPr>
            </w:pPr>
            <w:r w:rsidRPr="00B178E4">
              <w:rPr>
                <w:b/>
                <w:bCs/>
                <w:lang w:val="en-US"/>
              </w:rPr>
              <w:t>IC1</w:t>
            </w:r>
          </w:p>
          <w:p w14:paraId="16E4573B" w14:textId="77777777" w:rsidR="00407D0F" w:rsidRPr="00175377" w:rsidRDefault="00407D0F" w:rsidP="00B178E4">
            <w:pPr>
              <w:pStyle w:val="Tabletext"/>
              <w:ind w:left="0" w:right="0"/>
              <w:jc w:val="center"/>
              <w:rPr>
                <w:bCs/>
                <w:lang w:val="en-US"/>
              </w:rPr>
            </w:pPr>
            <w:r w:rsidRPr="00175377">
              <w:rPr>
                <w:bCs/>
                <w:lang w:val="en-US"/>
              </w:rPr>
              <w:t>N=147</w:t>
            </w:r>
          </w:p>
        </w:tc>
        <w:tc>
          <w:tcPr>
            <w:tcW w:w="810" w:type="dxa"/>
          </w:tcPr>
          <w:p w14:paraId="50F34321" w14:textId="77777777" w:rsidR="00407D0F" w:rsidRPr="00B178E4" w:rsidRDefault="00407D0F" w:rsidP="00B178E4">
            <w:pPr>
              <w:pStyle w:val="Tabletext"/>
              <w:ind w:left="0" w:right="0"/>
              <w:jc w:val="center"/>
              <w:rPr>
                <w:b/>
                <w:bCs/>
                <w:lang w:val="en-US"/>
              </w:rPr>
            </w:pPr>
            <w:r w:rsidRPr="00B178E4">
              <w:rPr>
                <w:b/>
                <w:bCs/>
                <w:lang w:val="en-US"/>
              </w:rPr>
              <w:t>IC2</w:t>
            </w:r>
          </w:p>
          <w:p w14:paraId="1F633AE2" w14:textId="77777777" w:rsidR="00407D0F" w:rsidRPr="00175377" w:rsidRDefault="00407D0F" w:rsidP="00B178E4">
            <w:pPr>
              <w:pStyle w:val="Tabletext"/>
              <w:ind w:left="0" w:right="0"/>
              <w:jc w:val="center"/>
              <w:rPr>
                <w:bCs/>
                <w:lang w:val="en-US"/>
              </w:rPr>
            </w:pPr>
            <w:r w:rsidRPr="00175377">
              <w:rPr>
                <w:bCs/>
                <w:lang w:val="en-US"/>
              </w:rPr>
              <w:t>N=79</w:t>
            </w:r>
          </w:p>
        </w:tc>
        <w:tc>
          <w:tcPr>
            <w:tcW w:w="1080" w:type="dxa"/>
          </w:tcPr>
          <w:p w14:paraId="3CD6A72D" w14:textId="77777777" w:rsidR="00407D0F" w:rsidRPr="00B178E4" w:rsidRDefault="00407D0F" w:rsidP="00B178E4">
            <w:pPr>
              <w:pStyle w:val="Tabletext"/>
              <w:ind w:left="0" w:right="0"/>
              <w:jc w:val="center"/>
              <w:rPr>
                <w:b/>
                <w:bCs/>
                <w:lang w:val="en-US"/>
              </w:rPr>
            </w:pPr>
            <w:r w:rsidRPr="00B178E4">
              <w:rPr>
                <w:b/>
                <w:bCs/>
                <w:lang w:val="en-US"/>
              </w:rPr>
              <w:t>IC3</w:t>
            </w:r>
          </w:p>
          <w:p w14:paraId="11D8303C" w14:textId="1315046A" w:rsidR="00407D0F" w:rsidRPr="00175377" w:rsidRDefault="00407D0F" w:rsidP="00B178E4">
            <w:pPr>
              <w:pStyle w:val="Tabletext"/>
              <w:ind w:left="0" w:right="0"/>
              <w:jc w:val="center"/>
              <w:rPr>
                <w:bCs/>
                <w:lang w:val="en-US"/>
              </w:rPr>
            </w:pPr>
            <w:r w:rsidRPr="00175377">
              <w:rPr>
                <w:bCs/>
                <w:lang w:val="en-US"/>
              </w:rPr>
              <w:t>N=42</w:t>
            </w:r>
          </w:p>
        </w:tc>
        <w:tc>
          <w:tcPr>
            <w:tcW w:w="810" w:type="dxa"/>
          </w:tcPr>
          <w:p w14:paraId="2DBF1AD5" w14:textId="77777777" w:rsidR="00407D0F" w:rsidRPr="00B178E4" w:rsidRDefault="00407D0F" w:rsidP="00B178E4">
            <w:pPr>
              <w:pStyle w:val="Tabletext"/>
              <w:ind w:left="0" w:right="0"/>
              <w:jc w:val="center"/>
              <w:rPr>
                <w:b/>
                <w:bCs/>
                <w:lang w:val="en-US"/>
              </w:rPr>
            </w:pPr>
            <w:r w:rsidRPr="00B178E4">
              <w:rPr>
                <w:b/>
                <w:bCs/>
                <w:lang w:val="en-US"/>
              </w:rPr>
              <w:t>IC0</w:t>
            </w:r>
          </w:p>
          <w:p w14:paraId="1775173A" w14:textId="229EA138" w:rsidR="00407D0F" w:rsidRPr="00175377" w:rsidRDefault="00407D0F" w:rsidP="00B178E4">
            <w:pPr>
              <w:pStyle w:val="Tabletext"/>
              <w:ind w:left="0" w:right="0"/>
              <w:jc w:val="center"/>
              <w:rPr>
                <w:bCs/>
                <w:lang w:val="en-US"/>
              </w:rPr>
            </w:pPr>
            <w:r w:rsidRPr="00175377">
              <w:rPr>
                <w:bCs/>
                <w:lang w:val="en-US"/>
              </w:rPr>
              <w:t>N=17</w:t>
            </w:r>
          </w:p>
        </w:tc>
        <w:tc>
          <w:tcPr>
            <w:tcW w:w="1121" w:type="dxa"/>
          </w:tcPr>
          <w:p w14:paraId="0208C83E" w14:textId="77777777" w:rsidR="00407D0F" w:rsidRPr="00B178E4" w:rsidRDefault="00407D0F" w:rsidP="00B178E4">
            <w:pPr>
              <w:pStyle w:val="Tabletext"/>
              <w:ind w:left="0" w:right="0"/>
              <w:jc w:val="center"/>
              <w:rPr>
                <w:b/>
                <w:bCs/>
                <w:lang w:val="en-US"/>
              </w:rPr>
            </w:pPr>
            <w:r w:rsidRPr="00B178E4">
              <w:rPr>
                <w:b/>
                <w:bCs/>
                <w:lang w:val="en-US"/>
              </w:rPr>
              <w:t>IC1</w:t>
            </w:r>
          </w:p>
          <w:p w14:paraId="25F6A088" w14:textId="77777777" w:rsidR="00407D0F" w:rsidRPr="00175377" w:rsidRDefault="00407D0F" w:rsidP="00B178E4">
            <w:pPr>
              <w:pStyle w:val="Tabletext"/>
              <w:ind w:left="0" w:right="0"/>
              <w:jc w:val="center"/>
              <w:rPr>
                <w:bCs/>
                <w:lang w:val="en-US"/>
              </w:rPr>
            </w:pPr>
            <w:r w:rsidRPr="00175377">
              <w:rPr>
                <w:bCs/>
                <w:lang w:val="en-US"/>
              </w:rPr>
              <w:t>N=142</w:t>
            </w:r>
          </w:p>
        </w:tc>
        <w:tc>
          <w:tcPr>
            <w:tcW w:w="949" w:type="dxa"/>
          </w:tcPr>
          <w:p w14:paraId="0179491E" w14:textId="77777777" w:rsidR="00407D0F" w:rsidRPr="00B178E4" w:rsidRDefault="00407D0F" w:rsidP="00B178E4">
            <w:pPr>
              <w:pStyle w:val="Tabletext"/>
              <w:ind w:left="0" w:right="0"/>
              <w:jc w:val="center"/>
              <w:rPr>
                <w:b/>
                <w:bCs/>
                <w:lang w:val="en-US"/>
              </w:rPr>
            </w:pPr>
            <w:r w:rsidRPr="00B178E4">
              <w:rPr>
                <w:b/>
                <w:bCs/>
                <w:lang w:val="en-US"/>
              </w:rPr>
              <w:t>IC2</w:t>
            </w:r>
          </w:p>
          <w:p w14:paraId="24F6C7DC" w14:textId="77777777" w:rsidR="00407D0F" w:rsidRPr="00175377" w:rsidRDefault="00407D0F" w:rsidP="00B178E4">
            <w:pPr>
              <w:pStyle w:val="Tabletext"/>
              <w:ind w:left="0" w:right="0"/>
              <w:jc w:val="center"/>
              <w:rPr>
                <w:bCs/>
                <w:lang w:val="en-US"/>
              </w:rPr>
            </w:pPr>
            <w:r w:rsidRPr="00175377">
              <w:rPr>
                <w:bCs/>
                <w:lang w:val="en-US"/>
              </w:rPr>
              <w:t>N=62</w:t>
            </w:r>
          </w:p>
        </w:tc>
        <w:tc>
          <w:tcPr>
            <w:tcW w:w="1080" w:type="dxa"/>
          </w:tcPr>
          <w:p w14:paraId="2A5E1319" w14:textId="77777777" w:rsidR="00407D0F" w:rsidRPr="00B178E4" w:rsidRDefault="00407D0F" w:rsidP="00B178E4">
            <w:pPr>
              <w:pStyle w:val="Tabletext"/>
              <w:ind w:left="0" w:right="0"/>
              <w:jc w:val="center"/>
              <w:rPr>
                <w:b/>
                <w:bCs/>
                <w:lang w:val="en-US"/>
              </w:rPr>
            </w:pPr>
            <w:r w:rsidRPr="00B178E4">
              <w:rPr>
                <w:b/>
                <w:bCs/>
                <w:lang w:val="en-US"/>
              </w:rPr>
              <w:t>IC3</w:t>
            </w:r>
          </w:p>
          <w:p w14:paraId="760F72B1" w14:textId="3A9B939F" w:rsidR="00407D0F" w:rsidRPr="00175377" w:rsidRDefault="00407D0F" w:rsidP="00B178E4">
            <w:pPr>
              <w:pStyle w:val="Tabletext"/>
              <w:ind w:left="0" w:right="0"/>
              <w:jc w:val="center"/>
              <w:rPr>
                <w:bCs/>
                <w:lang w:val="en-US"/>
              </w:rPr>
            </w:pPr>
            <w:r w:rsidRPr="00175377">
              <w:rPr>
                <w:bCs/>
                <w:lang w:val="en-US"/>
              </w:rPr>
              <w:t>N=64</w:t>
            </w:r>
          </w:p>
        </w:tc>
      </w:tr>
      <w:tr w:rsidR="00407D0F" w:rsidRPr="003B78C4" w14:paraId="5AE0707E" w14:textId="77777777" w:rsidTr="00B178E4">
        <w:trPr>
          <w:trHeight w:val="223"/>
        </w:trPr>
        <w:tc>
          <w:tcPr>
            <w:tcW w:w="928" w:type="dxa"/>
          </w:tcPr>
          <w:p w14:paraId="7EF93781" w14:textId="77777777" w:rsidR="00407D0F" w:rsidRPr="00B178E4" w:rsidRDefault="00407D0F" w:rsidP="00B178E4">
            <w:pPr>
              <w:pStyle w:val="Tabletext"/>
              <w:ind w:left="0" w:right="0"/>
              <w:jc w:val="right"/>
              <w:rPr>
                <w:b/>
                <w:bCs/>
                <w:color w:val="auto"/>
                <w:lang w:val="en-US"/>
              </w:rPr>
            </w:pPr>
            <w:r w:rsidRPr="00B178E4">
              <w:rPr>
                <w:b/>
                <w:bCs/>
                <w:lang w:val="en-US"/>
              </w:rPr>
              <w:t>TC0</w:t>
            </w:r>
          </w:p>
        </w:tc>
        <w:tc>
          <w:tcPr>
            <w:tcW w:w="900" w:type="dxa"/>
            <w:vAlign w:val="center"/>
          </w:tcPr>
          <w:p w14:paraId="39D33F5B" w14:textId="77777777" w:rsidR="00407D0F" w:rsidRPr="00175377" w:rsidRDefault="00407D0F" w:rsidP="00B178E4">
            <w:pPr>
              <w:pStyle w:val="Tabletext"/>
              <w:ind w:left="0" w:right="0"/>
              <w:jc w:val="center"/>
              <w:rPr>
                <w:color w:val="auto"/>
              </w:rPr>
            </w:pPr>
            <w:r w:rsidRPr="00175377">
              <w:rPr>
                <w:color w:val="000000"/>
              </w:rPr>
              <w:t>10</w:t>
            </w:r>
          </w:p>
        </w:tc>
        <w:tc>
          <w:tcPr>
            <w:tcW w:w="900" w:type="dxa"/>
            <w:vAlign w:val="center"/>
          </w:tcPr>
          <w:p w14:paraId="78326AAF" w14:textId="77777777" w:rsidR="00407D0F" w:rsidRPr="00175377" w:rsidRDefault="00407D0F" w:rsidP="00B178E4">
            <w:pPr>
              <w:pStyle w:val="Tabletext"/>
              <w:ind w:left="0" w:right="0"/>
              <w:jc w:val="center"/>
              <w:rPr>
                <w:color w:val="auto"/>
              </w:rPr>
            </w:pPr>
            <w:r w:rsidRPr="00175377">
              <w:rPr>
                <w:color w:val="000000"/>
              </w:rPr>
              <w:t>84</w:t>
            </w:r>
          </w:p>
        </w:tc>
        <w:tc>
          <w:tcPr>
            <w:tcW w:w="810" w:type="dxa"/>
            <w:vAlign w:val="center"/>
          </w:tcPr>
          <w:p w14:paraId="4133B99B" w14:textId="77777777" w:rsidR="00407D0F" w:rsidRPr="00175377" w:rsidRDefault="00407D0F" w:rsidP="00B178E4">
            <w:pPr>
              <w:pStyle w:val="Tabletext"/>
              <w:ind w:left="0" w:right="0"/>
              <w:jc w:val="center"/>
              <w:rPr>
                <w:color w:val="auto"/>
              </w:rPr>
            </w:pPr>
            <w:r w:rsidRPr="00175377">
              <w:rPr>
                <w:color w:val="000000"/>
              </w:rPr>
              <w:t>19</w:t>
            </w:r>
          </w:p>
        </w:tc>
        <w:tc>
          <w:tcPr>
            <w:tcW w:w="1080" w:type="dxa"/>
            <w:vAlign w:val="center"/>
          </w:tcPr>
          <w:p w14:paraId="786436DD" w14:textId="77777777" w:rsidR="00407D0F" w:rsidRPr="00175377" w:rsidRDefault="00407D0F" w:rsidP="00B178E4">
            <w:pPr>
              <w:pStyle w:val="Tabletext"/>
              <w:ind w:left="0" w:right="0"/>
              <w:jc w:val="center"/>
              <w:rPr>
                <w:color w:val="FF0000"/>
              </w:rPr>
            </w:pPr>
            <w:r w:rsidRPr="00175377">
              <w:rPr>
                <w:bCs/>
                <w:color w:val="FF0000"/>
              </w:rPr>
              <w:t>14</w:t>
            </w:r>
          </w:p>
        </w:tc>
        <w:tc>
          <w:tcPr>
            <w:tcW w:w="810" w:type="dxa"/>
            <w:vAlign w:val="center"/>
          </w:tcPr>
          <w:p w14:paraId="3799A808" w14:textId="77777777" w:rsidR="00407D0F" w:rsidRPr="00175377" w:rsidRDefault="00407D0F" w:rsidP="00B178E4">
            <w:pPr>
              <w:pStyle w:val="Tabletext"/>
              <w:ind w:left="0" w:right="0"/>
              <w:jc w:val="center"/>
              <w:rPr>
                <w:color w:val="auto"/>
              </w:rPr>
            </w:pPr>
            <w:r w:rsidRPr="00175377">
              <w:rPr>
                <w:color w:val="000000"/>
              </w:rPr>
              <w:t>4</w:t>
            </w:r>
          </w:p>
        </w:tc>
        <w:tc>
          <w:tcPr>
            <w:tcW w:w="1121" w:type="dxa"/>
            <w:vAlign w:val="center"/>
          </w:tcPr>
          <w:p w14:paraId="1CD01C8A" w14:textId="77777777" w:rsidR="00407D0F" w:rsidRPr="00175377" w:rsidRDefault="00407D0F" w:rsidP="00B178E4">
            <w:pPr>
              <w:pStyle w:val="Tabletext"/>
              <w:ind w:left="0" w:right="0"/>
              <w:jc w:val="center"/>
              <w:rPr>
                <w:color w:val="auto"/>
              </w:rPr>
            </w:pPr>
            <w:r w:rsidRPr="00175377">
              <w:rPr>
                <w:color w:val="000000"/>
              </w:rPr>
              <w:t>81</w:t>
            </w:r>
          </w:p>
        </w:tc>
        <w:tc>
          <w:tcPr>
            <w:tcW w:w="949" w:type="dxa"/>
            <w:vAlign w:val="center"/>
          </w:tcPr>
          <w:p w14:paraId="76E3A79B" w14:textId="77777777" w:rsidR="00407D0F" w:rsidRPr="00175377" w:rsidRDefault="00407D0F" w:rsidP="00B178E4">
            <w:pPr>
              <w:pStyle w:val="Tabletext"/>
              <w:ind w:left="0" w:right="0"/>
              <w:jc w:val="center"/>
              <w:rPr>
                <w:color w:val="auto"/>
              </w:rPr>
            </w:pPr>
            <w:r w:rsidRPr="00175377">
              <w:rPr>
                <w:color w:val="000000"/>
              </w:rPr>
              <w:t>20</w:t>
            </w:r>
          </w:p>
        </w:tc>
        <w:tc>
          <w:tcPr>
            <w:tcW w:w="1080" w:type="dxa"/>
            <w:vAlign w:val="center"/>
          </w:tcPr>
          <w:p w14:paraId="16A1DE78" w14:textId="77777777" w:rsidR="00407D0F" w:rsidRPr="002B48C8" w:rsidRDefault="00407D0F" w:rsidP="00B178E4">
            <w:pPr>
              <w:pStyle w:val="Tabletext"/>
              <w:ind w:left="0" w:right="0"/>
              <w:jc w:val="center"/>
              <w:rPr>
                <w:color w:val="FF0000"/>
              </w:rPr>
            </w:pPr>
            <w:r w:rsidRPr="002B48C8">
              <w:rPr>
                <w:bCs/>
                <w:color w:val="FF0000"/>
              </w:rPr>
              <w:t>15</w:t>
            </w:r>
          </w:p>
        </w:tc>
      </w:tr>
      <w:tr w:rsidR="00407D0F" w:rsidRPr="003B78C4" w14:paraId="4A8F3264" w14:textId="77777777" w:rsidTr="00B178E4">
        <w:trPr>
          <w:trHeight w:val="223"/>
        </w:trPr>
        <w:tc>
          <w:tcPr>
            <w:tcW w:w="928" w:type="dxa"/>
          </w:tcPr>
          <w:p w14:paraId="6F4875E0" w14:textId="77777777" w:rsidR="00407D0F" w:rsidRPr="00B178E4" w:rsidRDefault="00407D0F" w:rsidP="00B178E4">
            <w:pPr>
              <w:pStyle w:val="Tabletext"/>
              <w:ind w:left="0" w:right="0"/>
              <w:jc w:val="right"/>
              <w:rPr>
                <w:b/>
                <w:color w:val="auto"/>
                <w:lang w:val="en-US"/>
              </w:rPr>
            </w:pPr>
            <w:r w:rsidRPr="00B178E4">
              <w:rPr>
                <w:b/>
                <w:lang w:val="en-US"/>
              </w:rPr>
              <w:t>TC1</w:t>
            </w:r>
          </w:p>
        </w:tc>
        <w:tc>
          <w:tcPr>
            <w:tcW w:w="900" w:type="dxa"/>
            <w:vAlign w:val="center"/>
          </w:tcPr>
          <w:p w14:paraId="49DF05FD" w14:textId="77777777" w:rsidR="00407D0F" w:rsidRPr="00175377" w:rsidRDefault="00407D0F" w:rsidP="00B178E4">
            <w:pPr>
              <w:pStyle w:val="Tabletext"/>
              <w:ind w:left="0" w:right="0"/>
              <w:jc w:val="center"/>
              <w:rPr>
                <w:color w:val="auto"/>
              </w:rPr>
            </w:pPr>
            <w:r w:rsidRPr="00175377">
              <w:rPr>
                <w:color w:val="000000"/>
              </w:rPr>
              <w:t>2</w:t>
            </w:r>
          </w:p>
        </w:tc>
        <w:tc>
          <w:tcPr>
            <w:tcW w:w="900" w:type="dxa"/>
            <w:vAlign w:val="center"/>
          </w:tcPr>
          <w:p w14:paraId="0BF59F3E" w14:textId="77777777" w:rsidR="00407D0F" w:rsidRPr="00175377" w:rsidRDefault="00407D0F" w:rsidP="00B178E4">
            <w:pPr>
              <w:pStyle w:val="Tabletext"/>
              <w:ind w:left="0" w:right="0"/>
              <w:jc w:val="center"/>
              <w:rPr>
                <w:color w:val="auto"/>
              </w:rPr>
            </w:pPr>
            <w:r w:rsidRPr="00175377">
              <w:rPr>
                <w:color w:val="000000"/>
              </w:rPr>
              <w:t>16</w:t>
            </w:r>
          </w:p>
        </w:tc>
        <w:tc>
          <w:tcPr>
            <w:tcW w:w="810" w:type="dxa"/>
            <w:vAlign w:val="center"/>
          </w:tcPr>
          <w:p w14:paraId="68EAC950" w14:textId="77777777" w:rsidR="00407D0F" w:rsidRPr="00175377" w:rsidRDefault="00407D0F" w:rsidP="00B178E4">
            <w:pPr>
              <w:pStyle w:val="Tabletext"/>
              <w:ind w:left="0" w:right="0"/>
              <w:jc w:val="center"/>
              <w:rPr>
                <w:color w:val="auto"/>
              </w:rPr>
            </w:pPr>
            <w:r w:rsidRPr="00175377">
              <w:rPr>
                <w:color w:val="000000"/>
              </w:rPr>
              <w:t>8</w:t>
            </w:r>
          </w:p>
        </w:tc>
        <w:tc>
          <w:tcPr>
            <w:tcW w:w="1080" w:type="dxa"/>
            <w:vAlign w:val="center"/>
          </w:tcPr>
          <w:p w14:paraId="123A0052" w14:textId="77777777" w:rsidR="00407D0F" w:rsidRPr="00175377" w:rsidRDefault="00407D0F" w:rsidP="00B178E4">
            <w:pPr>
              <w:pStyle w:val="Tabletext"/>
              <w:ind w:left="0" w:right="0"/>
              <w:jc w:val="center"/>
              <w:rPr>
                <w:color w:val="FF0000"/>
              </w:rPr>
            </w:pPr>
            <w:r w:rsidRPr="00175377">
              <w:rPr>
                <w:bCs/>
                <w:color w:val="FF0000"/>
              </w:rPr>
              <w:t>6</w:t>
            </w:r>
          </w:p>
        </w:tc>
        <w:tc>
          <w:tcPr>
            <w:tcW w:w="810" w:type="dxa"/>
            <w:vAlign w:val="center"/>
          </w:tcPr>
          <w:p w14:paraId="562AFFBD" w14:textId="77777777" w:rsidR="00407D0F" w:rsidRPr="00175377" w:rsidRDefault="00407D0F" w:rsidP="00B178E4">
            <w:pPr>
              <w:pStyle w:val="Tabletext"/>
              <w:ind w:left="0" w:right="0"/>
              <w:jc w:val="center"/>
              <w:rPr>
                <w:color w:val="auto"/>
              </w:rPr>
            </w:pPr>
            <w:r w:rsidRPr="00175377">
              <w:rPr>
                <w:color w:val="000000"/>
              </w:rPr>
              <w:t>1</w:t>
            </w:r>
          </w:p>
        </w:tc>
        <w:tc>
          <w:tcPr>
            <w:tcW w:w="1121" w:type="dxa"/>
            <w:vAlign w:val="center"/>
          </w:tcPr>
          <w:p w14:paraId="4AA1C71B" w14:textId="77777777" w:rsidR="00407D0F" w:rsidRPr="00175377" w:rsidRDefault="00407D0F" w:rsidP="00B178E4">
            <w:pPr>
              <w:pStyle w:val="Tabletext"/>
              <w:ind w:left="0" w:right="0"/>
              <w:jc w:val="center"/>
              <w:rPr>
                <w:color w:val="auto"/>
              </w:rPr>
            </w:pPr>
            <w:r w:rsidRPr="00175377">
              <w:rPr>
                <w:color w:val="000000"/>
              </w:rPr>
              <w:t>15</w:t>
            </w:r>
          </w:p>
        </w:tc>
        <w:tc>
          <w:tcPr>
            <w:tcW w:w="949" w:type="dxa"/>
            <w:vAlign w:val="center"/>
          </w:tcPr>
          <w:p w14:paraId="3B6041A8" w14:textId="77777777" w:rsidR="00407D0F" w:rsidRPr="00175377" w:rsidRDefault="00407D0F" w:rsidP="00B178E4">
            <w:pPr>
              <w:pStyle w:val="Tabletext"/>
              <w:ind w:left="0" w:right="0"/>
              <w:jc w:val="center"/>
              <w:rPr>
                <w:color w:val="auto"/>
              </w:rPr>
            </w:pPr>
            <w:r w:rsidRPr="00175377">
              <w:rPr>
                <w:color w:val="000000"/>
              </w:rPr>
              <w:t>8</w:t>
            </w:r>
          </w:p>
        </w:tc>
        <w:tc>
          <w:tcPr>
            <w:tcW w:w="1080" w:type="dxa"/>
            <w:vAlign w:val="center"/>
          </w:tcPr>
          <w:p w14:paraId="76C3A49E" w14:textId="77777777" w:rsidR="00407D0F" w:rsidRPr="002B48C8" w:rsidRDefault="00407D0F" w:rsidP="00B178E4">
            <w:pPr>
              <w:pStyle w:val="Tabletext"/>
              <w:ind w:left="0" w:right="0"/>
              <w:jc w:val="center"/>
              <w:rPr>
                <w:color w:val="FF0000"/>
              </w:rPr>
            </w:pPr>
            <w:r w:rsidRPr="002B48C8">
              <w:rPr>
                <w:bCs/>
                <w:color w:val="FF0000"/>
              </w:rPr>
              <w:t>8</w:t>
            </w:r>
          </w:p>
        </w:tc>
      </w:tr>
      <w:tr w:rsidR="00407D0F" w:rsidRPr="00EB1479" w14:paraId="76822699" w14:textId="77777777" w:rsidTr="00B178E4">
        <w:trPr>
          <w:trHeight w:val="223"/>
        </w:trPr>
        <w:tc>
          <w:tcPr>
            <w:tcW w:w="928" w:type="dxa"/>
          </w:tcPr>
          <w:p w14:paraId="728CFCDE" w14:textId="77777777" w:rsidR="00407D0F" w:rsidRPr="00B178E4" w:rsidRDefault="00407D0F" w:rsidP="00B178E4">
            <w:pPr>
              <w:pStyle w:val="Tabletext"/>
              <w:ind w:left="0" w:right="0"/>
              <w:jc w:val="right"/>
              <w:rPr>
                <w:b/>
                <w:color w:val="auto"/>
                <w:lang w:val="en-US"/>
              </w:rPr>
            </w:pPr>
            <w:r w:rsidRPr="00B178E4">
              <w:rPr>
                <w:b/>
                <w:lang w:val="en-US"/>
              </w:rPr>
              <w:t>TC2</w:t>
            </w:r>
          </w:p>
        </w:tc>
        <w:tc>
          <w:tcPr>
            <w:tcW w:w="900" w:type="dxa"/>
            <w:vAlign w:val="center"/>
          </w:tcPr>
          <w:p w14:paraId="25CDC8FC" w14:textId="77777777" w:rsidR="00407D0F" w:rsidRPr="00175377" w:rsidRDefault="00407D0F" w:rsidP="00B178E4">
            <w:pPr>
              <w:pStyle w:val="Tabletext"/>
              <w:ind w:left="0" w:right="0"/>
              <w:jc w:val="center"/>
              <w:rPr>
                <w:color w:val="auto"/>
              </w:rPr>
            </w:pPr>
            <w:r w:rsidRPr="00175377">
              <w:rPr>
                <w:color w:val="000000"/>
              </w:rPr>
              <w:t>0</w:t>
            </w:r>
          </w:p>
        </w:tc>
        <w:tc>
          <w:tcPr>
            <w:tcW w:w="900" w:type="dxa"/>
            <w:vAlign w:val="center"/>
          </w:tcPr>
          <w:p w14:paraId="62A43A98" w14:textId="77777777" w:rsidR="00407D0F" w:rsidRPr="00175377" w:rsidRDefault="00407D0F" w:rsidP="00B178E4">
            <w:pPr>
              <w:pStyle w:val="Tabletext"/>
              <w:ind w:left="0" w:right="0"/>
              <w:jc w:val="center"/>
              <w:rPr>
                <w:color w:val="auto"/>
              </w:rPr>
            </w:pPr>
            <w:r w:rsidRPr="00175377">
              <w:rPr>
                <w:color w:val="000000"/>
              </w:rPr>
              <w:t>21</w:t>
            </w:r>
          </w:p>
        </w:tc>
        <w:tc>
          <w:tcPr>
            <w:tcW w:w="810" w:type="dxa"/>
            <w:vAlign w:val="center"/>
          </w:tcPr>
          <w:p w14:paraId="5168CB42" w14:textId="77777777" w:rsidR="00407D0F" w:rsidRPr="00175377" w:rsidRDefault="00407D0F" w:rsidP="00B178E4">
            <w:pPr>
              <w:pStyle w:val="Tabletext"/>
              <w:ind w:left="0" w:right="0"/>
              <w:jc w:val="center"/>
              <w:rPr>
                <w:color w:val="auto"/>
              </w:rPr>
            </w:pPr>
            <w:r w:rsidRPr="00175377">
              <w:rPr>
                <w:color w:val="000000"/>
              </w:rPr>
              <w:t>20</w:t>
            </w:r>
          </w:p>
        </w:tc>
        <w:tc>
          <w:tcPr>
            <w:tcW w:w="1080" w:type="dxa"/>
            <w:vAlign w:val="center"/>
          </w:tcPr>
          <w:p w14:paraId="3C4A8E59" w14:textId="77777777" w:rsidR="00407D0F" w:rsidRPr="00175377" w:rsidRDefault="00407D0F" w:rsidP="00B178E4">
            <w:pPr>
              <w:pStyle w:val="Tabletext"/>
              <w:ind w:left="0" w:right="0"/>
              <w:jc w:val="center"/>
              <w:rPr>
                <w:color w:val="FF0000"/>
              </w:rPr>
            </w:pPr>
            <w:r w:rsidRPr="00175377">
              <w:rPr>
                <w:bCs/>
                <w:color w:val="FF0000"/>
              </w:rPr>
              <w:t>14</w:t>
            </w:r>
          </w:p>
        </w:tc>
        <w:tc>
          <w:tcPr>
            <w:tcW w:w="810" w:type="dxa"/>
            <w:vAlign w:val="center"/>
          </w:tcPr>
          <w:p w14:paraId="1343D157" w14:textId="77777777" w:rsidR="00407D0F" w:rsidRPr="00175377" w:rsidRDefault="00407D0F" w:rsidP="00B178E4">
            <w:pPr>
              <w:pStyle w:val="Tabletext"/>
              <w:ind w:left="0" w:right="0"/>
              <w:jc w:val="center"/>
              <w:rPr>
                <w:color w:val="auto"/>
              </w:rPr>
            </w:pPr>
            <w:r w:rsidRPr="00175377">
              <w:rPr>
                <w:color w:val="000000"/>
              </w:rPr>
              <w:t>1</w:t>
            </w:r>
          </w:p>
        </w:tc>
        <w:tc>
          <w:tcPr>
            <w:tcW w:w="1121" w:type="dxa"/>
            <w:vAlign w:val="center"/>
          </w:tcPr>
          <w:p w14:paraId="2BC2A463" w14:textId="77777777" w:rsidR="00407D0F" w:rsidRPr="00175377" w:rsidRDefault="00407D0F" w:rsidP="00B178E4">
            <w:pPr>
              <w:pStyle w:val="Tabletext"/>
              <w:ind w:left="0" w:right="0"/>
              <w:jc w:val="center"/>
              <w:rPr>
                <w:color w:val="auto"/>
              </w:rPr>
            </w:pPr>
            <w:r w:rsidRPr="00175377">
              <w:rPr>
                <w:color w:val="000000"/>
              </w:rPr>
              <w:t>12</w:t>
            </w:r>
          </w:p>
        </w:tc>
        <w:tc>
          <w:tcPr>
            <w:tcW w:w="949" w:type="dxa"/>
            <w:vAlign w:val="center"/>
          </w:tcPr>
          <w:p w14:paraId="65294321" w14:textId="77777777" w:rsidR="00407D0F" w:rsidRPr="00175377" w:rsidRDefault="00407D0F" w:rsidP="00B178E4">
            <w:pPr>
              <w:pStyle w:val="Tabletext"/>
              <w:ind w:left="0" w:right="0"/>
              <w:jc w:val="center"/>
              <w:rPr>
                <w:color w:val="auto"/>
              </w:rPr>
            </w:pPr>
            <w:r w:rsidRPr="00175377">
              <w:rPr>
                <w:color w:val="000000"/>
              </w:rPr>
              <w:t>19</w:t>
            </w:r>
          </w:p>
        </w:tc>
        <w:tc>
          <w:tcPr>
            <w:tcW w:w="1080" w:type="dxa"/>
            <w:vAlign w:val="center"/>
          </w:tcPr>
          <w:p w14:paraId="7B0128AB" w14:textId="77777777" w:rsidR="00407D0F" w:rsidRPr="002B48C8" w:rsidRDefault="00407D0F" w:rsidP="00B178E4">
            <w:pPr>
              <w:pStyle w:val="Tabletext"/>
              <w:ind w:left="0" w:right="0"/>
              <w:jc w:val="center"/>
              <w:rPr>
                <w:color w:val="FF0000"/>
              </w:rPr>
            </w:pPr>
            <w:r w:rsidRPr="002B48C8">
              <w:rPr>
                <w:bCs/>
                <w:color w:val="FF0000"/>
              </w:rPr>
              <w:t>27</w:t>
            </w:r>
          </w:p>
        </w:tc>
      </w:tr>
      <w:tr w:rsidR="00407D0F" w:rsidRPr="00EB1479" w14:paraId="28643189" w14:textId="77777777" w:rsidTr="00B178E4">
        <w:trPr>
          <w:trHeight w:val="223"/>
        </w:trPr>
        <w:tc>
          <w:tcPr>
            <w:tcW w:w="928" w:type="dxa"/>
          </w:tcPr>
          <w:p w14:paraId="7A0FACCC" w14:textId="77777777" w:rsidR="00407D0F" w:rsidRPr="00B178E4" w:rsidRDefault="00407D0F" w:rsidP="00B178E4">
            <w:pPr>
              <w:pStyle w:val="Tabletext"/>
              <w:ind w:left="0" w:right="0"/>
              <w:jc w:val="right"/>
              <w:rPr>
                <w:b/>
                <w:bCs/>
                <w:color w:val="auto"/>
                <w:lang w:val="en-US"/>
              </w:rPr>
            </w:pPr>
            <w:r w:rsidRPr="00B178E4">
              <w:rPr>
                <w:b/>
                <w:bCs/>
                <w:lang w:val="en-US"/>
              </w:rPr>
              <w:t>TC3</w:t>
            </w:r>
          </w:p>
        </w:tc>
        <w:tc>
          <w:tcPr>
            <w:tcW w:w="900" w:type="dxa"/>
            <w:vAlign w:val="center"/>
          </w:tcPr>
          <w:p w14:paraId="4664F9A2" w14:textId="77777777" w:rsidR="00407D0F" w:rsidRPr="002B48C8" w:rsidRDefault="00407D0F" w:rsidP="00B178E4">
            <w:pPr>
              <w:pStyle w:val="Tabletext"/>
              <w:ind w:left="0" w:right="0"/>
              <w:jc w:val="center"/>
              <w:rPr>
                <w:color w:val="FF0000"/>
              </w:rPr>
            </w:pPr>
            <w:r w:rsidRPr="002B48C8">
              <w:rPr>
                <w:bCs/>
                <w:color w:val="FF0000"/>
              </w:rPr>
              <w:t>7</w:t>
            </w:r>
          </w:p>
        </w:tc>
        <w:tc>
          <w:tcPr>
            <w:tcW w:w="900" w:type="dxa"/>
            <w:vAlign w:val="center"/>
          </w:tcPr>
          <w:p w14:paraId="2AC98881" w14:textId="77777777" w:rsidR="00407D0F" w:rsidRPr="002B48C8" w:rsidRDefault="00407D0F" w:rsidP="00B178E4">
            <w:pPr>
              <w:pStyle w:val="Tabletext"/>
              <w:ind w:left="0" w:right="0"/>
              <w:jc w:val="center"/>
              <w:rPr>
                <w:color w:val="FF0000"/>
              </w:rPr>
            </w:pPr>
            <w:r w:rsidRPr="002B48C8">
              <w:rPr>
                <w:bCs/>
                <w:color w:val="FF0000"/>
              </w:rPr>
              <w:t>26</w:t>
            </w:r>
          </w:p>
        </w:tc>
        <w:tc>
          <w:tcPr>
            <w:tcW w:w="810" w:type="dxa"/>
            <w:vAlign w:val="center"/>
          </w:tcPr>
          <w:p w14:paraId="10868FBD" w14:textId="77777777" w:rsidR="00407D0F" w:rsidRPr="002B48C8" w:rsidRDefault="00407D0F" w:rsidP="00B178E4">
            <w:pPr>
              <w:pStyle w:val="Tabletext"/>
              <w:ind w:left="0" w:right="0"/>
              <w:jc w:val="center"/>
              <w:rPr>
                <w:color w:val="FF0000"/>
              </w:rPr>
            </w:pPr>
            <w:r w:rsidRPr="002B48C8">
              <w:rPr>
                <w:bCs/>
                <w:color w:val="FF0000"/>
              </w:rPr>
              <w:t>32</w:t>
            </w:r>
          </w:p>
        </w:tc>
        <w:tc>
          <w:tcPr>
            <w:tcW w:w="1080" w:type="dxa"/>
            <w:vAlign w:val="center"/>
          </w:tcPr>
          <w:p w14:paraId="1544F518" w14:textId="77777777" w:rsidR="00407D0F" w:rsidRPr="002B48C8" w:rsidRDefault="00407D0F" w:rsidP="00B178E4">
            <w:pPr>
              <w:pStyle w:val="Tabletext"/>
              <w:ind w:left="0" w:right="0"/>
              <w:jc w:val="center"/>
              <w:rPr>
                <w:color w:val="FF0000"/>
              </w:rPr>
            </w:pPr>
            <w:r w:rsidRPr="002B48C8">
              <w:rPr>
                <w:bCs/>
                <w:color w:val="FF0000"/>
              </w:rPr>
              <w:t>8</w:t>
            </w:r>
          </w:p>
        </w:tc>
        <w:tc>
          <w:tcPr>
            <w:tcW w:w="810" w:type="dxa"/>
            <w:vAlign w:val="center"/>
          </w:tcPr>
          <w:p w14:paraId="117B4C60" w14:textId="77777777" w:rsidR="00407D0F" w:rsidRPr="002B48C8" w:rsidRDefault="00407D0F" w:rsidP="00B178E4">
            <w:pPr>
              <w:pStyle w:val="Tabletext"/>
              <w:ind w:left="0" w:right="0"/>
              <w:jc w:val="center"/>
              <w:rPr>
                <w:color w:val="FF0000"/>
              </w:rPr>
            </w:pPr>
            <w:r w:rsidRPr="002B48C8">
              <w:rPr>
                <w:bCs/>
                <w:color w:val="FF0000"/>
              </w:rPr>
              <w:t>11</w:t>
            </w:r>
          </w:p>
        </w:tc>
        <w:tc>
          <w:tcPr>
            <w:tcW w:w="1121" w:type="dxa"/>
            <w:vAlign w:val="center"/>
          </w:tcPr>
          <w:p w14:paraId="422DAA42" w14:textId="77777777" w:rsidR="00407D0F" w:rsidRPr="002B48C8" w:rsidRDefault="00407D0F" w:rsidP="00B178E4">
            <w:pPr>
              <w:pStyle w:val="Tabletext"/>
              <w:ind w:left="0" w:right="0"/>
              <w:jc w:val="center"/>
              <w:rPr>
                <w:color w:val="FF0000"/>
              </w:rPr>
            </w:pPr>
            <w:r w:rsidRPr="002B48C8">
              <w:rPr>
                <w:bCs/>
                <w:color w:val="FF0000"/>
              </w:rPr>
              <w:t>34</w:t>
            </w:r>
          </w:p>
        </w:tc>
        <w:tc>
          <w:tcPr>
            <w:tcW w:w="949" w:type="dxa"/>
            <w:vAlign w:val="center"/>
          </w:tcPr>
          <w:p w14:paraId="6CE98655" w14:textId="77777777" w:rsidR="00407D0F" w:rsidRPr="002B48C8" w:rsidRDefault="00407D0F" w:rsidP="00B178E4">
            <w:pPr>
              <w:pStyle w:val="Tabletext"/>
              <w:ind w:left="0" w:right="0"/>
              <w:jc w:val="center"/>
              <w:rPr>
                <w:color w:val="FF0000"/>
              </w:rPr>
            </w:pPr>
            <w:r w:rsidRPr="002B48C8">
              <w:rPr>
                <w:bCs/>
                <w:color w:val="FF0000"/>
              </w:rPr>
              <w:t>15</w:t>
            </w:r>
          </w:p>
        </w:tc>
        <w:tc>
          <w:tcPr>
            <w:tcW w:w="1080" w:type="dxa"/>
            <w:vAlign w:val="center"/>
          </w:tcPr>
          <w:p w14:paraId="55D35B58" w14:textId="77777777" w:rsidR="00407D0F" w:rsidRPr="002B48C8" w:rsidRDefault="00407D0F" w:rsidP="00B178E4">
            <w:pPr>
              <w:pStyle w:val="Tabletext"/>
              <w:ind w:left="0" w:right="0"/>
              <w:jc w:val="center"/>
              <w:rPr>
                <w:color w:val="FF0000"/>
              </w:rPr>
            </w:pPr>
            <w:r w:rsidRPr="002B48C8">
              <w:rPr>
                <w:bCs/>
                <w:color w:val="FF0000"/>
              </w:rPr>
              <w:t>14</w:t>
            </w:r>
          </w:p>
        </w:tc>
      </w:tr>
      <w:tr w:rsidR="00407D0F" w:rsidRPr="00EB1479" w14:paraId="26F25A52" w14:textId="77777777" w:rsidTr="00B178E4">
        <w:trPr>
          <w:trHeight w:val="223"/>
        </w:trPr>
        <w:tc>
          <w:tcPr>
            <w:tcW w:w="8578" w:type="dxa"/>
            <w:gridSpan w:val="9"/>
          </w:tcPr>
          <w:p w14:paraId="26CD2432" w14:textId="77777777" w:rsidR="00407D0F" w:rsidRPr="00B178E4" w:rsidRDefault="00407D0F" w:rsidP="00B178E4">
            <w:pPr>
              <w:rPr>
                <w:b/>
              </w:rPr>
            </w:pPr>
            <w:r w:rsidRPr="00B178E4">
              <w:rPr>
                <w:b/>
                <w:color w:val="auto"/>
                <w:sz w:val="20"/>
              </w:rPr>
              <w:t>Percentage (of IC category)</w:t>
            </w:r>
          </w:p>
        </w:tc>
      </w:tr>
      <w:tr w:rsidR="00B178E4" w:rsidRPr="00697281" w14:paraId="341A2B89" w14:textId="77777777" w:rsidTr="009B4AAF">
        <w:tblPrEx>
          <w:tblCellMar>
            <w:left w:w="108" w:type="dxa"/>
            <w:right w:w="108" w:type="dxa"/>
          </w:tblCellMar>
          <w:tblLook w:val="04A0" w:firstRow="1" w:lastRow="0" w:firstColumn="1" w:lastColumn="0" w:noHBand="0" w:noVBand="1"/>
        </w:tblPrEx>
        <w:trPr>
          <w:trHeight w:val="223"/>
        </w:trPr>
        <w:tc>
          <w:tcPr>
            <w:tcW w:w="928" w:type="dxa"/>
          </w:tcPr>
          <w:p w14:paraId="3A7FD28F" w14:textId="77777777" w:rsidR="00407D0F" w:rsidRPr="00B178E4" w:rsidRDefault="00407D0F" w:rsidP="00B178E4">
            <w:pPr>
              <w:pStyle w:val="Tabletext"/>
              <w:ind w:left="0" w:right="0"/>
              <w:jc w:val="right"/>
              <w:rPr>
                <w:b/>
                <w:bCs/>
                <w:color w:val="auto"/>
                <w:lang w:val="en-US"/>
              </w:rPr>
            </w:pPr>
            <w:r w:rsidRPr="00B178E4">
              <w:rPr>
                <w:b/>
                <w:bCs/>
                <w:lang w:val="en-US"/>
              </w:rPr>
              <w:t>TC0</w:t>
            </w:r>
          </w:p>
        </w:tc>
        <w:tc>
          <w:tcPr>
            <w:tcW w:w="900" w:type="dxa"/>
            <w:shd w:val="clear" w:color="000000" w:fill="FFCC30"/>
            <w:vAlign w:val="bottom"/>
          </w:tcPr>
          <w:p w14:paraId="54BD7876" w14:textId="77777777" w:rsidR="00407D0F" w:rsidRPr="00175377" w:rsidRDefault="00407D0F" w:rsidP="000741BA">
            <w:pPr>
              <w:pStyle w:val="Tabletext"/>
              <w:ind w:left="0" w:right="0"/>
              <w:rPr>
                <w:color w:val="auto"/>
              </w:rPr>
            </w:pPr>
            <w:r w:rsidRPr="00175377">
              <w:rPr>
                <w:color w:val="000000"/>
              </w:rPr>
              <w:t>53%</w:t>
            </w:r>
          </w:p>
        </w:tc>
        <w:tc>
          <w:tcPr>
            <w:tcW w:w="900" w:type="dxa"/>
            <w:shd w:val="clear" w:color="000000" w:fill="FFC81E"/>
            <w:vAlign w:val="bottom"/>
          </w:tcPr>
          <w:p w14:paraId="03C32FC5" w14:textId="77777777" w:rsidR="00407D0F" w:rsidRPr="00175377" w:rsidRDefault="00407D0F" w:rsidP="000741BA">
            <w:pPr>
              <w:pStyle w:val="Tabletext"/>
              <w:ind w:left="0" w:right="0"/>
              <w:rPr>
                <w:color w:val="auto"/>
              </w:rPr>
            </w:pPr>
            <w:r w:rsidRPr="00175377">
              <w:rPr>
                <w:color w:val="000000"/>
              </w:rPr>
              <w:t>57%</w:t>
            </w:r>
          </w:p>
        </w:tc>
        <w:tc>
          <w:tcPr>
            <w:tcW w:w="810" w:type="dxa"/>
            <w:shd w:val="clear" w:color="000000" w:fill="FFE8A1"/>
            <w:vAlign w:val="bottom"/>
          </w:tcPr>
          <w:p w14:paraId="720C576E" w14:textId="77777777" w:rsidR="00407D0F" w:rsidRPr="00175377" w:rsidRDefault="00407D0F" w:rsidP="000741BA">
            <w:pPr>
              <w:pStyle w:val="Tabletext"/>
              <w:ind w:left="0" w:right="0"/>
              <w:rPr>
                <w:color w:val="auto"/>
              </w:rPr>
            </w:pPr>
            <w:r w:rsidRPr="00175377">
              <w:rPr>
                <w:color w:val="000000"/>
              </w:rPr>
              <w:t>24%</w:t>
            </w:r>
          </w:p>
        </w:tc>
        <w:tc>
          <w:tcPr>
            <w:tcW w:w="1080" w:type="dxa"/>
            <w:shd w:val="clear" w:color="000000" w:fill="FFDF7C"/>
            <w:vAlign w:val="bottom"/>
          </w:tcPr>
          <w:p w14:paraId="5E830002" w14:textId="77777777" w:rsidR="00407D0F" w:rsidRPr="00175377" w:rsidRDefault="00407D0F" w:rsidP="000741BA">
            <w:pPr>
              <w:pStyle w:val="Tabletext"/>
              <w:ind w:left="0" w:right="0"/>
              <w:rPr>
                <w:color w:val="FF0000"/>
              </w:rPr>
            </w:pPr>
            <w:r w:rsidRPr="00175377">
              <w:rPr>
                <w:color w:val="FF0000"/>
              </w:rPr>
              <w:t>33%</w:t>
            </w:r>
          </w:p>
        </w:tc>
        <w:tc>
          <w:tcPr>
            <w:tcW w:w="810" w:type="dxa"/>
            <w:shd w:val="clear" w:color="000000" w:fill="FFE9A3"/>
            <w:vAlign w:val="bottom"/>
          </w:tcPr>
          <w:p w14:paraId="62A4400A" w14:textId="77777777" w:rsidR="00407D0F" w:rsidRPr="00175377" w:rsidRDefault="00407D0F" w:rsidP="000741BA">
            <w:pPr>
              <w:pStyle w:val="Tabletext"/>
              <w:ind w:left="0" w:right="0"/>
              <w:rPr>
                <w:color w:val="auto"/>
              </w:rPr>
            </w:pPr>
            <w:r w:rsidRPr="00175377">
              <w:rPr>
                <w:color w:val="000000"/>
              </w:rPr>
              <w:t>24%</w:t>
            </w:r>
          </w:p>
        </w:tc>
        <w:tc>
          <w:tcPr>
            <w:tcW w:w="1121" w:type="dxa"/>
            <w:shd w:val="clear" w:color="000000" w:fill="FFC81F"/>
            <w:vAlign w:val="bottom"/>
          </w:tcPr>
          <w:p w14:paraId="5239AE60" w14:textId="77777777" w:rsidR="00407D0F" w:rsidRPr="00175377" w:rsidRDefault="00407D0F" w:rsidP="000741BA">
            <w:pPr>
              <w:pStyle w:val="Tabletext"/>
              <w:ind w:left="0" w:right="0"/>
              <w:rPr>
                <w:color w:val="auto"/>
              </w:rPr>
            </w:pPr>
            <w:r w:rsidRPr="00175377">
              <w:rPr>
                <w:color w:val="000000"/>
              </w:rPr>
              <w:t>57%</w:t>
            </w:r>
          </w:p>
        </w:tc>
        <w:tc>
          <w:tcPr>
            <w:tcW w:w="949" w:type="dxa"/>
            <w:shd w:val="clear" w:color="000000" w:fill="FFE080"/>
            <w:vAlign w:val="bottom"/>
          </w:tcPr>
          <w:p w14:paraId="09E3848D" w14:textId="77777777" w:rsidR="00407D0F" w:rsidRPr="00175377" w:rsidRDefault="00407D0F" w:rsidP="000741BA">
            <w:pPr>
              <w:pStyle w:val="Tabletext"/>
              <w:ind w:left="0" w:right="0"/>
              <w:rPr>
                <w:color w:val="auto"/>
              </w:rPr>
            </w:pPr>
            <w:r w:rsidRPr="00175377">
              <w:rPr>
                <w:color w:val="000000"/>
              </w:rPr>
              <w:t>32%</w:t>
            </w:r>
          </w:p>
        </w:tc>
        <w:tc>
          <w:tcPr>
            <w:tcW w:w="1080" w:type="dxa"/>
            <w:shd w:val="clear" w:color="000000" w:fill="FFE9A3"/>
            <w:vAlign w:val="bottom"/>
          </w:tcPr>
          <w:p w14:paraId="7860C95F" w14:textId="77777777" w:rsidR="00407D0F" w:rsidRPr="00175377" w:rsidRDefault="00407D0F" w:rsidP="000741BA">
            <w:pPr>
              <w:pStyle w:val="Tabletext"/>
              <w:ind w:left="0" w:right="0"/>
              <w:rPr>
                <w:color w:val="FF0000"/>
              </w:rPr>
            </w:pPr>
            <w:r w:rsidRPr="00175377">
              <w:rPr>
                <w:color w:val="FF0000"/>
              </w:rPr>
              <w:t>23%</w:t>
            </w:r>
          </w:p>
        </w:tc>
      </w:tr>
      <w:tr w:rsidR="00B178E4" w:rsidRPr="00697281" w14:paraId="640D3066" w14:textId="77777777" w:rsidTr="009B4AAF">
        <w:tblPrEx>
          <w:tblCellMar>
            <w:left w:w="108" w:type="dxa"/>
            <w:right w:w="108" w:type="dxa"/>
          </w:tblCellMar>
          <w:tblLook w:val="04A0" w:firstRow="1" w:lastRow="0" w:firstColumn="1" w:lastColumn="0" w:noHBand="0" w:noVBand="1"/>
        </w:tblPrEx>
        <w:trPr>
          <w:trHeight w:val="223"/>
        </w:trPr>
        <w:tc>
          <w:tcPr>
            <w:tcW w:w="928" w:type="dxa"/>
          </w:tcPr>
          <w:p w14:paraId="6B050181" w14:textId="77777777" w:rsidR="00407D0F" w:rsidRPr="00B178E4" w:rsidRDefault="00407D0F" w:rsidP="00B178E4">
            <w:pPr>
              <w:pStyle w:val="Tabletext"/>
              <w:ind w:left="0" w:right="0"/>
              <w:jc w:val="right"/>
              <w:rPr>
                <w:b/>
                <w:bCs/>
                <w:color w:val="auto"/>
                <w:lang w:val="en-US"/>
              </w:rPr>
            </w:pPr>
            <w:r w:rsidRPr="00B178E4">
              <w:rPr>
                <w:b/>
                <w:bCs/>
                <w:lang w:val="en-US"/>
              </w:rPr>
              <w:t>TC1</w:t>
            </w:r>
          </w:p>
        </w:tc>
        <w:tc>
          <w:tcPr>
            <w:tcW w:w="900" w:type="dxa"/>
            <w:shd w:val="clear" w:color="000000" w:fill="FFF5D6"/>
            <w:vAlign w:val="bottom"/>
          </w:tcPr>
          <w:p w14:paraId="3A17B0CB" w14:textId="77777777" w:rsidR="00407D0F" w:rsidRPr="00175377" w:rsidRDefault="00407D0F" w:rsidP="000741BA">
            <w:pPr>
              <w:pStyle w:val="Tabletext"/>
              <w:ind w:left="0" w:right="0"/>
              <w:rPr>
                <w:color w:val="auto"/>
              </w:rPr>
            </w:pPr>
            <w:r w:rsidRPr="00175377">
              <w:rPr>
                <w:color w:val="000000"/>
              </w:rPr>
              <w:t>11%</w:t>
            </w:r>
          </w:p>
        </w:tc>
        <w:tc>
          <w:tcPr>
            <w:tcW w:w="900" w:type="dxa"/>
            <w:shd w:val="clear" w:color="000000" w:fill="FFF5D5"/>
            <w:vAlign w:val="bottom"/>
          </w:tcPr>
          <w:p w14:paraId="39E62A32" w14:textId="77777777" w:rsidR="00407D0F" w:rsidRPr="00175377" w:rsidRDefault="00407D0F" w:rsidP="000741BA">
            <w:pPr>
              <w:pStyle w:val="Tabletext"/>
              <w:ind w:left="0" w:right="0"/>
              <w:rPr>
                <w:color w:val="auto"/>
              </w:rPr>
            </w:pPr>
            <w:r w:rsidRPr="00175377">
              <w:rPr>
                <w:color w:val="000000"/>
              </w:rPr>
              <w:t>11%</w:t>
            </w:r>
          </w:p>
        </w:tc>
        <w:tc>
          <w:tcPr>
            <w:tcW w:w="810" w:type="dxa"/>
            <w:shd w:val="clear" w:color="000000" w:fill="FFF6D8"/>
            <w:vAlign w:val="bottom"/>
          </w:tcPr>
          <w:p w14:paraId="4DEDA0D2" w14:textId="77777777" w:rsidR="00407D0F" w:rsidRPr="00175377" w:rsidRDefault="00407D0F" w:rsidP="000741BA">
            <w:pPr>
              <w:pStyle w:val="Tabletext"/>
              <w:ind w:left="0" w:right="0"/>
              <w:rPr>
                <w:color w:val="auto"/>
              </w:rPr>
            </w:pPr>
            <w:r w:rsidRPr="00175377">
              <w:rPr>
                <w:color w:val="000000"/>
              </w:rPr>
              <w:t>10%</w:t>
            </w:r>
          </w:p>
        </w:tc>
        <w:tc>
          <w:tcPr>
            <w:tcW w:w="1080" w:type="dxa"/>
            <w:shd w:val="clear" w:color="000000" w:fill="FFF2C7"/>
            <w:vAlign w:val="bottom"/>
          </w:tcPr>
          <w:p w14:paraId="303F7E45" w14:textId="77777777" w:rsidR="00407D0F" w:rsidRPr="00175377" w:rsidRDefault="00407D0F" w:rsidP="000741BA">
            <w:pPr>
              <w:pStyle w:val="Tabletext"/>
              <w:ind w:left="0" w:right="0"/>
              <w:rPr>
                <w:color w:val="FF0000"/>
              </w:rPr>
            </w:pPr>
            <w:r w:rsidRPr="00175377">
              <w:rPr>
                <w:color w:val="FF0000"/>
              </w:rPr>
              <w:t>14%</w:t>
            </w:r>
          </w:p>
        </w:tc>
        <w:tc>
          <w:tcPr>
            <w:tcW w:w="810" w:type="dxa"/>
            <w:shd w:val="clear" w:color="000000" w:fill="FFFAE8"/>
            <w:vAlign w:val="bottom"/>
          </w:tcPr>
          <w:p w14:paraId="0EDBD8B6" w14:textId="77777777" w:rsidR="00407D0F" w:rsidRPr="00175377" w:rsidRDefault="00407D0F" w:rsidP="000741BA">
            <w:pPr>
              <w:pStyle w:val="Tabletext"/>
              <w:ind w:left="0" w:right="0"/>
              <w:rPr>
                <w:color w:val="auto"/>
              </w:rPr>
            </w:pPr>
            <w:r w:rsidRPr="00175377">
              <w:rPr>
                <w:color w:val="000000"/>
              </w:rPr>
              <w:t>6%</w:t>
            </w:r>
          </w:p>
        </w:tc>
        <w:tc>
          <w:tcPr>
            <w:tcW w:w="1121" w:type="dxa"/>
            <w:shd w:val="clear" w:color="000000" w:fill="FFF5D6"/>
            <w:vAlign w:val="bottom"/>
          </w:tcPr>
          <w:p w14:paraId="23158813" w14:textId="77777777" w:rsidR="00407D0F" w:rsidRPr="00175377" w:rsidRDefault="00407D0F" w:rsidP="000741BA">
            <w:pPr>
              <w:pStyle w:val="Tabletext"/>
              <w:ind w:left="0" w:right="0"/>
              <w:rPr>
                <w:color w:val="auto"/>
              </w:rPr>
            </w:pPr>
            <w:r w:rsidRPr="00175377">
              <w:rPr>
                <w:color w:val="000000"/>
              </w:rPr>
              <w:t>11%</w:t>
            </w:r>
          </w:p>
        </w:tc>
        <w:tc>
          <w:tcPr>
            <w:tcW w:w="949" w:type="dxa"/>
            <w:shd w:val="clear" w:color="000000" w:fill="FFF3CD"/>
            <w:vAlign w:val="bottom"/>
          </w:tcPr>
          <w:p w14:paraId="0C11FF19" w14:textId="77777777" w:rsidR="00407D0F" w:rsidRPr="00175377" w:rsidRDefault="00407D0F" w:rsidP="000741BA">
            <w:pPr>
              <w:pStyle w:val="Tabletext"/>
              <w:ind w:left="0" w:right="0"/>
              <w:rPr>
                <w:color w:val="auto"/>
              </w:rPr>
            </w:pPr>
            <w:r w:rsidRPr="00175377">
              <w:rPr>
                <w:color w:val="000000"/>
              </w:rPr>
              <w:t>13%</w:t>
            </w:r>
          </w:p>
        </w:tc>
        <w:tc>
          <w:tcPr>
            <w:tcW w:w="1080" w:type="dxa"/>
            <w:shd w:val="clear" w:color="000000" w:fill="FFF3CE"/>
            <w:vAlign w:val="bottom"/>
          </w:tcPr>
          <w:p w14:paraId="29740C6B" w14:textId="77777777" w:rsidR="00407D0F" w:rsidRPr="00175377" w:rsidRDefault="00407D0F" w:rsidP="000741BA">
            <w:pPr>
              <w:pStyle w:val="Tabletext"/>
              <w:ind w:left="0" w:right="0"/>
              <w:rPr>
                <w:color w:val="FF0000"/>
              </w:rPr>
            </w:pPr>
            <w:r w:rsidRPr="00175377">
              <w:rPr>
                <w:color w:val="FF0000"/>
              </w:rPr>
              <w:t>13%</w:t>
            </w:r>
          </w:p>
        </w:tc>
      </w:tr>
      <w:tr w:rsidR="00B178E4" w:rsidRPr="00697281" w14:paraId="72870876" w14:textId="77777777" w:rsidTr="009B4AAF">
        <w:tblPrEx>
          <w:tblCellMar>
            <w:left w:w="108" w:type="dxa"/>
            <w:right w:w="108" w:type="dxa"/>
          </w:tblCellMar>
          <w:tblLook w:val="04A0" w:firstRow="1" w:lastRow="0" w:firstColumn="1" w:lastColumn="0" w:noHBand="0" w:noVBand="1"/>
        </w:tblPrEx>
        <w:trPr>
          <w:trHeight w:val="223"/>
        </w:trPr>
        <w:tc>
          <w:tcPr>
            <w:tcW w:w="928" w:type="dxa"/>
          </w:tcPr>
          <w:p w14:paraId="6906967D" w14:textId="77777777" w:rsidR="00407D0F" w:rsidRPr="00B178E4" w:rsidRDefault="00407D0F" w:rsidP="00B178E4">
            <w:pPr>
              <w:pStyle w:val="Tabletext"/>
              <w:ind w:left="0" w:right="0"/>
              <w:jc w:val="right"/>
              <w:rPr>
                <w:b/>
                <w:bCs/>
                <w:color w:val="auto"/>
                <w:lang w:val="en-US"/>
              </w:rPr>
            </w:pPr>
            <w:r w:rsidRPr="00B178E4">
              <w:rPr>
                <w:b/>
                <w:bCs/>
                <w:lang w:val="en-US"/>
              </w:rPr>
              <w:t>TC2</w:t>
            </w:r>
          </w:p>
        </w:tc>
        <w:tc>
          <w:tcPr>
            <w:tcW w:w="900" w:type="dxa"/>
            <w:shd w:val="clear" w:color="000000" w:fill="FFFFFF"/>
            <w:vAlign w:val="bottom"/>
          </w:tcPr>
          <w:p w14:paraId="3CC826A8" w14:textId="77777777" w:rsidR="00407D0F" w:rsidRPr="00175377" w:rsidRDefault="00407D0F" w:rsidP="000741BA">
            <w:pPr>
              <w:pStyle w:val="Tabletext"/>
              <w:ind w:left="0" w:right="0"/>
              <w:rPr>
                <w:color w:val="auto"/>
              </w:rPr>
            </w:pPr>
            <w:r w:rsidRPr="00175377">
              <w:rPr>
                <w:color w:val="000000"/>
              </w:rPr>
              <w:t>0%</w:t>
            </w:r>
          </w:p>
        </w:tc>
        <w:tc>
          <w:tcPr>
            <w:tcW w:w="900" w:type="dxa"/>
            <w:shd w:val="clear" w:color="000000" w:fill="FFF2C7"/>
            <w:vAlign w:val="bottom"/>
          </w:tcPr>
          <w:p w14:paraId="657FCE6D" w14:textId="77777777" w:rsidR="00407D0F" w:rsidRPr="00175377" w:rsidRDefault="00407D0F" w:rsidP="000741BA">
            <w:pPr>
              <w:pStyle w:val="Tabletext"/>
              <w:ind w:left="0" w:right="0"/>
              <w:rPr>
                <w:color w:val="auto"/>
              </w:rPr>
            </w:pPr>
            <w:r w:rsidRPr="00175377">
              <w:rPr>
                <w:color w:val="000000"/>
              </w:rPr>
              <w:t>14%</w:t>
            </w:r>
          </w:p>
        </w:tc>
        <w:tc>
          <w:tcPr>
            <w:tcW w:w="810" w:type="dxa"/>
            <w:shd w:val="clear" w:color="000000" w:fill="FFE79C"/>
            <w:vAlign w:val="bottom"/>
          </w:tcPr>
          <w:p w14:paraId="731F0BCE" w14:textId="77777777" w:rsidR="00407D0F" w:rsidRPr="00175377" w:rsidRDefault="00407D0F" w:rsidP="000741BA">
            <w:pPr>
              <w:pStyle w:val="Tabletext"/>
              <w:ind w:left="0" w:right="0"/>
              <w:rPr>
                <w:color w:val="auto"/>
              </w:rPr>
            </w:pPr>
            <w:r w:rsidRPr="00175377">
              <w:rPr>
                <w:color w:val="000000"/>
              </w:rPr>
              <w:t>25%</w:t>
            </w:r>
          </w:p>
        </w:tc>
        <w:tc>
          <w:tcPr>
            <w:tcW w:w="1080" w:type="dxa"/>
            <w:shd w:val="clear" w:color="000000" w:fill="FFDF7C"/>
            <w:vAlign w:val="bottom"/>
          </w:tcPr>
          <w:p w14:paraId="0914C05F" w14:textId="77777777" w:rsidR="00407D0F" w:rsidRPr="00175377" w:rsidRDefault="00407D0F" w:rsidP="000741BA">
            <w:pPr>
              <w:pStyle w:val="Tabletext"/>
              <w:ind w:left="0" w:right="0"/>
              <w:rPr>
                <w:color w:val="FF0000"/>
              </w:rPr>
            </w:pPr>
            <w:r w:rsidRPr="00175377">
              <w:rPr>
                <w:color w:val="FF0000"/>
              </w:rPr>
              <w:t>33%</w:t>
            </w:r>
          </w:p>
        </w:tc>
        <w:tc>
          <w:tcPr>
            <w:tcW w:w="810" w:type="dxa"/>
            <w:shd w:val="clear" w:color="000000" w:fill="FFFAE8"/>
            <w:vAlign w:val="bottom"/>
          </w:tcPr>
          <w:p w14:paraId="7C24AA97" w14:textId="77777777" w:rsidR="00407D0F" w:rsidRPr="00175377" w:rsidRDefault="00407D0F" w:rsidP="000741BA">
            <w:pPr>
              <w:pStyle w:val="Tabletext"/>
              <w:ind w:left="0" w:right="0"/>
              <w:rPr>
                <w:color w:val="auto"/>
              </w:rPr>
            </w:pPr>
            <w:r w:rsidRPr="00175377">
              <w:rPr>
                <w:color w:val="000000"/>
              </w:rPr>
              <w:t>6%</w:t>
            </w:r>
          </w:p>
        </w:tc>
        <w:tc>
          <w:tcPr>
            <w:tcW w:w="1121" w:type="dxa"/>
            <w:shd w:val="clear" w:color="000000" w:fill="FFF7DE"/>
            <w:vAlign w:val="bottom"/>
          </w:tcPr>
          <w:p w14:paraId="25B157E5" w14:textId="77777777" w:rsidR="00407D0F" w:rsidRPr="00175377" w:rsidRDefault="00407D0F" w:rsidP="000741BA">
            <w:pPr>
              <w:pStyle w:val="Tabletext"/>
              <w:ind w:left="0" w:right="0"/>
              <w:rPr>
                <w:color w:val="auto"/>
              </w:rPr>
            </w:pPr>
            <w:r w:rsidRPr="00175377">
              <w:rPr>
                <w:color w:val="000000"/>
              </w:rPr>
              <w:t>8%</w:t>
            </w:r>
          </w:p>
        </w:tc>
        <w:tc>
          <w:tcPr>
            <w:tcW w:w="949" w:type="dxa"/>
            <w:shd w:val="clear" w:color="000000" w:fill="FFE287"/>
            <w:vAlign w:val="bottom"/>
          </w:tcPr>
          <w:p w14:paraId="1F85BB8B" w14:textId="77777777" w:rsidR="00407D0F" w:rsidRPr="00175377" w:rsidRDefault="00407D0F" w:rsidP="000741BA">
            <w:pPr>
              <w:pStyle w:val="Tabletext"/>
              <w:ind w:left="0" w:right="0"/>
              <w:rPr>
                <w:color w:val="auto"/>
              </w:rPr>
            </w:pPr>
            <w:r w:rsidRPr="00175377">
              <w:rPr>
                <w:color w:val="000000"/>
              </w:rPr>
              <w:t>31%</w:t>
            </w:r>
          </w:p>
        </w:tc>
        <w:tc>
          <w:tcPr>
            <w:tcW w:w="1080" w:type="dxa"/>
            <w:shd w:val="clear" w:color="000000" w:fill="FFD659"/>
            <w:vAlign w:val="bottom"/>
          </w:tcPr>
          <w:p w14:paraId="687884AE" w14:textId="77777777" w:rsidR="00407D0F" w:rsidRPr="00175377" w:rsidRDefault="00407D0F" w:rsidP="000741BA">
            <w:pPr>
              <w:pStyle w:val="Tabletext"/>
              <w:ind w:left="0" w:right="0"/>
              <w:rPr>
                <w:color w:val="FF0000"/>
              </w:rPr>
            </w:pPr>
            <w:r w:rsidRPr="00175377">
              <w:rPr>
                <w:color w:val="FF0000"/>
              </w:rPr>
              <w:t>42%</w:t>
            </w:r>
          </w:p>
        </w:tc>
      </w:tr>
      <w:tr w:rsidR="00B178E4" w:rsidRPr="00697281" w14:paraId="571A219A" w14:textId="77777777" w:rsidTr="009B4AAF">
        <w:tblPrEx>
          <w:tblCellMar>
            <w:left w:w="108" w:type="dxa"/>
            <w:right w:w="108" w:type="dxa"/>
          </w:tblCellMar>
          <w:tblLook w:val="04A0" w:firstRow="1" w:lastRow="0" w:firstColumn="1" w:lastColumn="0" w:noHBand="0" w:noVBand="1"/>
        </w:tblPrEx>
        <w:trPr>
          <w:trHeight w:val="223"/>
        </w:trPr>
        <w:tc>
          <w:tcPr>
            <w:tcW w:w="928" w:type="dxa"/>
          </w:tcPr>
          <w:p w14:paraId="415C7D5F" w14:textId="77777777" w:rsidR="00407D0F" w:rsidRPr="00B178E4" w:rsidRDefault="00407D0F" w:rsidP="00B178E4">
            <w:pPr>
              <w:pStyle w:val="Tabletext"/>
              <w:ind w:left="0" w:right="0"/>
              <w:jc w:val="right"/>
              <w:rPr>
                <w:b/>
                <w:bCs/>
                <w:color w:val="auto"/>
                <w:lang w:val="en-US"/>
              </w:rPr>
            </w:pPr>
            <w:r w:rsidRPr="00B178E4">
              <w:rPr>
                <w:b/>
                <w:bCs/>
                <w:lang w:val="en-US"/>
              </w:rPr>
              <w:t>TC3</w:t>
            </w:r>
          </w:p>
        </w:tc>
        <w:tc>
          <w:tcPr>
            <w:tcW w:w="900" w:type="dxa"/>
            <w:shd w:val="clear" w:color="000000" w:fill="FFDC6E"/>
            <w:vAlign w:val="bottom"/>
          </w:tcPr>
          <w:p w14:paraId="14426B93" w14:textId="77777777" w:rsidR="00407D0F" w:rsidRPr="00175377" w:rsidRDefault="00407D0F" w:rsidP="000741BA">
            <w:pPr>
              <w:pStyle w:val="Tabletext"/>
              <w:ind w:left="0" w:right="0"/>
              <w:rPr>
                <w:color w:val="FF0000"/>
              </w:rPr>
            </w:pPr>
            <w:r w:rsidRPr="00175377">
              <w:rPr>
                <w:color w:val="FF0000"/>
              </w:rPr>
              <w:t>37%</w:t>
            </w:r>
          </w:p>
        </w:tc>
        <w:tc>
          <w:tcPr>
            <w:tcW w:w="900" w:type="dxa"/>
            <w:shd w:val="clear" w:color="000000" w:fill="FFEEBA"/>
            <w:vAlign w:val="bottom"/>
          </w:tcPr>
          <w:p w14:paraId="53259382" w14:textId="77777777" w:rsidR="00407D0F" w:rsidRPr="00175377" w:rsidRDefault="00407D0F" w:rsidP="000741BA">
            <w:pPr>
              <w:pStyle w:val="Tabletext"/>
              <w:ind w:left="0" w:right="0"/>
              <w:rPr>
                <w:color w:val="FF0000"/>
              </w:rPr>
            </w:pPr>
            <w:r w:rsidRPr="00175377">
              <w:rPr>
                <w:color w:val="FF0000"/>
              </w:rPr>
              <w:t>18%</w:t>
            </w:r>
          </w:p>
        </w:tc>
        <w:tc>
          <w:tcPr>
            <w:tcW w:w="810" w:type="dxa"/>
            <w:shd w:val="clear" w:color="000000" w:fill="FFD860"/>
            <w:vAlign w:val="bottom"/>
          </w:tcPr>
          <w:p w14:paraId="6398C967" w14:textId="77777777" w:rsidR="00407D0F" w:rsidRPr="00175377" w:rsidRDefault="00407D0F" w:rsidP="000741BA">
            <w:pPr>
              <w:pStyle w:val="Tabletext"/>
              <w:ind w:left="0" w:right="0"/>
              <w:rPr>
                <w:color w:val="FF0000"/>
              </w:rPr>
            </w:pPr>
            <w:r w:rsidRPr="00175377">
              <w:rPr>
                <w:color w:val="FF0000"/>
              </w:rPr>
              <w:t>41%</w:t>
            </w:r>
          </w:p>
        </w:tc>
        <w:tc>
          <w:tcPr>
            <w:tcW w:w="1080" w:type="dxa"/>
            <w:shd w:val="clear" w:color="000000" w:fill="FFEDB4"/>
            <w:vAlign w:val="bottom"/>
          </w:tcPr>
          <w:p w14:paraId="777352D3" w14:textId="77777777" w:rsidR="00407D0F" w:rsidRPr="00175377" w:rsidRDefault="00407D0F" w:rsidP="000741BA">
            <w:pPr>
              <w:pStyle w:val="Tabletext"/>
              <w:ind w:left="0" w:right="0"/>
              <w:rPr>
                <w:color w:val="FF0000"/>
              </w:rPr>
            </w:pPr>
            <w:r w:rsidRPr="00175377">
              <w:rPr>
                <w:color w:val="FF0000"/>
              </w:rPr>
              <w:t>19%</w:t>
            </w:r>
          </w:p>
        </w:tc>
        <w:tc>
          <w:tcPr>
            <w:tcW w:w="810" w:type="dxa"/>
            <w:shd w:val="clear" w:color="000000" w:fill="FFC000"/>
            <w:vAlign w:val="bottom"/>
          </w:tcPr>
          <w:p w14:paraId="1E3D63C3" w14:textId="77777777" w:rsidR="00407D0F" w:rsidRPr="00175377" w:rsidRDefault="00407D0F" w:rsidP="000741BA">
            <w:pPr>
              <w:pStyle w:val="Tabletext"/>
              <w:ind w:left="0" w:right="0"/>
              <w:rPr>
                <w:color w:val="FF0000"/>
              </w:rPr>
            </w:pPr>
            <w:r w:rsidRPr="00175377">
              <w:rPr>
                <w:color w:val="FF0000"/>
              </w:rPr>
              <w:t>65%</w:t>
            </w:r>
          </w:p>
        </w:tc>
        <w:tc>
          <w:tcPr>
            <w:tcW w:w="1121" w:type="dxa"/>
            <w:shd w:val="clear" w:color="000000" w:fill="FFE8A1"/>
            <w:vAlign w:val="bottom"/>
          </w:tcPr>
          <w:p w14:paraId="3428F41A" w14:textId="77777777" w:rsidR="00407D0F" w:rsidRPr="00175377" w:rsidRDefault="00407D0F" w:rsidP="000741BA">
            <w:pPr>
              <w:pStyle w:val="Tabletext"/>
              <w:ind w:left="0" w:right="0"/>
              <w:rPr>
                <w:color w:val="FF0000"/>
              </w:rPr>
            </w:pPr>
            <w:r w:rsidRPr="00175377">
              <w:rPr>
                <w:color w:val="FF0000"/>
              </w:rPr>
              <w:t>24%</w:t>
            </w:r>
          </w:p>
        </w:tc>
        <w:tc>
          <w:tcPr>
            <w:tcW w:w="949" w:type="dxa"/>
            <w:shd w:val="clear" w:color="000000" w:fill="FFE8A0"/>
            <w:vAlign w:val="bottom"/>
          </w:tcPr>
          <w:p w14:paraId="22294F21" w14:textId="77777777" w:rsidR="00407D0F" w:rsidRPr="00175377" w:rsidRDefault="00407D0F" w:rsidP="000741BA">
            <w:pPr>
              <w:pStyle w:val="Tabletext"/>
              <w:ind w:left="0" w:right="0"/>
              <w:rPr>
                <w:color w:val="FF0000"/>
              </w:rPr>
            </w:pPr>
            <w:r w:rsidRPr="00175377">
              <w:rPr>
                <w:color w:val="FF0000"/>
              </w:rPr>
              <w:t>24%</w:t>
            </w:r>
          </w:p>
        </w:tc>
        <w:tc>
          <w:tcPr>
            <w:tcW w:w="1080" w:type="dxa"/>
            <w:shd w:val="clear" w:color="000000" w:fill="FFEAA9"/>
            <w:vAlign w:val="bottom"/>
          </w:tcPr>
          <w:p w14:paraId="25CD7BFB" w14:textId="77777777" w:rsidR="00407D0F" w:rsidRPr="00175377" w:rsidRDefault="00407D0F" w:rsidP="000741BA">
            <w:pPr>
              <w:pStyle w:val="Tabletext"/>
              <w:ind w:left="0" w:right="0"/>
              <w:rPr>
                <w:color w:val="FF0000"/>
              </w:rPr>
            </w:pPr>
            <w:r w:rsidRPr="00175377">
              <w:rPr>
                <w:color w:val="FF0000"/>
              </w:rPr>
              <w:t>22%</w:t>
            </w:r>
          </w:p>
        </w:tc>
      </w:tr>
    </w:tbl>
    <w:p w14:paraId="23CFA969" w14:textId="33F3758F" w:rsidR="00DE5259" w:rsidRPr="00400B3D" w:rsidRDefault="00DF6DE3" w:rsidP="00400B3D">
      <w:pPr>
        <w:pStyle w:val="TableDescription"/>
      </w:pPr>
      <w:bookmarkStart w:id="100" w:name="_Ref63787075"/>
      <w:bookmarkStart w:id="101" w:name="_Ref69983581"/>
      <w:r w:rsidRPr="00400B3D">
        <w:t xml:space="preserve">Abbreviations: </w:t>
      </w:r>
      <w:r w:rsidR="00DE5259" w:rsidRPr="00400B3D">
        <w:t>IC = immune cell; N = total number of subjects; TC = tumour cell.</w:t>
      </w:r>
    </w:p>
    <w:p w14:paraId="716F9D53" w14:textId="0F98CB33" w:rsidR="0004734D" w:rsidRPr="00400B3D" w:rsidRDefault="0004734D" w:rsidP="00400B3D">
      <w:pPr>
        <w:pStyle w:val="TableDescription"/>
      </w:pPr>
      <w:r w:rsidRPr="00400B3D">
        <w:t>Number of patients (top), and percentage of patients (bottom) in each IC category according to SP142 at enrolment in the all-randomised population, with each corresponding TC category.</w:t>
      </w:r>
    </w:p>
    <w:p w14:paraId="39B793B3" w14:textId="36D7E149" w:rsidR="009B4AAF" w:rsidRPr="00400B3D" w:rsidRDefault="009B4AAF" w:rsidP="00400B3D">
      <w:pPr>
        <w:pStyle w:val="TableDescription"/>
      </w:pPr>
      <w:r w:rsidRPr="00400B3D">
        <w:t>Immune cell scoring (PD-L1 expression): IC0 (0 to &lt; 1%); IC1 (1 to &lt; 5%); IC2 (5 to &lt;10%); IC3 (10%+).</w:t>
      </w:r>
    </w:p>
    <w:p w14:paraId="73B827C9" w14:textId="046A631C" w:rsidR="009B4AAF" w:rsidRPr="00400B3D" w:rsidRDefault="009B4AAF" w:rsidP="00400B3D">
      <w:pPr>
        <w:pStyle w:val="TableDescription"/>
      </w:pPr>
      <w:r w:rsidRPr="00400B3D">
        <w:t>Tumour cell scoring (PD-L1 expression): TC0 (0 to &lt;1%); TC1 (1 to &lt; 5%); TC2 (5 to &lt; 50%); TC3 (50%+).</w:t>
      </w:r>
    </w:p>
    <w:p w14:paraId="0F928970" w14:textId="5FDDCB20" w:rsidR="000741BA" w:rsidRDefault="0004734D" w:rsidP="00400B3D">
      <w:pPr>
        <w:pStyle w:val="TableDescription"/>
      </w:pPr>
      <w:r w:rsidRPr="00400B3D">
        <w:t>Red text = approximately corresponding to the primary efficacy population (TC3/IC3). Colour gradient for percentages: white = 0, dark yellow = 100.</w:t>
      </w:r>
      <w:bookmarkEnd w:id="100"/>
      <w:bookmarkEnd w:id="101"/>
      <w:r w:rsidR="000741BA">
        <w:br w:type="page"/>
      </w:r>
    </w:p>
    <w:p w14:paraId="7F512269" w14:textId="77AAEDC5" w:rsidR="006E5289" w:rsidRPr="00DE5259" w:rsidRDefault="006E5289" w:rsidP="00400B3D">
      <w:pPr>
        <w:pStyle w:val="TableTitle"/>
      </w:pPr>
      <w:r w:rsidRPr="00DE5259">
        <w:lastRenderedPageBreak/>
        <w:t xml:space="preserve">Table </w:t>
      </w:r>
      <w:fldSimple w:instr=" SEQ Table \* ARABIC ">
        <w:r w:rsidR="00C05B15">
          <w:rPr>
            <w:noProof/>
          </w:rPr>
          <w:t>24</w:t>
        </w:r>
      </w:fldSimple>
      <w:r w:rsidRPr="00DE5259">
        <w:t xml:space="preserve">: </w:t>
      </w:r>
      <w:r w:rsidR="009258F9" w:rsidRPr="00DE5259">
        <w:t>IMPOWER</w:t>
      </w:r>
      <w:r w:rsidRPr="00DE5259">
        <w:t xml:space="preserve">110 trial (Study GO29431) Sponsor-supplied breakdown of number and percentage of patients in each </w:t>
      </w:r>
      <w:r w:rsidR="00013622" w:rsidRPr="00B50F71">
        <w:t>tumour cell</w:t>
      </w:r>
      <w:r w:rsidR="00013622" w:rsidRPr="00DE5259" w:rsidDel="00013622">
        <w:t xml:space="preserve"> </w:t>
      </w:r>
      <w:r w:rsidRPr="00DE5259">
        <w:t>category according to SP142 at enrolment who had each corresponding re-test category according to SP263 or 22C3 (all randomised population)</w:t>
      </w:r>
    </w:p>
    <w:tbl>
      <w:tblPr>
        <w:tblStyle w:val="TableTGAblue"/>
        <w:tblW w:w="8108" w:type="dxa"/>
        <w:tblLayout w:type="fixed"/>
        <w:tblCellMar>
          <w:left w:w="28" w:type="dxa"/>
          <w:right w:w="28" w:type="dxa"/>
        </w:tblCellMar>
        <w:tblLook w:val="0420" w:firstRow="1" w:lastRow="0" w:firstColumn="0" w:lastColumn="0" w:noHBand="0" w:noVBand="1"/>
      </w:tblPr>
      <w:tblGrid>
        <w:gridCol w:w="1588"/>
        <w:gridCol w:w="850"/>
        <w:gridCol w:w="851"/>
        <w:gridCol w:w="708"/>
        <w:gridCol w:w="851"/>
        <w:gridCol w:w="850"/>
        <w:gridCol w:w="851"/>
        <w:gridCol w:w="709"/>
        <w:gridCol w:w="850"/>
      </w:tblGrid>
      <w:tr w:rsidR="00407D0F" w:rsidRPr="003B78C4" w14:paraId="179B55B9" w14:textId="77777777" w:rsidTr="00DF6DE3">
        <w:trPr>
          <w:cnfStyle w:val="100000000000" w:firstRow="1" w:lastRow="0" w:firstColumn="0" w:lastColumn="0" w:oddVBand="0" w:evenVBand="0" w:oddHBand="0" w:evenHBand="0" w:firstRowFirstColumn="0" w:firstRowLastColumn="0" w:lastRowFirstColumn="0" w:lastRowLastColumn="0"/>
          <w:trHeight w:val="20"/>
        </w:trPr>
        <w:tc>
          <w:tcPr>
            <w:tcW w:w="1588"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3C02DC1" w14:textId="77777777" w:rsidR="00407D0F" w:rsidRPr="006E5289" w:rsidRDefault="00407D0F" w:rsidP="000741BA">
            <w:pPr>
              <w:pStyle w:val="Tabletext"/>
              <w:ind w:left="0" w:right="0"/>
            </w:pPr>
          </w:p>
        </w:tc>
        <w:tc>
          <w:tcPr>
            <w:tcW w:w="3260"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EA820D4" w14:textId="1AEB93D2" w:rsidR="00407D0F" w:rsidRPr="00B178E4" w:rsidRDefault="00407D0F" w:rsidP="00B178E4">
            <w:pPr>
              <w:rPr>
                <w:sz w:val="20"/>
              </w:rPr>
            </w:pPr>
            <w:r w:rsidRPr="00B178E4">
              <w:rPr>
                <w:sz w:val="20"/>
              </w:rPr>
              <w:t>Chemotherapy (N</w:t>
            </w:r>
            <w:r w:rsidR="009B4AAF" w:rsidRPr="00B178E4">
              <w:rPr>
                <w:sz w:val="20"/>
              </w:rPr>
              <w:t xml:space="preserve"> </w:t>
            </w:r>
            <w:r w:rsidRPr="00B178E4">
              <w:rPr>
                <w:sz w:val="20"/>
              </w:rPr>
              <w:t>=</w:t>
            </w:r>
            <w:r w:rsidR="009B4AAF" w:rsidRPr="00B178E4">
              <w:rPr>
                <w:sz w:val="20"/>
              </w:rPr>
              <w:t xml:space="preserve"> </w:t>
            </w:r>
            <w:r w:rsidRPr="00B178E4">
              <w:rPr>
                <w:sz w:val="20"/>
              </w:rPr>
              <w:t>287)</w:t>
            </w:r>
          </w:p>
        </w:tc>
        <w:tc>
          <w:tcPr>
            <w:tcW w:w="3260"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3002514" w14:textId="3A35A3B1" w:rsidR="00407D0F" w:rsidRPr="00B178E4" w:rsidRDefault="00407D0F" w:rsidP="00B178E4">
            <w:pPr>
              <w:rPr>
                <w:sz w:val="20"/>
              </w:rPr>
            </w:pPr>
            <w:r w:rsidRPr="00B178E4">
              <w:rPr>
                <w:sz w:val="20"/>
              </w:rPr>
              <w:t>Atezolizumab (N</w:t>
            </w:r>
            <w:r w:rsidR="009B4AAF" w:rsidRPr="00B178E4">
              <w:rPr>
                <w:sz w:val="20"/>
              </w:rPr>
              <w:t xml:space="preserve"> </w:t>
            </w:r>
            <w:r w:rsidRPr="00B178E4">
              <w:rPr>
                <w:sz w:val="20"/>
              </w:rPr>
              <w:t>=</w:t>
            </w:r>
            <w:r w:rsidR="009B4AAF" w:rsidRPr="00B178E4">
              <w:rPr>
                <w:sz w:val="20"/>
              </w:rPr>
              <w:t xml:space="preserve"> </w:t>
            </w:r>
            <w:r w:rsidRPr="00B178E4">
              <w:rPr>
                <w:sz w:val="20"/>
              </w:rPr>
              <w:t>285)</w:t>
            </w:r>
          </w:p>
        </w:tc>
      </w:tr>
      <w:tr w:rsidR="00407D0F" w:rsidRPr="003B78C4" w14:paraId="1A3EC821" w14:textId="77777777" w:rsidTr="00DF6DE3">
        <w:trPr>
          <w:trHeight w:val="20"/>
        </w:trPr>
        <w:tc>
          <w:tcPr>
            <w:tcW w:w="8108" w:type="dxa"/>
            <w:gridSpan w:val="9"/>
            <w:vAlign w:val="center"/>
          </w:tcPr>
          <w:p w14:paraId="3D344B6F" w14:textId="77777777" w:rsidR="00407D0F" w:rsidRPr="00B178E4" w:rsidRDefault="00407D0F" w:rsidP="00B178E4">
            <w:pPr>
              <w:rPr>
                <w:b/>
              </w:rPr>
            </w:pPr>
            <w:r w:rsidRPr="00B178E4">
              <w:rPr>
                <w:b/>
                <w:sz w:val="20"/>
              </w:rPr>
              <w:t>Absolute number of patients</w:t>
            </w:r>
          </w:p>
        </w:tc>
      </w:tr>
      <w:tr w:rsidR="00407D0F" w:rsidRPr="003B78C4" w14:paraId="00B11EC8" w14:textId="77777777" w:rsidTr="00DF6DE3">
        <w:trPr>
          <w:trHeight w:val="281"/>
        </w:trPr>
        <w:tc>
          <w:tcPr>
            <w:tcW w:w="1588" w:type="dxa"/>
          </w:tcPr>
          <w:p w14:paraId="7590558E" w14:textId="77777777" w:rsidR="00407D0F" w:rsidRPr="00EB1479" w:rsidRDefault="00407D0F" w:rsidP="000741BA">
            <w:pPr>
              <w:pStyle w:val="Tabletext"/>
              <w:ind w:left="0" w:right="0"/>
              <w:rPr>
                <w:rFonts w:asciiTheme="minorHAnsi" w:hAnsiTheme="minorHAnsi" w:cs="Calibri"/>
              </w:rPr>
            </w:pPr>
          </w:p>
        </w:tc>
        <w:tc>
          <w:tcPr>
            <w:tcW w:w="850" w:type="dxa"/>
          </w:tcPr>
          <w:p w14:paraId="3D2F11F0" w14:textId="77777777" w:rsidR="00407D0F" w:rsidRPr="00B178E4" w:rsidRDefault="00407D0F" w:rsidP="00B178E4">
            <w:pPr>
              <w:pStyle w:val="Tabletext"/>
              <w:ind w:left="0" w:right="0"/>
              <w:jc w:val="center"/>
              <w:rPr>
                <w:rFonts w:cs="Calibri"/>
                <w:b/>
                <w:bCs/>
                <w:lang w:val="en-US"/>
              </w:rPr>
            </w:pPr>
            <w:r w:rsidRPr="00B178E4">
              <w:rPr>
                <w:rFonts w:cs="Calibri"/>
                <w:b/>
                <w:bCs/>
                <w:lang w:val="en-US"/>
              </w:rPr>
              <w:t>TC0</w:t>
            </w:r>
          </w:p>
          <w:p w14:paraId="51CFE6A6" w14:textId="77777777" w:rsidR="00407D0F" w:rsidRPr="00175377" w:rsidRDefault="00407D0F" w:rsidP="00B178E4">
            <w:pPr>
              <w:pStyle w:val="Tabletext"/>
              <w:ind w:left="0" w:right="0"/>
              <w:jc w:val="center"/>
              <w:rPr>
                <w:rFonts w:cs="Calibri"/>
                <w:bCs/>
                <w:lang w:val="en-US"/>
              </w:rPr>
            </w:pPr>
            <w:r w:rsidRPr="00175377">
              <w:rPr>
                <w:rFonts w:cs="Calibri"/>
                <w:bCs/>
                <w:lang w:val="en-US"/>
              </w:rPr>
              <w:t>N=127</w:t>
            </w:r>
          </w:p>
        </w:tc>
        <w:tc>
          <w:tcPr>
            <w:tcW w:w="851" w:type="dxa"/>
          </w:tcPr>
          <w:p w14:paraId="2FD04C91" w14:textId="77777777" w:rsidR="00407D0F" w:rsidRPr="00B178E4" w:rsidRDefault="00407D0F" w:rsidP="00B178E4">
            <w:pPr>
              <w:pStyle w:val="Tabletext"/>
              <w:ind w:left="0" w:right="0"/>
              <w:jc w:val="center"/>
              <w:rPr>
                <w:rFonts w:cs="Calibri"/>
                <w:b/>
                <w:bCs/>
                <w:lang w:val="en-US"/>
              </w:rPr>
            </w:pPr>
            <w:r w:rsidRPr="00B178E4">
              <w:rPr>
                <w:rFonts w:cs="Calibri"/>
                <w:b/>
                <w:bCs/>
                <w:lang w:val="en-US"/>
              </w:rPr>
              <w:t>TC1</w:t>
            </w:r>
          </w:p>
          <w:p w14:paraId="65161D7B" w14:textId="77777777" w:rsidR="00407D0F" w:rsidRPr="00175377" w:rsidRDefault="00407D0F" w:rsidP="00B178E4">
            <w:pPr>
              <w:pStyle w:val="Tabletext"/>
              <w:ind w:left="0" w:right="0"/>
              <w:jc w:val="center"/>
              <w:rPr>
                <w:rFonts w:cs="Calibri"/>
                <w:bCs/>
                <w:lang w:val="en-US"/>
              </w:rPr>
            </w:pPr>
            <w:r w:rsidRPr="00175377">
              <w:rPr>
                <w:rFonts w:cs="Calibri"/>
                <w:bCs/>
                <w:lang w:val="en-US"/>
              </w:rPr>
              <w:t>N=32</w:t>
            </w:r>
          </w:p>
        </w:tc>
        <w:tc>
          <w:tcPr>
            <w:tcW w:w="708" w:type="dxa"/>
          </w:tcPr>
          <w:p w14:paraId="1C75EA7A" w14:textId="77777777" w:rsidR="00407D0F" w:rsidRPr="00B178E4" w:rsidRDefault="00407D0F" w:rsidP="00B178E4">
            <w:pPr>
              <w:pStyle w:val="Tabletext"/>
              <w:ind w:left="0" w:right="0"/>
              <w:jc w:val="center"/>
              <w:rPr>
                <w:rFonts w:cs="Calibri"/>
                <w:b/>
                <w:bCs/>
                <w:lang w:val="en-US"/>
              </w:rPr>
            </w:pPr>
            <w:r w:rsidRPr="00B178E4">
              <w:rPr>
                <w:rFonts w:cs="Calibri"/>
                <w:b/>
                <w:bCs/>
                <w:lang w:val="en-US"/>
              </w:rPr>
              <w:t>TC2</w:t>
            </w:r>
          </w:p>
          <w:p w14:paraId="72B10849" w14:textId="77777777" w:rsidR="00407D0F" w:rsidRPr="00175377" w:rsidRDefault="00407D0F" w:rsidP="00B178E4">
            <w:pPr>
              <w:pStyle w:val="Tabletext"/>
              <w:ind w:left="0" w:right="0"/>
              <w:jc w:val="center"/>
              <w:rPr>
                <w:rFonts w:cs="Calibri"/>
                <w:bCs/>
                <w:lang w:val="en-US"/>
              </w:rPr>
            </w:pPr>
            <w:r w:rsidRPr="00175377">
              <w:rPr>
                <w:rFonts w:cs="Calibri"/>
                <w:bCs/>
                <w:lang w:val="en-US"/>
              </w:rPr>
              <w:t>N=55</w:t>
            </w:r>
          </w:p>
        </w:tc>
        <w:tc>
          <w:tcPr>
            <w:tcW w:w="851" w:type="dxa"/>
          </w:tcPr>
          <w:p w14:paraId="0C97BAAE" w14:textId="77777777" w:rsidR="00407D0F" w:rsidRPr="00B178E4" w:rsidRDefault="00407D0F" w:rsidP="00B178E4">
            <w:pPr>
              <w:pStyle w:val="Tabletext"/>
              <w:ind w:left="0" w:right="0"/>
              <w:jc w:val="center"/>
              <w:rPr>
                <w:rFonts w:cs="Calibri"/>
                <w:b/>
                <w:bCs/>
                <w:lang w:val="en-US"/>
              </w:rPr>
            </w:pPr>
            <w:r w:rsidRPr="00B178E4">
              <w:rPr>
                <w:rFonts w:cs="Calibri"/>
                <w:b/>
                <w:bCs/>
                <w:lang w:val="en-US"/>
              </w:rPr>
              <w:t>TC3</w:t>
            </w:r>
          </w:p>
          <w:p w14:paraId="33E156E4" w14:textId="7A2E8DF2" w:rsidR="00407D0F" w:rsidRPr="00175377" w:rsidRDefault="00407D0F" w:rsidP="00B178E4">
            <w:pPr>
              <w:pStyle w:val="Tabletext"/>
              <w:ind w:left="0" w:right="0"/>
              <w:jc w:val="center"/>
              <w:rPr>
                <w:rFonts w:cs="Calibri"/>
                <w:bCs/>
                <w:lang w:val="en-US"/>
              </w:rPr>
            </w:pPr>
            <w:r w:rsidRPr="00175377">
              <w:rPr>
                <w:rFonts w:cs="Calibri"/>
                <w:bCs/>
                <w:lang w:val="en-US"/>
              </w:rPr>
              <w:t>N=73</w:t>
            </w:r>
          </w:p>
        </w:tc>
        <w:tc>
          <w:tcPr>
            <w:tcW w:w="850" w:type="dxa"/>
          </w:tcPr>
          <w:p w14:paraId="66CF2CB6" w14:textId="77777777" w:rsidR="00407D0F" w:rsidRPr="00B178E4" w:rsidRDefault="00407D0F" w:rsidP="00B178E4">
            <w:pPr>
              <w:pStyle w:val="Tabletext"/>
              <w:ind w:left="0" w:right="0"/>
              <w:jc w:val="center"/>
              <w:rPr>
                <w:rFonts w:cs="Calibri"/>
                <w:b/>
                <w:bCs/>
                <w:lang w:val="en-US"/>
              </w:rPr>
            </w:pPr>
            <w:r w:rsidRPr="00B178E4">
              <w:rPr>
                <w:rFonts w:cs="Calibri"/>
                <w:b/>
                <w:bCs/>
                <w:lang w:val="en-US"/>
              </w:rPr>
              <w:t>TC0</w:t>
            </w:r>
          </w:p>
          <w:p w14:paraId="34F331B0" w14:textId="67087732" w:rsidR="00407D0F" w:rsidRPr="00175377" w:rsidRDefault="00407D0F" w:rsidP="00B178E4">
            <w:pPr>
              <w:pStyle w:val="Tabletext"/>
              <w:ind w:left="0" w:right="0"/>
              <w:jc w:val="center"/>
              <w:rPr>
                <w:rFonts w:cs="Calibri"/>
                <w:bCs/>
                <w:lang w:val="en-US"/>
              </w:rPr>
            </w:pPr>
            <w:r w:rsidRPr="00175377">
              <w:rPr>
                <w:rFonts w:cs="Calibri"/>
                <w:bCs/>
                <w:lang w:val="en-US"/>
              </w:rPr>
              <w:t>N=120</w:t>
            </w:r>
          </w:p>
        </w:tc>
        <w:tc>
          <w:tcPr>
            <w:tcW w:w="851" w:type="dxa"/>
          </w:tcPr>
          <w:p w14:paraId="70C5F22B" w14:textId="77777777" w:rsidR="00407D0F" w:rsidRPr="00B178E4" w:rsidRDefault="00407D0F" w:rsidP="00B178E4">
            <w:pPr>
              <w:pStyle w:val="Tabletext"/>
              <w:ind w:left="0" w:right="0"/>
              <w:jc w:val="center"/>
              <w:rPr>
                <w:rFonts w:cs="Calibri"/>
                <w:b/>
                <w:bCs/>
                <w:lang w:val="en-US"/>
              </w:rPr>
            </w:pPr>
            <w:r w:rsidRPr="00B178E4">
              <w:rPr>
                <w:rFonts w:cs="Calibri"/>
                <w:b/>
                <w:bCs/>
                <w:lang w:val="en-US"/>
              </w:rPr>
              <w:t>TC1</w:t>
            </w:r>
          </w:p>
          <w:p w14:paraId="74E85587" w14:textId="77777777" w:rsidR="00407D0F" w:rsidRPr="00175377" w:rsidRDefault="00407D0F" w:rsidP="00B178E4">
            <w:pPr>
              <w:pStyle w:val="Tabletext"/>
              <w:ind w:left="0" w:right="0"/>
              <w:jc w:val="center"/>
              <w:rPr>
                <w:rFonts w:cs="Calibri"/>
                <w:bCs/>
                <w:lang w:val="en-US"/>
              </w:rPr>
            </w:pPr>
            <w:r w:rsidRPr="00175377">
              <w:rPr>
                <w:rFonts w:cs="Calibri"/>
                <w:bCs/>
                <w:lang w:val="en-US"/>
              </w:rPr>
              <w:t>N=32</w:t>
            </w:r>
          </w:p>
        </w:tc>
        <w:tc>
          <w:tcPr>
            <w:tcW w:w="709" w:type="dxa"/>
          </w:tcPr>
          <w:p w14:paraId="10260A44" w14:textId="77777777" w:rsidR="00407D0F" w:rsidRPr="00B178E4" w:rsidRDefault="00407D0F" w:rsidP="00B178E4">
            <w:pPr>
              <w:pStyle w:val="Tabletext"/>
              <w:ind w:left="0" w:right="0"/>
              <w:jc w:val="center"/>
              <w:rPr>
                <w:rFonts w:cs="Calibri"/>
                <w:b/>
                <w:bCs/>
                <w:lang w:val="en-US"/>
              </w:rPr>
            </w:pPr>
            <w:r w:rsidRPr="00B178E4">
              <w:rPr>
                <w:rFonts w:cs="Calibri"/>
                <w:b/>
                <w:bCs/>
                <w:lang w:val="en-US"/>
              </w:rPr>
              <w:t>TC2</w:t>
            </w:r>
          </w:p>
          <w:p w14:paraId="1E648DAD" w14:textId="77777777" w:rsidR="00407D0F" w:rsidRPr="00175377" w:rsidRDefault="00407D0F" w:rsidP="00B178E4">
            <w:pPr>
              <w:pStyle w:val="Tabletext"/>
              <w:ind w:left="0" w:right="0"/>
              <w:jc w:val="center"/>
              <w:rPr>
                <w:rFonts w:cs="Calibri"/>
                <w:bCs/>
                <w:lang w:val="en-US"/>
              </w:rPr>
            </w:pPr>
            <w:r w:rsidRPr="00175377">
              <w:rPr>
                <w:rFonts w:cs="Calibri"/>
                <w:bCs/>
                <w:lang w:val="en-US"/>
              </w:rPr>
              <w:t>N=59</w:t>
            </w:r>
          </w:p>
        </w:tc>
        <w:tc>
          <w:tcPr>
            <w:tcW w:w="850" w:type="dxa"/>
          </w:tcPr>
          <w:p w14:paraId="129BD774" w14:textId="77777777" w:rsidR="00407D0F" w:rsidRPr="00B178E4" w:rsidRDefault="00407D0F" w:rsidP="00B178E4">
            <w:pPr>
              <w:pStyle w:val="Tabletext"/>
              <w:ind w:left="0" w:right="0"/>
              <w:jc w:val="center"/>
              <w:rPr>
                <w:rFonts w:cs="Calibri"/>
                <w:b/>
                <w:bCs/>
                <w:lang w:val="en-US"/>
              </w:rPr>
            </w:pPr>
            <w:r w:rsidRPr="00B178E4">
              <w:rPr>
                <w:rFonts w:cs="Calibri"/>
                <w:b/>
                <w:bCs/>
                <w:lang w:val="en-US"/>
              </w:rPr>
              <w:t>TC3</w:t>
            </w:r>
          </w:p>
          <w:p w14:paraId="7FA53A0E" w14:textId="4AD1A3C9" w:rsidR="00407D0F" w:rsidRPr="00175377" w:rsidRDefault="00407D0F" w:rsidP="00B178E4">
            <w:pPr>
              <w:pStyle w:val="Tabletext"/>
              <w:ind w:left="0" w:right="0"/>
              <w:jc w:val="center"/>
              <w:rPr>
                <w:rFonts w:cs="Calibri"/>
                <w:bCs/>
                <w:lang w:val="en-US"/>
              </w:rPr>
            </w:pPr>
            <w:r w:rsidRPr="00175377">
              <w:rPr>
                <w:rFonts w:cs="Calibri"/>
                <w:bCs/>
                <w:lang w:val="en-US"/>
              </w:rPr>
              <w:t>N=74</w:t>
            </w:r>
          </w:p>
        </w:tc>
      </w:tr>
      <w:tr w:rsidR="00407D0F" w:rsidRPr="003B78C4" w14:paraId="267029C1" w14:textId="77777777" w:rsidTr="00DF6DE3">
        <w:trPr>
          <w:trHeight w:val="223"/>
        </w:trPr>
        <w:tc>
          <w:tcPr>
            <w:tcW w:w="1588" w:type="dxa"/>
          </w:tcPr>
          <w:p w14:paraId="25F67D27" w14:textId="77777777" w:rsidR="00407D0F" w:rsidRPr="00B178E4" w:rsidRDefault="00407D0F" w:rsidP="00B178E4">
            <w:pPr>
              <w:pStyle w:val="Tabletext"/>
              <w:ind w:left="0" w:right="0"/>
              <w:jc w:val="right"/>
              <w:rPr>
                <w:rFonts w:cs="Calibri"/>
                <w:b/>
                <w:bCs/>
                <w:color w:val="auto"/>
                <w:lang w:val="en-US"/>
              </w:rPr>
            </w:pPr>
            <w:r w:rsidRPr="00B178E4">
              <w:rPr>
                <w:rFonts w:cs="Calibri"/>
                <w:b/>
                <w:bCs/>
                <w:lang w:val="en-US"/>
              </w:rPr>
              <w:t>SP263 evaluable</w:t>
            </w:r>
          </w:p>
        </w:tc>
        <w:tc>
          <w:tcPr>
            <w:tcW w:w="3260" w:type="dxa"/>
            <w:gridSpan w:val="4"/>
          </w:tcPr>
          <w:p w14:paraId="7C2C183C" w14:textId="77777777" w:rsidR="00407D0F" w:rsidRPr="00477E1D" w:rsidRDefault="00407D0F" w:rsidP="00B178E4">
            <w:pPr>
              <w:pStyle w:val="Tabletext"/>
              <w:ind w:left="0" w:right="0"/>
              <w:jc w:val="center"/>
              <w:rPr>
                <w:rFonts w:cs="Calibri"/>
              </w:rPr>
            </w:pPr>
            <w:r w:rsidRPr="00477E1D">
              <w:rPr>
                <w:rFonts w:cs="Calibri"/>
              </w:rPr>
              <w:t>n=285 (99%)</w:t>
            </w:r>
          </w:p>
        </w:tc>
        <w:tc>
          <w:tcPr>
            <w:tcW w:w="3260" w:type="dxa"/>
            <w:gridSpan w:val="4"/>
          </w:tcPr>
          <w:p w14:paraId="42AA9DAF" w14:textId="77777777" w:rsidR="00407D0F" w:rsidRPr="00477E1D" w:rsidRDefault="00407D0F" w:rsidP="00B178E4">
            <w:pPr>
              <w:pStyle w:val="Tabletext"/>
              <w:ind w:left="0" w:right="0"/>
              <w:jc w:val="center"/>
              <w:rPr>
                <w:rFonts w:cs="Calibri"/>
              </w:rPr>
            </w:pPr>
            <w:r w:rsidRPr="00477E1D">
              <w:rPr>
                <w:rFonts w:cs="Calibri"/>
              </w:rPr>
              <w:t>n=279 (98%)</w:t>
            </w:r>
          </w:p>
        </w:tc>
      </w:tr>
      <w:tr w:rsidR="00407D0F" w:rsidRPr="003B78C4" w14:paraId="723E5346" w14:textId="77777777" w:rsidTr="00DF6DE3">
        <w:trPr>
          <w:trHeight w:val="223"/>
        </w:trPr>
        <w:tc>
          <w:tcPr>
            <w:tcW w:w="1588" w:type="dxa"/>
          </w:tcPr>
          <w:p w14:paraId="37FE8929" w14:textId="202EEC2E" w:rsidR="00407D0F" w:rsidRPr="00B178E4" w:rsidRDefault="00407D0F" w:rsidP="00B178E4">
            <w:pPr>
              <w:pStyle w:val="Tabletext"/>
              <w:ind w:left="0" w:right="0"/>
              <w:jc w:val="right"/>
              <w:rPr>
                <w:rFonts w:cs="Calibri"/>
                <w:b/>
                <w:color w:val="auto"/>
                <w:lang w:val="en-US"/>
              </w:rPr>
            </w:pPr>
            <w:r w:rsidRPr="00B178E4">
              <w:rPr>
                <w:rFonts w:cs="Calibri"/>
                <w:b/>
                <w:lang w:val="en-US"/>
              </w:rPr>
              <w:t>TC</w:t>
            </w:r>
            <w:r w:rsidR="009B4AAF">
              <w:rPr>
                <w:rFonts w:cs="Calibri"/>
                <w:b/>
                <w:color w:val="auto"/>
                <w:lang w:val="en-US"/>
              </w:rPr>
              <w:t xml:space="preserve"> </w:t>
            </w:r>
            <w:r w:rsidRPr="00B178E4">
              <w:rPr>
                <w:rFonts w:cs="Calibri"/>
                <w:b/>
                <w:lang w:val="en-US"/>
              </w:rPr>
              <w:t>≥</w:t>
            </w:r>
            <w:r w:rsidR="009B4AAF">
              <w:rPr>
                <w:rFonts w:cs="Calibri"/>
                <w:b/>
                <w:color w:val="auto"/>
                <w:lang w:val="en-US"/>
              </w:rPr>
              <w:t xml:space="preserve"> </w:t>
            </w:r>
            <w:r w:rsidRPr="00B178E4">
              <w:rPr>
                <w:rFonts w:cs="Calibri"/>
                <w:b/>
                <w:lang w:val="en-US"/>
              </w:rPr>
              <w:t>50%</w:t>
            </w:r>
          </w:p>
        </w:tc>
        <w:tc>
          <w:tcPr>
            <w:tcW w:w="850" w:type="dxa"/>
            <w:vAlign w:val="center"/>
          </w:tcPr>
          <w:p w14:paraId="3AE0BEA4" w14:textId="77777777" w:rsidR="00407D0F" w:rsidRPr="00477E1D" w:rsidRDefault="00407D0F" w:rsidP="00B178E4">
            <w:pPr>
              <w:pStyle w:val="Tabletext"/>
              <w:ind w:left="0" w:right="0"/>
              <w:jc w:val="center"/>
              <w:rPr>
                <w:rFonts w:cs="Calibri"/>
                <w:szCs w:val="19"/>
              </w:rPr>
            </w:pPr>
            <w:r w:rsidRPr="00477E1D">
              <w:rPr>
                <w:rFonts w:cs="Calibri"/>
                <w:color w:val="000000"/>
                <w:szCs w:val="19"/>
              </w:rPr>
              <w:t>18</w:t>
            </w:r>
          </w:p>
        </w:tc>
        <w:tc>
          <w:tcPr>
            <w:tcW w:w="851" w:type="dxa"/>
            <w:vAlign w:val="center"/>
          </w:tcPr>
          <w:p w14:paraId="5AFE5DC3" w14:textId="77777777" w:rsidR="00407D0F" w:rsidRPr="00477E1D" w:rsidRDefault="00407D0F" w:rsidP="00B178E4">
            <w:pPr>
              <w:pStyle w:val="Tabletext"/>
              <w:ind w:left="0" w:right="0"/>
              <w:jc w:val="center"/>
              <w:rPr>
                <w:rFonts w:cs="Calibri"/>
                <w:szCs w:val="19"/>
              </w:rPr>
            </w:pPr>
            <w:r w:rsidRPr="00477E1D">
              <w:rPr>
                <w:rFonts w:cs="Calibri"/>
                <w:color w:val="000000"/>
                <w:szCs w:val="19"/>
              </w:rPr>
              <w:t>15</w:t>
            </w:r>
          </w:p>
        </w:tc>
        <w:tc>
          <w:tcPr>
            <w:tcW w:w="708" w:type="dxa"/>
            <w:vAlign w:val="center"/>
          </w:tcPr>
          <w:p w14:paraId="6B5FE6EA" w14:textId="77777777" w:rsidR="00407D0F" w:rsidRPr="00477E1D" w:rsidRDefault="00407D0F" w:rsidP="00B178E4">
            <w:pPr>
              <w:pStyle w:val="Tabletext"/>
              <w:ind w:left="0" w:right="0"/>
              <w:jc w:val="center"/>
              <w:rPr>
                <w:rFonts w:cs="Calibri"/>
                <w:szCs w:val="19"/>
              </w:rPr>
            </w:pPr>
            <w:r w:rsidRPr="00477E1D">
              <w:rPr>
                <w:rFonts w:cs="Calibri"/>
                <w:color w:val="000000"/>
                <w:szCs w:val="19"/>
              </w:rPr>
              <w:t>43</w:t>
            </w:r>
          </w:p>
        </w:tc>
        <w:tc>
          <w:tcPr>
            <w:tcW w:w="851" w:type="dxa"/>
            <w:vAlign w:val="center"/>
          </w:tcPr>
          <w:p w14:paraId="592AA07C" w14:textId="77777777" w:rsidR="00407D0F" w:rsidRPr="00477E1D" w:rsidRDefault="00407D0F" w:rsidP="00B178E4">
            <w:pPr>
              <w:pStyle w:val="Tabletext"/>
              <w:ind w:left="0" w:right="0"/>
              <w:jc w:val="center"/>
              <w:rPr>
                <w:rFonts w:cs="Calibri"/>
                <w:szCs w:val="19"/>
              </w:rPr>
            </w:pPr>
            <w:r w:rsidRPr="00477E1D">
              <w:rPr>
                <w:rFonts w:cs="Calibri"/>
                <w:color w:val="000000"/>
                <w:szCs w:val="19"/>
              </w:rPr>
              <w:t>70</w:t>
            </w:r>
          </w:p>
        </w:tc>
        <w:tc>
          <w:tcPr>
            <w:tcW w:w="850" w:type="dxa"/>
            <w:vAlign w:val="center"/>
          </w:tcPr>
          <w:p w14:paraId="535B8A17" w14:textId="77777777" w:rsidR="00407D0F" w:rsidRPr="00477E1D" w:rsidRDefault="00407D0F" w:rsidP="00B178E4">
            <w:pPr>
              <w:pStyle w:val="Tabletext"/>
              <w:ind w:left="0" w:right="0"/>
              <w:jc w:val="center"/>
              <w:rPr>
                <w:rFonts w:cs="Calibri"/>
                <w:szCs w:val="19"/>
              </w:rPr>
            </w:pPr>
            <w:r w:rsidRPr="00477E1D">
              <w:rPr>
                <w:rFonts w:cs="Calibri"/>
                <w:color w:val="000000"/>
                <w:szCs w:val="19"/>
              </w:rPr>
              <w:t>18</w:t>
            </w:r>
          </w:p>
        </w:tc>
        <w:tc>
          <w:tcPr>
            <w:tcW w:w="851" w:type="dxa"/>
            <w:vAlign w:val="center"/>
          </w:tcPr>
          <w:p w14:paraId="79CD7469" w14:textId="77777777" w:rsidR="00407D0F" w:rsidRPr="00477E1D" w:rsidRDefault="00407D0F" w:rsidP="00B178E4">
            <w:pPr>
              <w:pStyle w:val="Tabletext"/>
              <w:ind w:left="0" w:right="0"/>
              <w:jc w:val="center"/>
              <w:rPr>
                <w:rFonts w:cs="Calibri"/>
                <w:szCs w:val="19"/>
              </w:rPr>
            </w:pPr>
            <w:r w:rsidRPr="00477E1D">
              <w:rPr>
                <w:rFonts w:cs="Calibri"/>
                <w:color w:val="000000"/>
                <w:szCs w:val="19"/>
              </w:rPr>
              <w:t>18</w:t>
            </w:r>
          </w:p>
        </w:tc>
        <w:tc>
          <w:tcPr>
            <w:tcW w:w="709" w:type="dxa"/>
            <w:vAlign w:val="center"/>
          </w:tcPr>
          <w:p w14:paraId="59F7DB1A" w14:textId="77777777" w:rsidR="00407D0F" w:rsidRPr="00477E1D" w:rsidRDefault="00407D0F" w:rsidP="00B178E4">
            <w:pPr>
              <w:pStyle w:val="Tabletext"/>
              <w:ind w:left="0" w:right="0"/>
              <w:jc w:val="center"/>
              <w:rPr>
                <w:rFonts w:cs="Calibri"/>
                <w:szCs w:val="19"/>
              </w:rPr>
            </w:pPr>
            <w:r w:rsidRPr="00477E1D">
              <w:rPr>
                <w:rFonts w:cs="Calibri"/>
                <w:color w:val="000000"/>
                <w:szCs w:val="19"/>
              </w:rPr>
              <w:t>49</w:t>
            </w:r>
          </w:p>
        </w:tc>
        <w:tc>
          <w:tcPr>
            <w:tcW w:w="850" w:type="dxa"/>
            <w:vAlign w:val="center"/>
          </w:tcPr>
          <w:p w14:paraId="149D5122" w14:textId="77777777" w:rsidR="00407D0F" w:rsidRPr="00477E1D" w:rsidRDefault="00407D0F" w:rsidP="00B178E4">
            <w:pPr>
              <w:pStyle w:val="Tabletext"/>
              <w:ind w:left="0" w:right="0"/>
              <w:jc w:val="center"/>
              <w:rPr>
                <w:rFonts w:cs="Calibri"/>
                <w:szCs w:val="19"/>
              </w:rPr>
            </w:pPr>
            <w:r w:rsidRPr="00477E1D">
              <w:rPr>
                <w:rFonts w:cs="Calibri"/>
                <w:color w:val="000000"/>
                <w:szCs w:val="19"/>
              </w:rPr>
              <w:t>70</w:t>
            </w:r>
          </w:p>
        </w:tc>
      </w:tr>
      <w:tr w:rsidR="00407D0F" w:rsidRPr="00EB1479" w14:paraId="2E452E37" w14:textId="77777777" w:rsidTr="00DF6DE3">
        <w:trPr>
          <w:trHeight w:val="223"/>
        </w:trPr>
        <w:tc>
          <w:tcPr>
            <w:tcW w:w="1588" w:type="dxa"/>
          </w:tcPr>
          <w:p w14:paraId="5C0DA109" w14:textId="51DD09E0" w:rsidR="00407D0F" w:rsidRPr="00B178E4" w:rsidRDefault="00407D0F" w:rsidP="00B178E4">
            <w:pPr>
              <w:pStyle w:val="Tabletext"/>
              <w:ind w:left="0" w:right="0"/>
              <w:jc w:val="right"/>
              <w:rPr>
                <w:rFonts w:cs="Calibri"/>
                <w:b/>
                <w:color w:val="auto"/>
                <w:lang w:val="en-US"/>
              </w:rPr>
            </w:pPr>
            <w:r w:rsidRPr="00B178E4">
              <w:rPr>
                <w:rFonts w:cs="Calibri"/>
                <w:b/>
                <w:lang w:val="en-US"/>
              </w:rPr>
              <w:t>TC</w:t>
            </w:r>
            <w:r w:rsidR="009B4AAF">
              <w:rPr>
                <w:rFonts w:cs="Calibri"/>
                <w:b/>
                <w:color w:val="auto"/>
                <w:lang w:val="en-US"/>
              </w:rPr>
              <w:t xml:space="preserve"> </w:t>
            </w:r>
            <w:r w:rsidRPr="00B178E4">
              <w:rPr>
                <w:rFonts w:cs="Calibri"/>
                <w:b/>
                <w:lang w:val="en-US"/>
              </w:rPr>
              <w:t>≥</w:t>
            </w:r>
            <w:r w:rsidR="009B4AAF">
              <w:rPr>
                <w:rFonts w:cs="Calibri"/>
                <w:b/>
                <w:color w:val="auto"/>
                <w:lang w:val="en-US"/>
              </w:rPr>
              <w:t xml:space="preserve"> </w:t>
            </w:r>
            <w:r w:rsidRPr="00B178E4">
              <w:rPr>
                <w:rFonts w:cs="Calibri"/>
                <w:b/>
                <w:lang w:val="en-US"/>
              </w:rPr>
              <w:t>25%</w:t>
            </w:r>
          </w:p>
        </w:tc>
        <w:tc>
          <w:tcPr>
            <w:tcW w:w="850" w:type="dxa"/>
            <w:vAlign w:val="center"/>
          </w:tcPr>
          <w:p w14:paraId="11E7B2CF" w14:textId="77777777" w:rsidR="00407D0F" w:rsidRPr="00477E1D" w:rsidRDefault="00407D0F" w:rsidP="00B178E4">
            <w:pPr>
              <w:pStyle w:val="Tabletext"/>
              <w:ind w:left="0" w:right="0"/>
              <w:jc w:val="center"/>
              <w:rPr>
                <w:rFonts w:cs="Calibri"/>
                <w:szCs w:val="19"/>
              </w:rPr>
            </w:pPr>
            <w:r w:rsidRPr="00477E1D">
              <w:rPr>
                <w:rFonts w:cs="Calibri"/>
                <w:color w:val="000000"/>
                <w:szCs w:val="19"/>
              </w:rPr>
              <w:t>31</w:t>
            </w:r>
          </w:p>
        </w:tc>
        <w:tc>
          <w:tcPr>
            <w:tcW w:w="851" w:type="dxa"/>
            <w:vAlign w:val="center"/>
          </w:tcPr>
          <w:p w14:paraId="00C36F31" w14:textId="77777777" w:rsidR="00407D0F" w:rsidRPr="00477E1D" w:rsidRDefault="00407D0F" w:rsidP="00B178E4">
            <w:pPr>
              <w:pStyle w:val="Tabletext"/>
              <w:ind w:left="0" w:right="0"/>
              <w:jc w:val="center"/>
              <w:rPr>
                <w:rFonts w:cs="Calibri"/>
                <w:szCs w:val="19"/>
              </w:rPr>
            </w:pPr>
            <w:r w:rsidRPr="00477E1D">
              <w:rPr>
                <w:rFonts w:cs="Calibri"/>
                <w:color w:val="000000"/>
                <w:szCs w:val="19"/>
              </w:rPr>
              <w:t>20</w:t>
            </w:r>
          </w:p>
        </w:tc>
        <w:tc>
          <w:tcPr>
            <w:tcW w:w="708" w:type="dxa"/>
            <w:vAlign w:val="center"/>
          </w:tcPr>
          <w:p w14:paraId="648D62EC" w14:textId="77777777" w:rsidR="00407D0F" w:rsidRPr="00477E1D" w:rsidRDefault="00407D0F" w:rsidP="00B178E4">
            <w:pPr>
              <w:pStyle w:val="Tabletext"/>
              <w:ind w:left="0" w:right="0"/>
              <w:jc w:val="center"/>
              <w:rPr>
                <w:rFonts w:cs="Calibri"/>
                <w:szCs w:val="19"/>
              </w:rPr>
            </w:pPr>
            <w:r w:rsidRPr="00477E1D">
              <w:rPr>
                <w:rFonts w:cs="Calibri"/>
                <w:color w:val="000000"/>
                <w:szCs w:val="19"/>
              </w:rPr>
              <w:t>50</w:t>
            </w:r>
          </w:p>
        </w:tc>
        <w:tc>
          <w:tcPr>
            <w:tcW w:w="851" w:type="dxa"/>
            <w:vAlign w:val="center"/>
          </w:tcPr>
          <w:p w14:paraId="1F18D373" w14:textId="77777777" w:rsidR="00407D0F" w:rsidRPr="00477E1D" w:rsidRDefault="00407D0F" w:rsidP="00B178E4">
            <w:pPr>
              <w:pStyle w:val="Tabletext"/>
              <w:ind w:left="0" w:right="0"/>
              <w:jc w:val="center"/>
              <w:rPr>
                <w:rFonts w:cs="Calibri"/>
                <w:szCs w:val="19"/>
              </w:rPr>
            </w:pPr>
            <w:r w:rsidRPr="00477E1D">
              <w:rPr>
                <w:rFonts w:cs="Calibri"/>
                <w:color w:val="000000"/>
                <w:szCs w:val="19"/>
              </w:rPr>
              <w:t>72</w:t>
            </w:r>
          </w:p>
        </w:tc>
        <w:tc>
          <w:tcPr>
            <w:tcW w:w="850" w:type="dxa"/>
            <w:vAlign w:val="center"/>
          </w:tcPr>
          <w:p w14:paraId="1674AE4F" w14:textId="77777777" w:rsidR="00407D0F" w:rsidRPr="00477E1D" w:rsidRDefault="00407D0F" w:rsidP="00B178E4">
            <w:pPr>
              <w:pStyle w:val="Tabletext"/>
              <w:ind w:left="0" w:right="0"/>
              <w:jc w:val="center"/>
              <w:rPr>
                <w:rFonts w:cs="Calibri"/>
                <w:szCs w:val="19"/>
              </w:rPr>
            </w:pPr>
            <w:r w:rsidRPr="00477E1D">
              <w:rPr>
                <w:rFonts w:cs="Calibri"/>
                <w:color w:val="000000"/>
                <w:szCs w:val="19"/>
              </w:rPr>
              <w:t>26</w:t>
            </w:r>
          </w:p>
        </w:tc>
        <w:tc>
          <w:tcPr>
            <w:tcW w:w="851" w:type="dxa"/>
            <w:vAlign w:val="center"/>
          </w:tcPr>
          <w:p w14:paraId="154FC3C6" w14:textId="77777777" w:rsidR="00407D0F" w:rsidRPr="00477E1D" w:rsidRDefault="00407D0F" w:rsidP="00B178E4">
            <w:pPr>
              <w:pStyle w:val="Tabletext"/>
              <w:ind w:left="0" w:right="0"/>
              <w:jc w:val="center"/>
              <w:rPr>
                <w:rFonts w:cs="Calibri"/>
                <w:szCs w:val="19"/>
              </w:rPr>
            </w:pPr>
            <w:r w:rsidRPr="00477E1D">
              <w:rPr>
                <w:rFonts w:cs="Calibri"/>
                <w:color w:val="000000"/>
                <w:szCs w:val="19"/>
              </w:rPr>
              <w:t>22</w:t>
            </w:r>
          </w:p>
        </w:tc>
        <w:tc>
          <w:tcPr>
            <w:tcW w:w="709" w:type="dxa"/>
            <w:vAlign w:val="center"/>
          </w:tcPr>
          <w:p w14:paraId="301649D0" w14:textId="77777777" w:rsidR="00407D0F" w:rsidRPr="00477E1D" w:rsidRDefault="00407D0F" w:rsidP="00B178E4">
            <w:pPr>
              <w:pStyle w:val="Tabletext"/>
              <w:ind w:left="0" w:right="0"/>
              <w:jc w:val="center"/>
              <w:rPr>
                <w:rFonts w:cs="Calibri"/>
                <w:szCs w:val="19"/>
              </w:rPr>
            </w:pPr>
            <w:r w:rsidRPr="00477E1D">
              <w:rPr>
                <w:rFonts w:cs="Calibri"/>
                <w:color w:val="000000"/>
                <w:szCs w:val="19"/>
              </w:rPr>
              <w:t>54</w:t>
            </w:r>
          </w:p>
        </w:tc>
        <w:tc>
          <w:tcPr>
            <w:tcW w:w="850" w:type="dxa"/>
            <w:vAlign w:val="center"/>
          </w:tcPr>
          <w:p w14:paraId="621A83F5" w14:textId="77777777" w:rsidR="00407D0F" w:rsidRPr="00477E1D" w:rsidRDefault="00407D0F" w:rsidP="00B178E4">
            <w:pPr>
              <w:pStyle w:val="Tabletext"/>
              <w:ind w:left="0" w:right="0"/>
              <w:jc w:val="center"/>
              <w:rPr>
                <w:rFonts w:cs="Calibri"/>
                <w:szCs w:val="19"/>
              </w:rPr>
            </w:pPr>
            <w:r w:rsidRPr="00477E1D">
              <w:rPr>
                <w:rFonts w:cs="Calibri"/>
                <w:color w:val="000000"/>
                <w:szCs w:val="19"/>
              </w:rPr>
              <w:t>71</w:t>
            </w:r>
          </w:p>
        </w:tc>
      </w:tr>
      <w:tr w:rsidR="00407D0F" w:rsidRPr="00EB1479" w14:paraId="16BD982D" w14:textId="77777777" w:rsidTr="00DF6DE3">
        <w:trPr>
          <w:trHeight w:val="223"/>
        </w:trPr>
        <w:tc>
          <w:tcPr>
            <w:tcW w:w="1588" w:type="dxa"/>
          </w:tcPr>
          <w:p w14:paraId="2F0AB026" w14:textId="149710C6" w:rsidR="00407D0F" w:rsidRPr="00B178E4" w:rsidRDefault="00407D0F" w:rsidP="00B178E4">
            <w:pPr>
              <w:pStyle w:val="Tabletext"/>
              <w:ind w:left="0" w:right="0"/>
              <w:jc w:val="right"/>
              <w:rPr>
                <w:rFonts w:cs="Calibri"/>
                <w:b/>
                <w:bCs/>
                <w:color w:val="auto"/>
                <w:lang w:val="en-US"/>
              </w:rPr>
            </w:pPr>
            <w:r w:rsidRPr="00B178E4">
              <w:rPr>
                <w:rFonts w:cs="Calibri"/>
                <w:b/>
                <w:lang w:val="en-US"/>
              </w:rPr>
              <w:t>TC</w:t>
            </w:r>
            <w:r w:rsidR="009B4AAF">
              <w:rPr>
                <w:rFonts w:cs="Calibri"/>
                <w:b/>
                <w:color w:val="auto"/>
                <w:lang w:val="en-US"/>
              </w:rPr>
              <w:t xml:space="preserve"> </w:t>
            </w:r>
            <w:r w:rsidRPr="00B178E4">
              <w:rPr>
                <w:rFonts w:cs="Calibri"/>
                <w:b/>
                <w:lang w:val="en-US"/>
              </w:rPr>
              <w:t>≥</w:t>
            </w:r>
            <w:r w:rsidR="009B4AAF">
              <w:rPr>
                <w:rFonts w:cs="Calibri"/>
                <w:b/>
                <w:color w:val="auto"/>
                <w:lang w:val="en-US"/>
              </w:rPr>
              <w:t xml:space="preserve"> </w:t>
            </w:r>
            <w:r w:rsidRPr="00B178E4">
              <w:rPr>
                <w:rFonts w:cs="Calibri"/>
                <w:b/>
                <w:lang w:val="en-US"/>
              </w:rPr>
              <w:t>1%</w:t>
            </w:r>
          </w:p>
        </w:tc>
        <w:tc>
          <w:tcPr>
            <w:tcW w:w="850" w:type="dxa"/>
            <w:vAlign w:val="center"/>
          </w:tcPr>
          <w:p w14:paraId="4814762C" w14:textId="77777777" w:rsidR="00407D0F" w:rsidRPr="00477E1D" w:rsidRDefault="00407D0F" w:rsidP="00B178E4">
            <w:pPr>
              <w:pStyle w:val="Tabletext"/>
              <w:ind w:left="0" w:right="0"/>
              <w:jc w:val="center"/>
              <w:rPr>
                <w:rFonts w:cs="Calibri"/>
                <w:szCs w:val="19"/>
              </w:rPr>
            </w:pPr>
            <w:r w:rsidRPr="00477E1D">
              <w:rPr>
                <w:rFonts w:cs="Calibri"/>
                <w:color w:val="000000"/>
                <w:szCs w:val="19"/>
              </w:rPr>
              <w:t>65</w:t>
            </w:r>
          </w:p>
        </w:tc>
        <w:tc>
          <w:tcPr>
            <w:tcW w:w="851" w:type="dxa"/>
            <w:vAlign w:val="center"/>
          </w:tcPr>
          <w:p w14:paraId="5406640E" w14:textId="77777777" w:rsidR="00407D0F" w:rsidRPr="00477E1D" w:rsidRDefault="00407D0F" w:rsidP="00B178E4">
            <w:pPr>
              <w:pStyle w:val="Tabletext"/>
              <w:ind w:left="0" w:right="0"/>
              <w:jc w:val="center"/>
              <w:rPr>
                <w:rFonts w:cs="Calibri"/>
                <w:szCs w:val="19"/>
              </w:rPr>
            </w:pPr>
            <w:r w:rsidRPr="00477E1D">
              <w:rPr>
                <w:rFonts w:cs="Calibri"/>
                <w:color w:val="000000"/>
                <w:szCs w:val="19"/>
              </w:rPr>
              <w:t>28</w:t>
            </w:r>
          </w:p>
        </w:tc>
        <w:tc>
          <w:tcPr>
            <w:tcW w:w="708" w:type="dxa"/>
            <w:vAlign w:val="center"/>
          </w:tcPr>
          <w:p w14:paraId="14394069" w14:textId="77777777" w:rsidR="00407D0F" w:rsidRPr="00477E1D" w:rsidRDefault="00407D0F" w:rsidP="00B178E4">
            <w:pPr>
              <w:pStyle w:val="Tabletext"/>
              <w:ind w:left="0" w:right="0"/>
              <w:jc w:val="center"/>
              <w:rPr>
                <w:rFonts w:cs="Calibri"/>
                <w:szCs w:val="19"/>
              </w:rPr>
            </w:pPr>
            <w:r w:rsidRPr="00477E1D">
              <w:rPr>
                <w:rFonts w:cs="Calibri"/>
                <w:color w:val="000000"/>
                <w:szCs w:val="19"/>
              </w:rPr>
              <w:t>52</w:t>
            </w:r>
          </w:p>
        </w:tc>
        <w:tc>
          <w:tcPr>
            <w:tcW w:w="851" w:type="dxa"/>
            <w:vAlign w:val="center"/>
          </w:tcPr>
          <w:p w14:paraId="7368AF05" w14:textId="77777777" w:rsidR="00407D0F" w:rsidRPr="00477E1D" w:rsidRDefault="00407D0F" w:rsidP="00B178E4">
            <w:pPr>
              <w:pStyle w:val="Tabletext"/>
              <w:ind w:left="0" w:right="0"/>
              <w:jc w:val="center"/>
              <w:rPr>
                <w:rFonts w:cs="Calibri"/>
                <w:szCs w:val="19"/>
              </w:rPr>
            </w:pPr>
            <w:r w:rsidRPr="00477E1D">
              <w:rPr>
                <w:rFonts w:cs="Calibri"/>
                <w:color w:val="000000"/>
                <w:szCs w:val="19"/>
              </w:rPr>
              <w:t>72</w:t>
            </w:r>
          </w:p>
        </w:tc>
        <w:tc>
          <w:tcPr>
            <w:tcW w:w="850" w:type="dxa"/>
            <w:vAlign w:val="center"/>
          </w:tcPr>
          <w:p w14:paraId="120F3979" w14:textId="77777777" w:rsidR="00407D0F" w:rsidRPr="00477E1D" w:rsidRDefault="00407D0F" w:rsidP="00B178E4">
            <w:pPr>
              <w:pStyle w:val="Tabletext"/>
              <w:ind w:left="0" w:right="0"/>
              <w:jc w:val="center"/>
              <w:rPr>
                <w:rFonts w:cs="Calibri"/>
                <w:szCs w:val="19"/>
              </w:rPr>
            </w:pPr>
            <w:r w:rsidRPr="00477E1D">
              <w:rPr>
                <w:rFonts w:cs="Calibri"/>
                <w:color w:val="000000"/>
                <w:szCs w:val="19"/>
              </w:rPr>
              <w:t>63</w:t>
            </w:r>
          </w:p>
        </w:tc>
        <w:tc>
          <w:tcPr>
            <w:tcW w:w="851" w:type="dxa"/>
            <w:vAlign w:val="center"/>
          </w:tcPr>
          <w:p w14:paraId="6D1C84BC" w14:textId="77777777" w:rsidR="00407D0F" w:rsidRPr="00477E1D" w:rsidRDefault="00407D0F" w:rsidP="00B178E4">
            <w:pPr>
              <w:pStyle w:val="Tabletext"/>
              <w:ind w:left="0" w:right="0"/>
              <w:jc w:val="center"/>
              <w:rPr>
                <w:rFonts w:cs="Calibri"/>
                <w:szCs w:val="19"/>
              </w:rPr>
            </w:pPr>
            <w:r w:rsidRPr="00477E1D">
              <w:rPr>
                <w:rFonts w:cs="Calibri"/>
                <w:color w:val="000000"/>
                <w:szCs w:val="19"/>
              </w:rPr>
              <w:t>27</w:t>
            </w:r>
          </w:p>
        </w:tc>
        <w:tc>
          <w:tcPr>
            <w:tcW w:w="709" w:type="dxa"/>
            <w:vAlign w:val="center"/>
          </w:tcPr>
          <w:p w14:paraId="7A1D1FD2" w14:textId="77777777" w:rsidR="00407D0F" w:rsidRPr="00477E1D" w:rsidRDefault="00407D0F" w:rsidP="00B178E4">
            <w:pPr>
              <w:pStyle w:val="Tabletext"/>
              <w:ind w:left="0" w:right="0"/>
              <w:jc w:val="center"/>
              <w:rPr>
                <w:rFonts w:cs="Calibri"/>
                <w:szCs w:val="19"/>
              </w:rPr>
            </w:pPr>
            <w:r w:rsidRPr="00477E1D">
              <w:rPr>
                <w:rFonts w:cs="Calibri"/>
                <w:color w:val="000000"/>
                <w:szCs w:val="19"/>
              </w:rPr>
              <w:t>57</w:t>
            </w:r>
          </w:p>
        </w:tc>
        <w:tc>
          <w:tcPr>
            <w:tcW w:w="850" w:type="dxa"/>
            <w:vAlign w:val="center"/>
          </w:tcPr>
          <w:p w14:paraId="4A5AC17C" w14:textId="77777777" w:rsidR="00407D0F" w:rsidRPr="00477E1D" w:rsidRDefault="00407D0F" w:rsidP="00B178E4">
            <w:pPr>
              <w:pStyle w:val="Tabletext"/>
              <w:ind w:left="0" w:right="0"/>
              <w:jc w:val="center"/>
              <w:rPr>
                <w:rFonts w:cs="Calibri"/>
                <w:szCs w:val="19"/>
              </w:rPr>
            </w:pPr>
            <w:r w:rsidRPr="00477E1D">
              <w:rPr>
                <w:rFonts w:cs="Calibri"/>
                <w:color w:val="000000"/>
                <w:szCs w:val="19"/>
              </w:rPr>
              <w:t>71</w:t>
            </w:r>
          </w:p>
        </w:tc>
      </w:tr>
      <w:tr w:rsidR="00407D0F" w:rsidRPr="00EB1479" w14:paraId="26B9985F" w14:textId="77777777" w:rsidTr="00DF6DE3">
        <w:trPr>
          <w:trHeight w:val="223"/>
        </w:trPr>
        <w:tc>
          <w:tcPr>
            <w:tcW w:w="1588" w:type="dxa"/>
          </w:tcPr>
          <w:p w14:paraId="0283BFEE" w14:textId="3AB43372" w:rsidR="00407D0F" w:rsidRPr="00B178E4" w:rsidRDefault="00407D0F" w:rsidP="00B178E4">
            <w:pPr>
              <w:pStyle w:val="Tabletext"/>
              <w:ind w:left="0" w:right="0"/>
              <w:jc w:val="right"/>
              <w:rPr>
                <w:rFonts w:cs="Calibri"/>
                <w:b/>
                <w:bCs/>
                <w:lang w:val="en-US"/>
              </w:rPr>
            </w:pPr>
            <w:r w:rsidRPr="00B178E4">
              <w:rPr>
                <w:rFonts w:cs="Calibri"/>
                <w:b/>
                <w:lang w:val="en-US"/>
              </w:rPr>
              <w:t>TC</w:t>
            </w:r>
            <w:r w:rsidR="009B4AAF">
              <w:rPr>
                <w:rFonts w:cs="Calibri"/>
                <w:b/>
                <w:color w:val="auto"/>
                <w:lang w:val="en-US"/>
              </w:rPr>
              <w:t xml:space="preserve"> </w:t>
            </w:r>
            <w:r w:rsidRPr="00B178E4">
              <w:rPr>
                <w:rFonts w:cs="Calibri"/>
                <w:b/>
                <w:lang w:val="en-US"/>
              </w:rPr>
              <w:t>&lt;</w:t>
            </w:r>
            <w:r w:rsidR="009B4AAF">
              <w:rPr>
                <w:rFonts w:cs="Calibri"/>
                <w:b/>
                <w:color w:val="auto"/>
                <w:lang w:val="en-US"/>
              </w:rPr>
              <w:t xml:space="preserve"> </w:t>
            </w:r>
            <w:r w:rsidRPr="00B178E4">
              <w:rPr>
                <w:rFonts w:cs="Calibri"/>
                <w:b/>
                <w:lang w:val="en-US"/>
              </w:rPr>
              <w:t>1%</w:t>
            </w:r>
          </w:p>
        </w:tc>
        <w:tc>
          <w:tcPr>
            <w:tcW w:w="850" w:type="dxa"/>
            <w:vAlign w:val="center"/>
          </w:tcPr>
          <w:p w14:paraId="1366CF2D" w14:textId="77777777" w:rsidR="00407D0F" w:rsidRPr="00477E1D" w:rsidRDefault="00407D0F" w:rsidP="00B178E4">
            <w:pPr>
              <w:pStyle w:val="Tabletext"/>
              <w:ind w:left="0" w:right="0"/>
              <w:jc w:val="center"/>
              <w:rPr>
                <w:rFonts w:cs="Calibri"/>
                <w:szCs w:val="19"/>
              </w:rPr>
            </w:pPr>
            <w:r w:rsidRPr="00477E1D">
              <w:rPr>
                <w:rFonts w:cs="Calibri"/>
                <w:color w:val="000000"/>
                <w:szCs w:val="19"/>
              </w:rPr>
              <w:t>61</w:t>
            </w:r>
          </w:p>
        </w:tc>
        <w:tc>
          <w:tcPr>
            <w:tcW w:w="851" w:type="dxa"/>
            <w:vAlign w:val="center"/>
          </w:tcPr>
          <w:p w14:paraId="6A26B04A" w14:textId="77777777" w:rsidR="00407D0F" w:rsidRPr="00477E1D" w:rsidRDefault="00407D0F" w:rsidP="00B178E4">
            <w:pPr>
              <w:pStyle w:val="Tabletext"/>
              <w:ind w:left="0" w:right="0"/>
              <w:jc w:val="center"/>
              <w:rPr>
                <w:rFonts w:cs="Calibri"/>
                <w:szCs w:val="19"/>
              </w:rPr>
            </w:pPr>
            <w:r w:rsidRPr="00477E1D">
              <w:rPr>
                <w:rFonts w:cs="Calibri"/>
                <w:color w:val="000000"/>
                <w:szCs w:val="19"/>
              </w:rPr>
              <w:t>3</w:t>
            </w:r>
          </w:p>
        </w:tc>
        <w:tc>
          <w:tcPr>
            <w:tcW w:w="708" w:type="dxa"/>
            <w:vAlign w:val="center"/>
          </w:tcPr>
          <w:p w14:paraId="6945E78A" w14:textId="77777777" w:rsidR="00407D0F" w:rsidRPr="00477E1D" w:rsidRDefault="00407D0F" w:rsidP="00B178E4">
            <w:pPr>
              <w:pStyle w:val="Tabletext"/>
              <w:ind w:left="0" w:right="0"/>
              <w:jc w:val="center"/>
              <w:rPr>
                <w:rFonts w:cs="Calibri"/>
                <w:szCs w:val="19"/>
              </w:rPr>
            </w:pPr>
            <w:r w:rsidRPr="00477E1D">
              <w:rPr>
                <w:rFonts w:cs="Calibri"/>
                <w:color w:val="000000"/>
                <w:szCs w:val="19"/>
              </w:rPr>
              <w:t>3</w:t>
            </w:r>
          </w:p>
        </w:tc>
        <w:tc>
          <w:tcPr>
            <w:tcW w:w="851" w:type="dxa"/>
            <w:vAlign w:val="center"/>
          </w:tcPr>
          <w:p w14:paraId="39D07F1C" w14:textId="77777777" w:rsidR="00407D0F" w:rsidRPr="00477E1D" w:rsidRDefault="00407D0F" w:rsidP="00B178E4">
            <w:pPr>
              <w:pStyle w:val="Tabletext"/>
              <w:ind w:left="0" w:right="0"/>
              <w:jc w:val="center"/>
              <w:rPr>
                <w:rFonts w:cs="Calibri"/>
                <w:szCs w:val="19"/>
              </w:rPr>
            </w:pPr>
            <w:r w:rsidRPr="00477E1D">
              <w:rPr>
                <w:rFonts w:cs="Calibri"/>
                <w:color w:val="000000"/>
                <w:szCs w:val="19"/>
              </w:rPr>
              <w:t>1</w:t>
            </w:r>
          </w:p>
        </w:tc>
        <w:tc>
          <w:tcPr>
            <w:tcW w:w="850" w:type="dxa"/>
            <w:vAlign w:val="center"/>
          </w:tcPr>
          <w:p w14:paraId="0EA9372E" w14:textId="77777777" w:rsidR="00407D0F" w:rsidRPr="00477E1D" w:rsidRDefault="00407D0F" w:rsidP="00B178E4">
            <w:pPr>
              <w:pStyle w:val="Tabletext"/>
              <w:ind w:left="0" w:right="0"/>
              <w:jc w:val="center"/>
              <w:rPr>
                <w:rFonts w:cs="Calibri"/>
                <w:szCs w:val="19"/>
              </w:rPr>
            </w:pPr>
            <w:r w:rsidRPr="00477E1D">
              <w:rPr>
                <w:rFonts w:cs="Calibri"/>
                <w:color w:val="000000"/>
                <w:szCs w:val="19"/>
              </w:rPr>
              <w:t>54</w:t>
            </w:r>
          </w:p>
        </w:tc>
        <w:tc>
          <w:tcPr>
            <w:tcW w:w="851" w:type="dxa"/>
            <w:vAlign w:val="center"/>
          </w:tcPr>
          <w:p w14:paraId="0CB6A9AB" w14:textId="77777777" w:rsidR="00407D0F" w:rsidRPr="00477E1D" w:rsidRDefault="00407D0F" w:rsidP="00B178E4">
            <w:pPr>
              <w:pStyle w:val="Tabletext"/>
              <w:ind w:left="0" w:right="0"/>
              <w:jc w:val="center"/>
              <w:rPr>
                <w:rFonts w:cs="Calibri"/>
                <w:szCs w:val="19"/>
              </w:rPr>
            </w:pPr>
            <w:r w:rsidRPr="00477E1D">
              <w:rPr>
                <w:rFonts w:cs="Calibri"/>
                <w:color w:val="000000"/>
                <w:szCs w:val="19"/>
              </w:rPr>
              <w:t>5</w:t>
            </w:r>
          </w:p>
        </w:tc>
        <w:tc>
          <w:tcPr>
            <w:tcW w:w="709" w:type="dxa"/>
            <w:vAlign w:val="center"/>
          </w:tcPr>
          <w:p w14:paraId="5697C34F" w14:textId="77777777" w:rsidR="00407D0F" w:rsidRPr="00477E1D" w:rsidRDefault="00407D0F" w:rsidP="00B178E4">
            <w:pPr>
              <w:pStyle w:val="Tabletext"/>
              <w:ind w:left="0" w:right="0"/>
              <w:jc w:val="center"/>
              <w:rPr>
                <w:rFonts w:cs="Calibri"/>
                <w:szCs w:val="19"/>
              </w:rPr>
            </w:pPr>
            <w:r w:rsidRPr="00477E1D">
              <w:rPr>
                <w:rFonts w:cs="Calibri"/>
                <w:color w:val="000000"/>
                <w:szCs w:val="19"/>
              </w:rPr>
              <w:t>0</w:t>
            </w:r>
          </w:p>
        </w:tc>
        <w:tc>
          <w:tcPr>
            <w:tcW w:w="850" w:type="dxa"/>
            <w:vAlign w:val="center"/>
          </w:tcPr>
          <w:p w14:paraId="172CA4C3" w14:textId="77777777" w:rsidR="00407D0F" w:rsidRPr="00477E1D" w:rsidRDefault="00407D0F" w:rsidP="00B178E4">
            <w:pPr>
              <w:pStyle w:val="Tabletext"/>
              <w:ind w:left="0" w:right="0"/>
              <w:jc w:val="center"/>
              <w:rPr>
                <w:rFonts w:cs="Calibri"/>
                <w:szCs w:val="19"/>
              </w:rPr>
            </w:pPr>
            <w:r w:rsidRPr="00477E1D">
              <w:rPr>
                <w:rFonts w:cs="Calibri"/>
                <w:color w:val="000000"/>
                <w:szCs w:val="19"/>
              </w:rPr>
              <w:t>2</w:t>
            </w:r>
          </w:p>
        </w:tc>
      </w:tr>
      <w:tr w:rsidR="00407D0F" w:rsidRPr="00EB1479" w14:paraId="7AB4B545" w14:textId="77777777" w:rsidTr="00DF6DE3">
        <w:trPr>
          <w:trHeight w:val="223"/>
        </w:trPr>
        <w:tc>
          <w:tcPr>
            <w:tcW w:w="1588" w:type="dxa"/>
          </w:tcPr>
          <w:p w14:paraId="39172B96" w14:textId="77777777" w:rsidR="00407D0F" w:rsidRPr="00B178E4" w:rsidRDefault="00407D0F" w:rsidP="00B178E4">
            <w:pPr>
              <w:pStyle w:val="Tabletext"/>
              <w:ind w:left="0" w:right="0"/>
              <w:jc w:val="right"/>
              <w:rPr>
                <w:rFonts w:cs="Calibri"/>
                <w:b/>
                <w:bCs/>
                <w:lang w:val="en-US"/>
              </w:rPr>
            </w:pPr>
            <w:r w:rsidRPr="00B178E4">
              <w:rPr>
                <w:rFonts w:cs="Calibri"/>
                <w:b/>
                <w:bCs/>
                <w:lang w:val="en-US"/>
              </w:rPr>
              <w:t>22C3 evaluable</w:t>
            </w:r>
          </w:p>
        </w:tc>
        <w:tc>
          <w:tcPr>
            <w:tcW w:w="3260" w:type="dxa"/>
            <w:gridSpan w:val="4"/>
          </w:tcPr>
          <w:p w14:paraId="48EFE060" w14:textId="77777777" w:rsidR="00407D0F" w:rsidRPr="00477E1D" w:rsidRDefault="00407D0F" w:rsidP="00B178E4">
            <w:pPr>
              <w:pStyle w:val="Tabletext"/>
              <w:ind w:left="0" w:right="0"/>
              <w:jc w:val="center"/>
              <w:rPr>
                <w:rFonts w:cs="Calibri"/>
                <w:szCs w:val="19"/>
              </w:rPr>
            </w:pPr>
            <w:r w:rsidRPr="00477E1D">
              <w:rPr>
                <w:rFonts w:cs="Calibri"/>
                <w:szCs w:val="19"/>
              </w:rPr>
              <w:t>n=276 (96%)</w:t>
            </w:r>
          </w:p>
        </w:tc>
        <w:tc>
          <w:tcPr>
            <w:tcW w:w="3260" w:type="dxa"/>
            <w:gridSpan w:val="4"/>
          </w:tcPr>
          <w:p w14:paraId="357F9645" w14:textId="77777777" w:rsidR="00407D0F" w:rsidRPr="00477E1D" w:rsidRDefault="00407D0F" w:rsidP="00B178E4">
            <w:pPr>
              <w:pStyle w:val="Tabletext"/>
              <w:ind w:left="0" w:right="0"/>
              <w:jc w:val="center"/>
              <w:rPr>
                <w:rFonts w:cs="Calibri"/>
                <w:szCs w:val="19"/>
              </w:rPr>
            </w:pPr>
            <w:r w:rsidRPr="00477E1D">
              <w:rPr>
                <w:rFonts w:cs="Calibri"/>
                <w:szCs w:val="19"/>
              </w:rPr>
              <w:t>n=276 (97%)</w:t>
            </w:r>
          </w:p>
        </w:tc>
      </w:tr>
      <w:tr w:rsidR="00407D0F" w:rsidRPr="00EB1479" w14:paraId="1210371B" w14:textId="77777777" w:rsidTr="00DF6DE3">
        <w:trPr>
          <w:trHeight w:val="223"/>
        </w:trPr>
        <w:tc>
          <w:tcPr>
            <w:tcW w:w="1588" w:type="dxa"/>
          </w:tcPr>
          <w:p w14:paraId="019B20F7" w14:textId="0BFEFB43" w:rsidR="00407D0F" w:rsidRPr="00B178E4" w:rsidRDefault="00407D0F" w:rsidP="00B178E4">
            <w:pPr>
              <w:pStyle w:val="Tabletext"/>
              <w:ind w:left="0" w:right="0"/>
              <w:jc w:val="right"/>
              <w:rPr>
                <w:rFonts w:cs="Calibri"/>
                <w:b/>
                <w:bCs/>
                <w:lang w:val="en-US"/>
              </w:rPr>
            </w:pPr>
            <w:r w:rsidRPr="00B178E4">
              <w:rPr>
                <w:rFonts w:cs="Calibri"/>
                <w:b/>
                <w:bCs/>
                <w:lang w:val="en-US"/>
              </w:rPr>
              <w:t>TPS</w:t>
            </w:r>
            <w:r w:rsidR="009B4AAF">
              <w:rPr>
                <w:rFonts w:cs="Calibri"/>
                <w:b/>
                <w:bCs/>
                <w:lang w:val="en-US"/>
              </w:rPr>
              <w:t xml:space="preserve"> </w:t>
            </w:r>
            <w:r w:rsidRPr="00B178E4">
              <w:rPr>
                <w:rFonts w:cs="Calibri"/>
                <w:b/>
                <w:bCs/>
                <w:lang w:val="en-US"/>
              </w:rPr>
              <w:t>≥</w:t>
            </w:r>
            <w:r w:rsidR="009B4AAF">
              <w:rPr>
                <w:rFonts w:cs="Calibri"/>
                <w:b/>
                <w:bCs/>
                <w:lang w:val="en-US"/>
              </w:rPr>
              <w:t xml:space="preserve"> </w:t>
            </w:r>
            <w:r w:rsidRPr="00B178E4">
              <w:rPr>
                <w:rFonts w:cs="Calibri"/>
                <w:b/>
                <w:bCs/>
                <w:lang w:val="en-US"/>
              </w:rPr>
              <w:t>50%</w:t>
            </w:r>
          </w:p>
        </w:tc>
        <w:tc>
          <w:tcPr>
            <w:tcW w:w="850" w:type="dxa"/>
            <w:vAlign w:val="center"/>
          </w:tcPr>
          <w:p w14:paraId="374C51D0" w14:textId="77777777" w:rsidR="00407D0F" w:rsidRPr="00477E1D" w:rsidRDefault="00407D0F" w:rsidP="00B178E4">
            <w:pPr>
              <w:pStyle w:val="Tabletext"/>
              <w:ind w:left="0" w:right="0"/>
              <w:jc w:val="center"/>
              <w:rPr>
                <w:rFonts w:cs="Calibri"/>
                <w:szCs w:val="19"/>
              </w:rPr>
            </w:pPr>
            <w:r w:rsidRPr="00477E1D">
              <w:rPr>
                <w:rFonts w:cs="Calibri"/>
                <w:color w:val="000000"/>
                <w:szCs w:val="19"/>
              </w:rPr>
              <w:t>14</w:t>
            </w:r>
          </w:p>
        </w:tc>
        <w:tc>
          <w:tcPr>
            <w:tcW w:w="851" w:type="dxa"/>
            <w:vAlign w:val="center"/>
          </w:tcPr>
          <w:p w14:paraId="05EB673E" w14:textId="77777777" w:rsidR="00407D0F" w:rsidRPr="00477E1D" w:rsidRDefault="00407D0F" w:rsidP="00B178E4">
            <w:pPr>
              <w:pStyle w:val="Tabletext"/>
              <w:ind w:left="0" w:right="0"/>
              <w:jc w:val="center"/>
              <w:rPr>
                <w:rFonts w:cs="Calibri"/>
                <w:szCs w:val="19"/>
              </w:rPr>
            </w:pPr>
            <w:r w:rsidRPr="00477E1D">
              <w:rPr>
                <w:rFonts w:cs="Calibri"/>
                <w:color w:val="000000"/>
                <w:szCs w:val="19"/>
                <w:lang w:val="en-US"/>
              </w:rPr>
              <w:t>13</w:t>
            </w:r>
          </w:p>
        </w:tc>
        <w:tc>
          <w:tcPr>
            <w:tcW w:w="708" w:type="dxa"/>
            <w:vAlign w:val="center"/>
          </w:tcPr>
          <w:p w14:paraId="32E469D3" w14:textId="77777777" w:rsidR="00407D0F" w:rsidRPr="00477E1D" w:rsidRDefault="00407D0F" w:rsidP="00B178E4">
            <w:pPr>
              <w:pStyle w:val="Tabletext"/>
              <w:ind w:left="0" w:right="0"/>
              <w:jc w:val="center"/>
              <w:rPr>
                <w:rFonts w:cs="Calibri"/>
                <w:szCs w:val="19"/>
              </w:rPr>
            </w:pPr>
            <w:r w:rsidRPr="00477E1D">
              <w:rPr>
                <w:rFonts w:cs="Calibri"/>
                <w:color w:val="000000"/>
                <w:szCs w:val="19"/>
              </w:rPr>
              <w:t>36</w:t>
            </w:r>
          </w:p>
        </w:tc>
        <w:tc>
          <w:tcPr>
            <w:tcW w:w="851" w:type="dxa"/>
            <w:vAlign w:val="center"/>
          </w:tcPr>
          <w:p w14:paraId="7FBC953F" w14:textId="77777777" w:rsidR="00407D0F" w:rsidRPr="00477E1D" w:rsidRDefault="00407D0F" w:rsidP="00B178E4">
            <w:pPr>
              <w:pStyle w:val="Tabletext"/>
              <w:ind w:left="0" w:right="0"/>
              <w:jc w:val="center"/>
              <w:rPr>
                <w:rFonts w:cs="Calibri"/>
                <w:szCs w:val="19"/>
              </w:rPr>
            </w:pPr>
            <w:r w:rsidRPr="00477E1D">
              <w:rPr>
                <w:rFonts w:cs="Calibri"/>
                <w:color w:val="000000"/>
                <w:szCs w:val="19"/>
              </w:rPr>
              <w:t>66</w:t>
            </w:r>
          </w:p>
        </w:tc>
        <w:tc>
          <w:tcPr>
            <w:tcW w:w="850" w:type="dxa"/>
            <w:vAlign w:val="center"/>
          </w:tcPr>
          <w:p w14:paraId="00B68AAD" w14:textId="77777777" w:rsidR="00407D0F" w:rsidRPr="00477E1D" w:rsidRDefault="00407D0F" w:rsidP="00B178E4">
            <w:pPr>
              <w:pStyle w:val="Tabletext"/>
              <w:ind w:left="0" w:right="0"/>
              <w:jc w:val="center"/>
              <w:rPr>
                <w:rFonts w:cs="Calibri"/>
                <w:szCs w:val="19"/>
              </w:rPr>
            </w:pPr>
            <w:r w:rsidRPr="00477E1D">
              <w:rPr>
                <w:rFonts w:cs="Calibri"/>
                <w:color w:val="000000"/>
                <w:szCs w:val="19"/>
              </w:rPr>
              <w:t>12</w:t>
            </w:r>
          </w:p>
        </w:tc>
        <w:tc>
          <w:tcPr>
            <w:tcW w:w="851" w:type="dxa"/>
            <w:vAlign w:val="center"/>
          </w:tcPr>
          <w:p w14:paraId="75F2BAD4" w14:textId="77777777" w:rsidR="00407D0F" w:rsidRPr="00477E1D" w:rsidRDefault="00407D0F" w:rsidP="00B178E4">
            <w:pPr>
              <w:pStyle w:val="Tabletext"/>
              <w:ind w:left="0" w:right="0"/>
              <w:jc w:val="center"/>
              <w:rPr>
                <w:rFonts w:cs="Calibri"/>
                <w:szCs w:val="19"/>
              </w:rPr>
            </w:pPr>
            <w:r w:rsidRPr="00477E1D">
              <w:rPr>
                <w:rFonts w:cs="Calibri"/>
                <w:color w:val="000000"/>
                <w:szCs w:val="19"/>
                <w:lang w:val="en-US"/>
              </w:rPr>
              <w:t>15</w:t>
            </w:r>
          </w:p>
        </w:tc>
        <w:tc>
          <w:tcPr>
            <w:tcW w:w="709" w:type="dxa"/>
            <w:vAlign w:val="center"/>
          </w:tcPr>
          <w:p w14:paraId="7BF648C1" w14:textId="77777777" w:rsidR="00407D0F" w:rsidRPr="00477E1D" w:rsidRDefault="00407D0F" w:rsidP="00B178E4">
            <w:pPr>
              <w:pStyle w:val="Tabletext"/>
              <w:ind w:left="0" w:right="0"/>
              <w:jc w:val="center"/>
              <w:rPr>
                <w:rFonts w:cs="Calibri"/>
                <w:szCs w:val="19"/>
              </w:rPr>
            </w:pPr>
            <w:r w:rsidRPr="00477E1D">
              <w:rPr>
                <w:rFonts w:cs="Calibri"/>
                <w:color w:val="000000"/>
                <w:szCs w:val="19"/>
              </w:rPr>
              <w:t>44</w:t>
            </w:r>
          </w:p>
        </w:tc>
        <w:tc>
          <w:tcPr>
            <w:tcW w:w="850" w:type="dxa"/>
            <w:vAlign w:val="center"/>
          </w:tcPr>
          <w:p w14:paraId="32521584" w14:textId="77777777" w:rsidR="00407D0F" w:rsidRPr="00477E1D" w:rsidRDefault="00407D0F" w:rsidP="00B178E4">
            <w:pPr>
              <w:pStyle w:val="Tabletext"/>
              <w:ind w:left="0" w:right="0"/>
              <w:jc w:val="center"/>
              <w:rPr>
                <w:rFonts w:cs="Calibri"/>
                <w:szCs w:val="19"/>
              </w:rPr>
            </w:pPr>
            <w:r w:rsidRPr="00477E1D">
              <w:rPr>
                <w:rFonts w:cs="Calibri"/>
                <w:color w:val="000000"/>
                <w:szCs w:val="19"/>
              </w:rPr>
              <w:t>68</w:t>
            </w:r>
          </w:p>
        </w:tc>
      </w:tr>
      <w:tr w:rsidR="00407D0F" w:rsidRPr="00EB1479" w14:paraId="5F59671F" w14:textId="77777777" w:rsidTr="00DF6DE3">
        <w:trPr>
          <w:trHeight w:val="223"/>
        </w:trPr>
        <w:tc>
          <w:tcPr>
            <w:tcW w:w="1588" w:type="dxa"/>
          </w:tcPr>
          <w:p w14:paraId="131ECB99" w14:textId="408C3766" w:rsidR="00407D0F" w:rsidRPr="00B178E4" w:rsidRDefault="00407D0F" w:rsidP="00B178E4">
            <w:pPr>
              <w:pStyle w:val="Tabletext"/>
              <w:ind w:left="0" w:right="0"/>
              <w:jc w:val="right"/>
              <w:rPr>
                <w:rFonts w:cs="Calibri"/>
                <w:b/>
                <w:bCs/>
                <w:lang w:val="en-US"/>
              </w:rPr>
            </w:pPr>
            <w:r w:rsidRPr="00B178E4">
              <w:rPr>
                <w:rFonts w:cs="Calibri"/>
                <w:b/>
                <w:bCs/>
                <w:lang w:val="en-US"/>
              </w:rPr>
              <w:t>TPS</w:t>
            </w:r>
            <w:r w:rsidR="009B4AAF">
              <w:rPr>
                <w:rFonts w:cs="Calibri"/>
                <w:b/>
                <w:bCs/>
                <w:lang w:val="en-US"/>
              </w:rPr>
              <w:t xml:space="preserve"> </w:t>
            </w:r>
            <w:r w:rsidRPr="00B178E4">
              <w:rPr>
                <w:rFonts w:cs="Calibri"/>
                <w:b/>
                <w:bCs/>
                <w:lang w:val="en-US"/>
              </w:rPr>
              <w:t>≥</w:t>
            </w:r>
            <w:r w:rsidR="009B4AAF">
              <w:rPr>
                <w:rFonts w:cs="Calibri"/>
                <w:b/>
                <w:bCs/>
                <w:lang w:val="en-US"/>
              </w:rPr>
              <w:t xml:space="preserve"> </w:t>
            </w:r>
            <w:r w:rsidRPr="00B178E4">
              <w:rPr>
                <w:rFonts w:cs="Calibri"/>
                <w:b/>
                <w:bCs/>
                <w:lang w:val="en-US"/>
              </w:rPr>
              <w:t>1%</w:t>
            </w:r>
          </w:p>
        </w:tc>
        <w:tc>
          <w:tcPr>
            <w:tcW w:w="850" w:type="dxa"/>
            <w:vAlign w:val="center"/>
          </w:tcPr>
          <w:p w14:paraId="1F755652" w14:textId="77777777" w:rsidR="00407D0F" w:rsidRPr="00477E1D" w:rsidRDefault="00407D0F" w:rsidP="00B178E4">
            <w:pPr>
              <w:pStyle w:val="Tabletext"/>
              <w:ind w:left="0" w:right="0"/>
              <w:jc w:val="center"/>
              <w:rPr>
                <w:rFonts w:cs="Calibri"/>
                <w:szCs w:val="19"/>
              </w:rPr>
            </w:pPr>
            <w:r w:rsidRPr="00477E1D">
              <w:rPr>
                <w:rFonts w:cs="Calibri"/>
                <w:color w:val="000000"/>
                <w:szCs w:val="19"/>
              </w:rPr>
              <w:t>61</w:t>
            </w:r>
          </w:p>
        </w:tc>
        <w:tc>
          <w:tcPr>
            <w:tcW w:w="851" w:type="dxa"/>
            <w:vAlign w:val="center"/>
          </w:tcPr>
          <w:p w14:paraId="737D41EE" w14:textId="77777777" w:rsidR="00407D0F" w:rsidRPr="00477E1D" w:rsidRDefault="00407D0F" w:rsidP="00B178E4">
            <w:pPr>
              <w:pStyle w:val="Tabletext"/>
              <w:ind w:left="0" w:right="0"/>
              <w:jc w:val="center"/>
              <w:rPr>
                <w:rFonts w:cs="Calibri"/>
                <w:szCs w:val="19"/>
              </w:rPr>
            </w:pPr>
            <w:r w:rsidRPr="00477E1D">
              <w:rPr>
                <w:rFonts w:cs="Calibri"/>
                <w:color w:val="000000"/>
                <w:szCs w:val="19"/>
                <w:lang w:val="en-US"/>
              </w:rPr>
              <w:t>25</w:t>
            </w:r>
          </w:p>
        </w:tc>
        <w:tc>
          <w:tcPr>
            <w:tcW w:w="708" w:type="dxa"/>
            <w:vAlign w:val="center"/>
          </w:tcPr>
          <w:p w14:paraId="275745DE" w14:textId="77777777" w:rsidR="00407D0F" w:rsidRPr="00477E1D" w:rsidRDefault="00407D0F" w:rsidP="00B178E4">
            <w:pPr>
              <w:pStyle w:val="Tabletext"/>
              <w:ind w:left="0" w:right="0"/>
              <w:jc w:val="center"/>
              <w:rPr>
                <w:rFonts w:cs="Calibri"/>
                <w:szCs w:val="19"/>
              </w:rPr>
            </w:pPr>
            <w:r w:rsidRPr="00477E1D">
              <w:rPr>
                <w:rFonts w:cs="Calibri"/>
                <w:color w:val="000000"/>
                <w:szCs w:val="19"/>
              </w:rPr>
              <w:t>53</w:t>
            </w:r>
          </w:p>
        </w:tc>
        <w:tc>
          <w:tcPr>
            <w:tcW w:w="851" w:type="dxa"/>
            <w:vAlign w:val="center"/>
          </w:tcPr>
          <w:p w14:paraId="5A20199B" w14:textId="77777777" w:rsidR="00407D0F" w:rsidRPr="00477E1D" w:rsidRDefault="00407D0F" w:rsidP="00B178E4">
            <w:pPr>
              <w:pStyle w:val="Tabletext"/>
              <w:ind w:left="0" w:right="0"/>
              <w:jc w:val="center"/>
              <w:rPr>
                <w:rFonts w:cs="Calibri"/>
                <w:szCs w:val="19"/>
              </w:rPr>
            </w:pPr>
            <w:r w:rsidRPr="00477E1D">
              <w:rPr>
                <w:rFonts w:cs="Calibri"/>
                <w:color w:val="000000"/>
                <w:szCs w:val="19"/>
              </w:rPr>
              <w:t>67</w:t>
            </w:r>
          </w:p>
        </w:tc>
        <w:tc>
          <w:tcPr>
            <w:tcW w:w="850" w:type="dxa"/>
            <w:vAlign w:val="center"/>
          </w:tcPr>
          <w:p w14:paraId="1C8345D9" w14:textId="77777777" w:rsidR="00407D0F" w:rsidRPr="00477E1D" w:rsidRDefault="00407D0F" w:rsidP="00B178E4">
            <w:pPr>
              <w:pStyle w:val="Tabletext"/>
              <w:ind w:left="0" w:right="0"/>
              <w:jc w:val="center"/>
              <w:rPr>
                <w:rFonts w:cs="Calibri"/>
                <w:szCs w:val="19"/>
              </w:rPr>
            </w:pPr>
            <w:r w:rsidRPr="00477E1D">
              <w:rPr>
                <w:rFonts w:cs="Calibri"/>
                <w:color w:val="000000"/>
                <w:szCs w:val="19"/>
              </w:rPr>
              <w:t>63</w:t>
            </w:r>
          </w:p>
        </w:tc>
        <w:tc>
          <w:tcPr>
            <w:tcW w:w="851" w:type="dxa"/>
            <w:vAlign w:val="center"/>
          </w:tcPr>
          <w:p w14:paraId="731B56F1" w14:textId="77777777" w:rsidR="00407D0F" w:rsidRPr="00477E1D" w:rsidRDefault="00407D0F" w:rsidP="00B178E4">
            <w:pPr>
              <w:pStyle w:val="Tabletext"/>
              <w:ind w:left="0" w:right="0"/>
              <w:jc w:val="center"/>
              <w:rPr>
                <w:rFonts w:cs="Calibri"/>
                <w:szCs w:val="19"/>
              </w:rPr>
            </w:pPr>
            <w:r w:rsidRPr="00477E1D">
              <w:rPr>
                <w:rFonts w:cs="Calibri"/>
                <w:color w:val="000000"/>
                <w:szCs w:val="19"/>
                <w:lang w:val="en-US"/>
              </w:rPr>
              <w:t>31</w:t>
            </w:r>
          </w:p>
        </w:tc>
        <w:tc>
          <w:tcPr>
            <w:tcW w:w="709" w:type="dxa"/>
            <w:vAlign w:val="center"/>
          </w:tcPr>
          <w:p w14:paraId="7AE355D5" w14:textId="77777777" w:rsidR="00407D0F" w:rsidRPr="00477E1D" w:rsidRDefault="00407D0F" w:rsidP="00B178E4">
            <w:pPr>
              <w:pStyle w:val="Tabletext"/>
              <w:ind w:left="0" w:right="0"/>
              <w:jc w:val="center"/>
              <w:rPr>
                <w:rFonts w:cs="Calibri"/>
                <w:szCs w:val="19"/>
              </w:rPr>
            </w:pPr>
            <w:r w:rsidRPr="00477E1D">
              <w:rPr>
                <w:rFonts w:cs="Calibri"/>
                <w:color w:val="000000"/>
                <w:szCs w:val="19"/>
              </w:rPr>
              <w:t>54</w:t>
            </w:r>
          </w:p>
        </w:tc>
        <w:tc>
          <w:tcPr>
            <w:tcW w:w="850" w:type="dxa"/>
            <w:vAlign w:val="center"/>
          </w:tcPr>
          <w:p w14:paraId="7E60B700" w14:textId="77777777" w:rsidR="00407D0F" w:rsidRPr="00477E1D" w:rsidRDefault="00407D0F" w:rsidP="00B178E4">
            <w:pPr>
              <w:pStyle w:val="Tabletext"/>
              <w:ind w:left="0" w:right="0"/>
              <w:jc w:val="center"/>
              <w:rPr>
                <w:rFonts w:cs="Calibri"/>
                <w:szCs w:val="19"/>
              </w:rPr>
            </w:pPr>
            <w:r w:rsidRPr="00477E1D">
              <w:rPr>
                <w:rFonts w:cs="Calibri"/>
                <w:color w:val="000000"/>
                <w:szCs w:val="19"/>
              </w:rPr>
              <w:t>71</w:t>
            </w:r>
          </w:p>
        </w:tc>
      </w:tr>
      <w:tr w:rsidR="00407D0F" w:rsidRPr="00EB1479" w14:paraId="5BE4A55D" w14:textId="77777777" w:rsidTr="00DF6DE3">
        <w:trPr>
          <w:trHeight w:val="223"/>
        </w:trPr>
        <w:tc>
          <w:tcPr>
            <w:tcW w:w="1588" w:type="dxa"/>
          </w:tcPr>
          <w:p w14:paraId="03D5EE4D" w14:textId="063D510F" w:rsidR="00407D0F" w:rsidRPr="00B178E4" w:rsidRDefault="00407D0F" w:rsidP="00B178E4">
            <w:pPr>
              <w:pStyle w:val="Tabletext"/>
              <w:ind w:left="0" w:right="0"/>
              <w:jc w:val="right"/>
              <w:rPr>
                <w:rFonts w:cs="Calibri"/>
                <w:b/>
                <w:bCs/>
                <w:lang w:val="en-US"/>
              </w:rPr>
            </w:pPr>
            <w:r w:rsidRPr="00B178E4">
              <w:rPr>
                <w:rFonts w:cs="Calibri"/>
                <w:b/>
                <w:bCs/>
                <w:lang w:val="en-US"/>
              </w:rPr>
              <w:t>TPS</w:t>
            </w:r>
            <w:r w:rsidR="009B4AAF">
              <w:rPr>
                <w:rFonts w:cs="Calibri"/>
                <w:b/>
                <w:bCs/>
                <w:lang w:val="en-US"/>
              </w:rPr>
              <w:t xml:space="preserve"> </w:t>
            </w:r>
            <w:r w:rsidRPr="00B178E4">
              <w:rPr>
                <w:rFonts w:cs="Calibri"/>
                <w:b/>
                <w:bCs/>
                <w:lang w:val="en-US"/>
              </w:rPr>
              <w:t>&lt;</w:t>
            </w:r>
            <w:r w:rsidR="009B4AAF">
              <w:rPr>
                <w:rFonts w:cs="Calibri"/>
                <w:b/>
                <w:bCs/>
                <w:lang w:val="en-US"/>
              </w:rPr>
              <w:t xml:space="preserve"> </w:t>
            </w:r>
            <w:r w:rsidRPr="00B178E4">
              <w:rPr>
                <w:rFonts w:cs="Calibri"/>
                <w:b/>
                <w:bCs/>
                <w:lang w:val="en-US"/>
              </w:rPr>
              <w:t>1%</w:t>
            </w:r>
          </w:p>
        </w:tc>
        <w:tc>
          <w:tcPr>
            <w:tcW w:w="850" w:type="dxa"/>
            <w:vAlign w:val="center"/>
          </w:tcPr>
          <w:p w14:paraId="4123B1E0" w14:textId="77777777" w:rsidR="00407D0F" w:rsidRPr="00477E1D" w:rsidRDefault="00407D0F" w:rsidP="00B178E4">
            <w:pPr>
              <w:pStyle w:val="Tabletext"/>
              <w:ind w:left="0" w:right="0"/>
              <w:jc w:val="center"/>
              <w:rPr>
                <w:rFonts w:cs="Calibri"/>
                <w:szCs w:val="19"/>
              </w:rPr>
            </w:pPr>
            <w:r w:rsidRPr="00477E1D">
              <w:rPr>
                <w:rFonts w:cs="Calibri"/>
                <w:color w:val="000000"/>
                <w:szCs w:val="19"/>
              </w:rPr>
              <w:t>62</w:t>
            </w:r>
          </w:p>
        </w:tc>
        <w:tc>
          <w:tcPr>
            <w:tcW w:w="851" w:type="dxa"/>
            <w:vAlign w:val="center"/>
          </w:tcPr>
          <w:p w14:paraId="116BB72B" w14:textId="77777777" w:rsidR="00407D0F" w:rsidRPr="00477E1D" w:rsidRDefault="00407D0F" w:rsidP="00B178E4">
            <w:pPr>
              <w:pStyle w:val="Tabletext"/>
              <w:ind w:left="0" w:right="0"/>
              <w:jc w:val="center"/>
              <w:rPr>
                <w:rFonts w:cs="Calibri"/>
                <w:szCs w:val="19"/>
              </w:rPr>
            </w:pPr>
            <w:r w:rsidRPr="00477E1D">
              <w:rPr>
                <w:rFonts w:cs="Calibri"/>
                <w:color w:val="000000"/>
                <w:szCs w:val="19"/>
                <w:lang w:val="en-US"/>
              </w:rPr>
              <w:t>6</w:t>
            </w:r>
          </w:p>
        </w:tc>
        <w:tc>
          <w:tcPr>
            <w:tcW w:w="708" w:type="dxa"/>
            <w:vAlign w:val="center"/>
          </w:tcPr>
          <w:p w14:paraId="6C5EA976" w14:textId="77777777" w:rsidR="00407D0F" w:rsidRPr="00477E1D" w:rsidRDefault="00407D0F" w:rsidP="00B178E4">
            <w:pPr>
              <w:pStyle w:val="Tabletext"/>
              <w:ind w:left="0" w:right="0"/>
              <w:jc w:val="center"/>
              <w:rPr>
                <w:rFonts w:cs="Calibri"/>
                <w:szCs w:val="19"/>
              </w:rPr>
            </w:pPr>
            <w:r w:rsidRPr="00477E1D">
              <w:rPr>
                <w:rFonts w:cs="Calibri"/>
                <w:color w:val="000000"/>
                <w:szCs w:val="19"/>
                <w:lang w:val="en-US"/>
              </w:rPr>
              <w:t>1</w:t>
            </w:r>
          </w:p>
        </w:tc>
        <w:tc>
          <w:tcPr>
            <w:tcW w:w="851" w:type="dxa"/>
            <w:vAlign w:val="center"/>
          </w:tcPr>
          <w:p w14:paraId="06980098" w14:textId="77777777" w:rsidR="00407D0F" w:rsidRPr="00477E1D" w:rsidRDefault="00407D0F" w:rsidP="00B178E4">
            <w:pPr>
              <w:pStyle w:val="Tabletext"/>
              <w:ind w:left="0" w:right="0"/>
              <w:jc w:val="center"/>
              <w:rPr>
                <w:rFonts w:cs="Calibri"/>
                <w:szCs w:val="19"/>
              </w:rPr>
            </w:pPr>
            <w:r w:rsidRPr="00477E1D">
              <w:rPr>
                <w:rFonts w:cs="Calibri"/>
                <w:color w:val="000000"/>
                <w:szCs w:val="19"/>
                <w:lang w:val="en-US"/>
              </w:rPr>
              <w:t>1</w:t>
            </w:r>
          </w:p>
        </w:tc>
        <w:tc>
          <w:tcPr>
            <w:tcW w:w="850" w:type="dxa"/>
            <w:vAlign w:val="center"/>
          </w:tcPr>
          <w:p w14:paraId="105B69EA" w14:textId="77777777" w:rsidR="00407D0F" w:rsidRPr="00477E1D" w:rsidRDefault="00407D0F" w:rsidP="00B178E4">
            <w:pPr>
              <w:pStyle w:val="Tabletext"/>
              <w:ind w:left="0" w:right="0"/>
              <w:jc w:val="center"/>
              <w:rPr>
                <w:rFonts w:cs="Calibri"/>
                <w:szCs w:val="19"/>
              </w:rPr>
            </w:pPr>
            <w:r w:rsidRPr="00477E1D">
              <w:rPr>
                <w:rFonts w:cs="Calibri"/>
                <w:color w:val="000000"/>
                <w:szCs w:val="19"/>
                <w:lang w:val="en-US"/>
              </w:rPr>
              <w:t>53</w:t>
            </w:r>
          </w:p>
        </w:tc>
        <w:tc>
          <w:tcPr>
            <w:tcW w:w="851" w:type="dxa"/>
            <w:vAlign w:val="center"/>
          </w:tcPr>
          <w:p w14:paraId="1DFAED4F" w14:textId="77777777" w:rsidR="00407D0F" w:rsidRPr="00477E1D" w:rsidRDefault="00407D0F" w:rsidP="00B178E4">
            <w:pPr>
              <w:pStyle w:val="Tabletext"/>
              <w:ind w:left="0" w:right="0"/>
              <w:jc w:val="center"/>
              <w:rPr>
                <w:rFonts w:cs="Calibri"/>
                <w:szCs w:val="19"/>
              </w:rPr>
            </w:pPr>
            <w:r w:rsidRPr="00477E1D">
              <w:rPr>
                <w:rFonts w:cs="Calibri"/>
                <w:color w:val="000000"/>
                <w:szCs w:val="19"/>
                <w:lang w:val="en-US"/>
              </w:rPr>
              <w:t>1</w:t>
            </w:r>
          </w:p>
        </w:tc>
        <w:tc>
          <w:tcPr>
            <w:tcW w:w="709" w:type="dxa"/>
            <w:vAlign w:val="center"/>
          </w:tcPr>
          <w:p w14:paraId="3E6EA520" w14:textId="77777777" w:rsidR="00407D0F" w:rsidRPr="00477E1D" w:rsidRDefault="00407D0F" w:rsidP="00B178E4">
            <w:pPr>
              <w:pStyle w:val="Tabletext"/>
              <w:ind w:left="0" w:right="0"/>
              <w:jc w:val="center"/>
              <w:rPr>
                <w:rFonts w:cs="Calibri"/>
                <w:szCs w:val="19"/>
              </w:rPr>
            </w:pPr>
            <w:r w:rsidRPr="00477E1D">
              <w:rPr>
                <w:rFonts w:cs="Calibri"/>
                <w:color w:val="000000"/>
                <w:szCs w:val="19"/>
                <w:lang w:val="en-US"/>
              </w:rPr>
              <w:t>1</w:t>
            </w:r>
          </w:p>
        </w:tc>
        <w:tc>
          <w:tcPr>
            <w:tcW w:w="850" w:type="dxa"/>
            <w:vAlign w:val="center"/>
          </w:tcPr>
          <w:p w14:paraId="35C183A8" w14:textId="77777777" w:rsidR="00407D0F" w:rsidRPr="00477E1D" w:rsidRDefault="00407D0F" w:rsidP="00B178E4">
            <w:pPr>
              <w:pStyle w:val="Tabletext"/>
              <w:ind w:left="0" w:right="0"/>
              <w:jc w:val="center"/>
              <w:rPr>
                <w:rFonts w:cs="Calibri"/>
                <w:szCs w:val="19"/>
              </w:rPr>
            </w:pPr>
            <w:r w:rsidRPr="00477E1D">
              <w:rPr>
                <w:rFonts w:cs="Calibri"/>
                <w:color w:val="000000"/>
                <w:szCs w:val="19"/>
                <w:lang w:val="en-US"/>
              </w:rPr>
              <w:t>2</w:t>
            </w:r>
          </w:p>
        </w:tc>
      </w:tr>
      <w:tr w:rsidR="00407D0F" w:rsidRPr="00EB1479" w14:paraId="7CC48107" w14:textId="77777777" w:rsidTr="00DF6DE3">
        <w:trPr>
          <w:trHeight w:val="223"/>
        </w:trPr>
        <w:tc>
          <w:tcPr>
            <w:tcW w:w="8108" w:type="dxa"/>
            <w:gridSpan w:val="9"/>
          </w:tcPr>
          <w:p w14:paraId="6DA8B8C0" w14:textId="77777777" w:rsidR="00407D0F" w:rsidRPr="00B178E4" w:rsidRDefault="00407D0F" w:rsidP="00B178E4">
            <w:pPr>
              <w:rPr>
                <w:b/>
              </w:rPr>
            </w:pPr>
            <w:r w:rsidRPr="00B178E4">
              <w:rPr>
                <w:b/>
                <w:color w:val="auto"/>
                <w:sz w:val="20"/>
                <w:szCs w:val="22"/>
              </w:rPr>
              <w:t>Percentage (of TC category)</w:t>
            </w:r>
          </w:p>
        </w:tc>
      </w:tr>
      <w:tr w:rsidR="00407D0F" w:rsidRPr="00EB1479" w14:paraId="23F46C90" w14:textId="77777777" w:rsidTr="00DF6DE3">
        <w:trPr>
          <w:trHeight w:val="223"/>
        </w:trPr>
        <w:tc>
          <w:tcPr>
            <w:tcW w:w="1588" w:type="dxa"/>
          </w:tcPr>
          <w:p w14:paraId="1996DD4F" w14:textId="77777777" w:rsidR="00407D0F" w:rsidRPr="00B178E4" w:rsidRDefault="00407D0F" w:rsidP="00B178E4">
            <w:pPr>
              <w:pStyle w:val="Tabletext"/>
              <w:ind w:left="0" w:right="0"/>
              <w:jc w:val="right"/>
              <w:rPr>
                <w:rFonts w:cs="Calibri"/>
                <w:b/>
                <w:bCs/>
                <w:lang w:val="en-US"/>
              </w:rPr>
            </w:pPr>
            <w:r w:rsidRPr="00B178E4">
              <w:rPr>
                <w:rFonts w:cs="Calibri"/>
                <w:b/>
                <w:bCs/>
                <w:lang w:val="en-US"/>
              </w:rPr>
              <w:t>SP263 evaluable</w:t>
            </w:r>
          </w:p>
        </w:tc>
        <w:tc>
          <w:tcPr>
            <w:tcW w:w="3260" w:type="dxa"/>
            <w:gridSpan w:val="4"/>
          </w:tcPr>
          <w:p w14:paraId="4BB4EB9A" w14:textId="77777777" w:rsidR="00407D0F" w:rsidRPr="00477E1D" w:rsidRDefault="00407D0F" w:rsidP="00B178E4">
            <w:pPr>
              <w:pStyle w:val="Tabletext"/>
              <w:ind w:left="0" w:right="0"/>
              <w:jc w:val="center"/>
              <w:rPr>
                <w:rFonts w:cs="Calibri"/>
                <w:bCs/>
                <w:szCs w:val="19"/>
                <w:lang w:val="en-US"/>
              </w:rPr>
            </w:pPr>
            <w:r w:rsidRPr="00477E1D">
              <w:rPr>
                <w:rFonts w:cs="Calibri"/>
                <w:szCs w:val="19"/>
              </w:rPr>
              <w:t>n=285 (99%)</w:t>
            </w:r>
          </w:p>
        </w:tc>
        <w:tc>
          <w:tcPr>
            <w:tcW w:w="3260" w:type="dxa"/>
            <w:gridSpan w:val="4"/>
          </w:tcPr>
          <w:p w14:paraId="76BF4CDB" w14:textId="77777777" w:rsidR="00407D0F" w:rsidRPr="00477E1D" w:rsidRDefault="00407D0F" w:rsidP="00B178E4">
            <w:pPr>
              <w:pStyle w:val="Tabletext"/>
              <w:ind w:left="0" w:right="0"/>
              <w:jc w:val="center"/>
              <w:rPr>
                <w:rFonts w:cs="Calibri"/>
                <w:bCs/>
                <w:szCs w:val="19"/>
                <w:lang w:val="en-US"/>
              </w:rPr>
            </w:pPr>
            <w:r w:rsidRPr="00477E1D">
              <w:rPr>
                <w:rFonts w:cs="Calibri"/>
                <w:szCs w:val="19"/>
              </w:rPr>
              <w:t>n=279 (98%)</w:t>
            </w:r>
          </w:p>
        </w:tc>
      </w:tr>
      <w:tr w:rsidR="00407D0F" w:rsidRPr="00EB1479" w14:paraId="77A1FF0A" w14:textId="77777777" w:rsidTr="00DF6DE3">
        <w:trPr>
          <w:trHeight w:val="223"/>
        </w:trPr>
        <w:tc>
          <w:tcPr>
            <w:tcW w:w="1588" w:type="dxa"/>
          </w:tcPr>
          <w:p w14:paraId="72F5A5A7" w14:textId="36AB29F8" w:rsidR="00407D0F" w:rsidRPr="00B178E4" w:rsidRDefault="00407D0F" w:rsidP="00B178E4">
            <w:pPr>
              <w:pStyle w:val="Tabletext"/>
              <w:ind w:left="0" w:right="0"/>
              <w:jc w:val="right"/>
              <w:rPr>
                <w:rFonts w:cs="Calibri"/>
                <w:b/>
                <w:bCs/>
                <w:lang w:val="en-US"/>
              </w:rPr>
            </w:pPr>
            <w:r w:rsidRPr="00B178E4">
              <w:rPr>
                <w:rFonts w:cs="Calibri"/>
                <w:b/>
                <w:bCs/>
                <w:lang w:val="en-US"/>
              </w:rPr>
              <w:t>TC</w:t>
            </w:r>
            <w:r w:rsidR="009B4AAF">
              <w:rPr>
                <w:rFonts w:cs="Calibri"/>
                <w:b/>
                <w:bCs/>
                <w:lang w:val="en-US"/>
              </w:rPr>
              <w:t xml:space="preserve"> </w:t>
            </w:r>
            <w:r w:rsidRPr="00B178E4">
              <w:rPr>
                <w:rFonts w:cs="Calibri"/>
                <w:b/>
                <w:bCs/>
                <w:lang w:val="en-US"/>
              </w:rPr>
              <w:t>≥</w:t>
            </w:r>
            <w:r w:rsidR="009B4AAF">
              <w:rPr>
                <w:rFonts w:cs="Calibri"/>
                <w:b/>
                <w:bCs/>
                <w:lang w:val="en-US"/>
              </w:rPr>
              <w:t xml:space="preserve"> </w:t>
            </w:r>
            <w:r w:rsidRPr="00B178E4">
              <w:rPr>
                <w:rFonts w:cs="Calibri"/>
                <w:b/>
                <w:bCs/>
                <w:lang w:val="en-US"/>
              </w:rPr>
              <w:t>50%</w:t>
            </w:r>
          </w:p>
        </w:tc>
        <w:tc>
          <w:tcPr>
            <w:tcW w:w="850" w:type="dxa"/>
            <w:shd w:val="clear" w:color="000000" w:fill="FFF6DB"/>
            <w:vAlign w:val="bottom"/>
          </w:tcPr>
          <w:p w14:paraId="54E0F399" w14:textId="77777777" w:rsidR="00407D0F" w:rsidRPr="009F3145" w:rsidRDefault="00407D0F" w:rsidP="000741BA">
            <w:pPr>
              <w:pStyle w:val="Tabletext"/>
              <w:ind w:left="0" w:right="0"/>
              <w:rPr>
                <w:rFonts w:cs="Calibri"/>
                <w:szCs w:val="19"/>
              </w:rPr>
            </w:pPr>
            <w:r w:rsidRPr="009F3145">
              <w:rPr>
                <w:color w:val="000000"/>
                <w:szCs w:val="19"/>
              </w:rPr>
              <w:t>14%</w:t>
            </w:r>
          </w:p>
        </w:tc>
        <w:tc>
          <w:tcPr>
            <w:tcW w:w="851" w:type="dxa"/>
            <w:shd w:val="clear" w:color="000000" w:fill="FFE286"/>
            <w:vAlign w:val="bottom"/>
          </w:tcPr>
          <w:p w14:paraId="54EE1F34" w14:textId="77777777" w:rsidR="00407D0F" w:rsidRPr="009F3145" w:rsidRDefault="00407D0F" w:rsidP="00B178E4">
            <w:pPr>
              <w:pStyle w:val="Tabletext"/>
              <w:ind w:left="0" w:right="0"/>
              <w:jc w:val="center"/>
              <w:rPr>
                <w:rFonts w:cs="Calibri"/>
                <w:szCs w:val="19"/>
              </w:rPr>
            </w:pPr>
            <w:r w:rsidRPr="009F3145">
              <w:rPr>
                <w:color w:val="000000"/>
                <w:szCs w:val="19"/>
              </w:rPr>
              <w:t>47%</w:t>
            </w:r>
          </w:p>
        </w:tc>
        <w:tc>
          <w:tcPr>
            <w:tcW w:w="708" w:type="dxa"/>
            <w:shd w:val="clear" w:color="000000" w:fill="FFCE35"/>
            <w:vAlign w:val="bottom"/>
          </w:tcPr>
          <w:p w14:paraId="4E2FF9F0" w14:textId="77777777" w:rsidR="00407D0F" w:rsidRPr="009F3145" w:rsidRDefault="00407D0F" w:rsidP="00B178E4">
            <w:pPr>
              <w:pStyle w:val="Tabletext"/>
              <w:ind w:left="0" w:right="0"/>
              <w:jc w:val="center"/>
              <w:rPr>
                <w:rFonts w:cs="Calibri"/>
                <w:bCs/>
                <w:szCs w:val="19"/>
                <w:lang w:val="en-US"/>
              </w:rPr>
            </w:pPr>
            <w:r w:rsidRPr="009F3145">
              <w:rPr>
                <w:color w:val="000000"/>
                <w:szCs w:val="19"/>
              </w:rPr>
              <w:t>78%</w:t>
            </w:r>
          </w:p>
        </w:tc>
        <w:tc>
          <w:tcPr>
            <w:tcW w:w="851" w:type="dxa"/>
            <w:shd w:val="clear" w:color="000000" w:fill="FFC208"/>
            <w:vAlign w:val="bottom"/>
          </w:tcPr>
          <w:p w14:paraId="2194432E" w14:textId="77777777" w:rsidR="00407D0F" w:rsidRPr="009F3145" w:rsidRDefault="00407D0F" w:rsidP="00B178E4">
            <w:pPr>
              <w:pStyle w:val="Tabletext"/>
              <w:ind w:left="0" w:right="0"/>
              <w:jc w:val="center"/>
              <w:rPr>
                <w:rFonts w:cs="Calibri"/>
                <w:bCs/>
                <w:szCs w:val="19"/>
                <w:lang w:val="en-US"/>
              </w:rPr>
            </w:pPr>
            <w:r w:rsidRPr="009F3145">
              <w:rPr>
                <w:color w:val="000000"/>
                <w:szCs w:val="19"/>
              </w:rPr>
              <w:t>96%</w:t>
            </w:r>
          </w:p>
        </w:tc>
        <w:tc>
          <w:tcPr>
            <w:tcW w:w="850" w:type="dxa"/>
            <w:shd w:val="clear" w:color="000000" w:fill="FFF6D9"/>
            <w:vAlign w:val="bottom"/>
          </w:tcPr>
          <w:p w14:paraId="4FE21121" w14:textId="77777777" w:rsidR="00407D0F" w:rsidRPr="009F3145" w:rsidRDefault="00407D0F" w:rsidP="00B178E4">
            <w:pPr>
              <w:pStyle w:val="Tabletext"/>
              <w:ind w:left="0" w:right="0"/>
              <w:jc w:val="center"/>
              <w:rPr>
                <w:rFonts w:cs="Calibri"/>
                <w:bCs/>
                <w:szCs w:val="19"/>
                <w:lang w:val="en-US"/>
              </w:rPr>
            </w:pPr>
            <w:r w:rsidRPr="009F3145">
              <w:rPr>
                <w:color w:val="000000"/>
                <w:szCs w:val="19"/>
              </w:rPr>
              <w:t>15%</w:t>
            </w:r>
          </w:p>
        </w:tc>
        <w:tc>
          <w:tcPr>
            <w:tcW w:w="851" w:type="dxa"/>
            <w:shd w:val="clear" w:color="000000" w:fill="FFDC6E"/>
            <w:vAlign w:val="bottom"/>
          </w:tcPr>
          <w:p w14:paraId="2EB7FB87" w14:textId="77777777" w:rsidR="00407D0F" w:rsidRPr="009F3145" w:rsidRDefault="00407D0F" w:rsidP="00B178E4">
            <w:pPr>
              <w:pStyle w:val="Tabletext"/>
              <w:ind w:left="0" w:right="0"/>
              <w:jc w:val="center"/>
              <w:rPr>
                <w:rFonts w:cs="Calibri"/>
                <w:bCs/>
                <w:szCs w:val="19"/>
                <w:lang w:val="en-US"/>
              </w:rPr>
            </w:pPr>
            <w:r w:rsidRPr="009F3145">
              <w:rPr>
                <w:color w:val="000000"/>
                <w:szCs w:val="19"/>
              </w:rPr>
              <w:t>56%</w:t>
            </w:r>
          </w:p>
        </w:tc>
        <w:tc>
          <w:tcPr>
            <w:tcW w:w="709" w:type="dxa"/>
            <w:shd w:val="clear" w:color="000000" w:fill="FFCA29"/>
            <w:vAlign w:val="bottom"/>
          </w:tcPr>
          <w:p w14:paraId="63392A08" w14:textId="77777777" w:rsidR="00407D0F" w:rsidRPr="009F3145" w:rsidRDefault="00407D0F" w:rsidP="00B178E4">
            <w:pPr>
              <w:pStyle w:val="Tabletext"/>
              <w:ind w:left="0" w:right="0"/>
              <w:jc w:val="center"/>
              <w:rPr>
                <w:rFonts w:cs="Calibri"/>
                <w:bCs/>
                <w:szCs w:val="19"/>
                <w:lang w:val="en-US"/>
              </w:rPr>
            </w:pPr>
            <w:r w:rsidRPr="009F3145">
              <w:rPr>
                <w:color w:val="000000"/>
                <w:szCs w:val="19"/>
              </w:rPr>
              <w:t>83%</w:t>
            </w:r>
          </w:p>
        </w:tc>
        <w:tc>
          <w:tcPr>
            <w:tcW w:w="850" w:type="dxa"/>
            <w:shd w:val="clear" w:color="000000" w:fill="FFC30B"/>
            <w:vAlign w:val="bottom"/>
          </w:tcPr>
          <w:p w14:paraId="230E5365" w14:textId="77777777" w:rsidR="00407D0F" w:rsidRPr="009F3145" w:rsidRDefault="00407D0F" w:rsidP="00B178E4">
            <w:pPr>
              <w:pStyle w:val="Tabletext"/>
              <w:ind w:left="0" w:right="0"/>
              <w:jc w:val="center"/>
              <w:rPr>
                <w:rFonts w:cs="Calibri"/>
                <w:bCs/>
                <w:szCs w:val="19"/>
                <w:lang w:val="en-US"/>
              </w:rPr>
            </w:pPr>
            <w:r w:rsidRPr="009F3145">
              <w:rPr>
                <w:color w:val="000000"/>
                <w:szCs w:val="19"/>
              </w:rPr>
              <w:t>95%</w:t>
            </w:r>
          </w:p>
        </w:tc>
      </w:tr>
      <w:tr w:rsidR="00407D0F" w:rsidRPr="00EB1479" w14:paraId="2C4C896D" w14:textId="77777777" w:rsidTr="00DF6DE3">
        <w:trPr>
          <w:trHeight w:val="223"/>
        </w:trPr>
        <w:tc>
          <w:tcPr>
            <w:tcW w:w="1588" w:type="dxa"/>
          </w:tcPr>
          <w:p w14:paraId="1CC20910" w14:textId="021B4B88" w:rsidR="00407D0F" w:rsidRPr="00B178E4" w:rsidRDefault="00407D0F" w:rsidP="00B178E4">
            <w:pPr>
              <w:pStyle w:val="Tabletext"/>
              <w:ind w:left="0" w:right="0"/>
              <w:jc w:val="right"/>
              <w:rPr>
                <w:rFonts w:cs="Calibri"/>
                <w:b/>
                <w:bCs/>
                <w:lang w:val="en-US"/>
              </w:rPr>
            </w:pPr>
            <w:r w:rsidRPr="00B178E4">
              <w:rPr>
                <w:rFonts w:cs="Calibri"/>
                <w:b/>
                <w:bCs/>
                <w:lang w:val="en-US"/>
              </w:rPr>
              <w:t>TC</w:t>
            </w:r>
            <w:r w:rsidR="009B4AAF">
              <w:rPr>
                <w:rFonts w:cs="Calibri"/>
                <w:b/>
                <w:bCs/>
                <w:lang w:val="en-US"/>
              </w:rPr>
              <w:t xml:space="preserve"> </w:t>
            </w:r>
            <w:r w:rsidRPr="00B178E4">
              <w:rPr>
                <w:rFonts w:cs="Calibri"/>
                <w:b/>
                <w:bCs/>
                <w:lang w:val="en-US"/>
              </w:rPr>
              <w:t>≥</w:t>
            </w:r>
            <w:r w:rsidR="009B4AAF">
              <w:rPr>
                <w:rFonts w:cs="Calibri"/>
                <w:b/>
                <w:bCs/>
                <w:lang w:val="en-US"/>
              </w:rPr>
              <w:t xml:space="preserve"> </w:t>
            </w:r>
            <w:r w:rsidRPr="00B178E4">
              <w:rPr>
                <w:rFonts w:cs="Calibri"/>
                <w:b/>
                <w:bCs/>
                <w:lang w:val="en-US"/>
              </w:rPr>
              <w:t>25%</w:t>
            </w:r>
          </w:p>
        </w:tc>
        <w:tc>
          <w:tcPr>
            <w:tcW w:w="850" w:type="dxa"/>
            <w:shd w:val="clear" w:color="000000" w:fill="FFF0C0"/>
            <w:vAlign w:val="bottom"/>
          </w:tcPr>
          <w:p w14:paraId="5AE269FA" w14:textId="77777777" w:rsidR="00407D0F" w:rsidRPr="009F3145" w:rsidRDefault="00407D0F" w:rsidP="000741BA">
            <w:pPr>
              <w:pStyle w:val="Tabletext"/>
              <w:ind w:left="0" w:right="0"/>
              <w:rPr>
                <w:rFonts w:cs="Calibri"/>
                <w:color w:val="000000"/>
                <w:szCs w:val="19"/>
              </w:rPr>
            </w:pPr>
            <w:r w:rsidRPr="009F3145">
              <w:rPr>
                <w:color w:val="000000"/>
                <w:szCs w:val="19"/>
              </w:rPr>
              <w:t>24%</w:t>
            </w:r>
          </w:p>
        </w:tc>
        <w:tc>
          <w:tcPr>
            <w:tcW w:w="851" w:type="dxa"/>
            <w:shd w:val="clear" w:color="000000" w:fill="FFD85E"/>
            <w:vAlign w:val="bottom"/>
          </w:tcPr>
          <w:p w14:paraId="3B087A61" w14:textId="77777777" w:rsidR="00407D0F" w:rsidRPr="009F3145" w:rsidRDefault="00407D0F" w:rsidP="00B178E4">
            <w:pPr>
              <w:pStyle w:val="Tabletext"/>
              <w:ind w:left="0" w:right="0"/>
              <w:jc w:val="center"/>
              <w:rPr>
                <w:rFonts w:cs="Calibri"/>
                <w:color w:val="000000"/>
                <w:szCs w:val="19"/>
              </w:rPr>
            </w:pPr>
            <w:r w:rsidRPr="009F3145">
              <w:rPr>
                <w:color w:val="000000"/>
                <w:szCs w:val="19"/>
              </w:rPr>
              <w:t>63%</w:t>
            </w:r>
          </w:p>
        </w:tc>
        <w:tc>
          <w:tcPr>
            <w:tcW w:w="708" w:type="dxa"/>
            <w:shd w:val="clear" w:color="000000" w:fill="FFC514"/>
            <w:vAlign w:val="bottom"/>
          </w:tcPr>
          <w:p w14:paraId="4F4BBDEB" w14:textId="77777777" w:rsidR="00407D0F" w:rsidRPr="009F3145" w:rsidRDefault="00407D0F" w:rsidP="00B178E4">
            <w:pPr>
              <w:pStyle w:val="Tabletext"/>
              <w:ind w:left="0" w:right="0"/>
              <w:jc w:val="center"/>
              <w:rPr>
                <w:rFonts w:cs="Calibri"/>
                <w:color w:val="000000"/>
                <w:szCs w:val="19"/>
              </w:rPr>
            </w:pPr>
            <w:r w:rsidRPr="009F3145">
              <w:rPr>
                <w:color w:val="000000"/>
                <w:szCs w:val="19"/>
              </w:rPr>
              <w:t>91%</w:t>
            </w:r>
          </w:p>
        </w:tc>
        <w:tc>
          <w:tcPr>
            <w:tcW w:w="851" w:type="dxa"/>
            <w:shd w:val="clear" w:color="000000" w:fill="FFC000"/>
            <w:vAlign w:val="bottom"/>
          </w:tcPr>
          <w:p w14:paraId="27C1C2AE" w14:textId="77777777" w:rsidR="00407D0F" w:rsidRPr="009F3145" w:rsidRDefault="00407D0F" w:rsidP="00B178E4">
            <w:pPr>
              <w:pStyle w:val="Tabletext"/>
              <w:ind w:left="0" w:right="0"/>
              <w:jc w:val="center"/>
              <w:rPr>
                <w:rFonts w:cs="Calibri"/>
                <w:color w:val="000000"/>
                <w:szCs w:val="19"/>
              </w:rPr>
            </w:pPr>
            <w:r w:rsidRPr="009F3145">
              <w:rPr>
                <w:color w:val="000000"/>
                <w:szCs w:val="19"/>
              </w:rPr>
              <w:t>99%</w:t>
            </w:r>
          </w:p>
        </w:tc>
        <w:tc>
          <w:tcPr>
            <w:tcW w:w="850" w:type="dxa"/>
            <w:shd w:val="clear" w:color="000000" w:fill="FFF2C7"/>
            <w:vAlign w:val="bottom"/>
          </w:tcPr>
          <w:p w14:paraId="4F564CAD" w14:textId="77777777" w:rsidR="00407D0F" w:rsidRPr="009F3145" w:rsidRDefault="00407D0F" w:rsidP="00B178E4">
            <w:pPr>
              <w:pStyle w:val="Tabletext"/>
              <w:ind w:left="0" w:right="0"/>
              <w:jc w:val="center"/>
              <w:rPr>
                <w:rFonts w:cs="Calibri"/>
                <w:color w:val="000000"/>
                <w:szCs w:val="19"/>
              </w:rPr>
            </w:pPr>
            <w:r w:rsidRPr="009F3145">
              <w:rPr>
                <w:color w:val="000000"/>
                <w:szCs w:val="19"/>
              </w:rPr>
              <w:t>22%</w:t>
            </w:r>
          </w:p>
        </w:tc>
        <w:tc>
          <w:tcPr>
            <w:tcW w:w="851" w:type="dxa"/>
            <w:shd w:val="clear" w:color="000000" w:fill="FFD44E"/>
            <w:vAlign w:val="bottom"/>
          </w:tcPr>
          <w:p w14:paraId="3CC85CEB" w14:textId="77777777" w:rsidR="00407D0F" w:rsidRPr="009F3145" w:rsidRDefault="00407D0F" w:rsidP="00B178E4">
            <w:pPr>
              <w:pStyle w:val="Tabletext"/>
              <w:ind w:left="0" w:right="0"/>
              <w:jc w:val="center"/>
              <w:rPr>
                <w:rFonts w:cs="Calibri"/>
                <w:color w:val="000000"/>
                <w:szCs w:val="19"/>
              </w:rPr>
            </w:pPr>
            <w:r w:rsidRPr="009F3145">
              <w:rPr>
                <w:color w:val="000000"/>
                <w:szCs w:val="19"/>
              </w:rPr>
              <w:t>69%</w:t>
            </w:r>
          </w:p>
        </w:tc>
        <w:tc>
          <w:tcPr>
            <w:tcW w:w="709" w:type="dxa"/>
            <w:shd w:val="clear" w:color="000000" w:fill="FFC513"/>
            <w:vAlign w:val="bottom"/>
          </w:tcPr>
          <w:p w14:paraId="6DA17591" w14:textId="77777777" w:rsidR="00407D0F" w:rsidRPr="009F3145" w:rsidRDefault="00407D0F" w:rsidP="00B178E4">
            <w:pPr>
              <w:pStyle w:val="Tabletext"/>
              <w:ind w:left="0" w:right="0"/>
              <w:jc w:val="center"/>
              <w:rPr>
                <w:rFonts w:cs="Calibri"/>
                <w:color w:val="000000"/>
                <w:szCs w:val="19"/>
              </w:rPr>
            </w:pPr>
            <w:r w:rsidRPr="009F3145">
              <w:rPr>
                <w:color w:val="000000"/>
                <w:szCs w:val="19"/>
              </w:rPr>
              <w:t>92%</w:t>
            </w:r>
          </w:p>
        </w:tc>
        <w:tc>
          <w:tcPr>
            <w:tcW w:w="850" w:type="dxa"/>
            <w:shd w:val="clear" w:color="000000" w:fill="FFC207"/>
            <w:vAlign w:val="bottom"/>
          </w:tcPr>
          <w:p w14:paraId="66281F7A" w14:textId="77777777" w:rsidR="00407D0F" w:rsidRPr="009F3145" w:rsidRDefault="00407D0F" w:rsidP="00B178E4">
            <w:pPr>
              <w:pStyle w:val="Tabletext"/>
              <w:ind w:left="0" w:right="0"/>
              <w:jc w:val="center"/>
              <w:rPr>
                <w:rFonts w:cs="Calibri"/>
                <w:color w:val="000000"/>
                <w:szCs w:val="19"/>
              </w:rPr>
            </w:pPr>
            <w:r w:rsidRPr="009F3145">
              <w:rPr>
                <w:color w:val="000000"/>
                <w:szCs w:val="19"/>
              </w:rPr>
              <w:t>96%</w:t>
            </w:r>
          </w:p>
        </w:tc>
      </w:tr>
      <w:tr w:rsidR="00407D0F" w:rsidRPr="00EB1479" w14:paraId="3F17A76C" w14:textId="77777777" w:rsidTr="00DF6DE3">
        <w:trPr>
          <w:trHeight w:val="223"/>
        </w:trPr>
        <w:tc>
          <w:tcPr>
            <w:tcW w:w="1588" w:type="dxa"/>
          </w:tcPr>
          <w:p w14:paraId="0F40E8FA" w14:textId="5381056E" w:rsidR="00407D0F" w:rsidRPr="00B178E4" w:rsidRDefault="00407D0F" w:rsidP="00B178E4">
            <w:pPr>
              <w:pStyle w:val="Tabletext"/>
              <w:ind w:left="0" w:right="0"/>
              <w:jc w:val="right"/>
              <w:rPr>
                <w:rFonts w:cs="Calibri"/>
                <w:b/>
                <w:bCs/>
                <w:lang w:val="en-US"/>
              </w:rPr>
            </w:pPr>
            <w:r w:rsidRPr="00B178E4">
              <w:rPr>
                <w:rFonts w:cs="Calibri"/>
                <w:b/>
                <w:bCs/>
                <w:lang w:val="en-US"/>
              </w:rPr>
              <w:t>TC</w:t>
            </w:r>
            <w:r w:rsidR="009B4AAF">
              <w:rPr>
                <w:rFonts w:cs="Calibri"/>
                <w:b/>
                <w:bCs/>
                <w:lang w:val="en-US"/>
              </w:rPr>
              <w:t xml:space="preserve"> </w:t>
            </w:r>
            <w:r w:rsidRPr="00B178E4">
              <w:rPr>
                <w:rFonts w:cs="Calibri"/>
                <w:b/>
                <w:bCs/>
                <w:lang w:val="en-US"/>
              </w:rPr>
              <w:t>≥</w:t>
            </w:r>
            <w:r w:rsidR="009B4AAF">
              <w:rPr>
                <w:rFonts w:cs="Calibri"/>
                <w:b/>
                <w:bCs/>
                <w:lang w:val="en-US"/>
              </w:rPr>
              <w:t xml:space="preserve"> </w:t>
            </w:r>
            <w:r w:rsidRPr="00B178E4">
              <w:rPr>
                <w:rFonts w:cs="Calibri"/>
                <w:b/>
                <w:bCs/>
                <w:lang w:val="en-US"/>
              </w:rPr>
              <w:t>1%</w:t>
            </w:r>
          </w:p>
        </w:tc>
        <w:tc>
          <w:tcPr>
            <w:tcW w:w="850" w:type="dxa"/>
            <w:shd w:val="clear" w:color="000000" w:fill="FFDF7B"/>
            <w:vAlign w:val="bottom"/>
          </w:tcPr>
          <w:p w14:paraId="48367225" w14:textId="77777777" w:rsidR="00407D0F" w:rsidRPr="009F3145" w:rsidRDefault="00407D0F" w:rsidP="000741BA">
            <w:pPr>
              <w:pStyle w:val="Tabletext"/>
              <w:ind w:left="0" w:right="0"/>
              <w:rPr>
                <w:rFonts w:cs="Calibri"/>
                <w:color w:val="000000"/>
                <w:szCs w:val="19"/>
              </w:rPr>
            </w:pPr>
            <w:r w:rsidRPr="009F3145">
              <w:rPr>
                <w:color w:val="000000"/>
                <w:szCs w:val="19"/>
              </w:rPr>
              <w:t>51%</w:t>
            </w:r>
          </w:p>
        </w:tc>
        <w:tc>
          <w:tcPr>
            <w:tcW w:w="851" w:type="dxa"/>
            <w:shd w:val="clear" w:color="000000" w:fill="FFC81D"/>
            <w:vAlign w:val="bottom"/>
          </w:tcPr>
          <w:p w14:paraId="6BC5DF8A" w14:textId="77777777" w:rsidR="00407D0F" w:rsidRPr="009F3145" w:rsidRDefault="00407D0F" w:rsidP="00B178E4">
            <w:pPr>
              <w:pStyle w:val="Tabletext"/>
              <w:ind w:left="0" w:right="0"/>
              <w:jc w:val="center"/>
              <w:rPr>
                <w:rFonts w:cs="Calibri"/>
                <w:color w:val="000000"/>
                <w:szCs w:val="19"/>
              </w:rPr>
            </w:pPr>
            <w:r w:rsidRPr="009F3145">
              <w:rPr>
                <w:color w:val="000000"/>
                <w:szCs w:val="19"/>
              </w:rPr>
              <w:t>88%</w:t>
            </w:r>
          </w:p>
        </w:tc>
        <w:tc>
          <w:tcPr>
            <w:tcW w:w="708" w:type="dxa"/>
            <w:shd w:val="clear" w:color="000000" w:fill="FFC30B"/>
            <w:vAlign w:val="bottom"/>
          </w:tcPr>
          <w:p w14:paraId="211D92C4" w14:textId="77777777" w:rsidR="00407D0F" w:rsidRPr="009F3145" w:rsidRDefault="00407D0F" w:rsidP="00B178E4">
            <w:pPr>
              <w:pStyle w:val="Tabletext"/>
              <w:ind w:left="0" w:right="0"/>
              <w:jc w:val="center"/>
              <w:rPr>
                <w:rFonts w:cs="Calibri"/>
                <w:color w:val="000000"/>
                <w:szCs w:val="19"/>
              </w:rPr>
            </w:pPr>
            <w:r w:rsidRPr="009F3145">
              <w:rPr>
                <w:color w:val="000000"/>
                <w:szCs w:val="19"/>
              </w:rPr>
              <w:t>95%</w:t>
            </w:r>
          </w:p>
        </w:tc>
        <w:tc>
          <w:tcPr>
            <w:tcW w:w="851" w:type="dxa"/>
            <w:shd w:val="clear" w:color="000000" w:fill="FFC000"/>
            <w:vAlign w:val="bottom"/>
          </w:tcPr>
          <w:p w14:paraId="069436C2" w14:textId="77777777" w:rsidR="00407D0F" w:rsidRPr="009F3145" w:rsidRDefault="00407D0F" w:rsidP="00B178E4">
            <w:pPr>
              <w:pStyle w:val="Tabletext"/>
              <w:ind w:left="0" w:right="0"/>
              <w:jc w:val="center"/>
              <w:rPr>
                <w:rFonts w:cs="Calibri"/>
                <w:color w:val="000000"/>
                <w:szCs w:val="19"/>
              </w:rPr>
            </w:pPr>
            <w:r w:rsidRPr="009F3145">
              <w:rPr>
                <w:color w:val="000000"/>
                <w:szCs w:val="19"/>
              </w:rPr>
              <w:t>99%</w:t>
            </w:r>
          </w:p>
        </w:tc>
        <w:tc>
          <w:tcPr>
            <w:tcW w:w="850" w:type="dxa"/>
            <w:shd w:val="clear" w:color="000000" w:fill="FFDE78"/>
            <w:vAlign w:val="bottom"/>
          </w:tcPr>
          <w:p w14:paraId="7F0563E0" w14:textId="77777777" w:rsidR="00407D0F" w:rsidRPr="009F3145" w:rsidRDefault="00407D0F" w:rsidP="00B178E4">
            <w:pPr>
              <w:pStyle w:val="Tabletext"/>
              <w:ind w:left="0" w:right="0"/>
              <w:jc w:val="center"/>
              <w:rPr>
                <w:rFonts w:cs="Calibri"/>
                <w:color w:val="000000"/>
                <w:szCs w:val="19"/>
              </w:rPr>
            </w:pPr>
            <w:r w:rsidRPr="009F3145">
              <w:rPr>
                <w:color w:val="000000"/>
                <w:szCs w:val="19"/>
              </w:rPr>
              <w:t>53%</w:t>
            </w:r>
          </w:p>
        </w:tc>
        <w:tc>
          <w:tcPr>
            <w:tcW w:w="851" w:type="dxa"/>
            <w:shd w:val="clear" w:color="000000" w:fill="FFCA25"/>
            <w:vAlign w:val="bottom"/>
          </w:tcPr>
          <w:p w14:paraId="0CD57972" w14:textId="77777777" w:rsidR="00407D0F" w:rsidRPr="009F3145" w:rsidRDefault="00407D0F" w:rsidP="00B178E4">
            <w:pPr>
              <w:pStyle w:val="Tabletext"/>
              <w:ind w:left="0" w:right="0"/>
              <w:jc w:val="center"/>
              <w:rPr>
                <w:rFonts w:cs="Calibri"/>
                <w:color w:val="000000"/>
                <w:szCs w:val="19"/>
              </w:rPr>
            </w:pPr>
            <w:r w:rsidRPr="009F3145">
              <w:rPr>
                <w:color w:val="000000"/>
                <w:szCs w:val="19"/>
              </w:rPr>
              <w:t>84%</w:t>
            </w:r>
          </w:p>
        </w:tc>
        <w:tc>
          <w:tcPr>
            <w:tcW w:w="709" w:type="dxa"/>
            <w:shd w:val="clear" w:color="000000" w:fill="FFC206"/>
            <w:vAlign w:val="bottom"/>
          </w:tcPr>
          <w:p w14:paraId="74A0C1A2" w14:textId="77777777" w:rsidR="00407D0F" w:rsidRPr="009F3145" w:rsidRDefault="00407D0F" w:rsidP="00B178E4">
            <w:pPr>
              <w:pStyle w:val="Tabletext"/>
              <w:ind w:left="0" w:right="0"/>
              <w:jc w:val="center"/>
              <w:rPr>
                <w:rFonts w:cs="Calibri"/>
                <w:color w:val="000000"/>
                <w:szCs w:val="19"/>
              </w:rPr>
            </w:pPr>
            <w:r w:rsidRPr="009F3145">
              <w:rPr>
                <w:color w:val="000000"/>
                <w:szCs w:val="19"/>
              </w:rPr>
              <w:t>97%</w:t>
            </w:r>
          </w:p>
        </w:tc>
        <w:tc>
          <w:tcPr>
            <w:tcW w:w="850" w:type="dxa"/>
            <w:shd w:val="clear" w:color="000000" w:fill="FFC207"/>
            <w:vAlign w:val="bottom"/>
          </w:tcPr>
          <w:p w14:paraId="56315F08" w14:textId="77777777" w:rsidR="00407D0F" w:rsidRPr="009F3145" w:rsidRDefault="00407D0F" w:rsidP="00B178E4">
            <w:pPr>
              <w:pStyle w:val="Tabletext"/>
              <w:ind w:left="0" w:right="0"/>
              <w:jc w:val="center"/>
              <w:rPr>
                <w:rFonts w:cs="Calibri"/>
                <w:color w:val="000000"/>
                <w:szCs w:val="19"/>
              </w:rPr>
            </w:pPr>
            <w:r w:rsidRPr="009F3145">
              <w:rPr>
                <w:color w:val="000000"/>
                <w:szCs w:val="19"/>
              </w:rPr>
              <w:t>96%</w:t>
            </w:r>
          </w:p>
        </w:tc>
      </w:tr>
      <w:tr w:rsidR="00407D0F" w:rsidRPr="00EB1479" w14:paraId="28EFAE06" w14:textId="77777777" w:rsidTr="00DF6DE3">
        <w:trPr>
          <w:trHeight w:val="223"/>
        </w:trPr>
        <w:tc>
          <w:tcPr>
            <w:tcW w:w="1588" w:type="dxa"/>
          </w:tcPr>
          <w:p w14:paraId="097EBB32" w14:textId="2C1C8320" w:rsidR="00407D0F" w:rsidRPr="00B178E4" w:rsidRDefault="00407D0F" w:rsidP="00B178E4">
            <w:pPr>
              <w:pStyle w:val="Tabletext"/>
              <w:ind w:left="0" w:right="0"/>
              <w:jc w:val="right"/>
              <w:rPr>
                <w:rFonts w:cs="Calibri"/>
                <w:b/>
                <w:bCs/>
                <w:lang w:val="en-US"/>
              </w:rPr>
            </w:pPr>
            <w:r w:rsidRPr="00B178E4">
              <w:rPr>
                <w:rFonts w:cs="Calibri"/>
                <w:b/>
                <w:bCs/>
                <w:lang w:val="en-US"/>
              </w:rPr>
              <w:t>TC</w:t>
            </w:r>
            <w:r w:rsidR="009B4AAF">
              <w:rPr>
                <w:rFonts w:cs="Calibri"/>
                <w:b/>
                <w:bCs/>
                <w:lang w:val="en-US"/>
              </w:rPr>
              <w:t xml:space="preserve"> </w:t>
            </w:r>
            <w:r w:rsidRPr="00B178E4">
              <w:rPr>
                <w:rFonts w:cs="Calibri"/>
                <w:b/>
                <w:bCs/>
                <w:lang w:val="en-US"/>
              </w:rPr>
              <w:t>&lt;</w:t>
            </w:r>
            <w:r w:rsidR="009B4AAF">
              <w:rPr>
                <w:rFonts w:cs="Calibri"/>
                <w:b/>
                <w:bCs/>
                <w:lang w:val="en-US"/>
              </w:rPr>
              <w:t xml:space="preserve"> </w:t>
            </w:r>
            <w:r w:rsidRPr="00B178E4">
              <w:rPr>
                <w:rFonts w:cs="Calibri"/>
                <w:b/>
                <w:bCs/>
                <w:lang w:val="en-US"/>
              </w:rPr>
              <w:t>1%</w:t>
            </w:r>
          </w:p>
        </w:tc>
        <w:tc>
          <w:tcPr>
            <w:tcW w:w="850" w:type="dxa"/>
            <w:shd w:val="clear" w:color="000000" w:fill="FFE183"/>
            <w:vAlign w:val="bottom"/>
          </w:tcPr>
          <w:p w14:paraId="5DE02249" w14:textId="77777777" w:rsidR="00407D0F" w:rsidRPr="009F3145" w:rsidRDefault="00407D0F" w:rsidP="000741BA">
            <w:pPr>
              <w:pStyle w:val="Tabletext"/>
              <w:ind w:left="0" w:right="0"/>
              <w:rPr>
                <w:rFonts w:cs="Calibri"/>
                <w:color w:val="000000"/>
                <w:szCs w:val="19"/>
              </w:rPr>
            </w:pPr>
            <w:r w:rsidRPr="009F3145">
              <w:rPr>
                <w:color w:val="000000"/>
                <w:szCs w:val="19"/>
              </w:rPr>
              <w:t>48%</w:t>
            </w:r>
          </w:p>
        </w:tc>
        <w:tc>
          <w:tcPr>
            <w:tcW w:w="851" w:type="dxa"/>
            <w:shd w:val="clear" w:color="000000" w:fill="FFFAE7"/>
            <w:vAlign w:val="bottom"/>
          </w:tcPr>
          <w:p w14:paraId="7A904267" w14:textId="77777777" w:rsidR="00407D0F" w:rsidRPr="009F3145" w:rsidRDefault="00407D0F" w:rsidP="00B178E4">
            <w:pPr>
              <w:pStyle w:val="Tabletext"/>
              <w:ind w:left="0" w:right="0"/>
              <w:jc w:val="center"/>
              <w:rPr>
                <w:rFonts w:cs="Calibri"/>
                <w:color w:val="000000"/>
                <w:szCs w:val="19"/>
              </w:rPr>
            </w:pPr>
            <w:r w:rsidRPr="009F3145">
              <w:rPr>
                <w:color w:val="000000"/>
                <w:szCs w:val="19"/>
              </w:rPr>
              <w:t>9%</w:t>
            </w:r>
          </w:p>
        </w:tc>
        <w:tc>
          <w:tcPr>
            <w:tcW w:w="708" w:type="dxa"/>
            <w:shd w:val="clear" w:color="000000" w:fill="FFFCF1"/>
            <w:vAlign w:val="bottom"/>
          </w:tcPr>
          <w:p w14:paraId="0B505B3D" w14:textId="77777777" w:rsidR="00407D0F" w:rsidRPr="009F3145" w:rsidRDefault="00407D0F" w:rsidP="00B178E4">
            <w:pPr>
              <w:pStyle w:val="Tabletext"/>
              <w:ind w:left="0" w:right="0"/>
              <w:jc w:val="center"/>
              <w:rPr>
                <w:rFonts w:cs="Calibri"/>
                <w:color w:val="000000"/>
                <w:szCs w:val="19"/>
              </w:rPr>
            </w:pPr>
            <w:r w:rsidRPr="009F3145">
              <w:rPr>
                <w:color w:val="000000"/>
                <w:szCs w:val="19"/>
              </w:rPr>
              <w:t>5%</w:t>
            </w:r>
          </w:p>
        </w:tc>
        <w:tc>
          <w:tcPr>
            <w:tcW w:w="851" w:type="dxa"/>
            <w:shd w:val="clear" w:color="000000" w:fill="FFFFFC"/>
            <w:vAlign w:val="bottom"/>
          </w:tcPr>
          <w:p w14:paraId="24C8E357" w14:textId="77777777" w:rsidR="00407D0F" w:rsidRPr="009F3145" w:rsidRDefault="00407D0F" w:rsidP="00B178E4">
            <w:pPr>
              <w:pStyle w:val="Tabletext"/>
              <w:ind w:left="0" w:right="0"/>
              <w:jc w:val="center"/>
              <w:rPr>
                <w:rFonts w:cs="Calibri"/>
                <w:color w:val="000000"/>
                <w:szCs w:val="19"/>
              </w:rPr>
            </w:pPr>
            <w:r w:rsidRPr="009F3145">
              <w:rPr>
                <w:color w:val="000000"/>
                <w:szCs w:val="19"/>
              </w:rPr>
              <w:t>1%</w:t>
            </w:r>
          </w:p>
        </w:tc>
        <w:tc>
          <w:tcPr>
            <w:tcW w:w="850" w:type="dxa"/>
            <w:shd w:val="clear" w:color="000000" w:fill="FFE38B"/>
            <w:vAlign w:val="bottom"/>
          </w:tcPr>
          <w:p w14:paraId="49C65294" w14:textId="77777777" w:rsidR="00407D0F" w:rsidRPr="009F3145" w:rsidRDefault="00407D0F" w:rsidP="00B178E4">
            <w:pPr>
              <w:pStyle w:val="Tabletext"/>
              <w:ind w:left="0" w:right="0"/>
              <w:jc w:val="center"/>
              <w:rPr>
                <w:rFonts w:cs="Calibri"/>
                <w:color w:val="000000"/>
                <w:szCs w:val="19"/>
              </w:rPr>
            </w:pPr>
            <w:r w:rsidRPr="009F3145">
              <w:rPr>
                <w:color w:val="000000"/>
                <w:szCs w:val="19"/>
              </w:rPr>
              <w:t>45%</w:t>
            </w:r>
          </w:p>
        </w:tc>
        <w:tc>
          <w:tcPr>
            <w:tcW w:w="851" w:type="dxa"/>
            <w:shd w:val="clear" w:color="000000" w:fill="FFF6D7"/>
            <w:vAlign w:val="bottom"/>
          </w:tcPr>
          <w:p w14:paraId="585AC6AA" w14:textId="77777777" w:rsidR="00407D0F" w:rsidRPr="009F3145" w:rsidRDefault="00407D0F" w:rsidP="00B178E4">
            <w:pPr>
              <w:pStyle w:val="Tabletext"/>
              <w:ind w:left="0" w:right="0"/>
              <w:jc w:val="center"/>
              <w:rPr>
                <w:rFonts w:cs="Calibri"/>
                <w:color w:val="000000"/>
                <w:szCs w:val="19"/>
              </w:rPr>
            </w:pPr>
            <w:r w:rsidRPr="009F3145">
              <w:rPr>
                <w:color w:val="000000"/>
                <w:szCs w:val="19"/>
              </w:rPr>
              <w:t>16%</w:t>
            </w:r>
          </w:p>
        </w:tc>
        <w:tc>
          <w:tcPr>
            <w:tcW w:w="709" w:type="dxa"/>
            <w:shd w:val="clear" w:color="000000" w:fill="FFFFFF"/>
            <w:vAlign w:val="bottom"/>
          </w:tcPr>
          <w:p w14:paraId="2D844BDD" w14:textId="77777777" w:rsidR="00407D0F" w:rsidRPr="009F3145" w:rsidRDefault="00407D0F" w:rsidP="00B178E4">
            <w:pPr>
              <w:pStyle w:val="Tabletext"/>
              <w:ind w:left="0" w:right="0"/>
              <w:jc w:val="center"/>
              <w:rPr>
                <w:rFonts w:cs="Calibri"/>
                <w:color w:val="000000"/>
                <w:szCs w:val="19"/>
              </w:rPr>
            </w:pPr>
            <w:r w:rsidRPr="009F3145">
              <w:rPr>
                <w:color w:val="000000"/>
                <w:szCs w:val="19"/>
              </w:rPr>
              <w:t>0%</w:t>
            </w:r>
          </w:p>
        </w:tc>
        <w:tc>
          <w:tcPr>
            <w:tcW w:w="850" w:type="dxa"/>
            <w:shd w:val="clear" w:color="000000" w:fill="FFFEF9"/>
            <w:vAlign w:val="bottom"/>
          </w:tcPr>
          <w:p w14:paraId="475F2A89" w14:textId="77777777" w:rsidR="00407D0F" w:rsidRPr="009F3145" w:rsidRDefault="00407D0F" w:rsidP="00B178E4">
            <w:pPr>
              <w:pStyle w:val="Tabletext"/>
              <w:ind w:left="0" w:right="0"/>
              <w:jc w:val="center"/>
              <w:rPr>
                <w:rFonts w:cs="Calibri"/>
                <w:color w:val="000000"/>
                <w:szCs w:val="19"/>
              </w:rPr>
            </w:pPr>
            <w:r w:rsidRPr="009F3145">
              <w:rPr>
                <w:color w:val="000000"/>
                <w:szCs w:val="19"/>
              </w:rPr>
              <w:t>3%</w:t>
            </w:r>
          </w:p>
        </w:tc>
      </w:tr>
      <w:tr w:rsidR="00407D0F" w:rsidRPr="00EB1479" w14:paraId="71A19558" w14:textId="77777777" w:rsidTr="00DF6DE3">
        <w:trPr>
          <w:trHeight w:val="223"/>
        </w:trPr>
        <w:tc>
          <w:tcPr>
            <w:tcW w:w="1588" w:type="dxa"/>
          </w:tcPr>
          <w:p w14:paraId="0DF3F75F" w14:textId="77777777" w:rsidR="00407D0F" w:rsidRPr="00B178E4" w:rsidRDefault="00407D0F" w:rsidP="00B178E4">
            <w:pPr>
              <w:pStyle w:val="Tabletext"/>
              <w:ind w:left="0" w:right="0"/>
              <w:jc w:val="right"/>
              <w:rPr>
                <w:rFonts w:cs="Calibri"/>
                <w:b/>
                <w:lang w:val="en-US"/>
              </w:rPr>
            </w:pPr>
            <w:r w:rsidRPr="00B178E4">
              <w:rPr>
                <w:rFonts w:cs="Calibri"/>
                <w:b/>
                <w:bCs/>
                <w:lang w:val="en-US"/>
              </w:rPr>
              <w:t>22C3 evaluable</w:t>
            </w:r>
          </w:p>
        </w:tc>
        <w:tc>
          <w:tcPr>
            <w:tcW w:w="3260" w:type="dxa"/>
            <w:gridSpan w:val="4"/>
          </w:tcPr>
          <w:p w14:paraId="6365AD29" w14:textId="77777777" w:rsidR="00407D0F" w:rsidRPr="009F3145" w:rsidRDefault="00407D0F" w:rsidP="00B178E4">
            <w:pPr>
              <w:pStyle w:val="Tabletext"/>
              <w:ind w:left="0" w:right="0"/>
              <w:jc w:val="center"/>
              <w:rPr>
                <w:rFonts w:cs="Calibri"/>
                <w:color w:val="000000"/>
                <w:szCs w:val="19"/>
              </w:rPr>
            </w:pPr>
            <w:r w:rsidRPr="009F3145">
              <w:rPr>
                <w:rFonts w:cs="Calibri"/>
                <w:szCs w:val="19"/>
              </w:rPr>
              <w:t>n=276 (96%)</w:t>
            </w:r>
          </w:p>
        </w:tc>
        <w:tc>
          <w:tcPr>
            <w:tcW w:w="3260" w:type="dxa"/>
            <w:gridSpan w:val="4"/>
            <w:vAlign w:val="center"/>
          </w:tcPr>
          <w:p w14:paraId="4EB0D9D5" w14:textId="77777777" w:rsidR="00407D0F" w:rsidRPr="009F3145" w:rsidRDefault="00407D0F" w:rsidP="00B178E4">
            <w:pPr>
              <w:pStyle w:val="Tabletext"/>
              <w:ind w:left="0" w:right="0"/>
              <w:jc w:val="center"/>
              <w:rPr>
                <w:rFonts w:cs="Calibri"/>
                <w:color w:val="000000"/>
                <w:szCs w:val="19"/>
              </w:rPr>
            </w:pPr>
            <w:r w:rsidRPr="009F3145">
              <w:rPr>
                <w:rFonts w:cs="Calibri"/>
                <w:szCs w:val="19"/>
              </w:rPr>
              <w:t>n=276 (97%)</w:t>
            </w:r>
          </w:p>
        </w:tc>
      </w:tr>
      <w:tr w:rsidR="00407D0F" w:rsidRPr="00EB1479" w14:paraId="1AE2005B" w14:textId="77777777" w:rsidTr="00DF6DE3">
        <w:trPr>
          <w:trHeight w:val="223"/>
        </w:trPr>
        <w:tc>
          <w:tcPr>
            <w:tcW w:w="1588" w:type="dxa"/>
          </w:tcPr>
          <w:p w14:paraId="5EEB506C" w14:textId="5D3C7618" w:rsidR="00407D0F" w:rsidRPr="00B178E4" w:rsidRDefault="00407D0F" w:rsidP="00B178E4">
            <w:pPr>
              <w:pStyle w:val="Tabletext"/>
              <w:ind w:left="0" w:right="0"/>
              <w:jc w:val="right"/>
              <w:rPr>
                <w:rFonts w:cs="Calibri"/>
                <w:b/>
                <w:bCs/>
                <w:lang w:val="en-US"/>
              </w:rPr>
            </w:pPr>
            <w:r w:rsidRPr="00B178E4">
              <w:rPr>
                <w:rFonts w:cs="Calibri"/>
                <w:b/>
                <w:bCs/>
                <w:lang w:val="en-US"/>
              </w:rPr>
              <w:t>TPS</w:t>
            </w:r>
            <w:r w:rsidR="009B4AAF">
              <w:rPr>
                <w:rFonts w:cs="Calibri"/>
                <w:b/>
                <w:bCs/>
                <w:lang w:val="en-US"/>
              </w:rPr>
              <w:t xml:space="preserve"> </w:t>
            </w:r>
            <w:r w:rsidRPr="00B178E4">
              <w:rPr>
                <w:rFonts w:cs="Calibri"/>
                <w:b/>
                <w:bCs/>
                <w:lang w:val="en-US"/>
              </w:rPr>
              <w:t>≥</w:t>
            </w:r>
            <w:r w:rsidR="009B4AAF">
              <w:rPr>
                <w:rFonts w:cs="Calibri"/>
                <w:b/>
                <w:bCs/>
                <w:lang w:val="en-US"/>
              </w:rPr>
              <w:t xml:space="preserve"> </w:t>
            </w:r>
            <w:r w:rsidRPr="00B178E4">
              <w:rPr>
                <w:rFonts w:cs="Calibri"/>
                <w:b/>
                <w:bCs/>
                <w:lang w:val="en-US"/>
              </w:rPr>
              <w:t>50%</w:t>
            </w:r>
          </w:p>
        </w:tc>
        <w:tc>
          <w:tcPr>
            <w:tcW w:w="850" w:type="dxa"/>
            <w:shd w:val="clear" w:color="000000" w:fill="FFF8E3"/>
            <w:vAlign w:val="bottom"/>
          </w:tcPr>
          <w:p w14:paraId="04791807" w14:textId="77777777" w:rsidR="00407D0F" w:rsidRPr="009F3145" w:rsidRDefault="00407D0F" w:rsidP="000741BA">
            <w:pPr>
              <w:pStyle w:val="Tabletext"/>
              <w:ind w:left="0" w:right="0"/>
              <w:rPr>
                <w:rFonts w:cs="Calibri"/>
                <w:szCs w:val="19"/>
              </w:rPr>
            </w:pPr>
            <w:r w:rsidRPr="009F3145">
              <w:rPr>
                <w:color w:val="000000"/>
                <w:szCs w:val="19"/>
              </w:rPr>
              <w:t>11%</w:t>
            </w:r>
          </w:p>
        </w:tc>
        <w:tc>
          <w:tcPr>
            <w:tcW w:w="851" w:type="dxa"/>
            <w:shd w:val="clear" w:color="000000" w:fill="FFE696"/>
            <w:vAlign w:val="bottom"/>
          </w:tcPr>
          <w:p w14:paraId="349B8163" w14:textId="77777777" w:rsidR="00407D0F" w:rsidRPr="009F3145" w:rsidRDefault="00407D0F" w:rsidP="00B178E4">
            <w:pPr>
              <w:pStyle w:val="Tabletext"/>
              <w:ind w:left="0" w:right="0"/>
              <w:jc w:val="center"/>
              <w:rPr>
                <w:rFonts w:cs="Calibri"/>
                <w:szCs w:val="19"/>
              </w:rPr>
            </w:pPr>
            <w:r w:rsidRPr="009F3145">
              <w:rPr>
                <w:color w:val="000000"/>
                <w:szCs w:val="19"/>
              </w:rPr>
              <w:t>41%</w:t>
            </w:r>
          </w:p>
        </w:tc>
        <w:tc>
          <w:tcPr>
            <w:tcW w:w="708" w:type="dxa"/>
            <w:shd w:val="clear" w:color="000000" w:fill="FFD656"/>
            <w:vAlign w:val="bottom"/>
          </w:tcPr>
          <w:p w14:paraId="4CBF7952" w14:textId="77777777" w:rsidR="00407D0F" w:rsidRPr="009F3145" w:rsidRDefault="00407D0F" w:rsidP="00B178E4">
            <w:pPr>
              <w:pStyle w:val="Tabletext"/>
              <w:ind w:left="0" w:right="0"/>
              <w:jc w:val="center"/>
              <w:rPr>
                <w:rFonts w:cs="Calibri"/>
                <w:color w:val="000000"/>
                <w:szCs w:val="19"/>
              </w:rPr>
            </w:pPr>
            <w:r w:rsidRPr="009F3145">
              <w:rPr>
                <w:color w:val="000000"/>
                <w:szCs w:val="19"/>
              </w:rPr>
              <w:t>65%</w:t>
            </w:r>
          </w:p>
        </w:tc>
        <w:tc>
          <w:tcPr>
            <w:tcW w:w="851" w:type="dxa"/>
            <w:shd w:val="clear" w:color="000000" w:fill="FFC616"/>
            <w:vAlign w:val="bottom"/>
          </w:tcPr>
          <w:p w14:paraId="689E2E21" w14:textId="77777777" w:rsidR="00407D0F" w:rsidRPr="009F3145" w:rsidRDefault="00407D0F" w:rsidP="00B178E4">
            <w:pPr>
              <w:pStyle w:val="Tabletext"/>
              <w:ind w:left="0" w:right="0"/>
              <w:jc w:val="center"/>
              <w:rPr>
                <w:rFonts w:cs="Calibri"/>
                <w:color w:val="000000"/>
                <w:szCs w:val="19"/>
              </w:rPr>
            </w:pPr>
            <w:r w:rsidRPr="009F3145">
              <w:rPr>
                <w:color w:val="000000"/>
                <w:szCs w:val="19"/>
              </w:rPr>
              <w:t>90%</w:t>
            </w:r>
          </w:p>
        </w:tc>
        <w:tc>
          <w:tcPr>
            <w:tcW w:w="850" w:type="dxa"/>
            <w:shd w:val="clear" w:color="000000" w:fill="FFF9E6"/>
            <w:vAlign w:val="bottom"/>
          </w:tcPr>
          <w:p w14:paraId="175CA50C" w14:textId="77777777" w:rsidR="00407D0F" w:rsidRPr="009F3145" w:rsidRDefault="00407D0F" w:rsidP="00B178E4">
            <w:pPr>
              <w:pStyle w:val="Tabletext"/>
              <w:ind w:left="0" w:right="0"/>
              <w:jc w:val="center"/>
              <w:rPr>
                <w:rFonts w:cs="Calibri"/>
                <w:color w:val="000000"/>
                <w:szCs w:val="19"/>
              </w:rPr>
            </w:pPr>
            <w:r w:rsidRPr="009F3145">
              <w:rPr>
                <w:color w:val="000000"/>
                <w:szCs w:val="19"/>
              </w:rPr>
              <w:t>10%</w:t>
            </w:r>
          </w:p>
        </w:tc>
        <w:tc>
          <w:tcPr>
            <w:tcW w:w="851" w:type="dxa"/>
            <w:shd w:val="clear" w:color="000000" w:fill="FFE286"/>
            <w:vAlign w:val="bottom"/>
          </w:tcPr>
          <w:p w14:paraId="583476E7" w14:textId="77777777" w:rsidR="00407D0F" w:rsidRPr="009F3145" w:rsidRDefault="00407D0F" w:rsidP="00B178E4">
            <w:pPr>
              <w:pStyle w:val="Tabletext"/>
              <w:ind w:left="0" w:right="0"/>
              <w:jc w:val="center"/>
              <w:rPr>
                <w:rFonts w:cs="Calibri"/>
                <w:color w:val="000000"/>
                <w:szCs w:val="19"/>
              </w:rPr>
            </w:pPr>
            <w:r w:rsidRPr="009F3145">
              <w:rPr>
                <w:color w:val="000000"/>
                <w:szCs w:val="19"/>
              </w:rPr>
              <w:t>47%</w:t>
            </w:r>
          </w:p>
        </w:tc>
        <w:tc>
          <w:tcPr>
            <w:tcW w:w="709" w:type="dxa"/>
            <w:shd w:val="clear" w:color="000000" w:fill="FFD03F"/>
            <w:vAlign w:val="bottom"/>
          </w:tcPr>
          <w:p w14:paraId="6FC268F0" w14:textId="77777777" w:rsidR="00407D0F" w:rsidRPr="009F3145" w:rsidRDefault="00407D0F" w:rsidP="00B178E4">
            <w:pPr>
              <w:pStyle w:val="Tabletext"/>
              <w:ind w:left="0" w:right="0"/>
              <w:jc w:val="center"/>
              <w:rPr>
                <w:rFonts w:cs="Calibri"/>
                <w:color w:val="000000"/>
                <w:szCs w:val="19"/>
              </w:rPr>
            </w:pPr>
            <w:r w:rsidRPr="009F3145">
              <w:rPr>
                <w:color w:val="000000"/>
                <w:szCs w:val="19"/>
              </w:rPr>
              <w:t>75%</w:t>
            </w:r>
          </w:p>
        </w:tc>
        <w:tc>
          <w:tcPr>
            <w:tcW w:w="850" w:type="dxa"/>
            <w:shd w:val="clear" w:color="000000" w:fill="FFC512"/>
            <w:vAlign w:val="bottom"/>
          </w:tcPr>
          <w:p w14:paraId="1040A40B" w14:textId="77777777" w:rsidR="00407D0F" w:rsidRPr="009F3145" w:rsidRDefault="00407D0F" w:rsidP="00B178E4">
            <w:pPr>
              <w:pStyle w:val="Tabletext"/>
              <w:ind w:left="0" w:right="0"/>
              <w:jc w:val="center"/>
              <w:rPr>
                <w:rFonts w:cs="Calibri"/>
                <w:color w:val="000000"/>
                <w:szCs w:val="19"/>
              </w:rPr>
            </w:pPr>
            <w:r w:rsidRPr="009F3145">
              <w:rPr>
                <w:color w:val="000000"/>
                <w:szCs w:val="19"/>
              </w:rPr>
              <w:t>92%</w:t>
            </w:r>
          </w:p>
        </w:tc>
      </w:tr>
      <w:tr w:rsidR="00407D0F" w:rsidRPr="00EB1479" w14:paraId="3EC3776B" w14:textId="77777777" w:rsidTr="00DF6DE3">
        <w:trPr>
          <w:trHeight w:val="223"/>
        </w:trPr>
        <w:tc>
          <w:tcPr>
            <w:tcW w:w="1588" w:type="dxa"/>
          </w:tcPr>
          <w:p w14:paraId="6B346C09" w14:textId="368A4A8F" w:rsidR="00407D0F" w:rsidRPr="00B178E4" w:rsidRDefault="00407D0F" w:rsidP="00B178E4">
            <w:pPr>
              <w:pStyle w:val="Tabletext"/>
              <w:ind w:left="0" w:right="0"/>
              <w:jc w:val="right"/>
              <w:rPr>
                <w:rFonts w:cs="Calibri"/>
                <w:b/>
                <w:bCs/>
                <w:lang w:val="en-US"/>
              </w:rPr>
            </w:pPr>
            <w:r w:rsidRPr="00B178E4">
              <w:rPr>
                <w:rFonts w:cs="Calibri"/>
                <w:b/>
                <w:bCs/>
                <w:lang w:val="en-US"/>
              </w:rPr>
              <w:t>TPS</w:t>
            </w:r>
            <w:r w:rsidR="009B4AAF">
              <w:rPr>
                <w:rFonts w:cs="Calibri"/>
                <w:b/>
                <w:bCs/>
                <w:lang w:val="en-US"/>
              </w:rPr>
              <w:t xml:space="preserve"> </w:t>
            </w:r>
            <w:r w:rsidRPr="00B178E4">
              <w:rPr>
                <w:rFonts w:cs="Calibri"/>
                <w:b/>
                <w:bCs/>
                <w:lang w:val="en-US"/>
              </w:rPr>
              <w:t>≥</w:t>
            </w:r>
            <w:r w:rsidR="009B4AAF">
              <w:rPr>
                <w:rFonts w:cs="Calibri"/>
                <w:b/>
                <w:bCs/>
                <w:lang w:val="en-US"/>
              </w:rPr>
              <w:t xml:space="preserve"> </w:t>
            </w:r>
            <w:r w:rsidRPr="00B178E4">
              <w:rPr>
                <w:rFonts w:cs="Calibri"/>
                <w:b/>
                <w:bCs/>
                <w:lang w:val="en-US"/>
              </w:rPr>
              <w:t>1%</w:t>
            </w:r>
          </w:p>
        </w:tc>
        <w:tc>
          <w:tcPr>
            <w:tcW w:w="850" w:type="dxa"/>
            <w:shd w:val="clear" w:color="000000" w:fill="FFE183"/>
            <w:vAlign w:val="bottom"/>
          </w:tcPr>
          <w:p w14:paraId="55219253" w14:textId="77777777" w:rsidR="00407D0F" w:rsidRPr="009F3145" w:rsidRDefault="00407D0F" w:rsidP="000741BA">
            <w:pPr>
              <w:pStyle w:val="Tabletext"/>
              <w:ind w:left="0" w:right="0"/>
              <w:rPr>
                <w:rFonts w:cs="Calibri"/>
                <w:color w:val="000000"/>
                <w:szCs w:val="19"/>
              </w:rPr>
            </w:pPr>
            <w:r w:rsidRPr="009F3145">
              <w:rPr>
                <w:color w:val="000000"/>
                <w:szCs w:val="19"/>
              </w:rPr>
              <w:t>48%</w:t>
            </w:r>
          </w:p>
        </w:tc>
        <w:tc>
          <w:tcPr>
            <w:tcW w:w="851" w:type="dxa"/>
            <w:shd w:val="clear" w:color="000000" w:fill="FFCE36"/>
            <w:vAlign w:val="bottom"/>
          </w:tcPr>
          <w:p w14:paraId="03F75A24" w14:textId="77777777" w:rsidR="00407D0F" w:rsidRPr="009F3145" w:rsidRDefault="00407D0F" w:rsidP="00B178E4">
            <w:pPr>
              <w:pStyle w:val="Tabletext"/>
              <w:ind w:left="0" w:right="0"/>
              <w:jc w:val="center"/>
              <w:rPr>
                <w:rFonts w:cs="Calibri"/>
                <w:color w:val="000000"/>
                <w:szCs w:val="19"/>
                <w:lang w:val="en-US"/>
              </w:rPr>
            </w:pPr>
            <w:r w:rsidRPr="009F3145">
              <w:rPr>
                <w:color w:val="000000"/>
                <w:szCs w:val="19"/>
              </w:rPr>
              <w:t>78%</w:t>
            </w:r>
          </w:p>
        </w:tc>
        <w:tc>
          <w:tcPr>
            <w:tcW w:w="708" w:type="dxa"/>
            <w:shd w:val="clear" w:color="000000" w:fill="FFC206"/>
            <w:vAlign w:val="bottom"/>
          </w:tcPr>
          <w:p w14:paraId="4349BE57" w14:textId="77777777" w:rsidR="00407D0F" w:rsidRPr="009F3145" w:rsidRDefault="00407D0F" w:rsidP="00B178E4">
            <w:pPr>
              <w:pStyle w:val="Tabletext"/>
              <w:ind w:left="0" w:right="0"/>
              <w:jc w:val="center"/>
              <w:rPr>
                <w:rFonts w:cs="Calibri"/>
                <w:color w:val="000000"/>
                <w:szCs w:val="19"/>
              </w:rPr>
            </w:pPr>
            <w:r w:rsidRPr="009F3145">
              <w:rPr>
                <w:color w:val="000000"/>
                <w:szCs w:val="19"/>
              </w:rPr>
              <w:t>96%</w:t>
            </w:r>
          </w:p>
        </w:tc>
        <w:tc>
          <w:tcPr>
            <w:tcW w:w="851" w:type="dxa"/>
            <w:shd w:val="clear" w:color="000000" w:fill="FFC512"/>
            <w:vAlign w:val="bottom"/>
          </w:tcPr>
          <w:p w14:paraId="7F17F056" w14:textId="77777777" w:rsidR="00407D0F" w:rsidRPr="009F3145" w:rsidRDefault="00407D0F" w:rsidP="00B178E4">
            <w:pPr>
              <w:pStyle w:val="Tabletext"/>
              <w:ind w:left="0" w:right="0"/>
              <w:jc w:val="center"/>
              <w:rPr>
                <w:rFonts w:cs="Calibri"/>
                <w:color w:val="000000"/>
                <w:szCs w:val="19"/>
              </w:rPr>
            </w:pPr>
            <w:r w:rsidRPr="009F3145">
              <w:rPr>
                <w:color w:val="000000"/>
                <w:szCs w:val="19"/>
              </w:rPr>
              <w:t>92%</w:t>
            </w:r>
          </w:p>
        </w:tc>
        <w:tc>
          <w:tcPr>
            <w:tcW w:w="850" w:type="dxa"/>
            <w:shd w:val="clear" w:color="000000" w:fill="FFDE78"/>
            <w:vAlign w:val="bottom"/>
          </w:tcPr>
          <w:p w14:paraId="546C0030" w14:textId="77777777" w:rsidR="00407D0F" w:rsidRPr="009F3145" w:rsidRDefault="00407D0F" w:rsidP="00B178E4">
            <w:pPr>
              <w:pStyle w:val="Tabletext"/>
              <w:ind w:left="0" w:right="0"/>
              <w:jc w:val="center"/>
              <w:rPr>
                <w:rFonts w:cs="Calibri"/>
                <w:color w:val="000000"/>
                <w:szCs w:val="19"/>
              </w:rPr>
            </w:pPr>
            <w:r w:rsidRPr="009F3145">
              <w:rPr>
                <w:color w:val="000000"/>
                <w:szCs w:val="19"/>
              </w:rPr>
              <w:t>53%</w:t>
            </w:r>
          </w:p>
        </w:tc>
        <w:tc>
          <w:tcPr>
            <w:tcW w:w="851" w:type="dxa"/>
            <w:shd w:val="clear" w:color="000000" w:fill="FFC205"/>
            <w:vAlign w:val="bottom"/>
          </w:tcPr>
          <w:p w14:paraId="4E500F79" w14:textId="77777777" w:rsidR="00407D0F" w:rsidRPr="009F3145" w:rsidRDefault="00407D0F" w:rsidP="00B178E4">
            <w:pPr>
              <w:pStyle w:val="Tabletext"/>
              <w:ind w:left="0" w:right="0"/>
              <w:jc w:val="center"/>
              <w:rPr>
                <w:rFonts w:cs="Calibri"/>
                <w:color w:val="000000"/>
                <w:szCs w:val="19"/>
                <w:lang w:val="en-US"/>
              </w:rPr>
            </w:pPr>
            <w:r w:rsidRPr="009F3145">
              <w:rPr>
                <w:color w:val="000000"/>
                <w:szCs w:val="19"/>
              </w:rPr>
              <w:t>97%</w:t>
            </w:r>
          </w:p>
        </w:tc>
        <w:tc>
          <w:tcPr>
            <w:tcW w:w="709" w:type="dxa"/>
            <w:shd w:val="clear" w:color="000000" w:fill="FFC513"/>
            <w:vAlign w:val="bottom"/>
          </w:tcPr>
          <w:p w14:paraId="706E6D38" w14:textId="77777777" w:rsidR="00407D0F" w:rsidRPr="009F3145" w:rsidRDefault="00407D0F" w:rsidP="00B178E4">
            <w:pPr>
              <w:pStyle w:val="Tabletext"/>
              <w:ind w:left="0" w:right="0"/>
              <w:jc w:val="center"/>
              <w:rPr>
                <w:rFonts w:cs="Calibri"/>
                <w:color w:val="000000"/>
                <w:szCs w:val="19"/>
              </w:rPr>
            </w:pPr>
            <w:r w:rsidRPr="009F3145">
              <w:rPr>
                <w:color w:val="000000"/>
                <w:szCs w:val="19"/>
              </w:rPr>
              <w:t>92%</w:t>
            </w:r>
          </w:p>
        </w:tc>
        <w:tc>
          <w:tcPr>
            <w:tcW w:w="850" w:type="dxa"/>
            <w:shd w:val="clear" w:color="000000" w:fill="FFC207"/>
            <w:vAlign w:val="bottom"/>
          </w:tcPr>
          <w:p w14:paraId="5760FC7F" w14:textId="77777777" w:rsidR="00407D0F" w:rsidRPr="009F3145" w:rsidRDefault="00407D0F" w:rsidP="00B178E4">
            <w:pPr>
              <w:pStyle w:val="Tabletext"/>
              <w:ind w:left="0" w:right="0"/>
              <w:jc w:val="center"/>
              <w:rPr>
                <w:rFonts w:cs="Calibri"/>
                <w:color w:val="000000"/>
                <w:szCs w:val="19"/>
              </w:rPr>
            </w:pPr>
            <w:r w:rsidRPr="009F3145">
              <w:rPr>
                <w:color w:val="000000"/>
                <w:szCs w:val="19"/>
              </w:rPr>
              <w:t>96%</w:t>
            </w:r>
          </w:p>
        </w:tc>
      </w:tr>
      <w:tr w:rsidR="00407D0F" w:rsidRPr="00EB1479" w14:paraId="3B960772" w14:textId="77777777" w:rsidTr="00DF6DE3">
        <w:trPr>
          <w:trHeight w:val="223"/>
        </w:trPr>
        <w:tc>
          <w:tcPr>
            <w:tcW w:w="1588" w:type="dxa"/>
          </w:tcPr>
          <w:p w14:paraId="6BC91132" w14:textId="7E559D97" w:rsidR="00407D0F" w:rsidRPr="00B178E4" w:rsidRDefault="00407D0F" w:rsidP="00B178E4">
            <w:pPr>
              <w:pStyle w:val="Tabletext"/>
              <w:ind w:left="0" w:right="0"/>
              <w:jc w:val="right"/>
              <w:rPr>
                <w:rFonts w:cs="Calibri"/>
                <w:b/>
                <w:bCs/>
                <w:lang w:val="en-US"/>
              </w:rPr>
            </w:pPr>
            <w:r w:rsidRPr="00B178E4">
              <w:rPr>
                <w:rFonts w:cs="Calibri"/>
                <w:b/>
                <w:bCs/>
                <w:lang w:val="en-US"/>
              </w:rPr>
              <w:t>TPS</w:t>
            </w:r>
            <w:r w:rsidR="009B4AAF">
              <w:rPr>
                <w:rFonts w:cs="Calibri"/>
                <w:b/>
                <w:bCs/>
                <w:lang w:val="en-US"/>
              </w:rPr>
              <w:t xml:space="preserve"> </w:t>
            </w:r>
            <w:r w:rsidRPr="00B178E4">
              <w:rPr>
                <w:rFonts w:cs="Calibri"/>
                <w:b/>
                <w:bCs/>
                <w:lang w:val="en-US"/>
              </w:rPr>
              <w:t>&lt;</w:t>
            </w:r>
            <w:r w:rsidR="009B4AAF">
              <w:rPr>
                <w:rFonts w:cs="Calibri"/>
                <w:b/>
                <w:bCs/>
                <w:lang w:val="en-US"/>
              </w:rPr>
              <w:t xml:space="preserve"> </w:t>
            </w:r>
            <w:r w:rsidRPr="00B178E4">
              <w:rPr>
                <w:rFonts w:cs="Calibri"/>
                <w:b/>
                <w:bCs/>
                <w:lang w:val="en-US"/>
              </w:rPr>
              <w:t>1%</w:t>
            </w:r>
          </w:p>
        </w:tc>
        <w:tc>
          <w:tcPr>
            <w:tcW w:w="850" w:type="dxa"/>
            <w:shd w:val="clear" w:color="000000" w:fill="FFE081"/>
            <w:vAlign w:val="bottom"/>
          </w:tcPr>
          <w:p w14:paraId="1BA59664" w14:textId="77777777" w:rsidR="00407D0F" w:rsidRPr="009F3145" w:rsidRDefault="00407D0F" w:rsidP="000741BA">
            <w:pPr>
              <w:pStyle w:val="Tabletext"/>
              <w:ind w:left="0" w:right="0"/>
              <w:rPr>
                <w:rFonts w:cs="Calibri"/>
                <w:color w:val="000000"/>
                <w:szCs w:val="19"/>
              </w:rPr>
            </w:pPr>
            <w:r w:rsidRPr="009F3145">
              <w:rPr>
                <w:color w:val="000000"/>
                <w:szCs w:val="19"/>
              </w:rPr>
              <w:t>49%</w:t>
            </w:r>
          </w:p>
        </w:tc>
        <w:tc>
          <w:tcPr>
            <w:tcW w:w="851" w:type="dxa"/>
            <w:shd w:val="clear" w:color="000000" w:fill="FFF4CF"/>
            <w:vAlign w:val="bottom"/>
          </w:tcPr>
          <w:p w14:paraId="3A872B1B" w14:textId="77777777" w:rsidR="00407D0F" w:rsidRPr="009F3145" w:rsidRDefault="00407D0F" w:rsidP="00B178E4">
            <w:pPr>
              <w:pStyle w:val="Tabletext"/>
              <w:ind w:left="0" w:right="0"/>
              <w:jc w:val="center"/>
              <w:rPr>
                <w:rFonts w:cs="Calibri"/>
                <w:color w:val="000000"/>
                <w:szCs w:val="19"/>
                <w:lang w:val="en-US"/>
              </w:rPr>
            </w:pPr>
            <w:r w:rsidRPr="009F3145">
              <w:rPr>
                <w:color w:val="000000"/>
                <w:szCs w:val="19"/>
              </w:rPr>
              <w:t>19%</w:t>
            </w:r>
          </w:p>
        </w:tc>
        <w:tc>
          <w:tcPr>
            <w:tcW w:w="708" w:type="dxa"/>
            <w:shd w:val="clear" w:color="000000" w:fill="FFFEFB"/>
            <w:vAlign w:val="bottom"/>
          </w:tcPr>
          <w:p w14:paraId="6E8D8E29" w14:textId="77777777" w:rsidR="00407D0F" w:rsidRPr="009F3145" w:rsidRDefault="00407D0F" w:rsidP="00B178E4">
            <w:pPr>
              <w:pStyle w:val="Tabletext"/>
              <w:ind w:left="0" w:right="0"/>
              <w:jc w:val="center"/>
              <w:rPr>
                <w:rFonts w:cs="Calibri"/>
                <w:color w:val="000000"/>
                <w:szCs w:val="19"/>
              </w:rPr>
            </w:pPr>
            <w:r w:rsidRPr="009F3145">
              <w:rPr>
                <w:color w:val="000000"/>
                <w:szCs w:val="19"/>
              </w:rPr>
              <w:t>2%</w:t>
            </w:r>
          </w:p>
        </w:tc>
        <w:tc>
          <w:tcPr>
            <w:tcW w:w="851" w:type="dxa"/>
            <w:shd w:val="clear" w:color="000000" w:fill="FFFFFC"/>
            <w:vAlign w:val="bottom"/>
          </w:tcPr>
          <w:p w14:paraId="4793B58D" w14:textId="77777777" w:rsidR="00407D0F" w:rsidRPr="009F3145" w:rsidRDefault="00407D0F" w:rsidP="00B178E4">
            <w:pPr>
              <w:pStyle w:val="Tabletext"/>
              <w:ind w:left="0" w:right="0"/>
              <w:jc w:val="center"/>
              <w:rPr>
                <w:rFonts w:cs="Calibri"/>
                <w:color w:val="000000"/>
                <w:szCs w:val="19"/>
              </w:rPr>
            </w:pPr>
            <w:r w:rsidRPr="009F3145">
              <w:rPr>
                <w:color w:val="000000"/>
                <w:szCs w:val="19"/>
              </w:rPr>
              <w:t>1%</w:t>
            </w:r>
          </w:p>
        </w:tc>
        <w:tc>
          <w:tcPr>
            <w:tcW w:w="850" w:type="dxa"/>
            <w:shd w:val="clear" w:color="000000" w:fill="FFE38D"/>
            <w:vAlign w:val="bottom"/>
          </w:tcPr>
          <w:p w14:paraId="08A8C967" w14:textId="77777777" w:rsidR="00407D0F" w:rsidRPr="009F3145" w:rsidRDefault="00407D0F" w:rsidP="00B178E4">
            <w:pPr>
              <w:pStyle w:val="Tabletext"/>
              <w:ind w:left="0" w:right="0"/>
              <w:jc w:val="center"/>
              <w:rPr>
                <w:rFonts w:cs="Calibri"/>
                <w:color w:val="000000"/>
                <w:szCs w:val="19"/>
              </w:rPr>
            </w:pPr>
            <w:r w:rsidRPr="009F3145">
              <w:rPr>
                <w:color w:val="000000"/>
                <w:szCs w:val="19"/>
              </w:rPr>
              <w:t>44%</w:t>
            </w:r>
          </w:p>
        </w:tc>
        <w:tc>
          <w:tcPr>
            <w:tcW w:w="851" w:type="dxa"/>
            <w:shd w:val="clear" w:color="000000" w:fill="FFFEF7"/>
            <w:vAlign w:val="bottom"/>
          </w:tcPr>
          <w:p w14:paraId="4E432C77" w14:textId="77777777" w:rsidR="00407D0F" w:rsidRPr="009F3145" w:rsidRDefault="00407D0F" w:rsidP="00B178E4">
            <w:pPr>
              <w:pStyle w:val="Tabletext"/>
              <w:ind w:left="0" w:right="0"/>
              <w:jc w:val="center"/>
              <w:rPr>
                <w:rFonts w:cs="Calibri"/>
                <w:color w:val="000000"/>
                <w:szCs w:val="19"/>
                <w:lang w:val="en-US"/>
              </w:rPr>
            </w:pPr>
            <w:r w:rsidRPr="009F3145">
              <w:rPr>
                <w:color w:val="000000"/>
                <w:szCs w:val="19"/>
              </w:rPr>
              <w:t>3%</w:t>
            </w:r>
          </w:p>
        </w:tc>
        <w:tc>
          <w:tcPr>
            <w:tcW w:w="709" w:type="dxa"/>
            <w:shd w:val="clear" w:color="000000" w:fill="FFFEFB"/>
            <w:vAlign w:val="bottom"/>
          </w:tcPr>
          <w:p w14:paraId="020DA5FA" w14:textId="77777777" w:rsidR="00407D0F" w:rsidRPr="009F3145" w:rsidRDefault="00407D0F" w:rsidP="00B178E4">
            <w:pPr>
              <w:pStyle w:val="Tabletext"/>
              <w:ind w:left="0" w:right="0"/>
              <w:jc w:val="center"/>
              <w:rPr>
                <w:rFonts w:cs="Calibri"/>
                <w:color w:val="000000"/>
                <w:szCs w:val="19"/>
              </w:rPr>
            </w:pPr>
            <w:r w:rsidRPr="009F3145">
              <w:rPr>
                <w:color w:val="000000"/>
                <w:szCs w:val="19"/>
              </w:rPr>
              <w:t>2%</w:t>
            </w:r>
          </w:p>
        </w:tc>
        <w:tc>
          <w:tcPr>
            <w:tcW w:w="850" w:type="dxa"/>
            <w:shd w:val="clear" w:color="000000" w:fill="FFFEF9"/>
            <w:vAlign w:val="bottom"/>
          </w:tcPr>
          <w:p w14:paraId="60A52C01" w14:textId="77777777" w:rsidR="00407D0F" w:rsidRPr="009F3145" w:rsidRDefault="00407D0F" w:rsidP="00B178E4">
            <w:pPr>
              <w:pStyle w:val="Tabletext"/>
              <w:ind w:left="0" w:right="0"/>
              <w:jc w:val="center"/>
              <w:rPr>
                <w:rFonts w:cs="Calibri"/>
                <w:color w:val="000000"/>
                <w:szCs w:val="19"/>
              </w:rPr>
            </w:pPr>
            <w:r w:rsidRPr="009F3145">
              <w:rPr>
                <w:color w:val="000000"/>
                <w:szCs w:val="19"/>
              </w:rPr>
              <w:t>3%</w:t>
            </w:r>
          </w:p>
        </w:tc>
      </w:tr>
    </w:tbl>
    <w:p w14:paraId="53257259" w14:textId="7FB12B1E" w:rsidR="00A97B0B" w:rsidRPr="00400B3D" w:rsidRDefault="005E2B92" w:rsidP="00400B3D">
      <w:pPr>
        <w:pStyle w:val="TableDescription"/>
      </w:pPr>
      <w:bookmarkStart w:id="102" w:name="_Ref63787076"/>
      <w:r w:rsidRPr="00400B3D">
        <w:t xml:space="preserve">Abbreviations: </w:t>
      </w:r>
      <w:r w:rsidR="00BA6B66" w:rsidRPr="00400B3D">
        <w:t>IC = immune cell</w:t>
      </w:r>
      <w:r w:rsidR="00DE5259" w:rsidRPr="00400B3D">
        <w:t xml:space="preserve">; N = total number of subjects; n = numbers of subjects in group; </w:t>
      </w:r>
      <w:r w:rsidR="00A97B0B" w:rsidRPr="00400B3D">
        <w:t>TC =</w:t>
      </w:r>
      <w:r w:rsidR="008159EE" w:rsidRPr="00400B3D">
        <w:t xml:space="preserve"> tumour cell</w:t>
      </w:r>
      <w:r w:rsidR="00DE5259" w:rsidRPr="00400B3D">
        <w:t xml:space="preserve">; </w:t>
      </w:r>
      <w:r w:rsidR="00A97B0B" w:rsidRPr="00400B3D">
        <w:t>TPS =</w:t>
      </w:r>
      <w:r w:rsidR="00BA6B66" w:rsidRPr="00400B3D">
        <w:t xml:space="preserve"> tumour progression score</w:t>
      </w:r>
      <w:r w:rsidR="00DE5259" w:rsidRPr="00400B3D">
        <w:t>.</w:t>
      </w:r>
    </w:p>
    <w:p w14:paraId="05AFB467" w14:textId="4382CFEB" w:rsidR="0004734D" w:rsidRPr="00400B3D" w:rsidRDefault="0004734D" w:rsidP="00400B3D">
      <w:pPr>
        <w:pStyle w:val="TableDescription"/>
      </w:pPr>
      <w:r w:rsidRPr="00400B3D">
        <w:t>Number of patients (top), and percentage of patients (bottom) in each TC category according to SP142 at enrolment in the all-randomised population, who had each corresponding re-test category according to SP263 or 22C3.</w:t>
      </w:r>
    </w:p>
    <w:p w14:paraId="7946C0FB" w14:textId="77777777" w:rsidR="009B4AAF" w:rsidRPr="00400B3D" w:rsidRDefault="009B4AAF" w:rsidP="00400B3D">
      <w:pPr>
        <w:pStyle w:val="TableDescription"/>
      </w:pPr>
      <w:r w:rsidRPr="00400B3D">
        <w:lastRenderedPageBreak/>
        <w:t>Immune cell scoring (PD-L1 expression): IC0 (0 to &lt; 1%); IC1 (1 to &lt; 5%); IC2 (5 to &lt;10%); IC3 (10%+).</w:t>
      </w:r>
    </w:p>
    <w:p w14:paraId="0C6F3CB9" w14:textId="7A195AA7" w:rsidR="009B4AAF" w:rsidRPr="00400B3D" w:rsidRDefault="009B4AAF" w:rsidP="00400B3D">
      <w:pPr>
        <w:pStyle w:val="TableDescription"/>
      </w:pPr>
      <w:r w:rsidRPr="00400B3D">
        <w:t>Tumour cell scoring (PD-L1 expression): TC0 (0 to &lt;1%); TC1 (1 to &lt; 5%); TC2 (5 to &lt; 50%); TC3 (50%+).</w:t>
      </w:r>
    </w:p>
    <w:p w14:paraId="05E9326E" w14:textId="4BA7F6B1" w:rsidR="0004734D" w:rsidRPr="00400B3D" w:rsidRDefault="0004734D" w:rsidP="00400B3D">
      <w:pPr>
        <w:pStyle w:val="TableDescription"/>
      </w:pPr>
      <w:r w:rsidRPr="00400B3D">
        <w:t>Colour gradient for percentages: white = 0, dark yellow = 100. Note that retest categories are non-discrete/cumulative.</w:t>
      </w:r>
    </w:p>
    <w:p w14:paraId="05A86C2C" w14:textId="0B713334" w:rsidR="00407D0F" w:rsidRPr="00DE5259" w:rsidRDefault="00407D0F" w:rsidP="00400B3D">
      <w:pPr>
        <w:pStyle w:val="TableTitle"/>
      </w:pPr>
      <w:r w:rsidRPr="00DE5259">
        <w:t xml:space="preserve">Table </w:t>
      </w:r>
      <w:fldSimple w:instr=" SEQ Table \* ARABIC ">
        <w:r w:rsidR="00C05B15">
          <w:rPr>
            <w:noProof/>
          </w:rPr>
          <w:t>25</w:t>
        </w:r>
      </w:fldSimple>
      <w:bookmarkEnd w:id="102"/>
      <w:r w:rsidR="0004734D" w:rsidRPr="00DE5259">
        <w:t>:</w:t>
      </w:r>
      <w:r w:rsidRPr="00DE5259">
        <w:t xml:space="preserve"> </w:t>
      </w:r>
      <w:r w:rsidR="009258F9" w:rsidRPr="00DE5259">
        <w:t>IMPOWER</w:t>
      </w:r>
      <w:r w:rsidR="006E5289" w:rsidRPr="00DE5259">
        <w:t>110 trial (Study GO29431) Sponsor-supplied breakdown of n</w:t>
      </w:r>
      <w:r w:rsidRPr="00DE5259">
        <w:t xml:space="preserve">umber and percentage of patients in each </w:t>
      </w:r>
      <w:r w:rsidR="00013622" w:rsidRPr="00DE5259">
        <w:t>immune cell</w:t>
      </w:r>
      <w:r w:rsidR="00013622" w:rsidRPr="00DE5259" w:rsidDel="00013622">
        <w:t xml:space="preserve"> </w:t>
      </w:r>
      <w:r w:rsidRPr="00DE5259">
        <w:t>category according to SP142 at enrolment in the who had each corresponding re-test category according to SP263 or 22C3</w:t>
      </w:r>
      <w:r w:rsidR="0004734D" w:rsidRPr="00DE5259">
        <w:t xml:space="preserve"> (all randomised population)</w:t>
      </w:r>
    </w:p>
    <w:tbl>
      <w:tblPr>
        <w:tblStyle w:val="TableTGAblue"/>
        <w:tblW w:w="8398" w:type="dxa"/>
        <w:tblLayout w:type="fixed"/>
        <w:tblCellMar>
          <w:left w:w="28" w:type="dxa"/>
          <w:right w:w="28" w:type="dxa"/>
        </w:tblCellMar>
        <w:tblLook w:val="0420" w:firstRow="1" w:lastRow="0" w:firstColumn="0" w:lastColumn="0" w:noHBand="0" w:noVBand="1"/>
      </w:tblPr>
      <w:tblGrid>
        <w:gridCol w:w="1550"/>
        <w:gridCol w:w="818"/>
        <w:gridCol w:w="810"/>
        <w:gridCol w:w="900"/>
        <w:gridCol w:w="900"/>
        <w:gridCol w:w="900"/>
        <w:gridCol w:w="900"/>
        <w:gridCol w:w="810"/>
        <w:gridCol w:w="810"/>
      </w:tblGrid>
      <w:tr w:rsidR="00407D0F" w:rsidRPr="003B78C4" w14:paraId="2A921B65" w14:textId="77777777" w:rsidTr="006E617D">
        <w:trPr>
          <w:cnfStyle w:val="100000000000" w:firstRow="1" w:lastRow="0" w:firstColumn="0" w:lastColumn="0" w:oddVBand="0" w:evenVBand="0" w:oddHBand="0" w:evenHBand="0" w:firstRowFirstColumn="0" w:firstRowLastColumn="0" w:lastRowFirstColumn="0" w:lastRowLastColumn="0"/>
          <w:trHeight w:val="106"/>
        </w:trPr>
        <w:tc>
          <w:tcPr>
            <w:tcW w:w="1550"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4A799A" w14:textId="77777777" w:rsidR="00407D0F" w:rsidRPr="000741BA" w:rsidRDefault="00407D0F" w:rsidP="000741BA">
            <w:pPr>
              <w:pStyle w:val="Tabletext"/>
              <w:ind w:left="0" w:right="0"/>
            </w:pPr>
            <w:bookmarkStart w:id="103" w:name="_Ref63760057"/>
          </w:p>
        </w:tc>
        <w:tc>
          <w:tcPr>
            <w:tcW w:w="3428"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27C377" w14:textId="79BB7CF9" w:rsidR="00407D0F" w:rsidRPr="00B178E4" w:rsidRDefault="00407D0F" w:rsidP="00B178E4">
            <w:pPr>
              <w:rPr>
                <w:sz w:val="20"/>
              </w:rPr>
            </w:pPr>
            <w:r w:rsidRPr="00B178E4">
              <w:rPr>
                <w:sz w:val="20"/>
              </w:rPr>
              <w:t>Chemotherapy (N</w:t>
            </w:r>
            <w:r w:rsidR="00427166" w:rsidRPr="00B178E4">
              <w:rPr>
                <w:sz w:val="20"/>
              </w:rPr>
              <w:t xml:space="preserve"> </w:t>
            </w:r>
            <w:r w:rsidRPr="00B178E4">
              <w:rPr>
                <w:sz w:val="20"/>
              </w:rPr>
              <w:t>=</w:t>
            </w:r>
            <w:r w:rsidR="00427166" w:rsidRPr="00B178E4">
              <w:rPr>
                <w:sz w:val="20"/>
              </w:rPr>
              <w:t xml:space="preserve"> </w:t>
            </w:r>
            <w:r w:rsidRPr="00B178E4">
              <w:rPr>
                <w:sz w:val="20"/>
              </w:rPr>
              <w:t>287)</w:t>
            </w:r>
          </w:p>
        </w:tc>
        <w:tc>
          <w:tcPr>
            <w:tcW w:w="3420" w:type="dxa"/>
            <w:gridSpan w:val="4"/>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58280BF" w14:textId="43CDBC47" w:rsidR="00407D0F" w:rsidRPr="00B178E4" w:rsidRDefault="00407D0F" w:rsidP="00B178E4">
            <w:pPr>
              <w:rPr>
                <w:sz w:val="20"/>
              </w:rPr>
            </w:pPr>
            <w:r w:rsidRPr="00B178E4">
              <w:rPr>
                <w:sz w:val="20"/>
              </w:rPr>
              <w:t>Atezolizumab (N</w:t>
            </w:r>
            <w:r w:rsidR="00427166" w:rsidRPr="00B178E4">
              <w:rPr>
                <w:sz w:val="20"/>
              </w:rPr>
              <w:t xml:space="preserve"> </w:t>
            </w:r>
            <w:r w:rsidRPr="00B178E4">
              <w:rPr>
                <w:sz w:val="20"/>
              </w:rPr>
              <w:t>=</w:t>
            </w:r>
            <w:r w:rsidR="00427166" w:rsidRPr="00B178E4">
              <w:rPr>
                <w:sz w:val="20"/>
              </w:rPr>
              <w:t xml:space="preserve"> </w:t>
            </w:r>
            <w:r w:rsidRPr="00B178E4">
              <w:rPr>
                <w:sz w:val="20"/>
              </w:rPr>
              <w:t>285)</w:t>
            </w:r>
          </w:p>
        </w:tc>
      </w:tr>
      <w:tr w:rsidR="00407D0F" w:rsidRPr="003B78C4" w14:paraId="09268B6E" w14:textId="77777777" w:rsidTr="00B178E4">
        <w:trPr>
          <w:trHeight w:val="57"/>
        </w:trPr>
        <w:tc>
          <w:tcPr>
            <w:tcW w:w="0" w:type="dxa"/>
            <w:gridSpan w:val="9"/>
            <w:vAlign w:val="bottom"/>
          </w:tcPr>
          <w:p w14:paraId="4231BCD8" w14:textId="77777777" w:rsidR="00407D0F" w:rsidRPr="00B178E4" w:rsidRDefault="00407D0F" w:rsidP="00B178E4">
            <w:pPr>
              <w:rPr>
                <w:b/>
                <w:sz w:val="20"/>
              </w:rPr>
            </w:pPr>
            <w:r w:rsidRPr="00B178E4">
              <w:rPr>
                <w:b/>
                <w:sz w:val="20"/>
              </w:rPr>
              <w:t>Absolute number of patients</w:t>
            </w:r>
          </w:p>
        </w:tc>
      </w:tr>
      <w:tr w:rsidR="00407D0F" w:rsidRPr="003B78C4" w14:paraId="197B9F8E" w14:textId="77777777" w:rsidTr="006E617D">
        <w:trPr>
          <w:trHeight w:val="20"/>
        </w:trPr>
        <w:tc>
          <w:tcPr>
            <w:tcW w:w="1550" w:type="dxa"/>
          </w:tcPr>
          <w:p w14:paraId="26BFB016" w14:textId="77777777" w:rsidR="00407D0F" w:rsidRPr="000741BA" w:rsidRDefault="00407D0F" w:rsidP="000741BA">
            <w:pPr>
              <w:pStyle w:val="Tabletext"/>
              <w:ind w:left="0" w:right="0"/>
            </w:pPr>
          </w:p>
        </w:tc>
        <w:tc>
          <w:tcPr>
            <w:tcW w:w="818" w:type="dxa"/>
          </w:tcPr>
          <w:p w14:paraId="22D30D84" w14:textId="77777777" w:rsidR="00407D0F" w:rsidRPr="00B178E4" w:rsidRDefault="00407D0F" w:rsidP="00B178E4">
            <w:pPr>
              <w:pStyle w:val="Tabletext"/>
              <w:ind w:left="0" w:right="0"/>
              <w:jc w:val="center"/>
              <w:rPr>
                <w:b/>
              </w:rPr>
            </w:pPr>
            <w:r w:rsidRPr="00B178E4">
              <w:rPr>
                <w:b/>
              </w:rPr>
              <w:t>IC0</w:t>
            </w:r>
          </w:p>
          <w:p w14:paraId="15BA4C69" w14:textId="22034BE3" w:rsidR="00407D0F" w:rsidRPr="000741BA" w:rsidRDefault="00407D0F" w:rsidP="00B178E4">
            <w:pPr>
              <w:pStyle w:val="Tabletext"/>
              <w:ind w:left="0" w:right="0"/>
              <w:jc w:val="center"/>
            </w:pPr>
            <w:r w:rsidRPr="000741BA">
              <w:t>N</w:t>
            </w:r>
            <w:r w:rsidR="00427166" w:rsidRPr="000741BA">
              <w:t xml:space="preserve"> </w:t>
            </w:r>
            <w:r w:rsidRPr="000741BA">
              <w:t>=</w:t>
            </w:r>
            <w:r w:rsidR="00427166" w:rsidRPr="000741BA">
              <w:t xml:space="preserve"> </w:t>
            </w:r>
            <w:r w:rsidRPr="000741BA">
              <w:t>19</w:t>
            </w:r>
          </w:p>
        </w:tc>
        <w:tc>
          <w:tcPr>
            <w:tcW w:w="810" w:type="dxa"/>
          </w:tcPr>
          <w:p w14:paraId="27120840" w14:textId="77777777" w:rsidR="00407D0F" w:rsidRPr="00B178E4" w:rsidRDefault="00407D0F" w:rsidP="00B178E4">
            <w:pPr>
              <w:pStyle w:val="Tabletext"/>
              <w:ind w:left="0" w:right="0"/>
              <w:jc w:val="center"/>
              <w:rPr>
                <w:b/>
              </w:rPr>
            </w:pPr>
            <w:r w:rsidRPr="00B178E4">
              <w:rPr>
                <w:b/>
              </w:rPr>
              <w:t>IC1</w:t>
            </w:r>
          </w:p>
          <w:p w14:paraId="79D34A40" w14:textId="2C039037" w:rsidR="00407D0F" w:rsidRPr="000741BA" w:rsidRDefault="00407D0F" w:rsidP="00B178E4">
            <w:pPr>
              <w:pStyle w:val="Tabletext"/>
              <w:ind w:left="0" w:right="0"/>
              <w:jc w:val="center"/>
            </w:pPr>
            <w:r w:rsidRPr="000741BA">
              <w:t>N</w:t>
            </w:r>
            <w:r w:rsidR="00427166" w:rsidRPr="000741BA">
              <w:t xml:space="preserve"> </w:t>
            </w:r>
            <w:r w:rsidRPr="000741BA">
              <w:t>=</w:t>
            </w:r>
            <w:r w:rsidR="00427166" w:rsidRPr="000741BA">
              <w:t xml:space="preserve"> </w:t>
            </w:r>
            <w:r w:rsidRPr="000741BA">
              <w:t>147</w:t>
            </w:r>
          </w:p>
        </w:tc>
        <w:tc>
          <w:tcPr>
            <w:tcW w:w="900" w:type="dxa"/>
          </w:tcPr>
          <w:p w14:paraId="39D472A2" w14:textId="77777777" w:rsidR="00407D0F" w:rsidRPr="00B178E4" w:rsidRDefault="00407D0F" w:rsidP="00B178E4">
            <w:pPr>
              <w:pStyle w:val="Tabletext"/>
              <w:ind w:left="0" w:right="0"/>
              <w:jc w:val="center"/>
              <w:rPr>
                <w:b/>
              </w:rPr>
            </w:pPr>
            <w:r w:rsidRPr="00B178E4">
              <w:rPr>
                <w:b/>
              </w:rPr>
              <w:t>IC2</w:t>
            </w:r>
          </w:p>
          <w:p w14:paraId="263E9495" w14:textId="582BE4EF" w:rsidR="00407D0F" w:rsidRPr="000741BA" w:rsidRDefault="00407D0F" w:rsidP="00B178E4">
            <w:pPr>
              <w:pStyle w:val="Tabletext"/>
              <w:ind w:left="0" w:right="0"/>
              <w:jc w:val="center"/>
            </w:pPr>
            <w:r w:rsidRPr="000741BA">
              <w:t>N</w:t>
            </w:r>
            <w:r w:rsidR="00427166" w:rsidRPr="000741BA">
              <w:t xml:space="preserve"> </w:t>
            </w:r>
            <w:r w:rsidRPr="000741BA">
              <w:t>=</w:t>
            </w:r>
            <w:r w:rsidR="00427166" w:rsidRPr="000741BA">
              <w:t xml:space="preserve"> </w:t>
            </w:r>
            <w:r w:rsidRPr="000741BA">
              <w:t>79</w:t>
            </w:r>
          </w:p>
        </w:tc>
        <w:tc>
          <w:tcPr>
            <w:tcW w:w="900" w:type="dxa"/>
          </w:tcPr>
          <w:p w14:paraId="49D6E8E7" w14:textId="77777777" w:rsidR="00407D0F" w:rsidRPr="00B178E4" w:rsidRDefault="00407D0F" w:rsidP="00B178E4">
            <w:pPr>
              <w:pStyle w:val="Tabletext"/>
              <w:ind w:left="0" w:right="0"/>
              <w:jc w:val="center"/>
              <w:rPr>
                <w:b/>
              </w:rPr>
            </w:pPr>
            <w:r w:rsidRPr="00B178E4">
              <w:rPr>
                <w:b/>
              </w:rPr>
              <w:t>IC3</w:t>
            </w:r>
          </w:p>
          <w:p w14:paraId="54B1B86A" w14:textId="77777777" w:rsidR="00407D0F" w:rsidRPr="000741BA" w:rsidRDefault="00407D0F" w:rsidP="00B178E4">
            <w:pPr>
              <w:pStyle w:val="Tabletext"/>
              <w:ind w:left="0" w:right="0"/>
              <w:jc w:val="center"/>
            </w:pPr>
            <w:r w:rsidRPr="000741BA">
              <w:t>N=42</w:t>
            </w:r>
          </w:p>
        </w:tc>
        <w:tc>
          <w:tcPr>
            <w:tcW w:w="900" w:type="dxa"/>
          </w:tcPr>
          <w:p w14:paraId="40FC93D3" w14:textId="77777777" w:rsidR="00407D0F" w:rsidRPr="00B178E4" w:rsidRDefault="00407D0F" w:rsidP="00B178E4">
            <w:pPr>
              <w:pStyle w:val="Tabletext"/>
              <w:ind w:left="0" w:right="0"/>
              <w:jc w:val="center"/>
              <w:rPr>
                <w:b/>
              </w:rPr>
            </w:pPr>
            <w:r w:rsidRPr="00B178E4">
              <w:rPr>
                <w:b/>
              </w:rPr>
              <w:t>IC0</w:t>
            </w:r>
          </w:p>
          <w:p w14:paraId="34BFCCE9" w14:textId="7C63497C" w:rsidR="00407D0F" w:rsidRPr="000741BA" w:rsidRDefault="00407D0F" w:rsidP="00B178E4">
            <w:pPr>
              <w:pStyle w:val="Tabletext"/>
              <w:ind w:left="0" w:right="0"/>
              <w:jc w:val="center"/>
            </w:pPr>
            <w:r w:rsidRPr="000741BA">
              <w:t>N</w:t>
            </w:r>
            <w:r w:rsidR="00427166" w:rsidRPr="000741BA">
              <w:t xml:space="preserve"> </w:t>
            </w:r>
            <w:r w:rsidRPr="000741BA">
              <w:t>=</w:t>
            </w:r>
            <w:r w:rsidR="00427166" w:rsidRPr="000741BA">
              <w:t xml:space="preserve"> </w:t>
            </w:r>
            <w:r w:rsidRPr="000741BA">
              <w:t>17</w:t>
            </w:r>
          </w:p>
        </w:tc>
        <w:tc>
          <w:tcPr>
            <w:tcW w:w="900" w:type="dxa"/>
          </w:tcPr>
          <w:p w14:paraId="3D24D685" w14:textId="77777777" w:rsidR="00407D0F" w:rsidRPr="00B178E4" w:rsidRDefault="00407D0F" w:rsidP="00B178E4">
            <w:pPr>
              <w:pStyle w:val="Tabletext"/>
              <w:ind w:left="0" w:right="0"/>
              <w:jc w:val="center"/>
              <w:rPr>
                <w:b/>
              </w:rPr>
            </w:pPr>
            <w:r w:rsidRPr="00B178E4">
              <w:rPr>
                <w:b/>
              </w:rPr>
              <w:t>IC1</w:t>
            </w:r>
          </w:p>
          <w:p w14:paraId="494677EB" w14:textId="43EC79AD" w:rsidR="00407D0F" w:rsidRPr="000741BA" w:rsidRDefault="00407D0F" w:rsidP="00B178E4">
            <w:pPr>
              <w:pStyle w:val="Tabletext"/>
              <w:ind w:left="0" w:right="0"/>
              <w:jc w:val="center"/>
            </w:pPr>
            <w:r w:rsidRPr="000741BA">
              <w:t>N</w:t>
            </w:r>
            <w:r w:rsidR="00427166" w:rsidRPr="000741BA">
              <w:t xml:space="preserve"> </w:t>
            </w:r>
            <w:r w:rsidRPr="000741BA">
              <w:t>=</w:t>
            </w:r>
            <w:r w:rsidR="00427166" w:rsidRPr="000741BA">
              <w:t xml:space="preserve"> </w:t>
            </w:r>
            <w:r w:rsidRPr="000741BA">
              <w:t>142</w:t>
            </w:r>
          </w:p>
        </w:tc>
        <w:tc>
          <w:tcPr>
            <w:tcW w:w="810" w:type="dxa"/>
          </w:tcPr>
          <w:p w14:paraId="2F7356C7" w14:textId="77777777" w:rsidR="00407D0F" w:rsidRPr="000741BA" w:rsidRDefault="00407D0F" w:rsidP="00B178E4">
            <w:pPr>
              <w:pStyle w:val="Tabletext"/>
              <w:ind w:left="0" w:right="0"/>
              <w:jc w:val="center"/>
            </w:pPr>
            <w:r w:rsidRPr="00B178E4">
              <w:rPr>
                <w:b/>
              </w:rPr>
              <w:t>IC2</w:t>
            </w:r>
          </w:p>
          <w:p w14:paraId="76D4D30D" w14:textId="32E3E1E0" w:rsidR="00407D0F" w:rsidRPr="000741BA" w:rsidRDefault="00407D0F" w:rsidP="00B178E4">
            <w:pPr>
              <w:pStyle w:val="Tabletext"/>
              <w:ind w:left="0" w:right="0"/>
              <w:jc w:val="center"/>
            </w:pPr>
            <w:r w:rsidRPr="000741BA">
              <w:t>N</w:t>
            </w:r>
            <w:r w:rsidR="00427166" w:rsidRPr="000741BA">
              <w:t xml:space="preserve"> </w:t>
            </w:r>
            <w:r w:rsidRPr="000741BA">
              <w:t>=</w:t>
            </w:r>
            <w:r w:rsidR="00427166" w:rsidRPr="000741BA">
              <w:t xml:space="preserve"> </w:t>
            </w:r>
            <w:r w:rsidRPr="000741BA">
              <w:t>62</w:t>
            </w:r>
          </w:p>
        </w:tc>
        <w:tc>
          <w:tcPr>
            <w:tcW w:w="810" w:type="dxa"/>
          </w:tcPr>
          <w:p w14:paraId="5DB193DB" w14:textId="77777777" w:rsidR="00407D0F" w:rsidRPr="00B178E4" w:rsidRDefault="00407D0F" w:rsidP="00B178E4">
            <w:pPr>
              <w:pStyle w:val="Tabletext"/>
              <w:ind w:left="0" w:right="0"/>
              <w:jc w:val="center"/>
              <w:rPr>
                <w:b/>
              </w:rPr>
            </w:pPr>
            <w:r w:rsidRPr="00B178E4">
              <w:rPr>
                <w:b/>
              </w:rPr>
              <w:t>IC3</w:t>
            </w:r>
          </w:p>
          <w:p w14:paraId="00821566" w14:textId="77A74AC8" w:rsidR="00407D0F" w:rsidRPr="000741BA" w:rsidRDefault="00407D0F" w:rsidP="00B178E4">
            <w:pPr>
              <w:pStyle w:val="Tabletext"/>
              <w:ind w:left="0" w:right="0"/>
              <w:jc w:val="center"/>
            </w:pPr>
            <w:r w:rsidRPr="000741BA">
              <w:t>N</w:t>
            </w:r>
            <w:r w:rsidR="00427166" w:rsidRPr="000741BA">
              <w:t xml:space="preserve"> </w:t>
            </w:r>
            <w:r w:rsidRPr="000741BA">
              <w:t>=</w:t>
            </w:r>
            <w:r w:rsidR="00427166" w:rsidRPr="000741BA">
              <w:t xml:space="preserve"> </w:t>
            </w:r>
            <w:r w:rsidRPr="000741BA">
              <w:t>64</w:t>
            </w:r>
          </w:p>
        </w:tc>
      </w:tr>
      <w:tr w:rsidR="00407D0F" w:rsidRPr="003B78C4" w14:paraId="31CF6820" w14:textId="77777777" w:rsidTr="006E617D">
        <w:trPr>
          <w:trHeight w:val="223"/>
        </w:trPr>
        <w:tc>
          <w:tcPr>
            <w:tcW w:w="1550" w:type="dxa"/>
          </w:tcPr>
          <w:p w14:paraId="36A4D897" w14:textId="77777777" w:rsidR="00407D0F" w:rsidRPr="00B178E4" w:rsidRDefault="00407D0F" w:rsidP="00B178E4">
            <w:pPr>
              <w:pStyle w:val="Tabletext"/>
              <w:ind w:left="0" w:right="0"/>
              <w:jc w:val="right"/>
              <w:rPr>
                <w:b/>
              </w:rPr>
            </w:pPr>
            <w:r w:rsidRPr="00B178E4">
              <w:rPr>
                <w:b/>
              </w:rPr>
              <w:t>SP263 evaluable</w:t>
            </w:r>
          </w:p>
        </w:tc>
        <w:tc>
          <w:tcPr>
            <w:tcW w:w="3428" w:type="dxa"/>
            <w:gridSpan w:val="4"/>
          </w:tcPr>
          <w:p w14:paraId="6D15DB34" w14:textId="2E6E020E" w:rsidR="00407D0F" w:rsidRPr="000741BA" w:rsidRDefault="00427166" w:rsidP="00B178E4">
            <w:pPr>
              <w:pStyle w:val="Tabletext"/>
              <w:ind w:left="0" w:right="0"/>
              <w:jc w:val="center"/>
            </w:pPr>
            <w:r w:rsidRPr="000741BA">
              <w:t xml:space="preserve">N </w:t>
            </w:r>
            <w:r w:rsidR="00407D0F" w:rsidRPr="000741BA">
              <w:t>=</w:t>
            </w:r>
            <w:r w:rsidRPr="000741BA">
              <w:t xml:space="preserve"> </w:t>
            </w:r>
            <w:r w:rsidR="00407D0F" w:rsidRPr="000741BA">
              <w:t>285 (99%)</w:t>
            </w:r>
          </w:p>
        </w:tc>
        <w:tc>
          <w:tcPr>
            <w:tcW w:w="3420" w:type="dxa"/>
            <w:gridSpan w:val="4"/>
          </w:tcPr>
          <w:p w14:paraId="7A8740D7" w14:textId="55126103" w:rsidR="00407D0F" w:rsidRPr="000741BA" w:rsidRDefault="00427166" w:rsidP="00B178E4">
            <w:pPr>
              <w:pStyle w:val="Tabletext"/>
              <w:ind w:left="0" w:right="0"/>
              <w:jc w:val="center"/>
            </w:pPr>
            <w:r w:rsidRPr="000741BA">
              <w:t xml:space="preserve">N </w:t>
            </w:r>
            <w:r w:rsidR="00407D0F" w:rsidRPr="000741BA">
              <w:t>=</w:t>
            </w:r>
            <w:r w:rsidRPr="000741BA">
              <w:t xml:space="preserve"> </w:t>
            </w:r>
            <w:r w:rsidR="00407D0F" w:rsidRPr="000741BA">
              <w:t>279 (98%)</w:t>
            </w:r>
          </w:p>
        </w:tc>
      </w:tr>
      <w:tr w:rsidR="00407D0F" w:rsidRPr="003B78C4" w14:paraId="48846CFA" w14:textId="77777777" w:rsidTr="006E617D">
        <w:trPr>
          <w:trHeight w:val="223"/>
        </w:trPr>
        <w:tc>
          <w:tcPr>
            <w:tcW w:w="1550" w:type="dxa"/>
          </w:tcPr>
          <w:p w14:paraId="7CDA5C61" w14:textId="62E3AB69" w:rsidR="00407D0F" w:rsidRPr="00B178E4" w:rsidRDefault="00407D0F" w:rsidP="00B178E4">
            <w:pPr>
              <w:pStyle w:val="Tabletext"/>
              <w:ind w:left="0" w:right="0"/>
              <w:jc w:val="right"/>
              <w:rPr>
                <w:b/>
              </w:rPr>
            </w:pPr>
            <w:r w:rsidRPr="00B178E4">
              <w:rPr>
                <w:b/>
              </w:rPr>
              <w:t>TC</w:t>
            </w:r>
            <w:r w:rsidR="00427166" w:rsidRPr="00B178E4">
              <w:rPr>
                <w:b/>
              </w:rPr>
              <w:t xml:space="preserve"> </w:t>
            </w:r>
            <w:r w:rsidRPr="00B178E4">
              <w:rPr>
                <w:b/>
              </w:rPr>
              <w:t>≥</w:t>
            </w:r>
            <w:r w:rsidR="00427166" w:rsidRPr="00B178E4">
              <w:rPr>
                <w:b/>
              </w:rPr>
              <w:t xml:space="preserve"> </w:t>
            </w:r>
            <w:r w:rsidRPr="00B178E4">
              <w:rPr>
                <w:b/>
              </w:rPr>
              <w:t>50%</w:t>
            </w:r>
          </w:p>
        </w:tc>
        <w:tc>
          <w:tcPr>
            <w:tcW w:w="818" w:type="dxa"/>
            <w:vAlign w:val="center"/>
          </w:tcPr>
          <w:p w14:paraId="6016DD63" w14:textId="77777777" w:rsidR="00407D0F" w:rsidRPr="000741BA" w:rsidRDefault="00407D0F" w:rsidP="00B178E4">
            <w:pPr>
              <w:pStyle w:val="Tabletext"/>
              <w:ind w:left="0" w:right="0"/>
              <w:jc w:val="center"/>
            </w:pPr>
            <w:r w:rsidRPr="000741BA">
              <w:t>10</w:t>
            </w:r>
          </w:p>
        </w:tc>
        <w:tc>
          <w:tcPr>
            <w:tcW w:w="810" w:type="dxa"/>
            <w:vAlign w:val="center"/>
          </w:tcPr>
          <w:p w14:paraId="68380B62" w14:textId="77777777" w:rsidR="00407D0F" w:rsidRPr="000741BA" w:rsidRDefault="00407D0F" w:rsidP="00B178E4">
            <w:pPr>
              <w:pStyle w:val="Tabletext"/>
              <w:ind w:left="0" w:right="0"/>
              <w:jc w:val="center"/>
            </w:pPr>
            <w:r w:rsidRPr="000741BA">
              <w:t>61</w:t>
            </w:r>
          </w:p>
        </w:tc>
        <w:tc>
          <w:tcPr>
            <w:tcW w:w="900" w:type="dxa"/>
            <w:vAlign w:val="center"/>
          </w:tcPr>
          <w:p w14:paraId="4919A86F" w14:textId="77777777" w:rsidR="00407D0F" w:rsidRPr="000741BA" w:rsidRDefault="00407D0F" w:rsidP="00B178E4">
            <w:pPr>
              <w:pStyle w:val="Tabletext"/>
              <w:ind w:left="0" w:right="0"/>
              <w:jc w:val="center"/>
            </w:pPr>
            <w:r w:rsidRPr="000741BA">
              <w:t>53</w:t>
            </w:r>
          </w:p>
        </w:tc>
        <w:tc>
          <w:tcPr>
            <w:tcW w:w="900" w:type="dxa"/>
            <w:vAlign w:val="center"/>
          </w:tcPr>
          <w:p w14:paraId="785F917F" w14:textId="77777777" w:rsidR="00407D0F" w:rsidRPr="000741BA" w:rsidRDefault="00407D0F" w:rsidP="00B178E4">
            <w:pPr>
              <w:pStyle w:val="Tabletext"/>
              <w:ind w:left="0" w:right="0"/>
              <w:jc w:val="center"/>
            </w:pPr>
            <w:r w:rsidRPr="000741BA">
              <w:t>22</w:t>
            </w:r>
          </w:p>
        </w:tc>
        <w:tc>
          <w:tcPr>
            <w:tcW w:w="900" w:type="dxa"/>
            <w:vAlign w:val="center"/>
          </w:tcPr>
          <w:p w14:paraId="055DB9EA" w14:textId="77777777" w:rsidR="00407D0F" w:rsidRPr="000741BA" w:rsidRDefault="00407D0F" w:rsidP="00B178E4">
            <w:pPr>
              <w:pStyle w:val="Tabletext"/>
              <w:ind w:left="0" w:right="0"/>
              <w:jc w:val="center"/>
            </w:pPr>
            <w:r w:rsidRPr="000741BA">
              <w:t>14</w:t>
            </w:r>
          </w:p>
        </w:tc>
        <w:tc>
          <w:tcPr>
            <w:tcW w:w="900" w:type="dxa"/>
            <w:vAlign w:val="center"/>
          </w:tcPr>
          <w:p w14:paraId="77B1F463" w14:textId="77777777" w:rsidR="00407D0F" w:rsidRPr="000741BA" w:rsidRDefault="00407D0F" w:rsidP="00B178E4">
            <w:pPr>
              <w:pStyle w:val="Tabletext"/>
              <w:ind w:left="0" w:right="0"/>
              <w:jc w:val="center"/>
            </w:pPr>
            <w:r w:rsidRPr="000741BA">
              <w:t>62</w:t>
            </w:r>
          </w:p>
        </w:tc>
        <w:tc>
          <w:tcPr>
            <w:tcW w:w="810" w:type="dxa"/>
            <w:vAlign w:val="center"/>
          </w:tcPr>
          <w:p w14:paraId="00F96484" w14:textId="77777777" w:rsidR="00407D0F" w:rsidRPr="000741BA" w:rsidRDefault="00407D0F" w:rsidP="00B178E4">
            <w:pPr>
              <w:pStyle w:val="Tabletext"/>
              <w:ind w:left="0" w:right="0"/>
              <w:jc w:val="center"/>
            </w:pPr>
            <w:r w:rsidRPr="000741BA">
              <w:t>35</w:t>
            </w:r>
          </w:p>
        </w:tc>
        <w:tc>
          <w:tcPr>
            <w:tcW w:w="810" w:type="dxa"/>
            <w:vAlign w:val="center"/>
          </w:tcPr>
          <w:p w14:paraId="7A91DAD1" w14:textId="77777777" w:rsidR="00407D0F" w:rsidRPr="000741BA" w:rsidRDefault="00407D0F" w:rsidP="00B178E4">
            <w:pPr>
              <w:pStyle w:val="Tabletext"/>
              <w:ind w:left="0" w:right="0"/>
              <w:jc w:val="center"/>
            </w:pPr>
            <w:r w:rsidRPr="000741BA">
              <w:t>44</w:t>
            </w:r>
          </w:p>
        </w:tc>
      </w:tr>
      <w:tr w:rsidR="00407D0F" w:rsidRPr="00EB1479" w14:paraId="303F61B0" w14:textId="77777777" w:rsidTr="006E617D">
        <w:trPr>
          <w:trHeight w:val="223"/>
        </w:trPr>
        <w:tc>
          <w:tcPr>
            <w:tcW w:w="1550" w:type="dxa"/>
          </w:tcPr>
          <w:p w14:paraId="1B558B2A" w14:textId="2BE40680" w:rsidR="00407D0F" w:rsidRPr="00B178E4" w:rsidRDefault="00407D0F" w:rsidP="00B178E4">
            <w:pPr>
              <w:pStyle w:val="Tabletext"/>
              <w:ind w:left="0" w:right="0"/>
              <w:jc w:val="right"/>
              <w:rPr>
                <w:b/>
              </w:rPr>
            </w:pPr>
            <w:r w:rsidRPr="00B178E4">
              <w:rPr>
                <w:b/>
              </w:rPr>
              <w:t>TC</w:t>
            </w:r>
            <w:r w:rsidR="00427166" w:rsidRPr="00B178E4">
              <w:rPr>
                <w:b/>
              </w:rPr>
              <w:t xml:space="preserve"> </w:t>
            </w:r>
            <w:r w:rsidRPr="00B178E4">
              <w:rPr>
                <w:b/>
              </w:rPr>
              <w:t>≥</w:t>
            </w:r>
            <w:r w:rsidR="00427166" w:rsidRPr="00B178E4">
              <w:rPr>
                <w:b/>
              </w:rPr>
              <w:t xml:space="preserve"> </w:t>
            </w:r>
            <w:r w:rsidRPr="00B178E4">
              <w:rPr>
                <w:b/>
              </w:rPr>
              <w:t>25%</w:t>
            </w:r>
          </w:p>
        </w:tc>
        <w:tc>
          <w:tcPr>
            <w:tcW w:w="818" w:type="dxa"/>
            <w:vAlign w:val="center"/>
          </w:tcPr>
          <w:p w14:paraId="3BC883A7" w14:textId="77777777" w:rsidR="00407D0F" w:rsidRPr="000741BA" w:rsidRDefault="00407D0F" w:rsidP="00B178E4">
            <w:pPr>
              <w:pStyle w:val="Tabletext"/>
              <w:ind w:left="0" w:right="0"/>
              <w:jc w:val="center"/>
            </w:pPr>
            <w:r w:rsidRPr="000741BA">
              <w:t>11</w:t>
            </w:r>
          </w:p>
        </w:tc>
        <w:tc>
          <w:tcPr>
            <w:tcW w:w="810" w:type="dxa"/>
            <w:vAlign w:val="center"/>
          </w:tcPr>
          <w:p w14:paraId="166F7CC1" w14:textId="77777777" w:rsidR="00407D0F" w:rsidRPr="000741BA" w:rsidRDefault="00407D0F" w:rsidP="00B178E4">
            <w:pPr>
              <w:pStyle w:val="Tabletext"/>
              <w:ind w:left="0" w:right="0"/>
              <w:jc w:val="center"/>
            </w:pPr>
            <w:r w:rsidRPr="000741BA">
              <w:t>71</w:t>
            </w:r>
          </w:p>
        </w:tc>
        <w:tc>
          <w:tcPr>
            <w:tcW w:w="900" w:type="dxa"/>
            <w:vAlign w:val="center"/>
          </w:tcPr>
          <w:p w14:paraId="4E11BED8" w14:textId="77777777" w:rsidR="00407D0F" w:rsidRPr="000741BA" w:rsidRDefault="00407D0F" w:rsidP="00B178E4">
            <w:pPr>
              <w:pStyle w:val="Tabletext"/>
              <w:ind w:left="0" w:right="0"/>
              <w:jc w:val="center"/>
            </w:pPr>
            <w:r w:rsidRPr="000741BA">
              <w:t>61</w:t>
            </w:r>
          </w:p>
        </w:tc>
        <w:tc>
          <w:tcPr>
            <w:tcW w:w="900" w:type="dxa"/>
            <w:vAlign w:val="center"/>
          </w:tcPr>
          <w:p w14:paraId="19D3504B" w14:textId="77777777" w:rsidR="00407D0F" w:rsidRPr="000741BA" w:rsidRDefault="00407D0F" w:rsidP="00B178E4">
            <w:pPr>
              <w:pStyle w:val="Tabletext"/>
              <w:ind w:left="0" w:right="0"/>
              <w:jc w:val="center"/>
            </w:pPr>
            <w:r w:rsidRPr="000741BA">
              <w:t>30</w:t>
            </w:r>
          </w:p>
        </w:tc>
        <w:tc>
          <w:tcPr>
            <w:tcW w:w="900" w:type="dxa"/>
            <w:vAlign w:val="center"/>
          </w:tcPr>
          <w:p w14:paraId="5ABC0F55" w14:textId="77777777" w:rsidR="00407D0F" w:rsidRPr="000741BA" w:rsidRDefault="00407D0F" w:rsidP="00B178E4">
            <w:pPr>
              <w:pStyle w:val="Tabletext"/>
              <w:ind w:left="0" w:right="0"/>
              <w:jc w:val="center"/>
            </w:pPr>
            <w:r w:rsidRPr="000741BA">
              <w:t>15</w:t>
            </w:r>
          </w:p>
        </w:tc>
        <w:tc>
          <w:tcPr>
            <w:tcW w:w="900" w:type="dxa"/>
            <w:vAlign w:val="center"/>
          </w:tcPr>
          <w:p w14:paraId="7BA511A8" w14:textId="77777777" w:rsidR="00407D0F" w:rsidRPr="000741BA" w:rsidRDefault="00407D0F" w:rsidP="00B178E4">
            <w:pPr>
              <w:pStyle w:val="Tabletext"/>
              <w:ind w:left="0" w:right="0"/>
              <w:jc w:val="center"/>
            </w:pPr>
            <w:r w:rsidRPr="000741BA">
              <w:t>71</w:t>
            </w:r>
          </w:p>
        </w:tc>
        <w:tc>
          <w:tcPr>
            <w:tcW w:w="810" w:type="dxa"/>
            <w:vAlign w:val="center"/>
          </w:tcPr>
          <w:p w14:paraId="06A35BD0" w14:textId="77777777" w:rsidR="00407D0F" w:rsidRPr="000741BA" w:rsidRDefault="00407D0F" w:rsidP="00B178E4">
            <w:pPr>
              <w:pStyle w:val="Tabletext"/>
              <w:ind w:left="0" w:right="0"/>
              <w:jc w:val="center"/>
            </w:pPr>
            <w:r w:rsidRPr="000741BA">
              <w:t>41</w:t>
            </w:r>
          </w:p>
        </w:tc>
        <w:tc>
          <w:tcPr>
            <w:tcW w:w="810" w:type="dxa"/>
            <w:vAlign w:val="center"/>
          </w:tcPr>
          <w:p w14:paraId="4405DEC1" w14:textId="77777777" w:rsidR="00407D0F" w:rsidRPr="000741BA" w:rsidRDefault="00407D0F" w:rsidP="00B178E4">
            <w:pPr>
              <w:pStyle w:val="Tabletext"/>
              <w:ind w:left="0" w:right="0"/>
              <w:jc w:val="center"/>
            </w:pPr>
            <w:r w:rsidRPr="000741BA">
              <w:t>46</w:t>
            </w:r>
          </w:p>
        </w:tc>
      </w:tr>
      <w:tr w:rsidR="00407D0F" w:rsidRPr="00EB1479" w14:paraId="755111E2" w14:textId="77777777" w:rsidTr="006E617D">
        <w:trPr>
          <w:trHeight w:val="60"/>
        </w:trPr>
        <w:tc>
          <w:tcPr>
            <w:tcW w:w="1550" w:type="dxa"/>
          </w:tcPr>
          <w:p w14:paraId="0A937309" w14:textId="4D31E056" w:rsidR="00407D0F" w:rsidRPr="00B178E4" w:rsidRDefault="00407D0F" w:rsidP="00B178E4">
            <w:pPr>
              <w:pStyle w:val="Tabletext"/>
              <w:ind w:left="0" w:right="0"/>
              <w:jc w:val="right"/>
              <w:rPr>
                <w:b/>
              </w:rPr>
            </w:pPr>
            <w:r w:rsidRPr="00B178E4">
              <w:rPr>
                <w:b/>
              </w:rPr>
              <w:t>TC</w:t>
            </w:r>
            <w:r w:rsidR="00427166" w:rsidRPr="00B178E4">
              <w:rPr>
                <w:b/>
              </w:rPr>
              <w:t xml:space="preserve"> </w:t>
            </w:r>
            <w:r w:rsidRPr="00B178E4">
              <w:rPr>
                <w:b/>
              </w:rPr>
              <w:t>≥</w:t>
            </w:r>
            <w:r w:rsidR="00427166" w:rsidRPr="00B178E4">
              <w:rPr>
                <w:b/>
              </w:rPr>
              <w:t xml:space="preserve"> </w:t>
            </w:r>
            <w:r w:rsidRPr="00B178E4">
              <w:rPr>
                <w:b/>
              </w:rPr>
              <w:t>1%</w:t>
            </w:r>
          </w:p>
        </w:tc>
        <w:tc>
          <w:tcPr>
            <w:tcW w:w="818" w:type="dxa"/>
            <w:vAlign w:val="center"/>
          </w:tcPr>
          <w:p w14:paraId="55B0C86E" w14:textId="77777777" w:rsidR="00407D0F" w:rsidRPr="000741BA" w:rsidRDefault="00407D0F" w:rsidP="00B178E4">
            <w:pPr>
              <w:pStyle w:val="Tabletext"/>
              <w:ind w:left="0" w:right="0"/>
              <w:jc w:val="center"/>
            </w:pPr>
            <w:r w:rsidRPr="000741BA">
              <w:t>15</w:t>
            </w:r>
          </w:p>
        </w:tc>
        <w:tc>
          <w:tcPr>
            <w:tcW w:w="810" w:type="dxa"/>
            <w:vAlign w:val="center"/>
          </w:tcPr>
          <w:p w14:paraId="7A060B95" w14:textId="77777777" w:rsidR="00407D0F" w:rsidRPr="000741BA" w:rsidRDefault="00407D0F" w:rsidP="00B178E4">
            <w:pPr>
              <w:pStyle w:val="Tabletext"/>
              <w:ind w:left="0" w:right="0"/>
              <w:jc w:val="center"/>
            </w:pPr>
            <w:r w:rsidRPr="000741BA">
              <w:t>101</w:t>
            </w:r>
          </w:p>
        </w:tc>
        <w:tc>
          <w:tcPr>
            <w:tcW w:w="900" w:type="dxa"/>
            <w:vAlign w:val="center"/>
          </w:tcPr>
          <w:p w14:paraId="54F75B59" w14:textId="77777777" w:rsidR="00407D0F" w:rsidRPr="000741BA" w:rsidRDefault="00407D0F" w:rsidP="00B178E4">
            <w:pPr>
              <w:pStyle w:val="Tabletext"/>
              <w:ind w:left="0" w:right="0"/>
              <w:jc w:val="center"/>
            </w:pPr>
            <w:r w:rsidRPr="000741BA">
              <w:t>65</w:t>
            </w:r>
          </w:p>
        </w:tc>
        <w:tc>
          <w:tcPr>
            <w:tcW w:w="900" w:type="dxa"/>
            <w:vAlign w:val="center"/>
          </w:tcPr>
          <w:p w14:paraId="307847DD" w14:textId="77777777" w:rsidR="00407D0F" w:rsidRPr="000741BA" w:rsidRDefault="00407D0F" w:rsidP="00B178E4">
            <w:pPr>
              <w:pStyle w:val="Tabletext"/>
              <w:ind w:left="0" w:right="0"/>
              <w:jc w:val="center"/>
            </w:pPr>
            <w:r w:rsidRPr="000741BA">
              <w:t>36</w:t>
            </w:r>
          </w:p>
        </w:tc>
        <w:tc>
          <w:tcPr>
            <w:tcW w:w="900" w:type="dxa"/>
            <w:vAlign w:val="center"/>
          </w:tcPr>
          <w:p w14:paraId="1169BDA8" w14:textId="77777777" w:rsidR="00407D0F" w:rsidRPr="000741BA" w:rsidRDefault="00407D0F" w:rsidP="00B178E4">
            <w:pPr>
              <w:pStyle w:val="Tabletext"/>
              <w:ind w:left="0" w:right="0"/>
              <w:jc w:val="center"/>
            </w:pPr>
            <w:r w:rsidRPr="000741BA">
              <w:t>16</w:t>
            </w:r>
          </w:p>
        </w:tc>
        <w:tc>
          <w:tcPr>
            <w:tcW w:w="900" w:type="dxa"/>
            <w:vAlign w:val="center"/>
          </w:tcPr>
          <w:p w14:paraId="209D9DBD" w14:textId="77777777" w:rsidR="00407D0F" w:rsidRPr="000741BA" w:rsidRDefault="00407D0F" w:rsidP="00B178E4">
            <w:pPr>
              <w:pStyle w:val="Tabletext"/>
              <w:ind w:left="0" w:right="0"/>
              <w:jc w:val="center"/>
            </w:pPr>
            <w:r w:rsidRPr="000741BA">
              <w:t>101</w:t>
            </w:r>
          </w:p>
        </w:tc>
        <w:tc>
          <w:tcPr>
            <w:tcW w:w="810" w:type="dxa"/>
            <w:vAlign w:val="center"/>
          </w:tcPr>
          <w:p w14:paraId="59B92EFB" w14:textId="77777777" w:rsidR="00407D0F" w:rsidRPr="000741BA" w:rsidRDefault="00407D0F" w:rsidP="00B178E4">
            <w:pPr>
              <w:pStyle w:val="Tabletext"/>
              <w:ind w:left="0" w:right="0"/>
              <w:jc w:val="center"/>
            </w:pPr>
            <w:r w:rsidRPr="000741BA">
              <w:t>49</w:t>
            </w:r>
          </w:p>
        </w:tc>
        <w:tc>
          <w:tcPr>
            <w:tcW w:w="810" w:type="dxa"/>
            <w:vAlign w:val="center"/>
          </w:tcPr>
          <w:p w14:paraId="304C2C6D" w14:textId="77777777" w:rsidR="00407D0F" w:rsidRPr="000741BA" w:rsidRDefault="00407D0F" w:rsidP="00B178E4">
            <w:pPr>
              <w:pStyle w:val="Tabletext"/>
              <w:ind w:left="0" w:right="0"/>
              <w:jc w:val="center"/>
            </w:pPr>
            <w:r w:rsidRPr="000741BA">
              <w:t>52</w:t>
            </w:r>
          </w:p>
        </w:tc>
      </w:tr>
      <w:tr w:rsidR="00407D0F" w:rsidRPr="00EB1479" w14:paraId="42A3A259" w14:textId="77777777" w:rsidTr="006E617D">
        <w:trPr>
          <w:trHeight w:val="223"/>
        </w:trPr>
        <w:tc>
          <w:tcPr>
            <w:tcW w:w="1550" w:type="dxa"/>
          </w:tcPr>
          <w:p w14:paraId="42280576" w14:textId="2C6337F4" w:rsidR="00407D0F" w:rsidRPr="00B178E4" w:rsidRDefault="00407D0F" w:rsidP="00B178E4">
            <w:pPr>
              <w:pStyle w:val="Tabletext"/>
              <w:ind w:left="0" w:right="0"/>
              <w:jc w:val="right"/>
              <w:rPr>
                <w:b/>
              </w:rPr>
            </w:pPr>
            <w:r w:rsidRPr="00B178E4">
              <w:rPr>
                <w:b/>
              </w:rPr>
              <w:t>TC</w:t>
            </w:r>
            <w:r w:rsidR="00427166" w:rsidRPr="00B178E4">
              <w:rPr>
                <w:b/>
              </w:rPr>
              <w:t xml:space="preserve"> </w:t>
            </w:r>
            <w:r w:rsidRPr="00B178E4">
              <w:rPr>
                <w:b/>
              </w:rPr>
              <w:t>&lt;</w:t>
            </w:r>
            <w:r w:rsidR="00427166" w:rsidRPr="00B178E4">
              <w:rPr>
                <w:b/>
              </w:rPr>
              <w:t xml:space="preserve"> </w:t>
            </w:r>
            <w:r w:rsidRPr="00B178E4">
              <w:rPr>
                <w:b/>
              </w:rPr>
              <w:t>1%</w:t>
            </w:r>
          </w:p>
        </w:tc>
        <w:tc>
          <w:tcPr>
            <w:tcW w:w="818" w:type="dxa"/>
            <w:vAlign w:val="center"/>
          </w:tcPr>
          <w:p w14:paraId="14664B2C" w14:textId="77777777" w:rsidR="00407D0F" w:rsidRPr="000741BA" w:rsidRDefault="00407D0F" w:rsidP="00B178E4">
            <w:pPr>
              <w:pStyle w:val="Tabletext"/>
              <w:ind w:left="0" w:right="0"/>
              <w:jc w:val="center"/>
            </w:pPr>
            <w:r w:rsidRPr="000741BA">
              <w:t>3</w:t>
            </w:r>
          </w:p>
        </w:tc>
        <w:tc>
          <w:tcPr>
            <w:tcW w:w="810" w:type="dxa"/>
            <w:vAlign w:val="center"/>
          </w:tcPr>
          <w:p w14:paraId="335E9F84" w14:textId="77777777" w:rsidR="00407D0F" w:rsidRPr="000741BA" w:rsidRDefault="00407D0F" w:rsidP="00B178E4">
            <w:pPr>
              <w:pStyle w:val="Tabletext"/>
              <w:ind w:left="0" w:right="0"/>
              <w:jc w:val="center"/>
            </w:pPr>
            <w:r w:rsidRPr="000741BA">
              <w:t>45</w:t>
            </w:r>
          </w:p>
        </w:tc>
        <w:tc>
          <w:tcPr>
            <w:tcW w:w="900" w:type="dxa"/>
            <w:vAlign w:val="center"/>
          </w:tcPr>
          <w:p w14:paraId="501A5E33" w14:textId="77777777" w:rsidR="00407D0F" w:rsidRPr="000741BA" w:rsidRDefault="00407D0F" w:rsidP="00B178E4">
            <w:pPr>
              <w:pStyle w:val="Tabletext"/>
              <w:ind w:left="0" w:right="0"/>
              <w:jc w:val="center"/>
            </w:pPr>
            <w:r w:rsidRPr="000741BA">
              <w:t>14</w:t>
            </w:r>
          </w:p>
        </w:tc>
        <w:tc>
          <w:tcPr>
            <w:tcW w:w="900" w:type="dxa"/>
            <w:vAlign w:val="center"/>
          </w:tcPr>
          <w:p w14:paraId="1E9C9CCD" w14:textId="77777777" w:rsidR="00407D0F" w:rsidRPr="000741BA" w:rsidRDefault="00407D0F" w:rsidP="00B178E4">
            <w:pPr>
              <w:pStyle w:val="Tabletext"/>
              <w:ind w:left="0" w:right="0"/>
              <w:jc w:val="center"/>
            </w:pPr>
            <w:r w:rsidRPr="000741BA">
              <w:t>6</w:t>
            </w:r>
          </w:p>
        </w:tc>
        <w:tc>
          <w:tcPr>
            <w:tcW w:w="900" w:type="dxa"/>
            <w:vAlign w:val="center"/>
          </w:tcPr>
          <w:p w14:paraId="793828E1" w14:textId="77777777" w:rsidR="00407D0F" w:rsidRPr="000741BA" w:rsidRDefault="00407D0F" w:rsidP="00B178E4">
            <w:pPr>
              <w:pStyle w:val="Tabletext"/>
              <w:ind w:left="0" w:right="0"/>
              <w:jc w:val="center"/>
            </w:pPr>
            <w:r w:rsidRPr="000741BA">
              <w:t>1</w:t>
            </w:r>
          </w:p>
        </w:tc>
        <w:tc>
          <w:tcPr>
            <w:tcW w:w="900" w:type="dxa"/>
            <w:vAlign w:val="center"/>
          </w:tcPr>
          <w:p w14:paraId="7A8539B8" w14:textId="77777777" w:rsidR="00407D0F" w:rsidRPr="000741BA" w:rsidRDefault="00407D0F" w:rsidP="00B178E4">
            <w:pPr>
              <w:pStyle w:val="Tabletext"/>
              <w:ind w:left="0" w:right="0"/>
              <w:jc w:val="center"/>
            </w:pPr>
            <w:r w:rsidRPr="000741BA">
              <w:t>40</w:t>
            </w:r>
          </w:p>
        </w:tc>
        <w:tc>
          <w:tcPr>
            <w:tcW w:w="810" w:type="dxa"/>
            <w:vAlign w:val="center"/>
          </w:tcPr>
          <w:p w14:paraId="64043CF4" w14:textId="77777777" w:rsidR="00407D0F" w:rsidRPr="000741BA" w:rsidRDefault="00407D0F" w:rsidP="00B178E4">
            <w:pPr>
              <w:pStyle w:val="Tabletext"/>
              <w:ind w:left="0" w:right="0"/>
              <w:jc w:val="center"/>
            </w:pPr>
            <w:r w:rsidRPr="000741BA">
              <w:t>9</w:t>
            </w:r>
          </w:p>
        </w:tc>
        <w:tc>
          <w:tcPr>
            <w:tcW w:w="810" w:type="dxa"/>
            <w:vAlign w:val="center"/>
          </w:tcPr>
          <w:p w14:paraId="11A35940" w14:textId="77777777" w:rsidR="00407D0F" w:rsidRPr="000741BA" w:rsidRDefault="00407D0F" w:rsidP="00B178E4">
            <w:pPr>
              <w:pStyle w:val="Tabletext"/>
              <w:ind w:left="0" w:right="0"/>
              <w:jc w:val="center"/>
            </w:pPr>
            <w:r w:rsidRPr="000741BA">
              <w:t>11</w:t>
            </w:r>
          </w:p>
        </w:tc>
      </w:tr>
      <w:tr w:rsidR="00407D0F" w:rsidRPr="00EB1479" w14:paraId="096AFD78" w14:textId="77777777" w:rsidTr="006E617D">
        <w:trPr>
          <w:trHeight w:val="223"/>
        </w:trPr>
        <w:tc>
          <w:tcPr>
            <w:tcW w:w="1550" w:type="dxa"/>
          </w:tcPr>
          <w:p w14:paraId="1A980FB8" w14:textId="77777777" w:rsidR="00407D0F" w:rsidRPr="00B178E4" w:rsidRDefault="00407D0F" w:rsidP="00B178E4">
            <w:pPr>
              <w:pStyle w:val="Tabletext"/>
              <w:ind w:left="0" w:right="0"/>
              <w:jc w:val="right"/>
              <w:rPr>
                <w:b/>
              </w:rPr>
            </w:pPr>
            <w:r w:rsidRPr="00B178E4">
              <w:rPr>
                <w:b/>
              </w:rPr>
              <w:t>22C3 evaluable</w:t>
            </w:r>
          </w:p>
        </w:tc>
        <w:tc>
          <w:tcPr>
            <w:tcW w:w="3428" w:type="dxa"/>
            <w:gridSpan w:val="4"/>
          </w:tcPr>
          <w:p w14:paraId="569FC216" w14:textId="5A566161" w:rsidR="00407D0F" w:rsidRPr="000741BA" w:rsidRDefault="00427166" w:rsidP="00B178E4">
            <w:pPr>
              <w:pStyle w:val="Tabletext"/>
              <w:ind w:left="0" w:right="0"/>
              <w:jc w:val="center"/>
            </w:pPr>
            <w:r w:rsidRPr="000741BA">
              <w:t xml:space="preserve">N </w:t>
            </w:r>
            <w:r w:rsidR="00407D0F" w:rsidRPr="000741BA">
              <w:t>=</w:t>
            </w:r>
            <w:r w:rsidRPr="000741BA">
              <w:t xml:space="preserve"> </w:t>
            </w:r>
            <w:r w:rsidR="00407D0F" w:rsidRPr="000741BA">
              <w:t>276 (96%)</w:t>
            </w:r>
          </w:p>
        </w:tc>
        <w:tc>
          <w:tcPr>
            <w:tcW w:w="3420" w:type="dxa"/>
            <w:gridSpan w:val="4"/>
          </w:tcPr>
          <w:p w14:paraId="49E5A154" w14:textId="4131EB52" w:rsidR="00407D0F" w:rsidRPr="000741BA" w:rsidRDefault="00427166" w:rsidP="00B178E4">
            <w:pPr>
              <w:pStyle w:val="Tabletext"/>
              <w:ind w:left="0" w:right="0"/>
              <w:jc w:val="center"/>
            </w:pPr>
            <w:r w:rsidRPr="000741BA">
              <w:t xml:space="preserve">N </w:t>
            </w:r>
            <w:r w:rsidR="00407D0F" w:rsidRPr="000741BA">
              <w:t>=</w:t>
            </w:r>
            <w:r w:rsidRPr="000741BA">
              <w:t xml:space="preserve"> </w:t>
            </w:r>
            <w:r w:rsidR="00407D0F" w:rsidRPr="000741BA">
              <w:t>276 (97%)</w:t>
            </w:r>
          </w:p>
        </w:tc>
      </w:tr>
      <w:tr w:rsidR="00407D0F" w:rsidRPr="00EB1479" w14:paraId="1FF3C67C" w14:textId="77777777" w:rsidTr="006E617D">
        <w:trPr>
          <w:trHeight w:val="223"/>
        </w:trPr>
        <w:tc>
          <w:tcPr>
            <w:tcW w:w="1550" w:type="dxa"/>
          </w:tcPr>
          <w:p w14:paraId="688A91EC" w14:textId="5263C5D6" w:rsidR="00407D0F" w:rsidRPr="00B178E4" w:rsidRDefault="00407D0F" w:rsidP="00B178E4">
            <w:pPr>
              <w:pStyle w:val="Tabletext"/>
              <w:ind w:left="0" w:right="0"/>
              <w:jc w:val="right"/>
              <w:rPr>
                <w:b/>
              </w:rPr>
            </w:pPr>
            <w:r w:rsidRPr="00B178E4">
              <w:rPr>
                <w:b/>
              </w:rPr>
              <w:t>TPS</w:t>
            </w:r>
            <w:r w:rsidR="00427166" w:rsidRPr="00B178E4">
              <w:rPr>
                <w:b/>
              </w:rPr>
              <w:t xml:space="preserve"> </w:t>
            </w:r>
            <w:r w:rsidRPr="00B178E4">
              <w:rPr>
                <w:b/>
              </w:rPr>
              <w:t>≥</w:t>
            </w:r>
            <w:r w:rsidR="00427166" w:rsidRPr="00B178E4">
              <w:rPr>
                <w:b/>
              </w:rPr>
              <w:t xml:space="preserve"> </w:t>
            </w:r>
            <w:r w:rsidRPr="00B178E4">
              <w:rPr>
                <w:b/>
              </w:rPr>
              <w:t>50%</w:t>
            </w:r>
          </w:p>
        </w:tc>
        <w:tc>
          <w:tcPr>
            <w:tcW w:w="818" w:type="dxa"/>
            <w:vAlign w:val="center"/>
          </w:tcPr>
          <w:p w14:paraId="270D06D1" w14:textId="77777777" w:rsidR="00407D0F" w:rsidRPr="000741BA" w:rsidRDefault="00407D0F" w:rsidP="00B178E4">
            <w:pPr>
              <w:pStyle w:val="Tabletext"/>
              <w:ind w:left="0" w:right="0"/>
              <w:jc w:val="center"/>
            </w:pPr>
            <w:r w:rsidRPr="000741BA">
              <w:t>8</w:t>
            </w:r>
          </w:p>
        </w:tc>
        <w:tc>
          <w:tcPr>
            <w:tcW w:w="810" w:type="dxa"/>
            <w:vAlign w:val="center"/>
          </w:tcPr>
          <w:p w14:paraId="39CB51F9" w14:textId="77777777" w:rsidR="00407D0F" w:rsidRPr="000741BA" w:rsidRDefault="00407D0F" w:rsidP="00B178E4">
            <w:pPr>
              <w:pStyle w:val="Tabletext"/>
              <w:ind w:left="0" w:right="0"/>
              <w:jc w:val="center"/>
            </w:pPr>
            <w:r w:rsidRPr="000741BA">
              <w:t>51</w:t>
            </w:r>
          </w:p>
        </w:tc>
        <w:tc>
          <w:tcPr>
            <w:tcW w:w="900" w:type="dxa"/>
            <w:vAlign w:val="center"/>
          </w:tcPr>
          <w:p w14:paraId="48149353" w14:textId="77777777" w:rsidR="00407D0F" w:rsidRPr="000741BA" w:rsidRDefault="00407D0F" w:rsidP="00B178E4">
            <w:pPr>
              <w:pStyle w:val="Tabletext"/>
              <w:ind w:left="0" w:right="0"/>
              <w:jc w:val="center"/>
            </w:pPr>
            <w:r w:rsidRPr="000741BA">
              <w:t>51</w:t>
            </w:r>
          </w:p>
        </w:tc>
        <w:tc>
          <w:tcPr>
            <w:tcW w:w="900" w:type="dxa"/>
            <w:vAlign w:val="center"/>
          </w:tcPr>
          <w:p w14:paraId="5864B722" w14:textId="77777777" w:rsidR="00407D0F" w:rsidRPr="000741BA" w:rsidRDefault="00407D0F" w:rsidP="00B178E4">
            <w:pPr>
              <w:pStyle w:val="Tabletext"/>
              <w:ind w:left="0" w:right="0"/>
              <w:jc w:val="center"/>
            </w:pPr>
            <w:r w:rsidRPr="000741BA">
              <w:t>19</w:t>
            </w:r>
          </w:p>
        </w:tc>
        <w:tc>
          <w:tcPr>
            <w:tcW w:w="900" w:type="dxa"/>
            <w:vAlign w:val="center"/>
          </w:tcPr>
          <w:p w14:paraId="2AD28758" w14:textId="77777777" w:rsidR="00407D0F" w:rsidRPr="000741BA" w:rsidRDefault="00407D0F" w:rsidP="00B178E4">
            <w:pPr>
              <w:pStyle w:val="Tabletext"/>
              <w:ind w:left="0" w:right="0"/>
              <w:jc w:val="center"/>
            </w:pPr>
            <w:r w:rsidRPr="000741BA">
              <w:t>12</w:t>
            </w:r>
          </w:p>
        </w:tc>
        <w:tc>
          <w:tcPr>
            <w:tcW w:w="900" w:type="dxa"/>
            <w:vAlign w:val="center"/>
          </w:tcPr>
          <w:p w14:paraId="699EF556" w14:textId="77777777" w:rsidR="00407D0F" w:rsidRPr="000741BA" w:rsidRDefault="00407D0F" w:rsidP="00B178E4">
            <w:pPr>
              <w:pStyle w:val="Tabletext"/>
              <w:ind w:left="0" w:right="0"/>
              <w:jc w:val="center"/>
            </w:pPr>
            <w:r w:rsidRPr="000741BA">
              <w:t>57</w:t>
            </w:r>
          </w:p>
        </w:tc>
        <w:tc>
          <w:tcPr>
            <w:tcW w:w="810" w:type="dxa"/>
            <w:vAlign w:val="center"/>
          </w:tcPr>
          <w:p w14:paraId="1236D131" w14:textId="77777777" w:rsidR="00407D0F" w:rsidRPr="000741BA" w:rsidRDefault="00407D0F" w:rsidP="00B178E4">
            <w:pPr>
              <w:pStyle w:val="Tabletext"/>
              <w:ind w:left="0" w:right="0"/>
              <w:jc w:val="center"/>
            </w:pPr>
            <w:r w:rsidRPr="000741BA">
              <w:t>32</w:t>
            </w:r>
          </w:p>
        </w:tc>
        <w:tc>
          <w:tcPr>
            <w:tcW w:w="810" w:type="dxa"/>
            <w:vAlign w:val="center"/>
          </w:tcPr>
          <w:p w14:paraId="5C03FC52" w14:textId="77777777" w:rsidR="00407D0F" w:rsidRPr="000741BA" w:rsidRDefault="00407D0F" w:rsidP="00B178E4">
            <w:pPr>
              <w:pStyle w:val="Tabletext"/>
              <w:ind w:left="0" w:right="0"/>
              <w:jc w:val="center"/>
            </w:pPr>
            <w:r w:rsidRPr="000741BA">
              <w:t>38</w:t>
            </w:r>
          </w:p>
        </w:tc>
      </w:tr>
      <w:tr w:rsidR="00407D0F" w:rsidRPr="00EB1479" w14:paraId="48579BA3" w14:textId="77777777" w:rsidTr="006E617D">
        <w:trPr>
          <w:trHeight w:val="223"/>
        </w:trPr>
        <w:tc>
          <w:tcPr>
            <w:tcW w:w="1550" w:type="dxa"/>
          </w:tcPr>
          <w:p w14:paraId="66123DB7" w14:textId="7BE0ED62" w:rsidR="00407D0F" w:rsidRPr="00B178E4" w:rsidRDefault="00407D0F" w:rsidP="00B178E4">
            <w:pPr>
              <w:pStyle w:val="Tabletext"/>
              <w:ind w:left="0" w:right="0"/>
              <w:jc w:val="right"/>
              <w:rPr>
                <w:b/>
              </w:rPr>
            </w:pPr>
            <w:r w:rsidRPr="00B178E4">
              <w:rPr>
                <w:b/>
              </w:rPr>
              <w:t>TPS</w:t>
            </w:r>
            <w:r w:rsidR="00427166" w:rsidRPr="00B178E4">
              <w:rPr>
                <w:b/>
              </w:rPr>
              <w:t xml:space="preserve"> </w:t>
            </w:r>
            <w:r w:rsidRPr="00B178E4">
              <w:rPr>
                <w:b/>
              </w:rPr>
              <w:t>≥</w:t>
            </w:r>
            <w:r w:rsidR="00427166" w:rsidRPr="00B178E4">
              <w:rPr>
                <w:b/>
              </w:rPr>
              <w:t xml:space="preserve"> </w:t>
            </w:r>
            <w:r w:rsidRPr="00B178E4">
              <w:rPr>
                <w:b/>
              </w:rPr>
              <w:t>1%</w:t>
            </w:r>
          </w:p>
        </w:tc>
        <w:tc>
          <w:tcPr>
            <w:tcW w:w="818" w:type="dxa"/>
            <w:vAlign w:val="center"/>
          </w:tcPr>
          <w:p w14:paraId="64D677EF" w14:textId="77777777" w:rsidR="00407D0F" w:rsidRPr="000741BA" w:rsidRDefault="00407D0F" w:rsidP="00B178E4">
            <w:pPr>
              <w:pStyle w:val="Tabletext"/>
              <w:ind w:left="0" w:right="0"/>
              <w:jc w:val="center"/>
            </w:pPr>
            <w:r w:rsidRPr="000741BA">
              <w:t>10</w:t>
            </w:r>
          </w:p>
        </w:tc>
        <w:tc>
          <w:tcPr>
            <w:tcW w:w="810" w:type="dxa"/>
            <w:vAlign w:val="center"/>
          </w:tcPr>
          <w:p w14:paraId="12C3FF97" w14:textId="77777777" w:rsidR="00407D0F" w:rsidRPr="000741BA" w:rsidRDefault="00407D0F" w:rsidP="00B178E4">
            <w:pPr>
              <w:pStyle w:val="Tabletext"/>
              <w:ind w:left="0" w:right="0"/>
              <w:jc w:val="center"/>
            </w:pPr>
            <w:r w:rsidRPr="000741BA">
              <w:t>92</w:t>
            </w:r>
          </w:p>
        </w:tc>
        <w:tc>
          <w:tcPr>
            <w:tcW w:w="900" w:type="dxa"/>
            <w:vAlign w:val="center"/>
          </w:tcPr>
          <w:p w14:paraId="04310FB0" w14:textId="77777777" w:rsidR="00407D0F" w:rsidRPr="000741BA" w:rsidRDefault="00407D0F" w:rsidP="00B178E4">
            <w:pPr>
              <w:pStyle w:val="Tabletext"/>
              <w:ind w:left="0" w:right="0"/>
              <w:jc w:val="center"/>
            </w:pPr>
            <w:r w:rsidRPr="000741BA">
              <w:t>68</w:t>
            </w:r>
          </w:p>
        </w:tc>
        <w:tc>
          <w:tcPr>
            <w:tcW w:w="900" w:type="dxa"/>
            <w:vAlign w:val="center"/>
          </w:tcPr>
          <w:p w14:paraId="69337F85" w14:textId="77777777" w:rsidR="00407D0F" w:rsidRPr="000741BA" w:rsidRDefault="00407D0F" w:rsidP="00B178E4">
            <w:pPr>
              <w:pStyle w:val="Tabletext"/>
              <w:ind w:left="0" w:right="0"/>
              <w:jc w:val="center"/>
            </w:pPr>
            <w:r w:rsidRPr="000741BA">
              <w:t>36</w:t>
            </w:r>
          </w:p>
        </w:tc>
        <w:tc>
          <w:tcPr>
            <w:tcW w:w="900" w:type="dxa"/>
            <w:vAlign w:val="center"/>
          </w:tcPr>
          <w:p w14:paraId="77AFEE13" w14:textId="77777777" w:rsidR="00407D0F" w:rsidRPr="000741BA" w:rsidRDefault="00407D0F" w:rsidP="00B178E4">
            <w:pPr>
              <w:pStyle w:val="Tabletext"/>
              <w:ind w:left="0" w:right="0"/>
              <w:jc w:val="center"/>
            </w:pPr>
            <w:r w:rsidRPr="000741BA">
              <w:t>15</w:t>
            </w:r>
          </w:p>
        </w:tc>
        <w:tc>
          <w:tcPr>
            <w:tcW w:w="900" w:type="dxa"/>
            <w:vAlign w:val="center"/>
          </w:tcPr>
          <w:p w14:paraId="334D4A29" w14:textId="77777777" w:rsidR="00407D0F" w:rsidRPr="000741BA" w:rsidRDefault="00407D0F" w:rsidP="00B178E4">
            <w:pPr>
              <w:pStyle w:val="Tabletext"/>
              <w:ind w:left="0" w:right="0"/>
              <w:jc w:val="center"/>
            </w:pPr>
            <w:r w:rsidRPr="000741BA">
              <w:t>103</w:t>
            </w:r>
          </w:p>
        </w:tc>
        <w:tc>
          <w:tcPr>
            <w:tcW w:w="810" w:type="dxa"/>
            <w:vAlign w:val="center"/>
          </w:tcPr>
          <w:p w14:paraId="3722D917" w14:textId="77777777" w:rsidR="00407D0F" w:rsidRPr="000741BA" w:rsidRDefault="00407D0F" w:rsidP="00B178E4">
            <w:pPr>
              <w:pStyle w:val="Tabletext"/>
              <w:ind w:left="0" w:right="0"/>
              <w:jc w:val="center"/>
            </w:pPr>
            <w:r w:rsidRPr="000741BA">
              <w:t>50</w:t>
            </w:r>
          </w:p>
        </w:tc>
        <w:tc>
          <w:tcPr>
            <w:tcW w:w="810" w:type="dxa"/>
            <w:vAlign w:val="center"/>
          </w:tcPr>
          <w:p w14:paraId="4EEF2B29" w14:textId="77777777" w:rsidR="00407D0F" w:rsidRPr="000741BA" w:rsidRDefault="00407D0F" w:rsidP="00B178E4">
            <w:pPr>
              <w:pStyle w:val="Tabletext"/>
              <w:ind w:left="0" w:right="0"/>
              <w:jc w:val="center"/>
            </w:pPr>
            <w:r w:rsidRPr="000741BA">
              <w:t>51</w:t>
            </w:r>
          </w:p>
        </w:tc>
      </w:tr>
      <w:tr w:rsidR="00407D0F" w:rsidRPr="00EB1479" w14:paraId="02906384" w14:textId="77777777" w:rsidTr="006E617D">
        <w:trPr>
          <w:trHeight w:val="223"/>
        </w:trPr>
        <w:tc>
          <w:tcPr>
            <w:tcW w:w="1550" w:type="dxa"/>
          </w:tcPr>
          <w:p w14:paraId="63FA8A97" w14:textId="3C1722BB" w:rsidR="00407D0F" w:rsidRPr="00B178E4" w:rsidRDefault="00407D0F" w:rsidP="00B178E4">
            <w:pPr>
              <w:pStyle w:val="Tabletext"/>
              <w:ind w:left="0" w:right="0"/>
              <w:jc w:val="right"/>
              <w:rPr>
                <w:b/>
              </w:rPr>
            </w:pPr>
            <w:r w:rsidRPr="00B178E4">
              <w:rPr>
                <w:b/>
              </w:rPr>
              <w:t>TPS</w:t>
            </w:r>
            <w:r w:rsidR="00427166" w:rsidRPr="00B178E4">
              <w:rPr>
                <w:b/>
              </w:rPr>
              <w:t xml:space="preserve"> </w:t>
            </w:r>
            <w:r w:rsidRPr="00B178E4">
              <w:rPr>
                <w:b/>
              </w:rPr>
              <w:t>&lt;</w:t>
            </w:r>
            <w:r w:rsidR="00427166" w:rsidRPr="00B178E4">
              <w:rPr>
                <w:b/>
              </w:rPr>
              <w:t xml:space="preserve"> </w:t>
            </w:r>
            <w:r w:rsidRPr="00B178E4">
              <w:rPr>
                <w:b/>
              </w:rPr>
              <w:t>1%</w:t>
            </w:r>
          </w:p>
        </w:tc>
        <w:tc>
          <w:tcPr>
            <w:tcW w:w="818" w:type="dxa"/>
            <w:vAlign w:val="center"/>
          </w:tcPr>
          <w:p w14:paraId="1DA39C8C" w14:textId="77777777" w:rsidR="00407D0F" w:rsidRPr="000741BA" w:rsidRDefault="00407D0F" w:rsidP="00B178E4">
            <w:pPr>
              <w:pStyle w:val="Tabletext"/>
              <w:ind w:left="0" w:right="0"/>
              <w:jc w:val="center"/>
            </w:pPr>
            <w:r w:rsidRPr="000741BA">
              <w:t>5</w:t>
            </w:r>
          </w:p>
        </w:tc>
        <w:tc>
          <w:tcPr>
            <w:tcW w:w="810" w:type="dxa"/>
            <w:vAlign w:val="center"/>
          </w:tcPr>
          <w:p w14:paraId="28B96A99" w14:textId="77777777" w:rsidR="00407D0F" w:rsidRPr="000741BA" w:rsidRDefault="00407D0F" w:rsidP="00B178E4">
            <w:pPr>
              <w:pStyle w:val="Tabletext"/>
              <w:ind w:left="0" w:right="0"/>
              <w:jc w:val="center"/>
            </w:pPr>
            <w:r w:rsidRPr="000741BA">
              <w:t>50</w:t>
            </w:r>
          </w:p>
        </w:tc>
        <w:tc>
          <w:tcPr>
            <w:tcW w:w="900" w:type="dxa"/>
            <w:vAlign w:val="center"/>
          </w:tcPr>
          <w:p w14:paraId="6C3B2AD9" w14:textId="77777777" w:rsidR="00407D0F" w:rsidRPr="000741BA" w:rsidRDefault="00407D0F" w:rsidP="00B178E4">
            <w:pPr>
              <w:pStyle w:val="Tabletext"/>
              <w:ind w:left="0" w:right="0"/>
              <w:jc w:val="center"/>
            </w:pPr>
            <w:r w:rsidRPr="000741BA">
              <w:t>10</w:t>
            </w:r>
          </w:p>
        </w:tc>
        <w:tc>
          <w:tcPr>
            <w:tcW w:w="900" w:type="dxa"/>
            <w:vAlign w:val="center"/>
          </w:tcPr>
          <w:p w14:paraId="34E7BAAC" w14:textId="77777777" w:rsidR="00407D0F" w:rsidRPr="000741BA" w:rsidRDefault="00407D0F" w:rsidP="00B178E4">
            <w:pPr>
              <w:pStyle w:val="Tabletext"/>
              <w:ind w:left="0" w:right="0"/>
              <w:jc w:val="center"/>
            </w:pPr>
            <w:r w:rsidRPr="000741BA">
              <w:t>5</w:t>
            </w:r>
          </w:p>
        </w:tc>
        <w:tc>
          <w:tcPr>
            <w:tcW w:w="900" w:type="dxa"/>
            <w:vAlign w:val="center"/>
          </w:tcPr>
          <w:p w14:paraId="38F12B6E" w14:textId="77777777" w:rsidR="00407D0F" w:rsidRPr="000741BA" w:rsidRDefault="00407D0F" w:rsidP="00B178E4">
            <w:pPr>
              <w:pStyle w:val="Tabletext"/>
              <w:ind w:left="0" w:right="0"/>
              <w:jc w:val="center"/>
            </w:pPr>
            <w:r w:rsidRPr="000741BA">
              <w:t>2</w:t>
            </w:r>
          </w:p>
        </w:tc>
        <w:tc>
          <w:tcPr>
            <w:tcW w:w="900" w:type="dxa"/>
            <w:vAlign w:val="center"/>
          </w:tcPr>
          <w:p w14:paraId="171BF7BA" w14:textId="77777777" w:rsidR="00407D0F" w:rsidRPr="000741BA" w:rsidRDefault="00407D0F" w:rsidP="00B178E4">
            <w:pPr>
              <w:pStyle w:val="Tabletext"/>
              <w:ind w:left="0" w:right="0"/>
              <w:jc w:val="center"/>
            </w:pPr>
            <w:r w:rsidRPr="000741BA">
              <w:t>38</w:t>
            </w:r>
          </w:p>
        </w:tc>
        <w:tc>
          <w:tcPr>
            <w:tcW w:w="810" w:type="dxa"/>
            <w:vAlign w:val="center"/>
          </w:tcPr>
          <w:p w14:paraId="26FB491A" w14:textId="77777777" w:rsidR="00407D0F" w:rsidRPr="000741BA" w:rsidRDefault="00407D0F" w:rsidP="00B178E4">
            <w:pPr>
              <w:pStyle w:val="Tabletext"/>
              <w:ind w:left="0" w:right="0"/>
              <w:jc w:val="center"/>
            </w:pPr>
            <w:r w:rsidRPr="000741BA">
              <w:t>8</w:t>
            </w:r>
          </w:p>
        </w:tc>
        <w:tc>
          <w:tcPr>
            <w:tcW w:w="810" w:type="dxa"/>
            <w:vAlign w:val="center"/>
          </w:tcPr>
          <w:p w14:paraId="11303C92" w14:textId="77777777" w:rsidR="00407D0F" w:rsidRPr="000741BA" w:rsidRDefault="00407D0F" w:rsidP="00B178E4">
            <w:pPr>
              <w:pStyle w:val="Tabletext"/>
              <w:ind w:left="0" w:right="0"/>
              <w:jc w:val="center"/>
            </w:pPr>
            <w:r w:rsidRPr="000741BA">
              <w:t>9</w:t>
            </w:r>
          </w:p>
        </w:tc>
      </w:tr>
      <w:tr w:rsidR="00407D0F" w:rsidRPr="009B4AAF" w14:paraId="41EE5425" w14:textId="77777777" w:rsidTr="00B178E4">
        <w:trPr>
          <w:trHeight w:val="228"/>
        </w:trPr>
        <w:tc>
          <w:tcPr>
            <w:tcW w:w="0" w:type="dxa"/>
            <w:gridSpan w:val="9"/>
            <w:vAlign w:val="center"/>
          </w:tcPr>
          <w:p w14:paraId="78467473" w14:textId="77777777" w:rsidR="00407D0F" w:rsidRPr="00B178E4" w:rsidRDefault="00407D0F" w:rsidP="00B178E4">
            <w:pPr>
              <w:rPr>
                <w:b/>
                <w:sz w:val="20"/>
              </w:rPr>
            </w:pPr>
            <w:r w:rsidRPr="00B178E4">
              <w:rPr>
                <w:b/>
                <w:sz w:val="20"/>
              </w:rPr>
              <w:t>Percentage (of IC category)</w:t>
            </w:r>
          </w:p>
        </w:tc>
      </w:tr>
      <w:tr w:rsidR="00407D0F" w:rsidRPr="00EB1479" w14:paraId="3EB3A94E" w14:textId="77777777" w:rsidTr="006E617D">
        <w:trPr>
          <w:trHeight w:val="223"/>
        </w:trPr>
        <w:tc>
          <w:tcPr>
            <w:tcW w:w="1550" w:type="dxa"/>
          </w:tcPr>
          <w:p w14:paraId="6F1EDD4A" w14:textId="77777777" w:rsidR="00407D0F" w:rsidRPr="00B178E4" w:rsidRDefault="00407D0F" w:rsidP="00B178E4">
            <w:pPr>
              <w:pStyle w:val="Tabletext"/>
              <w:ind w:left="0" w:right="0"/>
              <w:jc w:val="right"/>
              <w:rPr>
                <w:b/>
              </w:rPr>
            </w:pPr>
            <w:r w:rsidRPr="00B178E4">
              <w:rPr>
                <w:b/>
              </w:rPr>
              <w:t>SP263 evaluable</w:t>
            </w:r>
          </w:p>
        </w:tc>
        <w:tc>
          <w:tcPr>
            <w:tcW w:w="3428" w:type="dxa"/>
            <w:gridSpan w:val="4"/>
          </w:tcPr>
          <w:p w14:paraId="0E1C5586" w14:textId="3F5543C3" w:rsidR="00407D0F" w:rsidRPr="000741BA" w:rsidRDefault="00427166" w:rsidP="00B178E4">
            <w:pPr>
              <w:pStyle w:val="Tabletext"/>
              <w:ind w:left="0" w:right="0"/>
              <w:jc w:val="center"/>
            </w:pPr>
            <w:r w:rsidRPr="000741BA">
              <w:t xml:space="preserve">N </w:t>
            </w:r>
            <w:r w:rsidR="00407D0F" w:rsidRPr="000741BA">
              <w:t>=</w:t>
            </w:r>
            <w:r w:rsidRPr="000741BA">
              <w:t xml:space="preserve"> </w:t>
            </w:r>
            <w:r w:rsidR="00407D0F" w:rsidRPr="000741BA">
              <w:t>285 (99%)</w:t>
            </w:r>
          </w:p>
        </w:tc>
        <w:tc>
          <w:tcPr>
            <w:tcW w:w="3420" w:type="dxa"/>
            <w:gridSpan w:val="4"/>
          </w:tcPr>
          <w:p w14:paraId="7009B00C" w14:textId="5C53AEB8" w:rsidR="00407D0F" w:rsidRPr="000741BA" w:rsidRDefault="00427166" w:rsidP="00B178E4">
            <w:pPr>
              <w:pStyle w:val="Tabletext"/>
              <w:ind w:left="0" w:right="0"/>
              <w:jc w:val="center"/>
            </w:pPr>
            <w:r w:rsidRPr="000741BA">
              <w:t xml:space="preserve">N </w:t>
            </w:r>
            <w:r w:rsidR="00407D0F" w:rsidRPr="000741BA">
              <w:t>=</w:t>
            </w:r>
            <w:r w:rsidRPr="000741BA">
              <w:t xml:space="preserve"> </w:t>
            </w:r>
            <w:r w:rsidR="00407D0F" w:rsidRPr="000741BA">
              <w:t>279 (98%)</w:t>
            </w:r>
          </w:p>
        </w:tc>
      </w:tr>
      <w:tr w:rsidR="00407D0F" w:rsidRPr="00697281" w14:paraId="223A9E8E" w14:textId="77777777" w:rsidTr="006E617D">
        <w:trPr>
          <w:trHeight w:val="223"/>
        </w:trPr>
        <w:tc>
          <w:tcPr>
            <w:tcW w:w="1550" w:type="dxa"/>
          </w:tcPr>
          <w:p w14:paraId="0D72F360" w14:textId="058893BD" w:rsidR="00407D0F" w:rsidRPr="00B178E4" w:rsidRDefault="00407D0F" w:rsidP="00B178E4">
            <w:pPr>
              <w:pStyle w:val="Tabletext"/>
              <w:ind w:left="0" w:right="0"/>
              <w:jc w:val="right"/>
              <w:rPr>
                <w:b/>
              </w:rPr>
            </w:pPr>
            <w:r w:rsidRPr="00B178E4">
              <w:rPr>
                <w:b/>
              </w:rPr>
              <w:t>TC</w:t>
            </w:r>
            <w:r w:rsidR="00427166" w:rsidRPr="00B178E4">
              <w:rPr>
                <w:b/>
              </w:rPr>
              <w:t xml:space="preserve"> </w:t>
            </w:r>
            <w:r w:rsidRPr="00B178E4">
              <w:rPr>
                <w:b/>
              </w:rPr>
              <w:t>≥</w:t>
            </w:r>
            <w:r w:rsidR="00427166" w:rsidRPr="00B178E4">
              <w:rPr>
                <w:b/>
              </w:rPr>
              <w:t xml:space="preserve"> </w:t>
            </w:r>
            <w:r w:rsidRPr="00B178E4">
              <w:rPr>
                <w:b/>
              </w:rPr>
              <w:t>50%</w:t>
            </w:r>
          </w:p>
        </w:tc>
        <w:tc>
          <w:tcPr>
            <w:tcW w:w="818" w:type="dxa"/>
            <w:shd w:val="clear" w:color="000000" w:fill="FFDE77"/>
            <w:vAlign w:val="bottom"/>
          </w:tcPr>
          <w:p w14:paraId="0DEF5BC8" w14:textId="77777777" w:rsidR="00407D0F" w:rsidRPr="000741BA" w:rsidRDefault="00407D0F" w:rsidP="00B178E4">
            <w:pPr>
              <w:pStyle w:val="Tabletext"/>
              <w:ind w:left="0" w:right="0"/>
              <w:jc w:val="center"/>
            </w:pPr>
            <w:r w:rsidRPr="000741BA">
              <w:t>53%</w:t>
            </w:r>
          </w:p>
        </w:tc>
        <w:tc>
          <w:tcPr>
            <w:tcW w:w="810" w:type="dxa"/>
            <w:shd w:val="clear" w:color="000000" w:fill="FFE594"/>
            <w:vAlign w:val="bottom"/>
          </w:tcPr>
          <w:p w14:paraId="32A0BA16" w14:textId="77777777" w:rsidR="00407D0F" w:rsidRPr="000741BA" w:rsidRDefault="00407D0F" w:rsidP="00B178E4">
            <w:pPr>
              <w:pStyle w:val="Tabletext"/>
              <w:ind w:left="0" w:right="0"/>
              <w:jc w:val="center"/>
            </w:pPr>
            <w:r w:rsidRPr="000741BA">
              <w:t>41%</w:t>
            </w:r>
          </w:p>
        </w:tc>
        <w:tc>
          <w:tcPr>
            <w:tcW w:w="900" w:type="dxa"/>
            <w:shd w:val="clear" w:color="000000" w:fill="FFD552"/>
            <w:vAlign w:val="bottom"/>
          </w:tcPr>
          <w:p w14:paraId="5B0F9AD5" w14:textId="77777777" w:rsidR="00407D0F" w:rsidRPr="000741BA" w:rsidRDefault="00407D0F" w:rsidP="00B178E4">
            <w:pPr>
              <w:pStyle w:val="Tabletext"/>
              <w:ind w:left="0" w:right="0"/>
              <w:jc w:val="center"/>
            </w:pPr>
            <w:r w:rsidRPr="000741BA">
              <w:t>67%</w:t>
            </w:r>
          </w:p>
        </w:tc>
        <w:tc>
          <w:tcPr>
            <w:tcW w:w="900" w:type="dxa"/>
            <w:shd w:val="clear" w:color="000000" w:fill="FFDE78"/>
            <w:vAlign w:val="bottom"/>
          </w:tcPr>
          <w:p w14:paraId="00B3CA1B" w14:textId="77777777" w:rsidR="00407D0F" w:rsidRPr="000741BA" w:rsidRDefault="00407D0F" w:rsidP="00B178E4">
            <w:pPr>
              <w:pStyle w:val="Tabletext"/>
              <w:ind w:left="0" w:right="0"/>
              <w:jc w:val="center"/>
            </w:pPr>
            <w:r w:rsidRPr="000741BA">
              <w:t>52%</w:t>
            </w:r>
          </w:p>
        </w:tc>
        <w:tc>
          <w:tcPr>
            <w:tcW w:w="900" w:type="dxa"/>
            <w:shd w:val="clear" w:color="000000" w:fill="FFCB2B"/>
            <w:vAlign w:val="bottom"/>
          </w:tcPr>
          <w:p w14:paraId="0C5D106E" w14:textId="77777777" w:rsidR="00407D0F" w:rsidRPr="000741BA" w:rsidRDefault="00407D0F" w:rsidP="00B178E4">
            <w:pPr>
              <w:pStyle w:val="Tabletext"/>
              <w:ind w:left="0" w:right="0"/>
              <w:jc w:val="center"/>
            </w:pPr>
            <w:r w:rsidRPr="000741BA">
              <w:t>82%</w:t>
            </w:r>
          </w:p>
        </w:tc>
        <w:tc>
          <w:tcPr>
            <w:tcW w:w="900" w:type="dxa"/>
            <w:shd w:val="clear" w:color="000000" w:fill="FFE48F"/>
            <w:vAlign w:val="bottom"/>
          </w:tcPr>
          <w:p w14:paraId="694BFC4A" w14:textId="77777777" w:rsidR="00407D0F" w:rsidRPr="000741BA" w:rsidRDefault="00407D0F" w:rsidP="00B178E4">
            <w:pPr>
              <w:pStyle w:val="Tabletext"/>
              <w:ind w:left="0" w:right="0"/>
              <w:jc w:val="center"/>
            </w:pPr>
            <w:r w:rsidRPr="000741BA">
              <w:t>44%</w:t>
            </w:r>
          </w:p>
        </w:tc>
        <w:tc>
          <w:tcPr>
            <w:tcW w:w="810" w:type="dxa"/>
            <w:shd w:val="clear" w:color="000000" w:fill="FFDB6E"/>
            <w:vAlign w:val="bottom"/>
          </w:tcPr>
          <w:p w14:paraId="231A8E4B" w14:textId="77777777" w:rsidR="00407D0F" w:rsidRPr="000741BA" w:rsidRDefault="00407D0F" w:rsidP="00B178E4">
            <w:pPr>
              <w:pStyle w:val="Tabletext"/>
              <w:ind w:left="0" w:right="0"/>
              <w:jc w:val="center"/>
            </w:pPr>
            <w:r w:rsidRPr="000741BA">
              <w:t>56%</w:t>
            </w:r>
          </w:p>
        </w:tc>
        <w:tc>
          <w:tcPr>
            <w:tcW w:w="810" w:type="dxa"/>
            <w:shd w:val="clear" w:color="000000" w:fill="FFD44E"/>
            <w:vAlign w:val="bottom"/>
          </w:tcPr>
          <w:p w14:paraId="4CD1A884" w14:textId="77777777" w:rsidR="00407D0F" w:rsidRPr="000741BA" w:rsidRDefault="00407D0F" w:rsidP="00B178E4">
            <w:pPr>
              <w:pStyle w:val="Tabletext"/>
              <w:ind w:left="0" w:right="0"/>
              <w:jc w:val="center"/>
            </w:pPr>
            <w:r w:rsidRPr="000741BA">
              <w:t>69%</w:t>
            </w:r>
          </w:p>
        </w:tc>
      </w:tr>
      <w:tr w:rsidR="00407D0F" w:rsidRPr="00697281" w14:paraId="0B50792E" w14:textId="77777777" w:rsidTr="006E617D">
        <w:trPr>
          <w:trHeight w:val="223"/>
        </w:trPr>
        <w:tc>
          <w:tcPr>
            <w:tcW w:w="1550" w:type="dxa"/>
          </w:tcPr>
          <w:p w14:paraId="3DE175D1" w14:textId="41F6A36A" w:rsidR="00407D0F" w:rsidRPr="00B178E4" w:rsidRDefault="00407D0F" w:rsidP="00B178E4">
            <w:pPr>
              <w:pStyle w:val="Tabletext"/>
              <w:ind w:left="0" w:right="0"/>
              <w:jc w:val="right"/>
              <w:rPr>
                <w:b/>
              </w:rPr>
            </w:pPr>
            <w:r w:rsidRPr="00B178E4">
              <w:rPr>
                <w:b/>
              </w:rPr>
              <w:t>TC</w:t>
            </w:r>
            <w:r w:rsidR="00427166" w:rsidRPr="00B178E4">
              <w:rPr>
                <w:b/>
              </w:rPr>
              <w:t xml:space="preserve"> </w:t>
            </w:r>
            <w:r w:rsidRPr="00B178E4">
              <w:rPr>
                <w:b/>
              </w:rPr>
              <w:t>≥</w:t>
            </w:r>
            <w:r w:rsidR="00427166" w:rsidRPr="00B178E4">
              <w:rPr>
                <w:b/>
              </w:rPr>
              <w:t xml:space="preserve"> </w:t>
            </w:r>
            <w:r w:rsidRPr="00B178E4">
              <w:rPr>
                <w:b/>
              </w:rPr>
              <w:t>25%</w:t>
            </w:r>
          </w:p>
        </w:tc>
        <w:tc>
          <w:tcPr>
            <w:tcW w:w="818" w:type="dxa"/>
            <w:shd w:val="clear" w:color="000000" w:fill="FFDB6A"/>
            <w:vAlign w:val="bottom"/>
          </w:tcPr>
          <w:p w14:paraId="0D71B0AA" w14:textId="77777777" w:rsidR="00407D0F" w:rsidRPr="000741BA" w:rsidRDefault="00407D0F" w:rsidP="00B178E4">
            <w:pPr>
              <w:pStyle w:val="Tabletext"/>
              <w:ind w:left="0" w:right="0"/>
              <w:jc w:val="center"/>
            </w:pPr>
            <w:r w:rsidRPr="000741BA">
              <w:t>58%</w:t>
            </w:r>
          </w:p>
        </w:tc>
        <w:tc>
          <w:tcPr>
            <w:tcW w:w="810" w:type="dxa"/>
            <w:shd w:val="clear" w:color="000000" w:fill="FFE183"/>
            <w:vAlign w:val="bottom"/>
          </w:tcPr>
          <w:p w14:paraId="5D932626" w14:textId="77777777" w:rsidR="00407D0F" w:rsidRPr="000741BA" w:rsidRDefault="00407D0F" w:rsidP="00B178E4">
            <w:pPr>
              <w:pStyle w:val="Tabletext"/>
              <w:ind w:left="0" w:right="0"/>
              <w:jc w:val="center"/>
            </w:pPr>
            <w:r w:rsidRPr="000741BA">
              <w:t>48%</w:t>
            </w:r>
          </w:p>
        </w:tc>
        <w:tc>
          <w:tcPr>
            <w:tcW w:w="900" w:type="dxa"/>
            <w:shd w:val="clear" w:color="000000" w:fill="FFCE38"/>
            <w:vAlign w:val="bottom"/>
          </w:tcPr>
          <w:p w14:paraId="712B6914" w14:textId="77777777" w:rsidR="00407D0F" w:rsidRPr="000741BA" w:rsidRDefault="00407D0F" w:rsidP="00B178E4">
            <w:pPr>
              <w:pStyle w:val="Tabletext"/>
              <w:ind w:left="0" w:right="0"/>
              <w:jc w:val="center"/>
            </w:pPr>
            <w:r w:rsidRPr="000741BA">
              <w:t>77%</w:t>
            </w:r>
          </w:p>
        </w:tc>
        <w:tc>
          <w:tcPr>
            <w:tcW w:w="900" w:type="dxa"/>
            <w:shd w:val="clear" w:color="000000" w:fill="FFD247"/>
            <w:vAlign w:val="bottom"/>
          </w:tcPr>
          <w:p w14:paraId="296B05F9" w14:textId="77777777" w:rsidR="00407D0F" w:rsidRPr="000741BA" w:rsidRDefault="00407D0F" w:rsidP="00B178E4">
            <w:pPr>
              <w:pStyle w:val="Tabletext"/>
              <w:ind w:left="0" w:right="0"/>
              <w:jc w:val="center"/>
            </w:pPr>
            <w:r w:rsidRPr="000741BA">
              <w:t>71%</w:t>
            </w:r>
          </w:p>
        </w:tc>
        <w:tc>
          <w:tcPr>
            <w:tcW w:w="900" w:type="dxa"/>
            <w:shd w:val="clear" w:color="000000" w:fill="FFC71B"/>
            <w:vAlign w:val="bottom"/>
          </w:tcPr>
          <w:p w14:paraId="09D0F5E8" w14:textId="77777777" w:rsidR="00407D0F" w:rsidRPr="000741BA" w:rsidRDefault="00407D0F" w:rsidP="00B178E4">
            <w:pPr>
              <w:pStyle w:val="Tabletext"/>
              <w:ind w:left="0" w:right="0"/>
              <w:jc w:val="center"/>
            </w:pPr>
            <w:r w:rsidRPr="000741BA">
              <w:t>88%</w:t>
            </w:r>
          </w:p>
        </w:tc>
        <w:tc>
          <w:tcPr>
            <w:tcW w:w="900" w:type="dxa"/>
            <w:shd w:val="clear" w:color="000000" w:fill="FFE07E"/>
            <w:vAlign w:val="bottom"/>
          </w:tcPr>
          <w:p w14:paraId="30766D98" w14:textId="77777777" w:rsidR="00407D0F" w:rsidRPr="000741BA" w:rsidRDefault="00407D0F" w:rsidP="00B178E4">
            <w:pPr>
              <w:pStyle w:val="Tabletext"/>
              <w:ind w:left="0" w:right="0"/>
              <w:jc w:val="center"/>
            </w:pPr>
            <w:r w:rsidRPr="000741BA">
              <w:t>50%</w:t>
            </w:r>
          </w:p>
        </w:tc>
        <w:tc>
          <w:tcPr>
            <w:tcW w:w="810" w:type="dxa"/>
            <w:shd w:val="clear" w:color="000000" w:fill="FFD555"/>
            <w:vAlign w:val="bottom"/>
          </w:tcPr>
          <w:p w14:paraId="4A572F6B" w14:textId="77777777" w:rsidR="00407D0F" w:rsidRPr="000741BA" w:rsidRDefault="00407D0F" w:rsidP="00B178E4">
            <w:pPr>
              <w:pStyle w:val="Tabletext"/>
              <w:ind w:left="0" w:right="0"/>
              <w:jc w:val="center"/>
            </w:pPr>
            <w:r w:rsidRPr="000741BA">
              <w:t>66%</w:t>
            </w:r>
          </w:p>
        </w:tc>
        <w:tc>
          <w:tcPr>
            <w:tcW w:w="810" w:type="dxa"/>
            <w:shd w:val="clear" w:color="000000" w:fill="FFD246"/>
            <w:vAlign w:val="bottom"/>
          </w:tcPr>
          <w:p w14:paraId="0DC2F57D" w14:textId="77777777" w:rsidR="00407D0F" w:rsidRPr="000741BA" w:rsidRDefault="00407D0F" w:rsidP="00B178E4">
            <w:pPr>
              <w:pStyle w:val="Tabletext"/>
              <w:ind w:left="0" w:right="0"/>
              <w:jc w:val="center"/>
            </w:pPr>
            <w:r w:rsidRPr="000741BA">
              <w:t>72%</w:t>
            </w:r>
          </w:p>
        </w:tc>
      </w:tr>
      <w:tr w:rsidR="00407D0F" w:rsidRPr="00697281" w14:paraId="0B7CC4B5" w14:textId="77777777" w:rsidTr="006E617D">
        <w:trPr>
          <w:trHeight w:val="60"/>
        </w:trPr>
        <w:tc>
          <w:tcPr>
            <w:tcW w:w="1550" w:type="dxa"/>
          </w:tcPr>
          <w:p w14:paraId="2945991A" w14:textId="62FBF950" w:rsidR="00407D0F" w:rsidRPr="00B178E4" w:rsidRDefault="00407D0F" w:rsidP="00B178E4">
            <w:pPr>
              <w:pStyle w:val="Tabletext"/>
              <w:ind w:left="0" w:right="0"/>
              <w:jc w:val="right"/>
              <w:rPr>
                <w:b/>
              </w:rPr>
            </w:pPr>
            <w:r w:rsidRPr="00B178E4">
              <w:rPr>
                <w:b/>
              </w:rPr>
              <w:t>TC</w:t>
            </w:r>
            <w:r w:rsidR="00427166" w:rsidRPr="00B178E4">
              <w:rPr>
                <w:b/>
              </w:rPr>
              <w:t xml:space="preserve"> </w:t>
            </w:r>
            <w:r w:rsidRPr="00B178E4">
              <w:rPr>
                <w:b/>
              </w:rPr>
              <w:t>≥</w:t>
            </w:r>
            <w:r w:rsidR="00427166" w:rsidRPr="00B178E4">
              <w:rPr>
                <w:b/>
              </w:rPr>
              <w:t xml:space="preserve"> </w:t>
            </w:r>
            <w:r w:rsidRPr="00B178E4">
              <w:rPr>
                <w:b/>
              </w:rPr>
              <w:t>1%</w:t>
            </w:r>
          </w:p>
        </w:tc>
        <w:tc>
          <w:tcPr>
            <w:tcW w:w="818" w:type="dxa"/>
            <w:shd w:val="clear" w:color="000000" w:fill="FFCD33"/>
            <w:vAlign w:val="bottom"/>
          </w:tcPr>
          <w:p w14:paraId="6E0F478B" w14:textId="77777777" w:rsidR="00407D0F" w:rsidRPr="000741BA" w:rsidRDefault="00407D0F" w:rsidP="00B178E4">
            <w:pPr>
              <w:pStyle w:val="Tabletext"/>
              <w:ind w:left="0" w:right="0"/>
              <w:jc w:val="center"/>
            </w:pPr>
            <w:r w:rsidRPr="000741BA">
              <w:t>79%</w:t>
            </w:r>
          </w:p>
        </w:tc>
        <w:tc>
          <w:tcPr>
            <w:tcW w:w="810" w:type="dxa"/>
            <w:shd w:val="clear" w:color="000000" w:fill="FFD44E"/>
            <w:vAlign w:val="bottom"/>
          </w:tcPr>
          <w:p w14:paraId="5B389C2D" w14:textId="77777777" w:rsidR="00407D0F" w:rsidRPr="000741BA" w:rsidRDefault="00407D0F" w:rsidP="00B178E4">
            <w:pPr>
              <w:pStyle w:val="Tabletext"/>
              <w:ind w:left="0" w:right="0"/>
              <w:jc w:val="center"/>
            </w:pPr>
            <w:r w:rsidRPr="000741BA">
              <w:t>69%</w:t>
            </w:r>
          </w:p>
        </w:tc>
        <w:tc>
          <w:tcPr>
            <w:tcW w:w="900" w:type="dxa"/>
            <w:shd w:val="clear" w:color="000000" w:fill="FFCB2B"/>
            <w:vAlign w:val="bottom"/>
          </w:tcPr>
          <w:p w14:paraId="25CC4DC8" w14:textId="77777777" w:rsidR="00407D0F" w:rsidRPr="000741BA" w:rsidRDefault="00407D0F" w:rsidP="00B178E4">
            <w:pPr>
              <w:pStyle w:val="Tabletext"/>
              <w:ind w:left="0" w:right="0"/>
              <w:jc w:val="center"/>
            </w:pPr>
            <w:r w:rsidRPr="000741BA">
              <w:t>82%</w:t>
            </w:r>
          </w:p>
        </w:tc>
        <w:tc>
          <w:tcPr>
            <w:tcW w:w="900" w:type="dxa"/>
            <w:shd w:val="clear" w:color="000000" w:fill="FFC922"/>
            <w:vAlign w:val="bottom"/>
          </w:tcPr>
          <w:p w14:paraId="29D0A68F" w14:textId="77777777" w:rsidR="00407D0F" w:rsidRPr="000741BA" w:rsidRDefault="00407D0F" w:rsidP="00B178E4">
            <w:pPr>
              <w:pStyle w:val="Tabletext"/>
              <w:ind w:left="0" w:right="0"/>
              <w:jc w:val="center"/>
            </w:pPr>
            <w:r w:rsidRPr="000741BA">
              <w:t>86%</w:t>
            </w:r>
          </w:p>
        </w:tc>
        <w:tc>
          <w:tcPr>
            <w:tcW w:w="900" w:type="dxa"/>
            <w:shd w:val="clear" w:color="000000" w:fill="FFC30C"/>
            <w:vAlign w:val="bottom"/>
          </w:tcPr>
          <w:p w14:paraId="44927891" w14:textId="77777777" w:rsidR="00407D0F" w:rsidRPr="000741BA" w:rsidRDefault="00407D0F" w:rsidP="00B178E4">
            <w:pPr>
              <w:pStyle w:val="Tabletext"/>
              <w:ind w:left="0" w:right="0"/>
              <w:jc w:val="center"/>
            </w:pPr>
            <w:r w:rsidRPr="000741BA">
              <w:t>94%</w:t>
            </w:r>
          </w:p>
        </w:tc>
        <w:tc>
          <w:tcPr>
            <w:tcW w:w="900" w:type="dxa"/>
            <w:shd w:val="clear" w:color="000000" w:fill="FFD248"/>
            <w:vAlign w:val="bottom"/>
          </w:tcPr>
          <w:p w14:paraId="42282A7E" w14:textId="77777777" w:rsidR="00407D0F" w:rsidRPr="000741BA" w:rsidRDefault="00407D0F" w:rsidP="00B178E4">
            <w:pPr>
              <w:pStyle w:val="Tabletext"/>
              <w:ind w:left="0" w:right="0"/>
              <w:jc w:val="center"/>
            </w:pPr>
            <w:r w:rsidRPr="000741BA">
              <w:t>71%</w:t>
            </w:r>
          </w:p>
        </w:tc>
        <w:tc>
          <w:tcPr>
            <w:tcW w:w="810" w:type="dxa"/>
            <w:shd w:val="clear" w:color="000000" w:fill="FFCD33"/>
            <w:vAlign w:val="bottom"/>
          </w:tcPr>
          <w:p w14:paraId="19F2F91F" w14:textId="77777777" w:rsidR="00407D0F" w:rsidRPr="000741BA" w:rsidRDefault="00407D0F" w:rsidP="00B178E4">
            <w:pPr>
              <w:pStyle w:val="Tabletext"/>
              <w:ind w:left="0" w:right="0"/>
              <w:jc w:val="center"/>
            </w:pPr>
            <w:r w:rsidRPr="000741BA">
              <w:t>79%</w:t>
            </w:r>
          </w:p>
        </w:tc>
        <w:tc>
          <w:tcPr>
            <w:tcW w:w="810" w:type="dxa"/>
            <w:shd w:val="clear" w:color="000000" w:fill="FFCC2D"/>
            <w:vAlign w:val="bottom"/>
          </w:tcPr>
          <w:p w14:paraId="194BC978" w14:textId="77777777" w:rsidR="00407D0F" w:rsidRPr="000741BA" w:rsidRDefault="00407D0F" w:rsidP="00B178E4">
            <w:pPr>
              <w:pStyle w:val="Tabletext"/>
              <w:ind w:left="0" w:right="0"/>
              <w:jc w:val="center"/>
            </w:pPr>
            <w:r w:rsidRPr="000741BA">
              <w:t>81%</w:t>
            </w:r>
          </w:p>
        </w:tc>
      </w:tr>
      <w:tr w:rsidR="00407D0F" w:rsidRPr="00697281" w14:paraId="38ED6B95" w14:textId="77777777" w:rsidTr="006E617D">
        <w:trPr>
          <w:trHeight w:val="223"/>
        </w:trPr>
        <w:tc>
          <w:tcPr>
            <w:tcW w:w="1550" w:type="dxa"/>
          </w:tcPr>
          <w:p w14:paraId="4C930B80" w14:textId="2047CB81" w:rsidR="00407D0F" w:rsidRPr="00B178E4" w:rsidRDefault="00407D0F" w:rsidP="00B178E4">
            <w:pPr>
              <w:pStyle w:val="Tabletext"/>
              <w:ind w:left="0" w:right="0"/>
              <w:jc w:val="right"/>
              <w:rPr>
                <w:b/>
              </w:rPr>
            </w:pPr>
            <w:r w:rsidRPr="00B178E4">
              <w:rPr>
                <w:b/>
              </w:rPr>
              <w:t>TC</w:t>
            </w:r>
            <w:r w:rsidR="00427166" w:rsidRPr="00B178E4">
              <w:rPr>
                <w:b/>
              </w:rPr>
              <w:t xml:space="preserve"> </w:t>
            </w:r>
            <w:r w:rsidRPr="00B178E4">
              <w:rPr>
                <w:b/>
              </w:rPr>
              <w:t>&lt;</w:t>
            </w:r>
            <w:r w:rsidR="00427166" w:rsidRPr="00B178E4">
              <w:rPr>
                <w:b/>
              </w:rPr>
              <w:t xml:space="preserve"> </w:t>
            </w:r>
            <w:r w:rsidRPr="00B178E4">
              <w:rPr>
                <w:b/>
              </w:rPr>
              <w:t>1%</w:t>
            </w:r>
          </w:p>
        </w:tc>
        <w:tc>
          <w:tcPr>
            <w:tcW w:w="818" w:type="dxa"/>
            <w:shd w:val="clear" w:color="000000" w:fill="FFF5D7"/>
            <w:vAlign w:val="bottom"/>
          </w:tcPr>
          <w:p w14:paraId="402D0CBC" w14:textId="77777777" w:rsidR="00407D0F" w:rsidRPr="000741BA" w:rsidRDefault="00407D0F" w:rsidP="00B178E4">
            <w:pPr>
              <w:pStyle w:val="Tabletext"/>
              <w:ind w:left="0" w:right="0"/>
              <w:jc w:val="center"/>
            </w:pPr>
            <w:r w:rsidRPr="000741BA">
              <w:t>16%</w:t>
            </w:r>
          </w:p>
        </w:tc>
        <w:tc>
          <w:tcPr>
            <w:tcW w:w="810" w:type="dxa"/>
            <w:shd w:val="clear" w:color="000000" w:fill="FFECB0"/>
            <w:vAlign w:val="bottom"/>
          </w:tcPr>
          <w:p w14:paraId="1B4E5CF8" w14:textId="77777777" w:rsidR="00407D0F" w:rsidRPr="000741BA" w:rsidRDefault="00407D0F" w:rsidP="00B178E4">
            <w:pPr>
              <w:pStyle w:val="Tabletext"/>
              <w:ind w:left="0" w:right="0"/>
              <w:jc w:val="center"/>
            </w:pPr>
            <w:r w:rsidRPr="000741BA">
              <w:t>31%</w:t>
            </w:r>
          </w:p>
        </w:tc>
        <w:tc>
          <w:tcPr>
            <w:tcW w:w="900" w:type="dxa"/>
            <w:shd w:val="clear" w:color="000000" w:fill="FFF4D2"/>
            <w:vAlign w:val="bottom"/>
          </w:tcPr>
          <w:p w14:paraId="28515350" w14:textId="77777777" w:rsidR="00407D0F" w:rsidRPr="000741BA" w:rsidRDefault="00407D0F" w:rsidP="00B178E4">
            <w:pPr>
              <w:pStyle w:val="Tabletext"/>
              <w:ind w:left="0" w:right="0"/>
              <w:jc w:val="center"/>
            </w:pPr>
            <w:r w:rsidRPr="000741BA">
              <w:t>18%</w:t>
            </w:r>
          </w:p>
        </w:tc>
        <w:tc>
          <w:tcPr>
            <w:tcW w:w="900" w:type="dxa"/>
            <w:shd w:val="clear" w:color="000000" w:fill="FFF6DB"/>
            <w:vAlign w:val="bottom"/>
          </w:tcPr>
          <w:p w14:paraId="52F5E6E6" w14:textId="77777777" w:rsidR="00407D0F" w:rsidRPr="000741BA" w:rsidRDefault="00407D0F" w:rsidP="00B178E4">
            <w:pPr>
              <w:pStyle w:val="Tabletext"/>
              <w:ind w:left="0" w:right="0"/>
              <w:jc w:val="center"/>
            </w:pPr>
            <w:r w:rsidRPr="000741BA">
              <w:t>14%</w:t>
            </w:r>
          </w:p>
        </w:tc>
        <w:tc>
          <w:tcPr>
            <w:tcW w:w="900" w:type="dxa"/>
            <w:shd w:val="clear" w:color="000000" w:fill="FFFCF0"/>
            <w:vAlign w:val="bottom"/>
          </w:tcPr>
          <w:p w14:paraId="3EA7E04B" w14:textId="77777777" w:rsidR="00407D0F" w:rsidRPr="000741BA" w:rsidRDefault="00407D0F" w:rsidP="00B178E4">
            <w:pPr>
              <w:pStyle w:val="Tabletext"/>
              <w:ind w:left="0" w:right="0"/>
              <w:jc w:val="center"/>
            </w:pPr>
            <w:r w:rsidRPr="000741BA">
              <w:t>6%</w:t>
            </w:r>
          </w:p>
        </w:tc>
        <w:tc>
          <w:tcPr>
            <w:tcW w:w="900" w:type="dxa"/>
            <w:shd w:val="clear" w:color="000000" w:fill="FFEEB7"/>
            <w:vAlign w:val="bottom"/>
          </w:tcPr>
          <w:p w14:paraId="495475D0" w14:textId="77777777" w:rsidR="00407D0F" w:rsidRPr="000741BA" w:rsidRDefault="00407D0F" w:rsidP="00B178E4">
            <w:pPr>
              <w:pStyle w:val="Tabletext"/>
              <w:ind w:left="0" w:right="0"/>
              <w:jc w:val="center"/>
            </w:pPr>
            <w:r w:rsidRPr="000741BA">
              <w:t>28%</w:t>
            </w:r>
          </w:p>
        </w:tc>
        <w:tc>
          <w:tcPr>
            <w:tcW w:w="810" w:type="dxa"/>
            <w:shd w:val="clear" w:color="000000" w:fill="FFF6DA"/>
            <w:vAlign w:val="bottom"/>
          </w:tcPr>
          <w:p w14:paraId="48387ADD" w14:textId="77777777" w:rsidR="00407D0F" w:rsidRPr="000741BA" w:rsidRDefault="00407D0F" w:rsidP="00B178E4">
            <w:pPr>
              <w:pStyle w:val="Tabletext"/>
              <w:ind w:left="0" w:right="0"/>
              <w:jc w:val="center"/>
            </w:pPr>
            <w:r w:rsidRPr="000741BA">
              <w:t>15%</w:t>
            </w:r>
          </w:p>
        </w:tc>
        <w:tc>
          <w:tcPr>
            <w:tcW w:w="810" w:type="dxa"/>
            <w:shd w:val="clear" w:color="000000" w:fill="FFF5D3"/>
            <w:vAlign w:val="bottom"/>
          </w:tcPr>
          <w:p w14:paraId="39CE4302" w14:textId="77777777" w:rsidR="00407D0F" w:rsidRPr="000741BA" w:rsidRDefault="00407D0F" w:rsidP="00B178E4">
            <w:pPr>
              <w:pStyle w:val="Tabletext"/>
              <w:ind w:left="0" w:right="0"/>
              <w:jc w:val="center"/>
            </w:pPr>
            <w:r w:rsidRPr="000741BA">
              <w:t>17%</w:t>
            </w:r>
          </w:p>
        </w:tc>
      </w:tr>
      <w:tr w:rsidR="00407D0F" w:rsidRPr="00697281" w14:paraId="03934086" w14:textId="77777777" w:rsidTr="006E617D">
        <w:trPr>
          <w:trHeight w:val="223"/>
        </w:trPr>
        <w:tc>
          <w:tcPr>
            <w:tcW w:w="1550" w:type="dxa"/>
          </w:tcPr>
          <w:p w14:paraId="07451464" w14:textId="77777777" w:rsidR="00407D0F" w:rsidRPr="00B178E4" w:rsidRDefault="00407D0F" w:rsidP="00B178E4">
            <w:pPr>
              <w:pStyle w:val="Tabletext"/>
              <w:ind w:left="0" w:right="0"/>
              <w:jc w:val="right"/>
              <w:rPr>
                <w:b/>
              </w:rPr>
            </w:pPr>
            <w:r w:rsidRPr="00B178E4">
              <w:rPr>
                <w:b/>
              </w:rPr>
              <w:t>22C3 evaluable</w:t>
            </w:r>
          </w:p>
        </w:tc>
        <w:tc>
          <w:tcPr>
            <w:tcW w:w="3428" w:type="dxa"/>
            <w:gridSpan w:val="4"/>
          </w:tcPr>
          <w:p w14:paraId="002BEAF7" w14:textId="39CAC2E0" w:rsidR="00407D0F" w:rsidRPr="000741BA" w:rsidRDefault="00427166" w:rsidP="00B178E4">
            <w:pPr>
              <w:pStyle w:val="Tabletext"/>
              <w:ind w:left="0" w:right="0"/>
              <w:jc w:val="center"/>
            </w:pPr>
            <w:r w:rsidRPr="000741BA">
              <w:t xml:space="preserve">N </w:t>
            </w:r>
            <w:r w:rsidR="00407D0F" w:rsidRPr="000741BA">
              <w:t>=</w:t>
            </w:r>
            <w:r w:rsidRPr="000741BA">
              <w:t xml:space="preserve"> </w:t>
            </w:r>
            <w:r w:rsidR="00407D0F" w:rsidRPr="000741BA">
              <w:t>276 (96%)</w:t>
            </w:r>
          </w:p>
        </w:tc>
        <w:tc>
          <w:tcPr>
            <w:tcW w:w="3420" w:type="dxa"/>
            <w:gridSpan w:val="4"/>
          </w:tcPr>
          <w:p w14:paraId="2FE1C6C5" w14:textId="31FE0A64" w:rsidR="00407D0F" w:rsidRPr="000741BA" w:rsidRDefault="00427166" w:rsidP="00B178E4">
            <w:pPr>
              <w:pStyle w:val="Tabletext"/>
              <w:ind w:left="0" w:right="0"/>
              <w:jc w:val="center"/>
            </w:pPr>
            <w:r w:rsidRPr="000741BA">
              <w:t xml:space="preserve">N </w:t>
            </w:r>
            <w:r w:rsidR="00407D0F" w:rsidRPr="000741BA">
              <w:t>=</w:t>
            </w:r>
            <w:r w:rsidRPr="000741BA">
              <w:t xml:space="preserve"> </w:t>
            </w:r>
            <w:r w:rsidR="00407D0F" w:rsidRPr="000741BA">
              <w:t>276 (97%)</w:t>
            </w:r>
          </w:p>
        </w:tc>
      </w:tr>
      <w:tr w:rsidR="00407D0F" w:rsidRPr="00697281" w14:paraId="0FE2FF75" w14:textId="77777777" w:rsidTr="006E617D">
        <w:trPr>
          <w:trHeight w:val="223"/>
        </w:trPr>
        <w:tc>
          <w:tcPr>
            <w:tcW w:w="1550" w:type="dxa"/>
          </w:tcPr>
          <w:p w14:paraId="431F0515" w14:textId="0355C863" w:rsidR="00407D0F" w:rsidRPr="00B178E4" w:rsidRDefault="00407D0F" w:rsidP="00B178E4">
            <w:pPr>
              <w:pStyle w:val="Tabletext"/>
              <w:ind w:left="0" w:right="0"/>
              <w:jc w:val="right"/>
              <w:rPr>
                <w:b/>
              </w:rPr>
            </w:pPr>
            <w:r w:rsidRPr="00B178E4">
              <w:rPr>
                <w:b/>
              </w:rPr>
              <w:t>TPS</w:t>
            </w:r>
            <w:r w:rsidR="00427166" w:rsidRPr="00B178E4">
              <w:rPr>
                <w:b/>
              </w:rPr>
              <w:t xml:space="preserve"> </w:t>
            </w:r>
            <w:r w:rsidRPr="00B178E4">
              <w:rPr>
                <w:b/>
              </w:rPr>
              <w:t>≥</w:t>
            </w:r>
            <w:r w:rsidR="00427166" w:rsidRPr="00B178E4">
              <w:rPr>
                <w:b/>
              </w:rPr>
              <w:t xml:space="preserve"> </w:t>
            </w:r>
            <w:r w:rsidRPr="00B178E4">
              <w:rPr>
                <w:b/>
              </w:rPr>
              <w:t>50%</w:t>
            </w:r>
          </w:p>
        </w:tc>
        <w:tc>
          <w:tcPr>
            <w:tcW w:w="818" w:type="dxa"/>
            <w:shd w:val="clear" w:color="000000" w:fill="FFE593"/>
            <w:vAlign w:val="bottom"/>
          </w:tcPr>
          <w:p w14:paraId="1812DD82" w14:textId="77777777" w:rsidR="00407D0F" w:rsidRPr="000741BA" w:rsidRDefault="00407D0F" w:rsidP="00B178E4">
            <w:pPr>
              <w:pStyle w:val="Tabletext"/>
              <w:ind w:left="0" w:right="0"/>
              <w:jc w:val="center"/>
            </w:pPr>
            <w:r w:rsidRPr="000741BA">
              <w:t>42%</w:t>
            </w:r>
          </w:p>
        </w:tc>
        <w:tc>
          <w:tcPr>
            <w:tcW w:w="810" w:type="dxa"/>
            <w:shd w:val="clear" w:color="000000" w:fill="FFE9A6"/>
            <w:vAlign w:val="bottom"/>
          </w:tcPr>
          <w:p w14:paraId="26C886C4" w14:textId="77777777" w:rsidR="00407D0F" w:rsidRPr="000741BA" w:rsidRDefault="00407D0F" w:rsidP="00B178E4">
            <w:pPr>
              <w:pStyle w:val="Tabletext"/>
              <w:ind w:left="0" w:right="0"/>
              <w:jc w:val="center"/>
            </w:pPr>
            <w:r w:rsidRPr="000741BA">
              <w:t>35%</w:t>
            </w:r>
          </w:p>
        </w:tc>
        <w:tc>
          <w:tcPr>
            <w:tcW w:w="900" w:type="dxa"/>
            <w:shd w:val="clear" w:color="000000" w:fill="FFD659"/>
            <w:vAlign w:val="bottom"/>
          </w:tcPr>
          <w:p w14:paraId="75E6CC11" w14:textId="77777777" w:rsidR="00407D0F" w:rsidRPr="000741BA" w:rsidRDefault="00407D0F" w:rsidP="00B178E4">
            <w:pPr>
              <w:pStyle w:val="Tabletext"/>
              <w:ind w:left="0" w:right="0"/>
              <w:jc w:val="center"/>
            </w:pPr>
            <w:r w:rsidRPr="000741BA">
              <w:t>65%</w:t>
            </w:r>
          </w:p>
        </w:tc>
        <w:tc>
          <w:tcPr>
            <w:tcW w:w="900" w:type="dxa"/>
            <w:shd w:val="clear" w:color="000000" w:fill="FFE38B"/>
            <w:vAlign w:val="bottom"/>
          </w:tcPr>
          <w:p w14:paraId="322F913A" w14:textId="77777777" w:rsidR="00407D0F" w:rsidRPr="000741BA" w:rsidRDefault="00407D0F" w:rsidP="00B178E4">
            <w:pPr>
              <w:pStyle w:val="Tabletext"/>
              <w:ind w:left="0" w:right="0"/>
              <w:jc w:val="center"/>
            </w:pPr>
            <w:r w:rsidRPr="000741BA">
              <w:t>45%</w:t>
            </w:r>
          </w:p>
        </w:tc>
        <w:tc>
          <w:tcPr>
            <w:tcW w:w="900" w:type="dxa"/>
            <w:shd w:val="clear" w:color="000000" w:fill="FFD249"/>
            <w:vAlign w:val="bottom"/>
          </w:tcPr>
          <w:p w14:paraId="65E32B05" w14:textId="77777777" w:rsidR="00407D0F" w:rsidRPr="000741BA" w:rsidRDefault="00407D0F" w:rsidP="00B178E4">
            <w:pPr>
              <w:pStyle w:val="Tabletext"/>
              <w:ind w:left="0" w:right="0"/>
              <w:jc w:val="center"/>
            </w:pPr>
            <w:r w:rsidRPr="000741BA">
              <w:t>71%</w:t>
            </w:r>
          </w:p>
        </w:tc>
        <w:tc>
          <w:tcPr>
            <w:tcW w:w="900" w:type="dxa"/>
            <w:shd w:val="clear" w:color="000000" w:fill="FFE698"/>
            <w:vAlign w:val="bottom"/>
          </w:tcPr>
          <w:p w14:paraId="56F64D8F" w14:textId="77777777" w:rsidR="00407D0F" w:rsidRPr="000741BA" w:rsidRDefault="00407D0F" w:rsidP="00B178E4">
            <w:pPr>
              <w:pStyle w:val="Tabletext"/>
              <w:ind w:left="0" w:right="0"/>
              <w:jc w:val="center"/>
            </w:pPr>
            <w:r w:rsidRPr="000741BA">
              <w:t>40%</w:t>
            </w:r>
          </w:p>
        </w:tc>
        <w:tc>
          <w:tcPr>
            <w:tcW w:w="810" w:type="dxa"/>
            <w:shd w:val="clear" w:color="000000" w:fill="FFDF7A"/>
            <w:vAlign w:val="bottom"/>
          </w:tcPr>
          <w:p w14:paraId="420A529F" w14:textId="77777777" w:rsidR="00407D0F" w:rsidRPr="000741BA" w:rsidRDefault="00407D0F" w:rsidP="00B178E4">
            <w:pPr>
              <w:pStyle w:val="Tabletext"/>
              <w:ind w:left="0" w:right="0"/>
              <w:jc w:val="center"/>
            </w:pPr>
            <w:r w:rsidRPr="000741BA">
              <w:t>52%</w:t>
            </w:r>
          </w:p>
        </w:tc>
        <w:tc>
          <w:tcPr>
            <w:tcW w:w="810" w:type="dxa"/>
            <w:shd w:val="clear" w:color="000000" w:fill="FFDA66"/>
            <w:vAlign w:val="bottom"/>
          </w:tcPr>
          <w:p w14:paraId="21107847" w14:textId="77777777" w:rsidR="00407D0F" w:rsidRPr="000741BA" w:rsidRDefault="00407D0F" w:rsidP="00B178E4">
            <w:pPr>
              <w:pStyle w:val="Tabletext"/>
              <w:ind w:left="0" w:right="0"/>
              <w:jc w:val="center"/>
            </w:pPr>
            <w:r w:rsidRPr="000741BA">
              <w:t>59%</w:t>
            </w:r>
          </w:p>
        </w:tc>
      </w:tr>
      <w:tr w:rsidR="00407D0F" w:rsidRPr="00697281" w14:paraId="35A534B7" w14:textId="77777777" w:rsidTr="006E617D">
        <w:trPr>
          <w:trHeight w:val="223"/>
        </w:trPr>
        <w:tc>
          <w:tcPr>
            <w:tcW w:w="1550" w:type="dxa"/>
          </w:tcPr>
          <w:p w14:paraId="126EDFCF" w14:textId="5CF4B4D4" w:rsidR="00407D0F" w:rsidRPr="00B178E4" w:rsidRDefault="00407D0F" w:rsidP="00B178E4">
            <w:pPr>
              <w:pStyle w:val="Tabletext"/>
              <w:ind w:left="0" w:right="0"/>
              <w:jc w:val="right"/>
              <w:rPr>
                <w:b/>
              </w:rPr>
            </w:pPr>
            <w:r w:rsidRPr="00B178E4">
              <w:rPr>
                <w:b/>
              </w:rPr>
              <w:t>TPS</w:t>
            </w:r>
            <w:r w:rsidR="00427166" w:rsidRPr="00B178E4">
              <w:rPr>
                <w:b/>
              </w:rPr>
              <w:t xml:space="preserve"> </w:t>
            </w:r>
            <w:r w:rsidRPr="00B178E4">
              <w:rPr>
                <w:b/>
              </w:rPr>
              <w:t>≥</w:t>
            </w:r>
            <w:r w:rsidR="00427166" w:rsidRPr="00B178E4">
              <w:rPr>
                <w:b/>
              </w:rPr>
              <w:t xml:space="preserve"> </w:t>
            </w:r>
            <w:r w:rsidRPr="00B178E4">
              <w:rPr>
                <w:b/>
              </w:rPr>
              <w:t>1%</w:t>
            </w:r>
          </w:p>
        </w:tc>
        <w:tc>
          <w:tcPr>
            <w:tcW w:w="818" w:type="dxa"/>
            <w:shd w:val="clear" w:color="000000" w:fill="FFDE77"/>
            <w:vAlign w:val="bottom"/>
          </w:tcPr>
          <w:p w14:paraId="428CB36F" w14:textId="77777777" w:rsidR="00407D0F" w:rsidRPr="000741BA" w:rsidRDefault="00407D0F" w:rsidP="00B178E4">
            <w:pPr>
              <w:pStyle w:val="Tabletext"/>
              <w:ind w:left="0" w:right="0"/>
              <w:jc w:val="center"/>
            </w:pPr>
            <w:r w:rsidRPr="000741BA">
              <w:t>53%</w:t>
            </w:r>
          </w:p>
        </w:tc>
        <w:tc>
          <w:tcPr>
            <w:tcW w:w="810" w:type="dxa"/>
            <w:shd w:val="clear" w:color="000000" w:fill="FFD85E"/>
            <w:vAlign w:val="bottom"/>
          </w:tcPr>
          <w:p w14:paraId="2ACC7BBF" w14:textId="77777777" w:rsidR="00407D0F" w:rsidRPr="000741BA" w:rsidRDefault="00407D0F" w:rsidP="00B178E4">
            <w:pPr>
              <w:pStyle w:val="Tabletext"/>
              <w:ind w:left="0" w:right="0"/>
              <w:jc w:val="center"/>
            </w:pPr>
            <w:r w:rsidRPr="000741BA">
              <w:t>63%</w:t>
            </w:r>
          </w:p>
        </w:tc>
        <w:tc>
          <w:tcPr>
            <w:tcW w:w="900" w:type="dxa"/>
            <w:shd w:val="clear" w:color="000000" w:fill="FFC921"/>
            <w:vAlign w:val="bottom"/>
          </w:tcPr>
          <w:p w14:paraId="01B420BD" w14:textId="77777777" w:rsidR="00407D0F" w:rsidRPr="000741BA" w:rsidRDefault="00407D0F" w:rsidP="00B178E4">
            <w:pPr>
              <w:pStyle w:val="Tabletext"/>
              <w:ind w:left="0" w:right="0"/>
              <w:jc w:val="center"/>
            </w:pPr>
            <w:r w:rsidRPr="000741BA">
              <w:t>86%</w:t>
            </w:r>
          </w:p>
        </w:tc>
        <w:tc>
          <w:tcPr>
            <w:tcW w:w="900" w:type="dxa"/>
            <w:shd w:val="clear" w:color="000000" w:fill="FFC922"/>
            <w:vAlign w:val="bottom"/>
          </w:tcPr>
          <w:p w14:paraId="765897AC" w14:textId="77777777" w:rsidR="00407D0F" w:rsidRPr="000741BA" w:rsidRDefault="00407D0F" w:rsidP="00B178E4">
            <w:pPr>
              <w:pStyle w:val="Tabletext"/>
              <w:ind w:left="0" w:right="0"/>
              <w:jc w:val="center"/>
            </w:pPr>
            <w:r w:rsidRPr="000741BA">
              <w:t>86%</w:t>
            </w:r>
          </w:p>
        </w:tc>
        <w:tc>
          <w:tcPr>
            <w:tcW w:w="900" w:type="dxa"/>
            <w:shd w:val="clear" w:color="000000" w:fill="FFC71B"/>
            <w:vAlign w:val="bottom"/>
          </w:tcPr>
          <w:p w14:paraId="3FBF9759" w14:textId="77777777" w:rsidR="00407D0F" w:rsidRPr="000741BA" w:rsidRDefault="00407D0F" w:rsidP="00B178E4">
            <w:pPr>
              <w:pStyle w:val="Tabletext"/>
              <w:ind w:left="0" w:right="0"/>
              <w:jc w:val="center"/>
            </w:pPr>
            <w:r w:rsidRPr="000741BA">
              <w:t>88%</w:t>
            </w:r>
          </w:p>
        </w:tc>
        <w:tc>
          <w:tcPr>
            <w:tcW w:w="900" w:type="dxa"/>
            <w:shd w:val="clear" w:color="000000" w:fill="FFD144"/>
            <w:vAlign w:val="bottom"/>
          </w:tcPr>
          <w:p w14:paraId="341E1776" w14:textId="77777777" w:rsidR="00407D0F" w:rsidRPr="000741BA" w:rsidRDefault="00407D0F" w:rsidP="00B178E4">
            <w:pPr>
              <w:pStyle w:val="Tabletext"/>
              <w:ind w:left="0" w:right="0"/>
              <w:jc w:val="center"/>
            </w:pPr>
            <w:r w:rsidRPr="000741BA">
              <w:t>73%</w:t>
            </w:r>
          </w:p>
        </w:tc>
        <w:tc>
          <w:tcPr>
            <w:tcW w:w="810" w:type="dxa"/>
            <w:shd w:val="clear" w:color="000000" w:fill="FFCC2F"/>
            <w:vAlign w:val="bottom"/>
          </w:tcPr>
          <w:p w14:paraId="0176D373" w14:textId="77777777" w:rsidR="00407D0F" w:rsidRPr="000741BA" w:rsidRDefault="00407D0F" w:rsidP="00B178E4">
            <w:pPr>
              <w:pStyle w:val="Tabletext"/>
              <w:ind w:left="0" w:right="0"/>
              <w:jc w:val="center"/>
            </w:pPr>
            <w:r w:rsidRPr="000741BA">
              <w:t>81%</w:t>
            </w:r>
          </w:p>
        </w:tc>
        <w:tc>
          <w:tcPr>
            <w:tcW w:w="810" w:type="dxa"/>
            <w:shd w:val="clear" w:color="000000" w:fill="FFCD31"/>
            <w:vAlign w:val="bottom"/>
          </w:tcPr>
          <w:p w14:paraId="469AA47D" w14:textId="77777777" w:rsidR="00407D0F" w:rsidRPr="000741BA" w:rsidRDefault="00407D0F" w:rsidP="00B178E4">
            <w:pPr>
              <w:pStyle w:val="Tabletext"/>
              <w:ind w:left="0" w:right="0"/>
              <w:jc w:val="center"/>
            </w:pPr>
            <w:r w:rsidRPr="000741BA">
              <w:t>80%</w:t>
            </w:r>
          </w:p>
        </w:tc>
      </w:tr>
      <w:tr w:rsidR="00407D0F" w:rsidRPr="00697281" w14:paraId="3D965CC4" w14:textId="77777777" w:rsidTr="006E617D">
        <w:trPr>
          <w:trHeight w:val="223"/>
        </w:trPr>
        <w:tc>
          <w:tcPr>
            <w:tcW w:w="1550" w:type="dxa"/>
          </w:tcPr>
          <w:p w14:paraId="1DE4259A" w14:textId="73E43C05" w:rsidR="00407D0F" w:rsidRPr="00B178E4" w:rsidRDefault="00407D0F" w:rsidP="00B178E4">
            <w:pPr>
              <w:pStyle w:val="Tabletext"/>
              <w:ind w:left="0" w:right="0"/>
              <w:jc w:val="right"/>
              <w:rPr>
                <w:b/>
              </w:rPr>
            </w:pPr>
            <w:r w:rsidRPr="00B178E4">
              <w:rPr>
                <w:b/>
              </w:rPr>
              <w:t>TPS</w:t>
            </w:r>
            <w:r w:rsidR="00427166" w:rsidRPr="00B178E4">
              <w:rPr>
                <w:b/>
              </w:rPr>
              <w:t xml:space="preserve"> </w:t>
            </w:r>
            <w:r w:rsidRPr="00B178E4">
              <w:rPr>
                <w:b/>
              </w:rPr>
              <w:t>&lt;</w:t>
            </w:r>
            <w:r w:rsidR="00427166" w:rsidRPr="00B178E4">
              <w:rPr>
                <w:b/>
              </w:rPr>
              <w:t xml:space="preserve"> </w:t>
            </w:r>
            <w:r w:rsidRPr="00B178E4">
              <w:rPr>
                <w:b/>
              </w:rPr>
              <w:t>1%</w:t>
            </w:r>
          </w:p>
        </w:tc>
        <w:tc>
          <w:tcPr>
            <w:tcW w:w="818" w:type="dxa"/>
            <w:shd w:val="clear" w:color="000000" w:fill="FFEFBB"/>
            <w:vAlign w:val="bottom"/>
          </w:tcPr>
          <w:p w14:paraId="5483459C" w14:textId="77777777" w:rsidR="00407D0F" w:rsidRPr="000741BA" w:rsidRDefault="00407D0F" w:rsidP="00B178E4">
            <w:pPr>
              <w:pStyle w:val="Tabletext"/>
              <w:ind w:left="0" w:right="0"/>
              <w:jc w:val="center"/>
            </w:pPr>
            <w:r w:rsidRPr="000741BA">
              <w:t>26%</w:t>
            </w:r>
          </w:p>
        </w:tc>
        <w:tc>
          <w:tcPr>
            <w:tcW w:w="810" w:type="dxa"/>
            <w:shd w:val="clear" w:color="000000" w:fill="FFEAA8"/>
            <w:vAlign w:val="bottom"/>
          </w:tcPr>
          <w:p w14:paraId="4B124225" w14:textId="77777777" w:rsidR="00407D0F" w:rsidRPr="000741BA" w:rsidRDefault="00407D0F" w:rsidP="00B178E4">
            <w:pPr>
              <w:pStyle w:val="Tabletext"/>
              <w:ind w:left="0" w:right="0"/>
              <w:jc w:val="center"/>
            </w:pPr>
            <w:r w:rsidRPr="000741BA">
              <w:t>34%</w:t>
            </w:r>
          </w:p>
        </w:tc>
        <w:tc>
          <w:tcPr>
            <w:tcW w:w="900" w:type="dxa"/>
            <w:shd w:val="clear" w:color="000000" w:fill="FFF7DF"/>
            <w:vAlign w:val="bottom"/>
          </w:tcPr>
          <w:p w14:paraId="1680626E" w14:textId="77777777" w:rsidR="00407D0F" w:rsidRPr="000741BA" w:rsidRDefault="00407D0F" w:rsidP="00B178E4">
            <w:pPr>
              <w:pStyle w:val="Tabletext"/>
              <w:ind w:left="0" w:right="0"/>
              <w:jc w:val="center"/>
            </w:pPr>
            <w:r w:rsidRPr="000741BA">
              <w:t>13%</w:t>
            </w:r>
          </w:p>
        </w:tc>
        <w:tc>
          <w:tcPr>
            <w:tcW w:w="900" w:type="dxa"/>
            <w:shd w:val="clear" w:color="000000" w:fill="FFF8E1"/>
            <w:vAlign w:val="bottom"/>
          </w:tcPr>
          <w:p w14:paraId="564CD965" w14:textId="77777777" w:rsidR="00407D0F" w:rsidRPr="000741BA" w:rsidRDefault="00407D0F" w:rsidP="00B178E4">
            <w:pPr>
              <w:pStyle w:val="Tabletext"/>
              <w:ind w:left="0" w:right="0"/>
              <w:jc w:val="center"/>
            </w:pPr>
            <w:r w:rsidRPr="000741BA">
              <w:t>12%</w:t>
            </w:r>
          </w:p>
        </w:tc>
        <w:tc>
          <w:tcPr>
            <w:tcW w:w="900" w:type="dxa"/>
            <w:shd w:val="clear" w:color="000000" w:fill="FFF8E1"/>
            <w:vAlign w:val="bottom"/>
          </w:tcPr>
          <w:p w14:paraId="5D3CE3D0" w14:textId="77777777" w:rsidR="00407D0F" w:rsidRPr="000741BA" w:rsidRDefault="00407D0F" w:rsidP="00B178E4">
            <w:pPr>
              <w:pStyle w:val="Tabletext"/>
              <w:ind w:left="0" w:right="0"/>
              <w:jc w:val="center"/>
            </w:pPr>
            <w:r w:rsidRPr="000741BA">
              <w:t>12%</w:t>
            </w:r>
          </w:p>
        </w:tc>
        <w:tc>
          <w:tcPr>
            <w:tcW w:w="900" w:type="dxa"/>
            <w:shd w:val="clear" w:color="000000" w:fill="FFEEBA"/>
            <w:vAlign w:val="bottom"/>
          </w:tcPr>
          <w:p w14:paraId="03FC8087" w14:textId="77777777" w:rsidR="00407D0F" w:rsidRPr="000741BA" w:rsidRDefault="00407D0F" w:rsidP="00B178E4">
            <w:pPr>
              <w:pStyle w:val="Tabletext"/>
              <w:ind w:left="0" w:right="0"/>
              <w:jc w:val="center"/>
            </w:pPr>
            <w:r w:rsidRPr="000741BA">
              <w:t>27%</w:t>
            </w:r>
          </w:p>
        </w:tc>
        <w:tc>
          <w:tcPr>
            <w:tcW w:w="810" w:type="dxa"/>
            <w:shd w:val="clear" w:color="000000" w:fill="FFF7DE"/>
            <w:vAlign w:val="bottom"/>
          </w:tcPr>
          <w:p w14:paraId="08DB65FB" w14:textId="77777777" w:rsidR="00407D0F" w:rsidRPr="000741BA" w:rsidRDefault="00407D0F" w:rsidP="00B178E4">
            <w:pPr>
              <w:pStyle w:val="Tabletext"/>
              <w:ind w:left="0" w:right="0"/>
              <w:jc w:val="center"/>
            </w:pPr>
            <w:r w:rsidRPr="000741BA">
              <w:t>13%</w:t>
            </w:r>
          </w:p>
        </w:tc>
        <w:tc>
          <w:tcPr>
            <w:tcW w:w="810" w:type="dxa"/>
            <w:shd w:val="clear" w:color="000000" w:fill="FFF7DB"/>
            <w:vAlign w:val="bottom"/>
          </w:tcPr>
          <w:p w14:paraId="63E404BB" w14:textId="77777777" w:rsidR="00407D0F" w:rsidRPr="000741BA" w:rsidRDefault="00407D0F" w:rsidP="00B178E4">
            <w:pPr>
              <w:pStyle w:val="Tabletext"/>
              <w:ind w:left="0" w:right="0"/>
              <w:jc w:val="center"/>
            </w:pPr>
            <w:r w:rsidRPr="000741BA">
              <w:t>14%</w:t>
            </w:r>
          </w:p>
        </w:tc>
      </w:tr>
    </w:tbl>
    <w:p w14:paraId="56685703" w14:textId="412D0A8A" w:rsidR="00427166" w:rsidRPr="00400B3D" w:rsidRDefault="005E2B92" w:rsidP="00400B3D">
      <w:pPr>
        <w:pStyle w:val="TableDescription"/>
      </w:pPr>
      <w:r w:rsidRPr="00400B3D">
        <w:lastRenderedPageBreak/>
        <w:t xml:space="preserve">Abbreviations: </w:t>
      </w:r>
      <w:r w:rsidR="00A97B0B" w:rsidRPr="00400B3D">
        <w:t xml:space="preserve">IC = </w:t>
      </w:r>
      <w:r w:rsidR="008159EE" w:rsidRPr="00400B3D">
        <w:t>immune cell</w:t>
      </w:r>
      <w:r w:rsidR="00DE5259" w:rsidRPr="00400B3D">
        <w:t xml:space="preserve">; </w:t>
      </w:r>
      <w:r w:rsidR="00A97B0B" w:rsidRPr="00400B3D">
        <w:t xml:space="preserve">N = </w:t>
      </w:r>
      <w:r w:rsidR="008159EE" w:rsidRPr="00400B3D">
        <w:t>total number of subjects</w:t>
      </w:r>
      <w:r w:rsidR="00DE5259" w:rsidRPr="00400B3D">
        <w:t xml:space="preserve">; TC = tumour cell; </w:t>
      </w:r>
      <w:r w:rsidR="00427166" w:rsidRPr="00400B3D">
        <w:t>TPS = tumour progression score</w:t>
      </w:r>
      <w:r w:rsidR="00DE5259" w:rsidRPr="00400B3D">
        <w:t>.</w:t>
      </w:r>
    </w:p>
    <w:p w14:paraId="083FEB9F" w14:textId="16E47BA6" w:rsidR="006E5289" w:rsidRPr="00400B3D" w:rsidRDefault="006E5289" w:rsidP="00400B3D">
      <w:pPr>
        <w:pStyle w:val="TableDescription"/>
      </w:pPr>
      <w:r w:rsidRPr="00400B3D">
        <w:t>Number of patients (top), and percentage of patients (bottom) in each IC category according to SP142 at enrolment in the all-randomised population, who had each corresponding re-test category according to SP263 or 22C3.</w:t>
      </w:r>
    </w:p>
    <w:p w14:paraId="4C719515" w14:textId="6FBCEAF1" w:rsidR="00407D0F" w:rsidRPr="00400B3D" w:rsidRDefault="006E5289" w:rsidP="00400B3D">
      <w:pPr>
        <w:pStyle w:val="TableDescription"/>
      </w:pPr>
      <w:r w:rsidRPr="00400B3D">
        <w:t>Colour gradient for percentages: white = 0, dark yellow = 100. Note that retest categories are non-discrete/cumulative.</w:t>
      </w:r>
    </w:p>
    <w:p w14:paraId="7F049630" w14:textId="77777777" w:rsidR="005E2B92" w:rsidRPr="00400B3D" w:rsidRDefault="005E2B92" w:rsidP="00400B3D">
      <w:pPr>
        <w:pStyle w:val="TableDescription"/>
      </w:pPr>
      <w:r w:rsidRPr="00400B3D">
        <w:t>Immune cell scoring (PD-L1 expression): IC0 (0 to &lt; 1%); IC1 (1 to &lt; 5%); IC2 (5 to &lt;10%); IC3 (10%+).</w:t>
      </w:r>
    </w:p>
    <w:p w14:paraId="3D8E0D2C" w14:textId="7D795EF3" w:rsidR="005E2B92" w:rsidRPr="00400B3D" w:rsidRDefault="005E2B92" w:rsidP="00400B3D">
      <w:pPr>
        <w:pStyle w:val="TableDescription"/>
      </w:pPr>
      <w:r w:rsidRPr="00400B3D">
        <w:t>Tumour cell scoring (PD-L1 expression): TC0 (0 to &lt;1%); TC1 (1 to &lt; 5%); TC2 (5 to &lt; 50%); TC3 (50%+).</w:t>
      </w:r>
    </w:p>
    <w:p w14:paraId="3C712437" w14:textId="50A68543" w:rsidR="00407D0F" w:rsidRPr="006E5289" w:rsidRDefault="00407D0F" w:rsidP="00B50F71">
      <w:pPr>
        <w:pStyle w:val="Heading5"/>
      </w:pPr>
      <w:bookmarkStart w:id="104" w:name="_Ref69214068"/>
      <w:bookmarkEnd w:id="68"/>
      <w:bookmarkEnd w:id="96"/>
      <w:bookmarkEnd w:id="103"/>
      <w:r>
        <w:t xml:space="preserve">Complexity 6: inter-reader precision of </w:t>
      </w:r>
      <w:r w:rsidR="00013622">
        <w:t>tumour</w:t>
      </w:r>
      <w:r>
        <w:t xml:space="preserve"> and </w:t>
      </w:r>
      <w:r w:rsidR="00013622" w:rsidRPr="00013622">
        <w:t>immune cell</w:t>
      </w:r>
      <w:r>
        <w:t xml:space="preserve"> scoring</w:t>
      </w:r>
      <w:bookmarkEnd w:id="104"/>
    </w:p>
    <w:p w14:paraId="5B8726CC" w14:textId="1F5335C8" w:rsidR="00407D0F" w:rsidRPr="006E5289" w:rsidRDefault="00407D0F" w:rsidP="006E5289">
      <w:r w:rsidRPr="006E5289">
        <w:t>All three SP142 cut</w:t>
      </w:r>
      <w:r w:rsidR="006E5289">
        <w:t>-</w:t>
      </w:r>
      <w:r w:rsidRPr="006E5289">
        <w:t>offs (TC3 or IC3, TC2/3 or IC2/3, and TC1/2/3 or IC1/2/3) have completed full analytical validation and inter-laboratory reproducibility studies by the diagnostic manufacturer (V</w:t>
      </w:r>
      <w:r w:rsidR="006E5289">
        <w:t>entana</w:t>
      </w:r>
      <w:r w:rsidRPr="006E5289">
        <w:t xml:space="preserve">). The full results of these studies are available in the Australian </w:t>
      </w:r>
      <w:r w:rsidR="006E5289">
        <w:t xml:space="preserve">Ventana </w:t>
      </w:r>
      <w:r w:rsidRPr="006E5289">
        <w:t>SP142 package insert.</w:t>
      </w:r>
    </w:p>
    <w:p w14:paraId="6AE851A0" w14:textId="77777777" w:rsidR="00407D0F" w:rsidRPr="006E5289" w:rsidRDefault="00407D0F" w:rsidP="006E5289">
      <w:r w:rsidRPr="006E5289">
        <w:t>However, the validation studies described do not address the precision of IC or TC separately and the assessment of inter-reader variability was limited to comparing readings from three pathologists.</w:t>
      </w:r>
    </w:p>
    <w:p w14:paraId="6D904814" w14:textId="61F1931D" w:rsidR="00407D0F" w:rsidRDefault="00407D0F" w:rsidP="006E5289">
      <w:r w:rsidRPr="006E5289">
        <w:t xml:space="preserve">The package insert outlines the </w:t>
      </w:r>
      <w:r w:rsidR="006E5289" w:rsidRPr="006E5289">
        <w:t xml:space="preserve">reader precision study </w:t>
      </w:r>
      <w:r w:rsidRPr="006E5289">
        <w:t xml:space="preserve">that was carried out using </w:t>
      </w:r>
      <w:r w:rsidR="006E5289">
        <w:t>non</w:t>
      </w:r>
      <w:r w:rsidR="006E5289">
        <w:noBreakHyphen/>
        <w:t>small cell lung cancer</w:t>
      </w:r>
      <w:r w:rsidRPr="006E5289">
        <w:t xml:space="preserve"> tissue </w:t>
      </w:r>
      <w:r w:rsidR="006E5289">
        <w:t xml:space="preserve">(NSCLC) </w:t>
      </w:r>
      <w:r w:rsidR="00FA12B6">
        <w:t xml:space="preserve">by 3 pathologists, as </w:t>
      </w:r>
      <w:proofErr w:type="gramStart"/>
      <w:r w:rsidR="00FA12B6">
        <w:t>follows</w:t>
      </w:r>
      <w:r w:rsidR="00E848A3">
        <w:t>:</w:t>
      </w:r>
      <w:r w:rsidR="00FA12B6">
        <w:t>.</w:t>
      </w:r>
      <w:proofErr w:type="gramEnd"/>
    </w:p>
    <w:p w14:paraId="71506426" w14:textId="541C199F" w:rsidR="00E848A3" w:rsidRPr="002F5B7F" w:rsidRDefault="00E848A3" w:rsidP="002F5B7F">
      <w:r w:rsidRPr="002F5B7F">
        <w:t xml:space="preserve">To assess </w:t>
      </w:r>
      <w:r w:rsidR="00AA206B" w:rsidRPr="002F5B7F">
        <w:t>inter- and intra-reader precision</w:t>
      </w:r>
      <w:r w:rsidRPr="002F5B7F">
        <w:t xml:space="preserve">, three pathologists evaluated 80 unique NSCLC cases, with a range of PD-L1 expression, that were stained with </w:t>
      </w:r>
      <w:r w:rsidR="00E60EE4" w:rsidRPr="002F5B7F">
        <w:t>Ventana</w:t>
      </w:r>
      <w:r w:rsidRPr="002F5B7F">
        <w:t xml:space="preserve"> PD-L1 (SP142) </w:t>
      </w:r>
      <w:r w:rsidR="00AA206B" w:rsidRPr="002F5B7F">
        <w:t>a</w:t>
      </w:r>
      <w:r w:rsidRPr="002F5B7F">
        <w:t>ssay. Specimens were blinded and randomi</w:t>
      </w:r>
      <w:r w:rsidR="00AA206B" w:rsidRPr="002F5B7F">
        <w:t>s</w:t>
      </w:r>
      <w:r w:rsidRPr="002F5B7F">
        <w:t xml:space="preserve">ed prior to evaluation for PD-L1 status using the </w:t>
      </w:r>
      <w:r w:rsidR="00E60EE4" w:rsidRPr="002F5B7F">
        <w:t>Ventana</w:t>
      </w:r>
      <w:r w:rsidRPr="002F5B7F">
        <w:t xml:space="preserve"> PD-L1 (SP142) </w:t>
      </w:r>
      <w:r w:rsidR="00AA206B" w:rsidRPr="002F5B7F">
        <w:t>a</w:t>
      </w:r>
      <w:r w:rsidRPr="002F5B7F">
        <w:t>ssay scoring algorithm for NSCLC (Table 14 for NSCLC ≥ 50% TC or ≥ 10% IC and Table 15 for NSCLC ≥ 1% TC or ≥ 1% IC</w:t>
      </w:r>
      <w:r w:rsidR="00C977D7">
        <w:t xml:space="preserve">; from the </w:t>
      </w:r>
      <w:r w:rsidR="00C977D7" w:rsidRPr="00716528">
        <w:t>Australian Ventana SP142 package insert</w:t>
      </w:r>
      <w:r w:rsidRPr="002F5B7F">
        <w:t xml:space="preserve">). Readers scored all specimens twice, with a minimum of two weeks between reads. The agreement rates between the readers and between each pathologist’s reads are summarised in </w:t>
      </w:r>
      <w:r w:rsidR="00AA206B" w:rsidRPr="002F5B7F">
        <w:fldChar w:fldCharType="begin"/>
      </w:r>
      <w:r w:rsidR="00AA206B" w:rsidRPr="002F5B7F">
        <w:instrText xml:space="preserve"> REF _Ref108452645 \h </w:instrText>
      </w:r>
      <w:r w:rsidR="002F5B7F">
        <w:instrText xml:space="preserve"> \* MERGEFORMAT </w:instrText>
      </w:r>
      <w:r w:rsidR="00AA206B" w:rsidRPr="002F5B7F">
        <w:fldChar w:fldCharType="separate"/>
      </w:r>
      <w:r w:rsidR="00C05B15" w:rsidRPr="00400B3D">
        <w:t xml:space="preserve">Table </w:t>
      </w:r>
      <w:r w:rsidR="00C05B15">
        <w:t>26</w:t>
      </w:r>
      <w:r w:rsidR="00AA206B" w:rsidRPr="002F5B7F">
        <w:fldChar w:fldCharType="end"/>
      </w:r>
      <w:r w:rsidR="00AA206B" w:rsidRPr="002F5B7F">
        <w:t xml:space="preserve"> </w:t>
      </w:r>
      <w:r w:rsidRPr="002F5B7F">
        <w:t xml:space="preserve">and </w:t>
      </w:r>
      <w:r w:rsidR="00AA206B" w:rsidRPr="002F5B7F">
        <w:fldChar w:fldCharType="begin"/>
      </w:r>
      <w:r w:rsidR="00AA206B" w:rsidRPr="002F5B7F">
        <w:instrText xml:space="preserve"> REF _Ref108452653 \h </w:instrText>
      </w:r>
      <w:r w:rsidR="002F5B7F">
        <w:instrText xml:space="preserve"> \* MERGEFORMAT </w:instrText>
      </w:r>
      <w:r w:rsidR="00AA206B" w:rsidRPr="002F5B7F">
        <w:fldChar w:fldCharType="separate"/>
      </w:r>
      <w:r w:rsidR="00C05B15" w:rsidRPr="00716528">
        <w:t xml:space="preserve">Table </w:t>
      </w:r>
      <w:r w:rsidR="00C05B15">
        <w:t>27</w:t>
      </w:r>
      <w:r w:rsidR="00AA206B" w:rsidRPr="002F5B7F">
        <w:fldChar w:fldCharType="end"/>
      </w:r>
      <w:r w:rsidRPr="002F5B7F">
        <w:t>.</w:t>
      </w:r>
    </w:p>
    <w:p w14:paraId="5DCFDA6D" w14:textId="4BD8D83E" w:rsidR="00AA206B" w:rsidRPr="00400B3D" w:rsidRDefault="00AA206B" w:rsidP="00400B3D">
      <w:pPr>
        <w:pStyle w:val="TableTitle"/>
      </w:pPr>
      <w:bookmarkStart w:id="105" w:name="_Ref108452645"/>
      <w:r w:rsidRPr="00400B3D">
        <w:t xml:space="preserve">Table </w:t>
      </w:r>
      <w:fldSimple w:instr=" SEQ Table \* ARABIC ">
        <w:r w:rsidR="00C05B15">
          <w:rPr>
            <w:noProof/>
          </w:rPr>
          <w:t>26</w:t>
        </w:r>
      </w:fldSimple>
      <w:bookmarkEnd w:id="105"/>
      <w:r w:rsidRPr="00400B3D">
        <w:t>: Read</w:t>
      </w:r>
      <w:r w:rsidR="005E2B92" w:rsidRPr="00400B3D">
        <w:t>er</w:t>
      </w:r>
      <w:r w:rsidRPr="00400B3D">
        <w:t xml:space="preserve"> precision of </w:t>
      </w:r>
      <w:r w:rsidR="00E60EE4" w:rsidRPr="00400B3D">
        <w:t>Ventana</w:t>
      </w:r>
      <w:r w:rsidRPr="00400B3D">
        <w:t xml:space="preserve"> PD-L1 (SP142) assay staining of </w:t>
      </w:r>
      <w:r w:rsidR="00725DB0" w:rsidRPr="00400B3D">
        <w:t xml:space="preserve">non-small cell lung cancer </w:t>
      </w:r>
      <w:r w:rsidRPr="00400B3D">
        <w:t>specimens (</w:t>
      </w:r>
      <w:r w:rsidR="005E2B92" w:rsidRPr="00400B3D">
        <w:t>PD-L1</w:t>
      </w:r>
      <w:r w:rsidR="00725DB0" w:rsidRPr="00400B3D">
        <w:t xml:space="preserve"> </w:t>
      </w:r>
      <w:r w:rsidRPr="00400B3D">
        <w:t xml:space="preserve">expression ≥ 50% </w:t>
      </w:r>
      <w:r w:rsidR="00013622" w:rsidRPr="00400B3D">
        <w:t>tumour cell</w:t>
      </w:r>
      <w:r w:rsidRPr="00400B3D">
        <w:t xml:space="preserve"> or 10% </w:t>
      </w:r>
      <w:r w:rsidR="00013622" w:rsidRPr="00400B3D">
        <w:t>immune cell</w:t>
      </w:r>
      <w:r w:rsidRPr="00400B3D">
        <w:t>)</w:t>
      </w:r>
    </w:p>
    <w:p w14:paraId="646FBAB0" w14:textId="1226929A" w:rsidR="00AA206B" w:rsidRDefault="00AA206B" w:rsidP="00400B3D">
      <w:r>
        <w:rPr>
          <w:noProof/>
          <w:lang w:val="en-GB" w:eastAsia="en-GB"/>
        </w:rPr>
        <w:drawing>
          <wp:inline distT="0" distB="0" distL="0" distR="0" wp14:anchorId="1FCB45D9" wp14:editId="33ABE734">
            <wp:extent cx="4631890" cy="1618343"/>
            <wp:effectExtent l="0" t="0" r="0" b="1270"/>
            <wp:docPr id="29" name="Picture 29" descr="Table 26: Reader precision of Ventana PD-L1 (SP142) assay staining of non-small cell lung cancer specimens (PD-L1 expression ≥ 50% tumour cell or 10% immune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able 26: Reader precision of Ventana PD-L1 (SP142) assay staining of non-small cell lung cancer specimens (PD-L1 expression ≥ 50% tumour cell or 10% immune cell)"/>
                    <pic:cNvPicPr/>
                  </pic:nvPicPr>
                  <pic:blipFill>
                    <a:blip r:embed="rId30"/>
                    <a:stretch>
                      <a:fillRect/>
                    </a:stretch>
                  </pic:blipFill>
                  <pic:spPr>
                    <a:xfrm>
                      <a:off x="0" y="0"/>
                      <a:ext cx="4663675" cy="1629448"/>
                    </a:xfrm>
                    <a:prstGeom prst="rect">
                      <a:avLst/>
                    </a:prstGeom>
                  </pic:spPr>
                </pic:pic>
              </a:graphicData>
            </a:graphic>
          </wp:inline>
        </w:drawing>
      </w:r>
    </w:p>
    <w:p w14:paraId="1154E080" w14:textId="153B7481" w:rsidR="00AA206B" w:rsidRPr="00400B3D" w:rsidRDefault="005E2B92" w:rsidP="00400B3D">
      <w:pPr>
        <w:pStyle w:val="TableDescription"/>
      </w:pPr>
      <w:r w:rsidRPr="00400B3D">
        <w:t xml:space="preserve">Abbreviations: </w:t>
      </w:r>
      <w:r w:rsidR="00AA206B" w:rsidRPr="00400B3D">
        <w:t>ANA = average negative agreement; APA = average positive agreement; CI = confidence interval; OPA = overall positive agreement</w:t>
      </w:r>
      <w:r w:rsidRPr="00400B3D">
        <w:t>; PD-L1 = programmed death-ligand 1.</w:t>
      </w:r>
    </w:p>
    <w:p w14:paraId="5BF3D4AA" w14:textId="4C322800" w:rsidR="00AA206B" w:rsidRPr="00400B3D" w:rsidRDefault="005E2B92" w:rsidP="00400B3D">
      <w:pPr>
        <w:pStyle w:val="TableDescription"/>
      </w:pPr>
      <w:r w:rsidRPr="00400B3D">
        <w:t xml:space="preserve">Source: </w:t>
      </w:r>
      <w:r w:rsidR="00AA206B" w:rsidRPr="00400B3D">
        <w:t>Extract of Australian Ventana SP142 package insert</w:t>
      </w:r>
      <w:r w:rsidR="00DE5259" w:rsidRPr="00400B3D">
        <w:t>.</w:t>
      </w:r>
    </w:p>
    <w:p w14:paraId="1FD62FDC" w14:textId="7CFEDC58" w:rsidR="00AA206B" w:rsidRPr="00716528" w:rsidRDefault="00AA206B" w:rsidP="00400B3D">
      <w:pPr>
        <w:pStyle w:val="TableTitle"/>
      </w:pPr>
      <w:bookmarkStart w:id="106" w:name="_Ref108452653"/>
      <w:r w:rsidRPr="00716528">
        <w:lastRenderedPageBreak/>
        <w:t xml:space="preserve">Table </w:t>
      </w:r>
      <w:fldSimple w:instr=" SEQ Table \* ARABIC ">
        <w:r w:rsidR="00C05B15">
          <w:rPr>
            <w:noProof/>
          </w:rPr>
          <w:t>27</w:t>
        </w:r>
      </w:fldSimple>
      <w:bookmarkEnd w:id="106"/>
      <w:r w:rsidRPr="00716528">
        <w:t>: Read</w:t>
      </w:r>
      <w:r w:rsidR="005E2B92">
        <w:t>er</w:t>
      </w:r>
      <w:r w:rsidRPr="00716528">
        <w:t xml:space="preserve"> precision of </w:t>
      </w:r>
      <w:r w:rsidR="00E60EE4" w:rsidRPr="00716528">
        <w:t>Ventana</w:t>
      </w:r>
      <w:r w:rsidRPr="00716528">
        <w:t xml:space="preserve"> PD-L1 (SP142) assay staining of </w:t>
      </w:r>
      <w:r w:rsidR="00725DB0" w:rsidRPr="00716528">
        <w:t xml:space="preserve">non-small cell lung cancer </w:t>
      </w:r>
      <w:r w:rsidRPr="00716528">
        <w:t>specimens (</w:t>
      </w:r>
      <w:r w:rsidR="005E2B92">
        <w:t>PD-L1</w:t>
      </w:r>
      <w:r w:rsidR="00725DB0" w:rsidRPr="00716528">
        <w:t xml:space="preserve"> </w:t>
      </w:r>
      <w:r w:rsidRPr="00716528">
        <w:t xml:space="preserve">expression ≥ 1% </w:t>
      </w:r>
      <w:r w:rsidR="00725DB0" w:rsidRPr="00716528">
        <w:t>tumour cell</w:t>
      </w:r>
      <w:r w:rsidRPr="00716528">
        <w:t xml:space="preserve"> or 1% </w:t>
      </w:r>
      <w:r w:rsidR="00725DB0" w:rsidRPr="00716528">
        <w:t>immune cell</w:t>
      </w:r>
      <w:r w:rsidRPr="00716528">
        <w:t>)</w:t>
      </w:r>
    </w:p>
    <w:p w14:paraId="7E42ED5C" w14:textId="6391E3CA" w:rsidR="00AA206B" w:rsidRPr="00AA206B" w:rsidRDefault="00AA206B" w:rsidP="00400B3D">
      <w:r>
        <w:rPr>
          <w:noProof/>
          <w:lang w:val="en-GB" w:eastAsia="en-GB"/>
        </w:rPr>
        <w:drawing>
          <wp:inline distT="0" distB="0" distL="0" distR="0" wp14:anchorId="6EDCA1C2" wp14:editId="5645A64B">
            <wp:extent cx="4640943" cy="1636486"/>
            <wp:effectExtent l="0" t="0" r="7620" b="1905"/>
            <wp:docPr id="30" name="Picture 30" descr="Table 27: Reader precision of Ventana PD-L1 (SP142) assay staining of non-small cell lung cancer specimens (PD-L1 expression ≥ 1% tumour cell or 1% immune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Table 27: Reader precision of Ventana PD-L1 (SP142) assay staining of non-small cell lung cancer specimens (PD-L1 expression ≥ 1% tumour cell or 1% immune cell)"/>
                    <pic:cNvPicPr/>
                  </pic:nvPicPr>
                  <pic:blipFill>
                    <a:blip r:embed="rId31"/>
                    <a:stretch>
                      <a:fillRect/>
                    </a:stretch>
                  </pic:blipFill>
                  <pic:spPr>
                    <a:xfrm>
                      <a:off x="0" y="0"/>
                      <a:ext cx="4675559" cy="1648692"/>
                    </a:xfrm>
                    <a:prstGeom prst="rect">
                      <a:avLst/>
                    </a:prstGeom>
                  </pic:spPr>
                </pic:pic>
              </a:graphicData>
            </a:graphic>
          </wp:inline>
        </w:drawing>
      </w:r>
    </w:p>
    <w:p w14:paraId="350E75F5" w14:textId="559D5BFD" w:rsidR="00AA206B" w:rsidRPr="00400B3D" w:rsidRDefault="005E2B92" w:rsidP="00400B3D">
      <w:pPr>
        <w:pStyle w:val="TableDescription"/>
      </w:pPr>
      <w:bookmarkStart w:id="107" w:name="_Ref106701465"/>
      <w:r w:rsidRPr="00400B3D">
        <w:t xml:space="preserve">Abbreviations: </w:t>
      </w:r>
      <w:r w:rsidR="00AA206B" w:rsidRPr="00400B3D">
        <w:t>ANA = average negative agreement; APA = average positive agreement; CI = confidence interval; OPA = overall positive agreement</w:t>
      </w:r>
      <w:r w:rsidRPr="00400B3D">
        <w:t>; PD-L1 = programmed death-ligand 1.</w:t>
      </w:r>
    </w:p>
    <w:bookmarkEnd w:id="107"/>
    <w:p w14:paraId="62B7D85C" w14:textId="490981EF" w:rsidR="006E5289" w:rsidRPr="00400B3D" w:rsidRDefault="005E2B92" w:rsidP="00400B3D">
      <w:pPr>
        <w:pStyle w:val="TableDescription"/>
      </w:pPr>
      <w:r w:rsidRPr="00400B3D">
        <w:t xml:space="preserve">Source: </w:t>
      </w:r>
      <w:r w:rsidR="006E5289" w:rsidRPr="00400B3D">
        <w:t>Extract of Australian Ventana SP142 package insert</w:t>
      </w:r>
      <w:r w:rsidR="00BC5166">
        <w:t>.</w:t>
      </w:r>
    </w:p>
    <w:p w14:paraId="6235EF56" w14:textId="4C6EBDD5" w:rsidR="00407D0F" w:rsidRDefault="00407D0F" w:rsidP="00FA12B6">
      <w:r>
        <w:t xml:space="preserve">The Blueprint study was a larger PD-L1 scoring reliability study of </w:t>
      </w:r>
      <w:r w:rsidRPr="004D73B9">
        <w:t>24 experienced pulmonary pathologists (</w:t>
      </w:r>
      <w:r w:rsidR="00FA12B6" w:rsidRPr="00FA12B6">
        <w:t>International Association for the Study of Lung Cancer</w:t>
      </w:r>
      <w:r w:rsidRPr="004D73B9">
        <w:t xml:space="preserve"> Pathology Committee members) from 15 countries across five continents</w:t>
      </w:r>
      <w:r>
        <w:t>, who were all given additional training that was particularly focussed on IC scoring using SP</w:t>
      </w:r>
      <w:r w:rsidRPr="004D73B9">
        <w:t>142–stained cases and</w:t>
      </w:r>
      <w:r w:rsidR="00FA12B6">
        <w:t xml:space="preserve"> the SP142 IC scoring algorithm.</w:t>
      </w:r>
      <w:bookmarkStart w:id="108" w:name="_Ref106762207"/>
      <w:r w:rsidR="00FA12B6">
        <w:rPr>
          <w:rStyle w:val="FootnoteReference"/>
        </w:rPr>
        <w:footnoteReference w:id="34"/>
      </w:r>
      <w:bookmarkEnd w:id="108"/>
      <w:r w:rsidRPr="004D73B9">
        <w:t xml:space="preserve"> </w:t>
      </w:r>
      <w:r>
        <w:t xml:space="preserve">This study found that scoring IC staining remains challenging, even for such experienced pathologists, after specific additional training. It demonstrated </w:t>
      </w:r>
      <w:r w:rsidRPr="004D73B9">
        <w:t xml:space="preserve">poor </w:t>
      </w:r>
      <w:r>
        <w:t xml:space="preserve">rates of interobserver </w:t>
      </w:r>
      <w:r w:rsidRPr="004D73B9">
        <w:t>agreement for assessment of PD-L1 staining on ICs</w:t>
      </w:r>
      <w:r>
        <w:t>, particularly between the non-zero IC categories</w:t>
      </w:r>
      <w:r w:rsidRPr="00F35758">
        <w:t>.</w:t>
      </w:r>
      <w:r>
        <w:t xml:space="preserve"> </w:t>
      </w:r>
      <w:r w:rsidRPr="00892410">
        <w:t>The</w:t>
      </w:r>
      <w:r>
        <w:t xml:space="preserve"> authors concluded that the</w:t>
      </w:r>
      <w:r w:rsidRPr="00892410">
        <w:t xml:space="preserve"> results </w:t>
      </w:r>
      <w:r w:rsidR="00FA12B6">
        <w:t>‘</w:t>
      </w:r>
      <w:r w:rsidRPr="00B50F71">
        <w:rPr>
          <w:i/>
          <w:iCs/>
        </w:rPr>
        <w:t>emphasize the significant challenges in incorporating IC score into routine clinical testing</w:t>
      </w:r>
      <w:r w:rsidR="00FA12B6">
        <w:t>’</w:t>
      </w:r>
      <w:r w:rsidRPr="00892410">
        <w:t>.</w:t>
      </w:r>
    </w:p>
    <w:p w14:paraId="21463C10" w14:textId="11CF01FE" w:rsidR="00456765" w:rsidRPr="00456765" w:rsidRDefault="00407D0F" w:rsidP="00427166">
      <w:r>
        <w:t>This complexity raises concerns about the reliability of the SP142 diagnostic in the community for identification of IC3 scoring. As this is a co-dependent technology for the proposed indication, it is not clear that the SP142 test has sufficient real world inter-observer reliability to be considered an acceptable companion diagnostic for IC scoring in NSCLC. Expert advisory committee ad</w:t>
      </w:r>
      <w:r w:rsidR="00427166">
        <w:t xml:space="preserve">vice is sought on this subject (see </w:t>
      </w:r>
      <w:r w:rsidR="00F659BC">
        <w:t>S</w:t>
      </w:r>
      <w:r w:rsidR="00427166">
        <w:t xml:space="preserve">ection: </w:t>
      </w:r>
      <w:r w:rsidR="00427166">
        <w:fldChar w:fldCharType="begin"/>
      </w:r>
      <w:r w:rsidR="00427166">
        <w:instrText xml:space="preserve"> REF _Ref107383513 \h </w:instrText>
      </w:r>
      <w:r w:rsidR="00427166">
        <w:fldChar w:fldCharType="separate"/>
      </w:r>
      <w:r w:rsidR="00C05B15" w:rsidRPr="00F73346">
        <w:t>Advisory Committee considerations</w:t>
      </w:r>
      <w:r w:rsidR="00427166">
        <w:fldChar w:fldCharType="end"/>
      </w:r>
      <w:r w:rsidR="00427166">
        <w:t>, below).</w:t>
      </w:r>
      <w:bookmarkStart w:id="109" w:name="_Toc314842514"/>
    </w:p>
    <w:p w14:paraId="1E7AF46D" w14:textId="77777777" w:rsidR="008E7846" w:rsidRDefault="00386150" w:rsidP="00DE31C1">
      <w:pPr>
        <w:pStyle w:val="Heading3"/>
        <w:rPr>
          <w:lang w:eastAsia="en-AU"/>
        </w:rPr>
      </w:pPr>
      <w:bookmarkStart w:id="110" w:name="_Toc110856884"/>
      <w:r>
        <w:rPr>
          <w:lang w:eastAsia="en-AU"/>
        </w:rPr>
        <w:t>Risk m</w:t>
      </w:r>
      <w:r w:rsidR="008E7846">
        <w:rPr>
          <w:lang w:eastAsia="en-AU"/>
        </w:rPr>
        <w:t xml:space="preserve">anagement </w:t>
      </w:r>
      <w:r>
        <w:rPr>
          <w:lang w:eastAsia="en-AU"/>
        </w:rPr>
        <w:t>p</w:t>
      </w:r>
      <w:r w:rsidR="008E7846">
        <w:rPr>
          <w:lang w:eastAsia="en-AU"/>
        </w:rPr>
        <w:t>lan</w:t>
      </w:r>
      <w:bookmarkEnd w:id="109"/>
      <w:bookmarkEnd w:id="110"/>
    </w:p>
    <w:p w14:paraId="2BBD73C4" w14:textId="5E2FDC0B" w:rsidR="0074163C" w:rsidRDefault="0074163C" w:rsidP="0074163C">
      <w:bookmarkStart w:id="111" w:name="_Toc247691531"/>
      <w:bookmarkStart w:id="112" w:name="_Toc314842515"/>
      <w:bookmarkStart w:id="113" w:name="_Toc196046505"/>
      <w:bookmarkStart w:id="114" w:name="_Toc196046949"/>
      <w:r>
        <w:t>The sponsor is required to comply with</w:t>
      </w:r>
      <w:r w:rsidRPr="008964B6">
        <w:t xml:space="preserve"> product vigilance and risk minimisation requirements</w:t>
      </w:r>
      <w:r>
        <w:t>.</w:t>
      </w:r>
    </w:p>
    <w:p w14:paraId="6D19865B" w14:textId="38687542" w:rsidR="00427166" w:rsidRDefault="00427166" w:rsidP="0074163C">
      <w:r>
        <w:t xml:space="preserve">Further information regarding the TGA’s risk management approach can be found in </w:t>
      </w:r>
      <w:hyperlink r:id="rId32" w:history="1">
        <w:r w:rsidRPr="0023444E">
          <w:rPr>
            <w:rStyle w:val="Hyperlink"/>
          </w:rPr>
          <w:t>risk management plans for medicines and biologicals</w:t>
        </w:r>
      </w:hyperlink>
      <w:r>
        <w:t xml:space="preserve"> and </w:t>
      </w:r>
      <w:hyperlink r:id="rId33" w:history="1">
        <w:r w:rsidRPr="0023444E">
          <w:rPr>
            <w:rStyle w:val="Hyperlink"/>
          </w:rPr>
          <w:t>the TGA's risk management approach</w:t>
        </w:r>
      </w:hyperlink>
      <w:r>
        <w:t>.</w:t>
      </w:r>
    </w:p>
    <w:p w14:paraId="39433BB1" w14:textId="77777777" w:rsidR="008E7846" w:rsidRDefault="00AA0ED0" w:rsidP="00DE31C1">
      <w:pPr>
        <w:pStyle w:val="Heading3"/>
      </w:pPr>
      <w:bookmarkStart w:id="115" w:name="_Toc110856885"/>
      <w:r>
        <w:lastRenderedPageBreak/>
        <w:t>Risk-benefit a</w:t>
      </w:r>
      <w:r w:rsidR="008E7846">
        <w:t>nalysis</w:t>
      </w:r>
      <w:bookmarkEnd w:id="111"/>
      <w:bookmarkEnd w:id="112"/>
      <w:bookmarkEnd w:id="115"/>
    </w:p>
    <w:p w14:paraId="0C9AD799" w14:textId="6FD5B647" w:rsidR="0074163C" w:rsidRDefault="0074163C" w:rsidP="00DE31C1">
      <w:pPr>
        <w:pStyle w:val="Heading4"/>
      </w:pPr>
      <w:bookmarkStart w:id="116" w:name="_Toc98931932"/>
      <w:r>
        <w:t>Delegate’s considerations</w:t>
      </w:r>
      <w:bookmarkEnd w:id="116"/>
    </w:p>
    <w:p w14:paraId="0243F5F9" w14:textId="77777777" w:rsidR="009F442E" w:rsidRDefault="009F442E" w:rsidP="00DE31C1">
      <w:pPr>
        <w:pStyle w:val="Heading5"/>
      </w:pPr>
      <w:bookmarkStart w:id="117" w:name="_Ref63843975"/>
      <w:bookmarkStart w:id="118" w:name="_Ref62648280"/>
      <w:r>
        <w:t>Confounding by subsequent therapy</w:t>
      </w:r>
      <w:bookmarkEnd w:id="117"/>
    </w:p>
    <w:p w14:paraId="04400B02" w14:textId="27020596" w:rsidR="009F442E" w:rsidRPr="009F442E" w:rsidRDefault="009F442E" w:rsidP="009F442E">
      <w:r w:rsidRPr="009F442E">
        <w:t xml:space="preserve">For all </w:t>
      </w:r>
      <w:r w:rsidR="005E2B92">
        <w:t>three</w:t>
      </w:r>
      <w:r w:rsidRPr="009F442E">
        <w:t xml:space="preserve"> efficacy populations (PD-L1 high, PD-L1 high-or-intermediate, and all</w:t>
      </w:r>
      <w:r w:rsidR="005E2B92">
        <w:noBreakHyphen/>
      </w:r>
      <w:r w:rsidRPr="009F442E">
        <w:t>comers)</w:t>
      </w:r>
      <w:r w:rsidR="005E2B92">
        <w:t>;</w:t>
      </w:r>
      <w:r w:rsidR="005E2B92">
        <w:rPr>
          <w:rStyle w:val="FootnoteReference"/>
        </w:rPr>
        <w:footnoteReference w:id="35"/>
      </w:r>
      <w:r w:rsidRPr="009F442E">
        <w:t xml:space="preserve"> the rates of follow-up immunotherapy received in the chemotherapy and atezolizumab arms were around 30% and around 3%, respectively.</w:t>
      </w:r>
    </w:p>
    <w:p w14:paraId="27F2EC06" w14:textId="77777777" w:rsidR="009F442E" w:rsidRPr="009F442E" w:rsidRDefault="009F442E" w:rsidP="009F442E">
      <w:r w:rsidRPr="009F442E">
        <w:t>The much higher rate of post-study immunotherapy in the chemotherapy arm than the atezolizumab arm, regardless of PD-L1 status, may have confounded the primary efficacy endpoint and underestimation of the benefit of atezolizumab compared to chemotherapy.</w:t>
      </w:r>
    </w:p>
    <w:p w14:paraId="2D5577AA" w14:textId="77777777" w:rsidR="009F442E" w:rsidRDefault="009F442E" w:rsidP="00DE31C1">
      <w:pPr>
        <w:pStyle w:val="Heading5"/>
      </w:pPr>
      <w:bookmarkStart w:id="119" w:name="_Ref63954103"/>
      <w:r>
        <w:t>Primary efficacy population</w:t>
      </w:r>
      <w:bookmarkEnd w:id="118"/>
      <w:bookmarkEnd w:id="119"/>
    </w:p>
    <w:p w14:paraId="42DC8904" w14:textId="229CD347" w:rsidR="009F442E" w:rsidRDefault="009F442E" w:rsidP="009F442E">
      <w:r w:rsidRPr="003F3ED7">
        <w:t>The primary endpoint has been measured in a subgroup of the ITT that does not match stratification</w:t>
      </w:r>
      <w:r>
        <w:t xml:space="preserve">: the TC3 and/or IC3 population. See </w:t>
      </w:r>
      <w:r w:rsidR="00B15BCB">
        <w:t xml:space="preserve">Section: </w:t>
      </w:r>
      <w:r w:rsidRPr="00B50F71">
        <w:rPr>
          <w:iCs/>
        </w:rPr>
        <w:fldChar w:fldCharType="begin"/>
      </w:r>
      <w:r w:rsidRPr="00B50F71">
        <w:rPr>
          <w:iCs/>
        </w:rPr>
        <w:instrText xml:space="preserve"> REF _Ref63853050 \h  \* MERGEFORMAT </w:instrText>
      </w:r>
      <w:r w:rsidRPr="00B50F71">
        <w:rPr>
          <w:iCs/>
        </w:rPr>
      </w:r>
      <w:r w:rsidRPr="00B50F71">
        <w:rPr>
          <w:iCs/>
        </w:rPr>
        <w:fldChar w:fldCharType="separate"/>
      </w:r>
      <w:r w:rsidR="00C05B15" w:rsidRPr="00C05B15">
        <w:rPr>
          <w:iCs/>
        </w:rPr>
        <w:t>Complexity 3: changing definitions of programmed death-ligand 1 levels for both enrolment eligibility and stratification, and timing of</w:t>
      </w:r>
      <w:r w:rsidR="00C05B15">
        <w:t xml:space="preserve"> this change</w:t>
      </w:r>
      <w:r w:rsidRPr="00B50F71">
        <w:rPr>
          <w:iCs/>
        </w:rPr>
        <w:fldChar w:fldCharType="end"/>
      </w:r>
      <w:r w:rsidRPr="00B15BCB">
        <w:rPr>
          <w:iCs/>
        </w:rPr>
        <w:t>.</w:t>
      </w:r>
    </w:p>
    <w:p w14:paraId="21812EE4" w14:textId="469AF50C" w:rsidR="009F442E" w:rsidRPr="00E2792A" w:rsidRDefault="009F442E" w:rsidP="009F442E">
      <w:r>
        <w:t>The clinical evaluator expressed concern that this invalidates the primary efficacy endpoint. However, w</w:t>
      </w:r>
      <w:r w:rsidRPr="00E2792A">
        <w:t xml:space="preserve">hilst </w:t>
      </w:r>
      <w:r>
        <w:t>it</w:t>
      </w:r>
      <w:r w:rsidRPr="00E2792A">
        <w:t xml:space="preserve"> is not best practice, a subgroup analysis is not necessarily invalidated just because randomisation has not been stratified i</w:t>
      </w:r>
      <w:r>
        <w:t xml:space="preserve">n alignment with that subgroup (from </w:t>
      </w:r>
      <w:proofErr w:type="spellStart"/>
      <w:r>
        <w:t>Tanniou</w:t>
      </w:r>
      <w:proofErr w:type="spellEnd"/>
      <w:r>
        <w:t xml:space="preserve"> et al. (2016)</w:t>
      </w:r>
      <w:r w:rsidR="002F5B7F">
        <w:t>)</w:t>
      </w:r>
      <w:r>
        <w:t>:</w:t>
      </w:r>
      <w:r>
        <w:rPr>
          <w:rStyle w:val="FootnoteReference"/>
        </w:rPr>
        <w:footnoteReference w:id="36"/>
      </w:r>
    </w:p>
    <w:p w14:paraId="73F0A71C" w14:textId="5B222F61" w:rsidR="009F442E" w:rsidRPr="009F442E" w:rsidRDefault="002F5B7F" w:rsidP="00DE31C1">
      <w:pPr>
        <w:pStyle w:val="Listparagraphitalics"/>
      </w:pPr>
      <w:r>
        <w:t>‘</w:t>
      </w:r>
      <w:r w:rsidR="009F442E" w:rsidRPr="00B50F71">
        <w:t xml:space="preserve">In general, the consensus is that the validity of a subgroup finding is improved when stratified for at randomisation </w:t>
      </w:r>
      <w:r w:rsidR="0046773A" w:rsidRPr="00B50F71">
        <w:t>(</w:t>
      </w:r>
      <w:r w:rsidR="009F442E" w:rsidRPr="00B50F71">
        <w:t>8–10, 16, 20, 21, 49, 61</w:t>
      </w:r>
      <w:r w:rsidR="0046773A" w:rsidRPr="00B50F71">
        <w:t>)</w:t>
      </w:r>
      <w:r w:rsidR="009F442E" w:rsidRPr="00B50F71">
        <w:t xml:space="preserve">. Kaiser </w:t>
      </w:r>
      <w:r w:rsidR="0046773A" w:rsidRPr="00B50F71">
        <w:t>(</w:t>
      </w:r>
      <w:r w:rsidR="009F442E" w:rsidRPr="00B50F71">
        <w:t>84</w:t>
      </w:r>
      <w:r w:rsidR="0046773A" w:rsidRPr="00B50F71">
        <w:t>)</w:t>
      </w:r>
      <w:r w:rsidR="009F442E" w:rsidRPr="00B50F71">
        <w:t>, on the contrary, argued that even when randomization is not stratified for the subgroup of interest, the treatment group sample sizes in a pre-specified subgroup on average attain the desired allocation fraction of the study overall.</w:t>
      </w:r>
      <w:r>
        <w:t>’</w:t>
      </w:r>
    </w:p>
    <w:p w14:paraId="7247C58B" w14:textId="3C0F386C" w:rsidR="009F442E" w:rsidRDefault="009F442E" w:rsidP="00DE31C1">
      <w:r>
        <w:t xml:space="preserve">As outlined by </w:t>
      </w:r>
      <w:proofErr w:type="spellStart"/>
      <w:r>
        <w:t>Grouin</w:t>
      </w:r>
      <w:proofErr w:type="spellEnd"/>
      <w:r>
        <w:t xml:space="preserve"> et al. (2005):</w:t>
      </w:r>
      <w:bookmarkStart w:id="120" w:name="_Ref106702831"/>
      <w:r>
        <w:rPr>
          <w:rStyle w:val="FootnoteReference"/>
        </w:rPr>
        <w:footnoteReference w:id="37"/>
      </w:r>
      <w:bookmarkEnd w:id="120"/>
    </w:p>
    <w:p w14:paraId="022537C3" w14:textId="422AA3A8" w:rsidR="009F442E" w:rsidRPr="00B50F71" w:rsidRDefault="002F5B7F" w:rsidP="00DE31C1">
      <w:pPr>
        <w:pStyle w:val="Listparagraphitalics"/>
      </w:pPr>
      <w:r>
        <w:t>‘</w:t>
      </w:r>
      <w:r w:rsidR="009F442E" w:rsidRPr="00B50F71">
        <w:t xml:space="preserve">One issue that frequently arises in regulatory work is the questionable validity of a subgroup analysis when the randomization is not stratified with respect to that subgroup </w:t>
      </w:r>
      <w:r w:rsidR="0046773A" w:rsidRPr="00B50F71">
        <w:t>(</w:t>
      </w:r>
      <w:r w:rsidR="009F442E" w:rsidRPr="00B50F71">
        <w:t>…</w:t>
      </w:r>
      <w:r w:rsidR="0046773A" w:rsidRPr="00B50F71">
        <w:t>)</w:t>
      </w:r>
      <w:r w:rsidR="009F442E" w:rsidRPr="00B50F71">
        <w:t xml:space="preserve"> even when randomization is stratified with respect to the subgroup, moderate treatment imbalance within the subgroup may still be observed post hoc. Indeed, some small degree of imbalance is quite likely.</w:t>
      </w:r>
    </w:p>
    <w:p w14:paraId="68D8DCD3" w14:textId="78D5431D" w:rsidR="009F442E" w:rsidRPr="00B50F71" w:rsidRDefault="009F442E" w:rsidP="009F442E">
      <w:pPr>
        <w:ind w:left="720"/>
        <w:rPr>
          <w:i/>
          <w:iCs/>
        </w:rPr>
      </w:pPr>
      <w:r w:rsidRPr="00B50F71">
        <w:rPr>
          <w:i/>
          <w:iCs/>
        </w:rPr>
        <w:t>In this respect, the advantage of stratified randomization, compared with simple randomization, is to reduce the risk of getting a large imbalance that could affect irremediably the interpretation of the results and undermine their credibility. Hence, stratification is most likely to be worthwhile in subgroups of low or even moderate size rather than in large subgroups for which the risk of getting a large imbalance is lower.</w:t>
      </w:r>
    </w:p>
    <w:p w14:paraId="629C7234" w14:textId="287C9CA2" w:rsidR="009F442E" w:rsidRPr="00B50F71" w:rsidRDefault="009F442E" w:rsidP="009F442E">
      <w:pPr>
        <w:ind w:left="720"/>
        <w:rPr>
          <w:i/>
          <w:iCs/>
        </w:rPr>
      </w:pPr>
      <w:r w:rsidRPr="00B50F71">
        <w:rPr>
          <w:i/>
          <w:iCs/>
        </w:rPr>
        <w:t xml:space="preserve">It should also be added that stratification is of less interest if the subgroups are not prognostic of the primary efficacy criterion. However, many trials have multiple </w:t>
      </w:r>
      <w:r w:rsidRPr="00B50F71">
        <w:rPr>
          <w:i/>
          <w:iCs/>
        </w:rPr>
        <w:lastRenderedPageBreak/>
        <w:t>efficacy objectives for any of which stratification could be appropriate. In addition, when safety in subgroups is a specific major consideration, stratification could be appropriate even if it does not provide any advantage for the evaluation of efficacy.</w:t>
      </w:r>
    </w:p>
    <w:p w14:paraId="4795F39A" w14:textId="75AB6E95" w:rsidR="009F442E" w:rsidRPr="009F442E" w:rsidRDefault="009F442E" w:rsidP="009F442E">
      <w:pPr>
        <w:ind w:left="720"/>
      </w:pPr>
      <w:r w:rsidRPr="00B50F71">
        <w:rPr>
          <w:i/>
          <w:iCs/>
        </w:rPr>
        <w:t xml:space="preserve">However, in </w:t>
      </w:r>
      <w:r w:rsidRPr="002F5B7F">
        <w:rPr>
          <w:i/>
          <w:iCs/>
        </w:rPr>
        <w:t>no case</w:t>
      </w:r>
      <w:r w:rsidRPr="00B50F71">
        <w:rPr>
          <w:i/>
          <w:iCs/>
        </w:rPr>
        <w:t xml:space="preserve"> is stratified randomization a necessary condition for the results of a subgroup analysis to be valid. </w:t>
      </w:r>
      <w:r w:rsidR="0046773A" w:rsidRPr="00B50F71">
        <w:rPr>
          <w:i/>
          <w:iCs/>
        </w:rPr>
        <w:t>(</w:t>
      </w:r>
      <w:r w:rsidRPr="00B50F71">
        <w:rPr>
          <w:i/>
          <w:iCs/>
        </w:rPr>
        <w:t>…</w:t>
      </w:r>
      <w:r w:rsidR="0046773A" w:rsidRPr="00B50F71">
        <w:rPr>
          <w:i/>
          <w:iCs/>
        </w:rPr>
        <w:t>)</w:t>
      </w:r>
      <w:r w:rsidRPr="00B50F71">
        <w:rPr>
          <w:i/>
          <w:iCs/>
        </w:rPr>
        <w:t xml:space="preserve"> A valid randomization is a necessary condition for the validity of a subgroup analysis. Stratified randomization with respect to the subgroup is not a necessary condition for the validity of the subgroup </w:t>
      </w:r>
      <w:proofErr w:type="gramStart"/>
      <w:r w:rsidRPr="00B50F71">
        <w:rPr>
          <w:i/>
          <w:iCs/>
        </w:rPr>
        <w:t>analysis, but</w:t>
      </w:r>
      <w:proofErr w:type="gramEnd"/>
      <w:r w:rsidRPr="00B50F71">
        <w:rPr>
          <w:i/>
          <w:iCs/>
        </w:rPr>
        <w:t xml:space="preserve"> enhances the credibility of the findings. In practice, the need for stratified randomization is less obvious for large subgroups.</w:t>
      </w:r>
      <w:r w:rsidR="002F5B7F">
        <w:t>’</w:t>
      </w:r>
    </w:p>
    <w:p w14:paraId="5EAF2E57" w14:textId="3E4F5A51" w:rsidR="009F442E" w:rsidRDefault="00B15BCB" w:rsidP="00DE31C1">
      <w:r>
        <w:t>I</w:t>
      </w:r>
      <w:r w:rsidR="009F442E">
        <w:t>n conclusion, testing of the primary efficacy endpoint in a subgroup of the</w:t>
      </w:r>
      <w:r w:rsidR="00725DB0">
        <w:t xml:space="preserve"> ITT</w:t>
      </w:r>
      <w:r w:rsidR="009F442E">
        <w:t xml:space="preserve"> population can be credible where the subgroup is clinically and scientifically justifiable, pre-specified and alpha controlled.</w:t>
      </w:r>
    </w:p>
    <w:p w14:paraId="0191AB48" w14:textId="0548AB86" w:rsidR="009F442E" w:rsidRDefault="009F442E" w:rsidP="009F442E">
      <w:r>
        <w:t>Further, testing of the primary endpoint in a subgroup that was not a randomisation stratum does not invalidate the result</w:t>
      </w:r>
      <w:r w:rsidRPr="003D6370">
        <w:rPr>
          <w:i/>
        </w:rPr>
        <w:t xml:space="preserve"> </w:t>
      </w:r>
      <w:r w:rsidRPr="005F4CCE">
        <w:rPr>
          <w:i/>
        </w:rPr>
        <w:t>per se</w:t>
      </w:r>
      <w:r>
        <w:t xml:space="preserve">. However, the findings may be less credible in a subgroup in which there is imbalance of prognostic baseline characteristic due to chance, which is more likely to occur if the subgroup is </w:t>
      </w:r>
      <w:proofErr w:type="gramStart"/>
      <w:r>
        <w:t>small, and</w:t>
      </w:r>
      <w:proofErr w:type="gramEnd"/>
      <w:r>
        <w:t xml:space="preserve"> was not congruent with a randomisation stratum.</w:t>
      </w:r>
    </w:p>
    <w:p w14:paraId="4C649D4E" w14:textId="77777777" w:rsidR="009F442E" w:rsidRDefault="009F442E" w:rsidP="009F442E">
      <w:pPr>
        <w:pStyle w:val="Heading5"/>
      </w:pPr>
      <w:bookmarkStart w:id="121" w:name="_Ref63434204"/>
      <w:r>
        <w:t>Imbalances in baseline characteristics</w:t>
      </w:r>
      <w:bookmarkEnd w:id="121"/>
    </w:p>
    <w:p w14:paraId="4AF3A35C" w14:textId="139D0ACF" w:rsidR="009F442E" w:rsidRPr="009E4B77" w:rsidRDefault="009F442E" w:rsidP="009F442E">
      <w:r w:rsidRPr="009E4B77">
        <w:t>Regarding imbalances in measured characteristics</w:t>
      </w:r>
      <w:r>
        <w:t xml:space="preserve"> in the </w:t>
      </w:r>
      <w:r w:rsidR="009258F9">
        <w:t>IMPOWER</w:t>
      </w:r>
      <w:r>
        <w:t>110 trial (Study</w:t>
      </w:r>
      <w:r w:rsidR="00B15BCB">
        <w:t> </w:t>
      </w:r>
      <w:r>
        <w:t xml:space="preserve">GO29431) more broadly, the </w:t>
      </w:r>
      <w:r w:rsidRPr="009E4B77">
        <w:t>TGA</w:t>
      </w:r>
      <w:r w:rsidR="003348FB">
        <w:t>’s</w:t>
      </w:r>
      <w:r w:rsidRPr="009E4B77">
        <w:t xml:space="preserve"> clinical evaluat</w:t>
      </w:r>
      <w:r w:rsidR="003348FB">
        <w:t>ion</w:t>
      </w:r>
      <w:r w:rsidRPr="009E4B77">
        <w:t xml:space="preserve"> </w:t>
      </w:r>
      <w:r>
        <w:t>noted</w:t>
      </w:r>
      <w:r w:rsidRPr="009E4B77">
        <w:t>:</w:t>
      </w:r>
    </w:p>
    <w:p w14:paraId="7FCEE68C" w14:textId="77777777" w:rsidR="009F442E" w:rsidRPr="009F442E" w:rsidRDefault="009F442E" w:rsidP="009F442E">
      <w:pPr>
        <w:ind w:left="720"/>
      </w:pPr>
      <w:r w:rsidRPr="009F442E">
        <w:t>Several of these factors potentially favour the investigational arm. While less important in large, randomised studies, when the analysis relies on a smaller subpopulation, such imbalances may lead to an overestimate of the treatment effect.</w:t>
      </w:r>
    </w:p>
    <w:p w14:paraId="3F6F78CD" w14:textId="0AB46D56" w:rsidR="009F442E" w:rsidRPr="00147647" w:rsidRDefault="009F442E" w:rsidP="009F442E">
      <w:r>
        <w:t xml:space="preserve">In the sponsor’s response to the TGA’s second round </w:t>
      </w:r>
      <w:r w:rsidR="003348FB">
        <w:t xml:space="preserve">of </w:t>
      </w:r>
      <w:r>
        <w:t>clinical evaluation, the sponsor stated:</w:t>
      </w:r>
    </w:p>
    <w:p w14:paraId="327A38B3" w14:textId="13C77FBF" w:rsidR="009F442E" w:rsidRPr="009F442E" w:rsidRDefault="009F442E" w:rsidP="009F442E">
      <w:pPr>
        <w:ind w:left="720"/>
      </w:pPr>
      <w:r w:rsidRPr="009F442E">
        <w:t xml:space="preserve">After the changes introduced in protocol version 5 (June 2016) and in the proposed protocol version 6, the </w:t>
      </w:r>
      <w:r w:rsidR="002F5B7F">
        <w:t>s</w:t>
      </w:r>
      <w:r w:rsidRPr="009F442E">
        <w:t xml:space="preserve">ponsor sought </w:t>
      </w:r>
      <w:r w:rsidR="002F5B7F">
        <w:t>s</w:t>
      </w:r>
      <w:r w:rsidRPr="009F442E">
        <w:t xml:space="preserve">cientific </w:t>
      </w:r>
      <w:r w:rsidR="002F5B7F">
        <w:t>a</w:t>
      </w:r>
      <w:r w:rsidRPr="009F442E">
        <w:t xml:space="preserve">dvice from the Danish Health and Medicines Agency (DHMA) (EU </w:t>
      </w:r>
      <w:r w:rsidR="002F5B7F">
        <w:t>r</w:t>
      </w:r>
      <w:r w:rsidRPr="009F442E">
        <w:t>apporteur) and Paul-Ehrlich-</w:t>
      </w:r>
      <w:proofErr w:type="spellStart"/>
      <w:r w:rsidRPr="009F442E">
        <w:t>Institut</w:t>
      </w:r>
      <w:proofErr w:type="spellEnd"/>
      <w:r w:rsidRPr="009F442E">
        <w:t xml:space="preserve"> (PEI) (EU </w:t>
      </w:r>
      <w:r w:rsidR="002F5B7F">
        <w:t>c</w:t>
      </w:r>
      <w:r w:rsidRPr="009F442E">
        <w:t xml:space="preserve">o- </w:t>
      </w:r>
      <w:r w:rsidR="002F5B7F">
        <w:t>r</w:t>
      </w:r>
      <w:r w:rsidRPr="009F442E">
        <w:t xml:space="preserve">apporteur) in December 2016 and sought feedback from </w:t>
      </w:r>
      <w:r w:rsidR="002F5B7F">
        <w:t xml:space="preserve">the US </w:t>
      </w:r>
      <w:r w:rsidRPr="009F442E">
        <w:t>FDA</w:t>
      </w:r>
      <w:r>
        <w:t xml:space="preserve"> </w:t>
      </w:r>
      <w:r w:rsidRPr="009F442E">
        <w:t>in February 2017 on the atezolizumab 1</w:t>
      </w:r>
      <w:r w:rsidR="002F5B7F">
        <w:t> </w:t>
      </w:r>
      <w:r w:rsidRPr="009F442E">
        <w:t xml:space="preserve">L NSCLC program, including on the impact assessment of change in stratification levels of PD-L1 status for </w:t>
      </w:r>
      <w:r w:rsidR="002F5B7F">
        <w:t xml:space="preserve">the </w:t>
      </w:r>
      <w:r w:rsidR="009258F9" w:rsidRPr="009F442E">
        <w:t>IMPOWER</w:t>
      </w:r>
      <w:r w:rsidRPr="009F442E">
        <w:t>110</w:t>
      </w:r>
      <w:r w:rsidR="002F5B7F">
        <w:t xml:space="preserve"> trial</w:t>
      </w:r>
      <w:r w:rsidRPr="009F442E">
        <w:t xml:space="preserve">. DHMA and PEI did not see any major risks or express concerns about potential inconsistency between the biomarker stratification factors and primary analysis population due to changes in the biomarker definition. FDA noted that, in general, the primary analysis should be based on randomization and suggested that the </w:t>
      </w:r>
      <w:r w:rsidR="002F5B7F">
        <w:t>s</w:t>
      </w:r>
      <w:r w:rsidRPr="009F442E">
        <w:t>ponsor conduct sensitivity analyses to assess whether there were any biases due to exclusion of a subset of the randomized patients.</w:t>
      </w:r>
    </w:p>
    <w:p w14:paraId="15DDF7E8" w14:textId="3E03CE4F" w:rsidR="009F442E" w:rsidRPr="009F18FC" w:rsidRDefault="009F442E" w:rsidP="009F18FC">
      <w:pPr>
        <w:ind w:left="720"/>
      </w:pPr>
      <w:r w:rsidRPr="009F18FC">
        <w:t xml:space="preserve">The objective of stratified randomization is to ensure the balance of clinical prognostic factors between the treatment arms. Although from Protocol version 5 onward, the enrolled patient population in the </w:t>
      </w:r>
      <w:r w:rsidR="009258F9" w:rsidRPr="009F18FC">
        <w:t>IMPOWER</w:t>
      </w:r>
      <w:r w:rsidRPr="009F18FC">
        <w:t xml:space="preserve">110 study was expanded from TC3 or IC3 patients to TC1/2/3 or IC1/2/3, and the stratification levels of PD-L1 status were changed accordingly, the demographics and key baseline characteristics were generally balanced between treatment arms in the TC3 or IC3-WT subpopulation. Given this balanced distribution, the </w:t>
      </w:r>
      <w:r w:rsidR="002F5B7F">
        <w:t>s</w:t>
      </w:r>
      <w:r w:rsidRPr="009F18FC">
        <w:t>ponsor did not conduct sensitivity analyses to evaluate the impact of the change in stratification levels, and FDA did not request such analyses during the filing.</w:t>
      </w:r>
    </w:p>
    <w:p w14:paraId="7F7C40B1" w14:textId="5074D469" w:rsidR="009F442E" w:rsidRPr="005F4CCE" w:rsidRDefault="009F442E" w:rsidP="00427166">
      <w:pPr>
        <w:ind w:firstLine="720"/>
      </w:pPr>
      <w:proofErr w:type="spellStart"/>
      <w:r w:rsidRPr="005F4CCE">
        <w:t>Grouin</w:t>
      </w:r>
      <w:proofErr w:type="spellEnd"/>
      <w:r w:rsidRPr="005F4CCE">
        <w:t xml:space="preserve"> et al</w:t>
      </w:r>
      <w:r w:rsidR="009F18FC">
        <w:t>. (2005)</w:t>
      </w:r>
      <w:r>
        <w:t xml:space="preserve"> observe</w:t>
      </w:r>
      <w:r w:rsidRPr="005F4CCE">
        <w:t>:</w:t>
      </w:r>
      <w:r w:rsidR="009F18FC" w:rsidRPr="009F18FC">
        <w:rPr>
          <w:vertAlign w:val="superscript"/>
        </w:rPr>
        <w:fldChar w:fldCharType="begin"/>
      </w:r>
      <w:r w:rsidR="009F18FC" w:rsidRPr="009F18FC">
        <w:rPr>
          <w:vertAlign w:val="superscript"/>
        </w:rPr>
        <w:instrText xml:space="preserve"> NOTEREF _Ref106702831 \h </w:instrText>
      </w:r>
      <w:r w:rsidR="009F18FC">
        <w:rPr>
          <w:vertAlign w:val="superscript"/>
        </w:rPr>
        <w:instrText xml:space="preserve"> \* MERGEFORMAT </w:instrText>
      </w:r>
      <w:r w:rsidR="009F18FC" w:rsidRPr="009F18FC">
        <w:rPr>
          <w:vertAlign w:val="superscript"/>
        </w:rPr>
      </w:r>
      <w:r w:rsidR="009F18FC" w:rsidRPr="009F18FC">
        <w:rPr>
          <w:vertAlign w:val="superscript"/>
        </w:rPr>
        <w:fldChar w:fldCharType="separate"/>
      </w:r>
      <w:r w:rsidR="00C05B15">
        <w:rPr>
          <w:vertAlign w:val="superscript"/>
        </w:rPr>
        <w:t>37</w:t>
      </w:r>
      <w:r w:rsidR="009F18FC" w:rsidRPr="009F18FC">
        <w:rPr>
          <w:vertAlign w:val="superscript"/>
        </w:rPr>
        <w:fldChar w:fldCharType="end"/>
      </w:r>
    </w:p>
    <w:p w14:paraId="5CCAB618" w14:textId="24428792" w:rsidR="009F442E" w:rsidRPr="00B50F71" w:rsidRDefault="002F5B7F" w:rsidP="009F18FC">
      <w:pPr>
        <w:ind w:left="720"/>
        <w:rPr>
          <w:i/>
          <w:iCs/>
        </w:rPr>
      </w:pPr>
      <w:r w:rsidRPr="00B50F71">
        <w:rPr>
          <w:i/>
          <w:iCs/>
        </w:rPr>
        <w:lastRenderedPageBreak/>
        <w:t>‘</w:t>
      </w:r>
      <w:r w:rsidR="009F442E" w:rsidRPr="00B50F71">
        <w:rPr>
          <w:i/>
          <w:iCs/>
        </w:rPr>
        <w:t xml:space="preserve">Whether or not a trial is stratified by subgroup (and other factors), and whatever approach to the analysis is planned in the protocol, the occurrence of baseline imbalance within a subgroup is frequently a major concern for investigators or regulatory assessors. Of course, this issue is not specific to this context and applies also to the overall analysis. Once again, it is worth recalling that one of the aims of randomization is to balance treatment groups across all known and unknown prognostic factors. However, balance is achieved only on the average overall possible randomizations, and given the randomization that has </w:t>
      </w:r>
      <w:proofErr w:type="gramStart"/>
      <w:r w:rsidR="009F442E" w:rsidRPr="00B50F71">
        <w:rPr>
          <w:i/>
          <w:iCs/>
        </w:rPr>
        <w:t>actually taken</w:t>
      </w:r>
      <w:proofErr w:type="gramEnd"/>
      <w:r w:rsidR="009F442E" w:rsidRPr="00B50F71">
        <w:rPr>
          <w:i/>
          <w:iCs/>
        </w:rPr>
        <w:t xml:space="preserve"> place, perfect balance is never (or almost never) observed post hoc. The post hoc observation of imbalances is natural and does not affect the validity of the analyses. Baseline imbalances only affect the efficiency of the statistical </w:t>
      </w:r>
      <w:proofErr w:type="gramStart"/>
      <w:r w:rsidR="009F442E" w:rsidRPr="00B50F71">
        <w:rPr>
          <w:i/>
          <w:iCs/>
        </w:rPr>
        <w:t>analyses;</w:t>
      </w:r>
      <w:proofErr w:type="gramEnd"/>
      <w:r w:rsidR="009F442E" w:rsidRPr="00B50F71">
        <w:rPr>
          <w:i/>
          <w:iCs/>
        </w:rPr>
        <w:t xml:space="preserve"> the larger the imbalance, the less efficient the analysis.</w:t>
      </w:r>
    </w:p>
    <w:p w14:paraId="67B890DB" w14:textId="77777777" w:rsidR="009F442E" w:rsidRPr="00B50F71" w:rsidRDefault="009F442E" w:rsidP="009F18FC">
      <w:pPr>
        <w:ind w:left="720"/>
        <w:rPr>
          <w:i/>
          <w:iCs/>
        </w:rPr>
      </w:pPr>
      <w:r w:rsidRPr="00B50F71">
        <w:rPr>
          <w:i/>
          <w:iCs/>
        </w:rPr>
        <w:t xml:space="preserve">Obviously, if the randomization has worked properly, one should normally expect to observe, at most, moderate imbalances. </w:t>
      </w:r>
      <w:proofErr w:type="gramStart"/>
      <w:r w:rsidRPr="00B50F71">
        <w:rPr>
          <w:i/>
          <w:iCs/>
        </w:rPr>
        <w:t>But,</w:t>
      </w:r>
      <w:proofErr w:type="gramEnd"/>
      <w:r w:rsidRPr="00B50F71">
        <w:rPr>
          <w:i/>
          <w:iCs/>
        </w:rPr>
        <w:t xml:space="preserve"> even more severe imbalances with respect to one or more key covariates may be due to pure chance. Such severe imbalances are more likely to occur in smaller subgroups and, in some cases, the confounding between the prognostic factor and the treatment may be so great that even the adjusted results remain ambiguous or uninterpretable.</w:t>
      </w:r>
    </w:p>
    <w:p w14:paraId="2E9A0F1B" w14:textId="77777777" w:rsidR="009F442E" w:rsidRPr="00B50F71" w:rsidRDefault="009F442E" w:rsidP="009F18FC">
      <w:pPr>
        <w:ind w:left="720"/>
        <w:rPr>
          <w:i/>
          <w:iCs/>
        </w:rPr>
      </w:pPr>
      <w:r w:rsidRPr="00B50F71">
        <w:rPr>
          <w:i/>
          <w:iCs/>
        </w:rPr>
        <w:t xml:space="preserve">However, it should be mentioned that when there are several independent prognostic factors, random imbalances are often off-setting. This means that a random imbalance for one covariate may </w:t>
      </w:r>
      <w:proofErr w:type="spellStart"/>
      <w:r w:rsidRPr="00B50F71">
        <w:rPr>
          <w:i/>
          <w:iCs/>
        </w:rPr>
        <w:t>favor</w:t>
      </w:r>
      <w:proofErr w:type="spellEnd"/>
      <w:r w:rsidRPr="00B50F71">
        <w:rPr>
          <w:i/>
          <w:iCs/>
        </w:rPr>
        <w:t xml:space="preserve"> one treatment, while that for another covariate may </w:t>
      </w:r>
      <w:proofErr w:type="spellStart"/>
      <w:r w:rsidRPr="00B50F71">
        <w:rPr>
          <w:i/>
          <w:iCs/>
        </w:rPr>
        <w:t>favor</w:t>
      </w:r>
      <w:proofErr w:type="spellEnd"/>
      <w:r w:rsidRPr="00B50F71">
        <w:rPr>
          <w:i/>
          <w:iCs/>
        </w:rPr>
        <w:t xml:space="preserve"> another treatment. For this reason, the imbalances can offset one another and thereby lead to overall estimates which do not differ greatly from what might be expected with balance.</w:t>
      </w:r>
    </w:p>
    <w:p w14:paraId="674247B6" w14:textId="5C5FF5DB" w:rsidR="009F442E" w:rsidRPr="00B50F71" w:rsidRDefault="009F442E" w:rsidP="009F18FC">
      <w:pPr>
        <w:ind w:left="720"/>
        <w:rPr>
          <w:i/>
          <w:iCs/>
        </w:rPr>
      </w:pPr>
      <w:r w:rsidRPr="00B50F71">
        <w:rPr>
          <w:i/>
          <w:iCs/>
        </w:rPr>
        <w:t xml:space="preserve">Thus, checking baseline balance of treatment in key subgroups is important, </w:t>
      </w:r>
      <w:proofErr w:type="gramStart"/>
      <w:r w:rsidRPr="00B50F71">
        <w:rPr>
          <w:i/>
          <w:iCs/>
        </w:rPr>
        <w:t>whether or not</w:t>
      </w:r>
      <w:proofErr w:type="gramEnd"/>
      <w:r w:rsidRPr="00B50F71">
        <w:rPr>
          <w:i/>
          <w:iCs/>
        </w:rPr>
        <w:t xml:space="preserve"> the randomization is stratified. The homogeneity of the treatment group baseline characteristics within the subgroup should be assessed in a way </w:t>
      </w:r>
      <w:proofErr w:type="gramStart"/>
      <w:r w:rsidRPr="00B50F71">
        <w:rPr>
          <w:i/>
          <w:iCs/>
        </w:rPr>
        <w:t>similar to</w:t>
      </w:r>
      <w:proofErr w:type="gramEnd"/>
      <w:r w:rsidRPr="00B50F71">
        <w:rPr>
          <w:i/>
          <w:iCs/>
        </w:rPr>
        <w:t xml:space="preserve"> that in the randomized sample, </w:t>
      </w:r>
      <w:r w:rsidR="002F5B7F">
        <w:rPr>
          <w:i/>
          <w:iCs/>
        </w:rPr>
        <w:t>[that is]</w:t>
      </w:r>
      <w:r w:rsidRPr="00B50F71">
        <w:rPr>
          <w:i/>
          <w:iCs/>
        </w:rPr>
        <w:t>, it should be based essentially on clinical judgement (CPMP</w:t>
      </w:r>
      <w:r w:rsidR="002F5B7F">
        <w:rPr>
          <w:i/>
          <w:iCs/>
        </w:rPr>
        <w:t xml:space="preserve"> [</w:t>
      </w:r>
      <w:r w:rsidR="002F5B7F" w:rsidRPr="002F5B7F">
        <w:rPr>
          <w:i/>
          <w:iCs/>
        </w:rPr>
        <w:t>Committee for Proprietary Medicinal Products</w:t>
      </w:r>
      <w:r w:rsidR="002F5B7F">
        <w:rPr>
          <w:i/>
          <w:iCs/>
        </w:rPr>
        <w:t>]</w:t>
      </w:r>
      <w:r w:rsidRPr="00B50F71">
        <w:rPr>
          <w:i/>
          <w:iCs/>
        </w:rPr>
        <w:t>) and not on the p</w:t>
      </w:r>
      <w:r w:rsidR="002F5B7F">
        <w:rPr>
          <w:i/>
          <w:iCs/>
        </w:rPr>
        <w:noBreakHyphen/>
      </w:r>
      <w:r w:rsidRPr="00B50F71">
        <w:rPr>
          <w:i/>
          <w:iCs/>
        </w:rPr>
        <w:t xml:space="preserve">value from a statistical test. The correct response to the latter would be to question the validity of the randomization process itself </w:t>
      </w:r>
      <w:r w:rsidR="002F5B7F">
        <w:rPr>
          <w:i/>
          <w:iCs/>
        </w:rPr>
        <w:t>[</w:t>
      </w:r>
      <w:proofErr w:type="spellStart"/>
      <w:r w:rsidRPr="00B50F71">
        <w:rPr>
          <w:i/>
          <w:iCs/>
        </w:rPr>
        <w:t>Senn</w:t>
      </w:r>
      <w:proofErr w:type="spellEnd"/>
      <w:r w:rsidR="002F5B7F">
        <w:rPr>
          <w:i/>
          <w:iCs/>
        </w:rPr>
        <w:t>]</w:t>
      </w:r>
      <w:r w:rsidRPr="00B50F71">
        <w:rPr>
          <w:i/>
          <w:iCs/>
        </w:rPr>
        <w:t>. Particular attention should be paid to the most important prognostic factors (in particular, those whose adjustment is planned in the primary analysis);</w:t>
      </w:r>
      <w:r w:rsidR="002F5B7F">
        <w:rPr>
          <w:i/>
          <w:iCs/>
        </w:rPr>
        <w:t xml:space="preserve"> [that is]</w:t>
      </w:r>
      <w:r w:rsidRPr="00B50F71">
        <w:rPr>
          <w:i/>
          <w:iCs/>
        </w:rPr>
        <w:t>, those for which a baseline imbalance is likely to bias the treatment effect.</w:t>
      </w:r>
      <w:r w:rsidR="002F5B7F" w:rsidRPr="00B50F71">
        <w:rPr>
          <w:i/>
          <w:iCs/>
        </w:rPr>
        <w:t>’</w:t>
      </w:r>
    </w:p>
    <w:p w14:paraId="6CF53B4A" w14:textId="77777777" w:rsidR="00C05B15" w:rsidRDefault="009F18FC" w:rsidP="00B50F71">
      <w:r w:rsidRPr="00716528">
        <w:t xml:space="preserve">There were </w:t>
      </w:r>
      <w:r w:rsidR="003348FB" w:rsidRPr="00716528">
        <w:t>nine</w:t>
      </w:r>
      <w:r w:rsidRPr="00716528">
        <w:t xml:space="preserve"> more patients (approximately </w:t>
      </w:r>
      <w:r w:rsidR="009F442E" w:rsidRPr="00716528">
        <w:t xml:space="preserve">10%) treated with atezolizumab than chemotherapy in the TC3/IC3 subgroup. There were </w:t>
      </w:r>
      <w:proofErr w:type="gramStart"/>
      <w:r w:rsidR="009F442E" w:rsidRPr="00716528">
        <w:t>a number of</w:t>
      </w:r>
      <w:proofErr w:type="gramEnd"/>
      <w:r w:rsidR="009F442E" w:rsidRPr="00716528">
        <w:t xml:space="preserve"> imbalances of more than 5% between arms in predefined categories of baseline demographics and disease characteristics for the TC3/IC3 population (see </w:t>
      </w:r>
      <w:r w:rsidR="009F442E" w:rsidRPr="00716528">
        <w:fldChar w:fldCharType="begin"/>
      </w:r>
      <w:r w:rsidR="009F442E" w:rsidRPr="00716528">
        <w:instrText xml:space="preserve"> REF _Ref36217125 \h </w:instrText>
      </w:r>
      <w:r w:rsidR="00DE5259">
        <w:instrText xml:space="preserve"> \* MERGEFORMAT </w:instrText>
      </w:r>
      <w:r w:rsidR="009F442E" w:rsidRPr="00716528">
        <w:fldChar w:fldCharType="separate"/>
      </w:r>
    </w:p>
    <w:p w14:paraId="74C60734" w14:textId="22F05BC7" w:rsidR="009F442E" w:rsidRPr="00DE5259" w:rsidRDefault="00C05B15">
      <w:r w:rsidRPr="00725DB0">
        <w:t>Table</w:t>
      </w:r>
      <w:r w:rsidRPr="00725DB0">
        <w:rPr>
          <w:noProof/>
        </w:rPr>
        <w:t xml:space="preserve"> </w:t>
      </w:r>
      <w:r>
        <w:rPr>
          <w:noProof/>
        </w:rPr>
        <w:t>5</w:t>
      </w:r>
      <w:r w:rsidR="009F442E" w:rsidRPr="00716528">
        <w:fldChar w:fldCharType="end"/>
      </w:r>
      <w:r w:rsidR="009F18FC" w:rsidRPr="00DE5259">
        <w:t>, above</w:t>
      </w:r>
      <w:r w:rsidR="009F442E" w:rsidRPr="00DE5259">
        <w:t>).</w:t>
      </w:r>
    </w:p>
    <w:p w14:paraId="6C0F39EB" w14:textId="77777777" w:rsidR="009F442E" w:rsidRDefault="009F442E" w:rsidP="009F442E">
      <w:r>
        <w:t>Imbalances potentially favouring a better prognosis for the atezolizumab arm were:</w:t>
      </w:r>
    </w:p>
    <w:p w14:paraId="1F2DD918" w14:textId="4FDECE2F" w:rsidR="009F442E" w:rsidRPr="009F18FC" w:rsidRDefault="00B15BCB" w:rsidP="00DE31C1">
      <w:pPr>
        <w:pStyle w:val="ListBullet"/>
      </w:pPr>
      <w:r>
        <w:t>t</w:t>
      </w:r>
      <w:r w:rsidR="009F442E" w:rsidRPr="009F18FC">
        <w:t xml:space="preserve">he chemotherapy arm </w:t>
      </w:r>
      <w:r w:rsidR="009F18FC">
        <w:t xml:space="preserve">population </w:t>
      </w:r>
      <w:r w:rsidR="009F442E" w:rsidRPr="009F18FC">
        <w:t xml:space="preserve">were older (median age </w:t>
      </w:r>
      <w:r w:rsidR="009F18FC">
        <w:t xml:space="preserve">of </w:t>
      </w:r>
      <w:r w:rsidR="009F442E" w:rsidRPr="009F18FC">
        <w:t xml:space="preserve">66 versus 63 years): 11% more of the chemotherapy arm were 65 years or </w:t>
      </w:r>
      <w:proofErr w:type="gramStart"/>
      <w:r w:rsidR="009F442E" w:rsidRPr="009F18FC">
        <w:t>older</w:t>
      </w:r>
      <w:r w:rsidR="009F18FC">
        <w:t>;</w:t>
      </w:r>
      <w:proofErr w:type="gramEnd"/>
    </w:p>
    <w:p w14:paraId="3CEE36C6" w14:textId="55AF5145" w:rsidR="009F442E" w:rsidRPr="009F18FC" w:rsidRDefault="009F442E" w:rsidP="009F18FC">
      <w:pPr>
        <w:pStyle w:val="ListBullet"/>
      </w:pPr>
      <w:r w:rsidRPr="009F18FC">
        <w:t>9% mor</w:t>
      </w:r>
      <w:r w:rsidR="009F18FC">
        <w:t>e of the chemotherapy arm were S</w:t>
      </w:r>
      <w:r w:rsidRPr="009F18FC">
        <w:t xml:space="preserve">tage IV at </w:t>
      </w:r>
      <w:proofErr w:type="gramStart"/>
      <w:r w:rsidRPr="009F18FC">
        <w:t>diagnosis</w:t>
      </w:r>
      <w:r w:rsidR="009F18FC">
        <w:t>;</w:t>
      </w:r>
      <w:proofErr w:type="gramEnd"/>
    </w:p>
    <w:p w14:paraId="19B82798" w14:textId="3B0A86F7" w:rsidR="009F442E" w:rsidRPr="009F18FC" w:rsidRDefault="009F442E" w:rsidP="009F18FC">
      <w:pPr>
        <w:pStyle w:val="ListBullet"/>
      </w:pPr>
      <w:r w:rsidRPr="009F18FC">
        <w:t xml:space="preserve">11% more of the chemotherapy arm were current </w:t>
      </w:r>
      <w:proofErr w:type="gramStart"/>
      <w:r w:rsidRPr="009F18FC">
        <w:t>smokers</w:t>
      </w:r>
      <w:r w:rsidR="009F18FC">
        <w:t>;</w:t>
      </w:r>
      <w:proofErr w:type="gramEnd"/>
    </w:p>
    <w:p w14:paraId="48D3A7A4" w14:textId="0494C79F" w:rsidR="009F442E" w:rsidRPr="009F18FC" w:rsidRDefault="009F18FC" w:rsidP="009F18FC">
      <w:pPr>
        <w:pStyle w:val="ListBullet"/>
      </w:pPr>
      <w:r>
        <w:t>t</w:t>
      </w:r>
      <w:r w:rsidR="009F442E" w:rsidRPr="009F18FC">
        <w:t xml:space="preserve">he chemotherapy arm had a higher baseline burden of disease: 13% more of the chemotherapy arm had a baseline </w:t>
      </w:r>
      <w:r w:rsidRPr="009F18FC">
        <w:t xml:space="preserve">sum of the longest </w:t>
      </w:r>
      <w:r>
        <w:t>diameters (SLD) of at least 86 </w:t>
      </w:r>
      <w:proofErr w:type="gramStart"/>
      <w:r>
        <w:t>cm;</w:t>
      </w:r>
      <w:proofErr w:type="gramEnd"/>
    </w:p>
    <w:p w14:paraId="7AD32BF8" w14:textId="06FA1C5A" w:rsidR="009F442E" w:rsidRPr="009F18FC" w:rsidRDefault="009F18FC" w:rsidP="009F18FC">
      <w:pPr>
        <w:pStyle w:val="ListBullet"/>
      </w:pPr>
      <w:r>
        <w:t>t</w:t>
      </w:r>
      <w:r w:rsidR="009F442E" w:rsidRPr="009F18FC">
        <w:t>he chemotherapy arm had a higher number of meta</w:t>
      </w:r>
      <w:r>
        <w:t>static sites at enrolment (mean </w:t>
      </w:r>
      <w:r w:rsidR="009F442E" w:rsidRPr="009F18FC">
        <w:t>3.3 versus 2.9</w:t>
      </w:r>
      <w:r>
        <w:t xml:space="preserve"> metastatic sites</w:t>
      </w:r>
      <w:r w:rsidR="009F442E" w:rsidRPr="009F18FC">
        <w:t>)</w:t>
      </w:r>
      <w:r>
        <w:t>; and</w:t>
      </w:r>
    </w:p>
    <w:p w14:paraId="124AD0CB" w14:textId="73E1D398" w:rsidR="009F442E" w:rsidRPr="009F18FC" w:rsidRDefault="009F18FC" w:rsidP="009F18FC">
      <w:pPr>
        <w:pStyle w:val="ListBullet"/>
      </w:pPr>
      <w:r>
        <w:lastRenderedPageBreak/>
        <w:t>t</w:t>
      </w:r>
      <w:r w:rsidR="009F442E" w:rsidRPr="009F18FC">
        <w:t>he atezolizumab arm had a longer maximum time between diagnosis of metastatic disease and first dose of trial medication (51 months versus 10 months)</w:t>
      </w:r>
      <w:r>
        <w:t>.</w:t>
      </w:r>
    </w:p>
    <w:p w14:paraId="5B38AD6C" w14:textId="77777777" w:rsidR="009F442E" w:rsidRDefault="009F442E" w:rsidP="009F18FC">
      <w:r>
        <w:t xml:space="preserve">Imbalances potentially favouring a worse prognosis for the atezolizumab arm </w:t>
      </w:r>
      <w:r w:rsidRPr="009F18FC">
        <w:t>were</w:t>
      </w:r>
      <w:r>
        <w:t>:</w:t>
      </w:r>
    </w:p>
    <w:p w14:paraId="2861F27C" w14:textId="1A3FCABD" w:rsidR="009F442E" w:rsidRPr="009F18FC" w:rsidRDefault="009F442E" w:rsidP="00DE31C1">
      <w:pPr>
        <w:pStyle w:val="ListBullet"/>
      </w:pPr>
      <w:r w:rsidRPr="009F18FC">
        <w:t xml:space="preserve">9% more of the atezolizumab arm were </w:t>
      </w:r>
      <w:proofErr w:type="gramStart"/>
      <w:r w:rsidRPr="009F18FC">
        <w:t>males</w:t>
      </w:r>
      <w:r w:rsidR="009F18FC">
        <w:t>;</w:t>
      </w:r>
      <w:proofErr w:type="gramEnd"/>
    </w:p>
    <w:p w14:paraId="50A04840" w14:textId="4E77CFF3" w:rsidR="009F442E" w:rsidRPr="009F18FC" w:rsidRDefault="009F442E" w:rsidP="009F18FC">
      <w:pPr>
        <w:pStyle w:val="ListBullet"/>
      </w:pPr>
      <w:r w:rsidRPr="009F18FC">
        <w:t>6% more of the atezolizumab arm were ECOG</w:t>
      </w:r>
      <w:r w:rsidR="009F18FC">
        <w:t xml:space="preserve"> </w:t>
      </w:r>
      <w:r w:rsidR="0035143E">
        <w:t>Performance Status</w:t>
      </w:r>
      <w:r w:rsidR="009F18FC">
        <w:t xml:space="preserve"> score of</w:t>
      </w:r>
      <w:r w:rsidRPr="009F18FC">
        <w:t xml:space="preserve"> 1 </w:t>
      </w:r>
      <w:r w:rsidR="009F18FC">
        <w:t xml:space="preserve">rather than ECOG PS of </w:t>
      </w:r>
      <w:r w:rsidRPr="009F18FC">
        <w:t>0</w:t>
      </w:r>
      <w:r w:rsidR="009F18FC">
        <w:t>; and</w:t>
      </w:r>
    </w:p>
    <w:p w14:paraId="3000AAD9" w14:textId="241E80DD" w:rsidR="009F442E" w:rsidRPr="009F18FC" w:rsidRDefault="009F442E" w:rsidP="009F18FC">
      <w:pPr>
        <w:pStyle w:val="ListBullet"/>
      </w:pPr>
      <w:r w:rsidRPr="009F18FC">
        <w:t>7% fewer of the atezolizumab arm had never smoked</w:t>
      </w:r>
      <w:r w:rsidR="009F18FC">
        <w:t>.</w:t>
      </w:r>
    </w:p>
    <w:p w14:paraId="0D65711C" w14:textId="180D1932" w:rsidR="009F442E" w:rsidRPr="00D66CB2" w:rsidRDefault="009F442E" w:rsidP="009F442E">
      <w:pPr>
        <w:rPr>
          <w:highlight w:val="yellow"/>
          <w:lang w:eastAsia="zh-TW"/>
        </w:rPr>
      </w:pPr>
      <w:r w:rsidRPr="009F18FC">
        <w:t>In response to the clinical evaluator’s concerns around baseline imbalances</w:t>
      </w:r>
      <w:r w:rsidR="009F18FC">
        <w:t>, the s</w:t>
      </w:r>
      <w:r w:rsidRPr="009F18FC">
        <w:t xml:space="preserve">ponsor provided the table reproduced below in </w:t>
      </w:r>
      <w:r w:rsidR="00DE5259">
        <w:fldChar w:fldCharType="begin"/>
      </w:r>
      <w:r w:rsidR="00DE5259">
        <w:instrText xml:space="preserve"> REF _Ref108512148 \h </w:instrText>
      </w:r>
      <w:r w:rsidR="00DE5259">
        <w:fldChar w:fldCharType="separate"/>
      </w:r>
      <w:r w:rsidR="00C05B15">
        <w:t xml:space="preserve">Table </w:t>
      </w:r>
      <w:r w:rsidR="00C05B15">
        <w:rPr>
          <w:noProof/>
        </w:rPr>
        <w:t>28</w:t>
      </w:r>
      <w:r w:rsidR="00DE5259">
        <w:fldChar w:fldCharType="end"/>
      </w:r>
      <w:r w:rsidR="00DE5259">
        <w:t>.</w:t>
      </w:r>
      <w:r w:rsidRPr="009F18FC">
        <w:t xml:space="preserve"> The table lists p-values obtained by </w:t>
      </w:r>
      <w:r w:rsidR="009F18FC">
        <w:rPr>
          <w:i/>
        </w:rPr>
        <w:t>ad </w:t>
      </w:r>
      <w:r w:rsidRPr="009F18FC">
        <w:rPr>
          <w:i/>
        </w:rPr>
        <w:t>hoc</w:t>
      </w:r>
      <w:r w:rsidRPr="009F18FC">
        <w:t xml:space="preserve"> multivariate Cox regression analysis, for pre-specified baseline factors that were imbalanced by at least 5% between treatment arms</w:t>
      </w:r>
      <w:r w:rsidRPr="009E4B77">
        <w:t>.</w:t>
      </w:r>
    </w:p>
    <w:p w14:paraId="0BD45F65" w14:textId="6A8F8E36" w:rsidR="00017431" w:rsidRDefault="00DE5259" w:rsidP="00400B3D">
      <w:pPr>
        <w:pStyle w:val="TableTitle"/>
      </w:pPr>
      <w:bookmarkStart w:id="122" w:name="_Ref108512148"/>
      <w:bookmarkStart w:id="123" w:name="_Ref56001068"/>
      <w:r>
        <w:t xml:space="preserve">Table </w:t>
      </w:r>
      <w:fldSimple w:instr=" SEQ Table \* ARABIC ">
        <w:r w:rsidR="00C05B15">
          <w:rPr>
            <w:noProof/>
          </w:rPr>
          <w:t>28</w:t>
        </w:r>
      </w:fldSimple>
      <w:bookmarkEnd w:id="122"/>
      <w:bookmarkEnd w:id="123"/>
      <w:r>
        <w:rPr>
          <w:noProof/>
        </w:rPr>
        <w:t>:</w:t>
      </w:r>
      <w:r w:rsidR="009F442E">
        <w:t xml:space="preserve"> </w:t>
      </w:r>
      <w:r w:rsidR="009258F9">
        <w:t>IMPOWER</w:t>
      </w:r>
      <w:r w:rsidR="009F18FC">
        <w:t xml:space="preserve">110 </w:t>
      </w:r>
      <w:r w:rsidR="003B673C">
        <w:t xml:space="preserve">trial </w:t>
      </w:r>
      <w:r w:rsidR="009F18FC">
        <w:t xml:space="preserve">(Study GO29431) Sponsor’s </w:t>
      </w:r>
      <w:r w:rsidR="009F18FC" w:rsidRPr="00017431">
        <w:rPr>
          <w:i/>
        </w:rPr>
        <w:t xml:space="preserve">ad hoc </w:t>
      </w:r>
      <w:r w:rsidR="009F18FC">
        <w:t>s</w:t>
      </w:r>
      <w:r w:rsidR="009F442E">
        <w:t>ensitivity analysis</w:t>
      </w:r>
      <w:r w:rsidR="009F18FC">
        <w:t>; ‘</w:t>
      </w:r>
      <w:r w:rsidR="002F5B7F">
        <w:t>p</w:t>
      </w:r>
      <w:r w:rsidR="00017431">
        <w:noBreakHyphen/>
      </w:r>
      <w:r w:rsidR="009F442E">
        <w:t xml:space="preserve">value for </w:t>
      </w:r>
      <w:r w:rsidR="009F18FC">
        <w:t>interaction with treatment by unstratified multivariate Cox r</w:t>
      </w:r>
      <w:r w:rsidR="00017431">
        <w:t>egression’</w:t>
      </w:r>
    </w:p>
    <w:p w14:paraId="35741D55" w14:textId="285CE601" w:rsidR="00A97B0B" w:rsidRPr="00017431" w:rsidRDefault="00A97B0B" w:rsidP="00400B3D">
      <w:r>
        <w:rPr>
          <w:noProof/>
          <w:lang w:val="en-GB" w:eastAsia="en-GB"/>
        </w:rPr>
        <w:drawing>
          <wp:inline distT="0" distB="0" distL="0" distR="0" wp14:anchorId="0EF0801E" wp14:editId="49B178E3">
            <wp:extent cx="3564460" cy="2402154"/>
            <wp:effectExtent l="0" t="0" r="0" b="0"/>
            <wp:docPr id="16" name="Picture 16" descr="Table 28: IMPOWER110 trial (Study GO29431) Sponsor’s ad hoc sensitivity analysis; ‘p value for interaction with treatment by unstratified multivariate Cox re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able 28: IMPOWER110 trial (Study GO29431) Sponsor’s ad hoc sensitivity analysis; ‘p value for interaction with treatment by unstratified multivariate Cox regression’"/>
                    <pic:cNvPicPr/>
                  </pic:nvPicPr>
                  <pic:blipFill>
                    <a:blip r:embed="rId34"/>
                    <a:stretch>
                      <a:fillRect/>
                    </a:stretch>
                  </pic:blipFill>
                  <pic:spPr>
                    <a:xfrm>
                      <a:off x="0" y="0"/>
                      <a:ext cx="3573036" cy="2407933"/>
                    </a:xfrm>
                    <a:prstGeom prst="rect">
                      <a:avLst/>
                    </a:prstGeom>
                  </pic:spPr>
                </pic:pic>
              </a:graphicData>
            </a:graphic>
          </wp:inline>
        </w:drawing>
      </w:r>
    </w:p>
    <w:p w14:paraId="017D9266" w14:textId="15BB3AD6" w:rsidR="009F18FC" w:rsidRPr="00DE5259" w:rsidRDefault="003348FB" w:rsidP="00400B3D">
      <w:pPr>
        <w:pStyle w:val="TableDescription"/>
      </w:pPr>
      <w:r>
        <w:t xml:space="preserve">Abbreviations: </w:t>
      </w:r>
      <w:r w:rsidR="009F18FC" w:rsidRPr="00DE5259">
        <w:t xml:space="preserve">ECOG = Eastern Cooperative Oncology Group; IC = immune cell; PD-L1 = programmed death-ligand 1; </w:t>
      </w:r>
      <w:r w:rsidR="00A97B0B" w:rsidRPr="00DE5259">
        <w:t xml:space="preserve">PS = </w:t>
      </w:r>
      <w:r w:rsidR="0035143E" w:rsidRPr="00DE5259">
        <w:t>Performance Status</w:t>
      </w:r>
      <w:r w:rsidR="00A97B0B" w:rsidRPr="00DE5259">
        <w:t xml:space="preserve">; </w:t>
      </w:r>
      <w:r w:rsidR="009F18FC" w:rsidRPr="00DE5259">
        <w:t>SLD = sum of longest diameters; TC = tumour cell; vs = versus.</w:t>
      </w:r>
    </w:p>
    <w:p w14:paraId="505AEF9D" w14:textId="07E37F6E" w:rsidR="00611B1F" w:rsidRDefault="009F442E" w:rsidP="009F442E">
      <w:r w:rsidRPr="009E4B77">
        <w:t xml:space="preserve">Whilst the p-values indicate that analysis of this dataset could not detect treatment effects for these co-variates, </w:t>
      </w:r>
      <w:r>
        <w:t>it</w:t>
      </w:r>
      <w:r w:rsidRPr="009E4B77">
        <w:t xml:space="preserve"> does not mean that the co-variates ar</w:t>
      </w:r>
      <w:r>
        <w:t xml:space="preserve">e not correlated with survival. </w:t>
      </w:r>
      <w:r w:rsidRPr="009E4B77">
        <w:t>Indeed</w:t>
      </w:r>
      <w:r>
        <w:t>, as above,</w:t>
      </w:r>
      <w:r w:rsidRPr="009E4B77">
        <w:t xml:space="preserve"> </w:t>
      </w:r>
      <w:r>
        <w:t>many</w:t>
      </w:r>
      <w:r w:rsidRPr="009E4B77">
        <w:t xml:space="preserve"> of these co-variates such as ECOG</w:t>
      </w:r>
      <w:r w:rsidR="00611B1F">
        <w:t xml:space="preserve"> </w:t>
      </w:r>
      <w:r w:rsidR="0035143E">
        <w:t>Performance Status</w:t>
      </w:r>
      <w:r w:rsidRPr="009E4B77">
        <w:t xml:space="preserve">, </w:t>
      </w:r>
      <w:proofErr w:type="gramStart"/>
      <w:r w:rsidRPr="009E4B77">
        <w:t>age</w:t>
      </w:r>
      <w:proofErr w:type="gramEnd"/>
      <w:r w:rsidRPr="009E4B77">
        <w:t xml:space="preserve"> and smoking cessation, are </w:t>
      </w:r>
      <w:r w:rsidRPr="00B50F71">
        <w:rPr>
          <w:iCs/>
        </w:rPr>
        <w:t>known</w:t>
      </w:r>
      <w:r w:rsidR="00611B1F">
        <w:t xml:space="preserve"> to correlate with survival.</w:t>
      </w:r>
      <w:bookmarkStart w:id="124" w:name="_Ref106703801"/>
      <w:r w:rsidR="00611B1F">
        <w:rPr>
          <w:rStyle w:val="FootnoteReference"/>
        </w:rPr>
        <w:footnoteReference w:id="38"/>
      </w:r>
      <w:bookmarkEnd w:id="124"/>
    </w:p>
    <w:p w14:paraId="276D901A" w14:textId="2118D2C7" w:rsidR="009F442E" w:rsidRPr="009E4B77" w:rsidRDefault="009F442E" w:rsidP="009F442E">
      <w:r w:rsidRPr="009E4B77">
        <w:t>The failure of this dataset to demonstrate the relationship is not surprising, given its limited size</w:t>
      </w:r>
      <w:r>
        <w:t xml:space="preserve">. As </w:t>
      </w:r>
      <w:r w:rsidRPr="00611B1F">
        <w:t>Bradburn et al</w:t>
      </w:r>
      <w:r w:rsidR="00611B1F">
        <w:t>. (2003)</w:t>
      </w:r>
      <w:r>
        <w:t xml:space="preserve"> note</w:t>
      </w:r>
      <w:r w:rsidR="00611B1F">
        <w:t>:</w:t>
      </w:r>
      <w:r w:rsidR="00611B1F">
        <w:rPr>
          <w:rStyle w:val="FootnoteReference"/>
        </w:rPr>
        <w:footnoteReference w:id="39"/>
      </w:r>
    </w:p>
    <w:p w14:paraId="313DEC12" w14:textId="3C9941FE" w:rsidR="009F442E" w:rsidRPr="00B50F71" w:rsidRDefault="002F5B7F" w:rsidP="00611B1F">
      <w:pPr>
        <w:ind w:left="720"/>
        <w:rPr>
          <w:i/>
          <w:iCs/>
        </w:rPr>
      </w:pPr>
      <w:r w:rsidRPr="00B50F71">
        <w:rPr>
          <w:i/>
          <w:iCs/>
        </w:rPr>
        <w:t>‘</w:t>
      </w:r>
      <w:r w:rsidR="009F442E" w:rsidRPr="00B50F71">
        <w:rPr>
          <w:i/>
          <w:iCs/>
        </w:rPr>
        <w:t>Any estimate based on a small number of individuals will be less reliable than one based on a larger number, and when multivariate models are fitted to small datasets, the estimated impact of the covariates is too imprecise to give reliable answers.</w:t>
      </w:r>
    </w:p>
    <w:p w14:paraId="2F9631FA" w14:textId="69CB16F1" w:rsidR="009F442E" w:rsidRPr="00B50F71" w:rsidRDefault="009F442E" w:rsidP="00611B1F">
      <w:pPr>
        <w:ind w:left="720"/>
        <w:rPr>
          <w:i/>
          <w:iCs/>
        </w:rPr>
      </w:pPr>
      <w:r w:rsidRPr="00B50F71">
        <w:rPr>
          <w:i/>
          <w:iCs/>
        </w:rPr>
        <w:t>…smaller data sets may not have sufficient power to detect a covariate that has a significant impact on survival.</w:t>
      </w:r>
      <w:r w:rsidR="002F5B7F" w:rsidRPr="00B50F71">
        <w:rPr>
          <w:i/>
          <w:iCs/>
        </w:rPr>
        <w:t>’</w:t>
      </w:r>
    </w:p>
    <w:p w14:paraId="30080994" w14:textId="283953D3" w:rsidR="009F442E" w:rsidRDefault="009F442E" w:rsidP="009F442E">
      <w:r>
        <w:t>S</w:t>
      </w:r>
      <w:r w:rsidRPr="009E4B77">
        <w:t>tage at presentation</w:t>
      </w:r>
      <w:r>
        <w:t xml:space="preserve"> is</w:t>
      </w:r>
      <w:r w:rsidRPr="009E4B77">
        <w:t xml:space="preserve"> the strongest predictor of prognosis in NSCLC</w:t>
      </w:r>
      <w:bookmarkStart w:id="125" w:name="_Ref62646709"/>
      <w:r w:rsidR="00611B1F">
        <w:t>;</w:t>
      </w:r>
      <w:r w:rsidR="00611B1F" w:rsidRPr="00611B1F">
        <w:rPr>
          <w:vertAlign w:val="superscript"/>
        </w:rPr>
        <w:fldChar w:fldCharType="begin"/>
      </w:r>
      <w:r w:rsidR="00611B1F" w:rsidRPr="00611B1F">
        <w:rPr>
          <w:vertAlign w:val="superscript"/>
        </w:rPr>
        <w:instrText xml:space="preserve"> NOTEREF _Ref106703801 \h </w:instrText>
      </w:r>
      <w:r w:rsidR="00611B1F">
        <w:rPr>
          <w:vertAlign w:val="superscript"/>
        </w:rPr>
        <w:instrText xml:space="preserve"> \* MERGEFORMAT </w:instrText>
      </w:r>
      <w:r w:rsidR="00611B1F" w:rsidRPr="00611B1F">
        <w:rPr>
          <w:vertAlign w:val="superscript"/>
        </w:rPr>
      </w:r>
      <w:r w:rsidR="00611B1F" w:rsidRPr="00611B1F">
        <w:rPr>
          <w:vertAlign w:val="superscript"/>
        </w:rPr>
        <w:fldChar w:fldCharType="separate"/>
      </w:r>
      <w:r w:rsidR="00C05B15">
        <w:rPr>
          <w:vertAlign w:val="superscript"/>
        </w:rPr>
        <w:t>38</w:t>
      </w:r>
      <w:r w:rsidR="00611B1F" w:rsidRPr="00611B1F">
        <w:rPr>
          <w:vertAlign w:val="superscript"/>
        </w:rPr>
        <w:fldChar w:fldCharType="end"/>
      </w:r>
      <w:r w:rsidR="00611B1F">
        <w:t xml:space="preserve"> </w:t>
      </w:r>
      <w:r>
        <w:t>and was not included in the Cox regression analysis.</w:t>
      </w:r>
      <w:bookmarkEnd w:id="125"/>
      <w:r>
        <w:t xml:space="preserve"> Baseline burden of disease was also not included.</w:t>
      </w:r>
    </w:p>
    <w:p w14:paraId="1F3EEE41" w14:textId="2DC6447E" w:rsidR="00DE5259" w:rsidRDefault="009F442E" w:rsidP="00B50F71">
      <w:r w:rsidRPr="00222A45">
        <w:lastRenderedPageBreak/>
        <w:t>To address whether the results could have been skewed by patients with a long time</w:t>
      </w:r>
      <w:r w:rsidRPr="00B26DED">
        <w:t xml:space="preserve"> between diagnosis of metastatic disease and first dose of trial medication (who might have more indolent disease), a line listing of patients with longer than 6 months duration between time of metastatic diagnosis and time of first study treatment was provided (</w:t>
      </w:r>
      <w:r w:rsidR="00611B1F" w:rsidRPr="00B26DED">
        <w:t>see </w:t>
      </w:r>
      <w:r w:rsidR="00B26DED" w:rsidRPr="00B13A95">
        <w:fldChar w:fldCharType="begin"/>
      </w:r>
      <w:r w:rsidR="00B26DED" w:rsidRPr="00B26DED">
        <w:instrText xml:space="preserve"> REF _Ref108523512 \h </w:instrText>
      </w:r>
      <w:r w:rsidR="00B26DED">
        <w:instrText xml:space="preserve"> \* MERGEFORMAT </w:instrText>
      </w:r>
      <w:r w:rsidR="00B26DED" w:rsidRPr="00B13A95">
        <w:fldChar w:fldCharType="separate"/>
      </w:r>
      <w:r w:rsidR="00C05B15" w:rsidRPr="00DE5259">
        <w:t xml:space="preserve">Table </w:t>
      </w:r>
      <w:r w:rsidR="00C05B15">
        <w:t>29</w:t>
      </w:r>
      <w:r w:rsidR="00B26DED" w:rsidRPr="00B13A95">
        <w:fldChar w:fldCharType="end"/>
      </w:r>
      <w:r w:rsidR="00611B1F" w:rsidRPr="00222A45">
        <w:t>, below</w:t>
      </w:r>
      <w:r w:rsidRPr="00B26DED">
        <w:t xml:space="preserve">). There were more of these patients in the atezolizumab arm than the chemotherapy arm, but a long overall survival time was not a consistent finding for </w:t>
      </w:r>
      <w:proofErr w:type="gramStart"/>
      <w:r w:rsidRPr="00B26DED">
        <w:t>all of</w:t>
      </w:r>
      <w:proofErr w:type="gramEnd"/>
      <w:r w:rsidRPr="00B26DED">
        <w:t xml:space="preserve"> these patients. That is, there was not a clear correlation with long </w:t>
      </w:r>
      <w:r w:rsidR="00611B1F" w:rsidRPr="00B26DED">
        <w:t>overall survival</w:t>
      </w:r>
      <w:r w:rsidRPr="00B26DED">
        <w:t xml:space="preserve"> time and long duration between metastatic diagnosis and first study treatment dose.</w:t>
      </w:r>
      <w:bookmarkStart w:id="126" w:name="_Ref61617943"/>
      <w:bookmarkStart w:id="127" w:name="_Ref61618491"/>
    </w:p>
    <w:p w14:paraId="0679C0DF" w14:textId="58A34D19" w:rsidR="009F442E" w:rsidRPr="00DE5259" w:rsidRDefault="009F442E" w:rsidP="00400B3D">
      <w:pPr>
        <w:pStyle w:val="TableTitle"/>
      </w:pPr>
      <w:bookmarkStart w:id="128" w:name="_Ref108523512"/>
      <w:r w:rsidRPr="00DE5259">
        <w:t xml:space="preserve">Table </w:t>
      </w:r>
      <w:fldSimple w:instr=" SEQ Table \* ARABIC ">
        <w:r w:rsidR="00C05B15">
          <w:rPr>
            <w:noProof/>
          </w:rPr>
          <w:t>29</w:t>
        </w:r>
      </w:fldSimple>
      <w:bookmarkEnd w:id="126"/>
      <w:bookmarkEnd w:id="128"/>
      <w:r w:rsidR="00611B1F" w:rsidRPr="00DE5259">
        <w:t>:</w:t>
      </w:r>
      <w:r w:rsidRPr="00DE5259">
        <w:t xml:space="preserve"> </w:t>
      </w:r>
      <w:r w:rsidR="009258F9" w:rsidRPr="00DE5259">
        <w:t>IMPOWER</w:t>
      </w:r>
      <w:r w:rsidR="00F4319A" w:rsidRPr="00DE5259">
        <w:t xml:space="preserve">110 </w:t>
      </w:r>
      <w:r w:rsidR="003B673C">
        <w:t xml:space="preserve">trial </w:t>
      </w:r>
      <w:r w:rsidR="00F4319A" w:rsidRPr="00DE5259">
        <w:t xml:space="preserve">(Study GO29431) </w:t>
      </w:r>
      <w:r w:rsidRPr="00DE5259">
        <w:t xml:space="preserve">Line listing of patients in the </w:t>
      </w:r>
      <w:r w:rsidR="003348FB">
        <w:t>TC</w:t>
      </w:r>
      <w:r w:rsidRPr="00DE5259">
        <w:t>3/</w:t>
      </w:r>
      <w:r w:rsidR="003348FB">
        <w:t>IC</w:t>
      </w:r>
      <w:r w:rsidRPr="00DE5259">
        <w:t>3 population who had their first dose of study treatment later than 6 months after their diagnosis with metastatic disease</w:t>
      </w:r>
      <w:bookmarkEnd w:id="127"/>
      <w:r w:rsidRPr="00DE5259">
        <w:t>.</w:t>
      </w:r>
    </w:p>
    <w:tbl>
      <w:tblPr>
        <w:tblStyle w:val="TableTGAblue"/>
        <w:tblW w:w="8562" w:type="dxa"/>
        <w:tblLayout w:type="fixed"/>
        <w:tblCellMar>
          <w:left w:w="57" w:type="dxa"/>
          <w:right w:w="57" w:type="dxa"/>
        </w:tblCellMar>
        <w:tblLook w:val="0420" w:firstRow="1" w:lastRow="0" w:firstColumn="0" w:lastColumn="0" w:noHBand="0" w:noVBand="1"/>
      </w:tblPr>
      <w:tblGrid>
        <w:gridCol w:w="483"/>
        <w:gridCol w:w="2409"/>
        <w:gridCol w:w="1134"/>
        <w:gridCol w:w="1276"/>
        <w:gridCol w:w="1276"/>
        <w:gridCol w:w="992"/>
        <w:gridCol w:w="992"/>
      </w:tblGrid>
      <w:tr w:rsidR="00B178E4" w:rsidRPr="003B78C4" w14:paraId="25B5B282" w14:textId="77777777" w:rsidTr="00DF6DE3">
        <w:trPr>
          <w:cnfStyle w:val="100000000000" w:firstRow="1" w:lastRow="0" w:firstColumn="0" w:lastColumn="0" w:oddVBand="0" w:evenVBand="0" w:oddHBand="0" w:evenHBand="0" w:firstRowFirstColumn="0" w:firstRowLastColumn="0" w:lastRowFirstColumn="0" w:lastRowLastColumn="0"/>
          <w:trHeight w:val="20"/>
        </w:trPr>
        <w:tc>
          <w:tcPr>
            <w:tcW w:w="483" w:type="dxa"/>
            <w:vAlign w:val="bottom"/>
            <w:hideMark/>
          </w:tcPr>
          <w:p w14:paraId="07E8E190" w14:textId="766CA2AD" w:rsidR="009F442E" w:rsidRPr="003348FB" w:rsidRDefault="009F442E" w:rsidP="00B178E4">
            <w:pPr>
              <w:pStyle w:val="Tabletext"/>
              <w:ind w:left="0" w:right="0"/>
              <w:jc w:val="center"/>
              <w:rPr>
                <w:szCs w:val="19"/>
              </w:rPr>
            </w:pPr>
            <w:r w:rsidRPr="00CF3F54">
              <w:rPr>
                <w:szCs w:val="19"/>
              </w:rPr>
              <w:t>PID</w:t>
            </w:r>
          </w:p>
        </w:tc>
        <w:tc>
          <w:tcPr>
            <w:tcW w:w="2409" w:type="dxa"/>
            <w:vAlign w:val="bottom"/>
          </w:tcPr>
          <w:p w14:paraId="0C220DC8" w14:textId="31EF355E" w:rsidR="009F442E" w:rsidRPr="00716528" w:rsidRDefault="009F442E" w:rsidP="00B178E4">
            <w:pPr>
              <w:pStyle w:val="Tabletext"/>
              <w:ind w:left="0" w:right="0"/>
              <w:jc w:val="center"/>
              <w:rPr>
                <w:szCs w:val="19"/>
              </w:rPr>
            </w:pPr>
            <w:r w:rsidRPr="00716528">
              <w:rPr>
                <w:szCs w:val="19"/>
              </w:rPr>
              <w:t xml:space="preserve">Time between </w:t>
            </w:r>
            <w:r w:rsidR="00F4319A" w:rsidRPr="00716528">
              <w:rPr>
                <w:szCs w:val="19"/>
              </w:rPr>
              <w:t>metastatic disease diagnosis and</w:t>
            </w:r>
            <w:r w:rsidRPr="00716528">
              <w:rPr>
                <w:szCs w:val="19"/>
              </w:rPr>
              <w:t xml:space="preserve"> </w:t>
            </w:r>
            <w:r w:rsidR="00C80B72">
              <w:rPr>
                <w:szCs w:val="19"/>
              </w:rPr>
              <w:t>first</w:t>
            </w:r>
            <w:r w:rsidR="00F4319A" w:rsidRPr="00716528">
              <w:rPr>
                <w:szCs w:val="19"/>
              </w:rPr>
              <w:t xml:space="preserve"> dose</w:t>
            </w:r>
            <w:r w:rsidRPr="00716528">
              <w:rPr>
                <w:szCs w:val="19"/>
              </w:rPr>
              <w:t xml:space="preserve"> in trial (months)</w:t>
            </w:r>
          </w:p>
        </w:tc>
        <w:tc>
          <w:tcPr>
            <w:tcW w:w="1134" w:type="dxa"/>
            <w:vAlign w:val="bottom"/>
          </w:tcPr>
          <w:p w14:paraId="11777B8A" w14:textId="77777777" w:rsidR="009F442E" w:rsidRPr="00716528" w:rsidRDefault="009F442E" w:rsidP="00B178E4">
            <w:pPr>
              <w:pStyle w:val="Tabletext"/>
              <w:ind w:left="0" w:right="0"/>
              <w:jc w:val="center"/>
              <w:rPr>
                <w:szCs w:val="19"/>
              </w:rPr>
            </w:pPr>
            <w:r w:rsidRPr="00716528">
              <w:rPr>
                <w:szCs w:val="19"/>
              </w:rPr>
              <w:t>Confirmed best overall response</w:t>
            </w:r>
          </w:p>
        </w:tc>
        <w:tc>
          <w:tcPr>
            <w:tcW w:w="1276" w:type="dxa"/>
            <w:vAlign w:val="bottom"/>
          </w:tcPr>
          <w:p w14:paraId="2FCB145B" w14:textId="366468C9" w:rsidR="009F442E" w:rsidRPr="00716528" w:rsidRDefault="00F4319A" w:rsidP="00B178E4">
            <w:pPr>
              <w:pStyle w:val="Tabletext"/>
              <w:ind w:left="0" w:right="0"/>
              <w:jc w:val="center"/>
              <w:rPr>
                <w:szCs w:val="19"/>
              </w:rPr>
            </w:pPr>
            <w:r w:rsidRPr="00716528">
              <w:rPr>
                <w:szCs w:val="19"/>
              </w:rPr>
              <w:t xml:space="preserve">Progression free survival </w:t>
            </w:r>
            <w:r w:rsidR="009F442E" w:rsidRPr="00716528">
              <w:rPr>
                <w:szCs w:val="19"/>
              </w:rPr>
              <w:t>(months)</w:t>
            </w:r>
          </w:p>
        </w:tc>
        <w:tc>
          <w:tcPr>
            <w:tcW w:w="1276" w:type="dxa"/>
            <w:vAlign w:val="bottom"/>
            <w:hideMark/>
          </w:tcPr>
          <w:p w14:paraId="1CD8BBE1" w14:textId="4912EF30" w:rsidR="009F442E" w:rsidRPr="00716528" w:rsidRDefault="00F4319A" w:rsidP="00B178E4">
            <w:pPr>
              <w:pStyle w:val="Tabletext"/>
              <w:ind w:left="0" w:right="0"/>
              <w:jc w:val="center"/>
              <w:rPr>
                <w:szCs w:val="19"/>
              </w:rPr>
            </w:pPr>
            <w:r w:rsidRPr="00716528">
              <w:rPr>
                <w:szCs w:val="19"/>
              </w:rPr>
              <w:t xml:space="preserve">Progression free survival </w:t>
            </w:r>
            <w:r w:rsidR="009F442E" w:rsidRPr="00716528">
              <w:rPr>
                <w:szCs w:val="19"/>
              </w:rPr>
              <w:t>event (yes/no)</w:t>
            </w:r>
          </w:p>
        </w:tc>
        <w:tc>
          <w:tcPr>
            <w:tcW w:w="992" w:type="dxa"/>
            <w:vAlign w:val="bottom"/>
            <w:hideMark/>
          </w:tcPr>
          <w:p w14:paraId="41AC71E4" w14:textId="04249210" w:rsidR="009F442E" w:rsidRPr="00716528" w:rsidRDefault="00F4319A" w:rsidP="00B178E4">
            <w:pPr>
              <w:pStyle w:val="Tabletext"/>
              <w:ind w:left="0" w:right="0"/>
              <w:jc w:val="center"/>
              <w:rPr>
                <w:szCs w:val="19"/>
              </w:rPr>
            </w:pPr>
            <w:r w:rsidRPr="00716528">
              <w:rPr>
                <w:szCs w:val="19"/>
              </w:rPr>
              <w:t xml:space="preserve">Overall survival </w:t>
            </w:r>
            <w:r w:rsidR="009F442E" w:rsidRPr="00716528">
              <w:rPr>
                <w:szCs w:val="19"/>
              </w:rPr>
              <w:t>(months)</w:t>
            </w:r>
          </w:p>
        </w:tc>
        <w:tc>
          <w:tcPr>
            <w:tcW w:w="992" w:type="dxa"/>
            <w:vAlign w:val="bottom"/>
          </w:tcPr>
          <w:p w14:paraId="0F9A18CA" w14:textId="7835C697" w:rsidR="009F442E" w:rsidRPr="00716528" w:rsidRDefault="00F4319A" w:rsidP="00B178E4">
            <w:pPr>
              <w:pStyle w:val="Tabletext"/>
              <w:ind w:left="0" w:right="0"/>
              <w:jc w:val="center"/>
              <w:rPr>
                <w:szCs w:val="19"/>
              </w:rPr>
            </w:pPr>
            <w:r w:rsidRPr="00716528">
              <w:rPr>
                <w:szCs w:val="19"/>
              </w:rPr>
              <w:t>Overall survival</w:t>
            </w:r>
            <w:r w:rsidR="009F442E" w:rsidRPr="00716528">
              <w:rPr>
                <w:szCs w:val="19"/>
              </w:rPr>
              <w:t xml:space="preserve"> event (yes/no)</w:t>
            </w:r>
          </w:p>
        </w:tc>
      </w:tr>
      <w:tr w:rsidR="009F442E" w:rsidRPr="003B78C4" w14:paraId="4F3FEF34" w14:textId="77777777" w:rsidTr="00DF6DE3">
        <w:trPr>
          <w:trHeight w:val="312"/>
        </w:trPr>
        <w:tc>
          <w:tcPr>
            <w:tcW w:w="8562" w:type="dxa"/>
            <w:gridSpan w:val="7"/>
            <w:vAlign w:val="bottom"/>
          </w:tcPr>
          <w:p w14:paraId="468DF6C0" w14:textId="77777777" w:rsidR="009F442E" w:rsidRPr="00B178E4" w:rsidRDefault="009F442E" w:rsidP="00B178E4">
            <w:pPr>
              <w:jc w:val="center"/>
              <w:rPr>
                <w:b/>
                <w:sz w:val="20"/>
              </w:rPr>
            </w:pPr>
            <w:r w:rsidRPr="00B178E4">
              <w:rPr>
                <w:b/>
                <w:sz w:val="20"/>
                <w:szCs w:val="22"/>
              </w:rPr>
              <w:t>Chemotherapy arm</w:t>
            </w:r>
          </w:p>
        </w:tc>
      </w:tr>
      <w:tr w:rsidR="00F4319A" w:rsidRPr="003B78C4" w14:paraId="735F9F68" w14:textId="77777777" w:rsidTr="00DF6DE3">
        <w:trPr>
          <w:trHeight w:val="20"/>
        </w:trPr>
        <w:tc>
          <w:tcPr>
            <w:tcW w:w="483" w:type="dxa"/>
            <w:vAlign w:val="center"/>
          </w:tcPr>
          <w:p w14:paraId="62C8745B" w14:textId="6067ECCD" w:rsidR="009F442E" w:rsidRPr="00B178E4" w:rsidRDefault="00611B1F" w:rsidP="00B178E4">
            <w:pPr>
              <w:pStyle w:val="Tabletext"/>
              <w:ind w:left="0" w:right="0"/>
              <w:jc w:val="right"/>
              <w:rPr>
                <w:rFonts w:cs="Calibri"/>
                <w:b/>
                <w:bCs/>
                <w:color w:val="auto"/>
                <w:szCs w:val="19"/>
                <w:lang w:val="en-US"/>
              </w:rPr>
            </w:pPr>
            <w:r w:rsidRPr="00B178E4">
              <w:rPr>
                <w:rFonts w:cs="Calibri"/>
                <w:b/>
                <w:bCs/>
                <w:szCs w:val="19"/>
                <w:lang w:val="en-US"/>
              </w:rPr>
              <w:t>P1</w:t>
            </w:r>
          </w:p>
        </w:tc>
        <w:tc>
          <w:tcPr>
            <w:tcW w:w="2409" w:type="dxa"/>
            <w:vAlign w:val="bottom"/>
          </w:tcPr>
          <w:p w14:paraId="3F24B86D" w14:textId="77777777" w:rsidR="009F442E" w:rsidRPr="00716528" w:rsidRDefault="009F442E" w:rsidP="00B178E4">
            <w:pPr>
              <w:pStyle w:val="Tabletext"/>
              <w:ind w:left="0" w:right="0"/>
              <w:jc w:val="center"/>
              <w:rPr>
                <w:rFonts w:cs="Calibri"/>
                <w:szCs w:val="19"/>
                <w:lang w:val="en-US"/>
              </w:rPr>
            </w:pPr>
            <w:r w:rsidRPr="00716528">
              <w:rPr>
                <w:rFonts w:cs="Calibri"/>
                <w:szCs w:val="19"/>
                <w:lang w:val="en-US"/>
              </w:rPr>
              <w:t>9.9</w:t>
            </w:r>
          </w:p>
        </w:tc>
        <w:tc>
          <w:tcPr>
            <w:tcW w:w="1134" w:type="dxa"/>
            <w:vAlign w:val="bottom"/>
          </w:tcPr>
          <w:p w14:paraId="7EC4009D" w14:textId="77777777" w:rsidR="009F442E" w:rsidRPr="00716528" w:rsidRDefault="009F442E" w:rsidP="00B178E4">
            <w:pPr>
              <w:pStyle w:val="Tabletext"/>
              <w:ind w:left="0" w:right="0"/>
              <w:jc w:val="center"/>
              <w:rPr>
                <w:rFonts w:cs="Calibri"/>
                <w:color w:val="auto"/>
                <w:szCs w:val="19"/>
                <w:lang w:val="en-US"/>
              </w:rPr>
            </w:pPr>
            <w:r w:rsidRPr="00716528">
              <w:rPr>
                <w:rFonts w:cs="Calibri"/>
                <w:szCs w:val="19"/>
                <w:lang w:val="en-US"/>
              </w:rPr>
              <w:t>SD</w:t>
            </w:r>
          </w:p>
        </w:tc>
        <w:tc>
          <w:tcPr>
            <w:tcW w:w="1276" w:type="dxa"/>
            <w:vAlign w:val="bottom"/>
          </w:tcPr>
          <w:p w14:paraId="40589121" w14:textId="77777777" w:rsidR="009F442E" w:rsidRPr="00716528" w:rsidRDefault="009F442E" w:rsidP="00B178E4">
            <w:pPr>
              <w:pStyle w:val="Tabletext"/>
              <w:ind w:left="0" w:right="0"/>
              <w:jc w:val="center"/>
              <w:rPr>
                <w:rFonts w:cs="Calibri"/>
                <w:szCs w:val="19"/>
              </w:rPr>
            </w:pPr>
            <w:r w:rsidRPr="00716528">
              <w:rPr>
                <w:rFonts w:cs="Calibri"/>
                <w:szCs w:val="19"/>
              </w:rPr>
              <w:t>4.2</w:t>
            </w:r>
          </w:p>
        </w:tc>
        <w:tc>
          <w:tcPr>
            <w:tcW w:w="1276" w:type="dxa"/>
            <w:vAlign w:val="bottom"/>
          </w:tcPr>
          <w:p w14:paraId="20C46FD7" w14:textId="77777777" w:rsidR="009F442E" w:rsidRPr="00716528" w:rsidRDefault="009F442E" w:rsidP="00B178E4">
            <w:pPr>
              <w:pStyle w:val="Tabletext"/>
              <w:ind w:left="0" w:right="0"/>
              <w:jc w:val="center"/>
              <w:rPr>
                <w:rFonts w:cs="Calibri"/>
                <w:color w:val="auto"/>
                <w:szCs w:val="19"/>
              </w:rPr>
            </w:pPr>
            <w:r w:rsidRPr="00716528">
              <w:rPr>
                <w:rFonts w:cs="Calibri"/>
                <w:szCs w:val="19"/>
              </w:rPr>
              <w:t>Yes</w:t>
            </w:r>
          </w:p>
        </w:tc>
        <w:tc>
          <w:tcPr>
            <w:tcW w:w="992" w:type="dxa"/>
            <w:vAlign w:val="bottom"/>
          </w:tcPr>
          <w:p w14:paraId="2B033E35" w14:textId="77777777" w:rsidR="009F442E" w:rsidRPr="00716528" w:rsidRDefault="009F442E" w:rsidP="00B178E4">
            <w:pPr>
              <w:pStyle w:val="Tabletext"/>
              <w:ind w:left="0" w:right="0"/>
              <w:jc w:val="center"/>
              <w:rPr>
                <w:rFonts w:cs="Calibri"/>
                <w:color w:val="auto"/>
                <w:szCs w:val="19"/>
              </w:rPr>
            </w:pPr>
            <w:r w:rsidRPr="00716528">
              <w:rPr>
                <w:rFonts w:cs="Calibri"/>
                <w:szCs w:val="19"/>
              </w:rPr>
              <w:t>18.6</w:t>
            </w:r>
          </w:p>
        </w:tc>
        <w:tc>
          <w:tcPr>
            <w:tcW w:w="992" w:type="dxa"/>
            <w:vAlign w:val="bottom"/>
          </w:tcPr>
          <w:p w14:paraId="36764C73" w14:textId="77777777" w:rsidR="009F442E" w:rsidRPr="00716528" w:rsidRDefault="009F442E" w:rsidP="00B178E4">
            <w:pPr>
              <w:pStyle w:val="Tabletext"/>
              <w:ind w:left="0" w:right="0"/>
              <w:jc w:val="center"/>
              <w:rPr>
                <w:rFonts w:cs="Calibri"/>
                <w:szCs w:val="19"/>
              </w:rPr>
            </w:pPr>
            <w:r w:rsidRPr="00716528">
              <w:rPr>
                <w:rFonts w:cs="Calibri"/>
                <w:szCs w:val="19"/>
              </w:rPr>
              <w:t>No</w:t>
            </w:r>
          </w:p>
        </w:tc>
      </w:tr>
      <w:tr w:rsidR="009F442E" w:rsidRPr="003B78C4" w14:paraId="00242494" w14:textId="77777777" w:rsidTr="00DF6DE3">
        <w:trPr>
          <w:trHeight w:val="307"/>
        </w:trPr>
        <w:tc>
          <w:tcPr>
            <w:tcW w:w="8562" w:type="dxa"/>
            <w:gridSpan w:val="7"/>
            <w:vAlign w:val="center"/>
          </w:tcPr>
          <w:p w14:paraId="36734B7F" w14:textId="77777777" w:rsidR="009F442E" w:rsidRPr="00B178E4" w:rsidRDefault="009F442E" w:rsidP="00B178E4">
            <w:pPr>
              <w:jc w:val="center"/>
              <w:rPr>
                <w:b/>
                <w:sz w:val="20"/>
              </w:rPr>
            </w:pPr>
            <w:r w:rsidRPr="00B178E4">
              <w:rPr>
                <w:b/>
                <w:sz w:val="20"/>
                <w:szCs w:val="22"/>
              </w:rPr>
              <w:t>Atezolizumab arm</w:t>
            </w:r>
          </w:p>
        </w:tc>
      </w:tr>
      <w:tr w:rsidR="00F4319A" w:rsidRPr="003B78C4" w14:paraId="70F0E7A9" w14:textId="77777777" w:rsidTr="00DF6DE3">
        <w:trPr>
          <w:trHeight w:val="20"/>
        </w:trPr>
        <w:tc>
          <w:tcPr>
            <w:tcW w:w="483" w:type="dxa"/>
            <w:vAlign w:val="center"/>
          </w:tcPr>
          <w:p w14:paraId="059BE24A" w14:textId="0DF44D6A" w:rsidR="009F442E" w:rsidRPr="00B178E4" w:rsidRDefault="00611B1F" w:rsidP="00B178E4">
            <w:pPr>
              <w:pStyle w:val="Tabletext"/>
              <w:ind w:left="0" w:right="0"/>
              <w:jc w:val="right"/>
              <w:rPr>
                <w:rFonts w:cs="Calibri"/>
                <w:b/>
                <w:bCs/>
                <w:szCs w:val="19"/>
                <w:lang w:val="en-US"/>
              </w:rPr>
            </w:pPr>
            <w:r w:rsidRPr="00B178E4">
              <w:rPr>
                <w:rFonts w:cs="Calibri"/>
                <w:b/>
                <w:bCs/>
                <w:szCs w:val="19"/>
                <w:lang w:val="en-US"/>
              </w:rPr>
              <w:t>P2</w:t>
            </w:r>
          </w:p>
        </w:tc>
        <w:tc>
          <w:tcPr>
            <w:tcW w:w="2409" w:type="dxa"/>
            <w:vAlign w:val="bottom"/>
          </w:tcPr>
          <w:p w14:paraId="4844DDEA" w14:textId="77777777" w:rsidR="009F442E" w:rsidRPr="00716528" w:rsidRDefault="009F442E" w:rsidP="00B178E4">
            <w:pPr>
              <w:pStyle w:val="Tabletext"/>
              <w:ind w:left="0" w:right="0"/>
              <w:jc w:val="center"/>
              <w:rPr>
                <w:rFonts w:cs="Calibri"/>
                <w:szCs w:val="19"/>
                <w:lang w:val="en-US"/>
              </w:rPr>
            </w:pPr>
            <w:r w:rsidRPr="00716528">
              <w:rPr>
                <w:rFonts w:cs="Calibri"/>
                <w:szCs w:val="19"/>
                <w:lang w:val="en-US"/>
              </w:rPr>
              <w:t>6.4</w:t>
            </w:r>
          </w:p>
        </w:tc>
        <w:tc>
          <w:tcPr>
            <w:tcW w:w="1134" w:type="dxa"/>
            <w:vAlign w:val="bottom"/>
          </w:tcPr>
          <w:p w14:paraId="15024897" w14:textId="77777777" w:rsidR="009F442E" w:rsidRPr="00716528" w:rsidRDefault="009F442E" w:rsidP="00B178E4">
            <w:pPr>
              <w:pStyle w:val="Tabletext"/>
              <w:ind w:left="0" w:right="0"/>
              <w:jc w:val="center"/>
              <w:rPr>
                <w:rFonts w:cs="Calibri"/>
                <w:szCs w:val="19"/>
                <w:lang w:val="en-US"/>
              </w:rPr>
            </w:pPr>
            <w:r w:rsidRPr="00716528">
              <w:rPr>
                <w:rFonts w:cs="Calibri"/>
                <w:szCs w:val="19"/>
                <w:lang w:val="en-US"/>
              </w:rPr>
              <w:t>PR</w:t>
            </w:r>
          </w:p>
        </w:tc>
        <w:tc>
          <w:tcPr>
            <w:tcW w:w="1276" w:type="dxa"/>
            <w:vAlign w:val="bottom"/>
          </w:tcPr>
          <w:p w14:paraId="13A78FBE" w14:textId="77777777" w:rsidR="009F442E" w:rsidRPr="00716528" w:rsidRDefault="009F442E" w:rsidP="00B178E4">
            <w:pPr>
              <w:pStyle w:val="Tabletext"/>
              <w:ind w:left="0" w:right="0"/>
              <w:jc w:val="center"/>
              <w:rPr>
                <w:rFonts w:cs="Calibri"/>
                <w:szCs w:val="19"/>
              </w:rPr>
            </w:pPr>
            <w:r w:rsidRPr="00716528">
              <w:rPr>
                <w:rFonts w:cs="Calibri"/>
                <w:szCs w:val="19"/>
              </w:rPr>
              <w:t>17.5</w:t>
            </w:r>
          </w:p>
        </w:tc>
        <w:tc>
          <w:tcPr>
            <w:tcW w:w="1276" w:type="dxa"/>
            <w:vAlign w:val="bottom"/>
          </w:tcPr>
          <w:p w14:paraId="1E42190F" w14:textId="77777777" w:rsidR="009F442E" w:rsidRPr="00716528" w:rsidRDefault="009F442E" w:rsidP="00B178E4">
            <w:pPr>
              <w:pStyle w:val="Tabletext"/>
              <w:ind w:left="0" w:right="0"/>
              <w:jc w:val="center"/>
              <w:rPr>
                <w:rFonts w:cs="Calibri"/>
                <w:szCs w:val="19"/>
              </w:rPr>
            </w:pPr>
            <w:r w:rsidRPr="00716528">
              <w:rPr>
                <w:rFonts w:cs="Calibri"/>
                <w:szCs w:val="19"/>
              </w:rPr>
              <w:t>Yes</w:t>
            </w:r>
          </w:p>
        </w:tc>
        <w:tc>
          <w:tcPr>
            <w:tcW w:w="992" w:type="dxa"/>
            <w:vAlign w:val="bottom"/>
          </w:tcPr>
          <w:p w14:paraId="68C80E4B" w14:textId="77777777" w:rsidR="009F442E" w:rsidRPr="00716528" w:rsidRDefault="009F442E" w:rsidP="00B178E4">
            <w:pPr>
              <w:pStyle w:val="Tabletext"/>
              <w:ind w:left="0" w:right="0"/>
              <w:jc w:val="center"/>
              <w:rPr>
                <w:rFonts w:cs="Calibri"/>
                <w:szCs w:val="19"/>
              </w:rPr>
            </w:pPr>
            <w:r w:rsidRPr="00716528">
              <w:rPr>
                <w:rFonts w:cs="Calibri"/>
                <w:szCs w:val="19"/>
              </w:rPr>
              <w:t>17.5</w:t>
            </w:r>
          </w:p>
        </w:tc>
        <w:tc>
          <w:tcPr>
            <w:tcW w:w="992" w:type="dxa"/>
            <w:vAlign w:val="bottom"/>
          </w:tcPr>
          <w:p w14:paraId="5DD935C6" w14:textId="77777777" w:rsidR="009F442E" w:rsidRPr="00716528" w:rsidRDefault="009F442E" w:rsidP="00B178E4">
            <w:pPr>
              <w:pStyle w:val="Tabletext"/>
              <w:ind w:left="0" w:right="0"/>
              <w:jc w:val="center"/>
              <w:rPr>
                <w:rFonts w:cs="Calibri"/>
                <w:szCs w:val="19"/>
              </w:rPr>
            </w:pPr>
            <w:r w:rsidRPr="00716528">
              <w:rPr>
                <w:rFonts w:cs="Calibri"/>
                <w:szCs w:val="19"/>
              </w:rPr>
              <w:t>Yes</w:t>
            </w:r>
          </w:p>
        </w:tc>
      </w:tr>
      <w:tr w:rsidR="00F4319A" w:rsidRPr="003B78C4" w14:paraId="550DCFB8" w14:textId="77777777" w:rsidTr="00DF6DE3">
        <w:trPr>
          <w:trHeight w:val="20"/>
        </w:trPr>
        <w:tc>
          <w:tcPr>
            <w:tcW w:w="483" w:type="dxa"/>
            <w:vAlign w:val="center"/>
          </w:tcPr>
          <w:p w14:paraId="64F42C76" w14:textId="704AA649" w:rsidR="009F442E" w:rsidRPr="00B178E4" w:rsidRDefault="00611B1F" w:rsidP="00B178E4">
            <w:pPr>
              <w:pStyle w:val="Tabletext"/>
              <w:ind w:left="0" w:right="0"/>
              <w:jc w:val="right"/>
              <w:rPr>
                <w:rFonts w:cs="Calibri"/>
                <w:b/>
                <w:bCs/>
                <w:szCs w:val="19"/>
                <w:lang w:val="en-US"/>
              </w:rPr>
            </w:pPr>
            <w:r w:rsidRPr="00B178E4">
              <w:rPr>
                <w:rFonts w:cs="Calibri"/>
                <w:b/>
                <w:bCs/>
                <w:szCs w:val="19"/>
                <w:lang w:val="en-US"/>
              </w:rPr>
              <w:t>P3</w:t>
            </w:r>
          </w:p>
        </w:tc>
        <w:tc>
          <w:tcPr>
            <w:tcW w:w="2409" w:type="dxa"/>
            <w:vAlign w:val="bottom"/>
          </w:tcPr>
          <w:p w14:paraId="065AA4A1" w14:textId="77777777" w:rsidR="009F442E" w:rsidRPr="00716528" w:rsidRDefault="009F442E" w:rsidP="00B178E4">
            <w:pPr>
              <w:pStyle w:val="Tabletext"/>
              <w:ind w:left="0" w:right="0"/>
              <w:jc w:val="center"/>
              <w:rPr>
                <w:rFonts w:cs="Calibri"/>
                <w:szCs w:val="19"/>
                <w:lang w:val="en-US"/>
              </w:rPr>
            </w:pPr>
            <w:r w:rsidRPr="00716528">
              <w:rPr>
                <w:rFonts w:cs="Calibri"/>
                <w:szCs w:val="19"/>
                <w:lang w:val="en-US"/>
              </w:rPr>
              <w:t>9.5</w:t>
            </w:r>
          </w:p>
        </w:tc>
        <w:tc>
          <w:tcPr>
            <w:tcW w:w="1134" w:type="dxa"/>
            <w:vAlign w:val="bottom"/>
          </w:tcPr>
          <w:p w14:paraId="5E6A6E55" w14:textId="77777777" w:rsidR="009F442E" w:rsidRPr="00716528" w:rsidRDefault="009F442E" w:rsidP="00B178E4">
            <w:pPr>
              <w:pStyle w:val="Tabletext"/>
              <w:ind w:left="0" w:right="0"/>
              <w:jc w:val="center"/>
              <w:rPr>
                <w:rFonts w:cs="Calibri"/>
                <w:szCs w:val="19"/>
                <w:lang w:val="en-US"/>
              </w:rPr>
            </w:pPr>
            <w:r w:rsidRPr="00716528">
              <w:rPr>
                <w:rFonts w:cs="Calibri"/>
                <w:szCs w:val="19"/>
                <w:lang w:val="en-US"/>
              </w:rPr>
              <w:t>NE</w:t>
            </w:r>
          </w:p>
        </w:tc>
        <w:tc>
          <w:tcPr>
            <w:tcW w:w="1276" w:type="dxa"/>
            <w:vAlign w:val="bottom"/>
          </w:tcPr>
          <w:p w14:paraId="34179569" w14:textId="77777777" w:rsidR="009F442E" w:rsidRPr="00716528" w:rsidRDefault="009F442E" w:rsidP="00B178E4">
            <w:pPr>
              <w:pStyle w:val="Tabletext"/>
              <w:ind w:left="0" w:right="0"/>
              <w:jc w:val="center"/>
              <w:rPr>
                <w:rFonts w:cs="Calibri"/>
                <w:szCs w:val="19"/>
              </w:rPr>
            </w:pPr>
            <w:r w:rsidRPr="00716528">
              <w:rPr>
                <w:rFonts w:cs="Calibri"/>
                <w:szCs w:val="19"/>
              </w:rPr>
              <w:t>2.4</w:t>
            </w:r>
          </w:p>
        </w:tc>
        <w:tc>
          <w:tcPr>
            <w:tcW w:w="1276" w:type="dxa"/>
            <w:vAlign w:val="bottom"/>
          </w:tcPr>
          <w:p w14:paraId="07CBB184" w14:textId="77777777" w:rsidR="009F442E" w:rsidRPr="00716528" w:rsidRDefault="009F442E" w:rsidP="00B178E4">
            <w:pPr>
              <w:pStyle w:val="Tabletext"/>
              <w:ind w:left="0" w:right="0"/>
              <w:jc w:val="center"/>
              <w:rPr>
                <w:rFonts w:cs="Calibri"/>
                <w:szCs w:val="19"/>
              </w:rPr>
            </w:pPr>
            <w:r w:rsidRPr="00716528">
              <w:rPr>
                <w:rFonts w:cs="Calibri"/>
                <w:szCs w:val="19"/>
              </w:rPr>
              <w:t>Yes</w:t>
            </w:r>
          </w:p>
        </w:tc>
        <w:tc>
          <w:tcPr>
            <w:tcW w:w="992" w:type="dxa"/>
            <w:vAlign w:val="bottom"/>
          </w:tcPr>
          <w:p w14:paraId="2C65DCA9" w14:textId="77777777" w:rsidR="009F442E" w:rsidRPr="00716528" w:rsidRDefault="009F442E" w:rsidP="00B178E4">
            <w:pPr>
              <w:pStyle w:val="Tabletext"/>
              <w:ind w:left="0" w:right="0"/>
              <w:jc w:val="center"/>
              <w:rPr>
                <w:rFonts w:cs="Calibri"/>
                <w:szCs w:val="19"/>
              </w:rPr>
            </w:pPr>
            <w:r w:rsidRPr="00716528">
              <w:rPr>
                <w:rFonts w:cs="Calibri"/>
                <w:szCs w:val="19"/>
              </w:rPr>
              <w:t>2.4</w:t>
            </w:r>
          </w:p>
        </w:tc>
        <w:tc>
          <w:tcPr>
            <w:tcW w:w="992" w:type="dxa"/>
            <w:vAlign w:val="bottom"/>
          </w:tcPr>
          <w:p w14:paraId="5ACF12B7" w14:textId="77777777" w:rsidR="009F442E" w:rsidRPr="00716528" w:rsidRDefault="009F442E" w:rsidP="00B178E4">
            <w:pPr>
              <w:pStyle w:val="Tabletext"/>
              <w:ind w:left="0" w:right="0"/>
              <w:jc w:val="center"/>
              <w:rPr>
                <w:rFonts w:cs="Calibri"/>
                <w:szCs w:val="19"/>
              </w:rPr>
            </w:pPr>
            <w:r w:rsidRPr="00716528">
              <w:rPr>
                <w:rFonts w:cs="Calibri"/>
                <w:szCs w:val="19"/>
              </w:rPr>
              <w:t>Yes</w:t>
            </w:r>
          </w:p>
        </w:tc>
      </w:tr>
      <w:tr w:rsidR="00F4319A" w:rsidRPr="003B78C4" w14:paraId="2B1AC99D" w14:textId="77777777" w:rsidTr="00DF6DE3">
        <w:trPr>
          <w:trHeight w:val="20"/>
        </w:trPr>
        <w:tc>
          <w:tcPr>
            <w:tcW w:w="483" w:type="dxa"/>
            <w:vAlign w:val="center"/>
          </w:tcPr>
          <w:p w14:paraId="0DE6AC80" w14:textId="1B699AA8" w:rsidR="009F442E" w:rsidRPr="00B178E4" w:rsidRDefault="00955EBA" w:rsidP="00B178E4">
            <w:pPr>
              <w:pStyle w:val="Tabletext"/>
              <w:ind w:left="0" w:right="0"/>
              <w:jc w:val="right"/>
              <w:rPr>
                <w:rFonts w:cs="Calibri"/>
                <w:b/>
                <w:bCs/>
                <w:szCs w:val="19"/>
                <w:lang w:val="en-US"/>
              </w:rPr>
            </w:pPr>
            <w:r w:rsidRPr="00B178E4">
              <w:rPr>
                <w:rFonts w:cs="Calibri"/>
                <w:b/>
                <w:bCs/>
                <w:szCs w:val="19"/>
                <w:lang w:val="en-US"/>
              </w:rPr>
              <w:t>P</w:t>
            </w:r>
            <w:r w:rsidR="00611B1F" w:rsidRPr="00B178E4">
              <w:rPr>
                <w:rFonts w:cs="Calibri"/>
                <w:b/>
                <w:bCs/>
                <w:szCs w:val="19"/>
                <w:lang w:val="en-US"/>
              </w:rPr>
              <w:t>4</w:t>
            </w:r>
          </w:p>
        </w:tc>
        <w:tc>
          <w:tcPr>
            <w:tcW w:w="2409" w:type="dxa"/>
            <w:vAlign w:val="bottom"/>
          </w:tcPr>
          <w:p w14:paraId="65745821" w14:textId="77777777" w:rsidR="009F442E" w:rsidRPr="00716528" w:rsidRDefault="009F442E" w:rsidP="00B178E4">
            <w:pPr>
              <w:pStyle w:val="Tabletext"/>
              <w:ind w:left="0" w:right="0"/>
              <w:jc w:val="center"/>
              <w:rPr>
                <w:rFonts w:cs="Calibri"/>
                <w:szCs w:val="19"/>
                <w:lang w:val="en-US"/>
              </w:rPr>
            </w:pPr>
            <w:r w:rsidRPr="00716528">
              <w:rPr>
                <w:rFonts w:cs="Calibri"/>
                <w:szCs w:val="19"/>
                <w:lang w:val="en-US"/>
              </w:rPr>
              <w:t>33.8</w:t>
            </w:r>
          </w:p>
        </w:tc>
        <w:tc>
          <w:tcPr>
            <w:tcW w:w="1134" w:type="dxa"/>
            <w:vAlign w:val="bottom"/>
          </w:tcPr>
          <w:p w14:paraId="3B65DB95" w14:textId="77777777" w:rsidR="009F442E" w:rsidRPr="00716528" w:rsidRDefault="009F442E" w:rsidP="00B178E4">
            <w:pPr>
              <w:pStyle w:val="Tabletext"/>
              <w:ind w:left="0" w:right="0"/>
              <w:jc w:val="center"/>
              <w:rPr>
                <w:rFonts w:cs="Calibri"/>
                <w:szCs w:val="19"/>
                <w:lang w:val="en-US"/>
              </w:rPr>
            </w:pPr>
            <w:r w:rsidRPr="00716528">
              <w:rPr>
                <w:rFonts w:cs="Calibri"/>
                <w:szCs w:val="19"/>
                <w:lang w:val="en-US"/>
              </w:rPr>
              <w:t>PD</w:t>
            </w:r>
          </w:p>
        </w:tc>
        <w:tc>
          <w:tcPr>
            <w:tcW w:w="1276" w:type="dxa"/>
            <w:vAlign w:val="bottom"/>
          </w:tcPr>
          <w:p w14:paraId="4DA5A4B1" w14:textId="77777777" w:rsidR="009F442E" w:rsidRPr="00716528" w:rsidRDefault="009F442E" w:rsidP="00B178E4">
            <w:pPr>
              <w:pStyle w:val="Tabletext"/>
              <w:ind w:left="0" w:right="0"/>
              <w:jc w:val="center"/>
              <w:rPr>
                <w:rFonts w:cs="Calibri"/>
                <w:szCs w:val="19"/>
              </w:rPr>
            </w:pPr>
            <w:r w:rsidRPr="00716528">
              <w:rPr>
                <w:rFonts w:cs="Calibri"/>
                <w:szCs w:val="19"/>
              </w:rPr>
              <w:t>2.6</w:t>
            </w:r>
          </w:p>
        </w:tc>
        <w:tc>
          <w:tcPr>
            <w:tcW w:w="1276" w:type="dxa"/>
            <w:vAlign w:val="bottom"/>
          </w:tcPr>
          <w:p w14:paraId="66ABF1AA" w14:textId="77777777" w:rsidR="009F442E" w:rsidRPr="00716528" w:rsidRDefault="009F442E" w:rsidP="00B178E4">
            <w:pPr>
              <w:pStyle w:val="Tabletext"/>
              <w:ind w:left="0" w:right="0"/>
              <w:jc w:val="center"/>
              <w:rPr>
                <w:rFonts w:cs="Calibri"/>
                <w:szCs w:val="19"/>
              </w:rPr>
            </w:pPr>
            <w:r w:rsidRPr="00716528">
              <w:rPr>
                <w:rFonts w:cs="Calibri"/>
                <w:szCs w:val="19"/>
              </w:rPr>
              <w:t>Yes</w:t>
            </w:r>
          </w:p>
        </w:tc>
        <w:tc>
          <w:tcPr>
            <w:tcW w:w="992" w:type="dxa"/>
            <w:vAlign w:val="bottom"/>
          </w:tcPr>
          <w:p w14:paraId="6D62FF04" w14:textId="77777777" w:rsidR="009F442E" w:rsidRPr="00716528" w:rsidRDefault="009F442E" w:rsidP="00B178E4">
            <w:pPr>
              <w:pStyle w:val="Tabletext"/>
              <w:ind w:left="0" w:right="0"/>
              <w:jc w:val="center"/>
              <w:rPr>
                <w:rFonts w:cs="Calibri"/>
                <w:szCs w:val="19"/>
              </w:rPr>
            </w:pPr>
            <w:r w:rsidRPr="00716528">
              <w:rPr>
                <w:rFonts w:cs="Calibri"/>
                <w:szCs w:val="19"/>
              </w:rPr>
              <w:t>18.0</w:t>
            </w:r>
          </w:p>
        </w:tc>
        <w:tc>
          <w:tcPr>
            <w:tcW w:w="992" w:type="dxa"/>
            <w:vAlign w:val="bottom"/>
          </w:tcPr>
          <w:p w14:paraId="09DE2AC0" w14:textId="77777777" w:rsidR="009F442E" w:rsidRPr="00716528" w:rsidRDefault="009F442E" w:rsidP="00B178E4">
            <w:pPr>
              <w:pStyle w:val="Tabletext"/>
              <w:ind w:left="0" w:right="0"/>
              <w:jc w:val="center"/>
              <w:rPr>
                <w:rFonts w:cs="Calibri"/>
                <w:szCs w:val="19"/>
              </w:rPr>
            </w:pPr>
            <w:r w:rsidRPr="00716528">
              <w:rPr>
                <w:rFonts w:cs="Calibri"/>
                <w:szCs w:val="19"/>
              </w:rPr>
              <w:t>No</w:t>
            </w:r>
          </w:p>
        </w:tc>
      </w:tr>
      <w:tr w:rsidR="00F4319A" w:rsidRPr="003B78C4" w14:paraId="5736A0DD" w14:textId="77777777" w:rsidTr="00DF6DE3">
        <w:trPr>
          <w:trHeight w:val="20"/>
        </w:trPr>
        <w:tc>
          <w:tcPr>
            <w:tcW w:w="483" w:type="dxa"/>
            <w:vAlign w:val="center"/>
          </w:tcPr>
          <w:p w14:paraId="3DB558E9" w14:textId="549D1860" w:rsidR="009F442E" w:rsidRPr="00B178E4" w:rsidRDefault="00611B1F" w:rsidP="00B178E4">
            <w:pPr>
              <w:pStyle w:val="Tabletext"/>
              <w:ind w:left="0" w:right="0"/>
              <w:jc w:val="right"/>
              <w:rPr>
                <w:rFonts w:cs="Calibri"/>
                <w:b/>
                <w:bCs/>
                <w:szCs w:val="19"/>
                <w:lang w:val="en-US"/>
              </w:rPr>
            </w:pPr>
            <w:r w:rsidRPr="00B178E4">
              <w:rPr>
                <w:rFonts w:cs="Calibri"/>
                <w:b/>
                <w:bCs/>
                <w:szCs w:val="19"/>
                <w:lang w:val="en-US"/>
              </w:rPr>
              <w:t>P5</w:t>
            </w:r>
          </w:p>
        </w:tc>
        <w:tc>
          <w:tcPr>
            <w:tcW w:w="2409" w:type="dxa"/>
            <w:vAlign w:val="bottom"/>
          </w:tcPr>
          <w:p w14:paraId="7120CA6B" w14:textId="77777777" w:rsidR="009F442E" w:rsidRPr="00716528" w:rsidRDefault="009F442E" w:rsidP="00B178E4">
            <w:pPr>
              <w:pStyle w:val="Tabletext"/>
              <w:ind w:left="0" w:right="0"/>
              <w:jc w:val="center"/>
              <w:rPr>
                <w:rFonts w:cs="Calibri"/>
                <w:szCs w:val="19"/>
                <w:lang w:val="en-US"/>
              </w:rPr>
            </w:pPr>
            <w:r w:rsidRPr="00716528">
              <w:rPr>
                <w:rFonts w:cs="Calibri"/>
                <w:szCs w:val="19"/>
                <w:lang w:val="en-US"/>
              </w:rPr>
              <w:t>23.2</w:t>
            </w:r>
          </w:p>
        </w:tc>
        <w:tc>
          <w:tcPr>
            <w:tcW w:w="1134" w:type="dxa"/>
            <w:vAlign w:val="bottom"/>
          </w:tcPr>
          <w:p w14:paraId="12025AAB" w14:textId="77777777" w:rsidR="009F442E" w:rsidRPr="00716528" w:rsidRDefault="009F442E" w:rsidP="00B178E4">
            <w:pPr>
              <w:pStyle w:val="Tabletext"/>
              <w:ind w:left="0" w:right="0"/>
              <w:jc w:val="center"/>
              <w:rPr>
                <w:rFonts w:cs="Calibri"/>
                <w:szCs w:val="19"/>
                <w:lang w:val="en-US"/>
              </w:rPr>
            </w:pPr>
            <w:r w:rsidRPr="00716528">
              <w:rPr>
                <w:rFonts w:cs="Calibri"/>
                <w:szCs w:val="19"/>
                <w:lang w:val="en-US"/>
              </w:rPr>
              <w:t>SD</w:t>
            </w:r>
          </w:p>
        </w:tc>
        <w:tc>
          <w:tcPr>
            <w:tcW w:w="1276" w:type="dxa"/>
            <w:vAlign w:val="bottom"/>
          </w:tcPr>
          <w:p w14:paraId="7F5D05E5" w14:textId="77777777" w:rsidR="009F442E" w:rsidRPr="00716528" w:rsidRDefault="009F442E" w:rsidP="00B178E4">
            <w:pPr>
              <w:pStyle w:val="Tabletext"/>
              <w:ind w:left="0" w:right="0"/>
              <w:jc w:val="center"/>
              <w:rPr>
                <w:rFonts w:cs="Calibri"/>
                <w:szCs w:val="19"/>
              </w:rPr>
            </w:pPr>
            <w:r w:rsidRPr="00716528">
              <w:rPr>
                <w:rFonts w:cs="Calibri"/>
                <w:szCs w:val="19"/>
              </w:rPr>
              <w:t>2.8</w:t>
            </w:r>
          </w:p>
        </w:tc>
        <w:tc>
          <w:tcPr>
            <w:tcW w:w="1276" w:type="dxa"/>
            <w:vAlign w:val="bottom"/>
          </w:tcPr>
          <w:p w14:paraId="2EB80FBD" w14:textId="77777777" w:rsidR="009F442E" w:rsidRPr="00716528" w:rsidRDefault="009F442E" w:rsidP="00B178E4">
            <w:pPr>
              <w:pStyle w:val="Tabletext"/>
              <w:ind w:left="0" w:right="0"/>
              <w:jc w:val="center"/>
              <w:rPr>
                <w:rFonts w:cs="Calibri"/>
                <w:szCs w:val="19"/>
              </w:rPr>
            </w:pPr>
            <w:r w:rsidRPr="00716528">
              <w:rPr>
                <w:rFonts w:cs="Calibri"/>
                <w:szCs w:val="19"/>
              </w:rPr>
              <w:t>Yes</w:t>
            </w:r>
          </w:p>
        </w:tc>
        <w:tc>
          <w:tcPr>
            <w:tcW w:w="992" w:type="dxa"/>
            <w:vAlign w:val="bottom"/>
          </w:tcPr>
          <w:p w14:paraId="66408EB7" w14:textId="77777777" w:rsidR="009F442E" w:rsidRPr="00716528" w:rsidRDefault="009F442E" w:rsidP="00B178E4">
            <w:pPr>
              <w:pStyle w:val="Tabletext"/>
              <w:ind w:left="0" w:right="0"/>
              <w:jc w:val="center"/>
              <w:rPr>
                <w:rFonts w:cs="Calibri"/>
                <w:szCs w:val="19"/>
              </w:rPr>
            </w:pPr>
            <w:r w:rsidRPr="00716528">
              <w:rPr>
                <w:rFonts w:cs="Calibri"/>
                <w:szCs w:val="19"/>
              </w:rPr>
              <w:t>2.8</w:t>
            </w:r>
          </w:p>
        </w:tc>
        <w:tc>
          <w:tcPr>
            <w:tcW w:w="992" w:type="dxa"/>
            <w:vAlign w:val="bottom"/>
          </w:tcPr>
          <w:p w14:paraId="55AFE024" w14:textId="77777777" w:rsidR="009F442E" w:rsidRPr="00716528" w:rsidRDefault="009F442E" w:rsidP="00B178E4">
            <w:pPr>
              <w:pStyle w:val="Tabletext"/>
              <w:ind w:left="0" w:right="0"/>
              <w:jc w:val="center"/>
              <w:rPr>
                <w:rFonts w:cs="Calibri"/>
                <w:szCs w:val="19"/>
              </w:rPr>
            </w:pPr>
            <w:r w:rsidRPr="00716528">
              <w:rPr>
                <w:rFonts w:cs="Calibri"/>
                <w:szCs w:val="19"/>
              </w:rPr>
              <w:t>Yes</w:t>
            </w:r>
          </w:p>
        </w:tc>
      </w:tr>
      <w:tr w:rsidR="00F4319A" w:rsidRPr="003B78C4" w14:paraId="18DF03B4" w14:textId="77777777" w:rsidTr="00DF6DE3">
        <w:trPr>
          <w:trHeight w:val="20"/>
        </w:trPr>
        <w:tc>
          <w:tcPr>
            <w:tcW w:w="483" w:type="dxa"/>
            <w:vAlign w:val="center"/>
          </w:tcPr>
          <w:p w14:paraId="65C62BAE" w14:textId="31C5FC10" w:rsidR="009F442E" w:rsidRPr="00B178E4" w:rsidRDefault="00611B1F" w:rsidP="00B178E4">
            <w:pPr>
              <w:pStyle w:val="Tabletext"/>
              <w:ind w:left="0" w:right="0"/>
              <w:jc w:val="right"/>
              <w:rPr>
                <w:rFonts w:cs="Calibri"/>
                <w:b/>
                <w:bCs/>
                <w:szCs w:val="19"/>
                <w:lang w:val="en-US"/>
              </w:rPr>
            </w:pPr>
            <w:r w:rsidRPr="00B178E4">
              <w:rPr>
                <w:rFonts w:cs="Calibri"/>
                <w:b/>
                <w:bCs/>
                <w:szCs w:val="19"/>
                <w:lang w:val="en-US"/>
              </w:rPr>
              <w:t>P6</w:t>
            </w:r>
          </w:p>
        </w:tc>
        <w:tc>
          <w:tcPr>
            <w:tcW w:w="2409" w:type="dxa"/>
            <w:vAlign w:val="bottom"/>
          </w:tcPr>
          <w:p w14:paraId="7E86938A" w14:textId="77777777" w:rsidR="009F442E" w:rsidRPr="00716528" w:rsidRDefault="009F442E" w:rsidP="00B178E4">
            <w:pPr>
              <w:pStyle w:val="Tabletext"/>
              <w:ind w:left="0" w:right="0"/>
              <w:jc w:val="center"/>
              <w:rPr>
                <w:rFonts w:cs="Calibri"/>
                <w:szCs w:val="19"/>
                <w:lang w:val="en-US"/>
              </w:rPr>
            </w:pPr>
            <w:r w:rsidRPr="00716528">
              <w:rPr>
                <w:rFonts w:cs="Calibri"/>
                <w:szCs w:val="19"/>
                <w:lang w:val="en-US"/>
              </w:rPr>
              <w:t>6.5</w:t>
            </w:r>
          </w:p>
        </w:tc>
        <w:tc>
          <w:tcPr>
            <w:tcW w:w="1134" w:type="dxa"/>
            <w:vAlign w:val="bottom"/>
          </w:tcPr>
          <w:p w14:paraId="0BD71377" w14:textId="77777777" w:rsidR="009F442E" w:rsidRPr="00716528" w:rsidRDefault="009F442E" w:rsidP="00B178E4">
            <w:pPr>
              <w:pStyle w:val="Tabletext"/>
              <w:ind w:left="0" w:right="0"/>
              <w:jc w:val="center"/>
              <w:rPr>
                <w:rFonts w:cs="Calibri"/>
                <w:szCs w:val="19"/>
                <w:lang w:val="en-US"/>
              </w:rPr>
            </w:pPr>
            <w:r w:rsidRPr="00716528">
              <w:rPr>
                <w:rFonts w:cs="Calibri"/>
                <w:szCs w:val="19"/>
                <w:lang w:val="en-US"/>
              </w:rPr>
              <w:t>SD</w:t>
            </w:r>
          </w:p>
        </w:tc>
        <w:tc>
          <w:tcPr>
            <w:tcW w:w="1276" w:type="dxa"/>
            <w:vAlign w:val="bottom"/>
          </w:tcPr>
          <w:p w14:paraId="5512794C" w14:textId="77777777" w:rsidR="009F442E" w:rsidRPr="00716528" w:rsidRDefault="009F442E" w:rsidP="00B178E4">
            <w:pPr>
              <w:pStyle w:val="Tabletext"/>
              <w:ind w:left="0" w:right="0"/>
              <w:jc w:val="center"/>
              <w:rPr>
                <w:rFonts w:cs="Calibri"/>
                <w:szCs w:val="19"/>
              </w:rPr>
            </w:pPr>
            <w:r w:rsidRPr="00716528">
              <w:rPr>
                <w:rFonts w:cs="Calibri"/>
                <w:szCs w:val="19"/>
              </w:rPr>
              <w:t>5.6</w:t>
            </w:r>
          </w:p>
        </w:tc>
        <w:tc>
          <w:tcPr>
            <w:tcW w:w="1276" w:type="dxa"/>
            <w:vAlign w:val="bottom"/>
          </w:tcPr>
          <w:p w14:paraId="40C433DF" w14:textId="77777777" w:rsidR="009F442E" w:rsidRPr="00716528" w:rsidRDefault="009F442E" w:rsidP="00B178E4">
            <w:pPr>
              <w:pStyle w:val="Tabletext"/>
              <w:ind w:left="0" w:right="0"/>
              <w:jc w:val="center"/>
              <w:rPr>
                <w:rFonts w:cs="Calibri"/>
                <w:szCs w:val="19"/>
              </w:rPr>
            </w:pPr>
            <w:r w:rsidRPr="00716528">
              <w:rPr>
                <w:rFonts w:cs="Calibri"/>
                <w:szCs w:val="19"/>
              </w:rPr>
              <w:t>Yes</w:t>
            </w:r>
          </w:p>
        </w:tc>
        <w:tc>
          <w:tcPr>
            <w:tcW w:w="992" w:type="dxa"/>
            <w:vAlign w:val="bottom"/>
          </w:tcPr>
          <w:p w14:paraId="4206D4FE" w14:textId="77777777" w:rsidR="009F442E" w:rsidRPr="00716528" w:rsidRDefault="009F442E" w:rsidP="00B178E4">
            <w:pPr>
              <w:pStyle w:val="Tabletext"/>
              <w:ind w:left="0" w:right="0"/>
              <w:jc w:val="center"/>
              <w:rPr>
                <w:rFonts w:cs="Calibri"/>
                <w:szCs w:val="19"/>
              </w:rPr>
            </w:pPr>
            <w:r w:rsidRPr="00716528">
              <w:rPr>
                <w:rFonts w:cs="Calibri"/>
                <w:szCs w:val="19"/>
              </w:rPr>
              <w:t>18.2</w:t>
            </w:r>
          </w:p>
        </w:tc>
        <w:tc>
          <w:tcPr>
            <w:tcW w:w="992" w:type="dxa"/>
            <w:vAlign w:val="bottom"/>
          </w:tcPr>
          <w:p w14:paraId="1B25EC18" w14:textId="77777777" w:rsidR="009F442E" w:rsidRPr="00716528" w:rsidRDefault="009F442E" w:rsidP="00B178E4">
            <w:pPr>
              <w:pStyle w:val="Tabletext"/>
              <w:ind w:left="0" w:right="0"/>
              <w:jc w:val="center"/>
              <w:rPr>
                <w:rFonts w:cs="Calibri"/>
                <w:szCs w:val="19"/>
              </w:rPr>
            </w:pPr>
            <w:r w:rsidRPr="00716528">
              <w:rPr>
                <w:rFonts w:cs="Calibri"/>
                <w:szCs w:val="19"/>
              </w:rPr>
              <w:t>Yes</w:t>
            </w:r>
          </w:p>
        </w:tc>
      </w:tr>
      <w:tr w:rsidR="00F4319A" w:rsidRPr="003B78C4" w14:paraId="4F64F3A7" w14:textId="77777777" w:rsidTr="00DF6DE3">
        <w:trPr>
          <w:trHeight w:val="20"/>
        </w:trPr>
        <w:tc>
          <w:tcPr>
            <w:tcW w:w="483" w:type="dxa"/>
            <w:vAlign w:val="center"/>
          </w:tcPr>
          <w:p w14:paraId="3E9DBF99" w14:textId="77529BC3" w:rsidR="009F442E" w:rsidRPr="00B178E4" w:rsidRDefault="00611B1F" w:rsidP="00B178E4">
            <w:pPr>
              <w:pStyle w:val="Tabletext"/>
              <w:ind w:left="0" w:right="0"/>
              <w:jc w:val="right"/>
              <w:rPr>
                <w:rFonts w:cs="Calibri"/>
                <w:b/>
                <w:bCs/>
                <w:szCs w:val="19"/>
                <w:lang w:val="en-US"/>
              </w:rPr>
            </w:pPr>
            <w:r w:rsidRPr="00B178E4">
              <w:rPr>
                <w:rFonts w:cs="Calibri"/>
                <w:b/>
                <w:bCs/>
                <w:szCs w:val="19"/>
                <w:lang w:val="en-US"/>
              </w:rPr>
              <w:t>P7</w:t>
            </w:r>
          </w:p>
        </w:tc>
        <w:tc>
          <w:tcPr>
            <w:tcW w:w="2409" w:type="dxa"/>
            <w:vAlign w:val="bottom"/>
          </w:tcPr>
          <w:p w14:paraId="44CC14B1" w14:textId="77777777" w:rsidR="009F442E" w:rsidRPr="00716528" w:rsidRDefault="009F442E" w:rsidP="00B178E4">
            <w:pPr>
              <w:pStyle w:val="Tabletext"/>
              <w:ind w:left="0" w:right="0"/>
              <w:jc w:val="center"/>
              <w:rPr>
                <w:rFonts w:cs="Calibri"/>
                <w:szCs w:val="19"/>
                <w:lang w:val="en-US"/>
              </w:rPr>
            </w:pPr>
            <w:r w:rsidRPr="00716528">
              <w:rPr>
                <w:rFonts w:cs="Calibri"/>
                <w:szCs w:val="19"/>
                <w:lang w:val="en-US"/>
              </w:rPr>
              <w:t>50.8</w:t>
            </w:r>
          </w:p>
        </w:tc>
        <w:tc>
          <w:tcPr>
            <w:tcW w:w="1134" w:type="dxa"/>
            <w:vAlign w:val="bottom"/>
          </w:tcPr>
          <w:p w14:paraId="6442A869" w14:textId="77777777" w:rsidR="009F442E" w:rsidRPr="00716528" w:rsidRDefault="009F442E" w:rsidP="00B178E4">
            <w:pPr>
              <w:pStyle w:val="Tabletext"/>
              <w:ind w:left="0" w:right="0"/>
              <w:jc w:val="center"/>
              <w:rPr>
                <w:rFonts w:cs="Calibri"/>
                <w:szCs w:val="19"/>
                <w:lang w:val="en-US"/>
              </w:rPr>
            </w:pPr>
            <w:r w:rsidRPr="00716528">
              <w:rPr>
                <w:rFonts w:cs="Calibri"/>
                <w:szCs w:val="19"/>
                <w:lang w:val="en-US"/>
              </w:rPr>
              <w:t>SD</w:t>
            </w:r>
          </w:p>
        </w:tc>
        <w:tc>
          <w:tcPr>
            <w:tcW w:w="1276" w:type="dxa"/>
            <w:vAlign w:val="bottom"/>
          </w:tcPr>
          <w:p w14:paraId="6C43A360" w14:textId="77777777" w:rsidR="009F442E" w:rsidRPr="00716528" w:rsidRDefault="009F442E" w:rsidP="00B178E4">
            <w:pPr>
              <w:pStyle w:val="Tabletext"/>
              <w:ind w:left="0" w:right="0"/>
              <w:jc w:val="center"/>
              <w:rPr>
                <w:rFonts w:cs="Calibri"/>
                <w:szCs w:val="19"/>
              </w:rPr>
            </w:pPr>
            <w:r w:rsidRPr="00716528">
              <w:rPr>
                <w:rFonts w:cs="Calibri"/>
                <w:szCs w:val="19"/>
              </w:rPr>
              <w:t>15.2</w:t>
            </w:r>
          </w:p>
        </w:tc>
        <w:tc>
          <w:tcPr>
            <w:tcW w:w="1276" w:type="dxa"/>
            <w:vAlign w:val="bottom"/>
          </w:tcPr>
          <w:p w14:paraId="79DF94E7" w14:textId="77777777" w:rsidR="009F442E" w:rsidRPr="00716528" w:rsidRDefault="009F442E" w:rsidP="00B178E4">
            <w:pPr>
              <w:pStyle w:val="Tabletext"/>
              <w:ind w:left="0" w:right="0"/>
              <w:jc w:val="center"/>
              <w:rPr>
                <w:rFonts w:cs="Calibri"/>
                <w:szCs w:val="19"/>
              </w:rPr>
            </w:pPr>
            <w:r w:rsidRPr="00716528">
              <w:rPr>
                <w:rFonts w:cs="Calibri"/>
                <w:szCs w:val="19"/>
              </w:rPr>
              <w:t>No</w:t>
            </w:r>
          </w:p>
        </w:tc>
        <w:tc>
          <w:tcPr>
            <w:tcW w:w="992" w:type="dxa"/>
            <w:vAlign w:val="bottom"/>
          </w:tcPr>
          <w:p w14:paraId="11606C04" w14:textId="77777777" w:rsidR="009F442E" w:rsidRPr="00716528" w:rsidRDefault="009F442E" w:rsidP="00B178E4">
            <w:pPr>
              <w:pStyle w:val="Tabletext"/>
              <w:ind w:left="0" w:right="0"/>
              <w:jc w:val="center"/>
              <w:rPr>
                <w:rFonts w:cs="Calibri"/>
                <w:szCs w:val="19"/>
              </w:rPr>
            </w:pPr>
            <w:r w:rsidRPr="00716528">
              <w:rPr>
                <w:rFonts w:cs="Calibri"/>
                <w:szCs w:val="19"/>
              </w:rPr>
              <w:t>16.6</w:t>
            </w:r>
          </w:p>
        </w:tc>
        <w:tc>
          <w:tcPr>
            <w:tcW w:w="992" w:type="dxa"/>
            <w:vAlign w:val="bottom"/>
          </w:tcPr>
          <w:p w14:paraId="3B1C7FF0" w14:textId="77777777" w:rsidR="009F442E" w:rsidRPr="00716528" w:rsidRDefault="009F442E" w:rsidP="00B178E4">
            <w:pPr>
              <w:pStyle w:val="Tabletext"/>
              <w:ind w:left="0" w:right="0"/>
              <w:jc w:val="center"/>
              <w:rPr>
                <w:rFonts w:cs="Calibri"/>
                <w:szCs w:val="19"/>
              </w:rPr>
            </w:pPr>
            <w:r w:rsidRPr="00716528">
              <w:rPr>
                <w:rFonts w:cs="Calibri"/>
                <w:szCs w:val="19"/>
              </w:rPr>
              <w:t>No</w:t>
            </w:r>
          </w:p>
        </w:tc>
      </w:tr>
      <w:tr w:rsidR="00F4319A" w:rsidRPr="003B78C4" w14:paraId="400CA7D6" w14:textId="77777777" w:rsidTr="00DF6DE3">
        <w:trPr>
          <w:trHeight w:val="20"/>
        </w:trPr>
        <w:tc>
          <w:tcPr>
            <w:tcW w:w="483" w:type="dxa"/>
            <w:vAlign w:val="center"/>
          </w:tcPr>
          <w:p w14:paraId="6EE422DC" w14:textId="48065682" w:rsidR="009F442E" w:rsidRPr="00B178E4" w:rsidRDefault="00611B1F" w:rsidP="00B178E4">
            <w:pPr>
              <w:pStyle w:val="Tabletext"/>
              <w:ind w:left="0" w:right="0"/>
              <w:jc w:val="right"/>
              <w:rPr>
                <w:rFonts w:cs="Calibri"/>
                <w:b/>
                <w:bCs/>
                <w:szCs w:val="19"/>
                <w:lang w:val="en-US"/>
              </w:rPr>
            </w:pPr>
            <w:r w:rsidRPr="00B178E4">
              <w:rPr>
                <w:rFonts w:cs="Calibri"/>
                <w:b/>
                <w:bCs/>
                <w:szCs w:val="19"/>
                <w:lang w:val="en-US"/>
              </w:rPr>
              <w:t>P8</w:t>
            </w:r>
          </w:p>
        </w:tc>
        <w:tc>
          <w:tcPr>
            <w:tcW w:w="2409" w:type="dxa"/>
            <w:vAlign w:val="bottom"/>
          </w:tcPr>
          <w:p w14:paraId="411A3FEB" w14:textId="77777777" w:rsidR="009F442E" w:rsidRPr="00716528" w:rsidRDefault="009F442E" w:rsidP="00B178E4">
            <w:pPr>
              <w:pStyle w:val="Tabletext"/>
              <w:ind w:left="0" w:right="0"/>
              <w:jc w:val="center"/>
              <w:rPr>
                <w:rFonts w:cs="Calibri"/>
                <w:szCs w:val="19"/>
                <w:lang w:val="en-US"/>
              </w:rPr>
            </w:pPr>
            <w:r w:rsidRPr="00716528">
              <w:rPr>
                <w:rFonts w:cs="Calibri"/>
                <w:szCs w:val="19"/>
                <w:lang w:val="en-US"/>
              </w:rPr>
              <w:t>7.7</w:t>
            </w:r>
          </w:p>
        </w:tc>
        <w:tc>
          <w:tcPr>
            <w:tcW w:w="1134" w:type="dxa"/>
            <w:vAlign w:val="bottom"/>
          </w:tcPr>
          <w:p w14:paraId="2712E6BA" w14:textId="77777777" w:rsidR="009F442E" w:rsidRPr="00716528" w:rsidRDefault="009F442E" w:rsidP="00B178E4">
            <w:pPr>
              <w:pStyle w:val="Tabletext"/>
              <w:ind w:left="0" w:right="0"/>
              <w:jc w:val="center"/>
              <w:rPr>
                <w:rFonts w:cs="Calibri"/>
                <w:szCs w:val="19"/>
                <w:lang w:val="en-US"/>
              </w:rPr>
            </w:pPr>
            <w:r w:rsidRPr="00716528">
              <w:rPr>
                <w:rFonts w:cs="Calibri"/>
                <w:szCs w:val="19"/>
                <w:lang w:val="en-US"/>
              </w:rPr>
              <w:t>PD</w:t>
            </w:r>
          </w:p>
        </w:tc>
        <w:tc>
          <w:tcPr>
            <w:tcW w:w="1276" w:type="dxa"/>
            <w:vAlign w:val="bottom"/>
          </w:tcPr>
          <w:p w14:paraId="1B2A2492" w14:textId="77777777" w:rsidR="009F442E" w:rsidRPr="00716528" w:rsidRDefault="009F442E" w:rsidP="00B178E4">
            <w:pPr>
              <w:pStyle w:val="Tabletext"/>
              <w:ind w:left="0" w:right="0"/>
              <w:jc w:val="center"/>
              <w:rPr>
                <w:rFonts w:cs="Calibri"/>
                <w:szCs w:val="19"/>
              </w:rPr>
            </w:pPr>
            <w:r w:rsidRPr="00716528">
              <w:rPr>
                <w:rFonts w:cs="Calibri"/>
                <w:szCs w:val="19"/>
              </w:rPr>
              <w:t>1.4</w:t>
            </w:r>
          </w:p>
        </w:tc>
        <w:tc>
          <w:tcPr>
            <w:tcW w:w="1276" w:type="dxa"/>
            <w:vAlign w:val="bottom"/>
          </w:tcPr>
          <w:p w14:paraId="3AC9B4F4" w14:textId="77777777" w:rsidR="009F442E" w:rsidRPr="00716528" w:rsidRDefault="009F442E" w:rsidP="00B178E4">
            <w:pPr>
              <w:pStyle w:val="Tabletext"/>
              <w:ind w:left="0" w:right="0"/>
              <w:jc w:val="center"/>
              <w:rPr>
                <w:rFonts w:cs="Calibri"/>
                <w:szCs w:val="19"/>
              </w:rPr>
            </w:pPr>
            <w:r w:rsidRPr="00716528">
              <w:rPr>
                <w:rFonts w:cs="Calibri"/>
                <w:szCs w:val="19"/>
              </w:rPr>
              <w:t>Yes</w:t>
            </w:r>
          </w:p>
        </w:tc>
        <w:tc>
          <w:tcPr>
            <w:tcW w:w="992" w:type="dxa"/>
            <w:vAlign w:val="bottom"/>
          </w:tcPr>
          <w:p w14:paraId="672FCC28" w14:textId="77777777" w:rsidR="009F442E" w:rsidRPr="00716528" w:rsidRDefault="009F442E" w:rsidP="00B178E4">
            <w:pPr>
              <w:pStyle w:val="Tabletext"/>
              <w:ind w:left="0" w:right="0"/>
              <w:jc w:val="center"/>
              <w:rPr>
                <w:rFonts w:cs="Calibri"/>
                <w:szCs w:val="19"/>
              </w:rPr>
            </w:pPr>
            <w:r w:rsidRPr="00716528">
              <w:rPr>
                <w:rFonts w:cs="Calibri"/>
                <w:szCs w:val="19"/>
              </w:rPr>
              <w:t>5.2</w:t>
            </w:r>
          </w:p>
        </w:tc>
        <w:tc>
          <w:tcPr>
            <w:tcW w:w="992" w:type="dxa"/>
            <w:vAlign w:val="bottom"/>
          </w:tcPr>
          <w:p w14:paraId="2FB7FA5E" w14:textId="77777777" w:rsidR="009F442E" w:rsidRPr="00716528" w:rsidRDefault="009F442E" w:rsidP="00B178E4">
            <w:pPr>
              <w:pStyle w:val="Tabletext"/>
              <w:ind w:left="0" w:right="0"/>
              <w:jc w:val="center"/>
              <w:rPr>
                <w:rFonts w:cs="Calibri"/>
                <w:szCs w:val="19"/>
              </w:rPr>
            </w:pPr>
            <w:r w:rsidRPr="00716528">
              <w:rPr>
                <w:rFonts w:cs="Calibri"/>
                <w:szCs w:val="19"/>
              </w:rPr>
              <w:t>Yes</w:t>
            </w:r>
          </w:p>
        </w:tc>
      </w:tr>
    </w:tbl>
    <w:p w14:paraId="1AC1D0FB" w14:textId="4BB5FDA9" w:rsidR="00C2713A" w:rsidRPr="00400B3D" w:rsidRDefault="003348FB" w:rsidP="00400B3D">
      <w:pPr>
        <w:pStyle w:val="TableDescription"/>
      </w:pPr>
      <w:r w:rsidRPr="00400B3D">
        <w:t xml:space="preserve">Abbreviations: </w:t>
      </w:r>
      <w:r w:rsidR="00C2713A" w:rsidRPr="00400B3D">
        <w:t xml:space="preserve">IC = immune cell; </w:t>
      </w:r>
      <w:r w:rsidR="00F4319A" w:rsidRPr="00400B3D">
        <w:t xml:space="preserve">NE = not evaluable; </w:t>
      </w:r>
      <w:r w:rsidR="00955EBA" w:rsidRPr="00400B3D">
        <w:t xml:space="preserve">P = Patient; </w:t>
      </w:r>
      <w:r w:rsidR="00F4319A" w:rsidRPr="00400B3D">
        <w:t xml:space="preserve">PD = progressive disease; </w:t>
      </w:r>
      <w:r w:rsidR="00955EBA" w:rsidRPr="00400B3D">
        <w:t xml:space="preserve">PID = patient identification; </w:t>
      </w:r>
      <w:r w:rsidR="00F4319A" w:rsidRPr="00400B3D">
        <w:t>PR</w:t>
      </w:r>
      <w:r w:rsidRPr="00400B3D">
        <w:t> </w:t>
      </w:r>
      <w:r w:rsidR="00F4319A" w:rsidRPr="00400B3D">
        <w:t>= partial response; SD = stable disease</w:t>
      </w:r>
      <w:r w:rsidR="00C2713A" w:rsidRPr="00400B3D">
        <w:t>; TC = tumour cell.</w:t>
      </w:r>
    </w:p>
    <w:p w14:paraId="2572BCB7" w14:textId="6B1A2B7C" w:rsidR="00017431" w:rsidRPr="00400B3D" w:rsidRDefault="00017431" w:rsidP="00400B3D">
      <w:pPr>
        <w:pStyle w:val="TableDescription"/>
      </w:pPr>
      <w:r w:rsidRPr="00400B3D">
        <w:t>Patient IDs have been anonymised.</w:t>
      </w:r>
    </w:p>
    <w:p w14:paraId="67CAE838" w14:textId="77777777" w:rsidR="003348FB" w:rsidRPr="00400B3D" w:rsidRDefault="003348FB" w:rsidP="00400B3D">
      <w:pPr>
        <w:pStyle w:val="TableDescription"/>
      </w:pPr>
      <w:r w:rsidRPr="00400B3D">
        <w:t>Immune cell scoring (PD-L1 expression): IC0 (0 to &lt; 1%); IC1 (1 to &lt; 5%); IC2 (5 to &lt;10%); IC3 (10%+).</w:t>
      </w:r>
    </w:p>
    <w:p w14:paraId="6603366C" w14:textId="322BE413" w:rsidR="003348FB" w:rsidRPr="00400B3D" w:rsidRDefault="003348FB" w:rsidP="00400B3D">
      <w:pPr>
        <w:pStyle w:val="TableDescription"/>
      </w:pPr>
      <w:r w:rsidRPr="00400B3D">
        <w:t>Tumour cell scoring (PD-L1 expression): TC0 (0 to &lt;1%); TC1 (1 to &lt; 5%); TC2 (5 to &lt; 50%); TC3 (50%+).</w:t>
      </w:r>
    </w:p>
    <w:p w14:paraId="61D549AD" w14:textId="4B116391" w:rsidR="009F442E" w:rsidRDefault="009F442E" w:rsidP="009F442E">
      <w:r>
        <w:t>An explor</w:t>
      </w:r>
      <w:r w:rsidR="00F4319A">
        <w:t>atory sensitivity analysis of overall survival</w:t>
      </w:r>
      <w:r>
        <w:t xml:space="preserve"> was performed, excluding the three patients (all in the atezolizumab arm) who had durations longer than 10 months between diagnosis of metastatic disease and time of first study treatment (reproduced in </w:t>
      </w:r>
      <w:r w:rsidR="00DE5259">
        <w:fldChar w:fldCharType="begin"/>
      </w:r>
      <w:r w:rsidR="00DE5259">
        <w:instrText xml:space="preserve"> REF _Ref108512335 \h </w:instrText>
      </w:r>
      <w:r w:rsidR="00DE5259">
        <w:fldChar w:fldCharType="separate"/>
      </w:r>
      <w:r w:rsidR="00C05B15">
        <w:t xml:space="preserve">Table </w:t>
      </w:r>
      <w:r w:rsidR="00C05B15">
        <w:rPr>
          <w:noProof/>
        </w:rPr>
        <w:t>30</w:t>
      </w:r>
      <w:r w:rsidR="00DE5259">
        <w:fldChar w:fldCharType="end"/>
      </w:r>
      <w:r w:rsidR="00F4319A">
        <w:t>, below</w:t>
      </w:r>
      <w:r>
        <w:t>).</w:t>
      </w:r>
    </w:p>
    <w:p w14:paraId="4E7856C7" w14:textId="5CE84B28" w:rsidR="009F442E" w:rsidRDefault="00DE5259" w:rsidP="00400B3D">
      <w:pPr>
        <w:pStyle w:val="TableTitle"/>
      </w:pPr>
      <w:bookmarkStart w:id="129" w:name="_Ref108512335"/>
      <w:bookmarkStart w:id="130" w:name="_Ref63681395"/>
      <w:r>
        <w:lastRenderedPageBreak/>
        <w:t xml:space="preserve">Table </w:t>
      </w:r>
      <w:fldSimple w:instr=" SEQ Table \* ARABIC ">
        <w:r w:rsidR="00C05B15">
          <w:rPr>
            <w:noProof/>
          </w:rPr>
          <w:t>30</w:t>
        </w:r>
      </w:fldSimple>
      <w:bookmarkEnd w:id="129"/>
      <w:bookmarkEnd w:id="130"/>
      <w:r w:rsidR="00F4319A">
        <w:t>:</w:t>
      </w:r>
      <w:r w:rsidR="009F442E">
        <w:t xml:space="preserve"> </w:t>
      </w:r>
      <w:r w:rsidR="009258F9">
        <w:t>IMPOWER</w:t>
      </w:r>
      <w:r w:rsidR="00F4319A">
        <w:t xml:space="preserve">110 </w:t>
      </w:r>
      <w:r w:rsidR="003B673C">
        <w:t xml:space="preserve">trial </w:t>
      </w:r>
      <w:r w:rsidR="00F4319A">
        <w:t xml:space="preserve">(Study GO29431) </w:t>
      </w:r>
      <w:r w:rsidR="009F442E">
        <w:t>A sensitivity</w:t>
      </w:r>
      <w:r w:rsidR="00F4319A">
        <w:t xml:space="preserve"> analysis of overall survival</w:t>
      </w:r>
      <w:r w:rsidR="009F442E">
        <w:t xml:space="preserve"> in the </w:t>
      </w:r>
      <w:r w:rsidR="003348FB">
        <w:rPr>
          <w:shd w:val="clear" w:color="auto" w:fill="FFFFFF"/>
        </w:rPr>
        <w:t>TC</w:t>
      </w:r>
      <w:r w:rsidR="009F442E">
        <w:t>3/</w:t>
      </w:r>
      <w:r w:rsidR="003348FB">
        <w:t>IC</w:t>
      </w:r>
      <w:r w:rsidR="009F442E">
        <w:t>3 population, excluding patients with more than 10</w:t>
      </w:r>
      <w:r>
        <w:t> </w:t>
      </w:r>
      <w:r w:rsidR="009F442E">
        <w:t>months between diagnosis of metastatic diseas</w:t>
      </w:r>
      <w:r w:rsidR="00F4319A">
        <w:t>e and start of study medication</w:t>
      </w:r>
    </w:p>
    <w:p w14:paraId="5C8EBC04" w14:textId="2709D441" w:rsidR="00F4319A" w:rsidRDefault="009F442E" w:rsidP="00400B3D">
      <w:r>
        <w:rPr>
          <w:noProof/>
          <w:lang w:val="en-GB" w:eastAsia="en-GB"/>
        </w:rPr>
        <w:drawing>
          <wp:inline distT="0" distB="0" distL="0" distR="0" wp14:anchorId="035B6F04" wp14:editId="6E6212DA">
            <wp:extent cx="4923130" cy="989462"/>
            <wp:effectExtent l="0" t="0" r="0" b="1270"/>
            <wp:docPr id="17" name="Picture 17" descr="Table 30: IMPOWER110 trial (Study GO29431) A sensitivity analysis of overall survival in the TC3/IC3 population, excluding patients with more than 10 months between diagnosis of metastatic disease and start of study med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able 30: IMPOWER110 trial (Study GO29431) A sensitivity analysis of overall survival in the TC3/IC3 population, excluding patients with more than 10 months between diagnosis of metastatic disease and start of study medication"/>
                    <pic:cNvPicPr/>
                  </pic:nvPicPr>
                  <pic:blipFill rotWithShape="1">
                    <a:blip r:embed="rId35"/>
                    <a:srcRect t="30985" b="17683"/>
                    <a:stretch/>
                  </pic:blipFill>
                  <pic:spPr bwMode="auto">
                    <a:xfrm>
                      <a:off x="0" y="0"/>
                      <a:ext cx="4941271" cy="993108"/>
                    </a:xfrm>
                    <a:prstGeom prst="rect">
                      <a:avLst/>
                    </a:prstGeom>
                    <a:ln>
                      <a:noFill/>
                    </a:ln>
                    <a:extLst>
                      <a:ext uri="{53640926-AAD7-44D8-BBD7-CCE9431645EC}">
                        <a14:shadowObscured xmlns:a14="http://schemas.microsoft.com/office/drawing/2010/main"/>
                      </a:ext>
                    </a:extLst>
                  </pic:spPr>
                </pic:pic>
              </a:graphicData>
            </a:graphic>
          </wp:inline>
        </w:drawing>
      </w:r>
    </w:p>
    <w:p w14:paraId="775396FE" w14:textId="7AC608B5" w:rsidR="00C80B72" w:rsidRPr="00400B3D" w:rsidRDefault="003348FB" w:rsidP="00400B3D">
      <w:pPr>
        <w:pStyle w:val="TableDescription"/>
      </w:pPr>
      <w:r w:rsidRPr="00400B3D">
        <w:t xml:space="preserve">Abbreviations: </w:t>
      </w:r>
      <w:r w:rsidR="00F4319A" w:rsidRPr="00400B3D">
        <w:t xml:space="preserve">CI = confidence interval; </w:t>
      </w:r>
      <w:r w:rsidR="00DE5259" w:rsidRPr="00400B3D">
        <w:t xml:space="preserve">IC = immune cell; N = total number of subjects; n = numbers of subjects in group; </w:t>
      </w:r>
      <w:r w:rsidR="00F4319A" w:rsidRPr="00400B3D">
        <w:t>NE = not estimable</w:t>
      </w:r>
      <w:r w:rsidR="00DE5259" w:rsidRPr="00400B3D">
        <w:t xml:space="preserve">; </w:t>
      </w:r>
      <w:r w:rsidR="00C80B72" w:rsidRPr="00400B3D">
        <w:t>TC =</w:t>
      </w:r>
      <w:r w:rsidR="008159EE" w:rsidRPr="00400B3D">
        <w:t xml:space="preserve"> tumour cell</w:t>
      </w:r>
      <w:r w:rsidR="00DE5259" w:rsidRPr="00400B3D">
        <w:t>.</w:t>
      </w:r>
    </w:p>
    <w:p w14:paraId="468090A8" w14:textId="77777777" w:rsidR="003348FB" w:rsidRPr="00400B3D" w:rsidRDefault="003348FB" w:rsidP="00400B3D">
      <w:pPr>
        <w:pStyle w:val="TableDescription"/>
      </w:pPr>
      <w:r w:rsidRPr="00400B3D">
        <w:t>Immune cell scoring (PD-L1 expression): IC0 (0 to &lt; 1%); IC1 (1 to &lt; 5%); IC2 (5 to &lt;10%); IC3 (10%+).</w:t>
      </w:r>
    </w:p>
    <w:p w14:paraId="1A490DBA" w14:textId="0ADB351E" w:rsidR="003348FB" w:rsidRPr="00400B3D" w:rsidRDefault="003348FB" w:rsidP="00400B3D">
      <w:pPr>
        <w:pStyle w:val="TableDescription"/>
      </w:pPr>
      <w:r w:rsidRPr="00400B3D">
        <w:t>Tumour cell scoring (PD-L1 expression): TC0 (0 to &lt;1%); TC1 (1 to &lt; 5%); TC2 (5 to &lt; 50%); TC3 (50%+).</w:t>
      </w:r>
    </w:p>
    <w:p w14:paraId="6B2E21E1" w14:textId="14C53229" w:rsidR="009F442E" w:rsidRPr="00897C3B" w:rsidRDefault="009F442E" w:rsidP="009F442E">
      <w:pPr>
        <w:rPr>
          <w:highlight w:val="yellow"/>
        </w:rPr>
      </w:pPr>
      <w:r>
        <w:t>Overall, the observed baseline imbalances in the TC3/IC3 population are in the realm of what could be expected to occur by chance in what is a reasonably small subgroup of a</w:t>
      </w:r>
      <w:r w:rsidR="00F4319A">
        <w:t xml:space="preserve"> larger randomised population (approximately </w:t>
      </w:r>
      <w:r>
        <w:t>100 in each arm). The imbalances are not of a magnitude that would call into question the integrity of the randomisation process. Individually, they are not likely to entirely explain the difference between the two arms. However, cumulatively they do add uncertainty to the interpretation of the study results. S</w:t>
      </w:r>
      <w:r w:rsidRPr="009E4B77">
        <w:t>tage at presentation</w:t>
      </w:r>
      <w:r>
        <w:t xml:space="preserve"> and baseline burden of disease have not been addressed.</w:t>
      </w:r>
    </w:p>
    <w:p w14:paraId="63D6941F" w14:textId="7D79416F" w:rsidR="009F442E" w:rsidRPr="006B2ED4" w:rsidRDefault="009F442E" w:rsidP="00E31860">
      <w:pPr>
        <w:pStyle w:val="Heading5"/>
      </w:pPr>
      <w:bookmarkStart w:id="131" w:name="_Ref63688022"/>
      <w:r>
        <w:t>Good Clinical Practice</w:t>
      </w:r>
      <w:bookmarkEnd w:id="131"/>
    </w:p>
    <w:p w14:paraId="39FD4BF1" w14:textId="530F8B3F" w:rsidR="009F442E" w:rsidRDefault="009F442E" w:rsidP="009F442E">
      <w:r>
        <w:t xml:space="preserve">Due to the timing and scope of major protocol amendments that changed the primary efficacy population of </w:t>
      </w:r>
      <w:r w:rsidR="00017431">
        <w:t xml:space="preserve">the </w:t>
      </w:r>
      <w:r w:rsidR="009258F9">
        <w:t>IMPOWER</w:t>
      </w:r>
      <w:r w:rsidR="00F4319A">
        <w:t>110</w:t>
      </w:r>
      <w:r w:rsidR="00017431">
        <w:t xml:space="preserve"> trial</w:t>
      </w:r>
      <w:r w:rsidR="00F4319A">
        <w:t xml:space="preserve"> (Study GO29431)</w:t>
      </w:r>
      <w:r>
        <w:t xml:space="preserve">, the </w:t>
      </w:r>
      <w:r w:rsidR="00F4319A">
        <w:t>European Medicines Agency (</w:t>
      </w:r>
      <w:r>
        <w:t>EMA</w:t>
      </w:r>
      <w:r w:rsidR="00F4319A">
        <w:t>)</w:t>
      </w:r>
      <w:r>
        <w:t xml:space="preserve"> undertook a triggered </w:t>
      </w:r>
      <w:r w:rsidR="00F4319A">
        <w:t>Good Clinical Practice (</w:t>
      </w:r>
      <w:r>
        <w:t>GCP</w:t>
      </w:r>
      <w:r w:rsidR="00F4319A">
        <w:t>)</w:t>
      </w:r>
      <w:r>
        <w:t xml:space="preserve"> inspection. The inspection </w:t>
      </w:r>
      <w:r w:rsidR="00F4319A">
        <w:t>reports were provided by the s</w:t>
      </w:r>
      <w:r>
        <w:t xml:space="preserve">ponsor at TGA’s request, for consideration. </w:t>
      </w:r>
      <w:proofErr w:type="gramStart"/>
      <w:r>
        <w:t>A number of</w:t>
      </w:r>
      <w:proofErr w:type="gramEnd"/>
      <w:r>
        <w:t xml:space="preserve"> concerns were raised by the inspectors in their </w:t>
      </w:r>
      <w:r w:rsidR="00F4319A">
        <w:t>inspection report, which stated:</w:t>
      </w:r>
      <w:r w:rsidR="00F4319A">
        <w:rPr>
          <w:rStyle w:val="FootnoteReference"/>
        </w:rPr>
        <w:footnoteReference w:id="40"/>
      </w:r>
    </w:p>
    <w:p w14:paraId="3F133D63" w14:textId="2697FBAD" w:rsidR="009F442E" w:rsidRPr="00B50F71" w:rsidRDefault="002F5B7F" w:rsidP="00F4319A">
      <w:pPr>
        <w:ind w:left="720"/>
        <w:rPr>
          <w:i/>
          <w:iCs/>
        </w:rPr>
      </w:pPr>
      <w:r w:rsidRPr="00B50F71">
        <w:rPr>
          <w:i/>
          <w:iCs/>
        </w:rPr>
        <w:t>‘</w:t>
      </w:r>
      <w:r w:rsidR="009F442E" w:rsidRPr="00B50F71">
        <w:rPr>
          <w:i/>
          <w:iCs/>
        </w:rPr>
        <w:t>Based on the pattern of major and critical findings in the study, which revealed violations of fundamental princ</w:t>
      </w:r>
      <w:r w:rsidR="00910C94" w:rsidRPr="00B50F71">
        <w:rPr>
          <w:i/>
          <w:iCs/>
        </w:rPr>
        <w:t>iples of ICH-GCP, articles 2.10;</w:t>
      </w:r>
      <w:r w:rsidR="00910C94" w:rsidRPr="00B50F71">
        <w:rPr>
          <w:rStyle w:val="FootnoteReference"/>
          <w:i/>
          <w:iCs/>
        </w:rPr>
        <w:footnoteReference w:id="41"/>
      </w:r>
      <w:r w:rsidR="009F442E" w:rsidRPr="00B50F71">
        <w:rPr>
          <w:i/>
          <w:iCs/>
        </w:rPr>
        <w:t xml:space="preserve"> 2.13</w:t>
      </w:r>
      <w:r w:rsidR="00910C94" w:rsidRPr="00B50F71">
        <w:rPr>
          <w:i/>
          <w:iCs/>
        </w:rPr>
        <w:t>;</w:t>
      </w:r>
      <w:r w:rsidR="00910C94" w:rsidRPr="00B50F71">
        <w:rPr>
          <w:rStyle w:val="FootnoteReference"/>
          <w:i/>
          <w:iCs/>
        </w:rPr>
        <w:footnoteReference w:id="42"/>
      </w:r>
      <w:r w:rsidR="009F442E" w:rsidRPr="00B50F71">
        <w:rPr>
          <w:i/>
          <w:iCs/>
        </w:rPr>
        <w:t xml:space="preserve"> and 8</w:t>
      </w:r>
      <w:r w:rsidR="00910C94" w:rsidRPr="00B50F71">
        <w:rPr>
          <w:i/>
          <w:iCs/>
        </w:rPr>
        <w:t>;</w:t>
      </w:r>
      <w:r w:rsidR="00910C94" w:rsidRPr="00B50F71">
        <w:rPr>
          <w:rStyle w:val="FootnoteReference"/>
          <w:i/>
          <w:iCs/>
        </w:rPr>
        <w:footnoteReference w:id="43"/>
      </w:r>
      <w:r w:rsidR="009F442E" w:rsidRPr="00B50F71">
        <w:rPr>
          <w:i/>
          <w:iCs/>
        </w:rPr>
        <w:t xml:space="preserve"> in particular, the study overall is not considered GCP compliant, especially when it come</w:t>
      </w:r>
      <w:r w:rsidR="00F4319A" w:rsidRPr="00B50F71">
        <w:rPr>
          <w:i/>
          <w:iCs/>
        </w:rPr>
        <w:t xml:space="preserve">s to sponsors’ responsibilities </w:t>
      </w:r>
      <w:r w:rsidR="0046773A" w:rsidRPr="00B50F71">
        <w:rPr>
          <w:i/>
          <w:iCs/>
        </w:rPr>
        <w:t>(</w:t>
      </w:r>
      <w:r w:rsidR="009F442E" w:rsidRPr="00B50F71">
        <w:rPr>
          <w:i/>
          <w:iCs/>
        </w:rPr>
        <w:t>…</w:t>
      </w:r>
      <w:r w:rsidR="0046773A" w:rsidRPr="00B50F71">
        <w:rPr>
          <w:i/>
          <w:iCs/>
        </w:rPr>
        <w:t>)</w:t>
      </w:r>
    </w:p>
    <w:p w14:paraId="6026D308" w14:textId="130F0D77" w:rsidR="009F442E" w:rsidRPr="00B50F71" w:rsidRDefault="009F442E" w:rsidP="00F4319A">
      <w:pPr>
        <w:ind w:left="720"/>
        <w:rPr>
          <w:i/>
          <w:iCs/>
        </w:rPr>
      </w:pPr>
      <w:r w:rsidRPr="00B50F71">
        <w:rPr>
          <w:i/>
          <w:iCs/>
        </w:rPr>
        <w:t xml:space="preserve">During the sponsor inspection </w:t>
      </w:r>
      <w:proofErr w:type="gramStart"/>
      <w:r w:rsidRPr="00B50F71">
        <w:rPr>
          <w:i/>
          <w:iCs/>
        </w:rPr>
        <w:t>a number of</w:t>
      </w:r>
      <w:proofErr w:type="gramEnd"/>
      <w:r w:rsidRPr="00B50F71">
        <w:rPr>
          <w:i/>
          <w:iCs/>
        </w:rPr>
        <w:t xml:space="preserve"> serious deviations from GCP compliance have been detected, especially concerning TMF and production of essential documents, clinical data management, computer systems and sponsor oversight.</w:t>
      </w:r>
      <w:r w:rsidR="002F5B7F" w:rsidRPr="00B50F71">
        <w:rPr>
          <w:i/>
          <w:iCs/>
        </w:rPr>
        <w:t>’</w:t>
      </w:r>
    </w:p>
    <w:p w14:paraId="4C7AD277" w14:textId="23CE0CAC" w:rsidR="009F442E" w:rsidRPr="00115169" w:rsidRDefault="009F442E" w:rsidP="009F442E">
      <w:pPr>
        <w:rPr>
          <w:lang w:eastAsia="zh-TW"/>
        </w:rPr>
      </w:pPr>
      <w:r>
        <w:rPr>
          <w:lang w:eastAsia="zh-TW"/>
        </w:rPr>
        <w:t>However</w:t>
      </w:r>
      <w:r w:rsidR="00910C94">
        <w:rPr>
          <w:lang w:eastAsia="zh-TW"/>
        </w:rPr>
        <w:t>, the concerns relating to the s</w:t>
      </w:r>
      <w:r>
        <w:rPr>
          <w:lang w:eastAsia="zh-TW"/>
        </w:rPr>
        <w:t>ponsor’s responsibilities were not considered to apply to the investigator sites:</w:t>
      </w:r>
    </w:p>
    <w:p w14:paraId="6C264802" w14:textId="7D6453B7" w:rsidR="009F442E" w:rsidRPr="00B50F71" w:rsidRDefault="002F5B7F" w:rsidP="00910C94">
      <w:pPr>
        <w:ind w:left="720"/>
        <w:rPr>
          <w:i/>
          <w:iCs/>
        </w:rPr>
      </w:pPr>
      <w:r w:rsidRPr="00B50F71">
        <w:rPr>
          <w:i/>
          <w:iCs/>
        </w:rPr>
        <w:t>‘</w:t>
      </w:r>
      <w:r w:rsidR="009F442E" w:rsidRPr="00B50F71">
        <w:rPr>
          <w:i/>
          <w:iCs/>
        </w:rPr>
        <w:t>The clinical conduct at the inspected investigator sit</w:t>
      </w:r>
      <w:r w:rsidR="00910C94" w:rsidRPr="00B50F71">
        <w:rPr>
          <w:i/>
          <w:iCs/>
        </w:rPr>
        <w:t xml:space="preserve">es is considered GCP compliant </w:t>
      </w:r>
      <w:r w:rsidR="0046773A" w:rsidRPr="00B50F71">
        <w:rPr>
          <w:i/>
          <w:iCs/>
        </w:rPr>
        <w:t>(</w:t>
      </w:r>
      <w:r w:rsidR="009F442E" w:rsidRPr="00B50F71">
        <w:rPr>
          <w:i/>
          <w:iCs/>
        </w:rPr>
        <w:t>…</w:t>
      </w:r>
      <w:r w:rsidR="0046773A" w:rsidRPr="00B50F71">
        <w:rPr>
          <w:i/>
          <w:iCs/>
        </w:rPr>
        <w:t>)</w:t>
      </w:r>
      <w:r w:rsidR="009F442E" w:rsidRPr="00B50F71">
        <w:rPr>
          <w:i/>
          <w:iCs/>
        </w:rPr>
        <w:t xml:space="preserve"> it is the opinion of the inspection team that both investigator sites have worked </w:t>
      </w:r>
      <w:r w:rsidR="009F442E" w:rsidRPr="00B50F71">
        <w:rPr>
          <w:i/>
          <w:iCs/>
        </w:rPr>
        <w:lastRenderedPageBreak/>
        <w:t xml:space="preserve">relatively well in compliance with </w:t>
      </w:r>
      <w:proofErr w:type="gramStart"/>
      <w:r w:rsidR="009F442E" w:rsidRPr="00B50F71">
        <w:rPr>
          <w:i/>
          <w:iCs/>
        </w:rPr>
        <w:t>GCP</w:t>
      </w:r>
      <w:proofErr w:type="gramEnd"/>
      <w:r w:rsidR="009F442E" w:rsidRPr="00B50F71">
        <w:rPr>
          <w:i/>
          <w:iCs/>
        </w:rPr>
        <w:t xml:space="preserve"> and it is unlikely that the observed deviations or inconsistencies between the source data and the data in the CSR would have a major negative impact on the reliability of the data from the inspected clinical sites.</w:t>
      </w:r>
      <w:r w:rsidRPr="00B50F71">
        <w:rPr>
          <w:i/>
          <w:iCs/>
        </w:rPr>
        <w:t>’</w:t>
      </w:r>
    </w:p>
    <w:p w14:paraId="13A56978" w14:textId="3AEAA9B2" w:rsidR="009F442E" w:rsidRDefault="009F442E" w:rsidP="009F442E">
      <w:r>
        <w:t xml:space="preserve">In March 2021, the EMA CHMP issued a positive opinion for the application to be authorised for marketing. In the CHMP </w:t>
      </w:r>
      <w:proofErr w:type="gramStart"/>
      <w:r>
        <w:t>rapporteurs</w:t>
      </w:r>
      <w:proofErr w:type="gramEnd"/>
      <w:r>
        <w:t xml:space="preserve"> joint assessment report, the rapporteurs concluded</w:t>
      </w:r>
      <w:r w:rsidR="00910C94">
        <w:t>:</w:t>
      </w:r>
      <w:r w:rsidR="00910C94" w:rsidRPr="00910C94">
        <w:rPr>
          <w:vertAlign w:val="superscript"/>
        </w:rPr>
        <w:fldChar w:fldCharType="begin"/>
      </w:r>
      <w:r w:rsidR="00910C94" w:rsidRPr="00910C94">
        <w:rPr>
          <w:vertAlign w:val="superscript"/>
        </w:rPr>
        <w:instrText xml:space="preserve"> NOTEREF _Ref106705086 \h </w:instrText>
      </w:r>
      <w:r w:rsidR="00910C94">
        <w:rPr>
          <w:vertAlign w:val="superscript"/>
        </w:rPr>
        <w:instrText xml:space="preserve"> \* MERGEFORMAT </w:instrText>
      </w:r>
      <w:r w:rsidR="00910C94" w:rsidRPr="00910C94">
        <w:rPr>
          <w:vertAlign w:val="superscript"/>
        </w:rPr>
      </w:r>
      <w:r w:rsidR="00910C94" w:rsidRPr="00910C94">
        <w:rPr>
          <w:vertAlign w:val="superscript"/>
        </w:rPr>
        <w:fldChar w:fldCharType="separate"/>
      </w:r>
      <w:r w:rsidR="00C05B15">
        <w:rPr>
          <w:vertAlign w:val="superscript"/>
        </w:rPr>
        <w:t>20</w:t>
      </w:r>
      <w:r w:rsidR="00910C94" w:rsidRPr="00910C94">
        <w:rPr>
          <w:vertAlign w:val="superscript"/>
        </w:rPr>
        <w:fldChar w:fldCharType="end"/>
      </w:r>
    </w:p>
    <w:p w14:paraId="4BCBD412" w14:textId="26003EC7" w:rsidR="009F442E" w:rsidRPr="00B50F71" w:rsidRDefault="002F5B7F" w:rsidP="00910C94">
      <w:pPr>
        <w:ind w:left="720"/>
        <w:rPr>
          <w:i/>
          <w:iCs/>
        </w:rPr>
      </w:pPr>
      <w:r w:rsidRPr="00B50F71">
        <w:rPr>
          <w:i/>
          <w:iCs/>
        </w:rPr>
        <w:t>‘</w:t>
      </w:r>
      <w:r w:rsidR="009F442E" w:rsidRPr="00B50F71">
        <w:rPr>
          <w:i/>
          <w:iCs/>
        </w:rPr>
        <w:t>The MAH</w:t>
      </w:r>
      <w:r w:rsidR="00910C94" w:rsidRPr="00B50F71">
        <w:rPr>
          <w:i/>
          <w:iCs/>
        </w:rPr>
        <w:t xml:space="preserve"> </w:t>
      </w:r>
      <w:r w:rsidR="0046773A" w:rsidRPr="00B50F71">
        <w:rPr>
          <w:i/>
          <w:iCs/>
        </w:rPr>
        <w:t>(</w:t>
      </w:r>
      <w:r w:rsidR="00910C94" w:rsidRPr="00B50F71">
        <w:rPr>
          <w:i/>
          <w:iCs/>
        </w:rPr>
        <w:t>market authorisation holder</w:t>
      </w:r>
      <w:r w:rsidR="0046773A" w:rsidRPr="00B50F71">
        <w:rPr>
          <w:i/>
          <w:iCs/>
        </w:rPr>
        <w:t>)</w:t>
      </w:r>
      <w:r w:rsidR="009F442E" w:rsidRPr="00B50F71">
        <w:rPr>
          <w:i/>
          <w:iCs/>
        </w:rPr>
        <w:t xml:space="preserve"> has provided an explanation and clarification for the chain of events that led to the changes of the testin</w:t>
      </w:r>
      <w:r w:rsidR="00910C94" w:rsidRPr="00B50F71">
        <w:rPr>
          <w:i/>
          <w:iCs/>
        </w:rPr>
        <w:t xml:space="preserve">g hierarchy of the results of </w:t>
      </w:r>
      <w:r w:rsidR="009258F9" w:rsidRPr="00B50F71">
        <w:rPr>
          <w:i/>
          <w:iCs/>
        </w:rPr>
        <w:t>IMPOWER</w:t>
      </w:r>
      <w:r w:rsidR="009F442E" w:rsidRPr="00B50F71">
        <w:rPr>
          <w:i/>
          <w:iCs/>
        </w:rPr>
        <w:t>110. This now seems overall plausible and scientifically based that external data did lead to the decision to introduce the changes to the protocol etc. The practice of changing the primary endpoint and hierarchical testing in an ongoing open-label study is still criticized and the MAH should refrain from this approach in future open-label clinical studies. GCP issues should also be addressed as recommended in the GCP inspection report and the MAH can expect that in future applications, there will be continued focus on GCP compliance.</w:t>
      </w:r>
      <w:r w:rsidRPr="00B50F71">
        <w:rPr>
          <w:i/>
          <w:iCs/>
        </w:rPr>
        <w:t>’</w:t>
      </w:r>
    </w:p>
    <w:p w14:paraId="65938835" w14:textId="7275120F" w:rsidR="009F442E" w:rsidRPr="006B2ED4" w:rsidRDefault="009F442E" w:rsidP="009F442E">
      <w:r>
        <w:t>In alignment with the CHMP’s final position, the Delegate does not consider the GCP concerns a barrier to Australian registration of this indication.</w:t>
      </w:r>
    </w:p>
    <w:p w14:paraId="67DD5901" w14:textId="77777777" w:rsidR="009F442E" w:rsidRDefault="009F442E" w:rsidP="00910C94">
      <w:pPr>
        <w:pStyle w:val="Heading5"/>
      </w:pPr>
      <w:bookmarkStart w:id="132" w:name="_Ref63762112"/>
      <w:bookmarkStart w:id="133" w:name="_Ref63855342"/>
      <w:r>
        <w:t>Early mortality</w:t>
      </w:r>
      <w:bookmarkEnd w:id="132"/>
      <w:bookmarkEnd w:id="133"/>
    </w:p>
    <w:p w14:paraId="31AC6FF4" w14:textId="1042CB61" w:rsidR="009F442E" w:rsidRDefault="009F442E" w:rsidP="009F442E">
      <w:r w:rsidRPr="00CE2740">
        <w:t xml:space="preserve">In </w:t>
      </w:r>
      <w:r w:rsidR="00910C94">
        <w:t xml:space="preserve">the </w:t>
      </w:r>
      <w:r w:rsidR="009258F9">
        <w:t>IMPOWER110</w:t>
      </w:r>
      <w:r w:rsidR="00910C94">
        <w:t xml:space="preserve"> trial (Study GO29431)</w:t>
      </w:r>
      <w:r w:rsidRPr="00CE2740">
        <w:t xml:space="preserve">, early crossing of the Kaplan-Meier </w:t>
      </w:r>
      <w:r w:rsidR="00910C94">
        <w:t>overall survival</w:t>
      </w:r>
      <w:r w:rsidRPr="00CE2740">
        <w:t xml:space="preserve"> curves demonstrates that there is a survival detriment for patients treated with atezolizumab compared to chemotherapy during the first few months of therapy. </w:t>
      </w:r>
      <w:r>
        <w:t xml:space="preserve">This phenomenon has been seen in a number of trials in which monotherapy or immunotherapy-only arms were compared to a chemotherapy-containing </w:t>
      </w:r>
      <w:proofErr w:type="gramStart"/>
      <w:r>
        <w:t>regimen, and</w:t>
      </w:r>
      <w:proofErr w:type="gramEnd"/>
      <w:r>
        <w:t xml:space="preserve"> may be related to a slower onset of effect with immunotherapy.</w:t>
      </w:r>
    </w:p>
    <w:p w14:paraId="3F4FAF65" w14:textId="6D80FA83" w:rsidR="009F442E" w:rsidRPr="00CE2740" w:rsidRDefault="009F442E" w:rsidP="009F442E">
      <w:r>
        <w:t>Interestingly, whilst this was seen in the pembrolizumab KEYNOTE-042</w:t>
      </w:r>
      <w:r w:rsidR="00910C94">
        <w:t xml:space="preserve"> trial</w:t>
      </w:r>
      <w:r w:rsidR="00E31860">
        <w:t>;</w:t>
      </w:r>
      <w:r w:rsidR="00E31860">
        <w:rPr>
          <w:rStyle w:val="FootnoteReference"/>
        </w:rPr>
        <w:footnoteReference w:id="44"/>
      </w:r>
      <w:r>
        <w:t xml:space="preserve"> in patients with </w:t>
      </w:r>
      <w:r w:rsidR="00E31860">
        <w:t>a tumour proportion score</w:t>
      </w:r>
      <w:r w:rsidR="00910C94">
        <w:t xml:space="preserve"> </w:t>
      </w:r>
      <w:r>
        <w:t>≥</w:t>
      </w:r>
      <w:r w:rsidR="00910C94">
        <w:t xml:space="preserve"> </w:t>
      </w:r>
      <w:r>
        <w:t xml:space="preserve">1% (per 22C3), it </w:t>
      </w:r>
      <w:r w:rsidR="00E31860">
        <w:t>was not demonstrated in the KEYNOTE</w:t>
      </w:r>
      <w:r w:rsidR="00E31860">
        <w:noBreakHyphen/>
      </w:r>
      <w:r>
        <w:t xml:space="preserve">024 </w:t>
      </w:r>
      <w:r w:rsidR="00E31860">
        <w:t xml:space="preserve">trial </w:t>
      </w:r>
      <w:r>
        <w:t>(</w:t>
      </w:r>
      <w:r w:rsidR="00E31860">
        <w:t>as per the</w:t>
      </w:r>
      <w:r>
        <w:t xml:space="preserve"> approved pembro</w:t>
      </w:r>
      <w:r w:rsidR="00E31860">
        <w:t xml:space="preserve">lizumab PI) in patients with a tumour proportion score of </w:t>
      </w:r>
      <w:r>
        <w:t>≥</w:t>
      </w:r>
      <w:r w:rsidR="00E31860">
        <w:t xml:space="preserve"> </w:t>
      </w:r>
      <w:r>
        <w:t>50% (per 22C3). The reason that early mortality was not seen in this PD-L1 high population in KEYNOTE-</w:t>
      </w:r>
      <w:proofErr w:type="gramStart"/>
      <w:r>
        <w:t>024, but</w:t>
      </w:r>
      <w:proofErr w:type="gramEnd"/>
      <w:r>
        <w:t xml:space="preserve"> </w:t>
      </w:r>
      <w:r w:rsidRPr="00B50F71">
        <w:rPr>
          <w:iCs/>
        </w:rPr>
        <w:t>was</w:t>
      </w:r>
      <w:r>
        <w:t xml:space="preserve"> demonstrated in the PD-L1 high (defined as TC3/IC3) populati</w:t>
      </w:r>
      <w:r w:rsidR="00E31860">
        <w:t xml:space="preserve">on in </w:t>
      </w:r>
      <w:r w:rsidR="00717EB7">
        <w:t xml:space="preserve">the </w:t>
      </w:r>
      <w:r w:rsidR="009258F9">
        <w:t>IMPOWER</w:t>
      </w:r>
      <w:r w:rsidR="00017431">
        <w:t>110 trial (Study GO29431)</w:t>
      </w:r>
      <w:r w:rsidR="00E31860">
        <w:t xml:space="preserve"> is not clear.</w:t>
      </w:r>
    </w:p>
    <w:p w14:paraId="6F0881AB" w14:textId="58DFF4A7" w:rsidR="009F442E" w:rsidRPr="00BA291A" w:rsidRDefault="009F442E" w:rsidP="009F442E">
      <w:r w:rsidRPr="00CE2740">
        <w:t>The current standard-of-care first line</w:t>
      </w:r>
      <w:r>
        <w:t xml:space="preserve"> regimens for NSCLC</w:t>
      </w:r>
      <w:r w:rsidRPr="00CE2740">
        <w:t xml:space="preserve"> </w:t>
      </w:r>
      <w:r>
        <w:t xml:space="preserve">without driver mutations (such as </w:t>
      </w:r>
      <w:r w:rsidRPr="00B178E4">
        <w:rPr>
          <w:i/>
        </w:rPr>
        <w:t>EGFR/ALK</w:t>
      </w:r>
      <w:r>
        <w:t xml:space="preserve">) </w:t>
      </w:r>
      <w:r w:rsidRPr="00CE2740">
        <w:t xml:space="preserve">are not associated with </w:t>
      </w:r>
      <w:r>
        <w:t>a higher</w:t>
      </w:r>
      <w:r w:rsidRPr="00CE2740">
        <w:t xml:space="preserve"> risk of early </w:t>
      </w:r>
      <w:r w:rsidRPr="00BA291A">
        <w:t>mortality</w:t>
      </w:r>
      <w:r>
        <w:t>, as the regimens include a short course of chemotherapy along with the immunotherapy agent(s) (</w:t>
      </w:r>
      <w:r w:rsidR="000B6A3D">
        <w:t xml:space="preserve">see </w:t>
      </w:r>
      <w:r>
        <w:fldChar w:fldCharType="begin"/>
      </w:r>
      <w:r>
        <w:instrText xml:space="preserve"> REF _Ref56512973 \h </w:instrText>
      </w:r>
      <w:r>
        <w:fldChar w:fldCharType="separate"/>
      </w:r>
      <w:r w:rsidR="00C05B15" w:rsidRPr="00400B3D">
        <w:t xml:space="preserve">Figure </w:t>
      </w:r>
      <w:r w:rsidR="00C05B15">
        <w:rPr>
          <w:noProof/>
        </w:rPr>
        <w:t>5</w:t>
      </w:r>
      <w:r>
        <w:fldChar w:fldCharType="end"/>
      </w:r>
      <w:r>
        <w:t>)</w:t>
      </w:r>
      <w:r w:rsidR="00E31860">
        <w:t>.</w:t>
      </w:r>
      <w:r w:rsidR="00E31860">
        <w:rPr>
          <w:rStyle w:val="FootnoteReference"/>
        </w:rPr>
        <w:footnoteReference w:id="45"/>
      </w:r>
      <w:r w:rsidRPr="00BA291A">
        <w:t xml:space="preserve"> </w:t>
      </w:r>
      <w:r>
        <w:t xml:space="preserve">These regimens were not standard-of-care at the time of trial design of </w:t>
      </w:r>
      <w:r w:rsidR="00E31860">
        <w:t xml:space="preserve">the </w:t>
      </w:r>
      <w:r w:rsidR="009258F9">
        <w:t>IMPOWER</w:t>
      </w:r>
      <w:r>
        <w:t>110</w:t>
      </w:r>
      <w:r w:rsidR="00E31860">
        <w:t xml:space="preserve"> trial</w:t>
      </w:r>
      <w:r>
        <w:t>.</w:t>
      </w:r>
    </w:p>
    <w:p w14:paraId="34635E01" w14:textId="6D292F09" w:rsidR="009F442E" w:rsidRPr="00400B3D" w:rsidRDefault="009F442E" w:rsidP="00400B3D">
      <w:pPr>
        <w:pStyle w:val="FigureTitle"/>
      </w:pPr>
      <w:bookmarkStart w:id="134" w:name="_Ref56512973"/>
      <w:r w:rsidRPr="00400B3D">
        <w:lastRenderedPageBreak/>
        <w:t xml:space="preserve">Figure </w:t>
      </w:r>
      <w:fldSimple w:instr=" SEQ Figure \* ARABIC ">
        <w:r w:rsidR="00C05B15">
          <w:rPr>
            <w:noProof/>
          </w:rPr>
          <w:t>5</w:t>
        </w:r>
      </w:fldSimple>
      <w:bookmarkEnd w:id="134"/>
      <w:r w:rsidR="00E31860" w:rsidRPr="00400B3D">
        <w:t>:</w:t>
      </w:r>
      <w:r w:rsidRPr="00400B3D">
        <w:t xml:space="preserve"> </w:t>
      </w:r>
      <w:r w:rsidR="009258F9" w:rsidRPr="00400B3D">
        <w:t>IMPOWER</w:t>
      </w:r>
      <w:r w:rsidR="00E31860" w:rsidRPr="00400B3D">
        <w:t xml:space="preserve">130 trial </w:t>
      </w:r>
      <w:r w:rsidRPr="00400B3D">
        <w:t>Kaplan-Meier plot for overall survival with atezolizumab (</w:t>
      </w:r>
      <w:proofErr w:type="spellStart"/>
      <w:r w:rsidRPr="00400B3D">
        <w:t>Tecentriq</w:t>
      </w:r>
      <w:proofErr w:type="spellEnd"/>
      <w:r w:rsidRPr="00400B3D">
        <w:t>) plus platinum-based chemotherapy versus c</w:t>
      </w:r>
      <w:r w:rsidR="00E31860" w:rsidRPr="00400B3D">
        <w:t>hemotherapy alone</w:t>
      </w:r>
    </w:p>
    <w:p w14:paraId="2183FD36" w14:textId="77777777" w:rsidR="00E31860" w:rsidRDefault="009F442E" w:rsidP="0080592A">
      <w:r>
        <w:rPr>
          <w:noProof/>
          <w:lang w:val="en-GB" w:eastAsia="en-GB"/>
        </w:rPr>
        <w:drawing>
          <wp:inline distT="0" distB="0" distL="0" distR="0" wp14:anchorId="5E82D9B0" wp14:editId="20A51CE2">
            <wp:extent cx="5414527" cy="3002508"/>
            <wp:effectExtent l="0" t="0" r="0" b="7620"/>
            <wp:docPr id="26" name="Picture 26" descr="Figure 5: IMPOWER130 trial Kaplan-Meier plot for overall survival with atezolizumab (Tecentriq) plus platinum-based chemotherapy versus chemotherapy al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5: IMPOWER130 trial Kaplan-Meier plot for overall survival with atezolizumab (Tecentriq) plus platinum-based chemotherapy versus chemotherapy alone"/>
                    <pic:cNvPicPr/>
                  </pic:nvPicPr>
                  <pic:blipFill rotWithShape="1">
                    <a:blip r:embed="rId36"/>
                    <a:srcRect l="1659" t="8769" r="1153"/>
                    <a:stretch/>
                  </pic:blipFill>
                  <pic:spPr bwMode="auto">
                    <a:xfrm>
                      <a:off x="0" y="0"/>
                      <a:ext cx="5451561" cy="3023044"/>
                    </a:xfrm>
                    <a:prstGeom prst="rect">
                      <a:avLst/>
                    </a:prstGeom>
                    <a:ln>
                      <a:noFill/>
                    </a:ln>
                    <a:extLst>
                      <a:ext uri="{53640926-AAD7-44D8-BBD7-CCE9431645EC}">
                        <a14:shadowObscured xmlns:a14="http://schemas.microsoft.com/office/drawing/2010/main"/>
                      </a:ext>
                    </a:extLst>
                  </pic:spPr>
                </pic:pic>
              </a:graphicData>
            </a:graphic>
          </wp:inline>
        </w:drawing>
      </w:r>
    </w:p>
    <w:p w14:paraId="631A20F5" w14:textId="1FF8F963" w:rsidR="009F442E" w:rsidRPr="0080592A" w:rsidRDefault="00E31860" w:rsidP="0080592A">
      <w:pPr>
        <w:pStyle w:val="FigureDescription"/>
      </w:pPr>
      <w:r w:rsidRPr="0080592A">
        <w:t xml:space="preserve">Extract from the current (as of 27 October 2020) </w:t>
      </w:r>
      <w:proofErr w:type="spellStart"/>
      <w:r w:rsidRPr="0080592A">
        <w:t>Tecentriq</w:t>
      </w:r>
      <w:proofErr w:type="spellEnd"/>
      <w:r w:rsidRPr="0080592A">
        <w:t xml:space="preserve"> </w:t>
      </w:r>
      <w:r w:rsidR="00BB1C3D" w:rsidRPr="0080592A">
        <w:t>(</w:t>
      </w:r>
      <w:r w:rsidRPr="0080592A">
        <w:t>atezolizumab</w:t>
      </w:r>
      <w:r w:rsidR="00BB1C3D" w:rsidRPr="0080592A">
        <w:t>)</w:t>
      </w:r>
      <w:r w:rsidRPr="0080592A">
        <w:t xml:space="preserve"> </w:t>
      </w:r>
      <w:r w:rsidR="00BB1C3D" w:rsidRPr="0080592A">
        <w:t xml:space="preserve">Roche Products Australia Pty Ltd </w:t>
      </w:r>
      <w:r w:rsidRPr="0080592A">
        <w:t>Australian Product Information.</w:t>
      </w:r>
    </w:p>
    <w:p w14:paraId="7C6F339D" w14:textId="4C17536F" w:rsidR="009F442E" w:rsidRPr="00414E67" w:rsidRDefault="009F442E" w:rsidP="009F442E">
      <w:r>
        <w:t>As is the case for other regimens with which this phenomenon has been seen, t</w:t>
      </w:r>
      <w:r w:rsidRPr="00414E67">
        <w:t>here is no way to determine a priori which patients are at risk of early death with atezolizumab monotherapy treatment compared to a chemotherapy-containing protocol. Attempts at identifying the group of patients who are subject to a survival detriment with immunotherapy-alone regimens have found some trend</w:t>
      </w:r>
      <w:r w:rsidR="00717EB7">
        <w:t>s but have been non-definitive.</w:t>
      </w:r>
      <w:r w:rsidR="00717EB7">
        <w:rPr>
          <w:rStyle w:val="FootnoteReference"/>
        </w:rPr>
        <w:footnoteReference w:id="46"/>
      </w:r>
    </w:p>
    <w:p w14:paraId="511BFB5B" w14:textId="38A57965" w:rsidR="009F442E" w:rsidRDefault="009F442E" w:rsidP="009F442E">
      <w:r>
        <w:t xml:space="preserve">Clinically, the presence of the early mortality signal in </w:t>
      </w:r>
      <w:r w:rsidR="00017431">
        <w:t xml:space="preserve">the </w:t>
      </w:r>
      <w:r w:rsidR="009258F9">
        <w:t>IMPOWER</w:t>
      </w:r>
      <w:r w:rsidR="00017431">
        <w:t>110 trial (Study </w:t>
      </w:r>
      <w:r w:rsidR="00717EB7">
        <w:t xml:space="preserve">GO29431) </w:t>
      </w:r>
      <w:r>
        <w:t>does not necessarily mean atezolizumab could not be considered a reasonable treatment option for some patients, because although the standard-of-care regimens do not demonstrate risk of early mortality, there may be patients who are not be eligible for or do not accept the chemotherapy component (usually for toxicity reasons). T</w:t>
      </w:r>
      <w:r w:rsidRPr="00414E67">
        <w:t xml:space="preserve">he safety profile of atezolizumab monotherapy in </w:t>
      </w:r>
      <w:r w:rsidR="00717EB7">
        <w:t xml:space="preserve">the </w:t>
      </w:r>
      <w:r w:rsidR="009258F9">
        <w:t>IMPOWER</w:t>
      </w:r>
      <w:r w:rsidR="00717EB7">
        <w:t xml:space="preserve">110 </w:t>
      </w:r>
      <w:r w:rsidR="00004426">
        <w:t xml:space="preserve">trial </w:t>
      </w:r>
      <w:r w:rsidR="00717EB7">
        <w:t>(Study</w:t>
      </w:r>
      <w:r w:rsidR="00004426">
        <w:t> </w:t>
      </w:r>
      <w:r w:rsidR="00717EB7">
        <w:t xml:space="preserve">GO29431) </w:t>
      </w:r>
      <w:r w:rsidRPr="00414E67">
        <w:t xml:space="preserve">indicates it to be a regimen with </w:t>
      </w:r>
      <w:r>
        <w:t xml:space="preserve">a different safety profile and </w:t>
      </w:r>
      <w:proofErr w:type="gramStart"/>
      <w:r>
        <w:t>overall</w:t>
      </w:r>
      <w:proofErr w:type="gramEnd"/>
      <w:r>
        <w:t xml:space="preserve"> less toxicity </w:t>
      </w:r>
      <w:r w:rsidRPr="00414E67">
        <w:t>t</w:t>
      </w:r>
      <w:r>
        <w:t>han platinum-based chemotherapy. For patients seeking a low-toxicity option, or considered not candidates to receive chemotherapy, the improved safety profile of atezolizumab monotherapy over chemotherapy could render it an acceptable option, despite an initial risk of early mortality (relative to chemotherapy-containing regimens).</w:t>
      </w:r>
    </w:p>
    <w:p w14:paraId="3986AC7F" w14:textId="4B2F7DBA" w:rsidR="009F442E" w:rsidRPr="00414E67" w:rsidRDefault="009F442E" w:rsidP="009F442E">
      <w:r>
        <w:t xml:space="preserve">The external validity of the </w:t>
      </w:r>
      <w:r w:rsidR="009258F9">
        <w:t>IMPOWER</w:t>
      </w:r>
      <w:r w:rsidR="00CF42A6">
        <w:t xml:space="preserve">110 trial (Study GO29431) </w:t>
      </w:r>
      <w:r>
        <w:t xml:space="preserve">data to describe treatment of patients who refuse (or are considered unfit for) a standard-of-care immunotherapy-plus-chemotherapy regimen is limited in that </w:t>
      </w:r>
      <w:r w:rsidRPr="00414E67">
        <w:t xml:space="preserve">all </w:t>
      </w:r>
      <w:r>
        <w:t xml:space="preserve">enrolled </w:t>
      </w:r>
      <w:r w:rsidRPr="00414E67">
        <w:t>patients were considered suitable candidates for chemotherapy treatment</w:t>
      </w:r>
      <w:r>
        <w:t>. Additionally, the median age of patients enrolled was 63 to 66. T</w:t>
      </w:r>
      <w:r w:rsidRPr="00414E67">
        <w:t>he median age of lung cancer diagnosis in Australia</w:t>
      </w:r>
      <w:r>
        <w:t>, by contrast,</w:t>
      </w:r>
      <w:r w:rsidRPr="00414E67">
        <w:t xml:space="preserve"> is around 71 years. The safety profile </w:t>
      </w:r>
      <w:r>
        <w:t xml:space="preserve">of atezolizumab monotherapy </w:t>
      </w:r>
      <w:r w:rsidRPr="00414E67">
        <w:t>in Australian clinical practice</w:t>
      </w:r>
      <w:r>
        <w:t xml:space="preserve"> </w:t>
      </w:r>
      <w:r w:rsidRPr="00414E67">
        <w:t>may be worse</w:t>
      </w:r>
      <w:r>
        <w:t xml:space="preserve"> in a real-world, less clinically robust population</w:t>
      </w:r>
      <w:r w:rsidRPr="00414E67">
        <w:t xml:space="preserve"> than </w:t>
      </w:r>
      <w:r>
        <w:t>what was</w:t>
      </w:r>
      <w:r w:rsidRPr="00414E67">
        <w:t xml:space="preserve"> observed in </w:t>
      </w:r>
      <w:r w:rsidR="00CF42A6">
        <w:t xml:space="preserve">the </w:t>
      </w:r>
      <w:r w:rsidR="009258F9">
        <w:t>IMPOWER</w:t>
      </w:r>
      <w:r w:rsidR="00CF42A6">
        <w:t>110 trial (Study GO29431)</w:t>
      </w:r>
      <w:r w:rsidRPr="00414E67">
        <w:t>.</w:t>
      </w:r>
    </w:p>
    <w:p w14:paraId="7E946730" w14:textId="77777777" w:rsidR="009F442E" w:rsidRPr="00897C3B" w:rsidRDefault="009F442E" w:rsidP="009F442E">
      <w:r w:rsidRPr="00897C3B">
        <w:lastRenderedPageBreak/>
        <w:t xml:space="preserve">Overall, the risk of early mortality for a poorly defined group of patients is considered a risk of this regimen </w:t>
      </w:r>
      <w:r>
        <w:t xml:space="preserve">by comparison to chemotherapy </w:t>
      </w:r>
      <w:r w:rsidRPr="00897C3B">
        <w:t>and should be noted in the clinical trials section of the PI, if approved.</w:t>
      </w:r>
    </w:p>
    <w:p w14:paraId="1E47A196" w14:textId="77777777" w:rsidR="009F442E" w:rsidRDefault="009F442E" w:rsidP="001E01BA">
      <w:pPr>
        <w:pStyle w:val="Heading5"/>
      </w:pPr>
      <w:bookmarkStart w:id="135" w:name="_Ref63844093"/>
      <w:r>
        <w:t>Immunogenicity</w:t>
      </w:r>
      <w:bookmarkEnd w:id="135"/>
    </w:p>
    <w:p w14:paraId="3D0EC8CA" w14:textId="77F71D50" w:rsidR="009F442E" w:rsidRDefault="009F442E" w:rsidP="009F442E">
      <w:r>
        <w:t>As described in the current atezolizumab PI, anti-drug antibodies (ADAs) against atezolizumab are known to occur with treatment in reasonably large proportions of patients (usually around 30%, with a range of 13% to 48%), in the pivotal trials that have supported approved indications.</w:t>
      </w:r>
      <w:r w:rsidR="001E01BA">
        <w:rPr>
          <w:rStyle w:val="FootnoteReference"/>
        </w:rPr>
        <w:footnoteReference w:id="47"/>
      </w:r>
    </w:p>
    <w:p w14:paraId="7B39CA4A" w14:textId="5E2C709C" w:rsidR="009F442E" w:rsidRDefault="009F442E" w:rsidP="009F442E">
      <w:r w:rsidRPr="006F7439">
        <w:t xml:space="preserve">The question of the relevance of ADAs to the safe and effective use of atezolizumab </w:t>
      </w:r>
      <w:r>
        <w:t xml:space="preserve">across indications </w:t>
      </w:r>
      <w:r w:rsidRPr="006F7439">
        <w:t xml:space="preserve">is </w:t>
      </w:r>
      <w:r>
        <w:t xml:space="preserve">an ongoing issue. Exploratory analyses have been conducted with multiple atezolizumab datasets, and a number of these are currently </w:t>
      </w:r>
      <w:r w:rsidRPr="006F7439">
        <w:t xml:space="preserve">being </w:t>
      </w:r>
      <w:r>
        <w:t>assessed through a separate submission to</w:t>
      </w:r>
      <w:r w:rsidR="001E01BA">
        <w:t xml:space="preserve"> the</w:t>
      </w:r>
      <w:r>
        <w:t xml:space="preserve"> TGA (</w:t>
      </w:r>
      <w:r w:rsidR="001E01BA">
        <w:t xml:space="preserve">Submission </w:t>
      </w:r>
      <w:r w:rsidRPr="006F7439">
        <w:t>PM-2020-01859-1-4</w:t>
      </w:r>
      <w:r>
        <w:t>)</w:t>
      </w:r>
      <w:r w:rsidRPr="006F7439">
        <w:t>.</w:t>
      </w:r>
      <w:r w:rsidR="001E01BA">
        <w:rPr>
          <w:rStyle w:val="FootnoteReference"/>
        </w:rPr>
        <w:footnoteReference w:id="48"/>
      </w:r>
      <w:r>
        <w:t xml:space="preserve"> </w:t>
      </w:r>
      <w:r w:rsidR="001E01BA">
        <w:t xml:space="preserve">At the time of writing </w:t>
      </w:r>
      <w:r>
        <w:t>a final decision on PI content is pending.</w:t>
      </w:r>
      <w:r w:rsidR="001E01BA">
        <w:rPr>
          <w:rStyle w:val="FootnoteReference"/>
        </w:rPr>
        <w:footnoteReference w:id="49"/>
      </w:r>
      <w:r>
        <w:t xml:space="preserve"> To date, firm conclusions have been prevented by the nature of the analyses, including their exploratory, post-hoc nature, the attendant baseline imbalances that come with such subgroup analyses, and a lack of power.</w:t>
      </w:r>
    </w:p>
    <w:p w14:paraId="73128213" w14:textId="7363441B" w:rsidR="009F442E" w:rsidRDefault="009F442E" w:rsidP="009F442E">
      <w:r>
        <w:t xml:space="preserve">Associations remain unconfirmed, but concerns have been sufficiently strong to support inclusion of the exploratory results in </w:t>
      </w:r>
      <w:r w:rsidR="001E01BA">
        <w:t>the Product Information (under ‘Immunogenicity’</w:t>
      </w:r>
      <w:r>
        <w:t xml:space="preserve">, in </w:t>
      </w:r>
      <w:r w:rsidR="00F659BC">
        <w:t>S</w:t>
      </w:r>
      <w:r>
        <w:t xml:space="preserve">ection 4.8 </w:t>
      </w:r>
      <w:r w:rsidRPr="00B50F71">
        <w:rPr>
          <w:iCs/>
        </w:rPr>
        <w:t>Adverse effects</w:t>
      </w:r>
      <w:r>
        <w:t>) in the case of two clinical trials</w:t>
      </w:r>
      <w:r w:rsidR="001E01BA">
        <w:t xml:space="preserve"> (the OAK trial (Study </w:t>
      </w:r>
      <w:r w:rsidR="001E01BA" w:rsidRPr="001E01BA">
        <w:t>GO28915</w:t>
      </w:r>
      <w:r w:rsidR="001E01BA">
        <w:t>);</w:t>
      </w:r>
      <w:r w:rsidR="001E01BA">
        <w:rPr>
          <w:rStyle w:val="FootnoteReference"/>
        </w:rPr>
        <w:footnoteReference w:id="50"/>
      </w:r>
      <w:r w:rsidR="001E01BA">
        <w:rPr>
          <w:vertAlign w:val="superscript"/>
        </w:rPr>
        <w:t>,</w:t>
      </w:r>
      <w:bookmarkStart w:id="136" w:name="_Ref106761487"/>
      <w:r w:rsidR="001E01BA">
        <w:rPr>
          <w:rStyle w:val="FootnoteReference"/>
        </w:rPr>
        <w:footnoteReference w:id="51"/>
      </w:r>
      <w:bookmarkEnd w:id="136"/>
      <w:r w:rsidR="001E01BA">
        <w:t xml:space="preserve"> and the IMbrave150 trial (Study </w:t>
      </w:r>
      <w:r w:rsidR="001E01BA" w:rsidRPr="001E01BA">
        <w:t>YO40245</w:t>
      </w:r>
      <w:r w:rsidR="001E01BA">
        <w:t>);</w:t>
      </w:r>
      <w:r w:rsidR="001E01BA">
        <w:rPr>
          <w:rStyle w:val="FootnoteReference"/>
        </w:rPr>
        <w:footnoteReference w:id="52"/>
      </w:r>
      <w:r w:rsidR="001E01BA">
        <w:rPr>
          <w:vertAlign w:val="superscript"/>
        </w:rPr>
        <w:t>,</w:t>
      </w:r>
      <w:bookmarkStart w:id="137" w:name="_Ref106761490"/>
      <w:r w:rsidR="001E01BA">
        <w:rPr>
          <w:rStyle w:val="FootnoteReference"/>
        </w:rPr>
        <w:footnoteReference w:id="53"/>
      </w:r>
      <w:bookmarkEnd w:id="137"/>
      <w:r w:rsidR="001E01BA">
        <w:t xml:space="preserve"> noting a</w:t>
      </w:r>
      <w:r>
        <w:t xml:space="preserve"> suggested association in these two trials between poorer surviv</w:t>
      </w:r>
      <w:r w:rsidR="001E01BA">
        <w:t>al and the presence of ADAs at W</w:t>
      </w:r>
      <w:r>
        <w:t>eek</w:t>
      </w:r>
      <w:r w:rsidR="001E01BA">
        <w:t>s 4 and 6</w:t>
      </w:r>
      <w:r>
        <w:t xml:space="preserve">, respectively. In all five </w:t>
      </w:r>
      <w:r w:rsidR="001E01BA">
        <w:t>registration</w:t>
      </w:r>
      <w:r>
        <w:t xml:space="preserve"> pivotal trials (the above two, plus </w:t>
      </w:r>
      <w:r w:rsidR="001E01BA">
        <w:t xml:space="preserve">the </w:t>
      </w:r>
      <w:r w:rsidR="009258F9">
        <w:t>IMPOWER</w:t>
      </w:r>
      <w:r>
        <w:t>150</w:t>
      </w:r>
      <w:r w:rsidR="001E01BA">
        <w:t xml:space="preserve"> trial (Study </w:t>
      </w:r>
      <w:r w:rsidR="001E01BA" w:rsidRPr="001E01BA">
        <w:t>GO29436</w:t>
      </w:r>
      <w:r w:rsidR="001E01BA">
        <w:t>);</w:t>
      </w:r>
      <w:r w:rsidR="001E01BA">
        <w:rPr>
          <w:rStyle w:val="FootnoteReference"/>
        </w:rPr>
        <w:footnoteReference w:id="54"/>
      </w:r>
      <w:r>
        <w:t xml:space="preserve"> IMvigor210</w:t>
      </w:r>
      <w:r w:rsidR="001E01BA">
        <w:t xml:space="preserve"> trial (Study </w:t>
      </w:r>
      <w:r w:rsidR="001E01BA" w:rsidRPr="001E01BA">
        <w:t>GO29293 (Cohort</w:t>
      </w:r>
      <w:r w:rsidR="001E01BA">
        <w:t>s</w:t>
      </w:r>
      <w:r w:rsidR="001E01BA" w:rsidRPr="001E01BA">
        <w:t xml:space="preserve"> 1</w:t>
      </w:r>
      <w:r w:rsidR="001E01BA">
        <w:t xml:space="preserve"> and 2</w:t>
      </w:r>
      <w:r w:rsidR="001E01BA" w:rsidRPr="001E01BA">
        <w:t>)</w:t>
      </w:r>
      <w:r w:rsidR="001E01BA">
        <w:t>);</w:t>
      </w:r>
      <w:r w:rsidR="001E01BA">
        <w:rPr>
          <w:rStyle w:val="FootnoteReference"/>
        </w:rPr>
        <w:footnoteReference w:id="55"/>
      </w:r>
      <w:r w:rsidR="001E01BA">
        <w:rPr>
          <w:vertAlign w:val="superscript"/>
        </w:rPr>
        <w:t>,</w:t>
      </w:r>
      <w:r w:rsidR="001E01BA">
        <w:rPr>
          <w:rStyle w:val="FootnoteReference"/>
        </w:rPr>
        <w:footnoteReference w:id="56"/>
      </w:r>
      <w:r w:rsidR="001E01BA">
        <w:t xml:space="preserve"> and IMpassion130 (Study </w:t>
      </w:r>
      <w:r w:rsidR="001E01BA" w:rsidRPr="001E01BA">
        <w:t>WO29522</w:t>
      </w:r>
      <w:r w:rsidR="001E01BA">
        <w:t>);</w:t>
      </w:r>
      <w:r w:rsidR="001E01BA">
        <w:rPr>
          <w:rStyle w:val="FootnoteReference"/>
        </w:rPr>
        <w:footnoteReference w:id="57"/>
      </w:r>
      <w:r>
        <w:t xml:space="preserve"> an association was seen between ADAs </w:t>
      </w:r>
      <w:r>
        <w:lastRenderedPageBreak/>
        <w:t>and decreased systemic drug exposure. However, an association with toxicity differences has not been drawn by TGA for any of the five studies.</w:t>
      </w:r>
    </w:p>
    <w:p w14:paraId="28150339" w14:textId="6AB683CB" w:rsidR="009F442E" w:rsidRDefault="009F442E" w:rsidP="009F442E">
      <w:r>
        <w:t xml:space="preserve">The current </w:t>
      </w:r>
      <w:r w:rsidR="001E01BA">
        <w:t xml:space="preserve">(as of April 2021) </w:t>
      </w:r>
      <w:r>
        <w:t xml:space="preserve">EMA </w:t>
      </w:r>
      <w:r w:rsidR="00017431">
        <w:t>Summary of Product Characteristics (</w:t>
      </w:r>
      <w:r>
        <w:t>S</w:t>
      </w:r>
      <w:r w:rsidR="001E01BA">
        <w:t>mPC</w:t>
      </w:r>
      <w:r w:rsidR="00017431">
        <w:t>)</w:t>
      </w:r>
      <w:r w:rsidR="001E01BA">
        <w:t xml:space="preserve"> includes the following text:</w:t>
      </w:r>
      <w:r w:rsidR="001E01BA">
        <w:rPr>
          <w:rStyle w:val="FootnoteReference"/>
        </w:rPr>
        <w:footnoteReference w:id="58"/>
      </w:r>
    </w:p>
    <w:p w14:paraId="49295FF9" w14:textId="34AD357C" w:rsidR="009F442E" w:rsidRPr="001E01BA" w:rsidRDefault="009F442E" w:rsidP="001E01BA">
      <w:pPr>
        <w:ind w:left="720"/>
      </w:pPr>
      <w:r w:rsidRPr="001E01BA">
        <w:t xml:space="preserve">Across multiple </w:t>
      </w:r>
      <w:r w:rsidR="000B6A3D">
        <w:t>P</w:t>
      </w:r>
      <w:r w:rsidRPr="001E01BA">
        <w:t>hase III studies, 13.1 % to 36.4% of patients developed treatment-emergent anti-drug antibodies (ADAs). Across pooled datasets for patients treated with atezolizumab monotherapy (N=2705) and with combination therapies (N</w:t>
      </w:r>
      <w:r w:rsidR="001E01BA">
        <w:t xml:space="preserve"> </w:t>
      </w:r>
      <w:r w:rsidRPr="001E01BA">
        <w:t>= 2285), the following rates of adverse events (AEs) have been observed for the ADA-positive population compared to the ADA-negative population, respectively: Grade 3-4 AEs 49.1% vs. 44.3%, Serious Adverse Events (SAEs) 42.4% vs. 37.6%, AEs leading to treatment withdrawal 6.1% vs 6.7% (for monotherapy); Grade 3-4 AEs 63.9% vs. 60.9%, SAEs 43.9% vs. 35.6%, AEs leading to treatment withdrawal 22.8% vs 18.4% (for combination therapy). However, available data do not allow firm conclusions to be drawn on possible patterns of adverse drug reactions.</w:t>
      </w:r>
    </w:p>
    <w:p w14:paraId="5353AB1F" w14:textId="11E098DA" w:rsidR="009F442E" w:rsidRDefault="009F442E" w:rsidP="009F442E">
      <w:r>
        <w:t xml:space="preserve">As noted </w:t>
      </w:r>
      <w:r w:rsidR="001E01BA">
        <w:t xml:space="preserve">in </w:t>
      </w:r>
      <w:r w:rsidR="00F659BC">
        <w:t>S</w:t>
      </w:r>
      <w:r w:rsidR="001E01BA">
        <w:t xml:space="preserve">ection: </w:t>
      </w:r>
      <w:r w:rsidR="001E01BA" w:rsidRPr="00B50F71">
        <w:rPr>
          <w:i/>
        </w:rPr>
        <w:fldChar w:fldCharType="begin"/>
      </w:r>
      <w:r w:rsidR="001E01BA" w:rsidRPr="001E01BA">
        <w:rPr>
          <w:i/>
        </w:rPr>
        <w:instrText xml:space="preserve"> REF _Ref106761028 \h </w:instrText>
      </w:r>
      <w:r w:rsidR="001E01BA">
        <w:rPr>
          <w:i/>
        </w:rPr>
        <w:instrText xml:space="preserve"> \* MERGEFORMAT </w:instrText>
      </w:r>
      <w:r w:rsidR="001E01BA" w:rsidRPr="00B50F71">
        <w:rPr>
          <w:i/>
        </w:rPr>
      </w:r>
      <w:r w:rsidR="001E01BA" w:rsidRPr="00B50F71">
        <w:rPr>
          <w:i/>
        </w:rPr>
        <w:fldChar w:fldCharType="separate"/>
      </w:r>
      <w:r w:rsidR="00C05B15" w:rsidRPr="00C05B15">
        <w:rPr>
          <w:iCs/>
        </w:rPr>
        <w:t>Population</w:t>
      </w:r>
      <w:r w:rsidR="00C05B15" w:rsidRPr="00C05B15">
        <w:rPr>
          <w:i/>
        </w:rPr>
        <w:t xml:space="preserve"> </w:t>
      </w:r>
      <w:r w:rsidR="00C05B15" w:rsidRPr="00C05B15">
        <w:rPr>
          <w:iCs/>
        </w:rPr>
        <w:t>pharmacokinetics</w:t>
      </w:r>
      <w:r w:rsidR="001E01BA" w:rsidRPr="00B50F71">
        <w:rPr>
          <w:iCs/>
        </w:rPr>
        <w:fldChar w:fldCharType="end"/>
      </w:r>
      <w:r w:rsidR="001E01BA">
        <w:t xml:space="preserve">, </w:t>
      </w:r>
      <w:r>
        <w:t>in the pivotal trial for the current submission (</w:t>
      </w:r>
      <w:r w:rsidR="009258F9">
        <w:t>IMPOWER</w:t>
      </w:r>
      <w:r>
        <w:t>110</w:t>
      </w:r>
      <w:r w:rsidR="001E01BA">
        <w:t xml:space="preserve"> trial (Study GO29431</w:t>
      </w:r>
      <w:r>
        <w:t>)</w:t>
      </w:r>
      <w:r w:rsidR="001E01BA">
        <w:t>)</w:t>
      </w:r>
      <w:r>
        <w:t xml:space="preserve">, exposure in ADA-positive patients was statistically significantly lower than in ADA-negative patients, according to the </w:t>
      </w:r>
      <w:proofErr w:type="spellStart"/>
      <w:r>
        <w:t>popPK</w:t>
      </w:r>
      <w:proofErr w:type="spellEnd"/>
      <w:r>
        <w:t xml:space="preserve"> analysis. However, t</w:t>
      </w:r>
      <w:r w:rsidRPr="007E5896">
        <w:t xml:space="preserve">he mean </w:t>
      </w:r>
      <w:r w:rsidR="001E01BA">
        <w:t>minimum concentration (</w:t>
      </w:r>
      <w:proofErr w:type="spellStart"/>
      <w:r w:rsidR="001E01BA">
        <w:t>C</w:t>
      </w:r>
      <w:r w:rsidR="001E01BA" w:rsidRPr="001E01BA">
        <w:rPr>
          <w:vertAlign w:val="subscript"/>
        </w:rPr>
        <w:t>min</w:t>
      </w:r>
      <w:proofErr w:type="spellEnd"/>
      <w:r w:rsidR="001E01BA">
        <w:t xml:space="preserve">) </w:t>
      </w:r>
      <w:r>
        <w:t>in the ADA-</w:t>
      </w:r>
      <w:r w:rsidRPr="007E5896">
        <w:t>positive subjects appear</w:t>
      </w:r>
      <w:r>
        <w:t>ed</w:t>
      </w:r>
      <w:r w:rsidRPr="007E5896">
        <w:t xml:space="preserve"> to be above the target trough conce</w:t>
      </w:r>
      <w:r>
        <w:t>n</w:t>
      </w:r>
      <w:r w:rsidRPr="007E5896">
        <w:t>t</w:t>
      </w:r>
      <w:r>
        <w:t xml:space="preserve">ration of 6 µg/mL (mean 62 µg/mL </w:t>
      </w:r>
      <w:r w:rsidR="001E01BA">
        <w:t>(standard deviation,</w:t>
      </w:r>
      <w:r>
        <w:t xml:space="preserve"> </w:t>
      </w:r>
      <w:r w:rsidR="001E01BA">
        <w:t>23)</w:t>
      </w:r>
      <w:r>
        <w:t>, geometric mean 57</w:t>
      </w:r>
      <w:r w:rsidRPr="007058EE">
        <w:t xml:space="preserve"> </w:t>
      </w:r>
      <w:r w:rsidR="001E01BA">
        <w:t>µg/mL (coefficient of variance (</w:t>
      </w:r>
      <w:r>
        <w:t>CV</w:t>
      </w:r>
      <w:r w:rsidR="001E01BA">
        <w:t>) 50%)</w:t>
      </w:r>
      <w:r>
        <w:t>.</w:t>
      </w:r>
    </w:p>
    <w:p w14:paraId="4BD8B208" w14:textId="4435FCCD" w:rsidR="009F442E" w:rsidRDefault="009F442E" w:rsidP="009F442E">
      <w:r>
        <w:t xml:space="preserve">Regarding efficacy, the </w:t>
      </w:r>
      <w:r w:rsidR="001E01BA">
        <w:t>clinical study report</w:t>
      </w:r>
      <w:r>
        <w:t xml:space="preserve"> for </w:t>
      </w:r>
      <w:r w:rsidR="001E01BA">
        <w:t xml:space="preserve">the </w:t>
      </w:r>
      <w:r w:rsidR="009258F9">
        <w:t>IMPOWER</w:t>
      </w:r>
      <w:r w:rsidR="001E01BA">
        <w:t>110 trial (Study GO29431)</w:t>
      </w:r>
      <w:r>
        <w:t xml:space="preserve"> concludes (page 208):</w:t>
      </w:r>
    </w:p>
    <w:p w14:paraId="5332BAB7" w14:textId="6D8E493F" w:rsidR="009F442E" w:rsidRPr="001E01BA" w:rsidRDefault="009F442E" w:rsidP="001E01BA">
      <w:pPr>
        <w:ind w:left="720"/>
      </w:pPr>
      <w:r w:rsidRPr="001E01BA">
        <w:t>For both PFS-INV</w:t>
      </w:r>
      <w:r w:rsidR="001E01BA">
        <w:t xml:space="preserve"> </w:t>
      </w:r>
      <w:r w:rsidR="0046773A">
        <w:t>(</w:t>
      </w:r>
      <w:r w:rsidR="001E01BA">
        <w:t>progression free survival per investigator</w:t>
      </w:r>
      <w:r w:rsidR="0046773A">
        <w:t>)</w:t>
      </w:r>
      <w:r w:rsidRPr="001E01BA">
        <w:t xml:space="preserve"> and OS</w:t>
      </w:r>
      <w:r w:rsidR="001E01BA">
        <w:t xml:space="preserve"> </w:t>
      </w:r>
      <w:r w:rsidR="0046773A">
        <w:t>(</w:t>
      </w:r>
      <w:r w:rsidR="001E01BA">
        <w:t>overall survival</w:t>
      </w:r>
      <w:r w:rsidR="0046773A">
        <w:t>)</w:t>
      </w:r>
      <w:r w:rsidRPr="001E01BA">
        <w:t>, the percentage of patients with events</w:t>
      </w:r>
      <w:r w:rsidR="001E01BA">
        <w:t xml:space="preserve"> was numerically higher for ADA</w:t>
      </w:r>
      <w:r w:rsidR="001E01BA">
        <w:noBreakHyphen/>
      </w:r>
      <w:r w:rsidRPr="001E01BA">
        <w:t>positive patients, and the median time to event was shorter (Table 66). The proportion of responders was numerically lower in the ADA-positive subgroup compared with ADA-negative. The small number of ADA-positive patients in the TC3 or IC3-WT ADA evaluable population and the observed baseline demographic and disease characteristics imbalances between the ADA subgroups for this population confound the interpretation of the data and preclude a definitive conclusion on the impact of ADA on efficacy.</w:t>
      </w:r>
    </w:p>
    <w:p w14:paraId="5CB3A17C" w14:textId="6D066D37" w:rsidR="001E01BA" w:rsidRDefault="009F442E" w:rsidP="009F442E">
      <w:r>
        <w:t>Definitive</w:t>
      </w:r>
      <w:r w:rsidRPr="006F7439">
        <w:t xml:space="preserve"> conclusions are precluded by </w:t>
      </w:r>
      <w:r w:rsidRPr="00F66FA3">
        <w:t>the very small size of the ADA-positive subgroup (n</w:t>
      </w:r>
      <w:r w:rsidR="00017431">
        <w:t> </w:t>
      </w:r>
      <w:r w:rsidRPr="00F66FA3">
        <w:t>=</w:t>
      </w:r>
      <w:r w:rsidR="00017431">
        <w:t> </w:t>
      </w:r>
      <w:r w:rsidRPr="00F66FA3">
        <w:t xml:space="preserve">23) and the post-randomisation nature of the analysis, with attendant imbalances in baseline characteristics (see </w:t>
      </w:r>
      <w:r w:rsidR="00F659BC">
        <w:t>S</w:t>
      </w:r>
      <w:r w:rsidR="001E01BA">
        <w:t xml:space="preserve">ection: </w:t>
      </w:r>
      <w:r w:rsidRPr="00B50F71">
        <w:rPr>
          <w:iCs/>
        </w:rPr>
        <w:fldChar w:fldCharType="begin"/>
      </w:r>
      <w:r w:rsidRPr="00B50F71">
        <w:rPr>
          <w:iCs/>
        </w:rPr>
        <w:instrText xml:space="preserve"> REF _Ref69212728 \h  \* MERGEFORMAT </w:instrText>
      </w:r>
      <w:r w:rsidRPr="00B50F71">
        <w:rPr>
          <w:iCs/>
        </w:rPr>
      </w:r>
      <w:r w:rsidRPr="00B50F71">
        <w:rPr>
          <w:iCs/>
        </w:rPr>
        <w:fldChar w:fldCharType="separate"/>
      </w:r>
      <w:r w:rsidR="00C05B15" w:rsidRPr="00C05B15">
        <w:rPr>
          <w:iCs/>
        </w:rPr>
        <w:t>Immunogenicity results</w:t>
      </w:r>
      <w:r w:rsidRPr="00B50F71">
        <w:rPr>
          <w:iCs/>
        </w:rPr>
        <w:fldChar w:fldCharType="end"/>
      </w:r>
      <w:r w:rsidRPr="00F66FA3">
        <w:t xml:space="preserve">). </w:t>
      </w:r>
      <w:r w:rsidR="001E01BA">
        <w:t xml:space="preserve">The </w:t>
      </w:r>
      <w:r w:rsidRPr="00F66FA3">
        <w:t>EMA requested an adjusted analysis to account for baseline characteristics, but t</w:t>
      </w:r>
      <w:r w:rsidR="001E01BA">
        <w:t>he s</w:t>
      </w:r>
      <w:r>
        <w:t xml:space="preserve">ponsor’s response was </w:t>
      </w:r>
      <w:r w:rsidRPr="00F66FA3">
        <w:t>“</w:t>
      </w:r>
    </w:p>
    <w:p w14:paraId="5C31E834" w14:textId="1846C713" w:rsidR="009F442E" w:rsidRPr="001E01BA" w:rsidRDefault="001E01BA" w:rsidP="009F442E">
      <w:pPr>
        <w:rPr>
          <w:i/>
        </w:rPr>
      </w:pPr>
      <w:r w:rsidRPr="001E01BA">
        <w:rPr>
          <w:i/>
        </w:rPr>
        <w:t>‘</w:t>
      </w:r>
      <w:r w:rsidR="009F442E" w:rsidRPr="001E01BA">
        <w:rPr>
          <w:i/>
        </w:rPr>
        <w:t>Given the limited number of ADA positive patients, no ad</w:t>
      </w:r>
      <w:r w:rsidRPr="001E01BA">
        <w:rPr>
          <w:i/>
        </w:rPr>
        <w:t>justed analyses were performed.’</w:t>
      </w:r>
    </w:p>
    <w:p w14:paraId="01A5F80C" w14:textId="0F1B9B78" w:rsidR="009F442E" w:rsidRDefault="009F442E" w:rsidP="009F442E">
      <w:r>
        <w:t xml:space="preserve">Despite shorter exposure, exploratory analysis indicates higher rates of toxicity appear to have occurred in the ADA-positive subgroup than the ADA-negative subgroup (see </w:t>
      </w:r>
      <w:r>
        <w:fldChar w:fldCharType="begin"/>
      </w:r>
      <w:r>
        <w:instrText xml:space="preserve"> REF _Ref69809260 \h </w:instrText>
      </w:r>
      <w:r>
        <w:fldChar w:fldCharType="separate"/>
      </w:r>
      <w:r w:rsidR="00C05B15" w:rsidRPr="009E2618">
        <w:t xml:space="preserve">Table </w:t>
      </w:r>
      <w:r w:rsidR="00C05B15">
        <w:rPr>
          <w:noProof/>
        </w:rPr>
        <w:t>15</w:t>
      </w:r>
      <w:r>
        <w:fldChar w:fldCharType="end"/>
      </w:r>
      <w:r w:rsidR="001E01BA">
        <w:t>, above</w:t>
      </w:r>
      <w:r>
        <w:t>). However, the toxicity profile of atezolizumab in the ADA-positive patients still appears to be favourable compared to the toxicity profile of chemotherapy.</w:t>
      </w:r>
    </w:p>
    <w:p w14:paraId="5729A013" w14:textId="36DF28D4" w:rsidR="009F442E" w:rsidRDefault="009F442E" w:rsidP="009F442E">
      <w:r w:rsidRPr="006F7439">
        <w:t xml:space="preserve">It is noted that mean </w:t>
      </w:r>
      <w:proofErr w:type="spellStart"/>
      <w:r>
        <w:t>C</w:t>
      </w:r>
      <w:r w:rsidRPr="006F7439">
        <w:rPr>
          <w:vertAlign w:val="subscript"/>
        </w:rPr>
        <w:t>min</w:t>
      </w:r>
      <w:proofErr w:type="spellEnd"/>
      <w:r w:rsidRPr="006F7439">
        <w:t xml:space="preserve"> was above the target </w:t>
      </w:r>
      <w:r>
        <w:t>trough concentration</w:t>
      </w:r>
      <w:r w:rsidRPr="006F7439">
        <w:t xml:space="preserve"> for both </w:t>
      </w:r>
      <w:r>
        <w:t>ADA sub</w:t>
      </w:r>
      <w:r w:rsidRPr="006F7439">
        <w:t xml:space="preserve">groups, but whether the statistically significant difference in </w:t>
      </w:r>
      <w:r>
        <w:t>clearance</w:t>
      </w:r>
      <w:r w:rsidR="001E01BA">
        <w:t xml:space="preserve"> between </w:t>
      </w:r>
      <w:r w:rsidR="001E01BA">
        <w:lastRenderedPageBreak/>
        <w:t>ADA</w:t>
      </w:r>
      <w:r w:rsidR="001E01BA">
        <w:noBreakHyphen/>
      </w:r>
      <w:r w:rsidRPr="006F7439">
        <w:t xml:space="preserve">positive and ADA-negative patients is clinically meaningful can’t be determined from the available data. There is biological plausibility for ADAs to alter drug efficacy, and there have been previous signals for altered efficacy with ADA positivity in other studies of atezolizumab (OAK, </w:t>
      </w:r>
      <w:r w:rsidR="001E01BA">
        <w:t xml:space="preserve">and </w:t>
      </w:r>
      <w:r w:rsidRPr="006F7439">
        <w:t>IMbrave150</w:t>
      </w:r>
      <w:r w:rsidR="001E01BA">
        <w:t xml:space="preserve"> trials</w:t>
      </w:r>
      <w:r w:rsidRPr="006F7439">
        <w:t>).</w:t>
      </w:r>
      <w:r w:rsidR="001E01BA" w:rsidRPr="001E01BA">
        <w:rPr>
          <w:vertAlign w:val="superscript"/>
        </w:rPr>
        <w:fldChar w:fldCharType="begin"/>
      </w:r>
      <w:r w:rsidR="001E01BA" w:rsidRPr="001E01BA">
        <w:rPr>
          <w:vertAlign w:val="superscript"/>
        </w:rPr>
        <w:instrText xml:space="preserve"> NOTEREF _Ref106761487 \h </w:instrText>
      </w:r>
      <w:r w:rsidR="001E01BA">
        <w:rPr>
          <w:vertAlign w:val="superscript"/>
        </w:rPr>
        <w:instrText xml:space="preserve"> \* MERGEFORMAT </w:instrText>
      </w:r>
      <w:r w:rsidR="001E01BA" w:rsidRPr="001E01BA">
        <w:rPr>
          <w:vertAlign w:val="superscript"/>
        </w:rPr>
      </w:r>
      <w:r w:rsidR="001E01BA" w:rsidRPr="001E01BA">
        <w:rPr>
          <w:vertAlign w:val="superscript"/>
        </w:rPr>
        <w:fldChar w:fldCharType="separate"/>
      </w:r>
      <w:r w:rsidR="00C05B15">
        <w:rPr>
          <w:vertAlign w:val="superscript"/>
        </w:rPr>
        <w:t>51</w:t>
      </w:r>
      <w:r w:rsidR="001E01BA" w:rsidRPr="001E01BA">
        <w:rPr>
          <w:vertAlign w:val="superscript"/>
        </w:rPr>
        <w:fldChar w:fldCharType="end"/>
      </w:r>
      <w:r w:rsidR="001E01BA" w:rsidRPr="001E01BA">
        <w:rPr>
          <w:vertAlign w:val="superscript"/>
        </w:rPr>
        <w:t>,</w:t>
      </w:r>
      <w:r w:rsidR="001E01BA" w:rsidRPr="001E01BA">
        <w:rPr>
          <w:vertAlign w:val="superscript"/>
        </w:rPr>
        <w:fldChar w:fldCharType="begin"/>
      </w:r>
      <w:r w:rsidR="001E01BA" w:rsidRPr="001E01BA">
        <w:rPr>
          <w:vertAlign w:val="superscript"/>
        </w:rPr>
        <w:instrText xml:space="preserve"> NOTEREF _Ref106761490 \h </w:instrText>
      </w:r>
      <w:r w:rsidR="001E01BA">
        <w:rPr>
          <w:vertAlign w:val="superscript"/>
        </w:rPr>
        <w:instrText xml:space="preserve"> \* MERGEFORMAT </w:instrText>
      </w:r>
      <w:r w:rsidR="001E01BA" w:rsidRPr="001E01BA">
        <w:rPr>
          <w:vertAlign w:val="superscript"/>
        </w:rPr>
      </w:r>
      <w:r w:rsidR="001E01BA" w:rsidRPr="001E01BA">
        <w:rPr>
          <w:vertAlign w:val="superscript"/>
        </w:rPr>
        <w:fldChar w:fldCharType="separate"/>
      </w:r>
      <w:r w:rsidR="00C05B15">
        <w:rPr>
          <w:vertAlign w:val="superscript"/>
        </w:rPr>
        <w:t>53</w:t>
      </w:r>
      <w:r w:rsidR="001E01BA" w:rsidRPr="001E01BA">
        <w:rPr>
          <w:vertAlign w:val="superscript"/>
        </w:rPr>
        <w:fldChar w:fldCharType="end"/>
      </w:r>
      <w:r w:rsidRPr="006F7439">
        <w:t xml:space="preserve"> The lack of ability to draw definitive conclusions from this exploratory analysis is therefore not reassuring, and </w:t>
      </w:r>
      <w:r>
        <w:t xml:space="preserve">generates a signal of concern, that </w:t>
      </w:r>
      <w:r w:rsidRPr="006F7439">
        <w:t>contributes to uncertainty around the benefit-risk balance</w:t>
      </w:r>
      <w:r>
        <w:t xml:space="preserve"> for this indication</w:t>
      </w:r>
      <w:r w:rsidRPr="006F7439">
        <w:t>.</w:t>
      </w:r>
    </w:p>
    <w:p w14:paraId="72EEF030" w14:textId="77777777" w:rsidR="009F442E" w:rsidRDefault="009F442E" w:rsidP="009F442E">
      <w:r w:rsidRPr="006F7439">
        <w:t xml:space="preserve">Consideration </w:t>
      </w:r>
      <w:proofErr w:type="gramStart"/>
      <w:r w:rsidRPr="006F7439">
        <w:t>should to</w:t>
      </w:r>
      <w:proofErr w:type="gramEnd"/>
      <w:r w:rsidRPr="006F7439">
        <w:t xml:space="preserve"> be given to better ways to assess the effect of ADAs on efficacy in future trials, knowing that sample sizes may preclude meaningful conclusions and that this is a recurring concern for this drug.</w:t>
      </w:r>
    </w:p>
    <w:p w14:paraId="53814D55" w14:textId="463C80C0" w:rsidR="009F442E" w:rsidRDefault="001E01BA" w:rsidP="009F442E">
      <w:r>
        <w:t>The Delegate agreed</w:t>
      </w:r>
      <w:r w:rsidR="009F442E">
        <w:t xml:space="preserve"> with the EMA rapporteurs’ conclusion that, if this indication is to be approved, the incidence of ADAs in </w:t>
      </w:r>
      <w:r w:rsidR="00017431">
        <w:t xml:space="preserve">the </w:t>
      </w:r>
      <w:r w:rsidR="009258F9">
        <w:t>IMPOWER</w:t>
      </w:r>
      <w:r w:rsidR="009F442E">
        <w:t>110</w:t>
      </w:r>
      <w:r w:rsidR="00017431">
        <w:t xml:space="preserve"> trial</w:t>
      </w:r>
      <w:r w:rsidR="009F442E">
        <w:t xml:space="preserve"> and the exploratory data suggesting a possible effect on efficacy should be adequately reflected in product information documents.</w:t>
      </w:r>
      <w:r w:rsidRPr="001E01BA">
        <w:rPr>
          <w:vertAlign w:val="superscript"/>
        </w:rPr>
        <w:fldChar w:fldCharType="begin"/>
      </w:r>
      <w:r w:rsidRPr="001E01BA">
        <w:rPr>
          <w:vertAlign w:val="superscript"/>
        </w:rPr>
        <w:instrText xml:space="preserve"> NOTEREF _Ref106705086 \h </w:instrText>
      </w:r>
      <w:r>
        <w:rPr>
          <w:vertAlign w:val="superscript"/>
        </w:rPr>
        <w:instrText xml:space="preserve"> \* MERGEFORMAT </w:instrText>
      </w:r>
      <w:r w:rsidRPr="001E01BA">
        <w:rPr>
          <w:vertAlign w:val="superscript"/>
        </w:rPr>
      </w:r>
      <w:r w:rsidRPr="001E01BA">
        <w:rPr>
          <w:vertAlign w:val="superscript"/>
        </w:rPr>
        <w:fldChar w:fldCharType="separate"/>
      </w:r>
      <w:r w:rsidR="00C05B15">
        <w:rPr>
          <w:vertAlign w:val="superscript"/>
        </w:rPr>
        <w:t>20</w:t>
      </w:r>
      <w:r w:rsidRPr="001E01BA">
        <w:rPr>
          <w:vertAlign w:val="superscript"/>
        </w:rPr>
        <w:fldChar w:fldCharType="end"/>
      </w:r>
      <w:r w:rsidR="009F442E">
        <w:t xml:space="preserve"> Advisory committee advice is sought as to whether the current communication of this information is adequate.</w:t>
      </w:r>
    </w:p>
    <w:p w14:paraId="2280A54D" w14:textId="6D5237CD" w:rsidR="009F442E" w:rsidRDefault="009F442E" w:rsidP="001E01BA">
      <w:pPr>
        <w:pStyle w:val="Heading5"/>
      </w:pPr>
      <w:bookmarkStart w:id="138" w:name="_Ref63868109"/>
      <w:r>
        <w:t xml:space="preserve">Sensitivity of </w:t>
      </w:r>
      <w:r w:rsidR="00017431">
        <w:t xml:space="preserve">the Ventana </w:t>
      </w:r>
      <w:r>
        <w:t>SP142</w:t>
      </w:r>
      <w:bookmarkEnd w:id="138"/>
      <w:r w:rsidR="00017431">
        <w:t xml:space="preserve"> assay</w:t>
      </w:r>
    </w:p>
    <w:p w14:paraId="3C523245" w14:textId="06D72D61" w:rsidR="009F442E" w:rsidRDefault="00017431" w:rsidP="009F442E">
      <w:r>
        <w:t xml:space="preserve">The Ventana </w:t>
      </w:r>
      <w:r w:rsidR="009F442E">
        <w:t>SP142</w:t>
      </w:r>
      <w:r>
        <w:t xml:space="preserve"> assay</w:t>
      </w:r>
      <w:r w:rsidR="009F442E">
        <w:t xml:space="preserve"> has lower sensitivity than other PD-L1 tests on the market.</w:t>
      </w:r>
    </w:p>
    <w:p w14:paraId="385F5CDB" w14:textId="017B0273" w:rsidR="009F442E" w:rsidRDefault="009F442E" w:rsidP="009F442E">
      <w:r>
        <w:t xml:space="preserve">A statistically significant </w:t>
      </w:r>
      <w:r w:rsidRPr="00D9473E">
        <w:t xml:space="preserve">efficacy benefit was </w:t>
      </w:r>
      <w:r>
        <w:t xml:space="preserve">only demonstrated in </w:t>
      </w:r>
      <w:r w:rsidR="001E01BA">
        <w:t xml:space="preserve">the </w:t>
      </w:r>
      <w:r w:rsidR="009258F9">
        <w:t>IMPOWER</w:t>
      </w:r>
      <w:r w:rsidR="001E01BA">
        <w:t>110 trial (Study GO29431)</w:t>
      </w:r>
      <w:r>
        <w:t xml:space="preserve"> for the population with PD-L1 expression at the highest (TC3/IC3) level.</w:t>
      </w:r>
    </w:p>
    <w:p w14:paraId="3D7A0497" w14:textId="4D70E764" w:rsidR="009F442E" w:rsidRDefault="009F442E" w:rsidP="001E01BA">
      <w:r>
        <w:t xml:space="preserve">Patients with a </w:t>
      </w:r>
      <w:r w:rsidR="001E01BA">
        <w:t>tumour proportion</w:t>
      </w:r>
      <w:r>
        <w:t xml:space="preserve"> score of &gt;</w:t>
      </w:r>
      <w:r w:rsidR="001E01BA">
        <w:t xml:space="preserve"> </w:t>
      </w:r>
      <w:r>
        <w:t>1% according to 22C3 are e</w:t>
      </w:r>
      <w:r w:rsidR="001E01BA">
        <w:t>ligible for a TGA approved anti</w:t>
      </w:r>
      <w:r w:rsidR="001E01BA">
        <w:noBreakHyphen/>
      </w:r>
      <w:r>
        <w:t>PD(L)1 monotherapy treatment, although th</w:t>
      </w:r>
      <w:r w:rsidR="001E01BA">
        <w:t xml:space="preserve">e efficacy in patients with tumour proportion score of 1 to </w:t>
      </w:r>
      <w:r>
        <w:t>49% (compared to platinum-based chemotherapy) is less cle</w:t>
      </w:r>
      <w:r w:rsidR="001E01BA">
        <w:t>ar than for those with tumour proportion score &gt; 50%.</w:t>
      </w:r>
      <w:r w:rsidR="001E01BA">
        <w:rPr>
          <w:rStyle w:val="FootnoteReference"/>
        </w:rPr>
        <w:footnoteReference w:id="59"/>
      </w:r>
    </w:p>
    <w:p w14:paraId="0D0EF631" w14:textId="77777777" w:rsidR="009F442E" w:rsidRDefault="009F442E" w:rsidP="009F442E">
      <w:r>
        <w:t>Given the above three statements, the implication of SP142 being the companion diagnostic for the proposed indication is that there will be a subset of tumour samples that are not considered TC3/IC3 by SP142, but that would have been considered PD-L1 positive if their sample had been tested using 22C3. The patients from whom these samples were taken would miss out on the treatment option of a monotherapy PD-(L)1 inhibitor.</w:t>
      </w:r>
    </w:p>
    <w:p w14:paraId="12076768" w14:textId="2165DB17" w:rsidR="009F442E" w:rsidRDefault="009F442E" w:rsidP="001E01BA">
      <w:r>
        <w:t xml:space="preserve">From the </w:t>
      </w:r>
      <w:r w:rsidR="00725DB0">
        <w:t>ITT</w:t>
      </w:r>
      <w:r>
        <w:t xml:space="preserve"> population in </w:t>
      </w:r>
      <w:r w:rsidR="001E01BA">
        <w:t xml:space="preserve">the </w:t>
      </w:r>
      <w:r w:rsidR="009258F9">
        <w:t>IMPOWER</w:t>
      </w:r>
      <w:r w:rsidR="001E01BA">
        <w:t>110 trial (Study GO29431</w:t>
      </w:r>
      <w:r>
        <w:t xml:space="preserve"> (n</w:t>
      </w:r>
      <w:r w:rsidR="00017431">
        <w:t> </w:t>
      </w:r>
      <w:r>
        <w:t>=</w:t>
      </w:r>
      <w:r w:rsidR="00017431">
        <w:t> </w:t>
      </w:r>
      <w:r>
        <w:t>572)</w:t>
      </w:r>
      <w:r w:rsidR="00017431">
        <w:t>)</w:t>
      </w:r>
      <w:r>
        <w:t>, 205</w:t>
      </w:r>
      <w:r w:rsidR="000B6A3D">
        <w:t> </w:t>
      </w:r>
      <w:r>
        <w:t xml:space="preserve">patients were TC3/IC3, leaving 367 </w:t>
      </w:r>
      <w:r w:rsidRPr="00EB6314">
        <w:t>patients whose tumour samples were not scored positive at the TC3/</w:t>
      </w:r>
      <w:r w:rsidRPr="00E80508">
        <w:t>IC3 cut</w:t>
      </w:r>
      <w:r w:rsidR="002C57C6">
        <w:t>-</w:t>
      </w:r>
      <w:r w:rsidRPr="00E80508">
        <w:t xml:space="preserve">off. Of these patients, 108 (29%) would have been classified as PD-L1 high if tested by 22C3 instead of SP142 and 128 (35%) would have been classified as PD-L1 high if tested by SP263 instead of SP142 (see </w:t>
      </w:r>
      <w:r w:rsidRPr="00E80508">
        <w:fldChar w:fldCharType="begin"/>
      </w:r>
      <w:r w:rsidRPr="00E80508">
        <w:instrText xml:space="preserve"> REF _Ref63861954 \h  \* MERGEFORMAT </w:instrText>
      </w:r>
      <w:r w:rsidRPr="00E80508">
        <w:fldChar w:fldCharType="separate"/>
      </w:r>
      <w:r w:rsidR="00C05B15" w:rsidRPr="003672E7">
        <w:t xml:space="preserve">Table </w:t>
      </w:r>
      <w:r w:rsidR="00C05B15">
        <w:rPr>
          <w:noProof/>
        </w:rPr>
        <w:t>10</w:t>
      </w:r>
      <w:r w:rsidRPr="00E80508">
        <w:fldChar w:fldCharType="end"/>
      </w:r>
      <w:r w:rsidRPr="00E80508">
        <w:t xml:space="preserve">). The exploratory efficacy analysis in </w:t>
      </w:r>
      <w:r w:rsidRPr="00E80508">
        <w:fldChar w:fldCharType="begin"/>
      </w:r>
      <w:r w:rsidRPr="00E80508">
        <w:instrText xml:space="preserve"> REF _Ref63861954 \h  \* MERGEFORMAT </w:instrText>
      </w:r>
      <w:r w:rsidRPr="00E80508">
        <w:fldChar w:fldCharType="separate"/>
      </w:r>
      <w:r w:rsidR="00C05B15" w:rsidRPr="003672E7">
        <w:t xml:space="preserve">Table </w:t>
      </w:r>
      <w:r w:rsidR="00C05B15">
        <w:rPr>
          <w:noProof/>
        </w:rPr>
        <w:t>10</w:t>
      </w:r>
      <w:r w:rsidRPr="00E80508">
        <w:fldChar w:fldCharType="end"/>
      </w:r>
      <w:r w:rsidRPr="00E80508">
        <w:t xml:space="preserve"> was requested to </w:t>
      </w:r>
      <w:r>
        <w:t>explore</w:t>
      </w:r>
      <w:r w:rsidRPr="00E80508">
        <w:t xml:space="preserve"> efficacy in such patients, but the small numbers and wide confidence intervals prevent meaningful conclusions. </w:t>
      </w:r>
      <w:r>
        <w:t xml:space="preserve">Additionally, a </w:t>
      </w:r>
      <w:r w:rsidRPr="00C00A14">
        <w:t>subset</w:t>
      </w:r>
      <w:r>
        <w:t xml:space="preserve"> of patients that are 22C3</w:t>
      </w:r>
      <w:r w:rsidRPr="00C00A14">
        <w:t xml:space="preserve"> positive, but SP142 negative (TC0/1/2 or IC0/1/2 during protocol version 1-4; TC0 and IC0 during protocol versions 5+) would not have been enrolled in the study</w:t>
      </w:r>
      <w:r>
        <w:t>, as SP142 was used as the entry test</w:t>
      </w:r>
      <w:r w:rsidRPr="00C00A14">
        <w:t>. The size</w:t>
      </w:r>
      <w:r w:rsidRPr="007D6838">
        <w:t xml:space="preserve"> </w:t>
      </w:r>
      <w:r w:rsidRPr="00C00A14">
        <w:t xml:space="preserve">of this </w:t>
      </w:r>
      <w:r>
        <w:t>‘missing’ population, their 22C3 positivity rates</w:t>
      </w:r>
      <w:r w:rsidRPr="00C00A14">
        <w:t xml:space="preserve"> </w:t>
      </w:r>
      <w:r>
        <w:t xml:space="preserve">and the efficacy of atezolizumab in this population are </w:t>
      </w:r>
      <w:proofErr w:type="gramStart"/>
      <w:r>
        <w:t>unknown, and</w:t>
      </w:r>
      <w:proofErr w:type="gramEnd"/>
      <w:r>
        <w:t xml:space="preserve"> prevent meaningful inference of the analysis in </w:t>
      </w:r>
      <w:r w:rsidRPr="00E80508">
        <w:fldChar w:fldCharType="begin"/>
      </w:r>
      <w:r w:rsidRPr="00E80508">
        <w:instrText xml:space="preserve"> REF _Ref63861954 \h  \* MERGEFORMAT </w:instrText>
      </w:r>
      <w:r w:rsidRPr="00E80508">
        <w:fldChar w:fldCharType="separate"/>
      </w:r>
      <w:r w:rsidR="00C05B15" w:rsidRPr="003672E7">
        <w:t xml:space="preserve">Table </w:t>
      </w:r>
      <w:r w:rsidR="00C05B15">
        <w:rPr>
          <w:noProof/>
        </w:rPr>
        <w:t>10</w:t>
      </w:r>
      <w:r w:rsidRPr="00E80508">
        <w:fldChar w:fldCharType="end"/>
      </w:r>
      <w:r w:rsidRPr="00C00A14">
        <w:t>.</w:t>
      </w:r>
    </w:p>
    <w:p w14:paraId="4116BDB3" w14:textId="0374BE2F" w:rsidR="009F442E" w:rsidRPr="009E6C30" w:rsidRDefault="009F442E" w:rsidP="001E01BA">
      <w:r>
        <w:t>Conversely, a patient could miss out on the treatment option of a monotherapy PD-(L)1 inhibitor if their tumour sample was tested with 22C3 and was not positive (</w:t>
      </w:r>
      <w:r w:rsidR="001E01BA">
        <w:t xml:space="preserve">tumour proportion score </w:t>
      </w:r>
      <w:r>
        <w:t>≥</w:t>
      </w:r>
      <w:r w:rsidR="001E01BA">
        <w:t xml:space="preserve"> </w:t>
      </w:r>
      <w:r>
        <w:t>1%</w:t>
      </w:r>
      <w:proofErr w:type="gramStart"/>
      <w:r>
        <w:t>), but</w:t>
      </w:r>
      <w:proofErr w:type="gramEnd"/>
      <w:r>
        <w:t xml:space="preserve"> would have been TC3 or IC3 on SP142. All such patients should have been enrolled in </w:t>
      </w:r>
      <w:r w:rsidR="001E01BA">
        <w:t xml:space="preserve">the </w:t>
      </w:r>
      <w:r w:rsidR="009258F9">
        <w:t>IMPOWER</w:t>
      </w:r>
      <w:r w:rsidR="001E01BA">
        <w:t>110 trial (Study GO29431)</w:t>
      </w:r>
      <w:r>
        <w:t>, so there is no missing population</w:t>
      </w:r>
      <w:r w:rsidRPr="009E6C30">
        <w:t xml:space="preserve">. However, the numbers of patients </w:t>
      </w:r>
      <w:proofErr w:type="gramStart"/>
      <w:r w:rsidRPr="009E6C30">
        <w:t>is</w:t>
      </w:r>
      <w:proofErr w:type="gramEnd"/>
      <w:r w:rsidRPr="009E6C30">
        <w:t xml:space="preserve"> very small: 13 patients out of 198 </w:t>
      </w:r>
      <w:r>
        <w:lastRenderedPageBreak/>
        <w:t>across both arms (</w:t>
      </w:r>
      <w:r w:rsidRPr="009E6C30">
        <w:t xml:space="preserve">less than one percent), preventing meaningful interpretation of this subgroup result (see </w:t>
      </w:r>
      <w:r w:rsidR="001E01BA">
        <w:t xml:space="preserve">tumour proportion score (TPS) </w:t>
      </w:r>
      <w:r w:rsidRPr="009E6C30">
        <w:t>&lt;</w:t>
      </w:r>
      <w:r w:rsidR="001E01BA">
        <w:t xml:space="preserve"> </w:t>
      </w:r>
      <w:r w:rsidRPr="009E6C30">
        <w:t>1% row,</w:t>
      </w:r>
      <w:r w:rsidR="001E01BA">
        <w:t xml:space="preserve"> of</w:t>
      </w:r>
      <w:r w:rsidRPr="009E6C30">
        <w:t xml:space="preserve"> </w:t>
      </w:r>
      <w:r w:rsidRPr="009E6C30">
        <w:fldChar w:fldCharType="begin"/>
      </w:r>
      <w:r w:rsidRPr="009E6C30">
        <w:instrText xml:space="preserve"> REF _Ref69808463 \h </w:instrText>
      </w:r>
      <w:r>
        <w:instrText xml:space="preserve"> \* MERGEFORMAT </w:instrText>
      </w:r>
      <w:r w:rsidRPr="009E6C30">
        <w:fldChar w:fldCharType="separate"/>
      </w:r>
      <w:r w:rsidR="00C05B15" w:rsidRPr="003672E7">
        <w:t xml:space="preserve">Table </w:t>
      </w:r>
      <w:r w:rsidR="00C05B15">
        <w:rPr>
          <w:noProof/>
        </w:rPr>
        <w:t>9</w:t>
      </w:r>
      <w:r w:rsidRPr="009E6C30">
        <w:fldChar w:fldCharType="end"/>
      </w:r>
      <w:r w:rsidRPr="009E6C30">
        <w:t>).</w:t>
      </w:r>
    </w:p>
    <w:p w14:paraId="2078495B" w14:textId="53D5CDEC" w:rsidR="009F442E" w:rsidRDefault="009F442E" w:rsidP="001E01BA">
      <w:r w:rsidRPr="009E6C30">
        <w:t xml:space="preserve">The data presented in </w:t>
      </w:r>
      <w:r w:rsidR="00C977D7">
        <w:fldChar w:fldCharType="begin"/>
      </w:r>
      <w:r w:rsidR="00C977D7">
        <w:instrText xml:space="preserve"> REF _Ref108521947 \h </w:instrText>
      </w:r>
      <w:r w:rsidR="00C977D7">
        <w:fldChar w:fldCharType="separate"/>
      </w:r>
      <w:r w:rsidR="00C05B15" w:rsidRPr="00222A45">
        <w:t xml:space="preserve">Table </w:t>
      </w:r>
      <w:r w:rsidR="00C05B15">
        <w:rPr>
          <w:noProof/>
        </w:rPr>
        <w:t>18</w:t>
      </w:r>
      <w:r w:rsidR="00C977D7">
        <w:fldChar w:fldCharType="end"/>
      </w:r>
      <w:r w:rsidR="00C977D7">
        <w:t xml:space="preserve"> and </w:t>
      </w:r>
      <w:r w:rsidR="00C977D7">
        <w:fldChar w:fldCharType="begin"/>
      </w:r>
      <w:r w:rsidR="00C977D7">
        <w:instrText xml:space="preserve"> REF _Ref108521930 \h </w:instrText>
      </w:r>
      <w:r w:rsidR="00C977D7">
        <w:fldChar w:fldCharType="separate"/>
      </w:r>
      <w:r w:rsidR="00C05B15" w:rsidRPr="00400B3D">
        <w:t xml:space="preserve">Figure </w:t>
      </w:r>
      <w:r w:rsidR="00C05B15">
        <w:rPr>
          <w:noProof/>
        </w:rPr>
        <w:t>4</w:t>
      </w:r>
      <w:r w:rsidR="00C977D7">
        <w:fldChar w:fldCharType="end"/>
      </w:r>
      <w:r w:rsidRPr="009E6C30">
        <w:t xml:space="preserve"> do not raise an overt signal for lack of efficacy in TC3/IC3 positive patients whose tumours were only positive based on IC staining per SP142 (TC0 and IC3). Again, though, small numbers </w:t>
      </w:r>
      <w:r>
        <w:t>(n</w:t>
      </w:r>
      <w:r w:rsidR="001E01BA">
        <w:t xml:space="preserve"> </w:t>
      </w:r>
      <w:r>
        <w:t>=</w:t>
      </w:r>
      <w:r w:rsidR="001E01BA">
        <w:t xml:space="preserve"> </w:t>
      </w:r>
      <w:r>
        <w:t xml:space="preserve">29 across both arms) </w:t>
      </w:r>
      <w:r w:rsidRPr="009E6C30">
        <w:t>hamper meaningful interpretation</w:t>
      </w:r>
      <w:r>
        <w:t>, and it is not clear whether these patients would have been positive on 22C3</w:t>
      </w:r>
      <w:r w:rsidRPr="009E6C30">
        <w:t>.</w:t>
      </w:r>
    </w:p>
    <w:p w14:paraId="41A2ECEB" w14:textId="012334B4" w:rsidR="009F442E" w:rsidRPr="00400B3D" w:rsidRDefault="009F442E" w:rsidP="00400B3D">
      <w:r w:rsidRPr="00400B3D">
        <w:t>The use of SP142 as a companion diagnostic is likely to exclude a group of patients from falling within the registered Australian indications for a monotherapy PD-(L)1 inhibitor, but the size of the group and what clinical detriment would be conferred by this is not able to be determined from the available data.</w:t>
      </w:r>
    </w:p>
    <w:p w14:paraId="2267CA71" w14:textId="088A8D02" w:rsidR="009F442E" w:rsidRPr="00A02D8B" w:rsidRDefault="001E01BA" w:rsidP="001E01BA">
      <w:pPr>
        <w:pStyle w:val="Heading4"/>
      </w:pPr>
      <w:r>
        <w:t>Delegate’s c</w:t>
      </w:r>
      <w:r w:rsidR="009F442E">
        <w:t>onclusions</w:t>
      </w:r>
    </w:p>
    <w:p w14:paraId="02CE0714" w14:textId="3EA9931D" w:rsidR="009F442E" w:rsidRPr="001E01BA" w:rsidRDefault="009F442E" w:rsidP="001E01BA">
      <w:r w:rsidRPr="001E01BA">
        <w:t>The treatment landscape has changed since</w:t>
      </w:r>
      <w:r w:rsidR="001E01BA">
        <w:t xml:space="preserve"> the</w:t>
      </w:r>
      <w:r w:rsidRPr="001E01BA">
        <w:t xml:space="preserve"> </w:t>
      </w:r>
      <w:r w:rsidR="009258F9">
        <w:t>IMPOWER</w:t>
      </w:r>
      <w:r w:rsidR="001E01BA">
        <w:t>110 trial (Study GO29431)</w:t>
      </w:r>
      <w:r w:rsidR="001E01BA" w:rsidRPr="001E01BA">
        <w:t xml:space="preserve"> </w:t>
      </w:r>
      <w:r w:rsidRPr="001E01BA">
        <w:t>was designed, and a direct comparison to current standard-of-care therapy (pembrolizumab monotherapy in patients with high PD-L1, or immunotherapy plus chemotherapy for others without driver mutations) is not available.</w:t>
      </w:r>
    </w:p>
    <w:p w14:paraId="34F23C52" w14:textId="7B5DA7D6" w:rsidR="009F442E" w:rsidRPr="001E01BA" w:rsidRDefault="009F442E" w:rsidP="001E01BA">
      <w:r w:rsidRPr="001E01BA">
        <w:t xml:space="preserve">For patients judged to be TC3/IC3 according to SP142 in the </w:t>
      </w:r>
      <w:r w:rsidR="009258F9" w:rsidRPr="001E01BA">
        <w:t>IMPOWER</w:t>
      </w:r>
      <w:r w:rsidRPr="001E01BA">
        <w:t xml:space="preserve">110 trial, treatment with atezolizumab monotherapy was associated with longer survival and a favourable toxicity profile, compared to platinum doublet chemotherapy. Uncertainty in interpreting the findings of </w:t>
      </w:r>
      <w:r w:rsidR="009258F9" w:rsidRPr="001E01BA">
        <w:t>IMPOWER</w:t>
      </w:r>
      <w:r w:rsidRPr="001E01BA">
        <w:t>110 is introduced by:</w:t>
      </w:r>
    </w:p>
    <w:p w14:paraId="4C00D628" w14:textId="77777777" w:rsidR="009F442E" w:rsidRDefault="009F442E" w:rsidP="001E01BA">
      <w:pPr>
        <w:pStyle w:val="ListBullet"/>
      </w:pPr>
      <w:r>
        <w:t>Imbalances of prognostic baseline characteristics between arms: these have not been entirely addressed and may have somewhat biased the findings, though they are probably not of sufficient magnitude to entirely explain the primary efficacy outcome of the study.</w:t>
      </w:r>
    </w:p>
    <w:p w14:paraId="57248822" w14:textId="77777777" w:rsidR="009F442E" w:rsidRDefault="009F442E" w:rsidP="001E01BA">
      <w:pPr>
        <w:pStyle w:val="ListBullet"/>
      </w:pPr>
      <w:r>
        <w:t xml:space="preserve">A risk of early mortality compared to chemotherapy, which is not a barrier to registration but is not present for the current preferred standard-of-care therapy for patients with high PD-L1 expression according to 22C3 </w:t>
      </w:r>
      <w:proofErr w:type="gramStart"/>
      <w:r>
        <w:t>testing, and</w:t>
      </w:r>
      <w:proofErr w:type="gramEnd"/>
      <w:r>
        <w:t xml:space="preserve"> would require labelling.</w:t>
      </w:r>
    </w:p>
    <w:p w14:paraId="2F8764C2" w14:textId="76B37A55" w:rsidR="009F442E" w:rsidRPr="00F148EA" w:rsidRDefault="009F442E" w:rsidP="00B178E4">
      <w:proofErr w:type="gramStart"/>
      <w:r>
        <w:t>A</w:t>
      </w:r>
      <w:r w:rsidRPr="00F148EA">
        <w:t xml:space="preserve"> number of</w:t>
      </w:r>
      <w:proofErr w:type="gramEnd"/>
      <w:r w:rsidRPr="00F148EA">
        <w:t xml:space="preserve"> more significant issues complicate the interpretation of the benefit-risk balance for approval of this indication </w:t>
      </w:r>
      <w:r>
        <w:t>on the basis</w:t>
      </w:r>
      <w:r w:rsidRPr="00F148EA">
        <w:t xml:space="preserve"> of the findings of </w:t>
      </w:r>
      <w:r w:rsidR="001E01BA">
        <w:t xml:space="preserve">the </w:t>
      </w:r>
      <w:r w:rsidR="009258F9" w:rsidRPr="00F148EA">
        <w:t>IMPOWER</w:t>
      </w:r>
      <w:r w:rsidRPr="00F148EA">
        <w:t>110</w:t>
      </w:r>
      <w:r w:rsidR="001E01BA">
        <w:t xml:space="preserve"> trial</w:t>
      </w:r>
      <w:r w:rsidRPr="00F148EA">
        <w:t>:</w:t>
      </w:r>
    </w:p>
    <w:p w14:paraId="7831293C" w14:textId="77777777" w:rsidR="009F442E" w:rsidRDefault="009F442E" w:rsidP="001E01BA">
      <w:pPr>
        <w:pStyle w:val="ListBullet"/>
      </w:pPr>
      <w:r>
        <w:t>Exploratory analyses raise concerns around poorer efficacy and safety for patients who develop anti-drug antibodies. These trends have been seen repeatedly across trials, and this remains an unresolved concern.</w:t>
      </w:r>
    </w:p>
    <w:p w14:paraId="1107DCEF" w14:textId="45D63D3C" w:rsidR="009F442E" w:rsidRDefault="009F442E" w:rsidP="001E01BA">
      <w:pPr>
        <w:pStyle w:val="ListBullet"/>
      </w:pPr>
      <w:r>
        <w:t>Published data indicates poor inter-observer reliability of IC3 assessment using the proposed SP142 companion diagnostic in real-world circumstances.</w:t>
      </w:r>
      <w:r w:rsidR="006A6117" w:rsidRPr="006A6117">
        <w:rPr>
          <w:vertAlign w:val="superscript"/>
        </w:rPr>
        <w:fldChar w:fldCharType="begin"/>
      </w:r>
      <w:r w:rsidR="006A6117" w:rsidRPr="006A6117">
        <w:rPr>
          <w:vertAlign w:val="superscript"/>
        </w:rPr>
        <w:instrText xml:space="preserve"> NOTEREF _Ref106762207 \h </w:instrText>
      </w:r>
      <w:r w:rsidR="006A6117">
        <w:rPr>
          <w:vertAlign w:val="superscript"/>
        </w:rPr>
        <w:instrText xml:space="preserve"> \* MERGEFORMAT </w:instrText>
      </w:r>
      <w:r w:rsidR="006A6117" w:rsidRPr="006A6117">
        <w:rPr>
          <w:vertAlign w:val="superscript"/>
        </w:rPr>
      </w:r>
      <w:r w:rsidR="006A6117" w:rsidRPr="006A6117">
        <w:rPr>
          <w:vertAlign w:val="superscript"/>
        </w:rPr>
        <w:fldChar w:fldCharType="separate"/>
      </w:r>
      <w:r w:rsidR="00C05B15">
        <w:rPr>
          <w:vertAlign w:val="superscript"/>
        </w:rPr>
        <w:t>34</w:t>
      </w:r>
      <w:r w:rsidR="006A6117" w:rsidRPr="006A6117">
        <w:rPr>
          <w:vertAlign w:val="superscript"/>
        </w:rPr>
        <w:fldChar w:fldCharType="end"/>
      </w:r>
    </w:p>
    <w:p w14:paraId="75B3734B" w14:textId="10CDA55E" w:rsidR="009F442E" w:rsidRDefault="009F442E" w:rsidP="00DE31C1">
      <w:pPr>
        <w:pStyle w:val="ListBullet"/>
      </w:pPr>
      <w:r>
        <w:t>As SP142 is less sensitive than 22C3, approval of an atezolizumab monotherapy indication with the SP142 companion diagnostic would exclude a cohort of patients from eligibility for PD-(L)1 inhibitor monotherapy as a treatment option. The excluded cohort is made up of three groups:</w:t>
      </w:r>
    </w:p>
    <w:p w14:paraId="005B067A" w14:textId="4050C0C3" w:rsidR="009F442E" w:rsidRDefault="009F442E" w:rsidP="00B50F71">
      <w:pPr>
        <w:pStyle w:val="ListBullet2"/>
      </w:pPr>
      <w:r>
        <w:t xml:space="preserve">Patients who would have been </w:t>
      </w:r>
      <w:r w:rsidR="006A6117">
        <w:t xml:space="preserve">tumour proportion score </w:t>
      </w:r>
      <w:r>
        <w:t>≥</w:t>
      </w:r>
      <w:r w:rsidR="006A6117">
        <w:t xml:space="preserve"> </w:t>
      </w:r>
      <w:r>
        <w:t>50% based on 22C3:</w:t>
      </w:r>
    </w:p>
    <w:p w14:paraId="3F141E1C" w14:textId="4CD56E4E" w:rsidR="009F442E" w:rsidRDefault="009F442E" w:rsidP="00B50F71">
      <w:pPr>
        <w:pStyle w:val="ListBullet3"/>
      </w:pPr>
      <w:r>
        <w:t xml:space="preserve">These patients would possibly be over-treated with addition of </w:t>
      </w:r>
      <w:proofErr w:type="gramStart"/>
      <w:r>
        <w:t>chemotherapy, and</w:t>
      </w:r>
      <w:proofErr w:type="gramEnd"/>
      <w:r>
        <w:t xml:space="preserve"> subjected to unnecessary toxicity</w:t>
      </w:r>
      <w:r w:rsidR="002C57C6">
        <w:t>.</w:t>
      </w:r>
    </w:p>
    <w:p w14:paraId="01D3DCF6" w14:textId="13BDE345" w:rsidR="009F442E" w:rsidRDefault="009F442E" w:rsidP="00E60EE4">
      <w:pPr>
        <w:pStyle w:val="ListBullet3"/>
      </w:pPr>
      <w:r>
        <w:t xml:space="preserve">The data in </w:t>
      </w:r>
      <w:r>
        <w:fldChar w:fldCharType="begin"/>
      </w:r>
      <w:r>
        <w:instrText xml:space="preserve"> REF _Ref63861954 \h </w:instrText>
      </w:r>
      <w:r w:rsidR="006A6117">
        <w:instrText xml:space="preserve"> \* MERGEFORMAT </w:instrText>
      </w:r>
      <w:r>
        <w:fldChar w:fldCharType="separate"/>
      </w:r>
      <w:r w:rsidR="00C05B15" w:rsidRPr="003672E7">
        <w:t xml:space="preserve">Table </w:t>
      </w:r>
      <w:r w:rsidR="00C05B15">
        <w:rPr>
          <w:noProof/>
        </w:rPr>
        <w:t>10</w:t>
      </w:r>
      <w:r>
        <w:fldChar w:fldCharType="end"/>
      </w:r>
      <w:r>
        <w:t xml:space="preserve"> is not sufficiently robust to assess this uncertainty.</w:t>
      </w:r>
    </w:p>
    <w:p w14:paraId="37D0817D" w14:textId="6C04F617" w:rsidR="009F442E" w:rsidRDefault="009F442E" w:rsidP="00B50F71">
      <w:pPr>
        <w:pStyle w:val="ListBullet2"/>
      </w:pPr>
      <w:r>
        <w:t xml:space="preserve">Patients who would have been classified as </w:t>
      </w:r>
      <w:r w:rsidR="006A6117">
        <w:t xml:space="preserve">tumour proportion score </w:t>
      </w:r>
      <w:r>
        <w:t>between 1% and 50% based on 22C3 or another PD-L1 test:</w:t>
      </w:r>
    </w:p>
    <w:p w14:paraId="55047420" w14:textId="015EC575" w:rsidR="009F442E" w:rsidRDefault="009F442E" w:rsidP="00B50F71">
      <w:pPr>
        <w:pStyle w:val="ListBullet3"/>
      </w:pPr>
      <w:r>
        <w:lastRenderedPageBreak/>
        <w:t>There is not likely to be a clinical detriment to such patients, as PD-(L)1 inhibitor monotherapy is not considered the preferred standard-of-care regimen in this space: it entails a risk of early mortality and the clinical benefit is not as clear compared to chemotherapy</w:t>
      </w:r>
      <w:r w:rsidR="006A6117">
        <w:t xml:space="preserve"> </w:t>
      </w:r>
      <w:r>
        <w:t>+</w:t>
      </w:r>
      <w:r w:rsidR="006A6117">
        <w:t xml:space="preserve"> </w:t>
      </w:r>
      <w:r>
        <w:t>immunotherapy regimens.</w:t>
      </w:r>
    </w:p>
    <w:p w14:paraId="26E7C6B2" w14:textId="77777777" w:rsidR="009F442E" w:rsidRDefault="009F442E" w:rsidP="00B50F71">
      <w:pPr>
        <w:pStyle w:val="ListBullet2"/>
      </w:pPr>
      <w:r>
        <w:t xml:space="preserve">Patients in either of the above categories who are </w:t>
      </w:r>
      <w:r w:rsidRPr="00B50F71">
        <w:rPr>
          <w:iCs/>
        </w:rPr>
        <w:t>not</w:t>
      </w:r>
      <w:r>
        <w:t xml:space="preserve"> eligible or willing to have a standard-of-care treatment that includes platinum-based chemotherapy:</w:t>
      </w:r>
    </w:p>
    <w:p w14:paraId="24BE50B0" w14:textId="77777777" w:rsidR="009F442E" w:rsidRDefault="009F442E" w:rsidP="00B50F71">
      <w:pPr>
        <w:pStyle w:val="ListBullet3"/>
      </w:pPr>
      <w:r>
        <w:t>These patients could miss out on the opportunity for treatment altogether, being unable/unwilling to have chemotherapy and being considered ineligible for immunotherapy.</w:t>
      </w:r>
    </w:p>
    <w:p w14:paraId="342A485B" w14:textId="77777777" w:rsidR="009F442E" w:rsidRDefault="009F442E" w:rsidP="006A6117">
      <w:pPr>
        <w:pStyle w:val="ListBullet2"/>
      </w:pPr>
      <w:r>
        <w:t>Use of monotherapy anti-PD(L)1 in such patients has not been directly studied but would expect to be supported by the data from trials enrolling chemo-eligible/willing patients.</w:t>
      </w:r>
    </w:p>
    <w:p w14:paraId="55268B6C" w14:textId="5E6884A9" w:rsidR="009F442E" w:rsidRDefault="009F442E" w:rsidP="006A6117">
      <w:pPr>
        <w:pStyle w:val="ListBullet2"/>
      </w:pPr>
      <w:r>
        <w:t>It remains unknown whether patients with the lowest level of PD-L1 expression (according to staining intensity) derive the same leve</w:t>
      </w:r>
      <w:r w:rsidR="006A6117">
        <w:t>l of benefit from anti</w:t>
      </w:r>
      <w:r w:rsidR="006A6117">
        <w:noBreakHyphen/>
        <w:t>PD</w:t>
      </w:r>
      <w:r w:rsidR="006A6117">
        <w:noBreakHyphen/>
      </w:r>
      <w:r>
        <w:t>1/PD-L1 checkpoint inhibitors compared</w:t>
      </w:r>
      <w:r w:rsidR="006A6117">
        <w:t xml:space="preserve"> to the patients with higher PD</w:t>
      </w:r>
      <w:r w:rsidR="006A6117">
        <w:noBreakHyphen/>
      </w:r>
      <w:r>
        <w:t>L1 expression levels.</w:t>
      </w:r>
    </w:p>
    <w:p w14:paraId="74BEA5BF" w14:textId="3035E0BF" w:rsidR="009F442E" w:rsidRPr="009F442E" w:rsidRDefault="009F442E" w:rsidP="009F442E">
      <w:r>
        <w:t>These uncertainties, collectively, are clinically meaningful in considering the risk-benefit balance for this indication.</w:t>
      </w:r>
    </w:p>
    <w:p w14:paraId="61598FEE" w14:textId="5F1C7A59" w:rsidR="0074163C" w:rsidRDefault="0074163C" w:rsidP="00DE31C1">
      <w:pPr>
        <w:pStyle w:val="Heading4"/>
      </w:pPr>
      <w:bookmarkStart w:id="139" w:name="_Toc98931933"/>
      <w:r w:rsidRPr="00D23139">
        <w:t>Proposed action</w:t>
      </w:r>
      <w:bookmarkEnd w:id="139"/>
    </w:p>
    <w:p w14:paraId="628E9593" w14:textId="5F81D1FE" w:rsidR="00252948" w:rsidRPr="00252948" w:rsidRDefault="00252948" w:rsidP="00252948">
      <w:r w:rsidRPr="00252948">
        <w:t>While a decision is</w:t>
      </w:r>
      <w:r>
        <w:t xml:space="preserve"> yet to be made, at this stage the Delegate was </w:t>
      </w:r>
      <w:r w:rsidRPr="00252948">
        <w:t>inclined to approve the registration of the product if the uncertainties around the risk-benefit balance can be adequately managed, for example, through s</w:t>
      </w:r>
      <w:r>
        <w:t>ufficient communication in the PI</w:t>
      </w:r>
      <w:r w:rsidRPr="00252948">
        <w:t>.</w:t>
      </w:r>
    </w:p>
    <w:p w14:paraId="0C4FF0C1" w14:textId="77777777" w:rsidR="0074163C" w:rsidRPr="00F73346" w:rsidRDefault="0074163C" w:rsidP="0074163C">
      <w:pPr>
        <w:pStyle w:val="Heading4"/>
      </w:pPr>
      <w:bookmarkStart w:id="140" w:name="_Toc98931936"/>
      <w:bookmarkStart w:id="141" w:name="_Ref107383513"/>
      <w:bookmarkStart w:id="142" w:name="_Toc247691532"/>
      <w:bookmarkStart w:id="143" w:name="_Toc314842516"/>
      <w:bookmarkEnd w:id="30"/>
      <w:bookmarkEnd w:id="113"/>
      <w:bookmarkEnd w:id="114"/>
      <w:r w:rsidRPr="00F73346">
        <w:t>Advisory Committee considerations</w:t>
      </w:r>
      <w:bookmarkEnd w:id="140"/>
      <w:bookmarkEnd w:id="141"/>
    </w:p>
    <w:p w14:paraId="4E08F07D" w14:textId="53D9EADB" w:rsidR="0074163C" w:rsidRDefault="0074163C" w:rsidP="0074163C">
      <w:pPr>
        <w:rPr>
          <w:bCs/>
        </w:rPr>
      </w:pPr>
      <w:r w:rsidRPr="00456765">
        <w:rPr>
          <w:bCs/>
        </w:rPr>
        <w:t xml:space="preserve">The </w:t>
      </w:r>
      <w:hyperlink r:id="rId37" w:history="1">
        <w:r w:rsidRPr="00C65E63">
          <w:rPr>
            <w:rStyle w:val="Hyperlink"/>
            <w:szCs w:val="21"/>
          </w:rPr>
          <w:t>Advisory Committee on Medicines (ACM)</w:t>
        </w:r>
      </w:hyperlink>
      <w:r w:rsidRPr="00F73346">
        <w:rPr>
          <w:color w:val="007099"/>
          <w:szCs w:val="21"/>
        </w:rPr>
        <w:t xml:space="preserve"> </w:t>
      </w:r>
      <w:r w:rsidRPr="00456765">
        <w:rPr>
          <w:bCs/>
        </w:rPr>
        <w:t>having considered the evaluations and the Delegate’s overview, as well as the sponsor’s response to these documents, advised the following</w:t>
      </w:r>
      <w:r>
        <w:rPr>
          <w:bCs/>
        </w:rPr>
        <w:t>.</w:t>
      </w:r>
    </w:p>
    <w:p w14:paraId="47FEBCC8" w14:textId="009CF42B" w:rsidR="0074163C" w:rsidRDefault="0074163C" w:rsidP="0074163C">
      <w:pPr>
        <w:pStyle w:val="Heading5"/>
      </w:pPr>
      <w:r w:rsidRPr="00F73346">
        <w:t>Specific advice to the Delegate</w:t>
      </w:r>
    </w:p>
    <w:p w14:paraId="0E4AC8A6" w14:textId="77777777" w:rsidR="00252948" w:rsidRDefault="00252948" w:rsidP="00252948">
      <w:pPr>
        <w:pStyle w:val="Numberbullet0"/>
        <w:numPr>
          <w:ilvl w:val="0"/>
          <w:numId w:val="22"/>
        </w:numPr>
        <w:rPr>
          <w:b/>
          <w:i/>
        </w:rPr>
      </w:pPr>
      <w:r w:rsidRPr="00252948">
        <w:rPr>
          <w:b/>
          <w:i/>
        </w:rPr>
        <w:t>Regardi</w:t>
      </w:r>
      <w:r>
        <w:rPr>
          <w:b/>
          <w:i/>
        </w:rPr>
        <w:t>ng anti-drug-antibodies (ADAs):</w:t>
      </w:r>
    </w:p>
    <w:p w14:paraId="757E0912" w14:textId="1261F59D" w:rsidR="00252948" w:rsidRPr="00252948" w:rsidRDefault="00252948" w:rsidP="00252948">
      <w:pPr>
        <w:pStyle w:val="Numberbullet2"/>
        <w:rPr>
          <w:b/>
          <w:i/>
        </w:rPr>
      </w:pPr>
      <w:r w:rsidRPr="00252948">
        <w:rPr>
          <w:b/>
          <w:i/>
        </w:rPr>
        <w:t>Does the scope and location of text in the current Australian atezolizuma</w:t>
      </w:r>
      <w:r>
        <w:rPr>
          <w:b/>
          <w:i/>
        </w:rPr>
        <w:t>b Product Information document</w:t>
      </w:r>
      <w:r w:rsidRPr="00252948">
        <w:rPr>
          <w:b/>
          <w:i/>
        </w:rPr>
        <w:t xml:space="preserve"> adequately convey the uncertainty around the risk-benefit balance for patients with anti-drug antibodies?</w:t>
      </w:r>
    </w:p>
    <w:p w14:paraId="7F2EDF76" w14:textId="53183092" w:rsidR="00252948" w:rsidRPr="00252948" w:rsidRDefault="00252948" w:rsidP="00252948">
      <w:r w:rsidRPr="00252948">
        <w:t xml:space="preserve">The ACM considered the text proposed in the sponsor’s pre-ACM response to be reasonable, </w:t>
      </w:r>
      <w:proofErr w:type="gramStart"/>
      <w:r w:rsidRPr="00252948">
        <w:t>with the exception of</w:t>
      </w:r>
      <w:proofErr w:type="gramEnd"/>
      <w:r w:rsidRPr="00252948">
        <w:t xml:space="preserve"> the statement that </w:t>
      </w:r>
      <w:r w:rsidRPr="00252948">
        <w:rPr>
          <w:i/>
        </w:rPr>
        <w:t>‘the ADA-positive subgroup derives meaningful overall survival benefit from atezolizumab treatment compared to control.’</w:t>
      </w:r>
      <w:r>
        <w:t xml:space="preserve"> The </w:t>
      </w:r>
      <w:r w:rsidRPr="00252948">
        <w:t>ACM did not discuss removal of the existing study-specific text.</w:t>
      </w:r>
    </w:p>
    <w:p w14:paraId="5A43326C" w14:textId="095F99B2" w:rsidR="00252948" w:rsidRPr="0046773A" w:rsidRDefault="00252948" w:rsidP="00B50F71">
      <w:pPr>
        <w:pStyle w:val="Numberbullet2"/>
      </w:pPr>
      <w:r w:rsidRPr="00252948">
        <w:rPr>
          <w:b/>
          <w:i/>
        </w:rPr>
        <w:t>If not, can the committee comment on alternative approaches to communication of this uncertainty in the regulatory context?</w:t>
      </w:r>
    </w:p>
    <w:p w14:paraId="5EF24A60" w14:textId="3397FF8E" w:rsidR="00252948" w:rsidRPr="00252948" w:rsidRDefault="00252948" w:rsidP="00252948">
      <w:r w:rsidRPr="00252948">
        <w:t>The ACM supported inclusion of a warning or precaution statement regarding ADAs. The ACM also advised that further investigation by the sponsor should be requested, as ADAs are not adequately characterised.</w:t>
      </w:r>
    </w:p>
    <w:p w14:paraId="0FBB351F" w14:textId="2815775E" w:rsidR="00252948" w:rsidRPr="00252948" w:rsidRDefault="00D0618C" w:rsidP="00252948">
      <w:pPr>
        <w:pStyle w:val="Numberbullet0"/>
        <w:rPr>
          <w:b/>
          <w:i/>
        </w:rPr>
      </w:pPr>
      <w:r>
        <w:rPr>
          <w:b/>
          <w:i/>
        </w:rPr>
        <w:t xml:space="preserve">The </w:t>
      </w:r>
      <w:r w:rsidR="009258F9" w:rsidRPr="00252948">
        <w:rPr>
          <w:b/>
          <w:i/>
        </w:rPr>
        <w:t>IMPOWER</w:t>
      </w:r>
      <w:r w:rsidR="00252948" w:rsidRPr="00252948">
        <w:rPr>
          <w:b/>
          <w:i/>
        </w:rPr>
        <w:t>110 trial (Study GO29431</w:t>
      </w:r>
      <w:r w:rsidR="00252948">
        <w:rPr>
          <w:b/>
          <w:i/>
        </w:rPr>
        <w:t xml:space="preserve">) </w:t>
      </w:r>
      <w:r w:rsidR="00252948" w:rsidRPr="00252948">
        <w:rPr>
          <w:b/>
          <w:i/>
        </w:rPr>
        <w:t xml:space="preserve">used the companion diagnostic SP142 test to identify a population in whom this medicine was effective. Published data indicate poor inter-observer precision for higher levels of IC PD-L1 staining (that </w:t>
      </w:r>
      <w:r w:rsidR="00252948" w:rsidRPr="00252948">
        <w:rPr>
          <w:b/>
          <w:i/>
        </w:rPr>
        <w:lastRenderedPageBreak/>
        <w:t xml:space="preserve">is, IC3) amongst specifically trained pathologists </w:t>
      </w:r>
      <w:r w:rsidR="00252948" w:rsidRPr="00D0618C">
        <w:rPr>
          <w:b/>
          <w:i/>
        </w:rPr>
        <w:t xml:space="preserve">(see Hirsch et al. </w:t>
      </w:r>
      <w:r w:rsidRPr="00D0618C">
        <w:rPr>
          <w:b/>
          <w:i/>
        </w:rPr>
        <w:t>(</w:t>
      </w:r>
      <w:r w:rsidR="00252948" w:rsidRPr="00D0618C">
        <w:rPr>
          <w:b/>
          <w:i/>
        </w:rPr>
        <w:t>2017</w:t>
      </w:r>
      <w:r w:rsidRPr="00D0618C">
        <w:rPr>
          <w:b/>
          <w:i/>
        </w:rPr>
        <w:t>);</w:t>
      </w:r>
      <w:r>
        <w:rPr>
          <w:rStyle w:val="FootnoteReference"/>
          <w:b/>
          <w:i/>
        </w:rPr>
        <w:footnoteReference w:id="60"/>
      </w:r>
      <w:r w:rsidR="00252948" w:rsidRPr="00D0618C">
        <w:rPr>
          <w:b/>
          <w:i/>
        </w:rPr>
        <w:t xml:space="preserve"> and Tsao et al. </w:t>
      </w:r>
      <w:r w:rsidRPr="00D0618C">
        <w:rPr>
          <w:b/>
          <w:i/>
        </w:rPr>
        <w:t>(</w:t>
      </w:r>
      <w:r w:rsidR="00252948" w:rsidRPr="00D0618C">
        <w:rPr>
          <w:b/>
          <w:i/>
        </w:rPr>
        <w:t>2018</w:t>
      </w:r>
      <w:r w:rsidRPr="00D0618C">
        <w:rPr>
          <w:b/>
          <w:i/>
        </w:rPr>
        <w:t>)</w:t>
      </w:r>
      <w:r>
        <w:rPr>
          <w:rStyle w:val="FootnoteReference"/>
          <w:b/>
          <w:i/>
        </w:rPr>
        <w:footnoteReference w:id="61"/>
      </w:r>
      <w:r w:rsidR="00252948" w:rsidRPr="00D0618C">
        <w:rPr>
          <w:b/>
          <w:i/>
        </w:rPr>
        <w:t>)?</w:t>
      </w:r>
    </w:p>
    <w:p w14:paraId="101C295B" w14:textId="6933C5C5" w:rsidR="00252948" w:rsidRPr="00252948" w:rsidRDefault="00252948" w:rsidP="00252948">
      <w:pPr>
        <w:pStyle w:val="Numberbullet2"/>
        <w:rPr>
          <w:b/>
          <w:i/>
        </w:rPr>
      </w:pPr>
      <w:r w:rsidRPr="00252948">
        <w:rPr>
          <w:b/>
          <w:i/>
        </w:rPr>
        <w:t xml:space="preserve">Does the </w:t>
      </w:r>
      <w:r w:rsidR="009258F9" w:rsidRPr="00252948">
        <w:rPr>
          <w:b/>
          <w:i/>
        </w:rPr>
        <w:t>IMPOWER</w:t>
      </w:r>
      <w:r w:rsidRPr="00252948">
        <w:rPr>
          <w:b/>
          <w:i/>
        </w:rPr>
        <w:t>110 trial (Study GO29431) have adequate external validity in terms of being able to predict benefit for patients with IC3 according to the SP142 assay in the Australian clinical setting (including rural and remote settings)?</w:t>
      </w:r>
    </w:p>
    <w:p w14:paraId="57E249F7" w14:textId="023718F2" w:rsidR="00252948" w:rsidRDefault="00252948" w:rsidP="00252948">
      <w:r>
        <w:t>The ACM was of the view that the competence and processes within Australian laboratories are high across multiple settings and are not of specific concern. However, the major concern is about the quality of the test, rather than the settings.</w:t>
      </w:r>
    </w:p>
    <w:p w14:paraId="1F3C7980" w14:textId="16C4B17E" w:rsidR="00252948" w:rsidRDefault="00252948" w:rsidP="00252948">
      <w:r>
        <w:t xml:space="preserve">The ACM advised that the SP142 assay demonstrated poor concordance between pathologists; even between expert pulmonary pathologists with specific training in scoring IC using SP142 and hence determining IC3. Therefore, SP142 provides poor reliability to predict response to treatment. The ACM considered that there is no evidence that </w:t>
      </w:r>
      <w:r w:rsidRPr="00252948">
        <w:t>training</w:t>
      </w:r>
      <w:r>
        <w:t xml:space="preserve"> can be used to overcome this poor reproducibility. The ACM advised that other PD-L1 assays cannot be used interchangeably with SP142, as this usage is not supported by robust trial </w:t>
      </w:r>
      <w:r w:rsidRPr="00252948">
        <w:t>data</w:t>
      </w:r>
      <w:r>
        <w:t xml:space="preserve"> and they identify different populations.</w:t>
      </w:r>
    </w:p>
    <w:p w14:paraId="6E0DE522" w14:textId="12D9DD62" w:rsidR="00252948" w:rsidRPr="00252948" w:rsidRDefault="00252948" w:rsidP="00252948">
      <w:r>
        <w:t xml:space="preserve">The ACM noted that 22C3 and SP263 are widely used for testing of PD-L1 in Australian NSCLC </w:t>
      </w:r>
      <w:proofErr w:type="gramStart"/>
      <w:r>
        <w:t>samples, and</w:t>
      </w:r>
      <w:proofErr w:type="gramEnd"/>
      <w:r>
        <w:t xml:space="preserve"> identify a larger PD-L1-positive population for checkpoint inhibitor monotherapy as a treatment option than SP142 would. Presumably, using these tests rather than SP142 would give oncologists more flexibility in treatment decisions regarding monotherapy versus combined chemotherapy/immune-checkpoint inhibitor (ICI) in the absence of a direct comparison between atezolizumab and pembrolizumab monotherapy. The ACM therefore considered the proposed indication to have minimal clinical relevance in Australia.</w:t>
      </w:r>
    </w:p>
    <w:p w14:paraId="261C4E0D" w14:textId="4B0EC255" w:rsidR="00252948" w:rsidRPr="00252948" w:rsidRDefault="00252948" w:rsidP="00252948">
      <w:pPr>
        <w:pStyle w:val="Numberbullet2"/>
        <w:rPr>
          <w:b/>
          <w:i/>
        </w:rPr>
      </w:pPr>
      <w:r w:rsidRPr="00252948">
        <w:rPr>
          <w:b/>
          <w:i/>
        </w:rPr>
        <w:t>Do the validation and precision studies described in the SP142 device documentation provide reassurance regarding inter-observer reproducibility?</w:t>
      </w:r>
    </w:p>
    <w:p w14:paraId="2F234BBD" w14:textId="77777777" w:rsidR="00252948" w:rsidRDefault="00252948" w:rsidP="00252948">
      <w:r>
        <w:t xml:space="preserve">The ACM advised that the PI for the Ventana SP142 PD-L1 assay only provides data on the Ventana Reader Precision Study, which assessed the overall assay but did not provide data on TC and IC reproducibility separately. The data provided is reassuring in that overall concordance is </w:t>
      </w:r>
      <w:proofErr w:type="gramStart"/>
      <w:r>
        <w:t>similar to</w:t>
      </w:r>
      <w:proofErr w:type="gramEnd"/>
      <w:r>
        <w:t xml:space="preserve"> concordance of other PD-L1 immunohistochemistry (IHC) assays in clinical use, but insufficient to address concerns raised from all other independent studies in NSCLC regarding reproducibility of IC scoring. The ACM was of the view that the SP142 test gives inferior results and should be avoided.</w:t>
      </w:r>
    </w:p>
    <w:p w14:paraId="3228EE7B" w14:textId="4399E38F" w:rsidR="0074163C" w:rsidRDefault="0074163C" w:rsidP="0074163C">
      <w:pPr>
        <w:pStyle w:val="Heading5"/>
      </w:pPr>
      <w:r w:rsidRPr="00F73346">
        <w:t>Conclusion</w:t>
      </w:r>
    </w:p>
    <w:p w14:paraId="0B8B6490" w14:textId="77777777" w:rsidR="00741B2A" w:rsidRDefault="00741B2A" w:rsidP="00741B2A">
      <w:r>
        <w:t>The proposed indication considered by the ACM was:</w:t>
      </w:r>
    </w:p>
    <w:p w14:paraId="7D9DAFA4" w14:textId="77777777" w:rsidR="00741B2A" w:rsidRPr="00741B2A" w:rsidRDefault="00741B2A" w:rsidP="00741B2A">
      <w:pPr>
        <w:ind w:left="720"/>
        <w:rPr>
          <w:i/>
        </w:rPr>
      </w:pPr>
      <w:proofErr w:type="spellStart"/>
      <w:r w:rsidRPr="00741B2A">
        <w:rPr>
          <w:i/>
        </w:rPr>
        <w:t>Tecentriq</w:t>
      </w:r>
      <w:proofErr w:type="spellEnd"/>
      <w:r w:rsidRPr="00741B2A">
        <w:rPr>
          <w:i/>
        </w:rPr>
        <w:t xml:space="preserve"> as monotherapy is indicated for the first-line treatment of patients with metastatic NSCLC whose tumours have a PD-L1 expression ≥ 50% tumour cells (TC) or ≥ 10% tumour-infiltrating immune cells (IC) and who do not have EGFR or ALK genomic tumour aberrations.</w:t>
      </w:r>
    </w:p>
    <w:p w14:paraId="256823C9" w14:textId="77777777" w:rsidR="00741B2A" w:rsidRDefault="00741B2A" w:rsidP="00741B2A">
      <w:r>
        <w:t xml:space="preserve">The ACM concluded that </w:t>
      </w:r>
      <w:proofErr w:type="spellStart"/>
      <w:r>
        <w:t>Tecentriq</w:t>
      </w:r>
      <w:proofErr w:type="spellEnd"/>
      <w:r>
        <w:t xml:space="preserve"> had an overall negative benefit-risk profile for the proposed indication as the evidence submitted did not satisfactorily establish the quality and safety of the product for the proposed usage.</w:t>
      </w:r>
    </w:p>
    <w:p w14:paraId="01BBCB4E" w14:textId="5FB99ED2" w:rsidR="00741B2A" w:rsidRPr="00741B2A" w:rsidRDefault="00741B2A" w:rsidP="00741B2A">
      <w:r>
        <w:lastRenderedPageBreak/>
        <w:t>The ACM expressed significant concerns regarding the uncertainty of PD-L1 diagnostic testing using the SP142 antibody (particularly the reliability of the immune cell component), which is a companion diagnostic in this medicine application.</w:t>
      </w:r>
    </w:p>
    <w:p w14:paraId="44444B4B" w14:textId="5911AA11" w:rsidR="008E7846" w:rsidRPr="002E238E" w:rsidRDefault="008E7846" w:rsidP="00D212F3">
      <w:pPr>
        <w:pStyle w:val="Heading2"/>
      </w:pPr>
      <w:bookmarkStart w:id="144" w:name="_Toc110856886"/>
      <w:r>
        <w:t>Outcome</w:t>
      </w:r>
      <w:bookmarkEnd w:id="142"/>
      <w:bookmarkEnd w:id="143"/>
      <w:bookmarkEnd w:id="144"/>
    </w:p>
    <w:p w14:paraId="495ABFF3" w14:textId="2C44EB91" w:rsidR="0074163C" w:rsidRPr="00D0618C" w:rsidRDefault="0074163C" w:rsidP="00C80137">
      <w:bookmarkStart w:id="145" w:name="_Toc247691533"/>
      <w:bookmarkStart w:id="146" w:name="_Toc314842517"/>
      <w:r>
        <w:t>T</w:t>
      </w:r>
      <w:r w:rsidRPr="00E146E3">
        <w:t xml:space="preserve">he sponsor withdrew their submission on </w:t>
      </w:r>
      <w:r w:rsidR="00D0618C">
        <w:t>22 July 2021</w:t>
      </w:r>
      <w:r w:rsidRPr="00E146E3">
        <w:t xml:space="preserve"> before a decision had been made by the TGA.</w:t>
      </w:r>
      <w:bookmarkEnd w:id="145"/>
      <w:bookmarkEnd w:id="146"/>
    </w:p>
    <w:p w14:paraId="68B1CBE5" w14:textId="701D6F01" w:rsidR="00C80137" w:rsidRPr="001D043B" w:rsidRDefault="00C80137" w:rsidP="00D0618C">
      <w:pPr>
        <w:autoSpaceDE w:val="0"/>
        <w:autoSpaceDN w:val="0"/>
        <w:adjustRightInd w:val="0"/>
        <w:spacing w:after="0"/>
        <w:sectPr w:rsidR="00C80137" w:rsidRPr="001D043B" w:rsidSect="00B452CE">
          <w:headerReference w:type="even" r:id="rId38"/>
          <w:headerReference w:type="default" r:id="rId39"/>
          <w:headerReference w:type="first" r:id="rId40"/>
          <w:footerReference w:type="first" r:id="rId41"/>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487162" w14:paraId="67F5BBF9" w14:textId="77777777" w:rsidTr="00A05FA4">
        <w:trPr>
          <w:trHeight w:hRule="exact" w:val="704"/>
        </w:trPr>
        <w:tc>
          <w:tcPr>
            <w:tcW w:w="9175" w:type="dxa"/>
          </w:tcPr>
          <w:p w14:paraId="07E7F02E" w14:textId="77777777" w:rsidR="001C32CD" w:rsidRPr="00487162" w:rsidRDefault="001C32CD" w:rsidP="00A05FA4">
            <w:pPr>
              <w:pStyle w:val="TGASignoff"/>
            </w:pPr>
            <w:r w:rsidRPr="00487162">
              <w:lastRenderedPageBreak/>
              <w:t>Therapeutic Goods Administration</w:t>
            </w:r>
          </w:p>
        </w:tc>
      </w:tr>
      <w:tr w:rsidR="001C32CD" w:rsidRPr="004C239D" w14:paraId="491EECD0" w14:textId="77777777" w:rsidTr="00A05FA4">
        <w:trPr>
          <w:trHeight w:val="1221"/>
        </w:trPr>
        <w:tc>
          <w:tcPr>
            <w:tcW w:w="9175" w:type="dxa"/>
            <w:tcMar>
              <w:top w:w="28" w:type="dxa"/>
            </w:tcMar>
          </w:tcPr>
          <w:p w14:paraId="59392030" w14:textId="77777777" w:rsidR="001C32CD" w:rsidRPr="00487162" w:rsidRDefault="001C32CD" w:rsidP="00A05FA4">
            <w:pPr>
              <w:pStyle w:val="Address"/>
            </w:pPr>
            <w:r w:rsidRPr="00487162">
              <w:t>PO Box 100 Woden ACT 2606 Australia</w:t>
            </w:r>
          </w:p>
          <w:p w14:paraId="7F94BE61" w14:textId="6C74164C" w:rsidR="001C32CD" w:rsidRPr="00487162" w:rsidRDefault="001C32CD" w:rsidP="00A05FA4">
            <w:pPr>
              <w:pStyle w:val="Address"/>
            </w:pPr>
            <w:r w:rsidRPr="00487162">
              <w:t xml:space="preserve">Email: </w:t>
            </w:r>
            <w:hyperlink r:id="rId42" w:history="1">
              <w:r w:rsidRPr="004C239D">
                <w:rPr>
                  <w:rStyle w:val="Hyperlink"/>
                </w:rPr>
                <w:t>info@tga.gov.au</w:t>
              </w:r>
            </w:hyperlink>
            <w:r w:rsidRPr="00487162">
              <w:t xml:space="preserve">  Phone: 1800 020 </w:t>
            </w:r>
            <w:proofErr w:type="gramStart"/>
            <w:r w:rsidRPr="00487162">
              <w:t>653  Fax</w:t>
            </w:r>
            <w:proofErr w:type="gramEnd"/>
            <w:r w:rsidRPr="00487162">
              <w:t>: 02 6232 8605</w:t>
            </w:r>
          </w:p>
          <w:p w14:paraId="0858937E" w14:textId="3C8858BF" w:rsidR="001C32CD" w:rsidRPr="004C239D" w:rsidRDefault="00764F2D" w:rsidP="00A05FA4">
            <w:pPr>
              <w:pStyle w:val="Address"/>
              <w:spacing w:line="260" w:lineRule="atLeast"/>
              <w:rPr>
                <w:b/>
                <w:color w:val="0000FF"/>
                <w:u w:val="single"/>
              </w:rPr>
            </w:pPr>
            <w:hyperlink r:id="rId43" w:history="1">
              <w:r w:rsidR="007C6B9B" w:rsidRPr="007C6B9B">
                <w:rPr>
                  <w:rStyle w:val="Hyperlink"/>
                  <w:b/>
                </w:rPr>
                <w:t>https://www.tga.gov.au</w:t>
              </w:r>
            </w:hyperlink>
          </w:p>
        </w:tc>
      </w:tr>
    </w:tbl>
    <w:p w14:paraId="426FCF90" w14:textId="77777777" w:rsidR="00774E1D" w:rsidRPr="008A5E0B" w:rsidRDefault="00774E1D" w:rsidP="004C239D"/>
    <w:sectPr w:rsidR="00774E1D" w:rsidRPr="008A5E0B" w:rsidSect="001C32CD">
      <w:headerReference w:type="even" r:id="rId44"/>
      <w:headerReference w:type="default" r:id="rId45"/>
      <w:footerReference w:type="default" r:id="rId46"/>
      <w:headerReference w:type="first" r:id="rId47"/>
      <w:footerReference w:type="first" r:id="rId48"/>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3627054" w14:textId="77777777" w:rsidR="00764F2D" w:rsidRDefault="00764F2D" w:rsidP="00C40A36">
      <w:pPr>
        <w:spacing w:after="0"/>
      </w:pPr>
      <w:r>
        <w:separator/>
      </w:r>
    </w:p>
  </w:endnote>
  <w:endnote w:type="continuationSeparator" w:id="0">
    <w:p w14:paraId="2BD5D88E" w14:textId="77777777" w:rsidR="00764F2D" w:rsidRDefault="00764F2D"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764F2D" w:rsidRPr="00487162" w14:paraId="4A351AED" w14:textId="77777777" w:rsidTr="00DB750B">
      <w:trPr>
        <w:trHeight w:val="269"/>
      </w:trPr>
      <w:tc>
        <w:tcPr>
          <w:tcW w:w="7371" w:type="dxa"/>
          <w:tcMar>
            <w:top w:w="142" w:type="dxa"/>
            <w:bottom w:w="0" w:type="dxa"/>
          </w:tcMar>
        </w:tcPr>
        <w:p w14:paraId="0959F3F1" w14:textId="66A0A325" w:rsidR="00764F2D" w:rsidRPr="00487162" w:rsidRDefault="00764F2D" w:rsidP="007E38B6">
          <w:pPr>
            <w:pStyle w:val="Footer"/>
          </w:pPr>
          <w:proofErr w:type="spellStart"/>
          <w:r w:rsidRPr="00487162">
            <w:t>AusPA</w:t>
          </w:r>
          <w:r>
            <w:t>R</w:t>
          </w:r>
          <w:proofErr w:type="spellEnd"/>
          <w:r>
            <w:t xml:space="preserve"> - </w:t>
          </w:r>
          <w:proofErr w:type="spellStart"/>
          <w:r>
            <w:t>Tecentriq</w:t>
          </w:r>
          <w:proofErr w:type="spellEnd"/>
          <w:r>
            <w:t xml:space="preserve"> - a</w:t>
          </w:r>
          <w:r w:rsidRPr="007A1603">
            <w:t xml:space="preserve">tezolizumab </w:t>
          </w:r>
          <w:r>
            <w:t xml:space="preserve">- </w:t>
          </w:r>
          <w:r w:rsidRPr="007A1603">
            <w:t xml:space="preserve">Roche </w:t>
          </w:r>
          <w:r>
            <w:t>Products</w:t>
          </w:r>
          <w:r w:rsidRPr="007A1603">
            <w:t xml:space="preserve"> Australia Pty Ltd</w:t>
          </w:r>
          <w:r>
            <w:t xml:space="preserve"> - </w:t>
          </w:r>
          <w:r w:rsidRPr="007A1603">
            <w:t>PM-2019-05906-1-4</w:t>
          </w:r>
          <w:r>
            <w:br/>
            <w:t>Final 8 August 2022</w:t>
          </w:r>
        </w:p>
      </w:tc>
      <w:tc>
        <w:tcPr>
          <w:tcW w:w="1490" w:type="dxa"/>
          <w:tcMar>
            <w:top w:w="142" w:type="dxa"/>
            <w:bottom w:w="0" w:type="dxa"/>
          </w:tcMar>
        </w:tcPr>
        <w:p w14:paraId="5AF027D6" w14:textId="0ABA8412" w:rsidR="00764F2D" w:rsidRPr="00487162" w:rsidRDefault="00764F2D" w:rsidP="00DB750B">
          <w:pPr>
            <w:pStyle w:val="Footer"/>
            <w:jc w:val="right"/>
          </w:pPr>
          <w:r w:rsidRPr="00487162">
            <w:t xml:space="preserve">Page </w:t>
          </w:r>
          <w:r>
            <w:fldChar w:fldCharType="begin"/>
          </w:r>
          <w:r>
            <w:instrText xml:space="preserve"> PAGE  \* Arabic </w:instrText>
          </w:r>
          <w:r>
            <w:fldChar w:fldCharType="separate"/>
          </w:r>
          <w:r>
            <w:rPr>
              <w:noProof/>
            </w:rPr>
            <w:t>49</w:t>
          </w:r>
          <w:r>
            <w:fldChar w:fldCharType="end"/>
          </w:r>
          <w:r w:rsidRPr="00487162">
            <w:t xml:space="preserve"> of </w:t>
          </w:r>
          <w:fldSimple w:instr=" NUMPAGES  \* Arabic ">
            <w:r>
              <w:rPr>
                <w:noProof/>
              </w:rPr>
              <w:t>62</w:t>
            </w:r>
          </w:fldSimple>
        </w:p>
      </w:tc>
    </w:tr>
  </w:tbl>
  <w:p w14:paraId="7256DC4C" w14:textId="77777777" w:rsidR="00764F2D" w:rsidRDefault="00764F2D"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764F2D" w:rsidRPr="00487162" w14:paraId="25896619" w14:textId="77777777" w:rsidTr="00E45619">
      <w:trPr>
        <w:trHeight w:val="269"/>
      </w:trPr>
      <w:tc>
        <w:tcPr>
          <w:tcW w:w="4519" w:type="dxa"/>
          <w:tcBorders>
            <w:top w:val="single" w:sz="4" w:space="0" w:color="auto"/>
          </w:tcBorders>
          <w:tcMar>
            <w:top w:w="142" w:type="dxa"/>
            <w:bottom w:w="0" w:type="dxa"/>
          </w:tcMar>
        </w:tcPr>
        <w:p w14:paraId="0312FAAB" w14:textId="77777777" w:rsidR="00764F2D" w:rsidRPr="00487162" w:rsidRDefault="00764F2D" w:rsidP="00FE1DEE">
          <w:pPr>
            <w:pStyle w:val="Footer"/>
          </w:pPr>
          <w:r w:rsidRPr="00487162">
            <w:t>Document title, Part #, Section # - Section title</w:t>
          </w:r>
        </w:p>
        <w:p w14:paraId="0A27333D" w14:textId="77777777" w:rsidR="00764F2D" w:rsidRPr="00487162" w:rsidRDefault="00764F2D" w:rsidP="00FE1DEE">
          <w:pPr>
            <w:pStyle w:val="Footer"/>
          </w:pPr>
          <w:r w:rsidRPr="00487162">
            <w:t>V1.0 October 2010</w:t>
          </w:r>
        </w:p>
      </w:tc>
      <w:tc>
        <w:tcPr>
          <w:tcW w:w="4342" w:type="dxa"/>
          <w:tcBorders>
            <w:top w:val="single" w:sz="4" w:space="0" w:color="auto"/>
          </w:tcBorders>
          <w:tcMar>
            <w:top w:w="142" w:type="dxa"/>
            <w:bottom w:w="0" w:type="dxa"/>
          </w:tcMar>
        </w:tcPr>
        <w:p w14:paraId="1CE558B9" w14:textId="77777777" w:rsidR="00764F2D" w:rsidRPr="00487162" w:rsidRDefault="00764F2D"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fldSimple w:instr=" NUMPAGES  ">
            <w:r>
              <w:rPr>
                <w:noProof/>
              </w:rPr>
              <w:t>21</w:t>
            </w:r>
          </w:fldSimple>
        </w:p>
      </w:tc>
    </w:tr>
  </w:tbl>
  <w:p w14:paraId="231EA0D1" w14:textId="77777777" w:rsidR="00764F2D" w:rsidRDefault="00764F2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4BC0C0" w14:textId="77777777" w:rsidR="00764F2D" w:rsidRPr="001C32CD" w:rsidRDefault="00764F2D"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764F2D" w14:paraId="03D38264" w14:textId="77777777" w:rsidTr="0010601F">
      <w:trPr>
        <w:trHeight w:val="108"/>
      </w:trPr>
      <w:tc>
        <w:tcPr>
          <w:tcW w:w="8875" w:type="dxa"/>
          <w:gridSpan w:val="2"/>
          <w:tcBorders>
            <w:bottom w:val="single" w:sz="4" w:space="0" w:color="auto"/>
          </w:tcBorders>
          <w:tcMar>
            <w:right w:w="284" w:type="dxa"/>
          </w:tcMar>
        </w:tcPr>
        <w:p w14:paraId="1350CBAA" w14:textId="77777777" w:rsidR="00764F2D" w:rsidRDefault="00764F2D" w:rsidP="006E08B3">
          <w:pPr>
            <w:pStyle w:val="Heading3"/>
          </w:pPr>
          <w:r>
            <w:t>Copyright</w:t>
          </w:r>
        </w:p>
        <w:p w14:paraId="1DA1F946" w14:textId="77777777" w:rsidR="00764F2D" w:rsidRDefault="00764F2D" w:rsidP="006E08B3">
          <w:r>
            <w:rPr>
              <w:rFonts w:cs="Arial"/>
            </w:rPr>
            <w:t>©</w:t>
          </w:r>
          <w:r>
            <w:t xml:space="preserve"> Commonwealth of Australia [add year]</w:t>
          </w:r>
        </w:p>
        <w:p w14:paraId="69E4B4F7" w14:textId="77777777" w:rsidR="00764F2D" w:rsidRDefault="00764F2D" w:rsidP="006E08B3"/>
        <w:p w14:paraId="05FF4CF6" w14:textId="77777777" w:rsidR="00764F2D" w:rsidRDefault="00764F2D"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2E383C0E" w14:textId="77777777" w:rsidR="00764F2D" w:rsidRDefault="00764F2D" w:rsidP="006E08B3"/>
        <w:p w14:paraId="3E64B1E3" w14:textId="77777777" w:rsidR="00764F2D" w:rsidRDefault="00764F2D" w:rsidP="006E08B3">
          <w:pPr>
            <w:pStyle w:val="Heading3"/>
          </w:pPr>
          <w:r>
            <w:t>Confidentiality</w:t>
          </w:r>
        </w:p>
        <w:p w14:paraId="38093246" w14:textId="77777777" w:rsidR="00764F2D" w:rsidRDefault="00764F2D"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53DA74FB" w14:textId="77777777" w:rsidR="00764F2D" w:rsidRDefault="00764F2D" w:rsidP="006E08B3"/>
        <w:p w14:paraId="7EC69AF2" w14:textId="77777777" w:rsidR="00764F2D" w:rsidRDefault="00764F2D" w:rsidP="006E08B3">
          <w:r>
            <w:t>For submission made by individuals, all personal details, other than your name, will be removed from your submission before it is published on the TGA’s Internet site.</w:t>
          </w:r>
        </w:p>
        <w:p w14:paraId="243326FC" w14:textId="77777777" w:rsidR="00764F2D" w:rsidRDefault="00764F2D" w:rsidP="006E08B3"/>
        <w:p w14:paraId="596B48C5" w14:textId="25116FC6" w:rsidR="00764F2D" w:rsidRDefault="00764F2D" w:rsidP="006E08B3">
          <w:r>
            <w:t>In addition, a list of parties making submissions will be published. If you do not wish to be identified with your submission you must specifically request this in the space provided in the submission coversheet.</w:t>
          </w:r>
        </w:p>
      </w:tc>
    </w:tr>
    <w:tr w:rsidR="00764F2D" w14:paraId="006854E3" w14:textId="77777777" w:rsidTr="0010601F">
      <w:trPr>
        <w:trHeight w:val="417"/>
      </w:trPr>
      <w:tc>
        <w:tcPr>
          <w:tcW w:w="4519" w:type="dxa"/>
          <w:tcBorders>
            <w:top w:val="single" w:sz="4" w:space="0" w:color="auto"/>
          </w:tcBorders>
          <w:tcMar>
            <w:top w:w="142" w:type="dxa"/>
            <w:bottom w:w="0" w:type="dxa"/>
          </w:tcMar>
        </w:tcPr>
        <w:p w14:paraId="643DDB1E" w14:textId="77777777" w:rsidR="00764F2D" w:rsidRDefault="00764F2D" w:rsidP="006E08B3">
          <w:r>
            <w:t>Document title, Part #, Section # - Section title</w:t>
          </w:r>
        </w:p>
        <w:p w14:paraId="340BEEDB" w14:textId="77777777" w:rsidR="00764F2D" w:rsidRDefault="00764F2D" w:rsidP="006E08B3">
          <w:r>
            <w:t>V1.0 October 2010</w:t>
          </w:r>
        </w:p>
      </w:tc>
      <w:tc>
        <w:tcPr>
          <w:tcW w:w="4356" w:type="dxa"/>
          <w:tcBorders>
            <w:top w:val="single" w:sz="4" w:space="0" w:color="auto"/>
          </w:tcBorders>
          <w:tcMar>
            <w:top w:w="142" w:type="dxa"/>
            <w:bottom w:w="0" w:type="dxa"/>
          </w:tcMar>
        </w:tcPr>
        <w:p w14:paraId="48D7230C" w14:textId="77777777" w:rsidR="00764F2D" w:rsidRDefault="00764F2D"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fldSimple w:instr=" NUMPAGES  \* Arabic ">
            <w:r>
              <w:rPr>
                <w:noProof/>
              </w:rPr>
              <w:t>21</w:t>
            </w:r>
          </w:fldSimple>
          <w:r>
            <w:t xml:space="preserve">  </w:t>
          </w:r>
        </w:p>
      </w:tc>
    </w:tr>
  </w:tbl>
  <w:p w14:paraId="3D8D2D8E" w14:textId="77777777" w:rsidR="00764F2D" w:rsidRDefault="00764F2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60CC83B" w14:textId="77777777" w:rsidR="00764F2D" w:rsidRDefault="00764F2D" w:rsidP="00C40A36">
      <w:pPr>
        <w:spacing w:after="0"/>
      </w:pPr>
      <w:r>
        <w:separator/>
      </w:r>
    </w:p>
  </w:footnote>
  <w:footnote w:type="continuationSeparator" w:id="0">
    <w:p w14:paraId="0C16077C" w14:textId="77777777" w:rsidR="00764F2D" w:rsidRDefault="00764F2D" w:rsidP="00C40A36">
      <w:pPr>
        <w:spacing w:after="0"/>
      </w:pPr>
      <w:r>
        <w:continuationSeparator/>
      </w:r>
    </w:p>
  </w:footnote>
  <w:footnote w:id="1">
    <w:p w14:paraId="1F2F3966" w14:textId="5C70F514" w:rsidR="00764F2D" w:rsidRPr="00A06369" w:rsidRDefault="00764F2D" w:rsidP="00A06369">
      <w:pPr>
        <w:pStyle w:val="FootnoteText"/>
      </w:pPr>
      <w:r>
        <w:rPr>
          <w:rStyle w:val="FootnoteReference"/>
        </w:rPr>
        <w:footnoteRef/>
      </w:r>
      <w:r>
        <w:t xml:space="preserve"> World Health Organization - </w:t>
      </w:r>
      <w:proofErr w:type="spellStart"/>
      <w:r>
        <w:t>Globocan</w:t>
      </w:r>
      <w:proofErr w:type="spellEnd"/>
      <w:r>
        <w:t xml:space="preserve"> (2018). Factsheet for lung cancer. </w:t>
      </w:r>
      <w:r w:rsidRPr="004026A2">
        <w:t xml:space="preserve">Available </w:t>
      </w:r>
      <w:r>
        <w:t xml:space="preserve">at: </w:t>
      </w:r>
      <w:hyperlink r:id="rId1" w:history="1">
        <w:r w:rsidRPr="00912A01">
          <w:rPr>
            <w:rStyle w:val="Hyperlink"/>
          </w:rPr>
          <w:t>https://gco.iarc.fr/today/data/factsheets/cancers/15-Lung-fact-sheet.pdf</w:t>
        </w:r>
      </w:hyperlink>
      <w:r>
        <w:t>.</w:t>
      </w:r>
    </w:p>
  </w:footnote>
  <w:footnote w:id="2">
    <w:p w14:paraId="16164D45" w14:textId="077FAB78" w:rsidR="00764F2D" w:rsidRPr="00A06369" w:rsidRDefault="00764F2D" w:rsidP="00A06369">
      <w:pPr>
        <w:pStyle w:val="FootnoteText"/>
      </w:pPr>
      <w:r>
        <w:rPr>
          <w:rStyle w:val="FootnoteReference"/>
        </w:rPr>
        <w:footnoteRef/>
      </w:r>
      <w:r>
        <w:t xml:space="preserve"> Walters, S. et al. Lung Cancer Survival and Stage at Diagnosis in Australia, Canada, Denmark, Norway, Sweden and the UK: </w:t>
      </w:r>
      <w:proofErr w:type="gramStart"/>
      <w:r>
        <w:t>a</w:t>
      </w:r>
      <w:proofErr w:type="gramEnd"/>
      <w:r>
        <w:t xml:space="preserve"> Population-Based Study, 2004-2007, </w:t>
      </w:r>
      <w:r w:rsidRPr="00A06369">
        <w:rPr>
          <w:i/>
        </w:rPr>
        <w:t>Thorax</w:t>
      </w:r>
      <w:r>
        <w:rPr>
          <w:i/>
        </w:rPr>
        <w:t>,</w:t>
      </w:r>
      <w:r>
        <w:t xml:space="preserve"> 2013; 68(6): 551-564.</w:t>
      </w:r>
    </w:p>
  </w:footnote>
  <w:footnote w:id="3">
    <w:p w14:paraId="4B892130" w14:textId="396D130A" w:rsidR="00764F2D" w:rsidRPr="00A06369" w:rsidRDefault="00764F2D">
      <w:pPr>
        <w:pStyle w:val="FootnoteText"/>
        <w:rPr>
          <w:lang w:val="en-GB"/>
        </w:rPr>
      </w:pPr>
      <w:r>
        <w:rPr>
          <w:rStyle w:val="FootnoteReference"/>
        </w:rPr>
        <w:footnoteRef/>
      </w:r>
      <w:r>
        <w:t xml:space="preserve"> </w:t>
      </w:r>
      <w:proofErr w:type="spellStart"/>
      <w:r>
        <w:t>Lilenbaum</w:t>
      </w:r>
      <w:proofErr w:type="spellEnd"/>
      <w:r>
        <w:t xml:space="preserve">, R.C. (2020) Systemic Chemotherapy for Advanced Non-small Cell Lung Cancer. Last updated 4 February 2020. </w:t>
      </w:r>
      <w:r w:rsidRPr="004026A2">
        <w:t xml:space="preserve">Available </w:t>
      </w:r>
      <w:r>
        <w:t xml:space="preserve">at: </w:t>
      </w:r>
      <w:hyperlink r:id="rId2" w:history="1">
        <w:r w:rsidRPr="00815FEF">
          <w:rPr>
            <w:rStyle w:val="Hyperlink"/>
          </w:rPr>
          <w:t>https://www.uptodate.com/contents/systemic-chemotherapy-for-advanced-non-small-cell-lung-cancer</w:t>
        </w:r>
      </w:hyperlink>
      <w:r>
        <w:t>.</w:t>
      </w:r>
    </w:p>
  </w:footnote>
  <w:footnote w:id="4">
    <w:p w14:paraId="22EC8443" w14:textId="3947DA6F" w:rsidR="00764F2D" w:rsidRPr="00A81BA6" w:rsidRDefault="00764F2D" w:rsidP="00A81BA6">
      <w:pPr>
        <w:pStyle w:val="FootnoteText"/>
      </w:pPr>
      <w:r>
        <w:rPr>
          <w:rStyle w:val="FootnoteReference"/>
        </w:rPr>
        <w:footnoteRef/>
      </w:r>
      <w:r>
        <w:t xml:space="preserve"> Hellman, M. and West, H.J. (2020). Management of Advanced Non-small Cell Lung Cancer Lacking a Driver Mutation: Immunotherapy, Last updated 25 June 2020. </w:t>
      </w:r>
      <w:r w:rsidRPr="004026A2">
        <w:t xml:space="preserve">Available </w:t>
      </w:r>
      <w:r>
        <w:t xml:space="preserve">at: </w:t>
      </w:r>
      <w:hyperlink r:id="rId3" w:history="1">
        <w:r w:rsidRPr="00815FEF">
          <w:rPr>
            <w:rStyle w:val="Hyperlink"/>
          </w:rPr>
          <w:t>https://www.uptodate.com/contents/management-of-advanced-non-small-cell-lung-cancer-lacking-a-driver-mutation-immunotherapy</w:t>
        </w:r>
      </w:hyperlink>
      <w:r>
        <w:t>.</w:t>
      </w:r>
    </w:p>
  </w:footnote>
  <w:footnote w:id="5">
    <w:p w14:paraId="5AB1AAAE" w14:textId="4476713A" w:rsidR="00764F2D" w:rsidRPr="00A81BA6" w:rsidRDefault="00764F2D" w:rsidP="00A81BA6">
      <w:pPr>
        <w:pStyle w:val="FootnoteText"/>
        <w:rPr>
          <w:lang w:val="en-GB"/>
        </w:rPr>
      </w:pPr>
      <w:r>
        <w:rPr>
          <w:rStyle w:val="FootnoteReference"/>
        </w:rPr>
        <w:footnoteRef/>
      </w:r>
      <w:r>
        <w:t xml:space="preserve"> Wagner, G. et al. Efficacy and Safety of Immune Checkpoint Inhibitors in Patients with Advanced Non-small Cell Lung Cancer (NSCLC): A Systematic Literature Review, </w:t>
      </w:r>
      <w:proofErr w:type="spellStart"/>
      <w:r w:rsidRPr="00B50F71">
        <w:rPr>
          <w:i/>
          <w:iCs/>
        </w:rPr>
        <w:t>Oncoimmunology</w:t>
      </w:r>
      <w:proofErr w:type="spellEnd"/>
      <w:r>
        <w:t>, 2020; 9(1): 1774314.</w:t>
      </w:r>
    </w:p>
  </w:footnote>
  <w:footnote w:id="6">
    <w:p w14:paraId="02E04E2C" w14:textId="26075606" w:rsidR="00764F2D" w:rsidRPr="00476E55" w:rsidRDefault="00764F2D">
      <w:pPr>
        <w:pStyle w:val="FootnoteText"/>
        <w:rPr>
          <w:lang w:val="en-GB"/>
        </w:rPr>
      </w:pPr>
      <w:r>
        <w:rPr>
          <w:rStyle w:val="FootnoteReference"/>
        </w:rPr>
        <w:footnoteRef/>
      </w:r>
      <w:r>
        <w:t xml:space="preserve"> The </w:t>
      </w:r>
      <w:proofErr w:type="spellStart"/>
      <w:r>
        <w:t>Dako</w:t>
      </w:r>
      <w:proofErr w:type="spellEnd"/>
      <w:r>
        <w:t xml:space="preserve"> </w:t>
      </w:r>
      <w:r w:rsidRPr="00646358">
        <w:t xml:space="preserve">PD-L1 IHC 22C3 </w:t>
      </w:r>
      <w:proofErr w:type="spellStart"/>
      <w:r w:rsidRPr="00646358">
        <w:t>pharmDx</w:t>
      </w:r>
      <w:proofErr w:type="spellEnd"/>
      <w:r w:rsidRPr="00646358">
        <w:t xml:space="preserve"> is a qualitative immunohistochemical assay using monoclonal mouse anti-PD-L1, Clone 22C3, intended for use in the detection of PD-L1 protein in formalin-fixed, paraffin-embedded (FFPE) non-small cell lung cancer (NSCLC), urothelial carcinoma, </w:t>
      </w:r>
      <w:proofErr w:type="spellStart"/>
      <w:r w:rsidRPr="00646358">
        <w:t>esophageal</w:t>
      </w:r>
      <w:proofErr w:type="spellEnd"/>
      <w:r w:rsidRPr="00646358">
        <w:t xml:space="preserve"> cancer, </w:t>
      </w:r>
      <w:proofErr w:type="gramStart"/>
      <w:r w:rsidRPr="00646358">
        <w:t>head</w:t>
      </w:r>
      <w:proofErr w:type="gramEnd"/>
      <w:r w:rsidRPr="00646358">
        <w:t xml:space="preserve"> and neck squamous cell carcinoma (HNSCC), triple-negative breast cancer (TNBC), cervical cancer, and melanoma tissues using </w:t>
      </w:r>
      <w:proofErr w:type="spellStart"/>
      <w:r w:rsidRPr="00646358">
        <w:t>EnVision</w:t>
      </w:r>
      <w:proofErr w:type="spellEnd"/>
      <w:r w:rsidRPr="00646358">
        <w:t xml:space="preserve"> FLEX visualization system on </w:t>
      </w:r>
      <w:proofErr w:type="spellStart"/>
      <w:r w:rsidRPr="00646358">
        <w:t>Autostainer</w:t>
      </w:r>
      <w:proofErr w:type="spellEnd"/>
      <w:r w:rsidRPr="00646358">
        <w:t xml:space="preserve"> Link 48.</w:t>
      </w:r>
      <w:r>
        <w:t xml:space="preserve"> </w:t>
      </w:r>
      <w:r w:rsidRPr="00646358">
        <w:t xml:space="preserve">PD-L1 IHC 22C3 </w:t>
      </w:r>
      <w:proofErr w:type="spellStart"/>
      <w:r w:rsidRPr="00646358">
        <w:t>pharmDx</w:t>
      </w:r>
      <w:proofErr w:type="spellEnd"/>
      <w:r w:rsidRPr="00646358">
        <w:t xml:space="preserve"> </w:t>
      </w:r>
      <w:r>
        <w:t>(</w:t>
      </w:r>
      <w:r w:rsidRPr="00646358">
        <w:t>Instructions for Use</w:t>
      </w:r>
      <w:r>
        <w:t>)</w:t>
      </w:r>
      <w:r w:rsidRPr="00646358">
        <w:t>. Santa Clara, CA: Agilent Technologies, Inc.; 2022.</w:t>
      </w:r>
    </w:p>
  </w:footnote>
  <w:footnote w:id="7">
    <w:p w14:paraId="6825C497" w14:textId="306531FC" w:rsidR="00764F2D" w:rsidRPr="00A81BA6" w:rsidRDefault="00764F2D" w:rsidP="00A81BA6">
      <w:pPr>
        <w:pStyle w:val="FootnoteText"/>
      </w:pPr>
      <w:r>
        <w:rPr>
          <w:rStyle w:val="FootnoteReference"/>
        </w:rPr>
        <w:footnoteRef/>
      </w:r>
      <w:r>
        <w:t xml:space="preserve"> Hanna, N.H. et al. Therapy for Stage IV Non-small-cell Lung Cancer without Driver Alterations: ASCO and OH (CCO) Joint Guideline Update, </w:t>
      </w:r>
      <w:r w:rsidRPr="00B50F71">
        <w:rPr>
          <w:i/>
          <w:iCs/>
        </w:rPr>
        <w:t>J Clin Oncol</w:t>
      </w:r>
      <w:r>
        <w:t>, 2020; 38(14): 1608-1632.</w:t>
      </w:r>
    </w:p>
  </w:footnote>
  <w:footnote w:id="8">
    <w:p w14:paraId="13EC1E43" w14:textId="29651C78" w:rsidR="00764F2D" w:rsidRPr="00A81BA6" w:rsidRDefault="00764F2D">
      <w:pPr>
        <w:pStyle w:val="FootnoteText"/>
        <w:rPr>
          <w:lang w:val="en-GB"/>
        </w:rPr>
      </w:pPr>
      <w:r>
        <w:rPr>
          <w:rStyle w:val="FootnoteReference"/>
        </w:rPr>
        <w:footnoteRef/>
      </w:r>
      <w:r>
        <w:t xml:space="preserve"> Approved Australian Product Information for pembrolizumab (Keytruda), dated February 2021.</w:t>
      </w:r>
    </w:p>
  </w:footnote>
  <w:footnote w:id="9">
    <w:p w14:paraId="1D909403" w14:textId="3EEF5D5E" w:rsidR="00764F2D" w:rsidRPr="004C0A2D" w:rsidRDefault="00764F2D">
      <w:pPr>
        <w:pStyle w:val="FootnoteText"/>
        <w:rPr>
          <w:lang w:val="en-GB"/>
        </w:rPr>
      </w:pPr>
      <w:r>
        <w:rPr>
          <w:rStyle w:val="FootnoteReference"/>
        </w:rPr>
        <w:footnoteRef/>
      </w:r>
      <w:r>
        <w:t xml:space="preserve"> </w:t>
      </w:r>
      <w:proofErr w:type="spellStart"/>
      <w:r>
        <w:rPr>
          <w:lang w:val="en-GB"/>
        </w:rPr>
        <w:t>AusPAR</w:t>
      </w:r>
      <w:proofErr w:type="spellEnd"/>
      <w:r>
        <w:rPr>
          <w:lang w:val="en-GB"/>
        </w:rPr>
        <w:t xml:space="preserve"> for </w:t>
      </w:r>
      <w:proofErr w:type="spellStart"/>
      <w:r>
        <w:t>Tecentriq</w:t>
      </w:r>
      <w:proofErr w:type="spellEnd"/>
      <w:r>
        <w:t xml:space="preserve"> (atezolizumab)</w:t>
      </w:r>
      <w:r w:rsidRPr="00164A78">
        <w:t xml:space="preserve"> new biological entity</w:t>
      </w:r>
      <w:r>
        <w:t xml:space="preserve">, published on </w:t>
      </w:r>
      <w:r w:rsidRPr="00164A78">
        <w:t>3 October 2018</w:t>
      </w:r>
      <w:r>
        <w:t>. Available at: </w:t>
      </w:r>
      <w:hyperlink r:id="rId4" w:history="1">
        <w:r w:rsidRPr="00815FEF">
          <w:rPr>
            <w:rStyle w:val="Hyperlink"/>
          </w:rPr>
          <w:t>https://www.tga.gov.au/auspar/auspar-atezolizumab</w:t>
        </w:r>
      </w:hyperlink>
      <w:r>
        <w:t>.</w:t>
      </w:r>
    </w:p>
  </w:footnote>
  <w:footnote w:id="10">
    <w:p w14:paraId="3F757DA8" w14:textId="75BC75D4" w:rsidR="00764F2D" w:rsidRPr="00D574CF" w:rsidRDefault="00764F2D" w:rsidP="001C2419">
      <w:pPr>
        <w:pStyle w:val="FootnoteText"/>
      </w:pPr>
      <w:r>
        <w:rPr>
          <w:rStyle w:val="FootnoteReference"/>
        </w:rPr>
        <w:footnoteRef/>
      </w:r>
      <w:r>
        <w:t xml:space="preserve"> </w:t>
      </w:r>
      <w:r w:rsidRPr="00D574CF">
        <w:t xml:space="preserve">A Study of Atezolizumab (MPDL3280A) Compared </w:t>
      </w:r>
      <w:r>
        <w:t>w</w:t>
      </w:r>
      <w:r w:rsidRPr="00D574CF">
        <w:t xml:space="preserve">ith a Platinum Agent (Cisplatin or Carboplatin) + (Pemetrexed or Gemcitabine) in Participants </w:t>
      </w:r>
      <w:r>
        <w:t>w</w:t>
      </w:r>
      <w:r w:rsidRPr="00D574CF">
        <w:t>ith Stage IV Non-</w:t>
      </w:r>
      <w:r>
        <w:t>s</w:t>
      </w:r>
      <w:r w:rsidRPr="00D574CF">
        <w:t>quamous or Squamous Non-</w:t>
      </w:r>
      <w:r>
        <w:t>s</w:t>
      </w:r>
      <w:r w:rsidRPr="00D574CF">
        <w:t xml:space="preserve">mall Cell Lung Cancer (NSCLC) </w:t>
      </w:r>
      <w:r>
        <w:t>(</w:t>
      </w:r>
      <w:r w:rsidRPr="00D574CF">
        <w:t>IMpower110</w:t>
      </w:r>
      <w:r>
        <w:t xml:space="preserve">). </w:t>
      </w:r>
      <w:r w:rsidRPr="00D574CF">
        <w:t>ClinicalTrials.gov Identifier: NCT02409342</w:t>
      </w:r>
      <w:r>
        <w:t>; Study ID: GO29431; EudraCT Number: 2014</w:t>
      </w:r>
      <w:r>
        <w:noBreakHyphen/>
        <w:t xml:space="preserve">003083-21. Available at: </w:t>
      </w:r>
      <w:hyperlink r:id="rId5" w:history="1">
        <w:r w:rsidRPr="00815FEF">
          <w:rPr>
            <w:rStyle w:val="Hyperlink"/>
          </w:rPr>
          <w:t>https://clinicaltrials.gov/ct2/show/NCT02409342</w:t>
        </w:r>
      </w:hyperlink>
      <w:r>
        <w:t>.</w:t>
      </w:r>
    </w:p>
  </w:footnote>
  <w:footnote w:id="11">
    <w:p w14:paraId="300723C4" w14:textId="76568D8C" w:rsidR="00764F2D" w:rsidRDefault="00764F2D">
      <w:pPr>
        <w:pStyle w:val="FootnoteText"/>
      </w:pPr>
      <w:r>
        <w:rPr>
          <w:rStyle w:val="FootnoteReference"/>
        </w:rPr>
        <w:footnoteRef/>
      </w:r>
      <w:r>
        <w:t xml:space="preserve"> </w:t>
      </w:r>
      <w:r w:rsidRPr="00BB1C3D">
        <w:t xml:space="preserve">The </w:t>
      </w:r>
      <w:r w:rsidRPr="00B50F71">
        <w:rPr>
          <w:b/>
          <w:bCs/>
        </w:rPr>
        <w:t xml:space="preserve">Response Evaluation Criteria </w:t>
      </w:r>
      <w:proofErr w:type="gramStart"/>
      <w:r w:rsidRPr="00B50F71">
        <w:rPr>
          <w:b/>
          <w:bCs/>
        </w:rPr>
        <w:t>In</w:t>
      </w:r>
      <w:proofErr w:type="gramEnd"/>
      <w:r w:rsidRPr="00B50F71">
        <w:rPr>
          <w:b/>
          <w:bCs/>
        </w:rPr>
        <w:t xml:space="preserve"> Solid Tumours (RECIST)</w:t>
      </w:r>
      <w:r w:rsidRPr="00BB1C3D">
        <w:t xml:space="preserve"> is a voluntary international standard with unified and easily applicable criteria to define when a patient's tumour has improved ('respond'), stayed the same ('stabilise'), or worsened ('progress') during treatment. The criteria were published in February 2000 by an international collaboration including the European Organisation for Research and Treatment of Cancer (EORTC), National Cancer Institute (NCI) of the United States, and the National Cancer Institute of Canada Clinical Trials Group. Today, </w:t>
      </w:r>
      <w:proofErr w:type="gramStart"/>
      <w:r w:rsidRPr="00BB1C3D">
        <w:t>the majority of</w:t>
      </w:r>
      <w:proofErr w:type="gramEnd"/>
      <w:r w:rsidRPr="00BB1C3D">
        <w:t> clinical trials evaluating cancer treatments for objective response in solid tumours use RECIST. These criteria were developed and published in February 2000, and subsequently updated in 2009.</w:t>
      </w:r>
    </w:p>
  </w:footnote>
  <w:footnote w:id="12">
    <w:p w14:paraId="203D337E" w14:textId="3F6BC90F" w:rsidR="00764F2D" w:rsidRPr="00525A82" w:rsidRDefault="00764F2D" w:rsidP="00525A82">
      <w:pPr>
        <w:pStyle w:val="FootnoteText"/>
      </w:pPr>
      <w:r>
        <w:rPr>
          <w:rStyle w:val="FootnoteReference"/>
        </w:rPr>
        <w:footnoteRef/>
      </w:r>
      <w:r>
        <w:t xml:space="preserve"> </w:t>
      </w:r>
      <w:proofErr w:type="spellStart"/>
      <w:r>
        <w:t>Barlesi</w:t>
      </w:r>
      <w:proofErr w:type="spellEnd"/>
      <w:r>
        <w:t>, F. et al. Primary Analysis from OAK, a Randomized Phase III Study Comparing Atezolizumab with Docetaxel in 2L/3L NSCLC (abstract). European Society of Medical Oncology Meeting 2016: abstract LBA44 PR.</w:t>
      </w:r>
    </w:p>
  </w:footnote>
  <w:footnote w:id="13">
    <w:p w14:paraId="666DF025" w14:textId="163434A3" w:rsidR="00764F2D" w:rsidRPr="00525A82" w:rsidRDefault="00764F2D">
      <w:pPr>
        <w:pStyle w:val="FootnoteText"/>
      </w:pPr>
      <w:r>
        <w:rPr>
          <w:rStyle w:val="FootnoteReference"/>
        </w:rPr>
        <w:footnoteRef/>
      </w:r>
      <w:r>
        <w:t xml:space="preserve"> </w:t>
      </w:r>
      <w:proofErr w:type="spellStart"/>
      <w:r>
        <w:t>Borghaei</w:t>
      </w:r>
      <w:proofErr w:type="spellEnd"/>
      <w:r>
        <w:t xml:space="preserve">, H. et al. Nivolumab Versus Docetaxel in Advanced </w:t>
      </w:r>
      <w:proofErr w:type="spellStart"/>
      <w:r>
        <w:t>Nonsquamous</w:t>
      </w:r>
      <w:proofErr w:type="spellEnd"/>
      <w:r>
        <w:t xml:space="preserve"> Non-small-cell Lung Cancer, </w:t>
      </w:r>
      <w:r w:rsidRPr="00B50F71">
        <w:rPr>
          <w:i/>
          <w:iCs/>
        </w:rPr>
        <w:t xml:space="preserve">N </w:t>
      </w:r>
      <w:proofErr w:type="spellStart"/>
      <w:r w:rsidRPr="00B50F71">
        <w:rPr>
          <w:i/>
          <w:iCs/>
        </w:rPr>
        <w:t>Engl</w:t>
      </w:r>
      <w:proofErr w:type="spellEnd"/>
      <w:r w:rsidRPr="00B50F71">
        <w:rPr>
          <w:i/>
          <w:iCs/>
        </w:rPr>
        <w:t xml:space="preserve"> J Med</w:t>
      </w:r>
      <w:r>
        <w:t>, 2015; 373: 1627-1639.</w:t>
      </w:r>
    </w:p>
  </w:footnote>
  <w:footnote w:id="14">
    <w:p w14:paraId="45B5E366" w14:textId="405EE048" w:rsidR="00764F2D" w:rsidRPr="00525A82" w:rsidRDefault="00764F2D">
      <w:pPr>
        <w:pStyle w:val="FootnoteText"/>
        <w:rPr>
          <w:lang w:val="en-GB"/>
        </w:rPr>
      </w:pPr>
      <w:r>
        <w:rPr>
          <w:rStyle w:val="FootnoteReference"/>
        </w:rPr>
        <w:footnoteRef/>
      </w:r>
      <w:r>
        <w:t xml:space="preserve"> Herbst, R.S. et al. Pembrolizumab Versus Docetaxel for Previously Treated, PD-L1-Positive, Advanced Non</w:t>
      </w:r>
      <w:r>
        <w:noBreakHyphen/>
        <w:t xml:space="preserve">small-cell Lung Cancer (KEYNOTE-010): </w:t>
      </w:r>
      <w:proofErr w:type="gramStart"/>
      <w:r>
        <w:t>a</w:t>
      </w:r>
      <w:proofErr w:type="gramEnd"/>
      <w:r>
        <w:t xml:space="preserve"> Randomized Controlled Trial, </w:t>
      </w:r>
      <w:r w:rsidRPr="00B50F71">
        <w:rPr>
          <w:i/>
          <w:iCs/>
        </w:rPr>
        <w:t>Lancet</w:t>
      </w:r>
      <w:r>
        <w:t>, 2016; 387: 1540-1550.</w:t>
      </w:r>
    </w:p>
  </w:footnote>
  <w:footnote w:id="15">
    <w:p w14:paraId="3CA9C9D8" w14:textId="0BC06860" w:rsidR="00764F2D" w:rsidRDefault="00764F2D" w:rsidP="0035143E">
      <w:pPr>
        <w:pStyle w:val="FootnoteText"/>
      </w:pPr>
      <w:r>
        <w:rPr>
          <w:rStyle w:val="FootnoteReference"/>
        </w:rPr>
        <w:footnoteRef/>
      </w:r>
      <w:r>
        <w:t xml:space="preserve"> </w:t>
      </w:r>
      <w:r w:rsidRPr="00B50F71">
        <w:rPr>
          <w:b/>
          <w:bCs/>
        </w:rPr>
        <w:t>Eastern Cooperative Oncology Group (ECOG) Performance Status</w:t>
      </w:r>
      <w:r>
        <w:t>: The ECOG has developed criteria used by doctors and researchers to assess how a patient's disease is progressing, assess how the disease affects the daily living abilities of the patient, and determine appropriate treatment and prognosis. The following are used:</w:t>
      </w:r>
    </w:p>
    <w:p w14:paraId="58B14673" w14:textId="77777777" w:rsidR="00764F2D" w:rsidRDefault="00764F2D" w:rsidP="0035143E">
      <w:pPr>
        <w:pStyle w:val="FootnoteText"/>
      </w:pPr>
      <w:r>
        <w:t>0 - Fully active, able to carry on all pre-disease performance without restriction</w:t>
      </w:r>
    </w:p>
    <w:p w14:paraId="23E88198" w14:textId="77777777" w:rsidR="00764F2D" w:rsidRDefault="00764F2D" w:rsidP="0035143E">
      <w:pPr>
        <w:pStyle w:val="FootnoteText"/>
      </w:pPr>
      <w:r>
        <w:t xml:space="preserve">1- Restricted in physically strenuous activity but ambulatory and able to carry out work of a light or sedentary nature, for example, light </w:t>
      </w:r>
      <w:proofErr w:type="gramStart"/>
      <w:r>
        <w:t>house work</w:t>
      </w:r>
      <w:proofErr w:type="gramEnd"/>
      <w:r>
        <w:t>, office work</w:t>
      </w:r>
    </w:p>
    <w:p w14:paraId="29C07990" w14:textId="77777777" w:rsidR="00764F2D" w:rsidRDefault="00764F2D" w:rsidP="0035143E">
      <w:pPr>
        <w:pStyle w:val="FootnoteText"/>
      </w:pPr>
      <w:r>
        <w:t>2 - Ambulatory and capable of all selfcare but unable to carry out any work activities. Up and about more than 50% of waking hours</w:t>
      </w:r>
    </w:p>
    <w:p w14:paraId="58045EE1" w14:textId="77777777" w:rsidR="00764F2D" w:rsidRDefault="00764F2D" w:rsidP="0035143E">
      <w:pPr>
        <w:pStyle w:val="FootnoteText"/>
      </w:pPr>
      <w:r>
        <w:t>3 - Capable of only limited selfcare, confined to bed or chair more than 50% of waking hours</w:t>
      </w:r>
    </w:p>
    <w:p w14:paraId="3AB8C836" w14:textId="77777777" w:rsidR="00764F2D" w:rsidRDefault="00764F2D" w:rsidP="0035143E">
      <w:pPr>
        <w:pStyle w:val="FootnoteText"/>
      </w:pPr>
      <w:r>
        <w:t>4 - Completely disabled. Cannot carry on any selfcare. Totally confined to bed or chair</w:t>
      </w:r>
    </w:p>
    <w:p w14:paraId="262C1604" w14:textId="5DE59DBA" w:rsidR="00764F2D" w:rsidRDefault="00764F2D" w:rsidP="0035143E">
      <w:pPr>
        <w:pStyle w:val="FootnoteText"/>
      </w:pPr>
      <w:r>
        <w:t>5 – Dead</w:t>
      </w:r>
    </w:p>
  </w:footnote>
  <w:footnote w:id="16">
    <w:p w14:paraId="0D2FD939" w14:textId="42FE4EB2" w:rsidR="00764F2D" w:rsidRDefault="00764F2D">
      <w:pPr>
        <w:pStyle w:val="FootnoteText"/>
      </w:pPr>
      <w:r>
        <w:rPr>
          <w:rStyle w:val="FootnoteReference"/>
        </w:rPr>
        <w:footnoteRef/>
      </w:r>
      <w:r>
        <w:t xml:space="preserve"> </w:t>
      </w:r>
      <w:r w:rsidRPr="00725DB0">
        <w:t xml:space="preserve">Randomised clinical trials analysed by the </w:t>
      </w:r>
      <w:r w:rsidRPr="00B50F71">
        <w:rPr>
          <w:b/>
          <w:bCs/>
        </w:rPr>
        <w:t>intent-to-treat (ITT)</w:t>
      </w:r>
      <w:r w:rsidRPr="00725DB0">
        <w:t xml:space="preserve"> approach provide the unbiased comparisons among the treatment groups. In the ITT population, none of the patients are excluded and the patients are analysed according to the randomisation scheme.</w:t>
      </w:r>
    </w:p>
  </w:footnote>
  <w:footnote w:id="17">
    <w:p w14:paraId="22F11827" w14:textId="19740A1B" w:rsidR="00764F2D" w:rsidRPr="00210E11" w:rsidRDefault="00764F2D" w:rsidP="00210E11">
      <w:pPr>
        <w:pStyle w:val="EndnoteText"/>
      </w:pPr>
      <w:r>
        <w:rPr>
          <w:rStyle w:val="FootnoteReference"/>
        </w:rPr>
        <w:footnoteRef/>
      </w:r>
      <w:r>
        <w:t xml:space="preserve"> </w:t>
      </w:r>
      <w:r w:rsidRPr="00210E11">
        <w:rPr>
          <w:sz w:val="18"/>
        </w:rPr>
        <w:t>Liu</w:t>
      </w:r>
      <w:r>
        <w:rPr>
          <w:sz w:val="18"/>
        </w:rPr>
        <w:t>,</w:t>
      </w:r>
      <w:r w:rsidRPr="00210E11">
        <w:rPr>
          <w:sz w:val="18"/>
        </w:rPr>
        <w:t xml:space="preserve"> C</w:t>
      </w:r>
      <w:r>
        <w:rPr>
          <w:sz w:val="18"/>
        </w:rPr>
        <w:t>.</w:t>
      </w:r>
      <w:r w:rsidRPr="00210E11">
        <w:rPr>
          <w:sz w:val="18"/>
        </w:rPr>
        <w:t xml:space="preserve"> et al. Association of </w:t>
      </w:r>
      <w:r>
        <w:rPr>
          <w:sz w:val="18"/>
        </w:rPr>
        <w:t>T</w:t>
      </w:r>
      <w:r w:rsidRPr="00210E11">
        <w:rPr>
          <w:sz w:val="18"/>
        </w:rPr>
        <w:t>ime-</w:t>
      </w:r>
      <w:r>
        <w:rPr>
          <w:sz w:val="18"/>
        </w:rPr>
        <w:t>v</w:t>
      </w:r>
      <w:r w:rsidRPr="00210E11">
        <w:rPr>
          <w:sz w:val="18"/>
        </w:rPr>
        <w:t xml:space="preserve">arying </w:t>
      </w:r>
      <w:r>
        <w:rPr>
          <w:sz w:val="18"/>
        </w:rPr>
        <w:t>C</w:t>
      </w:r>
      <w:r w:rsidRPr="00210E11">
        <w:rPr>
          <w:sz w:val="18"/>
        </w:rPr>
        <w:t xml:space="preserve">learance of </w:t>
      </w:r>
      <w:r>
        <w:rPr>
          <w:sz w:val="18"/>
        </w:rPr>
        <w:t>N</w:t>
      </w:r>
      <w:r w:rsidRPr="00210E11">
        <w:rPr>
          <w:sz w:val="18"/>
        </w:rPr>
        <w:t xml:space="preserve">ivolumab </w:t>
      </w:r>
      <w:r>
        <w:rPr>
          <w:sz w:val="18"/>
        </w:rPr>
        <w:t>wi</w:t>
      </w:r>
      <w:r w:rsidRPr="00210E11">
        <w:rPr>
          <w:sz w:val="18"/>
        </w:rPr>
        <w:t xml:space="preserve">th </w:t>
      </w:r>
      <w:r>
        <w:rPr>
          <w:sz w:val="18"/>
        </w:rPr>
        <w:t>D</w:t>
      </w:r>
      <w:r w:rsidRPr="00210E11">
        <w:rPr>
          <w:sz w:val="18"/>
        </w:rPr>
        <w:t xml:space="preserve">isease </w:t>
      </w:r>
      <w:r>
        <w:rPr>
          <w:sz w:val="18"/>
        </w:rPr>
        <w:t>D</w:t>
      </w:r>
      <w:r w:rsidRPr="00210E11">
        <w:rPr>
          <w:sz w:val="18"/>
        </w:rPr>
        <w:t xml:space="preserve">ynamics and </w:t>
      </w:r>
      <w:r>
        <w:rPr>
          <w:sz w:val="18"/>
        </w:rPr>
        <w:t>I</w:t>
      </w:r>
      <w:r w:rsidRPr="00210E11">
        <w:rPr>
          <w:sz w:val="18"/>
        </w:rPr>
        <w:t xml:space="preserve">ts </w:t>
      </w:r>
      <w:r>
        <w:rPr>
          <w:sz w:val="18"/>
        </w:rPr>
        <w:t>I</w:t>
      </w:r>
      <w:r w:rsidRPr="00210E11">
        <w:rPr>
          <w:sz w:val="18"/>
        </w:rPr>
        <w:t xml:space="preserve">mplications on </w:t>
      </w:r>
      <w:r>
        <w:rPr>
          <w:sz w:val="18"/>
        </w:rPr>
        <w:t>E</w:t>
      </w:r>
      <w:r w:rsidRPr="00210E11">
        <w:rPr>
          <w:sz w:val="18"/>
        </w:rPr>
        <w:t xml:space="preserve">xposure </w:t>
      </w:r>
      <w:r>
        <w:rPr>
          <w:sz w:val="18"/>
        </w:rPr>
        <w:t>R</w:t>
      </w:r>
      <w:r w:rsidRPr="00210E11">
        <w:rPr>
          <w:sz w:val="18"/>
        </w:rPr>
        <w:t xml:space="preserve">esponse </w:t>
      </w:r>
      <w:r>
        <w:rPr>
          <w:sz w:val="18"/>
        </w:rPr>
        <w:t>A</w:t>
      </w:r>
      <w:r w:rsidRPr="00210E11">
        <w:rPr>
          <w:sz w:val="18"/>
        </w:rPr>
        <w:t>nalysis</w:t>
      </w:r>
      <w:r>
        <w:rPr>
          <w:sz w:val="18"/>
        </w:rPr>
        <w:t>,</w:t>
      </w:r>
      <w:r w:rsidRPr="00210E11">
        <w:rPr>
          <w:sz w:val="18"/>
        </w:rPr>
        <w:t xml:space="preserve"> </w:t>
      </w:r>
      <w:r w:rsidRPr="00B50F71">
        <w:rPr>
          <w:i/>
          <w:iCs/>
          <w:sz w:val="18"/>
        </w:rPr>
        <w:t xml:space="preserve">Clin </w:t>
      </w:r>
      <w:proofErr w:type="spellStart"/>
      <w:r w:rsidRPr="00B50F71">
        <w:rPr>
          <w:i/>
          <w:iCs/>
          <w:sz w:val="18"/>
        </w:rPr>
        <w:t>Pharmacol</w:t>
      </w:r>
      <w:proofErr w:type="spellEnd"/>
      <w:r w:rsidRPr="00B50F71">
        <w:rPr>
          <w:i/>
          <w:iCs/>
          <w:sz w:val="18"/>
        </w:rPr>
        <w:t xml:space="preserve"> </w:t>
      </w:r>
      <w:proofErr w:type="spellStart"/>
      <w:r w:rsidRPr="00B50F71">
        <w:rPr>
          <w:i/>
          <w:iCs/>
          <w:sz w:val="18"/>
        </w:rPr>
        <w:t>Ther</w:t>
      </w:r>
      <w:proofErr w:type="spellEnd"/>
      <w:r>
        <w:rPr>
          <w:sz w:val="18"/>
        </w:rPr>
        <w:t>,</w:t>
      </w:r>
      <w:r w:rsidRPr="00210E11">
        <w:rPr>
          <w:sz w:val="18"/>
        </w:rPr>
        <w:t xml:space="preserve"> 2017;</w:t>
      </w:r>
      <w:r>
        <w:rPr>
          <w:sz w:val="18"/>
        </w:rPr>
        <w:t xml:space="preserve"> </w:t>
      </w:r>
      <w:r w:rsidRPr="00210E11">
        <w:rPr>
          <w:sz w:val="18"/>
        </w:rPr>
        <w:t>101(5):</w:t>
      </w:r>
      <w:r>
        <w:rPr>
          <w:sz w:val="18"/>
        </w:rPr>
        <w:t xml:space="preserve"> </w:t>
      </w:r>
      <w:r w:rsidRPr="00210E11">
        <w:rPr>
          <w:sz w:val="18"/>
        </w:rPr>
        <w:t>657-666.</w:t>
      </w:r>
    </w:p>
  </w:footnote>
  <w:footnote w:id="18">
    <w:p w14:paraId="25ACCCEF" w14:textId="14C6625E" w:rsidR="00764F2D" w:rsidRPr="00210E11" w:rsidRDefault="00764F2D" w:rsidP="00210E11">
      <w:pPr>
        <w:pStyle w:val="EndnoteText"/>
      </w:pPr>
      <w:r>
        <w:rPr>
          <w:rStyle w:val="FootnoteReference"/>
        </w:rPr>
        <w:footnoteRef/>
      </w:r>
      <w:r>
        <w:t xml:space="preserve"> </w:t>
      </w:r>
      <w:r w:rsidRPr="00210E11">
        <w:rPr>
          <w:sz w:val="18"/>
        </w:rPr>
        <w:t>Li</w:t>
      </w:r>
      <w:r>
        <w:rPr>
          <w:sz w:val="18"/>
        </w:rPr>
        <w:t>,</w:t>
      </w:r>
      <w:r w:rsidRPr="00210E11">
        <w:rPr>
          <w:sz w:val="18"/>
        </w:rPr>
        <w:t xml:space="preserve"> H</w:t>
      </w:r>
      <w:r>
        <w:rPr>
          <w:sz w:val="18"/>
        </w:rPr>
        <w:t>.</w:t>
      </w:r>
      <w:r w:rsidRPr="00210E11">
        <w:rPr>
          <w:sz w:val="18"/>
        </w:rPr>
        <w:t xml:space="preserve"> et al. Time </w:t>
      </w:r>
      <w:r>
        <w:rPr>
          <w:sz w:val="18"/>
        </w:rPr>
        <w:t>D</w:t>
      </w:r>
      <w:r w:rsidRPr="00210E11">
        <w:rPr>
          <w:sz w:val="18"/>
        </w:rPr>
        <w:t xml:space="preserve">ependent </w:t>
      </w:r>
      <w:r>
        <w:rPr>
          <w:sz w:val="18"/>
        </w:rPr>
        <w:t>P</w:t>
      </w:r>
      <w:r w:rsidRPr="00210E11">
        <w:rPr>
          <w:sz w:val="18"/>
        </w:rPr>
        <w:t xml:space="preserve">harmacokinetics of </w:t>
      </w:r>
      <w:r>
        <w:rPr>
          <w:sz w:val="18"/>
        </w:rPr>
        <w:t>P</w:t>
      </w:r>
      <w:r w:rsidRPr="00210E11">
        <w:rPr>
          <w:sz w:val="18"/>
        </w:rPr>
        <w:t xml:space="preserve">embrolizumab in </w:t>
      </w:r>
      <w:r>
        <w:rPr>
          <w:sz w:val="18"/>
        </w:rPr>
        <w:t>P</w:t>
      </w:r>
      <w:r w:rsidRPr="00210E11">
        <w:rPr>
          <w:sz w:val="18"/>
        </w:rPr>
        <w:t xml:space="preserve">atients </w:t>
      </w:r>
      <w:r>
        <w:rPr>
          <w:sz w:val="18"/>
        </w:rPr>
        <w:t>w</w:t>
      </w:r>
      <w:r w:rsidRPr="00210E11">
        <w:rPr>
          <w:sz w:val="18"/>
        </w:rPr>
        <w:t xml:space="preserve">ith </w:t>
      </w:r>
      <w:r>
        <w:rPr>
          <w:sz w:val="18"/>
        </w:rPr>
        <w:t>S</w:t>
      </w:r>
      <w:r w:rsidRPr="00210E11">
        <w:rPr>
          <w:sz w:val="18"/>
        </w:rPr>
        <w:t xml:space="preserve">olid </w:t>
      </w:r>
      <w:proofErr w:type="spellStart"/>
      <w:r>
        <w:rPr>
          <w:sz w:val="18"/>
        </w:rPr>
        <w:t>Y</w:t>
      </w:r>
      <w:r w:rsidRPr="00210E11">
        <w:rPr>
          <w:sz w:val="18"/>
        </w:rPr>
        <w:t>umor</w:t>
      </w:r>
      <w:proofErr w:type="spellEnd"/>
      <w:r w:rsidRPr="00210E11">
        <w:rPr>
          <w:sz w:val="18"/>
        </w:rPr>
        <w:t xml:space="preserve"> and </w:t>
      </w:r>
      <w:r>
        <w:rPr>
          <w:sz w:val="18"/>
        </w:rPr>
        <w:t>I</w:t>
      </w:r>
      <w:r w:rsidRPr="00210E11">
        <w:rPr>
          <w:sz w:val="18"/>
        </w:rPr>
        <w:t xml:space="preserve">ts </w:t>
      </w:r>
      <w:r>
        <w:rPr>
          <w:sz w:val="18"/>
        </w:rPr>
        <w:t>C</w:t>
      </w:r>
      <w:r w:rsidRPr="00210E11">
        <w:rPr>
          <w:sz w:val="18"/>
        </w:rPr>
        <w:t xml:space="preserve">orrelation </w:t>
      </w:r>
      <w:r>
        <w:rPr>
          <w:sz w:val="18"/>
        </w:rPr>
        <w:t>w</w:t>
      </w:r>
      <w:r w:rsidRPr="00210E11">
        <w:rPr>
          <w:sz w:val="18"/>
        </w:rPr>
        <w:t xml:space="preserve">ith </w:t>
      </w:r>
      <w:r>
        <w:rPr>
          <w:sz w:val="18"/>
        </w:rPr>
        <w:t>B</w:t>
      </w:r>
      <w:r w:rsidRPr="00210E11">
        <w:rPr>
          <w:sz w:val="18"/>
        </w:rPr>
        <w:t xml:space="preserve">est </w:t>
      </w:r>
      <w:r>
        <w:rPr>
          <w:sz w:val="18"/>
        </w:rPr>
        <w:t>O</w:t>
      </w:r>
      <w:r w:rsidRPr="00210E11">
        <w:rPr>
          <w:sz w:val="18"/>
        </w:rPr>
        <w:t xml:space="preserve">verall </w:t>
      </w:r>
      <w:r>
        <w:rPr>
          <w:sz w:val="18"/>
        </w:rPr>
        <w:t>R</w:t>
      </w:r>
      <w:r w:rsidRPr="00210E11">
        <w:rPr>
          <w:sz w:val="18"/>
        </w:rPr>
        <w:t>esponse</w:t>
      </w:r>
      <w:r>
        <w:rPr>
          <w:sz w:val="18"/>
        </w:rPr>
        <w:t>,</w:t>
      </w:r>
      <w:r w:rsidRPr="00210E11">
        <w:rPr>
          <w:sz w:val="18"/>
        </w:rPr>
        <w:t xml:space="preserve"> </w:t>
      </w:r>
      <w:r w:rsidRPr="00B50F71">
        <w:rPr>
          <w:i/>
          <w:iCs/>
          <w:sz w:val="18"/>
        </w:rPr>
        <w:t xml:space="preserve">J </w:t>
      </w:r>
      <w:proofErr w:type="spellStart"/>
      <w:r w:rsidRPr="00B50F71">
        <w:rPr>
          <w:i/>
          <w:iCs/>
          <w:sz w:val="18"/>
        </w:rPr>
        <w:t>Pharmacokinet</w:t>
      </w:r>
      <w:proofErr w:type="spellEnd"/>
      <w:r w:rsidRPr="00B50F71">
        <w:rPr>
          <w:i/>
          <w:iCs/>
          <w:sz w:val="18"/>
        </w:rPr>
        <w:t xml:space="preserve"> </w:t>
      </w:r>
      <w:proofErr w:type="spellStart"/>
      <w:r w:rsidRPr="00B50F71">
        <w:rPr>
          <w:i/>
          <w:iCs/>
          <w:sz w:val="18"/>
        </w:rPr>
        <w:t>Pharmacodyn</w:t>
      </w:r>
      <w:proofErr w:type="spellEnd"/>
      <w:r>
        <w:rPr>
          <w:sz w:val="18"/>
        </w:rPr>
        <w:t>,</w:t>
      </w:r>
      <w:r w:rsidRPr="00210E11">
        <w:rPr>
          <w:sz w:val="18"/>
        </w:rPr>
        <w:t xml:space="preserve"> 2017</w:t>
      </w:r>
      <w:r>
        <w:t xml:space="preserve">; </w:t>
      </w:r>
      <w:r w:rsidRPr="00462EB5">
        <w:rPr>
          <w:sz w:val="18"/>
        </w:rPr>
        <w:t>44(5):</w:t>
      </w:r>
      <w:r>
        <w:rPr>
          <w:sz w:val="18"/>
        </w:rPr>
        <w:t xml:space="preserve"> </w:t>
      </w:r>
      <w:r w:rsidRPr="00462EB5">
        <w:rPr>
          <w:sz w:val="18"/>
        </w:rPr>
        <w:t>403-414</w:t>
      </w:r>
      <w:r w:rsidRPr="00210E11">
        <w:rPr>
          <w:sz w:val="18"/>
        </w:rPr>
        <w:t>.</w:t>
      </w:r>
    </w:p>
  </w:footnote>
  <w:footnote w:id="19">
    <w:p w14:paraId="64F1ED44" w14:textId="24320FE2" w:rsidR="00764F2D" w:rsidRPr="00210E11" w:rsidRDefault="00764F2D">
      <w:pPr>
        <w:pStyle w:val="FootnoteText"/>
        <w:rPr>
          <w:lang w:val="en-GB"/>
        </w:rPr>
      </w:pPr>
      <w:r>
        <w:rPr>
          <w:rStyle w:val="FootnoteReference"/>
        </w:rPr>
        <w:footnoteRef/>
      </w:r>
      <w:r>
        <w:t xml:space="preserve"> </w:t>
      </w:r>
      <w:proofErr w:type="spellStart"/>
      <w:r w:rsidRPr="00210E11">
        <w:t>Tecentriq</w:t>
      </w:r>
      <w:proofErr w:type="spellEnd"/>
      <w:r w:rsidRPr="00210E11">
        <w:t xml:space="preserve"> (atezolizumab) label, revised December 2020. Available at: </w:t>
      </w:r>
      <w:hyperlink r:id="rId6" w:history="1">
        <w:r w:rsidRPr="00210E11">
          <w:rPr>
            <w:rStyle w:val="Hyperlink"/>
          </w:rPr>
          <w:t>https://www.accessdata.fda.gov/drugsatfda_docs/label/2020/761034s031s032lbl.pdf</w:t>
        </w:r>
      </w:hyperlink>
      <w:r>
        <w:rPr>
          <w:rStyle w:val="Hyperlink"/>
        </w:rPr>
        <w:t>.</w:t>
      </w:r>
    </w:p>
  </w:footnote>
  <w:footnote w:id="20">
    <w:p w14:paraId="386CBD62" w14:textId="51E9C1C3" w:rsidR="00764F2D" w:rsidRPr="00DB1208" w:rsidRDefault="00764F2D">
      <w:pPr>
        <w:pStyle w:val="FootnoteText"/>
        <w:rPr>
          <w:lang w:val="en-GB"/>
        </w:rPr>
      </w:pPr>
      <w:r>
        <w:rPr>
          <w:rStyle w:val="FootnoteReference"/>
        </w:rPr>
        <w:footnoteRef/>
      </w:r>
      <w:r>
        <w:t xml:space="preserve"> European Medicines Agency (</w:t>
      </w:r>
      <w:r w:rsidRPr="00DB1208">
        <w:t>EMA</w:t>
      </w:r>
      <w:r>
        <w:t>),</w:t>
      </w:r>
      <w:r w:rsidRPr="00DB1208">
        <w:t xml:space="preserve"> </w:t>
      </w:r>
      <w:r w:rsidRPr="00462EB5">
        <w:t xml:space="preserve">Committee for Medicinal Products for Human Use </w:t>
      </w:r>
      <w:r>
        <w:t>(</w:t>
      </w:r>
      <w:r w:rsidRPr="00DB1208">
        <w:t>CHMP</w:t>
      </w:r>
      <w:r>
        <w:t>)</w:t>
      </w:r>
      <w:r w:rsidRPr="00DB1208">
        <w:t xml:space="preserve"> </w:t>
      </w:r>
      <w:proofErr w:type="gramStart"/>
      <w:r w:rsidRPr="00DB1208">
        <w:t>rapporteurs</w:t>
      </w:r>
      <w:proofErr w:type="gramEnd"/>
      <w:r w:rsidRPr="00DB1208">
        <w:t xml:space="preserve"> joint assessment report, after two rounds of ques</w:t>
      </w:r>
      <w:r>
        <w:t>tions and answers, supplied by s</w:t>
      </w:r>
      <w:r w:rsidRPr="00DB1208">
        <w:t>ponsor to TGA for reference.</w:t>
      </w:r>
    </w:p>
  </w:footnote>
  <w:footnote w:id="21">
    <w:p w14:paraId="449F6462" w14:textId="254C20EB" w:rsidR="00764F2D" w:rsidRPr="00DB1208" w:rsidRDefault="00764F2D" w:rsidP="00B74C8D">
      <w:pPr>
        <w:pStyle w:val="FootnoteText"/>
        <w:rPr>
          <w:lang w:val="en-GB"/>
        </w:rPr>
      </w:pPr>
      <w:r>
        <w:rPr>
          <w:rStyle w:val="FootnoteReference"/>
        </w:rPr>
        <w:footnoteRef/>
      </w:r>
      <w:r>
        <w:t xml:space="preserve"> </w:t>
      </w:r>
      <w:proofErr w:type="spellStart"/>
      <w:r w:rsidRPr="00DB1208">
        <w:t>Akazawa</w:t>
      </w:r>
      <w:proofErr w:type="spellEnd"/>
      <w:r>
        <w:t>,</w:t>
      </w:r>
      <w:r w:rsidRPr="00DB1208">
        <w:t xml:space="preserve"> K</w:t>
      </w:r>
      <w:r>
        <w:t>. et al.</w:t>
      </w:r>
      <w:r w:rsidRPr="00DB1208">
        <w:t xml:space="preserve"> Power of </w:t>
      </w:r>
      <w:proofErr w:type="spellStart"/>
      <w:r w:rsidRPr="00DB1208">
        <w:t>Logrank</w:t>
      </w:r>
      <w:proofErr w:type="spellEnd"/>
      <w:r w:rsidRPr="00DB1208">
        <w:t xml:space="preserve"> Test </w:t>
      </w:r>
      <w:r>
        <w:t>a</w:t>
      </w:r>
      <w:r w:rsidRPr="00DB1208">
        <w:t xml:space="preserve">nd Cox Regression Model </w:t>
      </w:r>
      <w:r>
        <w:t>i</w:t>
      </w:r>
      <w:r w:rsidRPr="00DB1208">
        <w:t xml:space="preserve">n Clinical Trials </w:t>
      </w:r>
      <w:r>
        <w:t>w</w:t>
      </w:r>
      <w:r w:rsidRPr="00DB1208">
        <w:t>ith Heterogeneous Samples</w:t>
      </w:r>
      <w:r>
        <w:t>,</w:t>
      </w:r>
      <w:r w:rsidRPr="00DB1208">
        <w:t xml:space="preserve"> </w:t>
      </w:r>
      <w:r w:rsidRPr="00B50F71">
        <w:rPr>
          <w:i/>
          <w:iCs/>
        </w:rPr>
        <w:t>Stat Med</w:t>
      </w:r>
      <w:r>
        <w:t>, 1</w:t>
      </w:r>
      <w:r w:rsidRPr="00DB1208">
        <w:t>997;</w:t>
      </w:r>
      <w:r>
        <w:t xml:space="preserve"> </w:t>
      </w:r>
      <w:r w:rsidRPr="00DB1208">
        <w:t>16:</w:t>
      </w:r>
      <w:r>
        <w:t xml:space="preserve"> </w:t>
      </w:r>
      <w:r w:rsidRPr="00DB1208">
        <w:t>583-597.</w:t>
      </w:r>
    </w:p>
  </w:footnote>
  <w:footnote w:id="22">
    <w:p w14:paraId="584F3D8C" w14:textId="2D26AC18" w:rsidR="00764F2D" w:rsidRDefault="00764F2D">
      <w:pPr>
        <w:pStyle w:val="FootnoteText"/>
      </w:pPr>
      <w:r>
        <w:rPr>
          <w:rStyle w:val="FootnoteReference"/>
        </w:rPr>
        <w:footnoteRef/>
      </w:r>
      <w:r>
        <w:t xml:space="preserve"> </w:t>
      </w:r>
      <w:r w:rsidRPr="00716528">
        <w:t xml:space="preserve">The </w:t>
      </w:r>
      <w:r w:rsidRPr="00B50F71">
        <w:rPr>
          <w:b/>
          <w:bCs/>
        </w:rPr>
        <w:t>Medical Dictionary for Regulatory Activities (MedDRA)</w:t>
      </w:r>
      <w:r w:rsidRPr="00716528">
        <w:t xml:space="preserve"> is a single standardised international medical terminology, developed as a project of the International Council for Harmonisation of Technical Requirements for Pharmaceuticals for Human Use (ICH) which can be used for regulatory communication and evaluation of data pertaining to medicinal products for human use. As a result, MedDRA is designed for use in the registration, </w:t>
      </w:r>
      <w:proofErr w:type="gramStart"/>
      <w:r w:rsidRPr="00716528">
        <w:t>documentation</w:t>
      </w:r>
      <w:proofErr w:type="gramEnd"/>
      <w:r w:rsidRPr="00716528">
        <w:t xml:space="preserve"> and safety monitoring of medicinal products through all phases of the development cycle (that is, from clinical trials to post-marketing surveillance). Furthermore, MedDRA supports ICH electronic communication within the ICH’s Electronic Common Technical Document (eCTD) and the E2B Individual Case Safety Report.</w:t>
      </w:r>
    </w:p>
  </w:footnote>
  <w:footnote w:id="23">
    <w:p w14:paraId="36766B22" w14:textId="43359EF5" w:rsidR="00764F2D" w:rsidRPr="00E31736" w:rsidRDefault="00764F2D" w:rsidP="00E31736">
      <w:pPr>
        <w:pStyle w:val="FootnoteText"/>
      </w:pPr>
      <w:r>
        <w:rPr>
          <w:rStyle w:val="FootnoteReference"/>
        </w:rPr>
        <w:footnoteRef/>
      </w:r>
      <w:r>
        <w:t xml:space="preserve"> Horn, L. et al. Safety and Clinical Activity of Atezolizumab Monotherapy in Metastatic Non-small-cell Lung Cancer: </w:t>
      </w:r>
      <w:proofErr w:type="gramStart"/>
      <w:r>
        <w:t>Final Results</w:t>
      </w:r>
      <w:proofErr w:type="gramEnd"/>
      <w:r>
        <w:t xml:space="preserve"> from a Phase I Study, </w:t>
      </w:r>
      <w:r w:rsidRPr="00B50F71">
        <w:rPr>
          <w:i/>
          <w:iCs/>
        </w:rPr>
        <w:t>Eur J Cancer</w:t>
      </w:r>
      <w:r>
        <w:t>, 2018; 101: 201-209.</w:t>
      </w:r>
    </w:p>
  </w:footnote>
  <w:footnote w:id="24">
    <w:p w14:paraId="4AC33FF5" w14:textId="0BE761B9" w:rsidR="00764F2D" w:rsidRPr="00E31736" w:rsidRDefault="00764F2D" w:rsidP="00B63B13">
      <w:pPr>
        <w:pStyle w:val="FootnoteText"/>
      </w:pPr>
      <w:r>
        <w:rPr>
          <w:rStyle w:val="FootnoteReference"/>
        </w:rPr>
        <w:footnoteRef/>
      </w:r>
      <w:r>
        <w:t xml:space="preserve"> </w:t>
      </w:r>
      <w:proofErr w:type="spellStart"/>
      <w:r>
        <w:t>Kowanetz</w:t>
      </w:r>
      <w:proofErr w:type="spellEnd"/>
      <w:r>
        <w:t xml:space="preserve">, M. et al. Differential Regulation of PD-L1 Expression by Immune and </w:t>
      </w:r>
      <w:proofErr w:type="spellStart"/>
      <w:r>
        <w:t>Tumor</w:t>
      </w:r>
      <w:proofErr w:type="spellEnd"/>
      <w:r>
        <w:t xml:space="preserve"> Cells in NSCLC and the Response to Treatment with Atezolizumab (Anti-PD-L1), </w:t>
      </w:r>
      <w:r w:rsidRPr="00B50F71">
        <w:rPr>
          <w:i/>
          <w:iCs/>
        </w:rPr>
        <w:t xml:space="preserve">Proc Natl </w:t>
      </w:r>
      <w:proofErr w:type="spellStart"/>
      <w:r w:rsidRPr="00B50F71">
        <w:rPr>
          <w:i/>
          <w:iCs/>
        </w:rPr>
        <w:t>Acad</w:t>
      </w:r>
      <w:proofErr w:type="spellEnd"/>
      <w:r w:rsidRPr="00B50F71">
        <w:rPr>
          <w:i/>
          <w:iCs/>
        </w:rPr>
        <w:t xml:space="preserve"> Sci USA</w:t>
      </w:r>
      <w:r>
        <w:t>, 2018; 115(43): E10119-E10126.</w:t>
      </w:r>
    </w:p>
  </w:footnote>
  <w:footnote w:id="25">
    <w:p w14:paraId="6248ACB5" w14:textId="1C4A071C" w:rsidR="00764F2D" w:rsidRDefault="00764F2D" w:rsidP="009E2618">
      <w:pPr>
        <w:pStyle w:val="FootnoteText"/>
      </w:pPr>
      <w:r>
        <w:rPr>
          <w:rStyle w:val="FootnoteReference"/>
        </w:rPr>
        <w:footnoteRef/>
      </w:r>
      <w:r>
        <w:t xml:space="preserve"> </w:t>
      </w:r>
      <w:proofErr w:type="spellStart"/>
      <w:r>
        <w:t>Kowanetz</w:t>
      </w:r>
      <w:proofErr w:type="spellEnd"/>
      <w:r>
        <w:t xml:space="preserve">, M. et al. Differential Regulation of PD-L1 Expression by Immune and </w:t>
      </w:r>
      <w:proofErr w:type="spellStart"/>
      <w:r>
        <w:t>Tumor</w:t>
      </w:r>
      <w:proofErr w:type="spellEnd"/>
      <w:r>
        <w:t xml:space="preserve"> Cells in NSCLC and the Response to Treatment with Atezolizumab (Anti-PD-L1), </w:t>
      </w:r>
      <w:r w:rsidRPr="004D42AD">
        <w:rPr>
          <w:i/>
          <w:iCs/>
        </w:rPr>
        <w:t xml:space="preserve">Proc Natl </w:t>
      </w:r>
      <w:proofErr w:type="spellStart"/>
      <w:r w:rsidRPr="004D42AD">
        <w:rPr>
          <w:i/>
          <w:iCs/>
        </w:rPr>
        <w:t>Acad</w:t>
      </w:r>
      <w:proofErr w:type="spellEnd"/>
      <w:r w:rsidRPr="004D42AD">
        <w:rPr>
          <w:i/>
          <w:iCs/>
        </w:rPr>
        <w:t xml:space="preserve"> Sci USA</w:t>
      </w:r>
      <w:r>
        <w:t>, 2018; 115(43):</w:t>
      </w:r>
      <w:r w:rsidRPr="009E2618">
        <w:t xml:space="preserve"> E10119-E10126</w:t>
      </w:r>
      <w:r>
        <w:t>.</w:t>
      </w:r>
    </w:p>
  </w:footnote>
  <w:footnote w:id="26">
    <w:p w14:paraId="244C0857" w14:textId="5DFE6C38" w:rsidR="00764F2D" w:rsidRPr="00161FAE" w:rsidRDefault="00764F2D" w:rsidP="00161FAE">
      <w:pPr>
        <w:pStyle w:val="FootnoteText"/>
      </w:pPr>
      <w:r>
        <w:rPr>
          <w:rStyle w:val="FootnoteReference"/>
        </w:rPr>
        <w:footnoteRef/>
      </w:r>
      <w:r>
        <w:t xml:space="preserve"> Carbone, D.P. et al. First-line Nivolumab in Stage IV or Recurrent Non-small-cell Lung Cancer, </w:t>
      </w:r>
      <w:r w:rsidRPr="00161FAE">
        <w:rPr>
          <w:i/>
        </w:rPr>
        <w:t xml:space="preserve">N </w:t>
      </w:r>
      <w:proofErr w:type="spellStart"/>
      <w:r w:rsidRPr="00161FAE">
        <w:rPr>
          <w:i/>
        </w:rPr>
        <w:t>Engl</w:t>
      </w:r>
      <w:proofErr w:type="spellEnd"/>
      <w:r w:rsidRPr="00161FAE">
        <w:rPr>
          <w:i/>
        </w:rPr>
        <w:t xml:space="preserve"> J Med</w:t>
      </w:r>
      <w:r>
        <w:rPr>
          <w:i/>
        </w:rPr>
        <w:t>,</w:t>
      </w:r>
      <w:r>
        <w:t xml:space="preserve"> 2017; 376(25): 2415-2426.</w:t>
      </w:r>
    </w:p>
  </w:footnote>
  <w:footnote w:id="27">
    <w:p w14:paraId="453BCACC" w14:textId="07668708" w:rsidR="00764F2D" w:rsidRPr="00161FAE" w:rsidRDefault="00764F2D" w:rsidP="00161FAE">
      <w:pPr>
        <w:pStyle w:val="FootnoteText"/>
      </w:pPr>
      <w:r>
        <w:rPr>
          <w:rStyle w:val="FootnoteReference"/>
        </w:rPr>
        <w:footnoteRef/>
      </w:r>
      <w:r>
        <w:t xml:space="preserve"> </w:t>
      </w:r>
      <w:proofErr w:type="spellStart"/>
      <w:r>
        <w:t>Mok</w:t>
      </w:r>
      <w:proofErr w:type="spellEnd"/>
      <w:r>
        <w:t>, T.S.K. et al. Pembrolizumab versus Chemotherapy for Previously Untreated, PD-L1-expressing, Locally Advanced or Metastatic Non-small-cell lung Cancer (KEYNOTE</w:t>
      </w:r>
      <w:r>
        <w:noBreakHyphen/>
        <w:t xml:space="preserve">042): </w:t>
      </w:r>
      <w:proofErr w:type="gramStart"/>
      <w:r>
        <w:t>a</w:t>
      </w:r>
      <w:proofErr w:type="gramEnd"/>
      <w:r>
        <w:t xml:space="preserve"> Randomised, Open-label, Controlled, Phase 3 Trial, </w:t>
      </w:r>
      <w:r w:rsidRPr="00161FAE">
        <w:rPr>
          <w:i/>
        </w:rPr>
        <w:t>Lancet</w:t>
      </w:r>
      <w:r>
        <w:rPr>
          <w:i/>
        </w:rPr>
        <w:t>,</w:t>
      </w:r>
      <w:r>
        <w:t xml:space="preserve"> 2019; 393(10183): 1819-1830.</w:t>
      </w:r>
    </w:p>
  </w:footnote>
  <w:footnote w:id="28">
    <w:p w14:paraId="3579C893" w14:textId="5899D8FD" w:rsidR="00764F2D" w:rsidRPr="00161FAE" w:rsidRDefault="00764F2D">
      <w:pPr>
        <w:pStyle w:val="FootnoteText"/>
        <w:rPr>
          <w:lang w:val="en-GB"/>
        </w:rPr>
      </w:pPr>
      <w:r>
        <w:rPr>
          <w:rStyle w:val="FootnoteReference"/>
        </w:rPr>
        <w:footnoteRef/>
      </w:r>
      <w:r>
        <w:t xml:space="preserve"> Rizvi, N.A. et al. Durvalumab with or without </w:t>
      </w:r>
      <w:proofErr w:type="spellStart"/>
      <w:r>
        <w:t>Tremelimumab</w:t>
      </w:r>
      <w:proofErr w:type="spellEnd"/>
      <w:r>
        <w:t xml:space="preserve"> vs Standard Chemotherapy in First-line Treatment of Metastatic Non-small Cell Lung Cancer: The MYSTIC Phase 3 Randomized Clinical Trial, </w:t>
      </w:r>
      <w:r w:rsidRPr="00161FAE">
        <w:rPr>
          <w:i/>
        </w:rPr>
        <w:t>JAMA Oncol</w:t>
      </w:r>
      <w:r>
        <w:rPr>
          <w:i/>
        </w:rPr>
        <w:t>,</w:t>
      </w:r>
      <w:r>
        <w:t xml:space="preserve"> 2020; 6(5): 661-674.</w:t>
      </w:r>
    </w:p>
  </w:footnote>
  <w:footnote w:id="29">
    <w:p w14:paraId="3975F091" w14:textId="421C775A" w:rsidR="00764F2D" w:rsidRDefault="00764F2D">
      <w:pPr>
        <w:pStyle w:val="FootnoteText"/>
      </w:pPr>
      <w:r>
        <w:rPr>
          <w:rStyle w:val="FootnoteReference"/>
        </w:rPr>
        <w:footnoteRef/>
      </w:r>
      <w:r>
        <w:t xml:space="preserve"> </w:t>
      </w:r>
      <w:r w:rsidRPr="00B50F71">
        <w:rPr>
          <w:b/>
          <w:bCs/>
        </w:rPr>
        <w:t>Good Clinical Practice (GCP)</w:t>
      </w:r>
      <w:r w:rsidRPr="00716528">
        <w:t xml:space="preserve"> is a code of international standards and guidance following the International Council on Harmonisation (ICH) concerning the design, conduct, performance, monitoring, auditing, recording, analysis and reporting of clinical trials. Good Clinical Practice provides assurance that a study’s results are credible and accurate and that the rights and confidentiality of the study subjects are protected.</w:t>
      </w:r>
    </w:p>
  </w:footnote>
  <w:footnote w:id="30">
    <w:p w14:paraId="469B5937" w14:textId="127DA8C4" w:rsidR="00764F2D" w:rsidRPr="00F92E33" w:rsidRDefault="00764F2D">
      <w:pPr>
        <w:pStyle w:val="FootnoteText"/>
        <w:rPr>
          <w:lang w:val="en-GB"/>
        </w:rPr>
      </w:pPr>
      <w:r>
        <w:rPr>
          <w:rStyle w:val="FootnoteReference"/>
        </w:rPr>
        <w:footnoteRef/>
      </w:r>
      <w:r>
        <w:t xml:space="preserve"> </w:t>
      </w:r>
      <w:r>
        <w:rPr>
          <w:lang w:val="en-GB"/>
        </w:rPr>
        <w:t xml:space="preserve">Since updated. See </w:t>
      </w:r>
      <w:r>
        <w:rPr>
          <w:lang w:val="en-GB"/>
        </w:rPr>
        <w:fldChar w:fldCharType="begin"/>
      </w:r>
      <w:r>
        <w:rPr>
          <w:lang w:val="en-GB"/>
        </w:rPr>
        <w:instrText xml:space="preserve"> REF _Ref107301185 \h </w:instrText>
      </w:r>
      <w:r>
        <w:rPr>
          <w:lang w:val="en-GB"/>
        </w:rPr>
      </w:r>
      <w:r>
        <w:rPr>
          <w:lang w:val="en-GB"/>
        </w:rPr>
        <w:fldChar w:fldCharType="separate"/>
      </w:r>
      <w:r>
        <w:t xml:space="preserve">Table </w:t>
      </w:r>
      <w:r>
        <w:rPr>
          <w:noProof/>
        </w:rPr>
        <w:t>1</w:t>
      </w:r>
      <w:r>
        <w:t>: International regulatory status</w:t>
      </w:r>
      <w:r>
        <w:rPr>
          <w:lang w:val="en-GB"/>
        </w:rPr>
        <w:fldChar w:fldCharType="end"/>
      </w:r>
      <w:r>
        <w:rPr>
          <w:lang w:val="en-GB"/>
        </w:rPr>
        <w:t>, above.</w:t>
      </w:r>
    </w:p>
  </w:footnote>
  <w:footnote w:id="31">
    <w:p w14:paraId="582E65F3" w14:textId="26214FE5" w:rsidR="00764F2D" w:rsidRPr="00613D48" w:rsidRDefault="00764F2D" w:rsidP="00613D48">
      <w:pPr>
        <w:pStyle w:val="FootnoteText"/>
      </w:pPr>
      <w:r>
        <w:rPr>
          <w:rStyle w:val="FootnoteReference"/>
        </w:rPr>
        <w:footnoteRef/>
      </w:r>
      <w:r>
        <w:t xml:space="preserve"> Hirsch, F.R. et al. PD-L1 Immunohistochemistry Assays for Lung Cancer: Results from Phase 1 of the Blueprint PD-L1 IHC Assay Comparison Project,</w:t>
      </w:r>
      <w:r>
        <w:rPr>
          <w:i/>
        </w:rPr>
        <w:t xml:space="preserve"> </w:t>
      </w:r>
      <w:r w:rsidRPr="00613D48">
        <w:rPr>
          <w:i/>
        </w:rPr>
        <w:t xml:space="preserve">J </w:t>
      </w:r>
      <w:proofErr w:type="spellStart"/>
      <w:r w:rsidRPr="00613D48">
        <w:rPr>
          <w:i/>
        </w:rPr>
        <w:t>Thorac</w:t>
      </w:r>
      <w:proofErr w:type="spellEnd"/>
      <w:r w:rsidRPr="00613D48">
        <w:rPr>
          <w:i/>
        </w:rPr>
        <w:t xml:space="preserve"> Oncol</w:t>
      </w:r>
      <w:r>
        <w:rPr>
          <w:i/>
        </w:rPr>
        <w:t>,</w:t>
      </w:r>
      <w:r>
        <w:t xml:space="preserve"> 2017; 12: 208-222.</w:t>
      </w:r>
    </w:p>
  </w:footnote>
  <w:footnote w:id="32">
    <w:p w14:paraId="484E61C9" w14:textId="4F08B562" w:rsidR="00764F2D" w:rsidRPr="00613D48" w:rsidRDefault="00764F2D" w:rsidP="00613D48">
      <w:pPr>
        <w:pStyle w:val="FootnoteText"/>
      </w:pPr>
      <w:r>
        <w:rPr>
          <w:rStyle w:val="FootnoteReference"/>
        </w:rPr>
        <w:footnoteRef/>
      </w:r>
      <w:r>
        <w:t xml:space="preserve"> Xu, H., et al. Assessment of Concordance between 22C3 and SP142 Immunohistochemistry Assays Regarding PD-L1 Expression in Non-small Cell Lung Cancer, </w:t>
      </w:r>
      <w:r w:rsidRPr="00613D48">
        <w:rPr>
          <w:i/>
        </w:rPr>
        <w:t>Sci Rep</w:t>
      </w:r>
      <w:r>
        <w:rPr>
          <w:i/>
        </w:rPr>
        <w:t>,</w:t>
      </w:r>
      <w:r>
        <w:t xml:space="preserve"> </w:t>
      </w:r>
      <w:r w:rsidRPr="002A1F41">
        <w:t>2017;</w:t>
      </w:r>
      <w:r>
        <w:t xml:space="preserve"> </w:t>
      </w:r>
      <w:r w:rsidRPr="002A1F41">
        <w:t>7(1):</w:t>
      </w:r>
      <w:r>
        <w:t xml:space="preserve"> </w:t>
      </w:r>
      <w:r w:rsidRPr="002A1F41">
        <w:t>16956</w:t>
      </w:r>
      <w:r>
        <w:t>.</w:t>
      </w:r>
    </w:p>
  </w:footnote>
  <w:footnote w:id="33">
    <w:p w14:paraId="2CC21BF4" w14:textId="22EB6712" w:rsidR="00764F2D" w:rsidRPr="00613D48" w:rsidRDefault="00764F2D">
      <w:pPr>
        <w:pStyle w:val="FootnoteText"/>
        <w:rPr>
          <w:lang w:val="en-GB"/>
        </w:rPr>
      </w:pPr>
      <w:r>
        <w:rPr>
          <w:rStyle w:val="FootnoteReference"/>
        </w:rPr>
        <w:footnoteRef/>
      </w:r>
      <w:r>
        <w:t xml:space="preserve"> </w:t>
      </w:r>
      <w:proofErr w:type="spellStart"/>
      <w:r>
        <w:t>Torlakovic</w:t>
      </w:r>
      <w:proofErr w:type="spellEnd"/>
      <w:r>
        <w:t xml:space="preserve">, E. et al. “Interchangeability” of PD-L1 Immunohistochemistry Assays: </w:t>
      </w:r>
      <w:proofErr w:type="gramStart"/>
      <w:r>
        <w:t>a</w:t>
      </w:r>
      <w:proofErr w:type="gramEnd"/>
      <w:r>
        <w:t xml:space="preserve"> Meta-analysis of Diagnostic Accuracy, </w:t>
      </w:r>
      <w:r w:rsidRPr="00630A86">
        <w:rPr>
          <w:i/>
        </w:rPr>
        <w:t xml:space="preserve">Mod </w:t>
      </w:r>
      <w:proofErr w:type="spellStart"/>
      <w:r w:rsidRPr="00630A86">
        <w:rPr>
          <w:i/>
        </w:rPr>
        <w:t>Pathol</w:t>
      </w:r>
      <w:proofErr w:type="spellEnd"/>
      <w:r>
        <w:rPr>
          <w:i/>
        </w:rPr>
        <w:t>,</w:t>
      </w:r>
      <w:r>
        <w:t xml:space="preserve"> </w:t>
      </w:r>
      <w:r w:rsidRPr="002A1F41">
        <w:t>2020;</w:t>
      </w:r>
      <w:r>
        <w:t xml:space="preserve"> </w:t>
      </w:r>
      <w:r w:rsidRPr="002A1F41">
        <w:t>33(1):</w:t>
      </w:r>
      <w:r>
        <w:t xml:space="preserve"> </w:t>
      </w:r>
      <w:r w:rsidRPr="002A1F41">
        <w:t>4-17</w:t>
      </w:r>
      <w:r>
        <w:t>.</w:t>
      </w:r>
    </w:p>
  </w:footnote>
  <w:footnote w:id="34">
    <w:p w14:paraId="024E9B1A" w14:textId="347AD44D" w:rsidR="00764F2D" w:rsidRPr="00FA12B6" w:rsidRDefault="00764F2D">
      <w:pPr>
        <w:pStyle w:val="FootnoteText"/>
        <w:rPr>
          <w:lang w:val="en-GB"/>
        </w:rPr>
      </w:pPr>
      <w:r>
        <w:rPr>
          <w:rStyle w:val="FootnoteReference"/>
        </w:rPr>
        <w:footnoteRef/>
      </w:r>
      <w:r>
        <w:t xml:space="preserve"> </w:t>
      </w:r>
      <w:r w:rsidRPr="00FA12B6">
        <w:t>Tsao</w:t>
      </w:r>
      <w:r>
        <w:t>,</w:t>
      </w:r>
      <w:r w:rsidRPr="00FA12B6">
        <w:t xml:space="preserve"> M</w:t>
      </w:r>
      <w:r>
        <w:t>.</w:t>
      </w:r>
      <w:r w:rsidRPr="00FA12B6">
        <w:t>S</w:t>
      </w:r>
      <w:r>
        <w:t>. et al.</w:t>
      </w:r>
      <w:r w:rsidRPr="00FA12B6">
        <w:t xml:space="preserve"> PD-L1 Immunohistochemistry Comparability Study in Real-</w:t>
      </w:r>
      <w:r>
        <w:t>l</w:t>
      </w:r>
      <w:r w:rsidRPr="00FA12B6">
        <w:t>ife Clinical Samples: Results of Blueprint Phase 2 Project</w:t>
      </w:r>
      <w:r>
        <w:t>,</w:t>
      </w:r>
      <w:r w:rsidRPr="00FA12B6">
        <w:rPr>
          <w:i/>
        </w:rPr>
        <w:t xml:space="preserve"> J </w:t>
      </w:r>
      <w:proofErr w:type="spellStart"/>
      <w:r w:rsidRPr="00FA12B6">
        <w:rPr>
          <w:i/>
        </w:rPr>
        <w:t>Thorac</w:t>
      </w:r>
      <w:proofErr w:type="spellEnd"/>
      <w:r w:rsidRPr="00FA12B6">
        <w:rPr>
          <w:i/>
        </w:rPr>
        <w:t xml:space="preserve"> Oncol</w:t>
      </w:r>
      <w:r>
        <w:rPr>
          <w:i/>
        </w:rPr>
        <w:t>,</w:t>
      </w:r>
      <w:r>
        <w:t xml:space="preserve"> 2018; 13(9): 1302-1311.</w:t>
      </w:r>
    </w:p>
  </w:footnote>
  <w:footnote w:id="35">
    <w:p w14:paraId="4E3B02B6" w14:textId="51A3CF8B" w:rsidR="00764F2D" w:rsidRPr="005E2B92" w:rsidRDefault="00764F2D" w:rsidP="00B178E4">
      <w:pPr>
        <w:pStyle w:val="TableDescription"/>
      </w:pPr>
      <w:r>
        <w:rPr>
          <w:rStyle w:val="FootnoteReference"/>
        </w:rPr>
        <w:footnoteRef/>
      </w:r>
      <w:r>
        <w:t xml:space="preserve"> Programmed death-ligand 1 (PD-L1) positive subgroup definitions: PD-L1 high = TC3/IC3; PD-L1 intermediate = TC2/IC2 (and not TC3 or IC3); PD-L1 low = TC1/IC1 (and not TC2/3 or IC2/3).</w:t>
      </w:r>
      <w:r>
        <w:br/>
        <w:t>PD-L1 negative: TC0 and IC0.</w:t>
      </w:r>
      <w:r>
        <w:br/>
        <w:t>Immune cell scoring (PD-L1 expression): IC0 (0 to &lt; 1%); IC1 (1 to &lt; 5%); IC2 (5 to &lt;10%); IC3 (10%+).</w:t>
      </w:r>
      <w:r>
        <w:br/>
        <w:t>Tumour cell scoring (PD-L1 expression): TC0 (0 to &lt;1%); TC1 (1 to &lt; 5%); TC2 (5 to &lt; 50%); TC3 (50%+).</w:t>
      </w:r>
    </w:p>
  </w:footnote>
  <w:footnote w:id="36">
    <w:p w14:paraId="6730D56B" w14:textId="6DC27C56" w:rsidR="00764F2D" w:rsidRPr="009F442E" w:rsidRDefault="00764F2D">
      <w:pPr>
        <w:pStyle w:val="FootnoteText"/>
        <w:rPr>
          <w:lang w:val="en-GB"/>
        </w:rPr>
      </w:pPr>
      <w:r>
        <w:rPr>
          <w:rStyle w:val="FootnoteReference"/>
        </w:rPr>
        <w:footnoteRef/>
      </w:r>
      <w:r>
        <w:t xml:space="preserve"> </w:t>
      </w:r>
      <w:proofErr w:type="spellStart"/>
      <w:r w:rsidRPr="009F442E">
        <w:t>Tanniou</w:t>
      </w:r>
      <w:proofErr w:type="spellEnd"/>
      <w:r>
        <w:t>,</w:t>
      </w:r>
      <w:r w:rsidRPr="009F442E">
        <w:t xml:space="preserve"> J</w:t>
      </w:r>
      <w:r>
        <w:t>. et al.</w:t>
      </w:r>
      <w:r w:rsidRPr="009F442E">
        <w:t xml:space="preserve"> Subgroup </w:t>
      </w:r>
      <w:r>
        <w:t>A</w:t>
      </w:r>
      <w:r w:rsidRPr="009F442E">
        <w:t xml:space="preserve">nalyses in </w:t>
      </w:r>
      <w:r>
        <w:t>C</w:t>
      </w:r>
      <w:r w:rsidRPr="009F442E">
        <w:t xml:space="preserve">onfirmatory </w:t>
      </w:r>
      <w:r>
        <w:t>C</w:t>
      </w:r>
      <w:r w:rsidRPr="009F442E">
        <w:t xml:space="preserve">linical </w:t>
      </w:r>
      <w:r>
        <w:t>T</w:t>
      </w:r>
      <w:r w:rsidRPr="009F442E">
        <w:t xml:space="preserve">rials: </w:t>
      </w:r>
      <w:r>
        <w:t>T</w:t>
      </w:r>
      <w:r w:rsidRPr="009F442E">
        <w:t xml:space="preserve">ime to be </w:t>
      </w:r>
      <w:r>
        <w:t>S</w:t>
      </w:r>
      <w:r w:rsidRPr="009F442E">
        <w:t xml:space="preserve">pecific about </w:t>
      </w:r>
      <w:r>
        <w:t>T</w:t>
      </w:r>
      <w:r w:rsidRPr="009F442E">
        <w:t xml:space="preserve">heir </w:t>
      </w:r>
      <w:r>
        <w:t>P</w:t>
      </w:r>
      <w:r w:rsidRPr="009F442E">
        <w:t>urposes</w:t>
      </w:r>
      <w:r>
        <w:t>,</w:t>
      </w:r>
      <w:r w:rsidRPr="009F442E">
        <w:t xml:space="preserve"> </w:t>
      </w:r>
      <w:r w:rsidRPr="009F442E">
        <w:rPr>
          <w:i/>
        </w:rPr>
        <w:t xml:space="preserve">BMC Med Res </w:t>
      </w:r>
      <w:proofErr w:type="spellStart"/>
      <w:r w:rsidRPr="009F442E">
        <w:rPr>
          <w:i/>
        </w:rPr>
        <w:t>Methodol</w:t>
      </w:r>
      <w:proofErr w:type="spellEnd"/>
      <w:r>
        <w:rPr>
          <w:i/>
        </w:rPr>
        <w:t>,</w:t>
      </w:r>
      <w:r w:rsidRPr="009F442E">
        <w:t xml:space="preserve"> 2016</w:t>
      </w:r>
      <w:r>
        <w:t>; 16: 20.</w:t>
      </w:r>
    </w:p>
  </w:footnote>
  <w:footnote w:id="37">
    <w:p w14:paraId="0F5347D0" w14:textId="7DAFAF59" w:rsidR="00764F2D" w:rsidRPr="009F442E" w:rsidRDefault="00764F2D">
      <w:pPr>
        <w:pStyle w:val="FootnoteText"/>
        <w:rPr>
          <w:lang w:val="en-GB"/>
        </w:rPr>
      </w:pPr>
      <w:r>
        <w:rPr>
          <w:rStyle w:val="FootnoteReference"/>
        </w:rPr>
        <w:footnoteRef/>
      </w:r>
      <w:r>
        <w:t xml:space="preserve"> </w:t>
      </w:r>
      <w:proofErr w:type="spellStart"/>
      <w:r w:rsidRPr="009F442E">
        <w:t>Grouin</w:t>
      </w:r>
      <w:proofErr w:type="spellEnd"/>
      <w:r>
        <w:t>,</w:t>
      </w:r>
      <w:r w:rsidRPr="009F442E">
        <w:t xml:space="preserve"> J</w:t>
      </w:r>
      <w:r>
        <w:t>.</w:t>
      </w:r>
      <w:r w:rsidRPr="009F442E">
        <w:t>M</w:t>
      </w:r>
      <w:r>
        <w:t>. et al.</w:t>
      </w:r>
      <w:r w:rsidRPr="009F442E">
        <w:t xml:space="preserve"> Subgroup </w:t>
      </w:r>
      <w:r>
        <w:t>A</w:t>
      </w:r>
      <w:r w:rsidRPr="009F442E">
        <w:t xml:space="preserve">nalyses in </w:t>
      </w:r>
      <w:r>
        <w:t>R</w:t>
      </w:r>
      <w:r w:rsidRPr="009F442E">
        <w:t xml:space="preserve">andomized </w:t>
      </w:r>
      <w:r>
        <w:t>C</w:t>
      </w:r>
      <w:r w:rsidRPr="009F442E">
        <w:t xml:space="preserve">linical </w:t>
      </w:r>
      <w:r>
        <w:t>T</w:t>
      </w:r>
      <w:r w:rsidRPr="009F442E">
        <w:t xml:space="preserve">rials: </w:t>
      </w:r>
      <w:r>
        <w:t>S</w:t>
      </w:r>
      <w:r w:rsidRPr="009F442E">
        <w:t xml:space="preserve">tatistical and </w:t>
      </w:r>
      <w:r>
        <w:t>R</w:t>
      </w:r>
      <w:r w:rsidRPr="009F442E">
        <w:t xml:space="preserve">egulatory </w:t>
      </w:r>
      <w:r>
        <w:t>I</w:t>
      </w:r>
      <w:r w:rsidRPr="009F442E">
        <w:t>ssues</w:t>
      </w:r>
      <w:r>
        <w:t>,</w:t>
      </w:r>
      <w:r w:rsidRPr="009F442E">
        <w:t xml:space="preserve"> </w:t>
      </w:r>
      <w:r w:rsidRPr="009F442E">
        <w:rPr>
          <w:i/>
        </w:rPr>
        <w:t xml:space="preserve">J </w:t>
      </w:r>
      <w:proofErr w:type="spellStart"/>
      <w:r w:rsidRPr="009F442E">
        <w:rPr>
          <w:i/>
        </w:rPr>
        <w:t>Biopharm</w:t>
      </w:r>
      <w:proofErr w:type="spellEnd"/>
      <w:r w:rsidRPr="009F442E">
        <w:rPr>
          <w:i/>
        </w:rPr>
        <w:t xml:space="preserve"> Stat</w:t>
      </w:r>
      <w:r>
        <w:rPr>
          <w:i/>
        </w:rPr>
        <w:t>,</w:t>
      </w:r>
      <w:r>
        <w:t xml:space="preserve"> 2005; 15(5): 869-882</w:t>
      </w:r>
      <w:r w:rsidRPr="009F442E">
        <w:t>.</w:t>
      </w:r>
    </w:p>
  </w:footnote>
  <w:footnote w:id="38">
    <w:p w14:paraId="3B6A4439" w14:textId="26F506DA" w:rsidR="00764F2D" w:rsidRPr="00611B1F" w:rsidRDefault="00764F2D">
      <w:pPr>
        <w:pStyle w:val="FootnoteText"/>
        <w:rPr>
          <w:lang w:val="en-GB"/>
        </w:rPr>
      </w:pPr>
      <w:r>
        <w:rPr>
          <w:rStyle w:val="FootnoteReference"/>
        </w:rPr>
        <w:footnoteRef/>
      </w:r>
      <w:r>
        <w:t xml:space="preserve"> </w:t>
      </w:r>
      <w:proofErr w:type="spellStart"/>
      <w:r>
        <w:t>Midthun</w:t>
      </w:r>
      <w:proofErr w:type="spellEnd"/>
      <w:r>
        <w:t>, D.E. Overview of the Initial Treatment and Prognosis of Lung Cancer (</w:t>
      </w:r>
      <w:r w:rsidRPr="00611B1F">
        <w:rPr>
          <w:i/>
        </w:rPr>
        <w:t>UpToDate topic</w:t>
      </w:r>
      <w:r>
        <w:t xml:space="preserve">). Last updated 6 January 2021. Available at: </w:t>
      </w:r>
      <w:hyperlink r:id="rId7" w:history="1">
        <w:r w:rsidRPr="0011178C">
          <w:rPr>
            <w:rStyle w:val="Hyperlink"/>
          </w:rPr>
          <w:t>https://www.uptodate.com/contents/overview-of-the-initial-treatment-and-prognosis-of-lung-cancer</w:t>
        </w:r>
      </w:hyperlink>
      <w:r>
        <w:t>.</w:t>
      </w:r>
    </w:p>
  </w:footnote>
  <w:footnote w:id="39">
    <w:p w14:paraId="6846816C" w14:textId="6932BC01" w:rsidR="00764F2D" w:rsidRPr="00611B1F" w:rsidRDefault="00764F2D" w:rsidP="00611B1F">
      <w:pPr>
        <w:pStyle w:val="FootnoteText"/>
      </w:pPr>
      <w:r>
        <w:rPr>
          <w:rStyle w:val="FootnoteReference"/>
        </w:rPr>
        <w:footnoteRef/>
      </w:r>
      <w:r>
        <w:t xml:space="preserve"> Bradburn, M.J. et al. Survival Analysis Part III: Multivariate Data Analysis - Choosing a Model and Assessing Its Adequacy and Fit, </w:t>
      </w:r>
      <w:r w:rsidRPr="00611B1F">
        <w:rPr>
          <w:i/>
        </w:rPr>
        <w:t>Br J Cancer</w:t>
      </w:r>
      <w:r>
        <w:rPr>
          <w:i/>
        </w:rPr>
        <w:t>,</w:t>
      </w:r>
      <w:r>
        <w:t xml:space="preserve"> 2003; 89(4): 605-611.</w:t>
      </w:r>
    </w:p>
  </w:footnote>
  <w:footnote w:id="40">
    <w:p w14:paraId="741DB1EC" w14:textId="593852D9" w:rsidR="00764F2D" w:rsidRPr="00F4319A" w:rsidRDefault="00764F2D">
      <w:pPr>
        <w:pStyle w:val="FootnoteText"/>
        <w:rPr>
          <w:lang w:val="en-GB"/>
        </w:rPr>
      </w:pPr>
      <w:r>
        <w:rPr>
          <w:rStyle w:val="FootnoteReference"/>
        </w:rPr>
        <w:footnoteRef/>
      </w:r>
      <w:r>
        <w:t xml:space="preserve"> European Medicines Agency (</w:t>
      </w:r>
      <w:r w:rsidRPr="00F4319A">
        <w:t>EMA</w:t>
      </w:r>
      <w:r>
        <w:t>)</w:t>
      </w:r>
      <w:r w:rsidRPr="00F4319A">
        <w:t xml:space="preserve"> GCP integrated inspection report (IIR) for inspections GCP/2020/007</w:t>
      </w:r>
      <w:r>
        <w:t xml:space="preserve"> and GCP/2020/014, supplied by s</w:t>
      </w:r>
      <w:r w:rsidRPr="00F4319A">
        <w:t xml:space="preserve">ponsor to TGA for </w:t>
      </w:r>
      <w:proofErr w:type="gramStart"/>
      <w:r>
        <w:t>reference;</w:t>
      </w:r>
      <w:proofErr w:type="gramEnd"/>
      <w:r>
        <w:t xml:space="preserve"> European Medicines Agency.</w:t>
      </w:r>
    </w:p>
  </w:footnote>
  <w:footnote w:id="41">
    <w:p w14:paraId="30CA85A1" w14:textId="70BCACCD" w:rsidR="00764F2D" w:rsidRDefault="00764F2D" w:rsidP="00910C94">
      <w:pPr>
        <w:pStyle w:val="FootnoteText"/>
      </w:pPr>
      <w:r>
        <w:rPr>
          <w:rStyle w:val="FootnoteReference"/>
        </w:rPr>
        <w:footnoteRef/>
      </w:r>
      <w:r>
        <w:t xml:space="preserve"> ICH GCP </w:t>
      </w:r>
      <w:r w:rsidRPr="00B50F71">
        <w:rPr>
          <w:iCs/>
        </w:rPr>
        <w:t>Article 2.10</w:t>
      </w:r>
      <w:r>
        <w:t xml:space="preserve">: All clinical trial information should be recorded, handled, and stored in a way that allows its accurate reporting, </w:t>
      </w:r>
      <w:proofErr w:type="gramStart"/>
      <w:r>
        <w:t>interpretation</w:t>
      </w:r>
      <w:proofErr w:type="gramEnd"/>
      <w:r>
        <w:t xml:space="preserve"> and verification.</w:t>
      </w:r>
    </w:p>
    <w:p w14:paraId="14A2950B" w14:textId="7D682BC1" w:rsidR="00764F2D" w:rsidRPr="00910C94" w:rsidRDefault="00764F2D" w:rsidP="00910C94">
      <w:pPr>
        <w:pStyle w:val="FootnoteText"/>
      </w:pPr>
      <w:r>
        <w:t>Addendum: This principle applies to all records referenced in this guideline, irrespective of the type of media used.</w:t>
      </w:r>
    </w:p>
  </w:footnote>
  <w:footnote w:id="42">
    <w:p w14:paraId="407C11C9" w14:textId="63EB64C3" w:rsidR="00764F2D" w:rsidRDefault="00764F2D" w:rsidP="00910C94">
      <w:pPr>
        <w:pStyle w:val="FootnoteText"/>
      </w:pPr>
      <w:r>
        <w:rPr>
          <w:rStyle w:val="FootnoteReference"/>
        </w:rPr>
        <w:footnoteRef/>
      </w:r>
      <w:r>
        <w:t xml:space="preserve"> ICH GCP </w:t>
      </w:r>
      <w:r w:rsidRPr="00B50F71">
        <w:rPr>
          <w:iCs/>
        </w:rPr>
        <w:t>Article 2.13</w:t>
      </w:r>
      <w:r>
        <w:t>: Systems with procedures that assure the quality of every aspect of the trial should be implemented.</w:t>
      </w:r>
    </w:p>
    <w:p w14:paraId="5B2A7F29" w14:textId="5BFBE168" w:rsidR="00764F2D" w:rsidRPr="00910C94" w:rsidRDefault="00764F2D" w:rsidP="00910C94">
      <w:pPr>
        <w:pStyle w:val="FootnoteText"/>
      </w:pPr>
      <w:r w:rsidRPr="00B50F71">
        <w:rPr>
          <w:iCs/>
        </w:rPr>
        <w:t>Addendum</w:t>
      </w:r>
      <w:r>
        <w:t>: Aspects of the trial that are essential to ensure human subject protection and reliability of trial results should be the focus of such systems.</w:t>
      </w:r>
    </w:p>
  </w:footnote>
  <w:footnote w:id="43">
    <w:p w14:paraId="51DA2F38" w14:textId="5EB2956B" w:rsidR="00764F2D" w:rsidRPr="00910C94" w:rsidRDefault="00764F2D">
      <w:pPr>
        <w:pStyle w:val="FootnoteText"/>
        <w:rPr>
          <w:lang w:val="en-GB"/>
        </w:rPr>
      </w:pPr>
      <w:r>
        <w:rPr>
          <w:rStyle w:val="FootnoteReference"/>
        </w:rPr>
        <w:footnoteRef/>
      </w:r>
      <w:r>
        <w:t xml:space="preserve"> ICH GCP </w:t>
      </w:r>
      <w:r w:rsidRPr="00B50F71">
        <w:rPr>
          <w:iCs/>
        </w:rPr>
        <w:t>Article 8</w:t>
      </w:r>
      <w:r>
        <w:t xml:space="preserve">: </w:t>
      </w:r>
      <w:r w:rsidRPr="00910C94">
        <w:t>Essential documents for the conduct of a clinical trial</w:t>
      </w:r>
      <w:r>
        <w:t>.</w:t>
      </w:r>
    </w:p>
  </w:footnote>
  <w:footnote w:id="44">
    <w:p w14:paraId="7314318B" w14:textId="452848C6" w:rsidR="00764F2D" w:rsidRPr="00E31860" w:rsidRDefault="00764F2D">
      <w:pPr>
        <w:pStyle w:val="FootnoteText"/>
        <w:rPr>
          <w:lang w:val="en-GB"/>
        </w:rPr>
      </w:pPr>
      <w:r>
        <w:rPr>
          <w:rStyle w:val="FootnoteReference"/>
        </w:rPr>
        <w:footnoteRef/>
      </w:r>
      <w:r>
        <w:t xml:space="preserve"> </w:t>
      </w:r>
      <w:proofErr w:type="spellStart"/>
      <w:r w:rsidRPr="00E31860">
        <w:t>Mok</w:t>
      </w:r>
      <w:proofErr w:type="spellEnd"/>
      <w:r>
        <w:t>,</w:t>
      </w:r>
      <w:r w:rsidRPr="00E31860">
        <w:t xml:space="preserve"> T</w:t>
      </w:r>
      <w:r>
        <w:t>.</w:t>
      </w:r>
      <w:r w:rsidRPr="00E31860">
        <w:t>S</w:t>
      </w:r>
      <w:r>
        <w:t>.</w:t>
      </w:r>
      <w:r w:rsidRPr="00E31860">
        <w:t>K</w:t>
      </w:r>
      <w:r>
        <w:t>.</w:t>
      </w:r>
      <w:r w:rsidRPr="00E31860">
        <w:t xml:space="preserve"> et al. Pembrolizumab versus </w:t>
      </w:r>
      <w:r>
        <w:t>C</w:t>
      </w:r>
      <w:r w:rsidRPr="00E31860">
        <w:t xml:space="preserve">hemotherapy for </w:t>
      </w:r>
      <w:r>
        <w:t>P</w:t>
      </w:r>
      <w:r w:rsidRPr="00E31860">
        <w:t xml:space="preserve">reviously </w:t>
      </w:r>
      <w:r>
        <w:t>U</w:t>
      </w:r>
      <w:r w:rsidRPr="00E31860">
        <w:t>ntreated, PD-L1-</w:t>
      </w:r>
      <w:r>
        <w:t>e</w:t>
      </w:r>
      <w:r w:rsidRPr="00E31860">
        <w:t xml:space="preserve">xpressing, </w:t>
      </w:r>
      <w:r>
        <w:t>L</w:t>
      </w:r>
      <w:r w:rsidRPr="00E31860">
        <w:t xml:space="preserve">ocally </w:t>
      </w:r>
      <w:r>
        <w:t>A</w:t>
      </w:r>
      <w:r w:rsidRPr="00E31860">
        <w:t xml:space="preserve">dvanced or </w:t>
      </w:r>
      <w:r>
        <w:t>M</w:t>
      </w:r>
      <w:r w:rsidRPr="00E31860">
        <w:t xml:space="preserve">etastatic </w:t>
      </w:r>
      <w:r>
        <w:t>N</w:t>
      </w:r>
      <w:r w:rsidRPr="00E31860">
        <w:t xml:space="preserve">on-small-cell lung cancer (KEYNOTE-042): </w:t>
      </w:r>
      <w:proofErr w:type="gramStart"/>
      <w:r>
        <w:t>a</w:t>
      </w:r>
      <w:proofErr w:type="gramEnd"/>
      <w:r w:rsidRPr="00E31860">
        <w:t xml:space="preserve"> </w:t>
      </w:r>
      <w:r>
        <w:t>R</w:t>
      </w:r>
      <w:r w:rsidRPr="00E31860">
        <w:t xml:space="preserve">andomised, </w:t>
      </w:r>
      <w:r>
        <w:t>O</w:t>
      </w:r>
      <w:r w:rsidRPr="00E31860">
        <w:t xml:space="preserve">pen-label, </w:t>
      </w:r>
      <w:r>
        <w:t>C</w:t>
      </w:r>
      <w:r w:rsidRPr="00E31860">
        <w:t xml:space="preserve">ontrolled, </w:t>
      </w:r>
      <w:r>
        <w:t>P</w:t>
      </w:r>
      <w:r w:rsidRPr="00E31860">
        <w:t>hase 3 trial</w:t>
      </w:r>
      <w:r>
        <w:t>,</w:t>
      </w:r>
      <w:r w:rsidRPr="00E31860">
        <w:t xml:space="preserve"> </w:t>
      </w:r>
      <w:r w:rsidRPr="00E31860">
        <w:rPr>
          <w:i/>
        </w:rPr>
        <w:t>Lancet</w:t>
      </w:r>
      <w:r>
        <w:rPr>
          <w:i/>
        </w:rPr>
        <w:t>,</w:t>
      </w:r>
      <w:r w:rsidRPr="00E31860">
        <w:t xml:space="preserve"> 2019;</w:t>
      </w:r>
      <w:r>
        <w:t xml:space="preserve"> </w:t>
      </w:r>
      <w:r w:rsidRPr="00E31860">
        <w:t>393(10183):</w:t>
      </w:r>
      <w:r>
        <w:t xml:space="preserve"> </w:t>
      </w:r>
      <w:r w:rsidRPr="00E31860">
        <w:t>1819-1830.</w:t>
      </w:r>
    </w:p>
  </w:footnote>
  <w:footnote w:id="45">
    <w:p w14:paraId="1C87E290" w14:textId="5888FE3A" w:rsidR="00764F2D" w:rsidRPr="00E31860" w:rsidRDefault="00764F2D">
      <w:pPr>
        <w:pStyle w:val="FootnoteText"/>
        <w:rPr>
          <w:lang w:val="en-GB"/>
        </w:rPr>
      </w:pPr>
      <w:r>
        <w:rPr>
          <w:rStyle w:val="FootnoteReference"/>
        </w:rPr>
        <w:footnoteRef/>
      </w:r>
      <w:r>
        <w:t xml:space="preserve"> </w:t>
      </w:r>
      <w:proofErr w:type="spellStart"/>
      <w:r>
        <w:t>Tecentriq</w:t>
      </w:r>
      <w:proofErr w:type="spellEnd"/>
      <w:r>
        <w:t xml:space="preserve"> atezolizumab Australian Product I</w:t>
      </w:r>
      <w:r w:rsidRPr="00E31860">
        <w:t>nformation</w:t>
      </w:r>
      <w:r>
        <w:t>. Roche Products Australia Pty Ltd. Version </w:t>
      </w:r>
      <w:r w:rsidRPr="00E31860">
        <w:t>dated 27 Oct</w:t>
      </w:r>
      <w:r>
        <w:t>ober</w:t>
      </w:r>
      <w:r w:rsidRPr="00E31860">
        <w:t xml:space="preserve"> 2020.</w:t>
      </w:r>
    </w:p>
  </w:footnote>
  <w:footnote w:id="46">
    <w:p w14:paraId="35E89A3F" w14:textId="79A9D487" w:rsidR="00764F2D" w:rsidRPr="00717EB7" w:rsidRDefault="00764F2D">
      <w:pPr>
        <w:pStyle w:val="FootnoteText"/>
        <w:rPr>
          <w:lang w:val="en-GB"/>
        </w:rPr>
      </w:pPr>
      <w:r>
        <w:rPr>
          <w:rStyle w:val="FootnoteReference"/>
        </w:rPr>
        <w:footnoteRef/>
      </w:r>
      <w:r>
        <w:t xml:space="preserve"> </w:t>
      </w:r>
      <w:r w:rsidRPr="00717EB7">
        <w:t>Mulkey</w:t>
      </w:r>
      <w:r>
        <w:t>,</w:t>
      </w:r>
      <w:r w:rsidRPr="00717EB7">
        <w:t xml:space="preserve"> F</w:t>
      </w:r>
      <w:r>
        <w:t>. et al.</w:t>
      </w:r>
      <w:r w:rsidRPr="00717EB7">
        <w:t xml:space="preserve"> Analysis of </w:t>
      </w:r>
      <w:r>
        <w:t>E</w:t>
      </w:r>
      <w:r w:rsidRPr="00717EB7">
        <w:t xml:space="preserve">arly </w:t>
      </w:r>
      <w:r>
        <w:t>M</w:t>
      </w:r>
      <w:r w:rsidRPr="00717EB7">
        <w:t xml:space="preserve">ortality in </w:t>
      </w:r>
      <w:r>
        <w:t>R</w:t>
      </w:r>
      <w:r w:rsidRPr="00717EB7">
        <w:t xml:space="preserve">andomized </w:t>
      </w:r>
      <w:r>
        <w:t>C</w:t>
      </w:r>
      <w:r w:rsidRPr="00717EB7">
        <w:t xml:space="preserve">linical </w:t>
      </w:r>
      <w:r>
        <w:t>T</w:t>
      </w:r>
      <w:r w:rsidRPr="00717EB7">
        <w:t xml:space="preserve">rials </w:t>
      </w:r>
      <w:r>
        <w:t>E</w:t>
      </w:r>
      <w:r w:rsidRPr="00717EB7">
        <w:t xml:space="preserve">valuating </w:t>
      </w:r>
      <w:r>
        <w:t>A</w:t>
      </w:r>
      <w:r w:rsidRPr="00717EB7">
        <w:t xml:space="preserve">nti-PD-1/PD-L1 </w:t>
      </w:r>
      <w:r>
        <w:t>A</w:t>
      </w:r>
      <w:r w:rsidRPr="00717EB7">
        <w:t xml:space="preserve">ntibodies: </w:t>
      </w:r>
      <w:proofErr w:type="gramStart"/>
      <w:r>
        <w:t>a</w:t>
      </w:r>
      <w:proofErr w:type="gramEnd"/>
      <w:r w:rsidRPr="00717EB7">
        <w:t xml:space="preserve"> </w:t>
      </w:r>
      <w:r>
        <w:t>S</w:t>
      </w:r>
      <w:r w:rsidRPr="00717EB7">
        <w:t xml:space="preserve">ystematic </w:t>
      </w:r>
      <w:r>
        <w:t>A</w:t>
      </w:r>
      <w:r w:rsidRPr="00717EB7">
        <w:t>nalysis by the United States Food and Drug Administration (FDA)</w:t>
      </w:r>
      <w:r>
        <w:t>,</w:t>
      </w:r>
      <w:r w:rsidRPr="00717EB7">
        <w:t xml:space="preserve"> </w:t>
      </w:r>
      <w:r w:rsidRPr="00717EB7">
        <w:rPr>
          <w:i/>
        </w:rPr>
        <w:t>Journal of Clinical Oncology</w:t>
      </w:r>
      <w:r>
        <w:rPr>
          <w:i/>
        </w:rPr>
        <w:t>,</w:t>
      </w:r>
      <w:r w:rsidRPr="00717EB7">
        <w:t xml:space="preserve"> 2019</w:t>
      </w:r>
      <w:r>
        <w:t>; 37 (</w:t>
      </w:r>
      <w:r w:rsidRPr="00717EB7">
        <w:t>15_suppl</w:t>
      </w:r>
      <w:r>
        <w:t>):</w:t>
      </w:r>
      <w:r w:rsidRPr="00717EB7">
        <w:t xml:space="preserve"> 2516</w:t>
      </w:r>
      <w:r>
        <w:t>.</w:t>
      </w:r>
    </w:p>
  </w:footnote>
  <w:footnote w:id="47">
    <w:p w14:paraId="2FBFD3B9" w14:textId="352C12FC" w:rsidR="00764F2D" w:rsidRPr="001E01BA" w:rsidRDefault="00764F2D">
      <w:pPr>
        <w:pStyle w:val="FootnoteText"/>
        <w:rPr>
          <w:lang w:val="en-GB"/>
        </w:rPr>
      </w:pPr>
      <w:r>
        <w:rPr>
          <w:rStyle w:val="FootnoteReference"/>
        </w:rPr>
        <w:footnoteRef/>
      </w:r>
      <w:r>
        <w:t xml:space="preserve"> TGA internal document: clinical evaluation report Submission </w:t>
      </w:r>
      <w:r w:rsidRPr="001E01BA">
        <w:t>PM-20</w:t>
      </w:r>
      <w:r>
        <w:t>20</w:t>
      </w:r>
      <w:r w:rsidRPr="001E01BA">
        <w:t xml:space="preserve">-01859-1-4 </w:t>
      </w:r>
      <w:proofErr w:type="spellStart"/>
      <w:r w:rsidRPr="001E01BA">
        <w:t>Tecentriq</w:t>
      </w:r>
      <w:proofErr w:type="spellEnd"/>
      <w:r w:rsidRPr="001E01BA">
        <w:t xml:space="preserve"> (atezolizumab) Roche </w:t>
      </w:r>
      <w:r>
        <w:t>Products Australia Pty Ltd.</w:t>
      </w:r>
    </w:p>
  </w:footnote>
  <w:footnote w:id="48">
    <w:p w14:paraId="0637C746" w14:textId="799DC314" w:rsidR="00764F2D" w:rsidRPr="001E01BA" w:rsidRDefault="00764F2D">
      <w:pPr>
        <w:pStyle w:val="FootnoteText"/>
        <w:rPr>
          <w:lang w:val="en-GB"/>
        </w:rPr>
      </w:pPr>
      <w:r>
        <w:rPr>
          <w:rStyle w:val="FootnoteReference"/>
        </w:rPr>
        <w:footnoteRef/>
      </w:r>
      <w:r>
        <w:t xml:space="preserve"> </w:t>
      </w:r>
      <w:r w:rsidRPr="001E01BA">
        <w:t>Submission PM-2020-01859-1-4</w:t>
      </w:r>
      <w:r>
        <w:t>: a submission to make</w:t>
      </w:r>
      <w:r w:rsidRPr="001E01BA">
        <w:t xml:space="preserve"> changes to the product information (PI) to amend the immunogenicity sections and to include updated paediatric information</w:t>
      </w:r>
      <w:r>
        <w:t xml:space="preserve">. </w:t>
      </w:r>
      <w:r w:rsidRPr="001E01BA">
        <w:t>The purpose of this application is to fulfil a commitment to the TGA to submit cross-indication analyses of atezolizumab anti-drug antibodies (ADA) and neutralising antibodies (</w:t>
      </w:r>
      <w:proofErr w:type="spellStart"/>
      <w:r w:rsidRPr="001E01BA">
        <w:t>NAb</w:t>
      </w:r>
      <w:proofErr w:type="spellEnd"/>
      <w:r w:rsidRPr="001E01BA">
        <w:t>). In addition, the sponsor proposes an update to paediatric information in the PI based o</w:t>
      </w:r>
      <w:r>
        <w:t>n a pharmacokinetic and safety S</w:t>
      </w:r>
      <w:r w:rsidRPr="001E01BA">
        <w:t>tudy GO29664</w:t>
      </w:r>
      <w:r>
        <w:t>.</w:t>
      </w:r>
    </w:p>
  </w:footnote>
  <w:footnote w:id="49">
    <w:p w14:paraId="63E5EC19" w14:textId="0C99D25A" w:rsidR="00764F2D" w:rsidRPr="001E01BA" w:rsidRDefault="00764F2D">
      <w:pPr>
        <w:pStyle w:val="FootnoteText"/>
        <w:rPr>
          <w:lang w:val="en-GB"/>
        </w:rPr>
      </w:pPr>
      <w:r>
        <w:rPr>
          <w:rStyle w:val="FootnoteReference"/>
        </w:rPr>
        <w:footnoteRef/>
      </w:r>
      <w:r>
        <w:t xml:space="preserve"> </w:t>
      </w:r>
      <w:r w:rsidRPr="001E01BA">
        <w:t>Submission PM-2020-01859-1-4</w:t>
      </w:r>
      <w:r>
        <w:t>; changes to the Australian Product Information (as discussed here) were approved by the TGA on 17 September 2021.</w:t>
      </w:r>
    </w:p>
  </w:footnote>
  <w:footnote w:id="50">
    <w:p w14:paraId="7B9D306E" w14:textId="19E6FE6E" w:rsidR="00764F2D" w:rsidRPr="001E01BA" w:rsidRDefault="00764F2D" w:rsidP="00366073">
      <w:pPr>
        <w:pStyle w:val="FootnoteText"/>
        <w:rPr>
          <w:lang w:val="en-GB"/>
        </w:rPr>
      </w:pPr>
      <w:r>
        <w:rPr>
          <w:rStyle w:val="FootnoteReference"/>
        </w:rPr>
        <w:footnoteRef/>
      </w:r>
      <w:r>
        <w:t xml:space="preserve"> </w:t>
      </w:r>
      <w:proofErr w:type="spellStart"/>
      <w:r w:rsidRPr="001E01BA">
        <w:t>Rittmeyer</w:t>
      </w:r>
      <w:proofErr w:type="spellEnd"/>
      <w:r>
        <w:t>,</w:t>
      </w:r>
      <w:r w:rsidRPr="001E01BA">
        <w:t xml:space="preserve"> A</w:t>
      </w:r>
      <w:r>
        <w:t>.</w:t>
      </w:r>
      <w:r w:rsidRPr="001E01BA">
        <w:t xml:space="preserve"> et al. Atezolizumab versus </w:t>
      </w:r>
      <w:r>
        <w:t>D</w:t>
      </w:r>
      <w:r w:rsidRPr="001E01BA">
        <w:t xml:space="preserve">ocetaxel in </w:t>
      </w:r>
      <w:r>
        <w:t>P</w:t>
      </w:r>
      <w:r w:rsidRPr="001E01BA">
        <w:t xml:space="preserve">atients with </w:t>
      </w:r>
      <w:r>
        <w:t>P</w:t>
      </w:r>
      <w:r w:rsidRPr="001E01BA">
        <w:t xml:space="preserve">reviously </w:t>
      </w:r>
      <w:r>
        <w:t>T</w:t>
      </w:r>
      <w:r w:rsidRPr="001E01BA">
        <w:t xml:space="preserve">reated </w:t>
      </w:r>
      <w:r>
        <w:t>N</w:t>
      </w:r>
      <w:r w:rsidRPr="001E01BA">
        <w:t xml:space="preserve">on-small-cell </w:t>
      </w:r>
      <w:r>
        <w:t>L</w:t>
      </w:r>
      <w:r w:rsidRPr="001E01BA">
        <w:t xml:space="preserve">ung </w:t>
      </w:r>
      <w:r>
        <w:t>C</w:t>
      </w:r>
      <w:r w:rsidRPr="001E01BA">
        <w:t xml:space="preserve">ancer (OAK): </w:t>
      </w:r>
      <w:proofErr w:type="gramStart"/>
      <w:r w:rsidRPr="001E01BA">
        <w:t>a</w:t>
      </w:r>
      <w:proofErr w:type="gramEnd"/>
      <w:r w:rsidRPr="001E01BA">
        <w:t xml:space="preserve"> </w:t>
      </w:r>
      <w:r>
        <w:t>P</w:t>
      </w:r>
      <w:r w:rsidRPr="001E01BA">
        <w:t xml:space="preserve">hase 3, </w:t>
      </w:r>
      <w:r>
        <w:t>O</w:t>
      </w:r>
      <w:r w:rsidRPr="001E01BA">
        <w:t xml:space="preserve">pen-label, </w:t>
      </w:r>
      <w:r>
        <w:t>M</w:t>
      </w:r>
      <w:r w:rsidRPr="001E01BA">
        <w:t xml:space="preserve">ulticentre </w:t>
      </w:r>
      <w:r>
        <w:t>R</w:t>
      </w:r>
      <w:r w:rsidRPr="001E01BA">
        <w:t xml:space="preserve">andomised </w:t>
      </w:r>
      <w:r>
        <w:t>C</w:t>
      </w:r>
      <w:r w:rsidRPr="001E01BA">
        <w:t>ont</w:t>
      </w:r>
      <w:r>
        <w:t xml:space="preserve">rolled Trial, </w:t>
      </w:r>
      <w:r w:rsidRPr="00B50F71">
        <w:rPr>
          <w:i/>
          <w:iCs/>
        </w:rPr>
        <w:t>Lancet</w:t>
      </w:r>
      <w:r>
        <w:t>, 2017; 389(10066): 255-265.</w:t>
      </w:r>
    </w:p>
  </w:footnote>
  <w:footnote w:id="51">
    <w:p w14:paraId="28B7B32A" w14:textId="4DBB7210" w:rsidR="00764F2D" w:rsidRPr="00B50F71" w:rsidRDefault="00764F2D">
      <w:pPr>
        <w:pStyle w:val="FootnoteText"/>
      </w:pPr>
      <w:r>
        <w:rPr>
          <w:rStyle w:val="FootnoteReference"/>
        </w:rPr>
        <w:footnoteRef/>
      </w:r>
      <w:r>
        <w:t xml:space="preserve"> </w:t>
      </w:r>
      <w:r w:rsidRPr="00366073">
        <w:t>ClinicalTrials.gov</w:t>
      </w:r>
      <w:r>
        <w:t xml:space="preserve"> (last updated 20 </w:t>
      </w:r>
      <w:r w:rsidRPr="004C53BF">
        <w:t>December 2019</w:t>
      </w:r>
      <w:r>
        <w:t xml:space="preserve">) </w:t>
      </w:r>
      <w:r w:rsidRPr="00366073">
        <w:t xml:space="preserve">A Study of Atezolizumab Compared </w:t>
      </w:r>
      <w:r>
        <w:t>w</w:t>
      </w:r>
      <w:r w:rsidRPr="00366073">
        <w:t xml:space="preserve">ith Docetaxel in Participants </w:t>
      </w:r>
      <w:r>
        <w:t>w</w:t>
      </w:r>
      <w:r w:rsidRPr="00366073">
        <w:t>ith Locally Advanced or Metastatic Non-Small Cell Lung Cancer Who Have Failed Platinum-Containing Therapy (OAK)</w:t>
      </w:r>
      <w:r>
        <w:t xml:space="preserve">. Available at: </w:t>
      </w:r>
      <w:hyperlink r:id="rId8" w:history="1">
        <w:r w:rsidRPr="00DA14E3">
          <w:rPr>
            <w:rStyle w:val="Hyperlink"/>
          </w:rPr>
          <w:t>https://clinicaltrials.gov/ct2/show/NCT02008227</w:t>
        </w:r>
      </w:hyperlink>
      <w:r>
        <w:t>.</w:t>
      </w:r>
    </w:p>
  </w:footnote>
  <w:footnote w:id="52">
    <w:p w14:paraId="53E31EDB" w14:textId="3E596388" w:rsidR="00764F2D" w:rsidRPr="001E01BA" w:rsidRDefault="00764F2D">
      <w:pPr>
        <w:pStyle w:val="FootnoteText"/>
        <w:rPr>
          <w:lang w:val="en-GB"/>
        </w:rPr>
      </w:pPr>
      <w:r>
        <w:rPr>
          <w:rStyle w:val="FootnoteReference"/>
        </w:rPr>
        <w:footnoteRef/>
      </w:r>
      <w:r>
        <w:t xml:space="preserve"> </w:t>
      </w:r>
      <w:r w:rsidRPr="001E01BA">
        <w:t>Finn</w:t>
      </w:r>
      <w:r>
        <w:t>,</w:t>
      </w:r>
      <w:r w:rsidRPr="001E01BA">
        <w:t xml:space="preserve"> R</w:t>
      </w:r>
      <w:r>
        <w:t>.</w:t>
      </w:r>
      <w:r w:rsidRPr="001E01BA">
        <w:t>S</w:t>
      </w:r>
      <w:r>
        <w:t>.</w:t>
      </w:r>
      <w:r w:rsidRPr="001E01BA">
        <w:t xml:space="preserve"> et al. Atezolizumab </w:t>
      </w:r>
      <w:r>
        <w:t>P</w:t>
      </w:r>
      <w:r w:rsidRPr="001E01BA">
        <w:t>lus Bevacizumab in Unresectable Hepatocellular Carcinoma</w:t>
      </w:r>
      <w:r>
        <w:t>,</w:t>
      </w:r>
      <w:r w:rsidRPr="001E01BA">
        <w:t xml:space="preserve"> </w:t>
      </w:r>
      <w:r w:rsidRPr="001E01BA">
        <w:rPr>
          <w:i/>
        </w:rPr>
        <w:t xml:space="preserve">N </w:t>
      </w:r>
      <w:proofErr w:type="spellStart"/>
      <w:r w:rsidRPr="001E01BA">
        <w:rPr>
          <w:i/>
        </w:rPr>
        <w:t>Engl</w:t>
      </w:r>
      <w:proofErr w:type="spellEnd"/>
      <w:r w:rsidRPr="001E01BA">
        <w:rPr>
          <w:i/>
        </w:rPr>
        <w:t xml:space="preserve"> J Med</w:t>
      </w:r>
      <w:r>
        <w:rPr>
          <w:i/>
        </w:rPr>
        <w:t>,</w:t>
      </w:r>
      <w:r w:rsidRPr="001E01BA">
        <w:rPr>
          <w:i/>
        </w:rPr>
        <w:t xml:space="preserve"> </w:t>
      </w:r>
      <w:r>
        <w:t>2020; 382(20): 1894-1905.</w:t>
      </w:r>
    </w:p>
  </w:footnote>
  <w:footnote w:id="53">
    <w:p w14:paraId="537A19C5" w14:textId="4800892C" w:rsidR="00764F2D" w:rsidRDefault="00764F2D">
      <w:pPr>
        <w:pStyle w:val="FootnoteText"/>
      </w:pPr>
      <w:r>
        <w:rPr>
          <w:rStyle w:val="FootnoteReference"/>
        </w:rPr>
        <w:footnoteRef/>
      </w:r>
      <w:r>
        <w:t xml:space="preserve"> </w:t>
      </w:r>
      <w:r w:rsidRPr="00366073">
        <w:t>ClinicalTrials.gov</w:t>
      </w:r>
      <w:r>
        <w:t xml:space="preserve"> (last updated 8 </w:t>
      </w:r>
      <w:r w:rsidRPr="008E7716">
        <w:t>July 2022</w:t>
      </w:r>
      <w:r>
        <w:t xml:space="preserve">) </w:t>
      </w:r>
      <w:r w:rsidRPr="008E7716">
        <w:t xml:space="preserve">A Study of Atezolizumab in Combination </w:t>
      </w:r>
      <w:r>
        <w:t>w</w:t>
      </w:r>
      <w:r w:rsidRPr="008E7716">
        <w:t xml:space="preserve">ith Bevacizumab Compared </w:t>
      </w:r>
      <w:r>
        <w:t>w</w:t>
      </w:r>
      <w:r w:rsidRPr="008E7716">
        <w:t xml:space="preserve">ith Sorafenib in Patients </w:t>
      </w:r>
      <w:r>
        <w:t>w</w:t>
      </w:r>
      <w:r w:rsidRPr="008E7716">
        <w:t>ith Untreated Locally Advanced or Metastatic Hepatocellular Carcinoma (IMbrave150)</w:t>
      </w:r>
      <w:r>
        <w:t>.</w:t>
      </w:r>
    </w:p>
    <w:p w14:paraId="2D3A6177" w14:textId="064C2AE8" w:rsidR="00764F2D" w:rsidRPr="00B50F71" w:rsidRDefault="00764F2D">
      <w:pPr>
        <w:pStyle w:val="FootnoteText"/>
      </w:pPr>
      <w:r>
        <w:t xml:space="preserve">Available at: </w:t>
      </w:r>
      <w:hyperlink r:id="rId9" w:history="1">
        <w:r w:rsidRPr="00DA14E3">
          <w:rPr>
            <w:rStyle w:val="Hyperlink"/>
          </w:rPr>
          <w:t>https://clinicaltrials.gov/ct2/show/NCT03434379?term=IMbrave150&amp;draw=2&amp;rank=1</w:t>
        </w:r>
      </w:hyperlink>
      <w:r>
        <w:t>.</w:t>
      </w:r>
    </w:p>
  </w:footnote>
  <w:footnote w:id="54">
    <w:p w14:paraId="5805BC00" w14:textId="487AF1AC" w:rsidR="00764F2D" w:rsidRDefault="00764F2D">
      <w:pPr>
        <w:pStyle w:val="FootnoteText"/>
      </w:pPr>
      <w:r>
        <w:rPr>
          <w:rStyle w:val="FootnoteReference"/>
        </w:rPr>
        <w:footnoteRef/>
      </w:r>
      <w:r>
        <w:t xml:space="preserve"> </w:t>
      </w:r>
      <w:r w:rsidRPr="00366073">
        <w:t>ClinicalTrials.gov</w:t>
      </w:r>
      <w:r>
        <w:t xml:space="preserve"> (last updated 23 </w:t>
      </w:r>
      <w:r w:rsidRPr="008E7716">
        <w:t>September 2021</w:t>
      </w:r>
      <w:r>
        <w:t xml:space="preserve">) </w:t>
      </w:r>
      <w:r w:rsidRPr="008E7716">
        <w:t xml:space="preserve">A Study of Atezolizumab in Combination </w:t>
      </w:r>
      <w:r>
        <w:t>w</w:t>
      </w:r>
      <w:r w:rsidRPr="008E7716">
        <w:t xml:space="preserve">ith Carboplatin Plus (+) Paclitaxel </w:t>
      </w:r>
      <w:r>
        <w:t>w</w:t>
      </w:r>
      <w:r w:rsidRPr="008E7716">
        <w:t xml:space="preserve">ith or </w:t>
      </w:r>
      <w:r>
        <w:t>w</w:t>
      </w:r>
      <w:r w:rsidRPr="008E7716">
        <w:t xml:space="preserve">ithout Bevacizumab Compared </w:t>
      </w:r>
      <w:r>
        <w:t>w</w:t>
      </w:r>
      <w:r w:rsidRPr="008E7716">
        <w:t xml:space="preserve">ith </w:t>
      </w:r>
      <w:proofErr w:type="spellStart"/>
      <w:r w:rsidRPr="008E7716">
        <w:t>Carboplatin+Paclitaxel+Bevacizumab</w:t>
      </w:r>
      <w:proofErr w:type="spellEnd"/>
      <w:r w:rsidRPr="008E7716">
        <w:t xml:space="preserve"> in Participants </w:t>
      </w:r>
      <w:r>
        <w:t>w</w:t>
      </w:r>
      <w:r w:rsidRPr="008E7716">
        <w:t>ith Stage IV Non-Squamous Non-Small Cell Lung Cancer (NSCLC) (IMpower150)</w:t>
      </w:r>
      <w:r>
        <w:t>.</w:t>
      </w:r>
    </w:p>
    <w:p w14:paraId="5163301F" w14:textId="3316B93C" w:rsidR="00764F2D" w:rsidRPr="001E01BA" w:rsidRDefault="00764F2D">
      <w:pPr>
        <w:pStyle w:val="FootnoteText"/>
        <w:rPr>
          <w:lang w:val="en-GB"/>
        </w:rPr>
      </w:pPr>
      <w:r>
        <w:t xml:space="preserve">Available at: </w:t>
      </w:r>
      <w:hyperlink r:id="rId10" w:history="1">
        <w:r w:rsidRPr="00DA14E3">
          <w:rPr>
            <w:rStyle w:val="Hyperlink"/>
          </w:rPr>
          <w:t>https://clinicaltrials.gov/ct2/show/NCT02366143?term=IMpower150&amp;draw=2&amp;rank=1</w:t>
        </w:r>
      </w:hyperlink>
      <w:r>
        <w:t>.</w:t>
      </w:r>
    </w:p>
  </w:footnote>
  <w:footnote w:id="55">
    <w:p w14:paraId="5B5B87F0" w14:textId="188AD42B" w:rsidR="00764F2D" w:rsidRDefault="00764F2D">
      <w:pPr>
        <w:pStyle w:val="FootnoteText"/>
      </w:pPr>
      <w:r>
        <w:rPr>
          <w:rStyle w:val="FootnoteReference"/>
        </w:rPr>
        <w:footnoteRef/>
      </w:r>
      <w:r>
        <w:t xml:space="preserve"> </w:t>
      </w:r>
      <w:r w:rsidRPr="00366073">
        <w:t>ClinicalTrials.gov</w:t>
      </w:r>
      <w:r>
        <w:t xml:space="preserve"> (last updated 28 </w:t>
      </w:r>
      <w:r w:rsidRPr="008E7716">
        <w:t>June 2022</w:t>
      </w:r>
      <w:r>
        <w:t xml:space="preserve">) </w:t>
      </w:r>
      <w:r w:rsidRPr="008E7716">
        <w:t xml:space="preserve">A Study of Atezolizumab in Participants </w:t>
      </w:r>
      <w:r>
        <w:t>w</w:t>
      </w:r>
      <w:r w:rsidRPr="008E7716">
        <w:t>ith Locally Advanced or Metastatic Urothelial Bladder Cancer (Cohort 1)</w:t>
      </w:r>
      <w:r>
        <w:t>.</w:t>
      </w:r>
    </w:p>
    <w:p w14:paraId="50C749A5" w14:textId="09CCFA0F" w:rsidR="00764F2D" w:rsidRPr="001E01BA" w:rsidRDefault="00764F2D">
      <w:pPr>
        <w:pStyle w:val="FootnoteText"/>
        <w:rPr>
          <w:lang w:val="en-GB"/>
        </w:rPr>
      </w:pPr>
      <w:r>
        <w:t>Available at:</w:t>
      </w:r>
      <w:r w:rsidRPr="008E7716">
        <w:t xml:space="preserve"> </w:t>
      </w:r>
      <w:hyperlink r:id="rId11" w:history="1">
        <w:r w:rsidRPr="00DA14E3">
          <w:rPr>
            <w:rStyle w:val="Hyperlink"/>
          </w:rPr>
          <w:t>https://clinicaltrials.gov/ct2/show/NCT02951767?term=IMvigor210&amp;draw=2&amp;rank=1</w:t>
        </w:r>
      </w:hyperlink>
      <w:r>
        <w:t>.</w:t>
      </w:r>
    </w:p>
  </w:footnote>
  <w:footnote w:id="56">
    <w:p w14:paraId="76F50ACE" w14:textId="77777777" w:rsidR="00764F2D" w:rsidRDefault="00764F2D">
      <w:pPr>
        <w:pStyle w:val="FootnoteText"/>
      </w:pPr>
      <w:r>
        <w:rPr>
          <w:rStyle w:val="FootnoteReference"/>
        </w:rPr>
        <w:footnoteRef/>
      </w:r>
      <w:r>
        <w:t xml:space="preserve"> </w:t>
      </w:r>
      <w:r w:rsidRPr="00366073">
        <w:t>ClinicalTrials.gov</w:t>
      </w:r>
      <w:r>
        <w:t xml:space="preserve"> (last updated 28 </w:t>
      </w:r>
      <w:r w:rsidRPr="0049711C">
        <w:t>June 2022</w:t>
      </w:r>
      <w:r>
        <w:t xml:space="preserve">) </w:t>
      </w:r>
      <w:r w:rsidRPr="0049711C">
        <w:t xml:space="preserve">A Study of Atezolizumab in Participants </w:t>
      </w:r>
      <w:r>
        <w:t>w</w:t>
      </w:r>
      <w:r w:rsidRPr="0049711C">
        <w:t>ith Locally Advanced or Metastatic Urothelial Bladder Cancer (Cohort 2)</w:t>
      </w:r>
      <w:r>
        <w:t>.</w:t>
      </w:r>
    </w:p>
    <w:p w14:paraId="29557C5A" w14:textId="17A1BAF6" w:rsidR="00764F2D" w:rsidRPr="001E01BA" w:rsidRDefault="00764F2D">
      <w:pPr>
        <w:pStyle w:val="FootnoteText"/>
        <w:rPr>
          <w:lang w:val="en-GB"/>
        </w:rPr>
      </w:pPr>
      <w:r>
        <w:t xml:space="preserve">Available at: </w:t>
      </w:r>
      <w:hyperlink r:id="rId12" w:history="1">
        <w:r w:rsidRPr="00A318A7">
          <w:rPr>
            <w:rStyle w:val="Hyperlink"/>
          </w:rPr>
          <w:t>https://clinicaltrials.gov/ct2/show/NCT02108652?term=IMvigor210&amp;draw=2&amp;rank=2</w:t>
        </w:r>
      </w:hyperlink>
      <w:r>
        <w:t>.</w:t>
      </w:r>
    </w:p>
  </w:footnote>
  <w:footnote w:id="57">
    <w:p w14:paraId="43CD8CB4" w14:textId="2E0829D4" w:rsidR="00764F2D" w:rsidRDefault="00764F2D">
      <w:pPr>
        <w:pStyle w:val="FootnoteText"/>
      </w:pPr>
      <w:r>
        <w:rPr>
          <w:rStyle w:val="FootnoteReference"/>
        </w:rPr>
        <w:footnoteRef/>
      </w:r>
      <w:r>
        <w:t xml:space="preserve"> </w:t>
      </w:r>
      <w:r w:rsidRPr="00366073">
        <w:t>ClinicalTrials.gov</w:t>
      </w:r>
      <w:r>
        <w:t xml:space="preserve"> (last updated 18 </w:t>
      </w:r>
      <w:r w:rsidRPr="0049711C">
        <w:t>October 2021</w:t>
      </w:r>
      <w:r>
        <w:t xml:space="preserve">) </w:t>
      </w:r>
      <w:r w:rsidRPr="0049711C">
        <w:t xml:space="preserve">A Study of Atezolizumab in Combination </w:t>
      </w:r>
      <w:r>
        <w:t>w</w:t>
      </w:r>
      <w:r w:rsidRPr="0049711C">
        <w:t xml:space="preserve">ith Nab-Paclitaxel Compared </w:t>
      </w:r>
      <w:r>
        <w:t>w</w:t>
      </w:r>
      <w:r w:rsidRPr="0049711C">
        <w:t xml:space="preserve">ith Placebo </w:t>
      </w:r>
      <w:r>
        <w:t>w</w:t>
      </w:r>
      <w:r w:rsidRPr="0049711C">
        <w:t xml:space="preserve">ith Nab-Paclitaxel for Participants </w:t>
      </w:r>
      <w:r>
        <w:t>w</w:t>
      </w:r>
      <w:r w:rsidRPr="0049711C">
        <w:t>ith Previously Untreated Metastatic Triple-Negative Breast Cancer (IMpassion130)</w:t>
      </w:r>
      <w:r>
        <w:t>.</w:t>
      </w:r>
    </w:p>
    <w:p w14:paraId="143F734F" w14:textId="328E3AF9" w:rsidR="00764F2D" w:rsidRPr="00B50F71" w:rsidRDefault="00764F2D">
      <w:pPr>
        <w:pStyle w:val="FootnoteText"/>
      </w:pPr>
      <w:r>
        <w:t xml:space="preserve">Available at: </w:t>
      </w:r>
      <w:hyperlink r:id="rId13" w:history="1">
        <w:r w:rsidRPr="00A318A7">
          <w:rPr>
            <w:rStyle w:val="Hyperlink"/>
          </w:rPr>
          <w:t>https://clinicaltrials.gov/ct2/show/NCT02425891?term=IMpassion130&amp;draw=2&amp;rank=1</w:t>
        </w:r>
      </w:hyperlink>
      <w:r>
        <w:t>.</w:t>
      </w:r>
    </w:p>
  </w:footnote>
  <w:footnote w:id="58">
    <w:p w14:paraId="377B419E" w14:textId="23F8FED9" w:rsidR="00764F2D" w:rsidRPr="001E01BA" w:rsidRDefault="00764F2D">
      <w:pPr>
        <w:pStyle w:val="FootnoteText"/>
      </w:pPr>
      <w:r>
        <w:rPr>
          <w:rStyle w:val="FootnoteReference"/>
        </w:rPr>
        <w:footnoteRef/>
      </w:r>
      <w:r>
        <w:t xml:space="preserve"> </w:t>
      </w:r>
      <w:r w:rsidRPr="001E01BA">
        <w:t xml:space="preserve">European Medicines Agency </w:t>
      </w:r>
      <w:r>
        <w:t>(EMA) S</w:t>
      </w:r>
      <w:r w:rsidRPr="001E01BA">
        <w:t>ummary of product characteristics</w:t>
      </w:r>
      <w:r>
        <w:t xml:space="preserve"> -</w:t>
      </w:r>
      <w:r w:rsidRPr="001E01BA">
        <w:t xml:space="preserve"> atezolizumab. Available at: </w:t>
      </w:r>
      <w:hyperlink r:id="rId14" w:history="1">
        <w:r w:rsidRPr="00756B75">
          <w:rPr>
            <w:rStyle w:val="Hyperlink"/>
          </w:rPr>
          <w:t>https://www.ema.europa.eu/en/documents/product-information/tecentriq-epar-product-information_en.pdf/</w:t>
        </w:r>
      </w:hyperlink>
      <w:r>
        <w:t>.</w:t>
      </w:r>
    </w:p>
  </w:footnote>
  <w:footnote w:id="59">
    <w:p w14:paraId="5F10C2DA" w14:textId="7265D22D" w:rsidR="00764F2D" w:rsidRPr="001E01BA" w:rsidRDefault="00764F2D">
      <w:pPr>
        <w:pStyle w:val="FootnoteText"/>
        <w:rPr>
          <w:lang w:val="en-GB"/>
        </w:rPr>
      </w:pPr>
      <w:r>
        <w:rPr>
          <w:rStyle w:val="FootnoteReference"/>
        </w:rPr>
        <w:footnoteRef/>
      </w:r>
      <w:r>
        <w:t xml:space="preserve"> </w:t>
      </w:r>
      <w:r w:rsidRPr="001E01BA">
        <w:t xml:space="preserve">Approved Australian Product Information for </w:t>
      </w:r>
      <w:r>
        <w:t>Keytruda pembrolizumab</w:t>
      </w:r>
      <w:r w:rsidRPr="001E01BA">
        <w:t xml:space="preserve">, </w:t>
      </w:r>
      <w:r>
        <w:t>Merck Sharp &amp; Dohme (Australia) Pty Ltd (</w:t>
      </w:r>
      <w:r w:rsidRPr="001E01BA">
        <w:t>dated February 2021</w:t>
      </w:r>
      <w:r>
        <w:t>)</w:t>
      </w:r>
      <w:r w:rsidRPr="001E01BA">
        <w:t>.</w:t>
      </w:r>
    </w:p>
  </w:footnote>
  <w:footnote w:id="60">
    <w:p w14:paraId="1A854A1D" w14:textId="6AD89168" w:rsidR="00764F2D" w:rsidRPr="00D0618C" w:rsidRDefault="00764F2D">
      <w:pPr>
        <w:pStyle w:val="FootnoteText"/>
        <w:rPr>
          <w:lang w:val="en-GB"/>
        </w:rPr>
      </w:pPr>
      <w:r>
        <w:rPr>
          <w:rStyle w:val="FootnoteReference"/>
        </w:rPr>
        <w:footnoteRef/>
      </w:r>
      <w:r>
        <w:t xml:space="preserve"> </w:t>
      </w:r>
      <w:r w:rsidRPr="00D0618C">
        <w:t>Hirsch, F.R.</w:t>
      </w:r>
      <w:r>
        <w:t xml:space="preserve"> </w:t>
      </w:r>
      <w:r w:rsidRPr="00D0618C">
        <w:t>et al. PD-L1 Immunohistochemistry Assays for Lung Cancer: Results from Phase 1 of the Blueprint PD-L1 IHC Assay Comparison Project</w:t>
      </w:r>
      <w:r>
        <w:t>,</w:t>
      </w:r>
      <w:r w:rsidRPr="00D0618C">
        <w:t xml:space="preserve"> </w:t>
      </w:r>
      <w:r w:rsidRPr="00D0618C">
        <w:rPr>
          <w:i/>
        </w:rPr>
        <w:t xml:space="preserve">J </w:t>
      </w:r>
      <w:proofErr w:type="spellStart"/>
      <w:r w:rsidRPr="00D0618C">
        <w:rPr>
          <w:i/>
        </w:rPr>
        <w:t>Thorac</w:t>
      </w:r>
      <w:proofErr w:type="spellEnd"/>
      <w:r w:rsidRPr="00D0618C">
        <w:rPr>
          <w:i/>
        </w:rPr>
        <w:t xml:space="preserve"> Oncol</w:t>
      </w:r>
      <w:r w:rsidRPr="00B50F71">
        <w:rPr>
          <w:iCs/>
        </w:rPr>
        <w:t>, 2017;</w:t>
      </w:r>
      <w:r w:rsidRPr="00D0618C">
        <w:t xml:space="preserve"> 12</w:t>
      </w:r>
      <w:r>
        <w:t>:</w:t>
      </w:r>
      <w:r w:rsidRPr="00D0618C">
        <w:t xml:space="preserve"> 208–222.</w:t>
      </w:r>
    </w:p>
  </w:footnote>
  <w:footnote w:id="61">
    <w:p w14:paraId="58EBE25D" w14:textId="2AD417D4" w:rsidR="00764F2D" w:rsidRPr="00D0618C" w:rsidRDefault="00764F2D">
      <w:pPr>
        <w:pStyle w:val="FootnoteText"/>
        <w:rPr>
          <w:lang w:val="en-GB"/>
        </w:rPr>
      </w:pPr>
      <w:r>
        <w:rPr>
          <w:rStyle w:val="FootnoteReference"/>
        </w:rPr>
        <w:footnoteRef/>
      </w:r>
      <w:r>
        <w:t xml:space="preserve"> </w:t>
      </w:r>
      <w:r w:rsidRPr="00D0618C">
        <w:t>Tsao</w:t>
      </w:r>
      <w:r>
        <w:t>,</w:t>
      </w:r>
      <w:r w:rsidRPr="00D0618C">
        <w:t xml:space="preserve"> M</w:t>
      </w:r>
      <w:r>
        <w:t>.</w:t>
      </w:r>
      <w:r w:rsidRPr="00D0618C">
        <w:t>S</w:t>
      </w:r>
      <w:r>
        <w:t>. et al.</w:t>
      </w:r>
      <w:r w:rsidRPr="00D0618C">
        <w:t xml:space="preserve"> PD-L1 Immunohistochemistry Comparability Study in Real-</w:t>
      </w:r>
      <w:r>
        <w:t>l</w:t>
      </w:r>
      <w:r w:rsidRPr="00D0618C">
        <w:t>ife Clinical Samples: Results of Blueprint Phase 2 Project</w:t>
      </w:r>
      <w:r>
        <w:t>,</w:t>
      </w:r>
      <w:r w:rsidRPr="00D0618C">
        <w:t xml:space="preserve"> </w:t>
      </w:r>
      <w:r w:rsidRPr="00D0618C">
        <w:rPr>
          <w:i/>
        </w:rPr>
        <w:t xml:space="preserve">J </w:t>
      </w:r>
      <w:proofErr w:type="spellStart"/>
      <w:r w:rsidRPr="00D0618C">
        <w:rPr>
          <w:i/>
        </w:rPr>
        <w:t>Thorac</w:t>
      </w:r>
      <w:proofErr w:type="spellEnd"/>
      <w:r w:rsidRPr="00D0618C">
        <w:rPr>
          <w:i/>
        </w:rPr>
        <w:t xml:space="preserve"> Oncol</w:t>
      </w:r>
      <w:r>
        <w:t>,</w:t>
      </w:r>
      <w:r w:rsidRPr="00D0618C">
        <w:t xml:space="preserve"> 2018;</w:t>
      </w:r>
      <w:r>
        <w:t xml:space="preserve"> </w:t>
      </w:r>
      <w:r w:rsidRPr="00D0618C">
        <w:t>13(9):</w:t>
      </w:r>
      <w:r>
        <w:t xml:space="preserve"> </w:t>
      </w:r>
      <w:r w:rsidRPr="00D0618C">
        <w:t>1302-1311</w:t>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B04B59B" w14:textId="77777777" w:rsidR="00764F2D" w:rsidRDefault="00764F2D"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AF44059" w14:textId="77777777" w:rsidR="00764F2D" w:rsidRDefault="00764F2D">
    <w:pPr>
      <w:rPr>
        <w:noProof/>
        <w:lang w:eastAsia="en-AU"/>
      </w:rPr>
    </w:pPr>
    <w:r w:rsidRPr="00347824">
      <w:rPr>
        <w:noProof/>
        <w:lang w:val="en-GB" w:eastAsia="en-GB"/>
      </w:rPr>
      <w:drawing>
        <wp:anchor distT="0" distB="0" distL="114300" distR="114300" simplePos="0" relativeHeight="251658240" behindDoc="1" locked="0" layoutInCell="1" allowOverlap="1" wp14:anchorId="1D526F9F" wp14:editId="7E90F97B">
          <wp:simplePos x="0" y="0"/>
          <wp:positionH relativeFrom="column">
            <wp:posOffset>-1089660</wp:posOffset>
          </wp:positionH>
          <wp:positionV relativeFrom="paragraph">
            <wp:posOffset>-585470</wp:posOffset>
          </wp:positionV>
          <wp:extent cx="7572375" cy="10706100"/>
          <wp:effectExtent l="19050" t="0" r="0" b="0"/>
          <wp:wrapNone/>
          <wp:docPr id="11"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p w14:paraId="27555C9E" w14:textId="77777777" w:rsidR="00764F2D" w:rsidRDefault="00764F2D" w:rsidP="00593AD1">
    <w:pPr>
      <w:pStyle w:val="HeaderNoLine"/>
    </w:pPr>
    <w:r>
      <w:rPr>
        <w:noProof/>
        <w:lang w:val="en-GB" w:eastAsia="en-GB"/>
      </w:rPr>
      <w:drawing>
        <wp:inline distT="0" distB="0" distL="0" distR="0" wp14:anchorId="1ABFD1E8" wp14:editId="4BE46C40">
          <wp:extent cx="5400675" cy="7639050"/>
          <wp:effectExtent l="0" t="0" r="9525" b="0"/>
          <wp:docPr id="12" name="Picture 12" descr="Lightbl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ghtblue.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0675" cy="763905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425F5" w14:textId="77777777" w:rsidR="00764F2D" w:rsidRDefault="00764F2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6BB0364" w14:textId="77777777" w:rsidR="00764F2D" w:rsidRDefault="00764F2D">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7495520" w14:textId="77777777" w:rsidR="00764F2D" w:rsidRDefault="00764F2D">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CB2216" w14:textId="77777777" w:rsidR="00764F2D" w:rsidRDefault="00764F2D">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8CD88DC" w14:textId="77777777" w:rsidR="00764F2D" w:rsidRDefault="00764F2D"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FB7649" w14:textId="77777777" w:rsidR="00764F2D" w:rsidRDefault="00764F2D" w:rsidP="006E08B3">
    <w:r>
      <w:t>Therapeutic Goods Administration</w:t>
    </w:r>
  </w:p>
  <w:p w14:paraId="10F5C5F5" w14:textId="77777777" w:rsidR="00764F2D" w:rsidRDefault="00764F2D"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6260986"/>
    <w:multiLevelType w:val="hybridMultilevel"/>
    <w:tmpl w:val="0CD0E0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B0D1CD0"/>
    <w:multiLevelType w:val="hybridMultilevel"/>
    <w:tmpl w:val="3D0454B4"/>
    <w:lvl w:ilvl="0" w:tplc="0C090001">
      <w:start w:val="1"/>
      <w:numFmt w:val="bullet"/>
      <w:lvlText w:val=""/>
      <w:lvlJc w:val="left"/>
      <w:pPr>
        <w:ind w:left="770" w:hanging="360"/>
      </w:pPr>
      <w:rPr>
        <w:rFonts w:ascii="Symbol" w:hAnsi="Symbol" w:hint="default"/>
      </w:rPr>
    </w:lvl>
    <w:lvl w:ilvl="1" w:tplc="0C090003">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2" w15:restartNumberingAfterBreak="0">
    <w:nsid w:val="0BFE48C1"/>
    <w:multiLevelType w:val="hybridMultilevel"/>
    <w:tmpl w:val="B8BA66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4" w15:restartNumberingAfterBreak="0">
    <w:nsid w:val="127E1BD3"/>
    <w:multiLevelType w:val="hybridMultilevel"/>
    <w:tmpl w:val="C40EFE60"/>
    <w:lvl w:ilvl="0" w:tplc="0C090001">
      <w:start w:val="1"/>
      <w:numFmt w:val="bullet"/>
      <w:lvlText w:val=""/>
      <w:lvlJc w:val="left"/>
      <w:pPr>
        <w:ind w:left="1080" w:hanging="360"/>
      </w:pPr>
      <w:rPr>
        <w:rFonts w:ascii="Symbol" w:hAnsi="Symbol" w:hint="default"/>
      </w:rPr>
    </w:lvl>
    <w:lvl w:ilvl="1" w:tplc="0C09000F">
      <w:start w:val="1"/>
      <w:numFmt w:val="decimal"/>
      <w:lvlText w:val="%2."/>
      <w:lvlJc w:val="left"/>
      <w:pPr>
        <w:ind w:left="1800" w:hanging="360"/>
      </w:pPr>
      <w:rPr>
        <w:rFonts w:hint="default"/>
      </w:rPr>
    </w:lvl>
    <w:lvl w:ilvl="2" w:tplc="0C090005">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6" w15:restartNumberingAfterBreak="0">
    <w:nsid w:val="206B5BC6"/>
    <w:multiLevelType w:val="hybridMultilevel"/>
    <w:tmpl w:val="F79600CA"/>
    <w:lvl w:ilvl="0" w:tplc="976235E6">
      <w:start w:val="1"/>
      <w:numFmt w:val="decimal"/>
      <w:lvlText w:val="%1."/>
      <w:lvlJc w:val="left"/>
      <w:pPr>
        <w:ind w:left="720" w:hanging="360"/>
      </w:pPr>
      <w:rPr>
        <w:rFonts w:cs="Times New Roman"/>
        <w:b w:val="0"/>
        <w:bCs w:val="0"/>
        <w:i w:val="0"/>
        <w:iCs w:val="0"/>
        <w:caps w:val="0"/>
        <w:smallCaps w:val="0"/>
        <w:strike w:val="0"/>
        <w:dstrike w:val="0"/>
        <w:outline w:val="0"/>
        <w:shadow w:val="0"/>
        <w:emboss w:val="0"/>
        <w:imprint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2C917190"/>
    <w:multiLevelType w:val="multilevel"/>
    <w:tmpl w:val="12465A3A"/>
    <w:lvl w:ilvl="0">
      <w:start w:val="1"/>
      <w:numFmt w:val="decimal"/>
      <w:lvlText w:val="%1."/>
      <w:lvlJc w:val="left"/>
      <w:pPr>
        <w:ind w:left="720" w:hanging="360"/>
      </w:p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15:restartNumberingAfterBreak="0">
    <w:nsid w:val="2EF530D8"/>
    <w:multiLevelType w:val="hybridMultilevel"/>
    <w:tmpl w:val="6F1AA144"/>
    <w:lvl w:ilvl="0" w:tplc="0C090001">
      <w:start w:val="1"/>
      <w:numFmt w:val="bullet"/>
      <w:lvlText w:val=""/>
      <w:lvlJc w:val="left"/>
      <w:pPr>
        <w:ind w:left="720" w:hanging="360"/>
      </w:pPr>
      <w:rPr>
        <w:rFonts w:ascii="Symbol" w:hAnsi="Symbol" w:hint="default"/>
      </w:rPr>
    </w:lvl>
    <w:lvl w:ilvl="1" w:tplc="0C09000F">
      <w:start w:val="1"/>
      <w:numFmt w:val="decimal"/>
      <w:lvlText w:val="%2."/>
      <w:lvlJc w:val="left"/>
      <w:pPr>
        <w:ind w:left="1440" w:hanging="360"/>
      </w:pPr>
      <w:rPr>
        <w:rFonts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1B77CE2"/>
    <w:multiLevelType w:val="hybridMultilevel"/>
    <w:tmpl w:val="6898222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CDA3AB5"/>
    <w:multiLevelType w:val="hybridMultilevel"/>
    <w:tmpl w:val="CF24450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424759D2"/>
    <w:multiLevelType w:val="hybridMultilevel"/>
    <w:tmpl w:val="2C0041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89B15D7"/>
    <w:multiLevelType w:val="hybridMultilevel"/>
    <w:tmpl w:val="3D2E60CC"/>
    <w:lvl w:ilvl="0" w:tplc="04CEB5FC">
      <w:start w:val="1"/>
      <w:numFmt w:val="bullet"/>
      <w:pStyle w:val="Bulletpoint"/>
      <w:lvlText w:val=""/>
      <w:lvlJc w:val="left"/>
      <w:pPr>
        <w:tabs>
          <w:tab w:val="num" w:pos="369"/>
        </w:tabs>
        <w:ind w:left="369" w:hanging="227"/>
      </w:pPr>
      <w:rPr>
        <w:rFonts w:ascii="Symbol" w:hAnsi="Symbol" w:hint="default"/>
        <w:position w:val="0"/>
        <w:sz w:val="22"/>
        <w:szCs w:val="22"/>
      </w:rPr>
    </w:lvl>
    <w:lvl w:ilvl="1" w:tplc="0C090003" w:tentative="1">
      <w:start w:val="1"/>
      <w:numFmt w:val="bullet"/>
      <w:lvlText w:val="o"/>
      <w:lvlJc w:val="left"/>
      <w:pPr>
        <w:tabs>
          <w:tab w:val="num" w:pos="1440"/>
        </w:tabs>
        <w:ind w:left="1440" w:hanging="360"/>
      </w:pPr>
      <w:rPr>
        <w:rFonts w:ascii="Courier New" w:hAnsi="Courier New" w:cs="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Symbol"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Symbol"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C667F24"/>
    <w:multiLevelType w:val="hybridMultilevel"/>
    <w:tmpl w:val="A412DF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62E1248D"/>
    <w:multiLevelType w:val="hybridMultilevel"/>
    <w:tmpl w:val="C6949C2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6F393ECE"/>
    <w:multiLevelType w:val="hybridMultilevel"/>
    <w:tmpl w:val="7214E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1F81213"/>
    <w:multiLevelType w:val="hybridMultilevel"/>
    <w:tmpl w:val="416AE8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90B67FC"/>
    <w:multiLevelType w:val="hybridMultilevel"/>
    <w:tmpl w:val="107488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5"/>
  </w:num>
  <w:num w:numId="4">
    <w:abstractNumId w:val="3"/>
  </w:num>
  <w:num w:numId="5">
    <w:abstractNumId w:val="3"/>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6">
    <w:abstractNumId w:val="13"/>
  </w:num>
  <w:num w:numId="7">
    <w:abstractNumId w:val="12"/>
  </w:num>
  <w:num w:numId="8">
    <w:abstractNumId w:val="6"/>
  </w:num>
  <w:num w:numId="9">
    <w:abstractNumId w:val="7"/>
  </w:num>
  <w:num w:numId="10">
    <w:abstractNumId w:val="9"/>
  </w:num>
  <w:num w:numId="11">
    <w:abstractNumId w:val="16"/>
  </w:num>
  <w:num w:numId="12">
    <w:abstractNumId w:val="17"/>
  </w:num>
  <w:num w:numId="13">
    <w:abstractNumId w:val="10"/>
  </w:num>
  <w:num w:numId="14">
    <w:abstractNumId w:val="1"/>
  </w:num>
  <w:num w:numId="1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
  </w:num>
  <w:num w:numId="17">
    <w:abstractNumId w:val="11"/>
  </w:num>
  <w:num w:numId="18">
    <w:abstractNumId w:val="4"/>
  </w:num>
  <w:num w:numId="19">
    <w:abstractNumId w:val="8"/>
  </w:num>
  <w:num w:numId="20">
    <w:abstractNumId w:val="15"/>
  </w:num>
  <w:num w:numId="2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4"/>
  </w:num>
  <w:num w:numId="24">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7131A"/>
    <w:rsid w:val="00002031"/>
    <w:rsid w:val="000036F6"/>
    <w:rsid w:val="00004426"/>
    <w:rsid w:val="00004734"/>
    <w:rsid w:val="00006B22"/>
    <w:rsid w:val="00006FAB"/>
    <w:rsid w:val="0001276A"/>
    <w:rsid w:val="00013622"/>
    <w:rsid w:val="00017431"/>
    <w:rsid w:val="000246AE"/>
    <w:rsid w:val="00025C67"/>
    <w:rsid w:val="000328E6"/>
    <w:rsid w:val="00044772"/>
    <w:rsid w:val="0004541C"/>
    <w:rsid w:val="0004734D"/>
    <w:rsid w:val="0005559E"/>
    <w:rsid w:val="000604D6"/>
    <w:rsid w:val="000734D8"/>
    <w:rsid w:val="000741BA"/>
    <w:rsid w:val="00077775"/>
    <w:rsid w:val="00090471"/>
    <w:rsid w:val="0009673E"/>
    <w:rsid w:val="00096AA7"/>
    <w:rsid w:val="000A3AED"/>
    <w:rsid w:val="000B3532"/>
    <w:rsid w:val="000B3A75"/>
    <w:rsid w:val="000B6A3D"/>
    <w:rsid w:val="000C00C2"/>
    <w:rsid w:val="000C690F"/>
    <w:rsid w:val="000D1295"/>
    <w:rsid w:val="000D2166"/>
    <w:rsid w:val="000D2B8E"/>
    <w:rsid w:val="000D391B"/>
    <w:rsid w:val="000D3D6D"/>
    <w:rsid w:val="000D4FC7"/>
    <w:rsid w:val="000E6196"/>
    <w:rsid w:val="000F4869"/>
    <w:rsid w:val="000F5B42"/>
    <w:rsid w:val="000F6E6F"/>
    <w:rsid w:val="0010601F"/>
    <w:rsid w:val="0010788A"/>
    <w:rsid w:val="00107A31"/>
    <w:rsid w:val="00110EA5"/>
    <w:rsid w:val="00112F56"/>
    <w:rsid w:val="0012152C"/>
    <w:rsid w:val="00122C2E"/>
    <w:rsid w:val="00124ACD"/>
    <w:rsid w:val="00125318"/>
    <w:rsid w:val="001260F6"/>
    <w:rsid w:val="001305A2"/>
    <w:rsid w:val="00133238"/>
    <w:rsid w:val="00133A1B"/>
    <w:rsid w:val="0014197B"/>
    <w:rsid w:val="001447CD"/>
    <w:rsid w:val="001516B1"/>
    <w:rsid w:val="001548E5"/>
    <w:rsid w:val="00154EBB"/>
    <w:rsid w:val="00156316"/>
    <w:rsid w:val="00161181"/>
    <w:rsid w:val="00161D56"/>
    <w:rsid w:val="00161FAE"/>
    <w:rsid w:val="00162D14"/>
    <w:rsid w:val="00163780"/>
    <w:rsid w:val="00164A78"/>
    <w:rsid w:val="00165389"/>
    <w:rsid w:val="00167976"/>
    <w:rsid w:val="0017693F"/>
    <w:rsid w:val="0018110E"/>
    <w:rsid w:val="00181684"/>
    <w:rsid w:val="00182F4B"/>
    <w:rsid w:val="001843C6"/>
    <w:rsid w:val="001850E0"/>
    <w:rsid w:val="00185407"/>
    <w:rsid w:val="001917EB"/>
    <w:rsid w:val="001A03AF"/>
    <w:rsid w:val="001A2158"/>
    <w:rsid w:val="001A525F"/>
    <w:rsid w:val="001A5A00"/>
    <w:rsid w:val="001A66B8"/>
    <w:rsid w:val="001B09F9"/>
    <w:rsid w:val="001B1DA4"/>
    <w:rsid w:val="001B5C90"/>
    <w:rsid w:val="001B6448"/>
    <w:rsid w:val="001C2419"/>
    <w:rsid w:val="001C32CD"/>
    <w:rsid w:val="001C4404"/>
    <w:rsid w:val="001D16DD"/>
    <w:rsid w:val="001D2984"/>
    <w:rsid w:val="001E01BA"/>
    <w:rsid w:val="001E07CF"/>
    <w:rsid w:val="001E2AC5"/>
    <w:rsid w:val="001E359E"/>
    <w:rsid w:val="001E59F1"/>
    <w:rsid w:val="001F2CEE"/>
    <w:rsid w:val="001F49EB"/>
    <w:rsid w:val="001F6CBA"/>
    <w:rsid w:val="00201D4E"/>
    <w:rsid w:val="002076C9"/>
    <w:rsid w:val="00210E11"/>
    <w:rsid w:val="00220B8A"/>
    <w:rsid w:val="00222505"/>
    <w:rsid w:val="00222A45"/>
    <w:rsid w:val="002257F3"/>
    <w:rsid w:val="002311B9"/>
    <w:rsid w:val="00232A3A"/>
    <w:rsid w:val="00233456"/>
    <w:rsid w:val="002339A5"/>
    <w:rsid w:val="00233E96"/>
    <w:rsid w:val="002466A8"/>
    <w:rsid w:val="00250271"/>
    <w:rsid w:val="00250F35"/>
    <w:rsid w:val="00252948"/>
    <w:rsid w:val="00257848"/>
    <w:rsid w:val="002578E8"/>
    <w:rsid w:val="00261C1E"/>
    <w:rsid w:val="0027084A"/>
    <w:rsid w:val="00275AB9"/>
    <w:rsid w:val="00280265"/>
    <w:rsid w:val="00286434"/>
    <w:rsid w:val="00286C59"/>
    <w:rsid w:val="00291957"/>
    <w:rsid w:val="002942D1"/>
    <w:rsid w:val="0029501A"/>
    <w:rsid w:val="002A1F41"/>
    <w:rsid w:val="002A3721"/>
    <w:rsid w:val="002B1638"/>
    <w:rsid w:val="002B3624"/>
    <w:rsid w:val="002B494C"/>
    <w:rsid w:val="002C57C6"/>
    <w:rsid w:val="002D0952"/>
    <w:rsid w:val="002E40B3"/>
    <w:rsid w:val="002E4C9A"/>
    <w:rsid w:val="002F11F8"/>
    <w:rsid w:val="002F3F56"/>
    <w:rsid w:val="002F44B5"/>
    <w:rsid w:val="002F5122"/>
    <w:rsid w:val="002F5B7F"/>
    <w:rsid w:val="002F6D11"/>
    <w:rsid w:val="00301468"/>
    <w:rsid w:val="00306AEE"/>
    <w:rsid w:val="00311AC0"/>
    <w:rsid w:val="003176FC"/>
    <w:rsid w:val="00324D6C"/>
    <w:rsid w:val="00324E45"/>
    <w:rsid w:val="0032583B"/>
    <w:rsid w:val="00327883"/>
    <w:rsid w:val="00332715"/>
    <w:rsid w:val="003348FB"/>
    <w:rsid w:val="00334FA6"/>
    <w:rsid w:val="00335504"/>
    <w:rsid w:val="00340C18"/>
    <w:rsid w:val="003442FD"/>
    <w:rsid w:val="00347824"/>
    <w:rsid w:val="00350567"/>
    <w:rsid w:val="0035143E"/>
    <w:rsid w:val="003521E8"/>
    <w:rsid w:val="0035321F"/>
    <w:rsid w:val="00366073"/>
    <w:rsid w:val="003672E7"/>
    <w:rsid w:val="00370CE3"/>
    <w:rsid w:val="003728F3"/>
    <w:rsid w:val="003735BC"/>
    <w:rsid w:val="0037496E"/>
    <w:rsid w:val="00383221"/>
    <w:rsid w:val="00386150"/>
    <w:rsid w:val="003874CE"/>
    <w:rsid w:val="00390900"/>
    <w:rsid w:val="003A7F6C"/>
    <w:rsid w:val="003B1C34"/>
    <w:rsid w:val="003B4D60"/>
    <w:rsid w:val="003B673C"/>
    <w:rsid w:val="003B7E39"/>
    <w:rsid w:val="003C58DC"/>
    <w:rsid w:val="003D0510"/>
    <w:rsid w:val="003D1E62"/>
    <w:rsid w:val="003D4946"/>
    <w:rsid w:val="003E0B99"/>
    <w:rsid w:val="003E2486"/>
    <w:rsid w:val="003E3208"/>
    <w:rsid w:val="003F0B04"/>
    <w:rsid w:val="003F23C2"/>
    <w:rsid w:val="003F518C"/>
    <w:rsid w:val="00400B3D"/>
    <w:rsid w:val="0040134E"/>
    <w:rsid w:val="004026A2"/>
    <w:rsid w:val="00407D0F"/>
    <w:rsid w:val="0041155F"/>
    <w:rsid w:val="0042377B"/>
    <w:rsid w:val="00427166"/>
    <w:rsid w:val="00432F64"/>
    <w:rsid w:val="004334C7"/>
    <w:rsid w:val="00440A2D"/>
    <w:rsid w:val="00441C3F"/>
    <w:rsid w:val="00444D1A"/>
    <w:rsid w:val="0045186A"/>
    <w:rsid w:val="00454BDC"/>
    <w:rsid w:val="004564A7"/>
    <w:rsid w:val="00456765"/>
    <w:rsid w:val="00460036"/>
    <w:rsid w:val="00460DD3"/>
    <w:rsid w:val="004617BF"/>
    <w:rsid w:val="00462EB5"/>
    <w:rsid w:val="00463658"/>
    <w:rsid w:val="004637A0"/>
    <w:rsid w:val="0046773A"/>
    <w:rsid w:val="004722CC"/>
    <w:rsid w:val="00476E55"/>
    <w:rsid w:val="004877F8"/>
    <w:rsid w:val="00490483"/>
    <w:rsid w:val="004936E4"/>
    <w:rsid w:val="00494E60"/>
    <w:rsid w:val="0049711C"/>
    <w:rsid w:val="00497487"/>
    <w:rsid w:val="004A2771"/>
    <w:rsid w:val="004A6189"/>
    <w:rsid w:val="004A7390"/>
    <w:rsid w:val="004B7B76"/>
    <w:rsid w:val="004C0A2D"/>
    <w:rsid w:val="004C239D"/>
    <w:rsid w:val="004C2B1B"/>
    <w:rsid w:val="004C2DCA"/>
    <w:rsid w:val="004C4FBE"/>
    <w:rsid w:val="004C53BF"/>
    <w:rsid w:val="004C61D2"/>
    <w:rsid w:val="004E29CD"/>
    <w:rsid w:val="004F0C4A"/>
    <w:rsid w:val="004F0F38"/>
    <w:rsid w:val="004F47D6"/>
    <w:rsid w:val="00500337"/>
    <w:rsid w:val="00501921"/>
    <w:rsid w:val="00505417"/>
    <w:rsid w:val="00507997"/>
    <w:rsid w:val="0052149B"/>
    <w:rsid w:val="00523A21"/>
    <w:rsid w:val="00525A82"/>
    <w:rsid w:val="00530354"/>
    <w:rsid w:val="0053625B"/>
    <w:rsid w:val="00537E7F"/>
    <w:rsid w:val="005434C6"/>
    <w:rsid w:val="00543B39"/>
    <w:rsid w:val="00544993"/>
    <w:rsid w:val="00545CDB"/>
    <w:rsid w:val="00546154"/>
    <w:rsid w:val="00550096"/>
    <w:rsid w:val="00555280"/>
    <w:rsid w:val="00557FF9"/>
    <w:rsid w:val="00562327"/>
    <w:rsid w:val="005711D5"/>
    <w:rsid w:val="00576378"/>
    <w:rsid w:val="00577130"/>
    <w:rsid w:val="00577945"/>
    <w:rsid w:val="00577E38"/>
    <w:rsid w:val="005814DC"/>
    <w:rsid w:val="00585322"/>
    <w:rsid w:val="005857C6"/>
    <w:rsid w:val="00592F6E"/>
    <w:rsid w:val="00593AD1"/>
    <w:rsid w:val="005A50B3"/>
    <w:rsid w:val="005A68B6"/>
    <w:rsid w:val="005A79F5"/>
    <w:rsid w:val="005C494B"/>
    <w:rsid w:val="005C4DDA"/>
    <w:rsid w:val="005C5570"/>
    <w:rsid w:val="005C5B66"/>
    <w:rsid w:val="005C79A4"/>
    <w:rsid w:val="005D3783"/>
    <w:rsid w:val="005D5442"/>
    <w:rsid w:val="005D635A"/>
    <w:rsid w:val="005E2B92"/>
    <w:rsid w:val="005E714F"/>
    <w:rsid w:val="00603F32"/>
    <w:rsid w:val="00604550"/>
    <w:rsid w:val="00605AD4"/>
    <w:rsid w:val="00611B1F"/>
    <w:rsid w:val="006136D7"/>
    <w:rsid w:val="00613D48"/>
    <w:rsid w:val="0061529B"/>
    <w:rsid w:val="00625A6E"/>
    <w:rsid w:val="00630A86"/>
    <w:rsid w:val="00632398"/>
    <w:rsid w:val="00640FC3"/>
    <w:rsid w:val="00642020"/>
    <w:rsid w:val="006430EE"/>
    <w:rsid w:val="00643CE5"/>
    <w:rsid w:val="00646358"/>
    <w:rsid w:val="0065337B"/>
    <w:rsid w:val="0065419D"/>
    <w:rsid w:val="006603BC"/>
    <w:rsid w:val="006604D8"/>
    <w:rsid w:val="0066268A"/>
    <w:rsid w:val="00664A5B"/>
    <w:rsid w:val="0066527A"/>
    <w:rsid w:val="0066735C"/>
    <w:rsid w:val="00670E82"/>
    <w:rsid w:val="006763D2"/>
    <w:rsid w:val="00680C08"/>
    <w:rsid w:val="00682F4A"/>
    <w:rsid w:val="006901BA"/>
    <w:rsid w:val="006916A0"/>
    <w:rsid w:val="006931B1"/>
    <w:rsid w:val="00695B58"/>
    <w:rsid w:val="00696BFE"/>
    <w:rsid w:val="00697CCB"/>
    <w:rsid w:val="006A15C0"/>
    <w:rsid w:val="006A58A8"/>
    <w:rsid w:val="006A6117"/>
    <w:rsid w:val="006C3E2A"/>
    <w:rsid w:val="006C642F"/>
    <w:rsid w:val="006D03E5"/>
    <w:rsid w:val="006D5D3E"/>
    <w:rsid w:val="006E08B3"/>
    <w:rsid w:val="006E2EA2"/>
    <w:rsid w:val="006E5289"/>
    <w:rsid w:val="006E617D"/>
    <w:rsid w:val="006E7D4A"/>
    <w:rsid w:val="006F17AC"/>
    <w:rsid w:val="006F25B8"/>
    <w:rsid w:val="006F572E"/>
    <w:rsid w:val="0070286D"/>
    <w:rsid w:val="007046D6"/>
    <w:rsid w:val="00705DB0"/>
    <w:rsid w:val="00716528"/>
    <w:rsid w:val="00717EB7"/>
    <w:rsid w:val="0072292E"/>
    <w:rsid w:val="00722B57"/>
    <w:rsid w:val="00725DB0"/>
    <w:rsid w:val="00727791"/>
    <w:rsid w:val="00730F8A"/>
    <w:rsid w:val="00735A8C"/>
    <w:rsid w:val="00737059"/>
    <w:rsid w:val="0074163C"/>
    <w:rsid w:val="00741B2A"/>
    <w:rsid w:val="0074253D"/>
    <w:rsid w:val="00744121"/>
    <w:rsid w:val="0074429B"/>
    <w:rsid w:val="007443A7"/>
    <w:rsid w:val="007615BC"/>
    <w:rsid w:val="00762F05"/>
    <w:rsid w:val="00764F2D"/>
    <w:rsid w:val="007652FF"/>
    <w:rsid w:val="00770CAC"/>
    <w:rsid w:val="00770EF1"/>
    <w:rsid w:val="0077131A"/>
    <w:rsid w:val="00773EF7"/>
    <w:rsid w:val="00774E1D"/>
    <w:rsid w:val="007765D8"/>
    <w:rsid w:val="0077675A"/>
    <w:rsid w:val="00780355"/>
    <w:rsid w:val="007819FD"/>
    <w:rsid w:val="00785717"/>
    <w:rsid w:val="00785721"/>
    <w:rsid w:val="00793A59"/>
    <w:rsid w:val="007A1603"/>
    <w:rsid w:val="007A46F5"/>
    <w:rsid w:val="007A6505"/>
    <w:rsid w:val="007B6132"/>
    <w:rsid w:val="007B6E9F"/>
    <w:rsid w:val="007C1216"/>
    <w:rsid w:val="007C1AF7"/>
    <w:rsid w:val="007C6B9B"/>
    <w:rsid w:val="007D374A"/>
    <w:rsid w:val="007D53B6"/>
    <w:rsid w:val="007E38B6"/>
    <w:rsid w:val="007E45AA"/>
    <w:rsid w:val="00804D99"/>
    <w:rsid w:val="0080592A"/>
    <w:rsid w:val="00805D27"/>
    <w:rsid w:val="00806DCB"/>
    <w:rsid w:val="008110BC"/>
    <w:rsid w:val="008159EE"/>
    <w:rsid w:val="00821776"/>
    <w:rsid w:val="0082463A"/>
    <w:rsid w:val="0083105F"/>
    <w:rsid w:val="008321F5"/>
    <w:rsid w:val="00832369"/>
    <w:rsid w:val="00833ED8"/>
    <w:rsid w:val="00834660"/>
    <w:rsid w:val="00836BC2"/>
    <w:rsid w:val="00837891"/>
    <w:rsid w:val="008476AD"/>
    <w:rsid w:val="0085156D"/>
    <w:rsid w:val="00852B28"/>
    <w:rsid w:val="0085641B"/>
    <w:rsid w:val="00857136"/>
    <w:rsid w:val="008622F0"/>
    <w:rsid w:val="008641AB"/>
    <w:rsid w:val="00865B03"/>
    <w:rsid w:val="00875A6B"/>
    <w:rsid w:val="00880C95"/>
    <w:rsid w:val="00885B11"/>
    <w:rsid w:val="00886D15"/>
    <w:rsid w:val="00887DD8"/>
    <w:rsid w:val="00891BA9"/>
    <w:rsid w:val="00893B02"/>
    <w:rsid w:val="0089448F"/>
    <w:rsid w:val="00896018"/>
    <w:rsid w:val="008960DD"/>
    <w:rsid w:val="0089635C"/>
    <w:rsid w:val="008A2B9D"/>
    <w:rsid w:val="008A3D9F"/>
    <w:rsid w:val="008A5E0B"/>
    <w:rsid w:val="008A6D59"/>
    <w:rsid w:val="008B4B03"/>
    <w:rsid w:val="008B596F"/>
    <w:rsid w:val="008C159F"/>
    <w:rsid w:val="008C1623"/>
    <w:rsid w:val="008C1850"/>
    <w:rsid w:val="008C51A9"/>
    <w:rsid w:val="008D2227"/>
    <w:rsid w:val="008D2B91"/>
    <w:rsid w:val="008E6CEF"/>
    <w:rsid w:val="008E7716"/>
    <w:rsid w:val="008E7846"/>
    <w:rsid w:val="008F02E5"/>
    <w:rsid w:val="008F1CCC"/>
    <w:rsid w:val="008F2967"/>
    <w:rsid w:val="008F6943"/>
    <w:rsid w:val="00902A21"/>
    <w:rsid w:val="009069A7"/>
    <w:rsid w:val="00910C94"/>
    <w:rsid w:val="0091523F"/>
    <w:rsid w:val="00920330"/>
    <w:rsid w:val="009219D7"/>
    <w:rsid w:val="00922D53"/>
    <w:rsid w:val="00923B70"/>
    <w:rsid w:val="00924482"/>
    <w:rsid w:val="009258F9"/>
    <w:rsid w:val="00930237"/>
    <w:rsid w:val="009341DD"/>
    <w:rsid w:val="00937C17"/>
    <w:rsid w:val="00940A89"/>
    <w:rsid w:val="00941F77"/>
    <w:rsid w:val="00946EA5"/>
    <w:rsid w:val="00955EBA"/>
    <w:rsid w:val="00960520"/>
    <w:rsid w:val="00963C08"/>
    <w:rsid w:val="00965711"/>
    <w:rsid w:val="009752A5"/>
    <w:rsid w:val="0098585A"/>
    <w:rsid w:val="009A4CED"/>
    <w:rsid w:val="009A690D"/>
    <w:rsid w:val="009B1D12"/>
    <w:rsid w:val="009B416B"/>
    <w:rsid w:val="009B4AAF"/>
    <w:rsid w:val="009C4BD5"/>
    <w:rsid w:val="009C6C9E"/>
    <w:rsid w:val="009D1ADA"/>
    <w:rsid w:val="009D6E11"/>
    <w:rsid w:val="009D7B77"/>
    <w:rsid w:val="009E0BB0"/>
    <w:rsid w:val="009E1C2D"/>
    <w:rsid w:val="009E2618"/>
    <w:rsid w:val="009E3FBB"/>
    <w:rsid w:val="009E5A87"/>
    <w:rsid w:val="009F18FC"/>
    <w:rsid w:val="009F2673"/>
    <w:rsid w:val="009F442E"/>
    <w:rsid w:val="009F7353"/>
    <w:rsid w:val="00A04F85"/>
    <w:rsid w:val="00A05FA4"/>
    <w:rsid w:val="00A06369"/>
    <w:rsid w:val="00A102E4"/>
    <w:rsid w:val="00A1219C"/>
    <w:rsid w:val="00A12C42"/>
    <w:rsid w:val="00A14DF7"/>
    <w:rsid w:val="00A22D57"/>
    <w:rsid w:val="00A30571"/>
    <w:rsid w:val="00A3246D"/>
    <w:rsid w:val="00A36FA7"/>
    <w:rsid w:val="00A44DDB"/>
    <w:rsid w:val="00A475B7"/>
    <w:rsid w:val="00A47AF7"/>
    <w:rsid w:val="00A47C3E"/>
    <w:rsid w:val="00A50226"/>
    <w:rsid w:val="00A60BAD"/>
    <w:rsid w:val="00A77F87"/>
    <w:rsid w:val="00A80B5B"/>
    <w:rsid w:val="00A81BA6"/>
    <w:rsid w:val="00A84E36"/>
    <w:rsid w:val="00A964D1"/>
    <w:rsid w:val="00A97B0B"/>
    <w:rsid w:val="00AA0ED0"/>
    <w:rsid w:val="00AA206B"/>
    <w:rsid w:val="00AC2B40"/>
    <w:rsid w:val="00AC2BB2"/>
    <w:rsid w:val="00AC2C3C"/>
    <w:rsid w:val="00AC512D"/>
    <w:rsid w:val="00AD0083"/>
    <w:rsid w:val="00AD3935"/>
    <w:rsid w:val="00AE65EB"/>
    <w:rsid w:val="00AE67A7"/>
    <w:rsid w:val="00AF1D94"/>
    <w:rsid w:val="00AF2313"/>
    <w:rsid w:val="00AF60C5"/>
    <w:rsid w:val="00B009C6"/>
    <w:rsid w:val="00B01548"/>
    <w:rsid w:val="00B03742"/>
    <w:rsid w:val="00B130C5"/>
    <w:rsid w:val="00B13A95"/>
    <w:rsid w:val="00B13EBD"/>
    <w:rsid w:val="00B1406F"/>
    <w:rsid w:val="00B15BCB"/>
    <w:rsid w:val="00B178E4"/>
    <w:rsid w:val="00B21D29"/>
    <w:rsid w:val="00B25034"/>
    <w:rsid w:val="00B26DED"/>
    <w:rsid w:val="00B31ACA"/>
    <w:rsid w:val="00B33588"/>
    <w:rsid w:val="00B33863"/>
    <w:rsid w:val="00B37D17"/>
    <w:rsid w:val="00B4175E"/>
    <w:rsid w:val="00B41C85"/>
    <w:rsid w:val="00B427CC"/>
    <w:rsid w:val="00B452CE"/>
    <w:rsid w:val="00B50F71"/>
    <w:rsid w:val="00B54C25"/>
    <w:rsid w:val="00B54D55"/>
    <w:rsid w:val="00B63B13"/>
    <w:rsid w:val="00B64526"/>
    <w:rsid w:val="00B74C8D"/>
    <w:rsid w:val="00B76B91"/>
    <w:rsid w:val="00B77EB1"/>
    <w:rsid w:val="00B811C6"/>
    <w:rsid w:val="00B855B0"/>
    <w:rsid w:val="00B92E08"/>
    <w:rsid w:val="00BA6B66"/>
    <w:rsid w:val="00BB0B78"/>
    <w:rsid w:val="00BB1C3D"/>
    <w:rsid w:val="00BC5166"/>
    <w:rsid w:val="00BC622A"/>
    <w:rsid w:val="00BD454D"/>
    <w:rsid w:val="00BE0A78"/>
    <w:rsid w:val="00BE3361"/>
    <w:rsid w:val="00BE6542"/>
    <w:rsid w:val="00BE79F0"/>
    <w:rsid w:val="00BF046D"/>
    <w:rsid w:val="00BF1190"/>
    <w:rsid w:val="00BF3774"/>
    <w:rsid w:val="00BF5D04"/>
    <w:rsid w:val="00BF7063"/>
    <w:rsid w:val="00C009AA"/>
    <w:rsid w:val="00C05B15"/>
    <w:rsid w:val="00C072DB"/>
    <w:rsid w:val="00C10DF4"/>
    <w:rsid w:val="00C1164D"/>
    <w:rsid w:val="00C165A4"/>
    <w:rsid w:val="00C16861"/>
    <w:rsid w:val="00C22682"/>
    <w:rsid w:val="00C2713A"/>
    <w:rsid w:val="00C30DCA"/>
    <w:rsid w:val="00C34133"/>
    <w:rsid w:val="00C346AB"/>
    <w:rsid w:val="00C404A6"/>
    <w:rsid w:val="00C40A36"/>
    <w:rsid w:val="00C41F50"/>
    <w:rsid w:val="00C44419"/>
    <w:rsid w:val="00C45E7B"/>
    <w:rsid w:val="00C471B1"/>
    <w:rsid w:val="00C525A2"/>
    <w:rsid w:val="00C52E24"/>
    <w:rsid w:val="00C6316B"/>
    <w:rsid w:val="00C634A9"/>
    <w:rsid w:val="00C64586"/>
    <w:rsid w:val="00C703AD"/>
    <w:rsid w:val="00C70A36"/>
    <w:rsid w:val="00C70D53"/>
    <w:rsid w:val="00C73D0B"/>
    <w:rsid w:val="00C74F5C"/>
    <w:rsid w:val="00C772FF"/>
    <w:rsid w:val="00C80137"/>
    <w:rsid w:val="00C801AF"/>
    <w:rsid w:val="00C80256"/>
    <w:rsid w:val="00C80B72"/>
    <w:rsid w:val="00C94CD4"/>
    <w:rsid w:val="00C9747E"/>
    <w:rsid w:val="00C977D7"/>
    <w:rsid w:val="00CB6BC0"/>
    <w:rsid w:val="00CC1B7C"/>
    <w:rsid w:val="00CC5044"/>
    <w:rsid w:val="00CC727F"/>
    <w:rsid w:val="00CD3160"/>
    <w:rsid w:val="00CF15C3"/>
    <w:rsid w:val="00CF2B6F"/>
    <w:rsid w:val="00CF2F3E"/>
    <w:rsid w:val="00CF3F54"/>
    <w:rsid w:val="00CF42A6"/>
    <w:rsid w:val="00CF58B6"/>
    <w:rsid w:val="00CF5DAD"/>
    <w:rsid w:val="00D00032"/>
    <w:rsid w:val="00D0062D"/>
    <w:rsid w:val="00D017ED"/>
    <w:rsid w:val="00D040D3"/>
    <w:rsid w:val="00D04C65"/>
    <w:rsid w:val="00D0618C"/>
    <w:rsid w:val="00D153D8"/>
    <w:rsid w:val="00D201D2"/>
    <w:rsid w:val="00D212F3"/>
    <w:rsid w:val="00D224FE"/>
    <w:rsid w:val="00D23139"/>
    <w:rsid w:val="00D425BB"/>
    <w:rsid w:val="00D453FA"/>
    <w:rsid w:val="00D574CF"/>
    <w:rsid w:val="00D61F24"/>
    <w:rsid w:val="00D6299E"/>
    <w:rsid w:val="00D6493E"/>
    <w:rsid w:val="00D7195D"/>
    <w:rsid w:val="00D7301E"/>
    <w:rsid w:val="00D83AE1"/>
    <w:rsid w:val="00D854AC"/>
    <w:rsid w:val="00D855D4"/>
    <w:rsid w:val="00D902C9"/>
    <w:rsid w:val="00D93466"/>
    <w:rsid w:val="00D9665C"/>
    <w:rsid w:val="00DA1124"/>
    <w:rsid w:val="00DA3D21"/>
    <w:rsid w:val="00DA64CB"/>
    <w:rsid w:val="00DB06B8"/>
    <w:rsid w:val="00DB1208"/>
    <w:rsid w:val="00DB6124"/>
    <w:rsid w:val="00DB750B"/>
    <w:rsid w:val="00DB75B7"/>
    <w:rsid w:val="00DC0A2F"/>
    <w:rsid w:val="00DC1948"/>
    <w:rsid w:val="00DC6E02"/>
    <w:rsid w:val="00DD28CD"/>
    <w:rsid w:val="00DE02AE"/>
    <w:rsid w:val="00DE31C1"/>
    <w:rsid w:val="00DE39D1"/>
    <w:rsid w:val="00DE5259"/>
    <w:rsid w:val="00DF1D7F"/>
    <w:rsid w:val="00DF4BE4"/>
    <w:rsid w:val="00DF6DE3"/>
    <w:rsid w:val="00DF7C6F"/>
    <w:rsid w:val="00E00F6A"/>
    <w:rsid w:val="00E02382"/>
    <w:rsid w:val="00E02FB4"/>
    <w:rsid w:val="00E13FC7"/>
    <w:rsid w:val="00E20571"/>
    <w:rsid w:val="00E235F7"/>
    <w:rsid w:val="00E23659"/>
    <w:rsid w:val="00E239D4"/>
    <w:rsid w:val="00E26130"/>
    <w:rsid w:val="00E31736"/>
    <w:rsid w:val="00E31860"/>
    <w:rsid w:val="00E33D42"/>
    <w:rsid w:val="00E40B22"/>
    <w:rsid w:val="00E42308"/>
    <w:rsid w:val="00E44ED1"/>
    <w:rsid w:val="00E45619"/>
    <w:rsid w:val="00E4588F"/>
    <w:rsid w:val="00E46DA3"/>
    <w:rsid w:val="00E51BB1"/>
    <w:rsid w:val="00E551C9"/>
    <w:rsid w:val="00E55CB0"/>
    <w:rsid w:val="00E60EE4"/>
    <w:rsid w:val="00E624A5"/>
    <w:rsid w:val="00E64BA4"/>
    <w:rsid w:val="00E667E9"/>
    <w:rsid w:val="00E7107F"/>
    <w:rsid w:val="00E7344E"/>
    <w:rsid w:val="00E77FE0"/>
    <w:rsid w:val="00E82665"/>
    <w:rsid w:val="00E848A3"/>
    <w:rsid w:val="00EB0798"/>
    <w:rsid w:val="00EB40AD"/>
    <w:rsid w:val="00EB586E"/>
    <w:rsid w:val="00EB5FC8"/>
    <w:rsid w:val="00EC0FD4"/>
    <w:rsid w:val="00EC463D"/>
    <w:rsid w:val="00EC7A85"/>
    <w:rsid w:val="00ED2922"/>
    <w:rsid w:val="00ED3CAD"/>
    <w:rsid w:val="00ED5A41"/>
    <w:rsid w:val="00EE1DE8"/>
    <w:rsid w:val="00EE27C2"/>
    <w:rsid w:val="00EF27FE"/>
    <w:rsid w:val="00EF4BAD"/>
    <w:rsid w:val="00EF59DC"/>
    <w:rsid w:val="00F033EC"/>
    <w:rsid w:val="00F04F68"/>
    <w:rsid w:val="00F12670"/>
    <w:rsid w:val="00F14B27"/>
    <w:rsid w:val="00F173E5"/>
    <w:rsid w:val="00F3148D"/>
    <w:rsid w:val="00F325C5"/>
    <w:rsid w:val="00F32FE0"/>
    <w:rsid w:val="00F35298"/>
    <w:rsid w:val="00F4319A"/>
    <w:rsid w:val="00F47333"/>
    <w:rsid w:val="00F47E37"/>
    <w:rsid w:val="00F53C07"/>
    <w:rsid w:val="00F54B65"/>
    <w:rsid w:val="00F63DBF"/>
    <w:rsid w:val="00F640B6"/>
    <w:rsid w:val="00F659BC"/>
    <w:rsid w:val="00F66DF2"/>
    <w:rsid w:val="00F72EA1"/>
    <w:rsid w:val="00F80E40"/>
    <w:rsid w:val="00F848D9"/>
    <w:rsid w:val="00F86FC0"/>
    <w:rsid w:val="00F92E33"/>
    <w:rsid w:val="00FA12B6"/>
    <w:rsid w:val="00FA1421"/>
    <w:rsid w:val="00FA4BBA"/>
    <w:rsid w:val="00FA5069"/>
    <w:rsid w:val="00FA5B82"/>
    <w:rsid w:val="00FA639E"/>
    <w:rsid w:val="00FB3757"/>
    <w:rsid w:val="00FC1FCA"/>
    <w:rsid w:val="00FC25E4"/>
    <w:rsid w:val="00FC4EF7"/>
    <w:rsid w:val="00FD0824"/>
    <w:rsid w:val="00FD119B"/>
    <w:rsid w:val="00FD1B9D"/>
    <w:rsid w:val="00FD1EDC"/>
    <w:rsid w:val="00FE1DEE"/>
    <w:rsid w:val="00FE3F02"/>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14:docId w14:val="42FB1C38"/>
  <w15:docId w15:val="{9F2F450D-8756-4E7C-8B9A-8945F87BE7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qFormat="1"/>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lsdException w:name="footer" w:qFormat="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6E5289"/>
    <w:pPr>
      <w:spacing w:before="120" w:after="120" w:line="240" w:lineRule="atLeast"/>
    </w:pPr>
    <w:rPr>
      <w:rFonts w:ascii="Cambria" w:eastAsia="Cambria" w:hAnsi="Cambria" w:cs="Times New Roman"/>
    </w:rPr>
  </w:style>
  <w:style w:type="paragraph" w:styleId="Heading1">
    <w:name w:val="heading 1"/>
    <w:basedOn w:val="Heading2"/>
    <w:next w:val="Normal"/>
    <w:link w:val="Heading1Char"/>
    <w:qFormat/>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qFormat/>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qFormat/>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qFormat/>
    <w:rsid w:val="00F3148D"/>
    <w:pPr>
      <w:spacing w:after="0" w:line="240" w:lineRule="auto"/>
    </w:pPr>
    <w:rPr>
      <w:rFonts w:ascii="Arial" w:hAnsi="Arial"/>
      <w:noProof/>
      <w:sz w:val="14"/>
      <w:lang w:eastAsia="en-AU"/>
    </w:rPr>
  </w:style>
  <w:style w:type="paragraph" w:customStyle="1" w:styleId="AxisTitle">
    <w:name w:val="Axis Title"/>
    <w:basedOn w:val="Normal"/>
    <w:qFormat/>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F3148D"/>
    <w:pPr>
      <w:spacing w:after="0"/>
    </w:pPr>
    <w:rPr>
      <w:rFonts w:ascii="Arial" w:hAnsi="Arial"/>
      <w:sz w:val="28"/>
    </w:rPr>
  </w:style>
  <w:style w:type="character" w:customStyle="1" w:styleId="DateChar">
    <w:name w:val="Date Char"/>
    <w:basedOn w:val="DefaultParagraphFont"/>
    <w:link w:val="Date"/>
    <w:uiPriority w:val="99"/>
    <w:rsid w:val="00F3148D"/>
    <w:rPr>
      <w:rFonts w:ascii="Arial" w:hAnsi="Arial"/>
      <w:sz w:val="28"/>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qFormat/>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qFormat/>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qFormat/>
    <w:rsid w:val="00F3148D"/>
    <w:rPr>
      <w:sz w:val="14"/>
    </w:rPr>
  </w:style>
  <w:style w:type="paragraph" w:customStyle="1" w:styleId="LegalCopy">
    <w:name w:val="Legal Copy"/>
    <w:basedOn w:val="Footer"/>
    <w:qFormat/>
    <w:rsid w:val="00F3148D"/>
  </w:style>
  <w:style w:type="paragraph" w:customStyle="1" w:styleId="LegalSubheading">
    <w:name w:val="Legal Subheading"/>
    <w:basedOn w:val="Footer"/>
    <w:qFormat/>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99"/>
    <w:qFormat/>
    <w:rsid w:val="004C2DCA"/>
    <w:pPr>
      <w:numPr>
        <w:numId w:val="3"/>
      </w:numPr>
    </w:pPr>
  </w:style>
  <w:style w:type="paragraph" w:styleId="ListBullet2">
    <w:name w:val="List Bullet 2"/>
    <w:basedOn w:val="Normal"/>
    <w:uiPriority w:val="99"/>
    <w:qFormat/>
    <w:rsid w:val="004C2DCA"/>
    <w:pPr>
      <w:numPr>
        <w:ilvl w:val="1"/>
        <w:numId w:val="3"/>
      </w:numPr>
    </w:pPr>
  </w:style>
  <w:style w:type="paragraph" w:styleId="ListBullet3">
    <w:name w:val="List Bullet 3"/>
    <w:basedOn w:val="Normal"/>
    <w:uiPriority w:val="99"/>
    <w:qFormat/>
    <w:rsid w:val="004C2DCA"/>
    <w:pPr>
      <w:numPr>
        <w:ilvl w:val="2"/>
        <w:numId w:val="3"/>
      </w:numPr>
    </w:pPr>
  </w:style>
  <w:style w:type="numbering" w:customStyle="1" w:styleId="ListBullets">
    <w:name w:val="ListBullets"/>
    <w:uiPriority w:val="99"/>
    <w:locked/>
    <w:rsid w:val="00F3148D"/>
    <w:pPr>
      <w:numPr>
        <w:numId w:val="1"/>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qFormat/>
    <w:locked/>
    <w:rsid w:val="00F3148D"/>
    <w:pPr>
      <w:spacing w:after="0" w:line="240" w:lineRule="auto"/>
    </w:pPr>
    <w:rPr>
      <w:rFonts w:ascii="Arial" w:hAnsi="Arial"/>
      <w:sz w:val="16"/>
    </w:rPr>
  </w:style>
  <w:style w:type="paragraph" w:customStyle="1" w:styleId="Numberbullet0">
    <w:name w:val="Number bullet"/>
    <w:basedOn w:val="ListBullet"/>
    <w:qFormat/>
    <w:rsid w:val="004C2DCA"/>
    <w:pPr>
      <w:numPr>
        <w:numId w:val="4"/>
      </w:numPr>
    </w:pPr>
  </w:style>
  <w:style w:type="paragraph" w:customStyle="1" w:styleId="Numberbullet2">
    <w:name w:val="Number bullet 2"/>
    <w:basedOn w:val="ListBullet2"/>
    <w:qFormat/>
    <w:rsid w:val="004C2DCA"/>
    <w:pPr>
      <w:numPr>
        <w:numId w:val="4"/>
      </w:numPr>
    </w:pPr>
  </w:style>
  <w:style w:type="paragraph" w:customStyle="1" w:styleId="Numberbullet3">
    <w:name w:val="Number bullet 3"/>
    <w:basedOn w:val="ListBullet3"/>
    <w:qFormat/>
    <w:rsid w:val="004C2DCA"/>
    <w:pPr>
      <w:numPr>
        <w:numId w:val="4"/>
      </w:numPr>
    </w:pPr>
  </w:style>
  <w:style w:type="numbering" w:customStyle="1" w:styleId="NumberBullet">
    <w:name w:val="NumberBullet"/>
    <w:uiPriority w:val="99"/>
    <w:locked/>
    <w:rsid w:val="00F3148D"/>
    <w:pPr>
      <w:numPr>
        <w:numId w:val="2"/>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8A5E0B"/>
    <w:pPr>
      <w:numPr>
        <w:ilvl w:val="1"/>
      </w:numPr>
      <w:spacing w:after="360"/>
      <w:ind w:left="170"/>
    </w:pPr>
    <w:rPr>
      <w:rFonts w:ascii="Arial" w:eastAsia="Times New Roman" w:hAnsi="Arial"/>
      <w:bCs/>
      <w:iCs/>
      <w:sz w:val="40"/>
      <w:szCs w:val="24"/>
    </w:rPr>
  </w:style>
  <w:style w:type="character" w:customStyle="1" w:styleId="SubtitleChar">
    <w:name w:val="Subtitle Char"/>
    <w:basedOn w:val="DefaultParagraphFont"/>
    <w:link w:val="Subtitle"/>
    <w:uiPriority w:val="11"/>
    <w:rsid w:val="00F3148D"/>
    <w:rPr>
      <w:rFonts w:ascii="Arial" w:eastAsia="Times New Roman" w:hAnsi="Arial" w:cs="Times New Roman"/>
      <w:bCs/>
      <w:iCs/>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qFormat/>
    <w:rsid w:val="002E40B3"/>
    <w:pPr>
      <w:keepNext/>
    </w:pPr>
    <w:rPr>
      <w:b/>
    </w:rPr>
  </w:style>
  <w:style w:type="paragraph" w:customStyle="1" w:styleId="TGASignoff">
    <w:name w:val="TGA Signoff"/>
    <w:basedOn w:val="Normal"/>
    <w:qFormat/>
    <w:rsid w:val="00F3148D"/>
    <w:pPr>
      <w:jc w:val="center"/>
    </w:pPr>
    <w:rPr>
      <w:rFonts w:ascii="Arial" w:hAnsi="Arial"/>
      <w:b/>
      <w:sz w:val="28"/>
    </w:rPr>
  </w:style>
  <w:style w:type="paragraph" w:styleId="Title">
    <w:name w:val="Title"/>
    <w:next w:val="Normal"/>
    <w:link w:val="TitleChar"/>
    <w:uiPriority w:val="10"/>
    <w:rsid w:val="00C74F5C"/>
    <w:pPr>
      <w:spacing w:after="480" w:line="240" w:lineRule="auto"/>
      <w:contextualSpacing/>
      <w:outlineLvl w:val="0"/>
    </w:pPr>
    <w:rPr>
      <w:rFonts w:ascii="Arial" w:eastAsia="Times New Roman" w:hAnsi="Arial" w:cs="Times New Roman"/>
      <w:spacing w:val="5"/>
      <w:kern w:val="28"/>
      <w:sz w:val="52"/>
      <w:szCs w:val="52"/>
    </w:rPr>
  </w:style>
  <w:style w:type="character" w:customStyle="1" w:styleId="TitleChar">
    <w:name w:val="Title Char"/>
    <w:basedOn w:val="DefaultParagraphFont"/>
    <w:link w:val="Title"/>
    <w:uiPriority w:val="10"/>
    <w:rsid w:val="00C74F5C"/>
    <w:rPr>
      <w:rFonts w:ascii="Arial" w:eastAsia="Times New Roman" w:hAnsi="Arial" w:cs="Times New Roman"/>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uiPriority w:val="99"/>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uiPriority w:val="99"/>
    <w:rsid w:val="000E6196"/>
    <w:rPr>
      <w:rFonts w:ascii="Cambria" w:eastAsia="Cambria" w:hAnsi="Cambria" w:cs="Times New Roman"/>
      <w:sz w:val="20"/>
      <w:szCs w:val="20"/>
    </w:rPr>
  </w:style>
  <w:style w:type="character" w:styleId="EndnoteReference">
    <w:name w:val="endnote reference"/>
    <w:basedOn w:val="DefaultParagraphFont"/>
    <w:uiPriority w:val="99"/>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styleId="ListParagraph">
    <w:name w:val="List Paragraph"/>
    <w:basedOn w:val="Normal"/>
    <w:uiPriority w:val="34"/>
    <w:rsid w:val="00C41F50"/>
    <w:pPr>
      <w:ind w:left="720"/>
      <w:contextualSpacing/>
    </w:pPr>
  </w:style>
  <w:style w:type="paragraph" w:customStyle="1" w:styleId="FigureCaption">
    <w:name w:val="Figure Caption"/>
    <w:basedOn w:val="Normal"/>
    <w:qFormat/>
    <w:rsid w:val="00407D0F"/>
    <w:pPr>
      <w:adjustRightInd w:val="0"/>
      <w:snapToGrid w:val="0"/>
      <w:spacing w:before="180" w:after="180"/>
    </w:pPr>
    <w:rPr>
      <w:rFonts w:eastAsia="MS Mincho"/>
      <w:szCs w:val="20"/>
      <w:lang w:eastAsia="ja-JP"/>
    </w:rPr>
  </w:style>
  <w:style w:type="paragraph" w:customStyle="1" w:styleId="TableCaption">
    <w:name w:val="Table Caption"/>
    <w:basedOn w:val="FigureCaption"/>
    <w:qFormat/>
    <w:rsid w:val="00407D0F"/>
    <w:pPr>
      <w:spacing w:after="240"/>
    </w:pPr>
    <w:rPr>
      <w:sz w:val="17"/>
    </w:rPr>
  </w:style>
  <w:style w:type="table" w:customStyle="1" w:styleId="TableTGA2">
    <w:name w:val="Table TGA 2"/>
    <w:basedOn w:val="TableNormal"/>
    <w:uiPriority w:val="99"/>
    <w:rsid w:val="00407D0F"/>
    <w:pPr>
      <w:spacing w:before="60" w:after="0" w:line="240" w:lineRule="auto"/>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rPr>
      <w:cantSplit/>
    </w:trPr>
    <w:tcPr>
      <w:shd w:val="clear" w:color="auto" w:fill="auto"/>
    </w:tcPr>
    <w:tblStylePr w:type="firstRow">
      <w:pPr>
        <w:wordWrap/>
        <w:spacing w:beforeLines="0" w:beforeAutospacing="0" w:afterLines="0" w:afterAutospacing="0"/>
      </w:pPr>
      <w:rPr>
        <w:rFonts w:ascii="Cambria" w:hAnsi="Cambria"/>
        <w:b/>
        <w:color w:val="FFFFFF"/>
        <w:sz w:val="22"/>
      </w:rPr>
      <w:tblPr/>
      <w:trPr>
        <w:tblHeader/>
      </w:trPr>
      <w:tcPr>
        <w:shd w:val="clear" w:color="auto" w:fill="000000"/>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Subject">
    <w:name w:val="Subject"/>
    <w:basedOn w:val="Normal"/>
    <w:qFormat/>
    <w:rsid w:val="00407D0F"/>
    <w:pPr>
      <w:adjustRightInd w:val="0"/>
      <w:snapToGrid w:val="0"/>
      <w:spacing w:before="180" w:after="180"/>
    </w:pPr>
    <w:rPr>
      <w:rFonts w:eastAsia="MS Mincho"/>
      <w:b/>
      <w:szCs w:val="20"/>
      <w:lang w:eastAsia="ja-JP"/>
    </w:rPr>
  </w:style>
  <w:style w:type="paragraph" w:customStyle="1" w:styleId="Addressee">
    <w:name w:val="Addressee"/>
    <w:basedOn w:val="Normal"/>
    <w:qFormat/>
    <w:rsid w:val="00407D0F"/>
    <w:pPr>
      <w:adjustRightInd w:val="0"/>
      <w:snapToGrid w:val="0"/>
      <w:spacing w:before="180" w:after="180"/>
    </w:pPr>
    <w:rPr>
      <w:rFonts w:eastAsia="MS Mincho"/>
      <w:szCs w:val="20"/>
      <w:lang w:eastAsia="ja-JP"/>
    </w:rPr>
  </w:style>
  <w:style w:type="character" w:customStyle="1" w:styleId="ABN">
    <w:name w:val="ABN"/>
    <w:basedOn w:val="DefaultParagraphFont"/>
    <w:uiPriority w:val="1"/>
    <w:qFormat/>
    <w:rsid w:val="00407D0F"/>
    <w:rPr>
      <w:rFonts w:ascii="Arial" w:hAnsi="Arial"/>
      <w:color w:val="002C47"/>
      <w:sz w:val="14"/>
    </w:rPr>
  </w:style>
  <w:style w:type="paragraph" w:customStyle="1" w:styleId="BodyCopy">
    <w:name w:val="Body Copy"/>
    <w:basedOn w:val="Normal"/>
    <w:qFormat/>
    <w:rsid w:val="00407D0F"/>
    <w:pPr>
      <w:adjustRightInd w:val="0"/>
      <w:snapToGrid w:val="0"/>
      <w:spacing w:before="180" w:after="180"/>
    </w:pPr>
    <w:rPr>
      <w:rFonts w:eastAsia="MS Mincho"/>
      <w:szCs w:val="20"/>
      <w:lang w:eastAsia="ja-JP"/>
    </w:rPr>
  </w:style>
  <w:style w:type="paragraph" w:customStyle="1" w:styleId="Standard">
    <w:name w:val="Standard"/>
    <w:basedOn w:val="Normal"/>
    <w:link w:val="StandardChar"/>
    <w:qFormat/>
    <w:rsid w:val="00407D0F"/>
    <w:pPr>
      <w:spacing w:before="0" w:after="220" w:line="252" w:lineRule="auto"/>
    </w:pPr>
    <w:rPr>
      <w:rFonts w:eastAsia="Times New Roman"/>
      <w:snapToGrid w:val="0"/>
      <w:kern w:val="16"/>
      <w:sz w:val="23"/>
      <w:szCs w:val="24"/>
    </w:rPr>
  </w:style>
  <w:style w:type="character" w:customStyle="1" w:styleId="StandardChar">
    <w:name w:val="Standard Char"/>
    <w:basedOn w:val="DefaultParagraphFont"/>
    <w:link w:val="Standard"/>
    <w:rsid w:val="00407D0F"/>
    <w:rPr>
      <w:rFonts w:ascii="Cambria" w:eastAsia="Times New Roman" w:hAnsi="Cambria" w:cs="Times New Roman"/>
      <w:snapToGrid w:val="0"/>
      <w:kern w:val="16"/>
      <w:sz w:val="23"/>
      <w:szCs w:val="24"/>
    </w:rPr>
  </w:style>
  <w:style w:type="paragraph" w:customStyle="1" w:styleId="Bulletpoint">
    <w:name w:val="Bullet point"/>
    <w:basedOn w:val="Standard"/>
    <w:rsid w:val="00407D0F"/>
    <w:pPr>
      <w:numPr>
        <w:numId w:val="7"/>
      </w:numPr>
      <w:tabs>
        <w:tab w:val="clear" w:pos="369"/>
        <w:tab w:val="left" w:pos="397"/>
        <w:tab w:val="num" w:pos="511"/>
      </w:tabs>
      <w:spacing w:after="180"/>
      <w:ind w:left="0" w:firstLine="0"/>
    </w:pPr>
    <w:rPr>
      <w:sz w:val="22"/>
    </w:rPr>
  </w:style>
  <w:style w:type="paragraph" w:customStyle="1" w:styleId="PISubsection">
    <w:name w:val="PI Subsection"/>
    <w:basedOn w:val="Standard"/>
    <w:next w:val="Standard"/>
    <w:rsid w:val="00407D0F"/>
    <w:pPr>
      <w:keepNext/>
      <w:spacing w:after="120"/>
    </w:pPr>
    <w:rPr>
      <w:b/>
      <w:i/>
      <w:kern w:val="2"/>
      <w:sz w:val="22"/>
    </w:rPr>
  </w:style>
  <w:style w:type="paragraph" w:customStyle="1" w:styleId="Default">
    <w:name w:val="Default"/>
    <w:rsid w:val="00252948"/>
    <w:pPr>
      <w:autoSpaceDE w:val="0"/>
      <w:autoSpaceDN w:val="0"/>
      <w:adjustRightInd w:val="0"/>
      <w:spacing w:after="0" w:line="240" w:lineRule="auto"/>
    </w:pPr>
    <w:rPr>
      <w:rFonts w:ascii="Cambria" w:hAnsi="Cambria" w:cs="Cambria"/>
      <w:color w:val="000000"/>
      <w:sz w:val="24"/>
      <w:szCs w:val="24"/>
      <w:lang w:val="en-GB"/>
    </w:rPr>
  </w:style>
  <w:style w:type="character" w:customStyle="1" w:styleId="UnresolvedMention2">
    <w:name w:val="Unresolved Mention2"/>
    <w:basedOn w:val="DefaultParagraphFont"/>
    <w:uiPriority w:val="99"/>
    <w:semiHidden/>
    <w:unhideWhenUsed/>
    <w:rsid w:val="0042377B"/>
    <w:rPr>
      <w:color w:val="605E5C"/>
      <w:shd w:val="clear" w:color="auto" w:fill="E1DFDD"/>
    </w:rPr>
  </w:style>
  <w:style w:type="paragraph" w:customStyle="1" w:styleId="Listparagraphitalics">
    <w:name w:val="List paragraph italics"/>
    <w:basedOn w:val="ListParagraph"/>
    <w:uiPriority w:val="1"/>
    <w:qFormat/>
    <w:rsid w:val="00DE31C1"/>
    <w:rPr>
      <w: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265811">
      <w:bodyDiv w:val="1"/>
      <w:marLeft w:val="0"/>
      <w:marRight w:val="0"/>
      <w:marTop w:val="0"/>
      <w:marBottom w:val="0"/>
      <w:divBdr>
        <w:top w:val="none" w:sz="0" w:space="0" w:color="auto"/>
        <w:left w:val="none" w:sz="0" w:space="0" w:color="auto"/>
        <w:bottom w:val="none" w:sz="0" w:space="0" w:color="auto"/>
        <w:right w:val="none" w:sz="0" w:space="0" w:color="auto"/>
      </w:divBdr>
    </w:div>
    <w:div w:id="21515375">
      <w:bodyDiv w:val="1"/>
      <w:marLeft w:val="0"/>
      <w:marRight w:val="0"/>
      <w:marTop w:val="0"/>
      <w:marBottom w:val="0"/>
      <w:divBdr>
        <w:top w:val="none" w:sz="0" w:space="0" w:color="auto"/>
        <w:left w:val="none" w:sz="0" w:space="0" w:color="auto"/>
        <w:bottom w:val="none" w:sz="0" w:space="0" w:color="auto"/>
        <w:right w:val="none" w:sz="0" w:space="0" w:color="auto"/>
      </w:divBdr>
    </w:div>
    <w:div w:id="55210037">
      <w:bodyDiv w:val="1"/>
      <w:marLeft w:val="0"/>
      <w:marRight w:val="0"/>
      <w:marTop w:val="0"/>
      <w:marBottom w:val="0"/>
      <w:divBdr>
        <w:top w:val="none" w:sz="0" w:space="0" w:color="auto"/>
        <w:left w:val="none" w:sz="0" w:space="0" w:color="auto"/>
        <w:bottom w:val="none" w:sz="0" w:space="0" w:color="auto"/>
        <w:right w:val="none" w:sz="0" w:space="0" w:color="auto"/>
      </w:divBdr>
    </w:div>
    <w:div w:id="150759788">
      <w:bodyDiv w:val="1"/>
      <w:marLeft w:val="0"/>
      <w:marRight w:val="0"/>
      <w:marTop w:val="0"/>
      <w:marBottom w:val="0"/>
      <w:divBdr>
        <w:top w:val="none" w:sz="0" w:space="0" w:color="auto"/>
        <w:left w:val="none" w:sz="0" w:space="0" w:color="auto"/>
        <w:bottom w:val="none" w:sz="0" w:space="0" w:color="auto"/>
        <w:right w:val="none" w:sz="0" w:space="0" w:color="auto"/>
      </w:divBdr>
    </w:div>
    <w:div w:id="203951192">
      <w:bodyDiv w:val="1"/>
      <w:marLeft w:val="0"/>
      <w:marRight w:val="0"/>
      <w:marTop w:val="0"/>
      <w:marBottom w:val="0"/>
      <w:divBdr>
        <w:top w:val="none" w:sz="0" w:space="0" w:color="auto"/>
        <w:left w:val="none" w:sz="0" w:space="0" w:color="auto"/>
        <w:bottom w:val="none" w:sz="0" w:space="0" w:color="auto"/>
        <w:right w:val="none" w:sz="0" w:space="0" w:color="auto"/>
      </w:divBdr>
    </w:div>
    <w:div w:id="238291902">
      <w:bodyDiv w:val="1"/>
      <w:marLeft w:val="0"/>
      <w:marRight w:val="0"/>
      <w:marTop w:val="0"/>
      <w:marBottom w:val="0"/>
      <w:divBdr>
        <w:top w:val="none" w:sz="0" w:space="0" w:color="auto"/>
        <w:left w:val="none" w:sz="0" w:space="0" w:color="auto"/>
        <w:bottom w:val="none" w:sz="0" w:space="0" w:color="auto"/>
        <w:right w:val="none" w:sz="0" w:space="0" w:color="auto"/>
      </w:divBdr>
    </w:div>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360133724">
      <w:bodyDiv w:val="1"/>
      <w:marLeft w:val="0"/>
      <w:marRight w:val="0"/>
      <w:marTop w:val="0"/>
      <w:marBottom w:val="0"/>
      <w:divBdr>
        <w:top w:val="none" w:sz="0" w:space="0" w:color="auto"/>
        <w:left w:val="none" w:sz="0" w:space="0" w:color="auto"/>
        <w:bottom w:val="none" w:sz="0" w:space="0" w:color="auto"/>
        <w:right w:val="none" w:sz="0" w:space="0" w:color="auto"/>
      </w:divBdr>
    </w:div>
    <w:div w:id="384646764">
      <w:bodyDiv w:val="1"/>
      <w:marLeft w:val="0"/>
      <w:marRight w:val="0"/>
      <w:marTop w:val="0"/>
      <w:marBottom w:val="0"/>
      <w:divBdr>
        <w:top w:val="none" w:sz="0" w:space="0" w:color="auto"/>
        <w:left w:val="none" w:sz="0" w:space="0" w:color="auto"/>
        <w:bottom w:val="none" w:sz="0" w:space="0" w:color="auto"/>
        <w:right w:val="none" w:sz="0" w:space="0" w:color="auto"/>
      </w:divBdr>
    </w:div>
    <w:div w:id="458229412">
      <w:bodyDiv w:val="1"/>
      <w:marLeft w:val="0"/>
      <w:marRight w:val="0"/>
      <w:marTop w:val="0"/>
      <w:marBottom w:val="0"/>
      <w:divBdr>
        <w:top w:val="none" w:sz="0" w:space="0" w:color="auto"/>
        <w:left w:val="none" w:sz="0" w:space="0" w:color="auto"/>
        <w:bottom w:val="none" w:sz="0" w:space="0" w:color="auto"/>
        <w:right w:val="none" w:sz="0" w:space="0" w:color="auto"/>
      </w:divBdr>
    </w:div>
    <w:div w:id="467167221">
      <w:bodyDiv w:val="1"/>
      <w:marLeft w:val="0"/>
      <w:marRight w:val="0"/>
      <w:marTop w:val="0"/>
      <w:marBottom w:val="0"/>
      <w:divBdr>
        <w:top w:val="none" w:sz="0" w:space="0" w:color="auto"/>
        <w:left w:val="none" w:sz="0" w:space="0" w:color="auto"/>
        <w:bottom w:val="none" w:sz="0" w:space="0" w:color="auto"/>
        <w:right w:val="none" w:sz="0" w:space="0" w:color="auto"/>
      </w:divBdr>
    </w:div>
    <w:div w:id="481238098">
      <w:bodyDiv w:val="1"/>
      <w:marLeft w:val="0"/>
      <w:marRight w:val="0"/>
      <w:marTop w:val="0"/>
      <w:marBottom w:val="0"/>
      <w:divBdr>
        <w:top w:val="none" w:sz="0" w:space="0" w:color="auto"/>
        <w:left w:val="none" w:sz="0" w:space="0" w:color="auto"/>
        <w:bottom w:val="none" w:sz="0" w:space="0" w:color="auto"/>
        <w:right w:val="none" w:sz="0" w:space="0" w:color="auto"/>
      </w:divBdr>
    </w:div>
    <w:div w:id="486753231">
      <w:bodyDiv w:val="1"/>
      <w:marLeft w:val="0"/>
      <w:marRight w:val="0"/>
      <w:marTop w:val="0"/>
      <w:marBottom w:val="0"/>
      <w:divBdr>
        <w:top w:val="none" w:sz="0" w:space="0" w:color="auto"/>
        <w:left w:val="none" w:sz="0" w:space="0" w:color="auto"/>
        <w:bottom w:val="none" w:sz="0" w:space="0" w:color="auto"/>
        <w:right w:val="none" w:sz="0" w:space="0" w:color="auto"/>
      </w:divBdr>
    </w:div>
    <w:div w:id="498346351">
      <w:bodyDiv w:val="1"/>
      <w:marLeft w:val="0"/>
      <w:marRight w:val="0"/>
      <w:marTop w:val="0"/>
      <w:marBottom w:val="0"/>
      <w:divBdr>
        <w:top w:val="none" w:sz="0" w:space="0" w:color="auto"/>
        <w:left w:val="none" w:sz="0" w:space="0" w:color="auto"/>
        <w:bottom w:val="none" w:sz="0" w:space="0" w:color="auto"/>
        <w:right w:val="none" w:sz="0" w:space="0" w:color="auto"/>
      </w:divBdr>
    </w:div>
    <w:div w:id="641228540">
      <w:bodyDiv w:val="1"/>
      <w:marLeft w:val="0"/>
      <w:marRight w:val="0"/>
      <w:marTop w:val="0"/>
      <w:marBottom w:val="0"/>
      <w:divBdr>
        <w:top w:val="none" w:sz="0" w:space="0" w:color="auto"/>
        <w:left w:val="none" w:sz="0" w:space="0" w:color="auto"/>
        <w:bottom w:val="none" w:sz="0" w:space="0" w:color="auto"/>
        <w:right w:val="none" w:sz="0" w:space="0" w:color="auto"/>
      </w:divBdr>
    </w:div>
    <w:div w:id="701982415">
      <w:bodyDiv w:val="1"/>
      <w:marLeft w:val="0"/>
      <w:marRight w:val="0"/>
      <w:marTop w:val="0"/>
      <w:marBottom w:val="0"/>
      <w:divBdr>
        <w:top w:val="none" w:sz="0" w:space="0" w:color="auto"/>
        <w:left w:val="none" w:sz="0" w:space="0" w:color="auto"/>
        <w:bottom w:val="none" w:sz="0" w:space="0" w:color="auto"/>
        <w:right w:val="none" w:sz="0" w:space="0" w:color="auto"/>
      </w:divBdr>
    </w:div>
    <w:div w:id="850416501">
      <w:bodyDiv w:val="1"/>
      <w:marLeft w:val="0"/>
      <w:marRight w:val="0"/>
      <w:marTop w:val="0"/>
      <w:marBottom w:val="0"/>
      <w:divBdr>
        <w:top w:val="none" w:sz="0" w:space="0" w:color="auto"/>
        <w:left w:val="none" w:sz="0" w:space="0" w:color="auto"/>
        <w:bottom w:val="none" w:sz="0" w:space="0" w:color="auto"/>
        <w:right w:val="none" w:sz="0" w:space="0" w:color="auto"/>
      </w:divBdr>
    </w:div>
    <w:div w:id="868567757">
      <w:bodyDiv w:val="1"/>
      <w:marLeft w:val="0"/>
      <w:marRight w:val="0"/>
      <w:marTop w:val="0"/>
      <w:marBottom w:val="0"/>
      <w:divBdr>
        <w:top w:val="none" w:sz="0" w:space="0" w:color="auto"/>
        <w:left w:val="none" w:sz="0" w:space="0" w:color="auto"/>
        <w:bottom w:val="none" w:sz="0" w:space="0" w:color="auto"/>
        <w:right w:val="none" w:sz="0" w:space="0" w:color="auto"/>
      </w:divBdr>
    </w:div>
    <w:div w:id="910314144">
      <w:bodyDiv w:val="1"/>
      <w:marLeft w:val="0"/>
      <w:marRight w:val="0"/>
      <w:marTop w:val="0"/>
      <w:marBottom w:val="0"/>
      <w:divBdr>
        <w:top w:val="none" w:sz="0" w:space="0" w:color="auto"/>
        <w:left w:val="none" w:sz="0" w:space="0" w:color="auto"/>
        <w:bottom w:val="none" w:sz="0" w:space="0" w:color="auto"/>
        <w:right w:val="none" w:sz="0" w:space="0" w:color="auto"/>
      </w:divBdr>
    </w:div>
    <w:div w:id="940258264">
      <w:bodyDiv w:val="1"/>
      <w:marLeft w:val="0"/>
      <w:marRight w:val="0"/>
      <w:marTop w:val="0"/>
      <w:marBottom w:val="0"/>
      <w:divBdr>
        <w:top w:val="none" w:sz="0" w:space="0" w:color="auto"/>
        <w:left w:val="none" w:sz="0" w:space="0" w:color="auto"/>
        <w:bottom w:val="none" w:sz="0" w:space="0" w:color="auto"/>
        <w:right w:val="none" w:sz="0" w:space="0" w:color="auto"/>
      </w:divBdr>
    </w:div>
    <w:div w:id="954561606">
      <w:bodyDiv w:val="1"/>
      <w:marLeft w:val="0"/>
      <w:marRight w:val="0"/>
      <w:marTop w:val="0"/>
      <w:marBottom w:val="0"/>
      <w:divBdr>
        <w:top w:val="none" w:sz="0" w:space="0" w:color="auto"/>
        <w:left w:val="none" w:sz="0" w:space="0" w:color="auto"/>
        <w:bottom w:val="none" w:sz="0" w:space="0" w:color="auto"/>
        <w:right w:val="none" w:sz="0" w:space="0" w:color="auto"/>
      </w:divBdr>
    </w:div>
    <w:div w:id="1027100682">
      <w:bodyDiv w:val="1"/>
      <w:marLeft w:val="0"/>
      <w:marRight w:val="0"/>
      <w:marTop w:val="0"/>
      <w:marBottom w:val="0"/>
      <w:divBdr>
        <w:top w:val="none" w:sz="0" w:space="0" w:color="auto"/>
        <w:left w:val="none" w:sz="0" w:space="0" w:color="auto"/>
        <w:bottom w:val="none" w:sz="0" w:space="0" w:color="auto"/>
        <w:right w:val="none" w:sz="0" w:space="0" w:color="auto"/>
      </w:divBdr>
    </w:div>
    <w:div w:id="1036274927">
      <w:bodyDiv w:val="1"/>
      <w:marLeft w:val="0"/>
      <w:marRight w:val="0"/>
      <w:marTop w:val="0"/>
      <w:marBottom w:val="0"/>
      <w:divBdr>
        <w:top w:val="none" w:sz="0" w:space="0" w:color="auto"/>
        <w:left w:val="none" w:sz="0" w:space="0" w:color="auto"/>
        <w:bottom w:val="none" w:sz="0" w:space="0" w:color="auto"/>
        <w:right w:val="none" w:sz="0" w:space="0" w:color="auto"/>
      </w:divBdr>
    </w:div>
    <w:div w:id="1062674615">
      <w:bodyDiv w:val="1"/>
      <w:marLeft w:val="0"/>
      <w:marRight w:val="0"/>
      <w:marTop w:val="0"/>
      <w:marBottom w:val="0"/>
      <w:divBdr>
        <w:top w:val="none" w:sz="0" w:space="0" w:color="auto"/>
        <w:left w:val="none" w:sz="0" w:space="0" w:color="auto"/>
        <w:bottom w:val="none" w:sz="0" w:space="0" w:color="auto"/>
        <w:right w:val="none" w:sz="0" w:space="0" w:color="auto"/>
      </w:divBdr>
    </w:div>
    <w:div w:id="1104377392">
      <w:bodyDiv w:val="1"/>
      <w:marLeft w:val="0"/>
      <w:marRight w:val="0"/>
      <w:marTop w:val="0"/>
      <w:marBottom w:val="0"/>
      <w:divBdr>
        <w:top w:val="none" w:sz="0" w:space="0" w:color="auto"/>
        <w:left w:val="none" w:sz="0" w:space="0" w:color="auto"/>
        <w:bottom w:val="none" w:sz="0" w:space="0" w:color="auto"/>
        <w:right w:val="none" w:sz="0" w:space="0" w:color="auto"/>
      </w:divBdr>
    </w:div>
    <w:div w:id="1119107256">
      <w:bodyDiv w:val="1"/>
      <w:marLeft w:val="0"/>
      <w:marRight w:val="0"/>
      <w:marTop w:val="0"/>
      <w:marBottom w:val="0"/>
      <w:divBdr>
        <w:top w:val="none" w:sz="0" w:space="0" w:color="auto"/>
        <w:left w:val="none" w:sz="0" w:space="0" w:color="auto"/>
        <w:bottom w:val="none" w:sz="0" w:space="0" w:color="auto"/>
        <w:right w:val="none" w:sz="0" w:space="0" w:color="auto"/>
      </w:divBdr>
    </w:div>
    <w:div w:id="1218400965">
      <w:bodyDiv w:val="1"/>
      <w:marLeft w:val="0"/>
      <w:marRight w:val="0"/>
      <w:marTop w:val="0"/>
      <w:marBottom w:val="0"/>
      <w:divBdr>
        <w:top w:val="none" w:sz="0" w:space="0" w:color="auto"/>
        <w:left w:val="none" w:sz="0" w:space="0" w:color="auto"/>
        <w:bottom w:val="none" w:sz="0" w:space="0" w:color="auto"/>
        <w:right w:val="none" w:sz="0" w:space="0" w:color="auto"/>
      </w:divBdr>
    </w:div>
    <w:div w:id="1345588843">
      <w:bodyDiv w:val="1"/>
      <w:marLeft w:val="0"/>
      <w:marRight w:val="0"/>
      <w:marTop w:val="0"/>
      <w:marBottom w:val="0"/>
      <w:divBdr>
        <w:top w:val="none" w:sz="0" w:space="0" w:color="auto"/>
        <w:left w:val="none" w:sz="0" w:space="0" w:color="auto"/>
        <w:bottom w:val="none" w:sz="0" w:space="0" w:color="auto"/>
        <w:right w:val="none" w:sz="0" w:space="0" w:color="auto"/>
      </w:divBdr>
    </w:div>
    <w:div w:id="1355576255">
      <w:bodyDiv w:val="1"/>
      <w:marLeft w:val="0"/>
      <w:marRight w:val="0"/>
      <w:marTop w:val="0"/>
      <w:marBottom w:val="0"/>
      <w:divBdr>
        <w:top w:val="none" w:sz="0" w:space="0" w:color="auto"/>
        <w:left w:val="none" w:sz="0" w:space="0" w:color="auto"/>
        <w:bottom w:val="none" w:sz="0" w:space="0" w:color="auto"/>
        <w:right w:val="none" w:sz="0" w:space="0" w:color="auto"/>
      </w:divBdr>
    </w:div>
    <w:div w:id="1382823598">
      <w:bodyDiv w:val="1"/>
      <w:marLeft w:val="0"/>
      <w:marRight w:val="0"/>
      <w:marTop w:val="0"/>
      <w:marBottom w:val="0"/>
      <w:divBdr>
        <w:top w:val="none" w:sz="0" w:space="0" w:color="auto"/>
        <w:left w:val="none" w:sz="0" w:space="0" w:color="auto"/>
        <w:bottom w:val="none" w:sz="0" w:space="0" w:color="auto"/>
        <w:right w:val="none" w:sz="0" w:space="0" w:color="auto"/>
      </w:divBdr>
    </w:div>
    <w:div w:id="1535923543">
      <w:bodyDiv w:val="1"/>
      <w:marLeft w:val="0"/>
      <w:marRight w:val="0"/>
      <w:marTop w:val="0"/>
      <w:marBottom w:val="0"/>
      <w:divBdr>
        <w:top w:val="none" w:sz="0" w:space="0" w:color="auto"/>
        <w:left w:val="none" w:sz="0" w:space="0" w:color="auto"/>
        <w:bottom w:val="none" w:sz="0" w:space="0" w:color="auto"/>
        <w:right w:val="none" w:sz="0" w:space="0" w:color="auto"/>
      </w:divBdr>
    </w:div>
    <w:div w:id="1539274549">
      <w:bodyDiv w:val="1"/>
      <w:marLeft w:val="0"/>
      <w:marRight w:val="0"/>
      <w:marTop w:val="0"/>
      <w:marBottom w:val="0"/>
      <w:divBdr>
        <w:top w:val="none" w:sz="0" w:space="0" w:color="auto"/>
        <w:left w:val="none" w:sz="0" w:space="0" w:color="auto"/>
        <w:bottom w:val="none" w:sz="0" w:space="0" w:color="auto"/>
        <w:right w:val="none" w:sz="0" w:space="0" w:color="auto"/>
      </w:divBdr>
    </w:div>
    <w:div w:id="1654330325">
      <w:bodyDiv w:val="1"/>
      <w:marLeft w:val="0"/>
      <w:marRight w:val="0"/>
      <w:marTop w:val="0"/>
      <w:marBottom w:val="0"/>
      <w:divBdr>
        <w:top w:val="none" w:sz="0" w:space="0" w:color="auto"/>
        <w:left w:val="none" w:sz="0" w:space="0" w:color="auto"/>
        <w:bottom w:val="none" w:sz="0" w:space="0" w:color="auto"/>
        <w:right w:val="none" w:sz="0" w:space="0" w:color="auto"/>
      </w:divBdr>
    </w:div>
    <w:div w:id="1680766154">
      <w:bodyDiv w:val="1"/>
      <w:marLeft w:val="0"/>
      <w:marRight w:val="0"/>
      <w:marTop w:val="0"/>
      <w:marBottom w:val="0"/>
      <w:divBdr>
        <w:top w:val="none" w:sz="0" w:space="0" w:color="auto"/>
        <w:left w:val="none" w:sz="0" w:space="0" w:color="auto"/>
        <w:bottom w:val="none" w:sz="0" w:space="0" w:color="auto"/>
        <w:right w:val="none" w:sz="0" w:space="0" w:color="auto"/>
      </w:divBdr>
    </w:div>
    <w:div w:id="1877307772">
      <w:bodyDiv w:val="1"/>
      <w:marLeft w:val="0"/>
      <w:marRight w:val="0"/>
      <w:marTop w:val="0"/>
      <w:marBottom w:val="0"/>
      <w:divBdr>
        <w:top w:val="none" w:sz="0" w:space="0" w:color="auto"/>
        <w:left w:val="none" w:sz="0" w:space="0" w:color="auto"/>
        <w:bottom w:val="none" w:sz="0" w:space="0" w:color="auto"/>
        <w:right w:val="none" w:sz="0" w:space="0" w:color="auto"/>
      </w:divBdr>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2009482436">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 w:id="2084259950">
      <w:bodyDiv w:val="1"/>
      <w:marLeft w:val="0"/>
      <w:marRight w:val="0"/>
      <w:marTop w:val="0"/>
      <w:marBottom w:val="0"/>
      <w:divBdr>
        <w:top w:val="none" w:sz="0" w:space="0" w:color="auto"/>
        <w:left w:val="none" w:sz="0" w:space="0" w:color="auto"/>
        <w:bottom w:val="none" w:sz="0" w:space="0" w:color="auto"/>
        <w:right w:val="none" w:sz="0" w:space="0" w:color="auto"/>
      </w:divBdr>
    </w:div>
    <w:div w:id="2117940546">
      <w:bodyDiv w:val="1"/>
      <w:marLeft w:val="0"/>
      <w:marRight w:val="0"/>
      <w:marTop w:val="0"/>
      <w:marBottom w:val="0"/>
      <w:divBdr>
        <w:top w:val="none" w:sz="0" w:space="0" w:color="auto"/>
        <w:left w:val="none" w:sz="0" w:space="0" w:color="auto"/>
        <w:bottom w:val="none" w:sz="0" w:space="0" w:color="auto"/>
        <w:right w:val="none" w:sz="0" w:space="0" w:color="auto"/>
      </w:divBdr>
    </w:div>
    <w:div w:id="21361767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png"/><Relationship Id="rId39" Type="http://schemas.openxmlformats.org/officeDocument/2006/relationships/header" Target="header4.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20.png"/><Relationship Id="rId42" Type="http://schemas.openxmlformats.org/officeDocument/2006/relationships/hyperlink" Target="mailto:info@tga.gov.au" TargetMode="External"/><Relationship Id="rId47" Type="http://schemas.openxmlformats.org/officeDocument/2006/relationships/header" Target="header8.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hyperlink" Target="https://www.tga.gov.au/tgas-risk-management-approach" TargetMode="External"/><Relationship Id="rId38" Type="http://schemas.openxmlformats.org/officeDocument/2006/relationships/header" Target="header3.xml"/><Relationship Id="rId46"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7.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png"/><Relationship Id="rId32" Type="http://schemas.openxmlformats.org/officeDocument/2006/relationships/hyperlink" Target="https://www.tga.gov.au/publication/risk-management-plans-medicines-and-biologicals" TargetMode="External"/><Relationship Id="rId37" Type="http://schemas.openxmlformats.org/officeDocument/2006/relationships/hyperlink" Target="https://www.tga.gov.au/committee/advisory-committee-medicines-acm" TargetMode="External"/><Relationship Id="rId40" Type="http://schemas.openxmlformats.org/officeDocument/2006/relationships/header" Target="header5.xml"/><Relationship Id="rId45"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2.png"/><Relationship Id="rId49" Type="http://schemas.openxmlformats.org/officeDocument/2006/relationships/fontTable" Target="fontTable.xml"/><Relationship Id="rId10" Type="http://schemas.openxmlformats.org/officeDocument/2006/relationships/hyperlink" Target="mailto:tga.copyright@tga.gov.au" TargetMode="External"/><Relationship Id="rId19" Type="http://schemas.openxmlformats.org/officeDocument/2006/relationships/image" Target="media/image7.png"/><Relationship Id="rId31" Type="http://schemas.openxmlformats.org/officeDocument/2006/relationships/image" Target="media/image19.png"/><Relationship Id="rId44"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4" Type="http://schemas.openxmlformats.org/officeDocument/2006/relationships/hyperlink" Target="https://www.tga.gov.au/black-triangle-scheme" TargetMode="External"/><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1.png"/><Relationship Id="rId43" Type="http://schemas.openxmlformats.org/officeDocument/2006/relationships/hyperlink" Target="https://www.tga.gov.au" TargetMode="External"/><Relationship Id="rId48" Type="http://schemas.openxmlformats.org/officeDocument/2006/relationships/footer" Target="footer4.xml"/><Relationship Id="rId8" Type="http://schemas.openxmlformats.org/officeDocument/2006/relationships/hyperlink" Target="https://www.tga.gov.au"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linicaltrials.gov/ct2/show/NCT02008227" TargetMode="External"/><Relationship Id="rId13" Type="http://schemas.openxmlformats.org/officeDocument/2006/relationships/hyperlink" Target="https://clinicaltrials.gov/ct2/show/NCT02425891?term=IMpassion130&amp;draw=2&amp;rank=1" TargetMode="External"/><Relationship Id="rId3" Type="http://schemas.openxmlformats.org/officeDocument/2006/relationships/hyperlink" Target="https://www.uptodate.com/contents/management-of-advanced-non-small-cell-lung-cancer-lacking-a-driver-mutation-immunotherapy" TargetMode="External"/><Relationship Id="rId7" Type="http://schemas.openxmlformats.org/officeDocument/2006/relationships/hyperlink" Target="https://www.uptodate.com/contents/overview-of-the-initial-treatment-and-prognosis-of-lung-cancer" TargetMode="External"/><Relationship Id="rId12" Type="http://schemas.openxmlformats.org/officeDocument/2006/relationships/hyperlink" Target="https://clinicaltrials.gov/ct2/show/NCT02108652?term=IMvigor210&amp;draw=2&amp;rank=2" TargetMode="External"/><Relationship Id="rId2" Type="http://schemas.openxmlformats.org/officeDocument/2006/relationships/hyperlink" Target="https://www.uptodate.com/contents/systemic-chemotherapy-for-advanced-non-small-cell-lung-cancer" TargetMode="External"/><Relationship Id="rId1" Type="http://schemas.openxmlformats.org/officeDocument/2006/relationships/hyperlink" Target="https://gco.iarc.fr/today/data/factsheets/cancers/15-Lung-fact-sheet.pdf" TargetMode="External"/><Relationship Id="rId6" Type="http://schemas.openxmlformats.org/officeDocument/2006/relationships/hyperlink" Target="https://www.accessdata.fda.gov/drugsatfda_docs/label/2020/761034s031s032lbl.pdf" TargetMode="External"/><Relationship Id="rId11" Type="http://schemas.openxmlformats.org/officeDocument/2006/relationships/hyperlink" Target="https://clinicaltrials.gov/ct2/show/NCT02951767?term=IMvigor210&amp;draw=2&amp;rank=1" TargetMode="External"/><Relationship Id="rId5" Type="http://schemas.openxmlformats.org/officeDocument/2006/relationships/hyperlink" Target="https://clinicaltrials.gov/ct2/show/NCT02409342" TargetMode="External"/><Relationship Id="rId10" Type="http://schemas.openxmlformats.org/officeDocument/2006/relationships/hyperlink" Target="https://clinicaltrials.gov/ct2/show/NCT02366143?term=IMpower150&amp;draw=2&amp;rank=1" TargetMode="External"/><Relationship Id="rId4" Type="http://schemas.openxmlformats.org/officeDocument/2006/relationships/hyperlink" Target="https://www.tga.gov.au/auspar/auspar-atezolizumab" TargetMode="External"/><Relationship Id="rId9" Type="http://schemas.openxmlformats.org/officeDocument/2006/relationships/hyperlink" Target="https://clinicaltrials.gov/ct2/show/NCT03434379?term=IMbrave150&amp;draw=2&amp;rank=1" TargetMode="External"/><Relationship Id="rId14" Type="http://schemas.openxmlformats.org/officeDocument/2006/relationships/hyperlink" Target="https://www.ema.europa.eu/en/documents/product-information/tecentriq-epar-product-information_en.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801BF-5015-4B1B-B169-53C9FE6C5B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264</TotalTime>
  <Pages>60</Pages>
  <Words>18213</Words>
  <Characters>103817</Characters>
  <Application>Microsoft Office Word</Application>
  <DocSecurity>0</DocSecurity>
  <Lines>865</Lines>
  <Paragraphs>243</Paragraphs>
  <ScaleCrop>false</ScaleCrop>
  <HeadingPairs>
    <vt:vector size="2" baseType="variant">
      <vt:variant>
        <vt:lpstr>Title</vt:lpstr>
      </vt:variant>
      <vt:variant>
        <vt:i4>1</vt:i4>
      </vt:variant>
    </vt:vector>
  </HeadingPairs>
  <TitlesOfParts>
    <vt:vector size="1" baseType="lpstr">
      <vt:lpstr>Australian public assessment report for Tecentriq</vt:lpstr>
    </vt:vector>
  </TitlesOfParts>
  <Company>Department of Health and Aged Care</Company>
  <LinksUpToDate>false</LinksUpToDate>
  <CharactersWithSpaces>121787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Tecentriq</dc:title>
  <dc:subject>prescription medicine regulation</dc:subject>
  <dc:creator>Therapeutic Goods Administration</dc:creator>
  <cp:keywords/>
  <cp:lastModifiedBy>KOLARIK-OREILLY, Kristy</cp:lastModifiedBy>
  <cp:revision>15</cp:revision>
  <cp:lastPrinted>2019-08-14T04:30:00Z</cp:lastPrinted>
  <dcterms:created xsi:type="dcterms:W3CDTF">2022-07-28T22:51:00Z</dcterms:created>
  <dcterms:modified xsi:type="dcterms:W3CDTF">2022-08-24T02:19:00Z</dcterms:modified>
  <cp:category/>
</cp:coreProperties>
</file>