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3F1DE" w14:textId="76622A66" w:rsidR="00FE564C" w:rsidRDefault="00FE564C" w:rsidP="00FD77CB">
      <w:pPr>
        <w:tabs>
          <w:tab w:val="left" w:pos="284"/>
        </w:tabs>
        <w:spacing w:after="480" w:line="240" w:lineRule="auto"/>
      </w:pPr>
      <w:r w:rsidRPr="00071855">
        <w:rPr>
          <w:noProof/>
          <w:lang w:eastAsia="en-AU"/>
        </w:rPr>
        <mc:AlternateContent>
          <mc:Choice Requires="wps">
            <w:drawing>
              <wp:inline distT="0" distB="0" distL="0" distR="0" wp14:anchorId="4A1752BB" wp14:editId="7BCDA400">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3F0AB" w14:textId="77777777" w:rsidR="00A13DA0" w:rsidRPr="00BE2A26" w:rsidRDefault="00A13DA0" w:rsidP="00FE564C">
                            <w:pPr>
                              <w:spacing w:after="0"/>
                              <w:rPr>
                                <w:rFonts w:ascii="Wingdings 3" w:hAnsi="Wingdings 3"/>
                                <w:sz w:val="24"/>
                              </w:rPr>
                            </w:pPr>
                            <w:r w:rsidRPr="00BE2A26">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4A1752BB"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GZKlrvUBAADeAwAADgAAAAAAAAAAAAAAAAAuAgAAZHJzL2Uy&#10;b0RvYy54bWxQSwECLQAUAAYACAAAACEAY/VODNkAAAADAQAADwAAAAAAAAAAAAAAAABPBAAAZHJz&#10;L2Rvd25yZXYueG1sUEsFBgAAAAAEAAQA8wAAAFUFAAAAAA==&#10;" stroked="f">
                <v:textbox inset="0,0,0,0">
                  <w:txbxContent>
                    <w:p w14:paraId="3103F0AB" w14:textId="77777777" w:rsidR="00A13DA0" w:rsidRPr="00BE2A26" w:rsidRDefault="00A13DA0" w:rsidP="00FE564C">
                      <w:pPr>
                        <w:spacing w:after="0"/>
                        <w:rPr>
                          <w:rFonts w:ascii="Wingdings 3" w:hAnsi="Wingdings 3"/>
                          <w:sz w:val="24"/>
                        </w:rPr>
                      </w:pPr>
                      <w:r w:rsidRPr="00BE2A26">
                        <w:rPr>
                          <w:rFonts w:ascii="SimSun" w:eastAsia="SimSun" w:hAnsi="SimSun" w:hint="eastAsia"/>
                          <w:sz w:val="40"/>
                        </w:rPr>
                        <w:t>▼</w:t>
                      </w:r>
                    </w:p>
                  </w:txbxContent>
                </v:textbox>
                <w10:anchorlock/>
              </v:shape>
            </w:pict>
          </mc:Fallback>
        </mc:AlternateContent>
      </w:r>
      <w:r w:rsidRPr="00071855">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071855">
          <w:rPr>
            <w:rStyle w:val="Hyperlink"/>
          </w:rPr>
          <w:t>www.tga.gov.au/reporting-problems</w:t>
        </w:r>
      </w:hyperlink>
      <w:r w:rsidRPr="00071855">
        <w:t>.</w:t>
      </w:r>
    </w:p>
    <w:p w14:paraId="30513DAF" w14:textId="77ED9BEE" w:rsidR="00ED65A6" w:rsidRPr="00D4563C" w:rsidRDefault="00D04C3D" w:rsidP="00F10703">
      <w:pPr>
        <w:pStyle w:val="Heading1"/>
        <w:numPr>
          <w:ilvl w:val="0"/>
          <w:numId w:val="0"/>
        </w:numPr>
        <w:spacing w:after="160"/>
        <w:jc w:val="center"/>
      </w:pPr>
      <w:r w:rsidRPr="00D4563C">
        <w:t>Australian product information</w:t>
      </w:r>
    </w:p>
    <w:p w14:paraId="37B81C92" w14:textId="5E10C4D8" w:rsidR="00ED65A6" w:rsidRPr="00D4563C" w:rsidRDefault="00FF0934" w:rsidP="00D4563C">
      <w:pPr>
        <w:pStyle w:val="Heading1"/>
        <w:numPr>
          <w:ilvl w:val="0"/>
          <w:numId w:val="0"/>
        </w:numPr>
        <w:spacing w:after="480"/>
        <w:jc w:val="center"/>
      </w:pPr>
      <w:r w:rsidRPr="00D4563C">
        <w:t>TIVICAY</w:t>
      </w:r>
      <w:r w:rsidR="00D4563C">
        <w:t xml:space="preserve"> </w:t>
      </w:r>
      <w:r w:rsidR="00E60C80" w:rsidRPr="00D4563C">
        <w:t>(</w:t>
      </w:r>
      <w:r w:rsidR="00357D41" w:rsidRPr="00D4563C">
        <w:rPr>
          <w:caps w:val="0"/>
        </w:rPr>
        <w:t>dolutegravir</w:t>
      </w:r>
      <w:r w:rsidR="00E60C80" w:rsidRPr="00D4563C">
        <w:t>)</w:t>
      </w:r>
      <w:r w:rsidR="00545407">
        <w:rPr>
          <w:caps w:val="0"/>
        </w:rPr>
        <w:t xml:space="preserve"> </w:t>
      </w:r>
      <w:r w:rsidR="00000D76">
        <w:rPr>
          <w:caps w:val="0"/>
        </w:rPr>
        <w:t xml:space="preserve">film-coated </w:t>
      </w:r>
      <w:r w:rsidR="00545407">
        <w:rPr>
          <w:caps w:val="0"/>
        </w:rPr>
        <w:t xml:space="preserve">tablets </w:t>
      </w:r>
      <w:r w:rsidR="00543AE1">
        <w:rPr>
          <w:caps w:val="0"/>
        </w:rPr>
        <w:t xml:space="preserve">and </w:t>
      </w:r>
      <w:r w:rsidR="00545407">
        <w:rPr>
          <w:caps w:val="0"/>
        </w:rPr>
        <w:t xml:space="preserve">TIVICAY PD (dolutegravir) </w:t>
      </w:r>
      <w:r w:rsidR="00543AE1">
        <w:rPr>
          <w:caps w:val="0"/>
        </w:rPr>
        <w:t xml:space="preserve">dispersible </w:t>
      </w:r>
      <w:r w:rsidR="00000D76">
        <w:rPr>
          <w:caps w:val="0"/>
        </w:rPr>
        <w:t>tablets</w:t>
      </w:r>
      <w:r w:rsidR="00000D76" w:rsidRPr="00D4563C">
        <w:rPr>
          <w:caps w:val="0"/>
        </w:rPr>
        <w:t xml:space="preserve"> </w:t>
      </w:r>
    </w:p>
    <w:p w14:paraId="2D2CD725" w14:textId="77777777" w:rsidR="00ED65A6" w:rsidRPr="00D4563C" w:rsidRDefault="00D04C3D" w:rsidP="00D4563C">
      <w:pPr>
        <w:pStyle w:val="Heading1"/>
      </w:pPr>
      <w:r w:rsidRPr="00D4563C">
        <w:t>Name of the medicine</w:t>
      </w:r>
    </w:p>
    <w:p w14:paraId="2C467292" w14:textId="54D627A9" w:rsidR="00ED65A6" w:rsidRPr="00D4563C" w:rsidRDefault="00D04C3D" w:rsidP="00D4563C">
      <w:r w:rsidRPr="00D4563C">
        <w:t>D</w:t>
      </w:r>
      <w:r w:rsidR="004C6569" w:rsidRPr="00D4563C">
        <w:t xml:space="preserve">olutegravir </w:t>
      </w:r>
    </w:p>
    <w:p w14:paraId="25A6137F" w14:textId="77777777" w:rsidR="00ED65A6" w:rsidRPr="00D4563C" w:rsidRDefault="00D04C3D" w:rsidP="00D4563C">
      <w:pPr>
        <w:pStyle w:val="Heading1"/>
      </w:pPr>
      <w:r w:rsidRPr="00D4563C">
        <w:t>Qualitative and quantitative composition</w:t>
      </w:r>
    </w:p>
    <w:p w14:paraId="390B09FA" w14:textId="77777777" w:rsidR="00543AE1" w:rsidRDefault="00543AE1" w:rsidP="00D4563C">
      <w:r w:rsidRPr="00D4563C">
        <w:t>Dolutegravir sodium is a white to light yellow powder</w:t>
      </w:r>
      <w:r>
        <w:t>.</w:t>
      </w:r>
      <w:r w:rsidRPr="00D4563C">
        <w:t xml:space="preserve"> </w:t>
      </w:r>
    </w:p>
    <w:p w14:paraId="2C5DA18A" w14:textId="0C4E75D4" w:rsidR="00543AE1" w:rsidRPr="00FD77CB" w:rsidRDefault="00543AE1" w:rsidP="00D4563C">
      <w:pPr>
        <w:rPr>
          <w:b/>
          <w:bCs/>
        </w:rPr>
      </w:pPr>
      <w:r w:rsidRPr="00F64456">
        <w:rPr>
          <w:b/>
          <w:bCs/>
        </w:rPr>
        <w:t>Film-coated tablets</w:t>
      </w:r>
    </w:p>
    <w:p w14:paraId="7956CC3C" w14:textId="58E791DF" w:rsidR="004E2D77" w:rsidRDefault="00562555" w:rsidP="00D4563C">
      <w:r>
        <w:t xml:space="preserve">Each tablet contains </w:t>
      </w:r>
      <w:r w:rsidR="004E2D77">
        <w:t xml:space="preserve">10 mg, 25 mg or </w:t>
      </w:r>
      <w:r w:rsidRPr="007401BF">
        <w:rPr>
          <w:color w:val="000000"/>
        </w:rPr>
        <w:t>50 mg of dolutegravir (as dolutegravir sodium).</w:t>
      </w:r>
      <w:r>
        <w:br/>
      </w:r>
      <w:r>
        <w:br/>
      </w:r>
      <w:r w:rsidR="00FF0934" w:rsidRPr="00D4563C">
        <w:t xml:space="preserve">TIVICAY </w:t>
      </w:r>
      <w:r w:rsidR="00D04C3D" w:rsidRPr="00D4563C">
        <w:t xml:space="preserve">film-coated tablets each contain </w:t>
      </w:r>
      <w:r w:rsidR="004E2D77">
        <w:t xml:space="preserve">10.5 mg, 26.3 mg or </w:t>
      </w:r>
      <w:r w:rsidR="00D04C3D" w:rsidRPr="00D4563C">
        <w:t xml:space="preserve">52.6 mg of dolutegravir sodium, equivalent to </w:t>
      </w:r>
      <w:r w:rsidR="004E2D77">
        <w:t xml:space="preserve">10 mg, 25 mg or </w:t>
      </w:r>
      <w:r w:rsidR="00D04C3D" w:rsidRPr="00D4563C">
        <w:t>5</w:t>
      </w:r>
      <w:r w:rsidR="00F10703">
        <w:t>0 mg of dolutegravir free acid.</w:t>
      </w:r>
      <w:r>
        <w:t xml:space="preserve"> </w:t>
      </w:r>
    </w:p>
    <w:p w14:paraId="19243E72" w14:textId="77777777" w:rsidR="00C71F71" w:rsidRPr="00F64456" w:rsidRDefault="00C71F71" w:rsidP="00C71F71">
      <w:pPr>
        <w:rPr>
          <w:b/>
          <w:bCs/>
        </w:rPr>
      </w:pPr>
      <w:r w:rsidRPr="00F64456">
        <w:rPr>
          <w:b/>
          <w:bCs/>
        </w:rPr>
        <w:t>Dispersible tablets</w:t>
      </w:r>
    </w:p>
    <w:p w14:paraId="1E7C6333" w14:textId="77777777" w:rsidR="00C71F71" w:rsidRDefault="00C71F71" w:rsidP="00C71F71">
      <w:r w:rsidRPr="00543AE1">
        <w:t>Each tablet contains 5 mg of dolutegravir (as dolutegravir sodium).</w:t>
      </w:r>
    </w:p>
    <w:p w14:paraId="69D7DC1D" w14:textId="14AB9959" w:rsidR="00C71F71" w:rsidRDefault="00C71F71" w:rsidP="00D4563C">
      <w:r>
        <w:t>TIVICAY</w:t>
      </w:r>
      <w:r w:rsidR="00960E86">
        <w:t xml:space="preserve"> PD</w:t>
      </w:r>
      <w:r>
        <w:t xml:space="preserve"> dispersible </w:t>
      </w:r>
      <w:r w:rsidRPr="00C71F71">
        <w:t>tablet</w:t>
      </w:r>
      <w:r>
        <w:t>s each</w:t>
      </w:r>
      <w:r w:rsidRPr="00C71F71">
        <w:t xml:space="preserve"> contain 5.26 mg of dolutegravir sodium</w:t>
      </w:r>
      <w:r>
        <w:t>,</w:t>
      </w:r>
      <w:r w:rsidRPr="00C71F71">
        <w:t xml:space="preserve"> equivalent to 5 mg </w:t>
      </w:r>
      <w:r>
        <w:t xml:space="preserve">of </w:t>
      </w:r>
      <w:r w:rsidRPr="00C71F71">
        <w:t>dolutegravir free acid</w:t>
      </w:r>
      <w:r w:rsidR="00A05B49">
        <w:t>.</w:t>
      </w:r>
    </w:p>
    <w:p w14:paraId="54F4F299" w14:textId="46D3F200" w:rsidR="00543AE1" w:rsidRDefault="004E368B" w:rsidP="00D4563C">
      <w:r w:rsidRPr="00D4563C">
        <w:t>TIVICAY</w:t>
      </w:r>
      <w:r w:rsidR="00960E86">
        <w:t xml:space="preserve"> and TIVICAY PD</w:t>
      </w:r>
      <w:r w:rsidRPr="00D4563C">
        <w:t xml:space="preserve"> tablets also contain mannitol</w:t>
      </w:r>
      <w:r w:rsidR="00C974E8">
        <w:t>.</w:t>
      </w:r>
    </w:p>
    <w:p w14:paraId="51F30B70" w14:textId="3401C823" w:rsidR="00810F59" w:rsidRDefault="00342B10" w:rsidP="00D4563C">
      <w:r>
        <w:t>TIVICAY PD dispersible tablets contain sucralose.</w:t>
      </w:r>
    </w:p>
    <w:p w14:paraId="53860D07" w14:textId="11E60E3D" w:rsidR="00ED65A6" w:rsidRPr="00D4563C" w:rsidRDefault="00175816" w:rsidP="00D4563C">
      <w:r w:rsidRPr="00D4563C">
        <w:t xml:space="preserve">For the full list of excipients, see Section 6.1 </w:t>
      </w:r>
      <w:r w:rsidR="009862D1" w:rsidRPr="00D4563C">
        <w:t>LIST OF EXCIPIENTS</w:t>
      </w:r>
      <w:r w:rsidRPr="00D4563C">
        <w:t>.</w:t>
      </w:r>
    </w:p>
    <w:p w14:paraId="58AEA3A7" w14:textId="77777777" w:rsidR="00ED65A6" w:rsidRPr="00D4563C" w:rsidRDefault="00D04C3D" w:rsidP="00D4563C">
      <w:pPr>
        <w:pStyle w:val="Heading1"/>
      </w:pPr>
      <w:r w:rsidRPr="00D4563C">
        <w:t>Pharmaceutical form</w:t>
      </w:r>
    </w:p>
    <w:p w14:paraId="7C38865F" w14:textId="4DFF40EE" w:rsidR="00543AE1" w:rsidRPr="00FD77CB" w:rsidRDefault="00543AE1" w:rsidP="004E2D77">
      <w:pPr>
        <w:rPr>
          <w:b/>
          <w:bCs/>
        </w:rPr>
      </w:pPr>
      <w:r w:rsidRPr="00FD77CB">
        <w:rPr>
          <w:b/>
          <w:bCs/>
        </w:rPr>
        <w:t>Film-coated tablets</w:t>
      </w:r>
    </w:p>
    <w:p w14:paraId="4162C2CA" w14:textId="3013A1F2" w:rsidR="004E2D77" w:rsidRDefault="004E2D77" w:rsidP="004E2D77">
      <w:r>
        <w:t>10 mg – White, film-coated, round, biconvex tablets debossed with ‘SV 572’ on one side and ‘10’ on the other side.</w:t>
      </w:r>
    </w:p>
    <w:p w14:paraId="04D78A17" w14:textId="77777777" w:rsidR="004E2D77" w:rsidRDefault="004E2D77" w:rsidP="004E2D77">
      <w:r>
        <w:t>25 mg – Pale yellow, film-coated, round, biconvex tablets debossed with ‘SV 572’ on one side and ‘25’ on the other side.</w:t>
      </w:r>
    </w:p>
    <w:p w14:paraId="3EC91CE7" w14:textId="546AC7D3" w:rsidR="00ED65A6" w:rsidRDefault="004E2D77" w:rsidP="004E2D77">
      <w:r>
        <w:t xml:space="preserve">50 mg – </w:t>
      </w:r>
      <w:r w:rsidR="00D04C3D" w:rsidRPr="00D4563C">
        <w:t>Yellow, film-coated, round, biconvex tablets, debossed with ‘SV 572’ on one side and ‘50’ on the other side.</w:t>
      </w:r>
    </w:p>
    <w:p w14:paraId="1F80C092" w14:textId="2427CBFB" w:rsidR="00543AE1" w:rsidRPr="00FD77CB" w:rsidRDefault="00543AE1" w:rsidP="00FD77CB">
      <w:pPr>
        <w:keepNext/>
        <w:rPr>
          <w:b/>
          <w:bCs/>
        </w:rPr>
      </w:pPr>
      <w:r w:rsidRPr="00FD77CB">
        <w:rPr>
          <w:b/>
          <w:bCs/>
        </w:rPr>
        <w:lastRenderedPageBreak/>
        <w:t>Dispersible tablets</w:t>
      </w:r>
    </w:p>
    <w:p w14:paraId="25C92E88" w14:textId="2995D85A" w:rsidR="00543AE1" w:rsidRPr="00D4563C" w:rsidRDefault="00543AE1" w:rsidP="00FD77CB">
      <w:pPr>
        <w:keepNext/>
      </w:pPr>
      <w:r>
        <w:t>5 mg - White, round, biconvex tablets debossed with ‘SV H7S’ on one side and ‘5’ on the other side.</w:t>
      </w:r>
    </w:p>
    <w:p w14:paraId="44669E96" w14:textId="77777777" w:rsidR="00ED65A6" w:rsidRPr="00D4563C" w:rsidRDefault="00D04C3D" w:rsidP="00147416">
      <w:pPr>
        <w:pStyle w:val="Heading1"/>
      </w:pPr>
      <w:r w:rsidRPr="00D4563C">
        <w:t>Clinical particulars</w:t>
      </w:r>
    </w:p>
    <w:p w14:paraId="2FDEC413" w14:textId="77777777" w:rsidR="00ED65A6" w:rsidRPr="00D4563C" w:rsidRDefault="00D04C3D" w:rsidP="00FD77CB">
      <w:pPr>
        <w:pStyle w:val="Heading2"/>
        <w:keepNext/>
        <w:keepLines/>
      </w:pPr>
      <w:r w:rsidRPr="00D4563C">
        <w:t xml:space="preserve">Therapeutic indications </w:t>
      </w:r>
    </w:p>
    <w:p w14:paraId="1014CFBE" w14:textId="622D3961" w:rsidR="00ED65A6" w:rsidRPr="00D4563C" w:rsidRDefault="00FF0934" w:rsidP="00FD77CB">
      <w:pPr>
        <w:keepNext/>
        <w:keepLines/>
      </w:pPr>
      <w:r w:rsidRPr="00D4563C">
        <w:t>TIVICAY</w:t>
      </w:r>
      <w:r w:rsidR="00960E86">
        <w:t xml:space="preserve"> and TIVICAY PD</w:t>
      </w:r>
      <w:r w:rsidR="00D04C3D" w:rsidRPr="00D4563C">
        <w:t xml:space="preserve"> </w:t>
      </w:r>
      <w:r w:rsidR="00960E86">
        <w:t>are</w:t>
      </w:r>
      <w:r w:rsidR="00D04C3D" w:rsidRPr="00D4563C">
        <w:t xml:space="preserve"> indicated for the treatment of human immunodeficiency virus (HIV) infection in combination with other antiretroviral agents in adults and children</w:t>
      </w:r>
      <w:r w:rsidR="00C711FE">
        <w:t xml:space="preserve"> of at least 4 weeks in age or older and weighing 3 kg or more</w:t>
      </w:r>
      <w:r w:rsidR="00130C1C">
        <w:t xml:space="preserve"> (see </w:t>
      </w:r>
      <w:r w:rsidR="009A0208">
        <w:t>Section 4.4</w:t>
      </w:r>
      <w:r w:rsidR="00524C3C">
        <w:t xml:space="preserve"> SPECIAL WARNINGS AND PRECAUTIONS FOR USE, Dual regimens</w:t>
      </w:r>
      <w:r w:rsidR="00F156FC">
        <w:t>)</w:t>
      </w:r>
      <w:r w:rsidR="00D04C3D" w:rsidRPr="00D4563C">
        <w:t>.</w:t>
      </w:r>
    </w:p>
    <w:p w14:paraId="09726067" w14:textId="77777777" w:rsidR="00ED65A6" w:rsidRPr="00D4563C" w:rsidRDefault="00D04C3D" w:rsidP="00D4563C">
      <w:pPr>
        <w:pStyle w:val="Heading2"/>
      </w:pPr>
      <w:r w:rsidRPr="00D4563C">
        <w:t xml:space="preserve">Dose and method of administration </w:t>
      </w:r>
    </w:p>
    <w:p w14:paraId="73D1DEB6" w14:textId="4D79A461" w:rsidR="00ED3459" w:rsidRPr="00FD77CB" w:rsidRDefault="00ED3459" w:rsidP="00D4563C">
      <w:pPr>
        <w:rPr>
          <w:b/>
          <w:bCs/>
          <w:u w:val="single"/>
        </w:rPr>
      </w:pPr>
      <w:r w:rsidRPr="00FD77CB">
        <w:rPr>
          <w:b/>
          <w:bCs/>
          <w:u w:val="single"/>
        </w:rPr>
        <w:t>Posology</w:t>
      </w:r>
    </w:p>
    <w:p w14:paraId="03E901A0" w14:textId="4F24660D" w:rsidR="00F10703" w:rsidRDefault="00FF0934" w:rsidP="00D4563C">
      <w:r w:rsidRPr="00D4563C">
        <w:t>TIVICAY</w:t>
      </w:r>
      <w:r w:rsidR="004B1FA2">
        <w:t xml:space="preserve"> and TIVICAY PD</w:t>
      </w:r>
      <w:r w:rsidR="00D04C3D" w:rsidRPr="00D4563C">
        <w:t xml:space="preserve"> therapy should be initiated by a physician experienced in t</w:t>
      </w:r>
      <w:r w:rsidR="00F10703">
        <w:t>he management of HIV infection.</w:t>
      </w:r>
    </w:p>
    <w:p w14:paraId="24861798" w14:textId="7BFF1A9F" w:rsidR="00ED3459" w:rsidRDefault="00E25C6B" w:rsidP="00D4563C">
      <w:r w:rsidRPr="00E25C6B">
        <w:t>Dolutegravir is available as film-coated tablets for patients aged at least 6 years</w:t>
      </w:r>
      <w:r w:rsidR="00F8227F">
        <w:t xml:space="preserve"> and weighing at least 14 kg</w:t>
      </w:r>
      <w:r w:rsidRPr="00E25C6B">
        <w:t xml:space="preserve">. Dolutegravir is also available as dispersible tablets for patients aged at least 4 weeks and weighing at least 3 kg, or for patients in whom film-coated tablets are not appropriate. The bioavailability of film-coated tablets and dispersible tablets is not comparable therefore they must not be used as direct replacements (see </w:t>
      </w:r>
      <w:r>
        <w:t xml:space="preserve">Section 5.2 </w:t>
      </w:r>
      <w:r w:rsidRPr="00E25C6B">
        <w:t>Pharmacokinetic</w:t>
      </w:r>
      <w:r>
        <w:t xml:space="preserve"> Propertie</w:t>
      </w:r>
      <w:r w:rsidRPr="00E25C6B">
        <w:t>s). For example, the recommended adult dose for film-coated tablets is 50 mg versus 30 mg for dispersible tablets. Patients changing between film-coated and dispersible tablets should follow the dosing recommendations that are specific for the formulation.</w:t>
      </w:r>
    </w:p>
    <w:p w14:paraId="1CEFFF10" w14:textId="08729E12" w:rsidR="00F10703" w:rsidRDefault="00FF0934" w:rsidP="00D4563C">
      <w:r w:rsidRPr="00D4563C">
        <w:t>TIVICAY</w:t>
      </w:r>
      <w:r w:rsidR="00D04C3D" w:rsidRPr="00D4563C">
        <w:t xml:space="preserve"> </w:t>
      </w:r>
      <w:r w:rsidR="004B1FA2">
        <w:t>and TIVICA</w:t>
      </w:r>
      <w:r w:rsidR="008931D1">
        <w:t>Y</w:t>
      </w:r>
      <w:r w:rsidR="004B1FA2">
        <w:t xml:space="preserve"> PD </w:t>
      </w:r>
      <w:r w:rsidR="00D04C3D" w:rsidRPr="00D4563C">
        <w:t>can</w:t>
      </w:r>
      <w:r w:rsidR="00F10703">
        <w:t xml:space="preserve"> be taken with or without food.</w:t>
      </w:r>
    </w:p>
    <w:p w14:paraId="2B157F92" w14:textId="77777777" w:rsidR="00ED3459" w:rsidRPr="00FD77CB" w:rsidRDefault="00ED3459" w:rsidP="00ED3459">
      <w:pPr>
        <w:rPr>
          <w:b/>
          <w:bCs/>
          <w:i/>
        </w:rPr>
      </w:pPr>
      <w:r w:rsidRPr="00FD77CB">
        <w:rPr>
          <w:b/>
          <w:bCs/>
          <w:i/>
        </w:rPr>
        <w:t>Dispersible tablets</w:t>
      </w:r>
    </w:p>
    <w:p w14:paraId="31BFEDE0" w14:textId="2FE8CB71" w:rsidR="00ED3459" w:rsidRDefault="00ED3459" w:rsidP="00D4563C">
      <w:r w:rsidRPr="00ED3459">
        <w:t>The dispersible tablets may be swallowed whole with drinking water or dispersed in drinking water. When dispersed, the amount of water will depend on the number of tablets prescribed. The tablet(s) should be fully dispersed before swallowing. Do not chew, cut or crush the tablets</w:t>
      </w:r>
      <w:r>
        <w:t>.</w:t>
      </w:r>
    </w:p>
    <w:p w14:paraId="10D17922" w14:textId="1361F255" w:rsidR="00ED3459" w:rsidRDefault="00ED3459" w:rsidP="00D4563C">
      <w:pPr>
        <w:rPr>
          <w:b/>
          <w:bCs/>
          <w:u w:val="single"/>
        </w:rPr>
      </w:pPr>
      <w:r w:rsidRPr="00FD77CB">
        <w:rPr>
          <w:b/>
          <w:bCs/>
          <w:u w:val="single"/>
        </w:rPr>
        <w:t>Method of administration</w:t>
      </w:r>
    </w:p>
    <w:p w14:paraId="2F9A5988" w14:textId="7D72594E" w:rsidR="00F8227F" w:rsidRPr="00FD77CB" w:rsidRDefault="00F8227F" w:rsidP="00D4563C">
      <w:pPr>
        <w:rPr>
          <w:b/>
          <w:bCs/>
          <w:i/>
        </w:rPr>
      </w:pPr>
      <w:r>
        <w:rPr>
          <w:b/>
          <w:bCs/>
          <w:i/>
        </w:rPr>
        <w:t>Film-coated tablets</w:t>
      </w:r>
    </w:p>
    <w:p w14:paraId="5AAADEA0" w14:textId="04AD448B" w:rsidR="00F10703" w:rsidRDefault="00D04C3D" w:rsidP="00D4563C">
      <w:r w:rsidRPr="007A171A">
        <w:rPr>
          <w:b/>
          <w:bCs/>
        </w:rPr>
        <w:t>Adults</w:t>
      </w:r>
      <w:r w:rsidR="00160371">
        <w:rPr>
          <w:b/>
          <w:i/>
          <w:iCs/>
        </w:rPr>
        <w:br/>
      </w:r>
      <w:r w:rsidRPr="00FD77CB">
        <w:rPr>
          <w:i/>
          <w:iCs/>
        </w:rPr>
        <w:t>Patients infected with HIV-1 without re</w:t>
      </w:r>
      <w:r w:rsidR="00AE2AA3" w:rsidRPr="00FD77CB">
        <w:rPr>
          <w:i/>
          <w:iCs/>
        </w:rPr>
        <w:t>sistance to the integrase class</w:t>
      </w:r>
      <w:r w:rsidR="00160371">
        <w:rPr>
          <w:b/>
          <w:i/>
          <w:iCs/>
        </w:rPr>
        <w:br/>
      </w:r>
      <w:r w:rsidRPr="00D4563C">
        <w:t xml:space="preserve">The recommended dose of </w:t>
      </w:r>
      <w:r w:rsidR="00FF0934" w:rsidRPr="00D4563C">
        <w:t>TIVICAY</w:t>
      </w:r>
      <w:r w:rsidR="00F8227F">
        <w:t xml:space="preserve"> film-coated tablets</w:t>
      </w:r>
      <w:r w:rsidR="00F10703">
        <w:t xml:space="preserve"> is 50 mg once daily.</w:t>
      </w:r>
    </w:p>
    <w:p w14:paraId="680F5D99" w14:textId="377E303A" w:rsidR="004F4B47" w:rsidRDefault="00D04C3D" w:rsidP="00D4563C">
      <w:r w:rsidRPr="00FD77CB">
        <w:rPr>
          <w:i/>
        </w:rPr>
        <w:t>Patients infected with HIV-1 with resistance to the integrase class (docu</w:t>
      </w:r>
      <w:r w:rsidR="00AE2AA3" w:rsidRPr="00FD77CB">
        <w:rPr>
          <w:i/>
        </w:rPr>
        <w:t>mented or clinically suspected)</w:t>
      </w:r>
      <w:r w:rsidR="00160371">
        <w:rPr>
          <w:b/>
          <w:i/>
        </w:rPr>
        <w:br/>
      </w:r>
      <w:r w:rsidRPr="00D4563C">
        <w:lastRenderedPageBreak/>
        <w:t xml:space="preserve">The recommended dose of </w:t>
      </w:r>
      <w:r w:rsidR="00FF0934" w:rsidRPr="00D4563C">
        <w:t>TIVICAY</w:t>
      </w:r>
      <w:r w:rsidRPr="00D4563C">
        <w:t xml:space="preserve"> </w:t>
      </w:r>
      <w:r w:rsidR="00F8227F">
        <w:t xml:space="preserve">film-coated tablets </w:t>
      </w:r>
      <w:r w:rsidRPr="00D4563C">
        <w:t>is 50 mg twice daily. The decision to use dolutegravir for such patients should be informed by the integrase resistance pattern (see</w:t>
      </w:r>
      <w:r w:rsidR="00AE2AA3" w:rsidRPr="00D4563C">
        <w:t xml:space="preserve"> Section 5.1 </w:t>
      </w:r>
      <w:r w:rsidR="00413921" w:rsidRPr="00D4563C">
        <w:t>PHARMACODYNAMIC PROPERTIES</w:t>
      </w:r>
      <w:r w:rsidR="00413921">
        <w:t xml:space="preserve"> </w:t>
      </w:r>
      <w:r w:rsidR="00EF7F9F">
        <w:t>-</w:t>
      </w:r>
      <w:r w:rsidRPr="00D4563C">
        <w:t xml:space="preserve"> Clinical trials).</w:t>
      </w:r>
    </w:p>
    <w:p w14:paraId="30869DFC" w14:textId="3AB3947D" w:rsidR="00AE2AA3" w:rsidRPr="00D4563C" w:rsidRDefault="00D04C3D" w:rsidP="00D4563C">
      <w:r w:rsidRPr="00D4563C">
        <w:t xml:space="preserve">The following should be considered prior to initiating treatment with </w:t>
      </w:r>
      <w:r w:rsidR="00FF0934" w:rsidRPr="00D4563C">
        <w:t>TIVICAY</w:t>
      </w:r>
      <w:r w:rsidR="00EC2A52" w:rsidRPr="00D4563C">
        <w:t xml:space="preserve"> </w:t>
      </w:r>
      <w:r w:rsidR="00F8227F">
        <w:t xml:space="preserve">film-coated tablets </w:t>
      </w:r>
      <w:r w:rsidR="00EC2A52" w:rsidRPr="00D4563C">
        <w:t>50 mg twice daily:</w:t>
      </w:r>
    </w:p>
    <w:p w14:paraId="37679980" w14:textId="67852909" w:rsidR="00AE2AA3" w:rsidRPr="00D4563C" w:rsidRDefault="00D04C3D" w:rsidP="00450C04">
      <w:pPr>
        <w:pStyle w:val="ListParagraph"/>
        <w:numPr>
          <w:ilvl w:val="0"/>
          <w:numId w:val="13"/>
        </w:numPr>
        <w:ind w:left="709"/>
      </w:pPr>
      <w:r w:rsidRPr="00D4563C">
        <w:t xml:space="preserve">Reduced virologic response was observed in subjects treated with </w:t>
      </w:r>
      <w:r w:rsidR="00FF0934" w:rsidRPr="00D4563C">
        <w:t>TIVICAY</w:t>
      </w:r>
      <w:r w:rsidRPr="00D4563C">
        <w:t xml:space="preserve"> 50 mg twice daily with an INI</w:t>
      </w:r>
      <w:r w:rsidR="00AE2AA3" w:rsidRPr="00D4563C">
        <w:t>-</w:t>
      </w:r>
      <w:r w:rsidRPr="00D4563C">
        <w:t>resistance Q148H/K/R mutation plus 2 or more additional INI</w:t>
      </w:r>
      <w:r w:rsidR="00AE2AA3" w:rsidRPr="00D4563C">
        <w:t>-</w:t>
      </w:r>
      <w:r w:rsidRPr="00D4563C">
        <w:t>resistance mutations including, but not limited to G140A/C/S, E138A/K/T, or L74I (see</w:t>
      </w:r>
      <w:r w:rsidR="00AE2AA3" w:rsidRPr="00D4563C">
        <w:t xml:space="preserve"> Section 5 </w:t>
      </w:r>
      <w:r w:rsidR="00413921" w:rsidRPr="00D4563C">
        <w:t>PHARMACOLOGICAL PROPERTIES</w:t>
      </w:r>
      <w:r w:rsidRPr="00D4563C">
        <w:t>).</w:t>
      </w:r>
    </w:p>
    <w:p w14:paraId="1C788BE2" w14:textId="062B48DD" w:rsidR="0023081E" w:rsidRDefault="00D04C3D" w:rsidP="00D4563C">
      <w:r w:rsidRPr="00D4563C">
        <w:rPr>
          <w:b/>
          <w:bCs/>
        </w:rPr>
        <w:t>Adolescents</w:t>
      </w:r>
      <w:r w:rsidRPr="00D4563C">
        <w:br/>
        <w:t xml:space="preserve">In patients who have not previously been treated with an integrase inhibitor, (12 to less than 18 years of age and weighing greater than or equal to </w:t>
      </w:r>
      <w:r w:rsidR="00F8227F">
        <w:t>2</w:t>
      </w:r>
      <w:r w:rsidRPr="00D4563C">
        <w:t xml:space="preserve">0 kg) the recommended dose of </w:t>
      </w:r>
      <w:r w:rsidR="00FF0934" w:rsidRPr="00D4563C">
        <w:t>TIVICAY</w:t>
      </w:r>
      <w:r w:rsidR="00F8227F">
        <w:t xml:space="preserve"> film-coated tablets</w:t>
      </w:r>
      <w:r w:rsidR="0023081E">
        <w:t xml:space="preserve"> is 50 mg once daily.</w:t>
      </w:r>
    </w:p>
    <w:p w14:paraId="579B2269" w14:textId="40DF16EB" w:rsidR="0023081E" w:rsidRDefault="00D04C3D" w:rsidP="00D4563C">
      <w:r w:rsidRPr="00D4563C">
        <w:t xml:space="preserve">There are insufficient data to recommend a dose for </w:t>
      </w:r>
      <w:r w:rsidR="00FF0934" w:rsidRPr="00D4563C">
        <w:t>TIVICAY</w:t>
      </w:r>
      <w:r w:rsidR="008931D1">
        <w:t xml:space="preserve"> or TIVICAY PD</w:t>
      </w:r>
      <w:r w:rsidRPr="00D4563C">
        <w:t xml:space="preserve"> in integrase inhibitor resistant ado</w:t>
      </w:r>
      <w:r w:rsidR="0023081E">
        <w:t>lescents under 18 years of age.</w:t>
      </w:r>
    </w:p>
    <w:p w14:paraId="7706D56F" w14:textId="4596FAE3" w:rsidR="004E2D77" w:rsidRDefault="00D04C3D" w:rsidP="004E2D77">
      <w:r w:rsidRPr="00D4563C">
        <w:rPr>
          <w:b/>
          <w:bCs/>
        </w:rPr>
        <w:t>Children</w:t>
      </w:r>
      <w:r w:rsidR="00F8227F">
        <w:rPr>
          <w:b/>
          <w:bCs/>
        </w:rPr>
        <w:t xml:space="preserve"> aged at least 6 years and weighing at least 14 kg</w:t>
      </w:r>
      <w:r w:rsidRPr="00D4563C">
        <w:br/>
      </w:r>
      <w:r w:rsidR="004E2D77">
        <w:t>In patients infected with HIV-1 without resi</w:t>
      </w:r>
      <w:r w:rsidR="00F45AA7">
        <w:t>s</w:t>
      </w:r>
      <w:r w:rsidR="004E2D77">
        <w:t xml:space="preserve">tance to the integrase class, the recommended dose of dolutegravir </w:t>
      </w:r>
      <w:r w:rsidR="00F8227F">
        <w:t xml:space="preserve">film-coated tablets </w:t>
      </w:r>
      <w:r w:rsidR="004E2D77">
        <w:t>in children (6 to less than 12 years of age and weighing at least 1</w:t>
      </w:r>
      <w:r w:rsidR="00F8227F">
        <w:t>4</w:t>
      </w:r>
      <w:r w:rsidR="004E2D77">
        <w:t xml:space="preserve"> kg) is determined according to the weight of the child. Dose recommendations according to weight are presented in the table below.</w:t>
      </w:r>
    </w:p>
    <w:p w14:paraId="5C36E7F4" w14:textId="0D60D258" w:rsidR="004E2D77" w:rsidRDefault="004E2D77" w:rsidP="004E2D77">
      <w:pPr>
        <w:rPr>
          <w:b/>
        </w:rPr>
      </w:pPr>
      <w:r w:rsidRPr="0091728A">
        <w:rPr>
          <w:b/>
        </w:rPr>
        <w:t>Table 1</w:t>
      </w:r>
      <w:r w:rsidR="007A171A">
        <w:rPr>
          <w:b/>
        </w:rPr>
        <w:t>a</w:t>
      </w:r>
      <w:r w:rsidRPr="0091728A">
        <w:rPr>
          <w:b/>
        </w:rPr>
        <w:tab/>
      </w:r>
      <w:r w:rsidR="007A171A">
        <w:rPr>
          <w:b/>
        </w:rPr>
        <w:t>Film-coated tablet</w:t>
      </w:r>
      <w:r w:rsidRPr="0091728A">
        <w:rPr>
          <w:b/>
        </w:rPr>
        <w:t xml:space="preserve"> </w:t>
      </w:r>
      <w:r w:rsidR="007A171A">
        <w:rPr>
          <w:b/>
        </w:rPr>
        <w:t>d</w:t>
      </w:r>
      <w:r w:rsidRPr="0091728A">
        <w:rPr>
          <w:b/>
        </w:rPr>
        <w:t>ose recommendations</w:t>
      </w:r>
      <w:r w:rsidR="007A171A">
        <w:rPr>
          <w:b/>
        </w:rPr>
        <w:t xml:space="preserve"> in c</w:t>
      </w:r>
      <w:r w:rsidR="007A171A" w:rsidRPr="007A171A">
        <w:rPr>
          <w:b/>
        </w:rPr>
        <w:t>hildren aged at least 6 years and weighing at least 14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544"/>
      </w:tblGrid>
      <w:tr w:rsidR="004E2D77" w:rsidRPr="004C0EEA" w14:paraId="0AD9E483" w14:textId="77777777" w:rsidTr="004E2D77">
        <w:trPr>
          <w:trHeight w:val="432"/>
        </w:trPr>
        <w:tc>
          <w:tcPr>
            <w:tcW w:w="3085" w:type="dxa"/>
            <w:shd w:val="clear" w:color="auto" w:fill="auto"/>
            <w:vAlign w:val="bottom"/>
          </w:tcPr>
          <w:p w14:paraId="416D5362" w14:textId="77777777" w:rsidR="004E2D77" w:rsidRPr="0091728A" w:rsidRDefault="004E2D77" w:rsidP="004E2D77">
            <w:pPr>
              <w:spacing w:after="120" w:line="240" w:lineRule="auto"/>
              <w:rPr>
                <w:b/>
                <w:lang w:val="en-US"/>
              </w:rPr>
            </w:pPr>
            <w:r w:rsidRPr="0091728A">
              <w:rPr>
                <w:b/>
                <w:lang w:val="en-US"/>
              </w:rPr>
              <w:t>Body Weight (kg)</w:t>
            </w:r>
          </w:p>
        </w:tc>
        <w:tc>
          <w:tcPr>
            <w:tcW w:w="3544" w:type="dxa"/>
            <w:shd w:val="clear" w:color="auto" w:fill="auto"/>
            <w:vAlign w:val="bottom"/>
          </w:tcPr>
          <w:p w14:paraId="1A24A4FB" w14:textId="77777777" w:rsidR="004E2D77" w:rsidRPr="0091728A" w:rsidRDefault="004E2D77" w:rsidP="004E2D77">
            <w:pPr>
              <w:spacing w:after="120" w:line="240" w:lineRule="auto"/>
              <w:rPr>
                <w:b/>
                <w:lang w:val="en-US"/>
              </w:rPr>
            </w:pPr>
            <w:r w:rsidRPr="0091728A">
              <w:rPr>
                <w:b/>
                <w:lang w:val="en-US"/>
              </w:rPr>
              <w:t>Dose</w:t>
            </w:r>
          </w:p>
        </w:tc>
      </w:tr>
      <w:tr w:rsidR="004E2D77" w:rsidRPr="004C0EEA" w14:paraId="5B964CEE" w14:textId="77777777" w:rsidTr="004E2D77">
        <w:trPr>
          <w:trHeight w:val="432"/>
        </w:trPr>
        <w:tc>
          <w:tcPr>
            <w:tcW w:w="3085" w:type="dxa"/>
            <w:shd w:val="clear" w:color="auto" w:fill="auto"/>
          </w:tcPr>
          <w:p w14:paraId="64203953" w14:textId="56722773" w:rsidR="004E2D77" w:rsidRPr="0091728A" w:rsidRDefault="004E2D77" w:rsidP="004E2D77">
            <w:pPr>
              <w:spacing w:after="120" w:line="240" w:lineRule="auto"/>
              <w:rPr>
                <w:lang w:val="en-US"/>
              </w:rPr>
            </w:pPr>
            <w:r w:rsidRPr="0091728A">
              <w:rPr>
                <w:lang w:val="en-US"/>
              </w:rPr>
              <w:t>1</w:t>
            </w:r>
            <w:r w:rsidR="007A171A">
              <w:rPr>
                <w:lang w:val="en-US"/>
              </w:rPr>
              <w:t>4</w:t>
            </w:r>
            <w:r w:rsidRPr="0091728A">
              <w:rPr>
                <w:lang w:val="en-US"/>
              </w:rPr>
              <w:t xml:space="preserve"> to less than 20 </w:t>
            </w:r>
          </w:p>
        </w:tc>
        <w:tc>
          <w:tcPr>
            <w:tcW w:w="3544" w:type="dxa"/>
            <w:shd w:val="clear" w:color="auto" w:fill="auto"/>
          </w:tcPr>
          <w:p w14:paraId="434406C9" w14:textId="74604A6E" w:rsidR="004E2D77" w:rsidRPr="0091728A" w:rsidRDefault="007A171A" w:rsidP="004E2D77">
            <w:pPr>
              <w:spacing w:after="120" w:line="240" w:lineRule="auto"/>
              <w:rPr>
                <w:lang w:val="en-US"/>
              </w:rPr>
            </w:pPr>
            <w:r>
              <w:rPr>
                <w:lang w:val="en-US"/>
              </w:rPr>
              <w:t>4</w:t>
            </w:r>
            <w:r w:rsidR="004E2D77" w:rsidRPr="0091728A">
              <w:rPr>
                <w:lang w:val="en-US"/>
              </w:rPr>
              <w:t>0 mg once daily</w:t>
            </w:r>
          </w:p>
          <w:p w14:paraId="23C51A7F" w14:textId="2D144E21" w:rsidR="004E2D77" w:rsidRPr="0091728A" w:rsidRDefault="004E2D77" w:rsidP="004E2D77">
            <w:pPr>
              <w:spacing w:after="120" w:line="240" w:lineRule="auto"/>
              <w:rPr>
                <w:lang w:val="en-US"/>
              </w:rPr>
            </w:pPr>
            <w:r w:rsidRPr="0091728A">
              <w:rPr>
                <w:lang w:val="en-US"/>
              </w:rPr>
              <w:t xml:space="preserve">(Taken as </w:t>
            </w:r>
            <w:r w:rsidR="007A171A">
              <w:rPr>
                <w:lang w:val="en-US"/>
              </w:rPr>
              <w:t>four</w:t>
            </w:r>
            <w:r w:rsidRPr="0091728A">
              <w:rPr>
                <w:lang w:val="en-US"/>
              </w:rPr>
              <w:t xml:space="preserve"> 10 mg </w:t>
            </w:r>
            <w:r w:rsidR="007A171A">
              <w:rPr>
                <w:lang w:val="en-US"/>
              </w:rPr>
              <w:t xml:space="preserve">film-coated </w:t>
            </w:r>
            <w:r w:rsidRPr="0091728A">
              <w:rPr>
                <w:lang w:val="en-US"/>
              </w:rPr>
              <w:t>tablets)</w:t>
            </w:r>
          </w:p>
        </w:tc>
      </w:tr>
      <w:tr w:rsidR="004E2D77" w:rsidRPr="004C0EEA" w14:paraId="65A988A9" w14:textId="77777777" w:rsidTr="004E2D77">
        <w:trPr>
          <w:trHeight w:val="432"/>
        </w:trPr>
        <w:tc>
          <w:tcPr>
            <w:tcW w:w="3085" w:type="dxa"/>
            <w:shd w:val="clear" w:color="auto" w:fill="auto"/>
          </w:tcPr>
          <w:p w14:paraId="643E23A7" w14:textId="7F061EAD" w:rsidR="004E2D77" w:rsidRPr="0091728A" w:rsidRDefault="007A171A" w:rsidP="004E2D77">
            <w:pPr>
              <w:spacing w:after="120" w:line="240" w:lineRule="auto"/>
              <w:rPr>
                <w:lang w:val="en-US"/>
              </w:rPr>
            </w:pPr>
            <w:r>
              <w:rPr>
                <w:lang w:val="en-US"/>
              </w:rPr>
              <w:t>2</w:t>
            </w:r>
            <w:r w:rsidR="004E2D77" w:rsidRPr="0091728A">
              <w:rPr>
                <w:lang w:val="en-US"/>
              </w:rPr>
              <w:t>0 or greater</w:t>
            </w:r>
          </w:p>
        </w:tc>
        <w:tc>
          <w:tcPr>
            <w:tcW w:w="3544" w:type="dxa"/>
            <w:shd w:val="clear" w:color="auto" w:fill="auto"/>
          </w:tcPr>
          <w:p w14:paraId="3EEAB10F" w14:textId="77777777" w:rsidR="004E2D77" w:rsidRDefault="004E2D77" w:rsidP="004E2D77">
            <w:pPr>
              <w:spacing w:after="120" w:line="240" w:lineRule="auto"/>
              <w:rPr>
                <w:lang w:val="en-US"/>
              </w:rPr>
            </w:pPr>
            <w:r w:rsidRPr="0091728A">
              <w:rPr>
                <w:lang w:val="en-US"/>
              </w:rPr>
              <w:t>50 mg once daily</w:t>
            </w:r>
          </w:p>
          <w:p w14:paraId="4C975BCC" w14:textId="00512284" w:rsidR="004E2D77" w:rsidRPr="0091728A" w:rsidRDefault="004E2D77" w:rsidP="004E2D77">
            <w:pPr>
              <w:spacing w:after="120" w:line="240" w:lineRule="auto"/>
              <w:rPr>
                <w:lang w:val="en-US"/>
              </w:rPr>
            </w:pPr>
            <w:r>
              <w:rPr>
                <w:lang w:val="en-US"/>
              </w:rPr>
              <w:t xml:space="preserve">(Taken as one 50 mg </w:t>
            </w:r>
            <w:r w:rsidR="007A171A">
              <w:rPr>
                <w:lang w:val="en-US"/>
              </w:rPr>
              <w:t xml:space="preserve">film-coated </w:t>
            </w:r>
            <w:r>
              <w:rPr>
                <w:lang w:val="en-US"/>
              </w:rPr>
              <w:t>tablet)</w:t>
            </w:r>
          </w:p>
        </w:tc>
      </w:tr>
    </w:tbl>
    <w:p w14:paraId="164E2EA9" w14:textId="01D30E89" w:rsidR="004E2D77" w:rsidRDefault="004E2D77" w:rsidP="00D4563C"/>
    <w:p w14:paraId="18E152F9" w14:textId="1079D1E4" w:rsidR="007A171A" w:rsidRDefault="007A171A" w:rsidP="00D4563C">
      <w:r w:rsidRPr="007A171A">
        <w:t>To reduce the risk of choking, do not swallow more than one tablet at a time, and where possible, children weighing 14 to less than 20 kg should preferentially take the dispersible tablet formulation.</w:t>
      </w:r>
    </w:p>
    <w:p w14:paraId="7583F0A8" w14:textId="28D3D91F" w:rsidR="0023081E" w:rsidRDefault="00D04C3D" w:rsidP="00D4563C">
      <w:r w:rsidRPr="00D4563C">
        <w:t xml:space="preserve">There are insufficient safety and efficacy data available to recommend a dose for </w:t>
      </w:r>
      <w:r w:rsidR="00FF0934" w:rsidRPr="00D4563C">
        <w:t>TIVICAY</w:t>
      </w:r>
      <w:r w:rsidRPr="00D4563C">
        <w:t xml:space="preserve"> </w:t>
      </w:r>
      <w:r w:rsidR="007A171A">
        <w:t xml:space="preserve">film-coated tablets </w:t>
      </w:r>
      <w:r w:rsidRPr="00D4563C">
        <w:t xml:space="preserve">in children below age </w:t>
      </w:r>
      <w:r w:rsidR="004E2D77">
        <w:t>6</w:t>
      </w:r>
      <w:r w:rsidRPr="00D4563C">
        <w:t xml:space="preserve"> or weighing less than </w:t>
      </w:r>
      <w:r w:rsidR="004E2D77">
        <w:t>1</w:t>
      </w:r>
      <w:r w:rsidR="007A171A">
        <w:t>4</w:t>
      </w:r>
      <w:r w:rsidR="0023081E">
        <w:t xml:space="preserve"> kg.</w:t>
      </w:r>
    </w:p>
    <w:p w14:paraId="6A005AC8" w14:textId="75F1E6C5" w:rsidR="004E2D77" w:rsidRDefault="004E2D77" w:rsidP="004E2D77">
      <w:r>
        <w:t xml:space="preserve">There is insufficient data to recommend a dose for dolutegravir </w:t>
      </w:r>
      <w:r w:rsidR="007A171A">
        <w:t xml:space="preserve">film-coated tablets </w:t>
      </w:r>
      <w:r>
        <w:t>in integrase inhibitor resistant children.</w:t>
      </w:r>
    </w:p>
    <w:p w14:paraId="5C2F1903" w14:textId="17A353F1" w:rsidR="007A171A" w:rsidRDefault="007A171A" w:rsidP="00FD77CB">
      <w:pPr>
        <w:keepNext/>
        <w:keepLines/>
        <w:rPr>
          <w:b/>
          <w:i/>
        </w:rPr>
      </w:pPr>
      <w:r>
        <w:rPr>
          <w:b/>
          <w:i/>
        </w:rPr>
        <w:lastRenderedPageBreak/>
        <w:t>Dispersible tablets</w:t>
      </w:r>
    </w:p>
    <w:p w14:paraId="6FD7F46D" w14:textId="4C8DC87C" w:rsidR="007A171A" w:rsidRDefault="007A171A" w:rsidP="00FD77CB">
      <w:pPr>
        <w:keepNext/>
        <w:keepLines/>
        <w:rPr>
          <w:b/>
        </w:rPr>
      </w:pPr>
      <w:r>
        <w:rPr>
          <w:b/>
        </w:rPr>
        <w:t>Adults</w:t>
      </w:r>
    </w:p>
    <w:p w14:paraId="51ED1F93" w14:textId="77777777" w:rsidR="007A171A" w:rsidRPr="00FD77CB" w:rsidRDefault="007A171A" w:rsidP="00FD77CB">
      <w:pPr>
        <w:keepNext/>
        <w:keepLines/>
        <w:rPr>
          <w:i/>
        </w:rPr>
      </w:pPr>
      <w:r w:rsidRPr="00FD77CB">
        <w:rPr>
          <w:i/>
        </w:rPr>
        <w:t>Patients infected with HIV-1 without resistance to the integrase class</w:t>
      </w:r>
    </w:p>
    <w:p w14:paraId="10E12BE3" w14:textId="77777777" w:rsidR="007A171A" w:rsidRPr="00FD77CB" w:rsidRDefault="007A171A" w:rsidP="00FD77CB">
      <w:pPr>
        <w:keepNext/>
        <w:keepLines/>
      </w:pPr>
      <w:r w:rsidRPr="00FD77CB">
        <w:t xml:space="preserve">The recommended dose of dolutegravir dispersible tablets is 30 mg once daily. </w:t>
      </w:r>
    </w:p>
    <w:p w14:paraId="295D6301" w14:textId="77777777" w:rsidR="007A171A" w:rsidRPr="00FD77CB" w:rsidRDefault="007A171A" w:rsidP="007A171A">
      <w:pPr>
        <w:rPr>
          <w:i/>
        </w:rPr>
      </w:pPr>
      <w:r w:rsidRPr="00FD77CB">
        <w:rPr>
          <w:i/>
        </w:rPr>
        <w:t>Patients infected with HIV-1 with resistance to the integrase class (documented or clinically suspected)</w:t>
      </w:r>
    </w:p>
    <w:p w14:paraId="765112FD" w14:textId="09E0B5A1" w:rsidR="007A171A" w:rsidRDefault="007A171A" w:rsidP="007A171A">
      <w:r w:rsidRPr="00FD77CB">
        <w:t xml:space="preserve">The recommended dose of dolutegravir dispersible tablets is 30 mg twice daily. The decision to use dolutegravir for such patients should be informed by the integrase resistance pattern (see </w:t>
      </w:r>
      <w:r>
        <w:t>Section 5.1 Pharmacodynamic Properties, Clinical trials</w:t>
      </w:r>
      <w:r w:rsidRPr="00FD77CB">
        <w:t>).</w:t>
      </w:r>
    </w:p>
    <w:p w14:paraId="0CA49EC8" w14:textId="2DB71801" w:rsidR="007A171A" w:rsidRDefault="007A171A" w:rsidP="007A171A">
      <w:pPr>
        <w:rPr>
          <w:b/>
        </w:rPr>
      </w:pPr>
      <w:r w:rsidRPr="00FD77CB">
        <w:rPr>
          <w:b/>
        </w:rPr>
        <w:t>Adolescents, children and infants aged at least 4 weeks and weighing at least 3 kg</w:t>
      </w:r>
    </w:p>
    <w:p w14:paraId="1C5DBA3D" w14:textId="77777777" w:rsidR="007A171A" w:rsidRPr="00FD77CB" w:rsidRDefault="007A171A" w:rsidP="007A171A">
      <w:pPr>
        <w:rPr>
          <w:i/>
        </w:rPr>
      </w:pPr>
      <w:r w:rsidRPr="00FD77CB">
        <w:rPr>
          <w:i/>
        </w:rPr>
        <w:t>Patients infected with HIV-1 without resistance to the integrase class</w:t>
      </w:r>
    </w:p>
    <w:p w14:paraId="6420B282" w14:textId="211B8920" w:rsidR="007A171A" w:rsidRDefault="007A171A" w:rsidP="007A171A">
      <w:r w:rsidRPr="00FD77CB">
        <w:t>The recommended dose of dolutegravir dispersible tablets is determined according to weight and age and is presented in the table below.</w:t>
      </w:r>
    </w:p>
    <w:p w14:paraId="185ECDB1" w14:textId="2EB43D24" w:rsidR="007A171A" w:rsidRDefault="007A171A" w:rsidP="007A171A">
      <w:pPr>
        <w:rPr>
          <w:b/>
        </w:rPr>
      </w:pPr>
      <w:r w:rsidRPr="0091728A">
        <w:rPr>
          <w:b/>
        </w:rPr>
        <w:t>Table 1</w:t>
      </w:r>
      <w:r>
        <w:rPr>
          <w:b/>
        </w:rPr>
        <w:t>b</w:t>
      </w:r>
      <w:r w:rsidRPr="0091728A">
        <w:rPr>
          <w:b/>
        </w:rPr>
        <w:tab/>
      </w:r>
      <w:r w:rsidRPr="007A171A">
        <w:rPr>
          <w:b/>
        </w:rPr>
        <w:t>Dispersible tablet dose recommendations in adolescents, children and infants aged at least 4 weeks and weighing at least 3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140"/>
      </w:tblGrid>
      <w:tr w:rsidR="007A171A" w:rsidRPr="004C0EEA" w14:paraId="6D89FA32" w14:textId="77777777" w:rsidTr="00A13DA0">
        <w:trPr>
          <w:trHeight w:val="432"/>
        </w:trPr>
        <w:tc>
          <w:tcPr>
            <w:tcW w:w="3085" w:type="dxa"/>
            <w:shd w:val="clear" w:color="auto" w:fill="auto"/>
            <w:vAlign w:val="bottom"/>
          </w:tcPr>
          <w:p w14:paraId="0805B15B" w14:textId="77777777" w:rsidR="007A171A" w:rsidRPr="0091728A" w:rsidRDefault="007A171A" w:rsidP="00540AD7">
            <w:pPr>
              <w:spacing w:after="120" w:line="240" w:lineRule="auto"/>
              <w:rPr>
                <w:b/>
                <w:lang w:val="en-US"/>
              </w:rPr>
            </w:pPr>
            <w:r w:rsidRPr="0091728A">
              <w:rPr>
                <w:b/>
                <w:lang w:val="en-US"/>
              </w:rPr>
              <w:t>Body Weight (kg)</w:t>
            </w:r>
          </w:p>
        </w:tc>
        <w:tc>
          <w:tcPr>
            <w:tcW w:w="4140" w:type="dxa"/>
            <w:shd w:val="clear" w:color="auto" w:fill="auto"/>
            <w:vAlign w:val="bottom"/>
          </w:tcPr>
          <w:p w14:paraId="5D71B06C" w14:textId="77777777" w:rsidR="007A171A" w:rsidRPr="0091728A" w:rsidRDefault="007A171A" w:rsidP="00540AD7">
            <w:pPr>
              <w:spacing w:after="120" w:line="240" w:lineRule="auto"/>
              <w:rPr>
                <w:b/>
                <w:lang w:val="en-US"/>
              </w:rPr>
            </w:pPr>
            <w:r w:rsidRPr="0091728A">
              <w:rPr>
                <w:b/>
                <w:lang w:val="en-US"/>
              </w:rPr>
              <w:t>Dose</w:t>
            </w:r>
          </w:p>
        </w:tc>
      </w:tr>
      <w:tr w:rsidR="00867689" w:rsidRPr="004C0EEA" w14:paraId="56C254A2" w14:textId="77777777" w:rsidTr="00A13DA0">
        <w:trPr>
          <w:trHeight w:val="432"/>
        </w:trPr>
        <w:tc>
          <w:tcPr>
            <w:tcW w:w="3085" w:type="dxa"/>
            <w:tcBorders>
              <w:bottom w:val="single" w:sz="4" w:space="0" w:color="auto"/>
            </w:tcBorders>
            <w:shd w:val="clear" w:color="auto" w:fill="auto"/>
          </w:tcPr>
          <w:p w14:paraId="61503DA2" w14:textId="32FE96F5" w:rsidR="00867689" w:rsidRPr="0091728A" w:rsidRDefault="00867689" w:rsidP="00867689">
            <w:pPr>
              <w:spacing w:after="120" w:line="240" w:lineRule="auto"/>
              <w:rPr>
                <w:lang w:val="en-US"/>
              </w:rPr>
            </w:pPr>
            <w:r w:rsidRPr="00EF15D4">
              <w:t xml:space="preserve">3 to less than 6 </w:t>
            </w:r>
          </w:p>
        </w:tc>
        <w:tc>
          <w:tcPr>
            <w:tcW w:w="4140" w:type="dxa"/>
            <w:tcBorders>
              <w:bottom w:val="single" w:sz="4" w:space="0" w:color="auto"/>
            </w:tcBorders>
            <w:shd w:val="clear" w:color="auto" w:fill="auto"/>
          </w:tcPr>
          <w:p w14:paraId="3D6604C2" w14:textId="77777777" w:rsidR="00867689" w:rsidRDefault="00867689" w:rsidP="00867689">
            <w:pPr>
              <w:spacing w:after="120" w:line="240" w:lineRule="auto"/>
            </w:pPr>
            <w:r w:rsidRPr="00EF15D4">
              <w:t>5 mg once daily</w:t>
            </w:r>
          </w:p>
          <w:p w14:paraId="249A83E3" w14:textId="49D04735" w:rsidR="00867689" w:rsidRPr="0091728A" w:rsidRDefault="00867689" w:rsidP="00867689">
            <w:pPr>
              <w:spacing w:after="120" w:line="240" w:lineRule="auto"/>
              <w:rPr>
                <w:lang w:val="en-US"/>
              </w:rPr>
            </w:pPr>
            <w:r w:rsidRPr="00867689">
              <w:rPr>
                <w:lang w:val="en-US"/>
              </w:rPr>
              <w:t>(Taken as one 5 mg dispersible tablet</w:t>
            </w:r>
            <w:r>
              <w:rPr>
                <w:lang w:val="en-US"/>
              </w:rPr>
              <w:t>)</w:t>
            </w:r>
          </w:p>
        </w:tc>
      </w:tr>
      <w:tr w:rsidR="007A171A" w:rsidRPr="004C0EEA" w14:paraId="091C885F" w14:textId="77777777" w:rsidTr="00A13DA0">
        <w:trPr>
          <w:trHeight w:val="432"/>
        </w:trPr>
        <w:tc>
          <w:tcPr>
            <w:tcW w:w="3085" w:type="dxa"/>
            <w:tcBorders>
              <w:bottom w:val="nil"/>
            </w:tcBorders>
            <w:shd w:val="clear" w:color="auto" w:fill="auto"/>
          </w:tcPr>
          <w:p w14:paraId="261A0653" w14:textId="77777777" w:rsidR="007A171A" w:rsidRDefault="00867689" w:rsidP="00540AD7">
            <w:pPr>
              <w:spacing w:after="120" w:line="240" w:lineRule="auto"/>
              <w:rPr>
                <w:lang w:val="en-US"/>
              </w:rPr>
            </w:pPr>
            <w:r w:rsidRPr="00867689">
              <w:rPr>
                <w:lang w:val="en-US"/>
              </w:rPr>
              <w:t>6 to less than 10</w:t>
            </w:r>
          </w:p>
          <w:p w14:paraId="5368A8C0" w14:textId="77777777" w:rsidR="00867689" w:rsidRDefault="00867689" w:rsidP="00867689">
            <w:pPr>
              <w:spacing w:after="120" w:line="240" w:lineRule="auto"/>
              <w:jc w:val="right"/>
              <w:rPr>
                <w:lang w:val="en-US"/>
              </w:rPr>
            </w:pPr>
            <w:r w:rsidRPr="00867689">
              <w:rPr>
                <w:lang w:val="en-US"/>
              </w:rPr>
              <w:t>&lt; 6 months</w:t>
            </w:r>
          </w:p>
          <w:p w14:paraId="4409AFBF" w14:textId="77777777" w:rsidR="00867689" w:rsidRDefault="00867689" w:rsidP="00867689">
            <w:pPr>
              <w:spacing w:after="120" w:line="240" w:lineRule="auto"/>
              <w:jc w:val="right"/>
              <w:rPr>
                <w:lang w:val="en-US"/>
              </w:rPr>
            </w:pPr>
          </w:p>
          <w:p w14:paraId="7835BB64" w14:textId="029BE0C0" w:rsidR="00867689" w:rsidRPr="0091728A" w:rsidRDefault="00867689" w:rsidP="00FD77CB">
            <w:pPr>
              <w:spacing w:after="120" w:line="240" w:lineRule="auto"/>
              <w:jc w:val="right"/>
              <w:rPr>
                <w:lang w:val="en-US"/>
              </w:rPr>
            </w:pPr>
          </w:p>
        </w:tc>
        <w:tc>
          <w:tcPr>
            <w:tcW w:w="4140" w:type="dxa"/>
            <w:tcBorders>
              <w:bottom w:val="nil"/>
            </w:tcBorders>
            <w:shd w:val="clear" w:color="auto" w:fill="auto"/>
          </w:tcPr>
          <w:p w14:paraId="67A276E8" w14:textId="77777777" w:rsidR="00867689" w:rsidRDefault="00867689" w:rsidP="00867689">
            <w:pPr>
              <w:spacing w:after="120" w:line="240" w:lineRule="auto"/>
              <w:rPr>
                <w:lang w:val="en-US"/>
              </w:rPr>
            </w:pPr>
          </w:p>
          <w:p w14:paraId="31F45238" w14:textId="7F5E81B2" w:rsidR="00867689" w:rsidRPr="00867689" w:rsidRDefault="00867689" w:rsidP="00867689">
            <w:pPr>
              <w:spacing w:after="120" w:line="240" w:lineRule="auto"/>
              <w:rPr>
                <w:lang w:val="en-US"/>
              </w:rPr>
            </w:pPr>
            <w:r w:rsidRPr="00867689">
              <w:rPr>
                <w:lang w:val="en-US"/>
              </w:rPr>
              <w:t>10 mg once daily</w:t>
            </w:r>
          </w:p>
          <w:p w14:paraId="2CEFDDCB" w14:textId="087A1A10" w:rsidR="007A171A" w:rsidRPr="0091728A" w:rsidRDefault="00867689" w:rsidP="00867689">
            <w:pPr>
              <w:spacing w:after="120" w:line="240" w:lineRule="auto"/>
              <w:rPr>
                <w:lang w:val="en-US"/>
              </w:rPr>
            </w:pPr>
            <w:r w:rsidRPr="00867689">
              <w:rPr>
                <w:lang w:val="en-US"/>
              </w:rPr>
              <w:t xml:space="preserve">(Taken as two 5 mg dispersible tablets) </w:t>
            </w:r>
          </w:p>
        </w:tc>
      </w:tr>
      <w:tr w:rsidR="00867689" w:rsidRPr="004C0EEA" w14:paraId="7F84DC41" w14:textId="77777777" w:rsidTr="00A13DA0">
        <w:trPr>
          <w:trHeight w:val="432"/>
        </w:trPr>
        <w:tc>
          <w:tcPr>
            <w:tcW w:w="3085" w:type="dxa"/>
            <w:tcBorders>
              <w:top w:val="nil"/>
              <w:bottom w:val="single" w:sz="4" w:space="0" w:color="auto"/>
            </w:tcBorders>
            <w:shd w:val="clear" w:color="auto" w:fill="auto"/>
          </w:tcPr>
          <w:p w14:paraId="1AE947AB" w14:textId="3109E451" w:rsidR="00867689" w:rsidRPr="00867689" w:rsidRDefault="00867689" w:rsidP="00FD77CB">
            <w:pPr>
              <w:spacing w:after="120" w:line="240" w:lineRule="auto"/>
              <w:jc w:val="right"/>
              <w:rPr>
                <w:lang w:val="en-US"/>
              </w:rPr>
            </w:pPr>
            <w:r w:rsidRPr="00867689">
              <w:rPr>
                <w:lang w:val="en-US"/>
              </w:rPr>
              <w:t>≥ 6 months</w:t>
            </w:r>
          </w:p>
        </w:tc>
        <w:tc>
          <w:tcPr>
            <w:tcW w:w="4140" w:type="dxa"/>
            <w:tcBorders>
              <w:top w:val="nil"/>
              <w:bottom w:val="single" w:sz="4" w:space="0" w:color="auto"/>
            </w:tcBorders>
            <w:shd w:val="clear" w:color="auto" w:fill="auto"/>
          </w:tcPr>
          <w:p w14:paraId="2E0F841B" w14:textId="77777777" w:rsidR="00867689" w:rsidRPr="00867689" w:rsidRDefault="00867689" w:rsidP="00867689">
            <w:pPr>
              <w:spacing w:after="120" w:line="240" w:lineRule="auto"/>
              <w:rPr>
                <w:lang w:val="en-US"/>
              </w:rPr>
            </w:pPr>
            <w:r w:rsidRPr="00867689">
              <w:rPr>
                <w:lang w:val="en-US"/>
              </w:rPr>
              <w:t>15 mg once daily</w:t>
            </w:r>
          </w:p>
          <w:p w14:paraId="026F365A" w14:textId="244BBC0E" w:rsidR="00867689" w:rsidRDefault="00867689" w:rsidP="00867689">
            <w:pPr>
              <w:spacing w:after="120" w:line="240" w:lineRule="auto"/>
              <w:rPr>
                <w:lang w:val="en-US"/>
              </w:rPr>
            </w:pPr>
            <w:r w:rsidRPr="00867689">
              <w:rPr>
                <w:lang w:val="en-US"/>
              </w:rPr>
              <w:t>(Taken as three 5 mg dispersible tablets)</w:t>
            </w:r>
          </w:p>
        </w:tc>
      </w:tr>
      <w:tr w:rsidR="00867689" w:rsidRPr="004C0EEA" w14:paraId="49D7F92D" w14:textId="77777777" w:rsidTr="00A13DA0">
        <w:trPr>
          <w:trHeight w:val="432"/>
        </w:trPr>
        <w:tc>
          <w:tcPr>
            <w:tcW w:w="3085" w:type="dxa"/>
            <w:tcBorders>
              <w:top w:val="single" w:sz="4" w:space="0" w:color="auto"/>
              <w:bottom w:val="single" w:sz="4" w:space="0" w:color="auto"/>
            </w:tcBorders>
            <w:shd w:val="clear" w:color="auto" w:fill="auto"/>
          </w:tcPr>
          <w:p w14:paraId="15FFC632" w14:textId="502443FE" w:rsidR="00867689" w:rsidRPr="00867689" w:rsidRDefault="00867689" w:rsidP="00FD77CB">
            <w:pPr>
              <w:spacing w:after="120" w:line="240" w:lineRule="auto"/>
              <w:rPr>
                <w:lang w:val="en-US"/>
              </w:rPr>
            </w:pPr>
            <w:r w:rsidRPr="00FD77CB">
              <w:rPr>
                <w:rFonts w:eastAsia="MS Mincho"/>
                <w:lang w:val="en-US"/>
              </w:rPr>
              <w:t xml:space="preserve">10 to less than 14 </w:t>
            </w:r>
          </w:p>
        </w:tc>
        <w:tc>
          <w:tcPr>
            <w:tcW w:w="4140" w:type="dxa"/>
            <w:tcBorders>
              <w:top w:val="single" w:sz="4" w:space="0" w:color="auto"/>
              <w:bottom w:val="single" w:sz="4" w:space="0" w:color="auto"/>
            </w:tcBorders>
            <w:shd w:val="clear" w:color="auto" w:fill="auto"/>
          </w:tcPr>
          <w:p w14:paraId="1A513C18" w14:textId="77777777" w:rsidR="00867689" w:rsidRPr="00FD77CB" w:rsidRDefault="00867689" w:rsidP="00867689">
            <w:pPr>
              <w:rPr>
                <w:rFonts w:eastAsia="MS Mincho"/>
                <w:lang w:val="en-US"/>
              </w:rPr>
            </w:pPr>
            <w:r w:rsidRPr="00FD77CB">
              <w:rPr>
                <w:rFonts w:eastAsia="MS Mincho"/>
                <w:lang w:val="en-US"/>
              </w:rPr>
              <w:t>20 mg once daily</w:t>
            </w:r>
          </w:p>
          <w:p w14:paraId="10633AEB" w14:textId="397B2FDF" w:rsidR="00867689" w:rsidRPr="00867689" w:rsidRDefault="00867689" w:rsidP="00867689">
            <w:pPr>
              <w:spacing w:after="120" w:line="240" w:lineRule="auto"/>
              <w:rPr>
                <w:lang w:val="en-US"/>
              </w:rPr>
            </w:pPr>
            <w:r w:rsidRPr="00FD77CB">
              <w:rPr>
                <w:rFonts w:eastAsia="MS Mincho"/>
                <w:lang w:val="en-US"/>
              </w:rPr>
              <w:t>(Taken as four 5 mg dispersible tablets)</w:t>
            </w:r>
          </w:p>
        </w:tc>
      </w:tr>
      <w:tr w:rsidR="00867689" w:rsidRPr="004C0EEA" w14:paraId="2E178BD7" w14:textId="77777777" w:rsidTr="00A13DA0">
        <w:trPr>
          <w:trHeight w:val="432"/>
        </w:trPr>
        <w:tc>
          <w:tcPr>
            <w:tcW w:w="3085" w:type="dxa"/>
            <w:tcBorders>
              <w:top w:val="single" w:sz="4" w:space="0" w:color="auto"/>
              <w:bottom w:val="single" w:sz="4" w:space="0" w:color="auto"/>
            </w:tcBorders>
            <w:shd w:val="clear" w:color="auto" w:fill="auto"/>
          </w:tcPr>
          <w:p w14:paraId="1292F1DE" w14:textId="45E85EF8" w:rsidR="00867689" w:rsidRPr="00867689" w:rsidRDefault="00867689" w:rsidP="00FD77CB">
            <w:pPr>
              <w:spacing w:after="120" w:line="240" w:lineRule="auto"/>
              <w:rPr>
                <w:lang w:val="en-US"/>
              </w:rPr>
            </w:pPr>
            <w:r w:rsidRPr="00FD77CB">
              <w:rPr>
                <w:rFonts w:eastAsia="MS Mincho"/>
                <w:lang w:val="en-US"/>
              </w:rPr>
              <w:t>14 to less than 20</w:t>
            </w:r>
          </w:p>
        </w:tc>
        <w:tc>
          <w:tcPr>
            <w:tcW w:w="4140" w:type="dxa"/>
            <w:tcBorders>
              <w:top w:val="single" w:sz="4" w:space="0" w:color="auto"/>
              <w:bottom w:val="single" w:sz="4" w:space="0" w:color="auto"/>
            </w:tcBorders>
            <w:shd w:val="clear" w:color="auto" w:fill="auto"/>
          </w:tcPr>
          <w:p w14:paraId="7E902B94" w14:textId="77777777" w:rsidR="00867689" w:rsidRPr="00FD77CB" w:rsidRDefault="00867689" w:rsidP="00867689">
            <w:pPr>
              <w:rPr>
                <w:rFonts w:eastAsia="MS Mincho"/>
                <w:lang w:val="en-US"/>
              </w:rPr>
            </w:pPr>
            <w:r w:rsidRPr="00FD77CB">
              <w:rPr>
                <w:rFonts w:eastAsia="MS Mincho"/>
                <w:lang w:val="en-US"/>
              </w:rPr>
              <w:t>25 mg once daily</w:t>
            </w:r>
          </w:p>
          <w:p w14:paraId="2A55868D" w14:textId="7BE4C4A6" w:rsidR="00867689" w:rsidRPr="00867689" w:rsidRDefault="00867689" w:rsidP="00867689">
            <w:pPr>
              <w:spacing w:after="120" w:line="240" w:lineRule="auto"/>
              <w:rPr>
                <w:lang w:val="en-US"/>
              </w:rPr>
            </w:pPr>
            <w:r w:rsidRPr="00FD77CB">
              <w:rPr>
                <w:rFonts w:eastAsia="MS Mincho"/>
                <w:lang w:val="en-US"/>
              </w:rPr>
              <w:t>(Taken as five 5 mg dispersible tablets)</w:t>
            </w:r>
          </w:p>
        </w:tc>
      </w:tr>
      <w:tr w:rsidR="00867689" w:rsidRPr="004C0EEA" w14:paraId="3AC6BBCB" w14:textId="77777777" w:rsidTr="00A13DA0">
        <w:trPr>
          <w:trHeight w:val="432"/>
        </w:trPr>
        <w:tc>
          <w:tcPr>
            <w:tcW w:w="3085" w:type="dxa"/>
            <w:tcBorders>
              <w:top w:val="single" w:sz="4" w:space="0" w:color="auto"/>
            </w:tcBorders>
            <w:shd w:val="clear" w:color="auto" w:fill="auto"/>
          </w:tcPr>
          <w:p w14:paraId="04F99EEE" w14:textId="12590620" w:rsidR="00867689" w:rsidRPr="00867689" w:rsidRDefault="00867689" w:rsidP="00FD77CB">
            <w:pPr>
              <w:spacing w:after="120" w:line="240" w:lineRule="auto"/>
              <w:rPr>
                <w:lang w:val="en-US"/>
              </w:rPr>
            </w:pPr>
            <w:r w:rsidRPr="00FD77CB">
              <w:rPr>
                <w:rFonts w:eastAsia="MS Mincho"/>
                <w:lang w:val="en-US"/>
              </w:rPr>
              <w:t>20 or greater</w:t>
            </w:r>
          </w:p>
        </w:tc>
        <w:tc>
          <w:tcPr>
            <w:tcW w:w="4140" w:type="dxa"/>
            <w:tcBorders>
              <w:top w:val="single" w:sz="4" w:space="0" w:color="auto"/>
            </w:tcBorders>
            <w:shd w:val="clear" w:color="auto" w:fill="auto"/>
          </w:tcPr>
          <w:p w14:paraId="7C4CA9CD" w14:textId="77777777" w:rsidR="00867689" w:rsidRPr="00FD77CB" w:rsidRDefault="00867689" w:rsidP="00867689">
            <w:pPr>
              <w:rPr>
                <w:rFonts w:eastAsia="MS Mincho"/>
                <w:lang w:val="en-US"/>
              </w:rPr>
            </w:pPr>
            <w:r w:rsidRPr="00FD77CB">
              <w:rPr>
                <w:rFonts w:eastAsia="MS Mincho"/>
                <w:lang w:val="en-US"/>
              </w:rPr>
              <w:t>30 mg once daily</w:t>
            </w:r>
          </w:p>
          <w:p w14:paraId="7752B3C0" w14:textId="241B15CF" w:rsidR="00867689" w:rsidRPr="00867689" w:rsidRDefault="00867689" w:rsidP="00867689">
            <w:pPr>
              <w:spacing w:after="120" w:line="240" w:lineRule="auto"/>
              <w:rPr>
                <w:lang w:val="en-US"/>
              </w:rPr>
            </w:pPr>
            <w:r w:rsidRPr="00FD77CB">
              <w:rPr>
                <w:rFonts w:eastAsia="MS Mincho"/>
                <w:lang w:val="en-US"/>
              </w:rPr>
              <w:t>(Taken as six 5 mg dispersible tablets)</w:t>
            </w:r>
          </w:p>
        </w:tc>
      </w:tr>
    </w:tbl>
    <w:p w14:paraId="20C4F869" w14:textId="77777777" w:rsidR="00A13DA0" w:rsidRDefault="00A13DA0" w:rsidP="00867689"/>
    <w:p w14:paraId="4597E09F" w14:textId="6EED4D8C" w:rsidR="00867689" w:rsidRDefault="008F7990" w:rsidP="00867689">
      <w:r w:rsidRPr="008F7990">
        <w:lastRenderedPageBreak/>
        <w:t xml:space="preserve">If swallowing the dispersible tablets whole with water, do not swallow more than one tablet at a time to reduce the risk of </w:t>
      </w:r>
      <w:proofErr w:type="spellStart"/>
      <w:proofErr w:type="gramStart"/>
      <w:r w:rsidRPr="008F7990">
        <w:t>choking.</w:t>
      </w:r>
      <w:r w:rsidR="00867689">
        <w:t>There</w:t>
      </w:r>
      <w:proofErr w:type="spellEnd"/>
      <w:proofErr w:type="gramEnd"/>
      <w:r w:rsidR="00867689">
        <w:t xml:space="preserve"> are insufficient safety and efficacy data available to recommend a dose for dolutegravir dispersible tablets in children below age 4 weeks or weighing less than 3 kg.</w:t>
      </w:r>
    </w:p>
    <w:p w14:paraId="6E90FFD0" w14:textId="77777777" w:rsidR="00867689" w:rsidRPr="00FD77CB" w:rsidRDefault="00867689" w:rsidP="00FD77CB">
      <w:pPr>
        <w:keepNext/>
        <w:keepLines/>
        <w:rPr>
          <w:i/>
        </w:rPr>
      </w:pPr>
      <w:r w:rsidRPr="00FD77CB">
        <w:rPr>
          <w:i/>
        </w:rPr>
        <w:t>Patients infected with HIV-1 with resistance to the integrase class</w:t>
      </w:r>
    </w:p>
    <w:p w14:paraId="386867B1" w14:textId="623D40EB" w:rsidR="007A171A" w:rsidRPr="007A171A" w:rsidRDefault="00867689" w:rsidP="00FD77CB">
      <w:pPr>
        <w:keepNext/>
        <w:keepLines/>
      </w:pPr>
      <w:r>
        <w:t xml:space="preserve">There are insufficient data to recommend a dose for </w:t>
      </w:r>
      <w:r w:rsidR="008931D1">
        <w:t>TIVICAY PD</w:t>
      </w:r>
      <w:r>
        <w:t xml:space="preserve"> dispersible tablets in integrase inhibitor resistant adolescents, children and infants.</w:t>
      </w:r>
    </w:p>
    <w:p w14:paraId="0FFCF023" w14:textId="77777777" w:rsidR="000D7793" w:rsidRDefault="00D04C3D" w:rsidP="00D4563C">
      <w:pPr>
        <w:rPr>
          <w:b/>
          <w:i/>
          <w:iCs/>
        </w:rPr>
      </w:pPr>
      <w:r w:rsidRPr="00FD77CB">
        <w:rPr>
          <w:b/>
          <w:bCs/>
          <w:u w:val="single"/>
        </w:rPr>
        <w:t>Populations</w:t>
      </w:r>
      <w:r w:rsidRPr="00D4563C">
        <w:br/>
      </w:r>
      <w:r w:rsidR="00160371">
        <w:rPr>
          <w:b/>
          <w:i/>
          <w:iCs/>
        </w:rPr>
        <w:br/>
      </w:r>
      <w:r w:rsidR="00AE2AA3" w:rsidRPr="00FD77CB">
        <w:rPr>
          <w:b/>
          <w:iCs/>
        </w:rPr>
        <w:t>Elderly</w:t>
      </w:r>
    </w:p>
    <w:p w14:paraId="5C16BED3" w14:textId="3E6E8977" w:rsidR="0023081E" w:rsidRPr="009C340F" w:rsidRDefault="00D04C3D" w:rsidP="00D4563C">
      <w:pPr>
        <w:rPr>
          <w:b/>
          <w:i/>
          <w:iCs/>
        </w:rPr>
      </w:pPr>
      <w:r w:rsidRPr="00D4563C">
        <w:t xml:space="preserve">There are limited data available on the use of </w:t>
      </w:r>
      <w:r w:rsidR="00FF0934" w:rsidRPr="00D4563C">
        <w:t>TIVICAY</w:t>
      </w:r>
      <w:r w:rsidR="004B1FA2">
        <w:t xml:space="preserve"> and TIVICAY PD</w:t>
      </w:r>
      <w:r w:rsidRPr="00D4563C">
        <w:t xml:space="preserve"> in patients aged 65 years and over. However, there is no evidence that elderly patients require a different dose than younger adult patients (see</w:t>
      </w:r>
      <w:r w:rsidR="00AE2AA3" w:rsidRPr="00D4563C">
        <w:t xml:space="preserve"> Section 5.2 </w:t>
      </w:r>
      <w:r w:rsidR="00413921" w:rsidRPr="00D4563C">
        <w:t>PHARMACOKINETIC PROPERTIES</w:t>
      </w:r>
      <w:r w:rsidR="00413921">
        <w:t xml:space="preserve"> </w:t>
      </w:r>
      <w:r w:rsidR="00EF7F9F">
        <w:t>-</w:t>
      </w:r>
      <w:r w:rsidR="0023081E">
        <w:t xml:space="preserve"> Special patient populations).</w:t>
      </w:r>
    </w:p>
    <w:p w14:paraId="2D7FC5EB" w14:textId="77777777" w:rsidR="000D7793" w:rsidRPr="00FD77CB" w:rsidRDefault="00AE2AA3" w:rsidP="00D4563C">
      <w:pPr>
        <w:rPr>
          <w:b/>
          <w:iCs/>
        </w:rPr>
      </w:pPr>
      <w:r w:rsidRPr="00FD77CB">
        <w:rPr>
          <w:b/>
          <w:iCs/>
        </w:rPr>
        <w:t xml:space="preserve">Renal </w:t>
      </w:r>
      <w:r w:rsidR="006F5B92" w:rsidRPr="00FD77CB">
        <w:rPr>
          <w:b/>
          <w:iCs/>
        </w:rPr>
        <w:t>i</w:t>
      </w:r>
      <w:r w:rsidR="00C56AE0" w:rsidRPr="00FD77CB">
        <w:rPr>
          <w:b/>
          <w:iCs/>
        </w:rPr>
        <w:t>mpairment</w:t>
      </w:r>
    </w:p>
    <w:p w14:paraId="6E079BA4" w14:textId="4D78DAD8" w:rsidR="0023081E" w:rsidRDefault="00D04C3D" w:rsidP="00D4563C">
      <w:r w:rsidRPr="00D4563C">
        <w:t>No dosage adjustment is required in patients with mild, moderate or severe (creatinine clearance (</w:t>
      </w:r>
      <w:proofErr w:type="spellStart"/>
      <w:r w:rsidRPr="00D4563C">
        <w:t>CrCl</w:t>
      </w:r>
      <w:proofErr w:type="spellEnd"/>
      <w:r w:rsidRPr="00D4563C">
        <w:t>) &lt; 30 mL/min, not on dialysis) renal impairment. No data are available in patients receiving dialysis, although differences in pharmacokinetics are not expected in this population (see</w:t>
      </w:r>
      <w:r w:rsidR="00AE2AA3" w:rsidRPr="00D4563C">
        <w:t xml:space="preserve"> Section 5.2 </w:t>
      </w:r>
      <w:r w:rsidR="00413921" w:rsidRPr="00D4563C">
        <w:t>PHARMACOKINETIC PROPERTIES</w:t>
      </w:r>
      <w:r w:rsidR="00413921">
        <w:t xml:space="preserve"> </w:t>
      </w:r>
      <w:r w:rsidR="00EF7F9F">
        <w:t>-</w:t>
      </w:r>
      <w:r w:rsidR="0023081E">
        <w:t xml:space="preserve"> Special patient populations).</w:t>
      </w:r>
    </w:p>
    <w:p w14:paraId="34EADBBD" w14:textId="47AEA6E3" w:rsidR="0023081E" w:rsidRDefault="00FF0934" w:rsidP="00D4563C">
      <w:r w:rsidRPr="00D4563C">
        <w:t>TIVICAY</w:t>
      </w:r>
      <w:r w:rsidR="00D04C3D" w:rsidRPr="00D4563C">
        <w:t xml:space="preserve"> </w:t>
      </w:r>
      <w:r w:rsidR="004B1FA2">
        <w:t xml:space="preserve">and TIVICAY PD </w:t>
      </w:r>
      <w:r w:rsidR="00D04C3D" w:rsidRPr="00D4563C">
        <w:t xml:space="preserve">has been shown to decrease estimated creatinine clearance due to inhibition of tubular secretion of creatinine without affecting actual renal glomerular function. This effect should be considered when </w:t>
      </w:r>
      <w:r w:rsidRPr="00D4563C">
        <w:t>TIVICAY</w:t>
      </w:r>
      <w:r w:rsidR="00D04C3D" w:rsidRPr="00D4563C">
        <w:t xml:space="preserve"> </w:t>
      </w:r>
      <w:r w:rsidR="004B1FA2">
        <w:t xml:space="preserve">or TIVICAY PD </w:t>
      </w:r>
      <w:r w:rsidR="00D04C3D" w:rsidRPr="00D4563C">
        <w:t xml:space="preserve">is </w:t>
      </w:r>
      <w:proofErr w:type="spellStart"/>
      <w:r w:rsidR="00D04C3D" w:rsidRPr="00D4563C">
        <w:t>coadministered</w:t>
      </w:r>
      <w:proofErr w:type="spellEnd"/>
      <w:r w:rsidR="00D04C3D" w:rsidRPr="00D4563C">
        <w:t xml:space="preserve"> with a drug that has dosing adjustment recommendations guided by </w:t>
      </w:r>
      <w:r w:rsidR="0023081E">
        <w:t>estimated creatinine clearance.</w:t>
      </w:r>
    </w:p>
    <w:p w14:paraId="2560F3F9" w14:textId="77777777" w:rsidR="000D7793" w:rsidRPr="00FD77CB" w:rsidRDefault="00D04C3D" w:rsidP="00D4563C">
      <w:pPr>
        <w:rPr>
          <w:b/>
          <w:iCs/>
        </w:rPr>
      </w:pPr>
      <w:r w:rsidRPr="00FD77CB">
        <w:rPr>
          <w:b/>
          <w:iCs/>
        </w:rPr>
        <w:t xml:space="preserve">Hepatic </w:t>
      </w:r>
      <w:r w:rsidR="006F5B92" w:rsidRPr="00FD77CB">
        <w:rPr>
          <w:b/>
          <w:iCs/>
        </w:rPr>
        <w:t>i</w:t>
      </w:r>
      <w:r w:rsidR="00C56AE0" w:rsidRPr="00FD77CB">
        <w:rPr>
          <w:b/>
          <w:iCs/>
        </w:rPr>
        <w:t>mpairment</w:t>
      </w:r>
    </w:p>
    <w:p w14:paraId="690E420D" w14:textId="307073FA" w:rsidR="00340AF6" w:rsidRDefault="00D04C3D" w:rsidP="00D4563C">
      <w:r w:rsidRPr="00D4563C">
        <w:t>No dosage adjustment is required in patients with mild or moderate hepatic impairment (Child-Pugh grade A or B). No data are available in patients with severe hepatic impairment (Child-Pugh grade C) (see</w:t>
      </w:r>
      <w:r w:rsidR="00AE2AA3" w:rsidRPr="00D4563C">
        <w:t xml:space="preserve"> Section 5.2 </w:t>
      </w:r>
      <w:r w:rsidR="00413921" w:rsidRPr="00D4563C">
        <w:t>PHARMACOKINETIC PROPERTIES</w:t>
      </w:r>
      <w:r w:rsidR="00413921">
        <w:t xml:space="preserve"> </w:t>
      </w:r>
      <w:r w:rsidR="00EF7F9F">
        <w:t>-</w:t>
      </w:r>
      <w:r w:rsidRPr="00D4563C">
        <w:t xml:space="preserve"> Special patient populations).</w:t>
      </w:r>
    </w:p>
    <w:p w14:paraId="5DA8942D" w14:textId="70CB30F9" w:rsidR="001D61E3" w:rsidRPr="00FD77CB" w:rsidRDefault="001D61E3" w:rsidP="00D4563C">
      <w:pPr>
        <w:rPr>
          <w:b/>
        </w:rPr>
      </w:pPr>
      <w:bookmarkStart w:id="0" w:name="_Hlk526258418"/>
      <w:r w:rsidRPr="00FD77CB">
        <w:rPr>
          <w:b/>
        </w:rPr>
        <w:t xml:space="preserve">Women of </w:t>
      </w:r>
      <w:proofErr w:type="gramStart"/>
      <w:r w:rsidRPr="00FD77CB">
        <w:rPr>
          <w:b/>
        </w:rPr>
        <w:t>child bearing</w:t>
      </w:r>
      <w:proofErr w:type="gramEnd"/>
      <w:r w:rsidRPr="00FD77CB">
        <w:rPr>
          <w:b/>
        </w:rPr>
        <w:t xml:space="preserve"> potential</w:t>
      </w:r>
      <w:r w:rsidR="006F4EDD" w:rsidRPr="00FD77CB">
        <w:rPr>
          <w:b/>
        </w:rPr>
        <w:t xml:space="preserve"> and pregnancy</w:t>
      </w:r>
    </w:p>
    <w:p w14:paraId="08B5C248" w14:textId="6831FC33" w:rsidR="001D61E3" w:rsidRPr="00D4563C" w:rsidRDefault="001C6CE9" w:rsidP="00D4563C">
      <w:bookmarkStart w:id="1" w:name="_Hlk526258608"/>
      <w:r w:rsidRPr="00BD689C">
        <w:t>A benefit-risk assessment</w:t>
      </w:r>
      <w:r w:rsidRPr="00F8700F">
        <w:t xml:space="preserve"> should be considered at the time of conception through the first trimester due to the potential risk of neural tube defects</w:t>
      </w:r>
      <w:r w:rsidRPr="00F8700F">
        <w:rPr>
          <w:color w:val="FF0000"/>
        </w:rPr>
        <w:t xml:space="preserve"> </w:t>
      </w:r>
      <w:r w:rsidR="001D61E3">
        <w:t xml:space="preserve">(see </w:t>
      </w:r>
      <w:r w:rsidR="001D61E3" w:rsidRPr="001D61E3">
        <w:t>Section 4.6 FERTILITY, PREGNANCY AND LACTATION, Use in pregnancy).</w:t>
      </w:r>
    </w:p>
    <w:bookmarkEnd w:id="0"/>
    <w:bookmarkEnd w:id="1"/>
    <w:p w14:paraId="6308E056" w14:textId="77777777" w:rsidR="00ED65A6" w:rsidRPr="00D4563C" w:rsidRDefault="00D04C3D" w:rsidP="00A13DA0">
      <w:pPr>
        <w:pStyle w:val="Heading2"/>
        <w:pageBreakBefore/>
      </w:pPr>
      <w:r w:rsidRPr="00D4563C">
        <w:lastRenderedPageBreak/>
        <w:t>Contraindications</w:t>
      </w:r>
    </w:p>
    <w:p w14:paraId="6693277F" w14:textId="7BB6CC87" w:rsidR="0023081E" w:rsidRDefault="00FF0934" w:rsidP="00D4563C">
      <w:r w:rsidRPr="00D4563C">
        <w:t>TIVICAY</w:t>
      </w:r>
      <w:r w:rsidR="00D04C3D" w:rsidRPr="00D4563C">
        <w:t xml:space="preserve"> </w:t>
      </w:r>
      <w:r w:rsidR="004B1FA2">
        <w:t xml:space="preserve">and TIVICAY PD </w:t>
      </w:r>
      <w:r w:rsidR="006F6344">
        <w:t>are</w:t>
      </w:r>
      <w:r w:rsidR="00D04C3D" w:rsidRPr="00D4563C">
        <w:t xml:space="preserve"> contraindicated </w:t>
      </w:r>
      <w:r w:rsidR="0023081E">
        <w:t xml:space="preserve">in combination with </w:t>
      </w:r>
      <w:proofErr w:type="spellStart"/>
      <w:r w:rsidR="0023081E">
        <w:t>dofetilide</w:t>
      </w:r>
      <w:proofErr w:type="spellEnd"/>
      <w:r w:rsidR="0023081E">
        <w:t>.</w:t>
      </w:r>
    </w:p>
    <w:p w14:paraId="365F0E53" w14:textId="512041A6" w:rsidR="00ED65A6" w:rsidRDefault="00FF0934" w:rsidP="00D4563C">
      <w:r w:rsidRPr="00D4563C">
        <w:t>TIVICAY</w:t>
      </w:r>
      <w:r w:rsidR="004B1FA2">
        <w:t xml:space="preserve"> and TIVICAY PD</w:t>
      </w:r>
      <w:r w:rsidR="00D04C3D" w:rsidRPr="00D4563C">
        <w:t xml:space="preserve"> </w:t>
      </w:r>
      <w:r w:rsidR="006F6344">
        <w:t>are</w:t>
      </w:r>
      <w:r w:rsidR="00D04C3D" w:rsidRPr="00D4563C">
        <w:t xml:space="preserve"> contraindicated in patients with known hypersensitivity to </w:t>
      </w:r>
      <w:r w:rsidR="004B1FA2">
        <w:t>dolutegravir</w:t>
      </w:r>
      <w:r w:rsidR="004B1FA2" w:rsidRPr="00D4563C">
        <w:t xml:space="preserve"> </w:t>
      </w:r>
      <w:r w:rsidR="00D04C3D" w:rsidRPr="00D4563C">
        <w:t>or to any of the excipients.</w:t>
      </w:r>
    </w:p>
    <w:p w14:paraId="0BCAD3BB" w14:textId="3BA68416" w:rsidR="00074BE8" w:rsidRPr="00D4563C" w:rsidRDefault="00074BE8" w:rsidP="00D4563C">
      <w:r w:rsidRPr="00D4563C">
        <w:t xml:space="preserve">TIVICAY </w:t>
      </w:r>
      <w:r>
        <w:t xml:space="preserve">must not be administered concurrently with medicinal products with narrow therapeutic windows, that are substrates of organic cation transporter 2 (OCT2), including but not limited </w:t>
      </w:r>
      <w:proofErr w:type="spellStart"/>
      <w:r>
        <w:t>todofetilide</w:t>
      </w:r>
      <w:proofErr w:type="spellEnd"/>
      <w:r>
        <w:t xml:space="preserve">, </w:t>
      </w:r>
      <w:proofErr w:type="spellStart"/>
      <w:r w:rsidRPr="00D95E7B">
        <w:t>pilsicainide</w:t>
      </w:r>
      <w:proofErr w:type="spellEnd"/>
      <w:r w:rsidRPr="00D95E7B">
        <w:t xml:space="preserve"> or fampridine</w:t>
      </w:r>
      <w:r>
        <w:t xml:space="preserve"> (see Section </w:t>
      </w:r>
      <w:r w:rsidRPr="00D14AA6">
        <w:t>4.5</w:t>
      </w:r>
      <w:r>
        <w:t xml:space="preserve"> I</w:t>
      </w:r>
      <w:r w:rsidRPr="00D14AA6">
        <w:t>NTERACTIONS WITH OTHER MEDICINES AND OTHER FORMS OF INTERACTIONS</w:t>
      </w:r>
      <w:r>
        <w:t>).</w:t>
      </w:r>
    </w:p>
    <w:p w14:paraId="77B56229" w14:textId="77777777" w:rsidR="00ED65A6" w:rsidRPr="00D4563C" w:rsidRDefault="00D04C3D" w:rsidP="00147416">
      <w:pPr>
        <w:pStyle w:val="Heading2"/>
        <w:keepNext/>
        <w:keepLines/>
      </w:pPr>
      <w:r w:rsidRPr="00D4563C">
        <w:t>Special warnings and precautions for use</w:t>
      </w:r>
    </w:p>
    <w:p w14:paraId="0483C133" w14:textId="30B32055" w:rsidR="00ED65A6" w:rsidRPr="00D4563C" w:rsidRDefault="00D04C3D" w:rsidP="00147416">
      <w:pPr>
        <w:pStyle w:val="Heading3"/>
      </w:pPr>
      <w:r w:rsidRPr="00D4563C">
        <w:t xml:space="preserve">Hypersensitivity </w:t>
      </w:r>
      <w:r w:rsidR="006F5B92">
        <w:t>r</w:t>
      </w:r>
      <w:r w:rsidR="00C56AE0" w:rsidRPr="00D4563C">
        <w:t>eactions</w:t>
      </w:r>
    </w:p>
    <w:p w14:paraId="4D977035" w14:textId="2946DE69" w:rsidR="00ED65A6" w:rsidRPr="00D4563C" w:rsidRDefault="00D04C3D" w:rsidP="00147416">
      <w:pPr>
        <w:keepNext/>
        <w:keepLines/>
      </w:pPr>
      <w:r w:rsidRPr="00D4563C">
        <w:t xml:space="preserve">Hypersensitivity reactions have been reported with integrase inhibitors, including </w:t>
      </w:r>
      <w:r w:rsidR="00FF0934" w:rsidRPr="00D4563C">
        <w:t>TIVICAY</w:t>
      </w:r>
      <w:r w:rsidR="006F6344">
        <w:t xml:space="preserve"> and TIVICAY PD</w:t>
      </w:r>
      <w:r w:rsidRPr="00D4563C">
        <w:t xml:space="preserve">, and were characterised by rash, constitutional findings, and sometimes, organ dysfunction, including liver injury. Discontinue </w:t>
      </w:r>
      <w:r w:rsidR="00FF0934" w:rsidRPr="00D4563C">
        <w:t>TIVICAY</w:t>
      </w:r>
      <w:r w:rsidR="006F6344">
        <w:t>/TIVICAY PD</w:t>
      </w:r>
      <w:r w:rsidRPr="00D4563C">
        <w:t xml:space="preserve"> and other suspect agents immediately if signs or symptoms of hypersensitivity reactions develop (including, but not limited to, severe rash or rash accompanied by fever, general malaise, fatigue, muscle or joint aches, blisters, oral lesions, conjunctivitis, facial oedema, hepatitis, eosinophilia, angioedema). Clinical status including liver aminotransferases should be monitored and appropriate therapy initiated. Delay in stopping treatment with </w:t>
      </w:r>
      <w:r w:rsidR="00FF0934" w:rsidRPr="00D4563C">
        <w:t>TIVICAY</w:t>
      </w:r>
      <w:r w:rsidR="006F6344">
        <w:t>/TIVICAY PD</w:t>
      </w:r>
      <w:r w:rsidRPr="00D4563C">
        <w:t xml:space="preserve"> or other suspect agents after the onset of hypersensitivity m</w:t>
      </w:r>
      <w:r w:rsidR="00C56AE0" w:rsidRPr="00D4563C">
        <w:t>ay result in a life-</w:t>
      </w:r>
      <w:r w:rsidRPr="00D4563C">
        <w:t>threatening reaction.</w:t>
      </w:r>
    </w:p>
    <w:p w14:paraId="45B88150" w14:textId="2CE8D408" w:rsidR="00ED65A6" w:rsidRPr="00D4563C" w:rsidRDefault="00D04C3D" w:rsidP="00D4563C">
      <w:pPr>
        <w:pStyle w:val="Heading3"/>
      </w:pPr>
      <w:r w:rsidRPr="00D4563C">
        <w:t xml:space="preserve">Immune </w:t>
      </w:r>
      <w:r w:rsidR="006F5B92" w:rsidRPr="00D4563C">
        <w:t>reconstitution syndrome</w:t>
      </w:r>
    </w:p>
    <w:p w14:paraId="5245AEA8" w14:textId="77777777" w:rsidR="004F4B47" w:rsidRDefault="00C56AE0" w:rsidP="00D4563C">
      <w:r w:rsidRPr="00D4563C">
        <w:t>In HIV-</w:t>
      </w:r>
      <w:r w:rsidR="00D04C3D" w:rsidRPr="00D4563C">
        <w:t>infected patients with severe immune deficiency at the time of initiation of anti</w:t>
      </w:r>
      <w:r w:rsidRPr="00D4563C">
        <w:t>-</w:t>
      </w:r>
      <w:r w:rsidR="00D04C3D" w:rsidRPr="00D4563C">
        <w:t xml:space="preserve">retroviral therapy (ART), an inflammatory reaction to asymptomatic or residual opportunistic infections may arise and cause serious clinical conditions, or aggravation of symptoms. Typically, such reactions have been observed within the first few weeks or months of initiation of ART. Relevant examples are cytomegalovirus retinitis, generalised and/or focal mycobacterial infections and </w:t>
      </w:r>
      <w:r w:rsidR="00586D2E">
        <w:rPr>
          <w:iCs/>
        </w:rPr>
        <w:t xml:space="preserve">Pneumocystis </w:t>
      </w:r>
      <w:proofErr w:type="spellStart"/>
      <w:r w:rsidR="00586D2E">
        <w:rPr>
          <w:iCs/>
        </w:rPr>
        <w:t>jiroveci</w:t>
      </w:r>
      <w:proofErr w:type="spellEnd"/>
      <w:r w:rsidR="00586D2E">
        <w:rPr>
          <w:iCs/>
        </w:rPr>
        <w:t xml:space="preserve"> (P. </w:t>
      </w:r>
      <w:r w:rsidR="00D04C3D" w:rsidRPr="00586D2E">
        <w:rPr>
          <w:iCs/>
        </w:rPr>
        <w:t>carinii)</w:t>
      </w:r>
      <w:r w:rsidR="00D04C3D" w:rsidRPr="00D4563C">
        <w:t xml:space="preserve"> pneumonia. Any inflammatory symptoms must be evaluated without delay and treatment initiated when necessary. Autoimmune disorders (such as Graves' disease, polymyositis and Guillain-Barre syndrome) have also been reported to occur in the setting of immune reconstitution, however, the time to onset is more variable, and can occur many months after initiation of treatment and sometimes c</w:t>
      </w:r>
      <w:r w:rsidR="004F4B47">
        <w:t>an be an atypical presentation.</w:t>
      </w:r>
    </w:p>
    <w:p w14:paraId="564A3FA4" w14:textId="7E260991" w:rsidR="00ED65A6" w:rsidRPr="00D4563C" w:rsidRDefault="00D04C3D" w:rsidP="00D4563C">
      <w:r w:rsidRPr="00D4563C">
        <w:t>Liver chemistry elevations consistent with immune reconstitution syndrome were observed in some hepatitis B and/or C co</w:t>
      </w:r>
      <w:r w:rsidR="00C56AE0" w:rsidRPr="00D4563C">
        <w:t>-</w:t>
      </w:r>
      <w:r w:rsidRPr="00D4563C">
        <w:t xml:space="preserve">infected patients at the start of </w:t>
      </w:r>
      <w:r w:rsidR="008931D1">
        <w:t>dolutegravir</w:t>
      </w:r>
      <w:r w:rsidRPr="00D4563C">
        <w:t xml:space="preserve"> therapy. Monitoring of liver chemistries is recommended in patients with hepatitis B and/or C co</w:t>
      </w:r>
      <w:r w:rsidR="00C56AE0" w:rsidRPr="00D4563C">
        <w:t>-</w:t>
      </w:r>
      <w:r w:rsidRPr="00D4563C">
        <w:t xml:space="preserve">infection. </w:t>
      </w:r>
      <w:proofErr w:type="gramStart"/>
      <w:r w:rsidRPr="00D4563C">
        <w:t>Particular diligence</w:t>
      </w:r>
      <w:proofErr w:type="gramEnd"/>
      <w:r w:rsidRPr="00D4563C">
        <w:t xml:space="preserve"> should be applied in initiating or maintaining effective hepatitis B therapy (referring to treatment guideli</w:t>
      </w:r>
      <w:r w:rsidR="00C56AE0" w:rsidRPr="00D4563C">
        <w:t>nes) when starting dolutegravir-</w:t>
      </w:r>
      <w:r w:rsidRPr="00D4563C">
        <w:t>based therapy in hepatitis B coinfected patients (see</w:t>
      </w:r>
      <w:r w:rsidR="00DC28BF" w:rsidRPr="00D4563C">
        <w:t xml:space="preserve"> Section 4.8 </w:t>
      </w:r>
      <w:r w:rsidR="00413921" w:rsidRPr="00D4563C">
        <w:t>ADVERSE EFFECTS (UNDESIRABLE EFFECTS</w:t>
      </w:r>
      <w:r w:rsidR="00DC28BF" w:rsidRPr="00D4563C">
        <w:t>)</w:t>
      </w:r>
      <w:r w:rsidR="00C56AE0" w:rsidRPr="00D4563C">
        <w:t>)</w:t>
      </w:r>
      <w:r w:rsidRPr="00D4563C">
        <w:t>.</w:t>
      </w:r>
    </w:p>
    <w:p w14:paraId="797863E5" w14:textId="410C00DC" w:rsidR="00ED65A6" w:rsidRPr="00D4563C" w:rsidRDefault="00D04C3D" w:rsidP="00D4563C">
      <w:pPr>
        <w:pStyle w:val="Heading3"/>
      </w:pPr>
      <w:r w:rsidRPr="00D4563C">
        <w:lastRenderedPageBreak/>
        <w:t xml:space="preserve">Opportunistic </w:t>
      </w:r>
      <w:r w:rsidR="006F5B92">
        <w:t>i</w:t>
      </w:r>
      <w:r w:rsidR="00DC28BF" w:rsidRPr="00D4563C">
        <w:t>nfections</w:t>
      </w:r>
    </w:p>
    <w:p w14:paraId="1A9D48EC" w14:textId="103A2798" w:rsidR="00ED65A6" w:rsidRPr="00D4563C" w:rsidRDefault="00D04C3D" w:rsidP="00D4563C">
      <w:r w:rsidRPr="00D4563C">
        <w:t xml:space="preserve">Patients receiving </w:t>
      </w:r>
      <w:r w:rsidR="00FF0934" w:rsidRPr="00D4563C">
        <w:t>TIVICAY</w:t>
      </w:r>
      <w:r w:rsidR="006F6344">
        <w:t>/TIVICAY PD</w:t>
      </w:r>
      <w:r w:rsidRPr="00D4563C">
        <w:t xml:space="preserve"> or any other antiretroviral therapy may still develop opportunistic infections and other complications of HIV infection. </w:t>
      </w:r>
      <w:proofErr w:type="gramStart"/>
      <w:r w:rsidRPr="00D4563C">
        <w:t>Therefore</w:t>
      </w:r>
      <w:proofErr w:type="gramEnd"/>
      <w:r w:rsidRPr="00D4563C">
        <w:t xml:space="preserve"> patients should remain under close clinical observation by physicians experienced in the treatment of these associated HIV diseases.</w:t>
      </w:r>
    </w:p>
    <w:p w14:paraId="1F033B9C" w14:textId="48ABE35A" w:rsidR="00ED65A6" w:rsidRPr="00D4563C" w:rsidRDefault="00D04C3D" w:rsidP="00D4563C">
      <w:pPr>
        <w:pStyle w:val="Heading3"/>
      </w:pPr>
      <w:r w:rsidRPr="00D4563C">
        <w:t xml:space="preserve">Transmission of </w:t>
      </w:r>
      <w:r w:rsidR="006F5B92">
        <w:t>i</w:t>
      </w:r>
      <w:r w:rsidR="00DC28BF" w:rsidRPr="00D4563C">
        <w:t>nfection</w:t>
      </w:r>
    </w:p>
    <w:p w14:paraId="6A20B9AB" w14:textId="77777777" w:rsidR="00074BE8" w:rsidRDefault="00074BE8" w:rsidP="00074BE8">
      <w:r>
        <w:t>While effective viral suppression with</w:t>
      </w:r>
      <w:r w:rsidRPr="00D4563C">
        <w:t xml:space="preserve"> antiretroviral therapy has been proven to </w:t>
      </w:r>
      <w:r>
        <w:t xml:space="preserve">substantially reduce </w:t>
      </w:r>
      <w:r w:rsidRPr="00D4563C">
        <w:t xml:space="preserve">the risk of </w:t>
      </w:r>
      <w:r>
        <w:t xml:space="preserve">sexual </w:t>
      </w:r>
      <w:r w:rsidRPr="00D4563C">
        <w:t>transmission</w:t>
      </w:r>
      <w:r>
        <w:t>, a residual risk cannot be excluded.</w:t>
      </w:r>
      <w:r w:rsidRPr="00D4563C">
        <w:t xml:space="preserve"> </w:t>
      </w:r>
      <w:r>
        <w:t>P</w:t>
      </w:r>
      <w:r w:rsidRPr="00D4563C">
        <w:t xml:space="preserve">recautions </w:t>
      </w:r>
      <w:r>
        <w:t xml:space="preserve">to prevent transmission </w:t>
      </w:r>
      <w:r w:rsidRPr="00D4563C">
        <w:t>should be taken</w:t>
      </w:r>
      <w:r>
        <w:t xml:space="preserve"> in accordance with national guidelines</w:t>
      </w:r>
      <w:r w:rsidRPr="00D4563C">
        <w:t>.</w:t>
      </w:r>
      <w:r w:rsidRPr="00514196">
        <w:t xml:space="preserve"> </w:t>
      </w:r>
    </w:p>
    <w:p w14:paraId="5005A4EF" w14:textId="3B9D75C8" w:rsidR="005217D8" w:rsidRDefault="005217D8" w:rsidP="005217D8">
      <w:pPr>
        <w:pStyle w:val="Heading3"/>
      </w:pPr>
      <w:r>
        <w:t>Dual regimens</w:t>
      </w:r>
    </w:p>
    <w:p w14:paraId="7EAE2439" w14:textId="77777777" w:rsidR="00561773" w:rsidRDefault="00524C3C" w:rsidP="005217D8">
      <w:pPr>
        <w:rPr>
          <w:rFonts w:eastAsia="Calibri"/>
          <w:b/>
          <w:bCs/>
          <w:iCs/>
        </w:rPr>
      </w:pPr>
      <w:bookmarkStart w:id="2" w:name="_Hlk536696062"/>
      <w:r w:rsidRPr="00FD77CB">
        <w:rPr>
          <w:rFonts w:eastAsia="Calibri"/>
          <w:bCs/>
          <w:i/>
          <w:iCs/>
        </w:rPr>
        <w:t>Rilpivirine and dolutegravir</w:t>
      </w:r>
      <w:bookmarkEnd w:id="2"/>
      <w:r w:rsidRPr="00FD77CB">
        <w:rPr>
          <w:rFonts w:eastAsia="Calibri"/>
          <w:bCs/>
          <w:i/>
          <w:iCs/>
        </w:rPr>
        <w:t>:</w:t>
      </w:r>
      <w:r>
        <w:rPr>
          <w:rFonts w:eastAsia="Calibri"/>
          <w:b/>
          <w:bCs/>
          <w:iCs/>
        </w:rPr>
        <w:t xml:space="preserve"> </w:t>
      </w:r>
    </w:p>
    <w:p w14:paraId="54A00C6C" w14:textId="787369C8" w:rsidR="00524C3C" w:rsidRDefault="00524C3C" w:rsidP="005217D8">
      <w:r>
        <w:t>The dual regimen of rilpivirine and dolutegravir is only suitable for the treatment of HIV-1 infection in those patients who are virologically suppressed (HIV-1 RNA &lt;50 copies/mL) where there is no known or suspected resistance to either ART component</w:t>
      </w:r>
      <w:r w:rsidR="00A31CFE">
        <w:t>.</w:t>
      </w:r>
    </w:p>
    <w:p w14:paraId="0CE641B5" w14:textId="77777777" w:rsidR="00561773" w:rsidRDefault="005217D8" w:rsidP="005217D8">
      <w:pPr>
        <w:rPr>
          <w:lang w:val="en-GB"/>
        </w:rPr>
      </w:pPr>
      <w:r w:rsidRPr="00FD77CB">
        <w:rPr>
          <w:i/>
        </w:rPr>
        <w:t>Lamivudine and dolutegravir:</w:t>
      </w:r>
      <w:r>
        <w:t xml:space="preserve"> </w:t>
      </w:r>
    </w:p>
    <w:p w14:paraId="22BC4C9B" w14:textId="3CBBD4FA" w:rsidR="005217D8" w:rsidRPr="005217D8" w:rsidRDefault="005217D8" w:rsidP="005217D8">
      <w:pPr>
        <w:rPr>
          <w:lang w:val="en-GB"/>
        </w:rPr>
      </w:pPr>
      <w:r w:rsidRPr="005217D8">
        <w:rPr>
          <w:lang w:val="en-GB"/>
        </w:rPr>
        <w:t xml:space="preserve">The dual regimen of lamivudine and dolutegravir is only suitable for the treatment of HIV-1 infection where there is </w:t>
      </w:r>
      <w:r w:rsidRPr="005217D8">
        <w:rPr>
          <w:bCs/>
          <w:lang w:val="en-GB"/>
        </w:rPr>
        <w:t>no known or suspected resistance to either ART component</w:t>
      </w:r>
      <w:r w:rsidRPr="005217D8">
        <w:rPr>
          <w:lang w:val="en-GB"/>
        </w:rPr>
        <w:t>.</w:t>
      </w:r>
    </w:p>
    <w:p w14:paraId="5282E4D7" w14:textId="77777777" w:rsidR="00DC58C9" w:rsidRDefault="00DC58C9" w:rsidP="00DC58C9">
      <w:pPr>
        <w:pStyle w:val="Heading3"/>
      </w:pPr>
      <w:r>
        <w:t>Use in hepatic impairment</w:t>
      </w:r>
    </w:p>
    <w:p w14:paraId="0291EBCB" w14:textId="4233FBD4" w:rsidR="00DC58C9" w:rsidRDefault="00DC58C9" w:rsidP="00DC58C9">
      <w:r>
        <w:t xml:space="preserve">See Section 4.2 </w:t>
      </w:r>
      <w:r w:rsidR="00832D5F">
        <w:t>DOSE AND METHOD OF ADMINISTRATION</w:t>
      </w:r>
      <w:r>
        <w:t xml:space="preserve"> and Section 5.2 </w:t>
      </w:r>
      <w:r w:rsidR="00832D5F">
        <w:t xml:space="preserve">PHARMACOKINETIC PROPERTIES </w:t>
      </w:r>
      <w:r>
        <w:t xml:space="preserve">- </w:t>
      </w:r>
      <w:r w:rsidRPr="00EF7F9F">
        <w:t>Special patient populations</w:t>
      </w:r>
      <w:r>
        <w:t>.</w:t>
      </w:r>
    </w:p>
    <w:p w14:paraId="330F7C80" w14:textId="77777777" w:rsidR="00DC58C9" w:rsidRPr="004F4B47" w:rsidRDefault="00DC58C9" w:rsidP="00DC58C9">
      <w:pPr>
        <w:pStyle w:val="Heading3"/>
      </w:pPr>
      <w:r w:rsidRPr="004F4B47">
        <w:t>Use in renal impairment</w:t>
      </w:r>
    </w:p>
    <w:p w14:paraId="4E694980" w14:textId="541F5705" w:rsidR="00DC58C9" w:rsidRPr="00D4563C" w:rsidRDefault="00DC58C9" w:rsidP="00DC58C9">
      <w:r>
        <w:t xml:space="preserve">See Section 4.2 </w:t>
      </w:r>
      <w:r w:rsidR="00832D5F">
        <w:t>DOSE AND METHOD AND ADMINISTRATION</w:t>
      </w:r>
      <w:r>
        <w:t xml:space="preserve"> and Section 5.2 </w:t>
      </w:r>
      <w:r w:rsidR="00832D5F">
        <w:t xml:space="preserve">PHARMACOKINETIC PROPERTIES </w:t>
      </w:r>
      <w:r>
        <w:t xml:space="preserve">- </w:t>
      </w:r>
      <w:r w:rsidRPr="00EF7F9F">
        <w:t>Special patient populations</w:t>
      </w:r>
      <w:r>
        <w:t>.</w:t>
      </w:r>
    </w:p>
    <w:p w14:paraId="06D12661" w14:textId="28900D1B" w:rsidR="00ED65A6" w:rsidRPr="00D4563C" w:rsidRDefault="00D04C3D" w:rsidP="00D4563C">
      <w:pPr>
        <w:pStyle w:val="Heading3"/>
      </w:pPr>
      <w:r w:rsidRPr="00D4563C">
        <w:t xml:space="preserve">Use in the </w:t>
      </w:r>
      <w:r w:rsidR="006F5B92">
        <w:t>e</w:t>
      </w:r>
      <w:r w:rsidR="00DC28BF" w:rsidRPr="00D4563C">
        <w:t>lderly</w:t>
      </w:r>
    </w:p>
    <w:p w14:paraId="20BA08EB" w14:textId="4DC9F6EB" w:rsidR="00ED65A6" w:rsidRPr="00D4563C" w:rsidRDefault="00D04C3D" w:rsidP="00D4563C">
      <w:r w:rsidRPr="00D4563C">
        <w:t xml:space="preserve">There are limited data available on the use of </w:t>
      </w:r>
      <w:r w:rsidR="00FF0934" w:rsidRPr="00D4563C">
        <w:t>TIVICAY</w:t>
      </w:r>
      <w:r w:rsidRPr="00D4563C">
        <w:t xml:space="preserve"> </w:t>
      </w:r>
      <w:r w:rsidR="006F6344">
        <w:t xml:space="preserve">and TIVICAY PD </w:t>
      </w:r>
      <w:r w:rsidRPr="00D4563C">
        <w:t>in patients aged 65 years and over. However, there is no evidence that elderly patients require a different dose than younger adult patients (see</w:t>
      </w:r>
      <w:r w:rsidR="00DC28BF" w:rsidRPr="00D4563C">
        <w:t xml:space="preserve"> Section 5.2</w:t>
      </w:r>
      <w:r w:rsidRPr="00D4563C">
        <w:t xml:space="preserve"> </w:t>
      </w:r>
      <w:r w:rsidR="00832D5F" w:rsidRPr="00D4563C">
        <w:t>PHARMACOKINETICS</w:t>
      </w:r>
      <w:r w:rsidR="00832D5F">
        <w:t xml:space="preserve"> PROPERTIES </w:t>
      </w:r>
      <w:r w:rsidR="00EF7F9F">
        <w:t>-</w:t>
      </w:r>
      <w:r w:rsidRPr="00D4563C">
        <w:t xml:space="preserve"> Special patient populations).</w:t>
      </w:r>
    </w:p>
    <w:p w14:paraId="1BF4E342" w14:textId="059DACE0" w:rsidR="00ED65A6" w:rsidRPr="00D4563C" w:rsidRDefault="00D04C3D" w:rsidP="00D4563C">
      <w:pPr>
        <w:pStyle w:val="Heading3"/>
      </w:pPr>
      <w:r w:rsidRPr="00D4563C">
        <w:t xml:space="preserve">Paediatric </w:t>
      </w:r>
      <w:r w:rsidR="006F5B92">
        <w:t>u</w:t>
      </w:r>
      <w:r w:rsidR="00DC28BF" w:rsidRPr="00D4563C">
        <w:t>se</w:t>
      </w:r>
    </w:p>
    <w:p w14:paraId="2F9F9B86" w14:textId="7043A528" w:rsidR="00160371" w:rsidRDefault="00D04C3D" w:rsidP="00160371">
      <w:r w:rsidRPr="00D4563C">
        <w:t xml:space="preserve">The safety and efficacy of </w:t>
      </w:r>
      <w:r w:rsidR="00FF0934" w:rsidRPr="00D4563C">
        <w:t>TIVICAY</w:t>
      </w:r>
      <w:r w:rsidR="006F6344">
        <w:t xml:space="preserve"> and TIVICAY PD</w:t>
      </w:r>
      <w:r w:rsidRPr="00D4563C">
        <w:t xml:space="preserve"> has not yet been established in children (&lt; </w:t>
      </w:r>
      <w:r w:rsidR="00557EC3">
        <w:t>4 weeks</w:t>
      </w:r>
      <w:r w:rsidRPr="00D4563C">
        <w:t xml:space="preserve"> or weighing less than </w:t>
      </w:r>
      <w:r w:rsidR="00557EC3">
        <w:t>3</w:t>
      </w:r>
      <w:r w:rsidR="00557EC3" w:rsidRPr="00D4563C">
        <w:t xml:space="preserve"> </w:t>
      </w:r>
      <w:r w:rsidRPr="00D4563C">
        <w:t>kg).</w:t>
      </w:r>
      <w:r w:rsidR="00160371" w:rsidRPr="00160371">
        <w:t xml:space="preserve"> </w:t>
      </w:r>
    </w:p>
    <w:p w14:paraId="191E2864" w14:textId="29DD63A6" w:rsidR="00160371" w:rsidRDefault="00160371" w:rsidP="00160371">
      <w:pPr>
        <w:pStyle w:val="Heading3"/>
      </w:pPr>
      <w:r>
        <w:t>Effects on laboratory tests</w:t>
      </w:r>
    </w:p>
    <w:p w14:paraId="6DD27E3E" w14:textId="17FE714E" w:rsidR="00F1220B" w:rsidRDefault="00160371" w:rsidP="00D4563C">
      <w:r>
        <w:t xml:space="preserve">See Section 4.8 </w:t>
      </w:r>
      <w:r w:rsidR="00832D5F" w:rsidRPr="00EA2411">
        <w:t>ADVERSE EFFECTS (UNDESIRABLE EFFECTS</w:t>
      </w:r>
      <w:r w:rsidRPr="00EA2411">
        <w:t>)</w:t>
      </w:r>
      <w:r w:rsidR="00DC58C9">
        <w:t xml:space="preserve"> -</w:t>
      </w:r>
      <w:r>
        <w:t xml:space="preserve"> Table </w:t>
      </w:r>
      <w:r w:rsidR="004E2D77">
        <w:t>4</w:t>
      </w:r>
      <w:r>
        <w:t>.</w:t>
      </w:r>
    </w:p>
    <w:p w14:paraId="3F41FEBE" w14:textId="77777777" w:rsidR="00ED65A6" w:rsidRPr="00D4563C" w:rsidRDefault="00D04C3D" w:rsidP="00A13DA0">
      <w:pPr>
        <w:pStyle w:val="Heading2"/>
        <w:pageBreakBefore/>
      </w:pPr>
      <w:r w:rsidRPr="00D4563C">
        <w:lastRenderedPageBreak/>
        <w:t>Interactions with other medicines and other forms of interactions</w:t>
      </w:r>
    </w:p>
    <w:p w14:paraId="61D6A05B" w14:textId="59A31973" w:rsidR="00F10703" w:rsidRDefault="00D04C3D" w:rsidP="00DD3ACA">
      <w:pPr>
        <w:spacing w:after="160"/>
      </w:pPr>
      <w:r w:rsidRPr="00F82075">
        <w:t>Caution should be given to co</w:t>
      </w:r>
      <w:r w:rsidR="003C7A0E" w:rsidRPr="00F82075">
        <w:t>-</w:t>
      </w:r>
      <w:r w:rsidRPr="00F82075">
        <w:t xml:space="preserve">administering medications (prescription and </w:t>
      </w:r>
      <w:proofErr w:type="spellStart"/>
      <w:r w:rsidRPr="00F82075">
        <w:t>nonprescription</w:t>
      </w:r>
      <w:proofErr w:type="spellEnd"/>
      <w:r w:rsidRPr="00F82075">
        <w:t xml:space="preserve">) that may change the exposure of </w:t>
      </w:r>
      <w:r w:rsidR="00FF0934" w:rsidRPr="00F82075">
        <w:t>TIVICAY</w:t>
      </w:r>
      <w:r w:rsidR="006F6344">
        <w:t>/TIVICAY PD</w:t>
      </w:r>
      <w:r w:rsidRPr="00F82075">
        <w:t xml:space="preserve"> or medications that may have their exposure changed by </w:t>
      </w:r>
      <w:r w:rsidR="00FF0934" w:rsidRPr="00F82075">
        <w:t>TIVICAY</w:t>
      </w:r>
      <w:r w:rsidR="006F6344">
        <w:t>/TIVICAY PD</w:t>
      </w:r>
      <w:r w:rsidRPr="00F82075">
        <w:t xml:space="preserve"> (see</w:t>
      </w:r>
      <w:r w:rsidR="003C7A0E" w:rsidRPr="00F82075">
        <w:t xml:space="preserve"> Section 4.3</w:t>
      </w:r>
      <w:r w:rsidR="00F10703">
        <w:t xml:space="preserve"> </w:t>
      </w:r>
      <w:r w:rsidR="00832D5F">
        <w:t>CONTRAINDICATIONS</w:t>
      </w:r>
      <w:r w:rsidR="00F10703">
        <w:t>).</w:t>
      </w:r>
    </w:p>
    <w:p w14:paraId="01D29B07" w14:textId="6E23D428" w:rsidR="00F10703" w:rsidRDefault="00D04C3D" w:rsidP="00DD3ACA">
      <w:pPr>
        <w:spacing w:after="160"/>
      </w:pPr>
      <w:r w:rsidRPr="00F82075">
        <w:t xml:space="preserve">The recommended </w:t>
      </w:r>
      <w:r w:rsidR="004E2D77">
        <w:t xml:space="preserve">adult </w:t>
      </w:r>
      <w:r w:rsidRPr="00F82075">
        <w:t xml:space="preserve">dose of </w:t>
      </w:r>
      <w:r w:rsidR="00FF0934" w:rsidRPr="00F82075">
        <w:t>TIVICAY</w:t>
      </w:r>
      <w:r w:rsidR="006F6344">
        <w:t>/TIVICAY PD</w:t>
      </w:r>
      <w:r w:rsidRPr="00F82075">
        <w:t xml:space="preserve"> </w:t>
      </w:r>
      <w:r w:rsidR="00561773">
        <w:t>should be given</w:t>
      </w:r>
      <w:r w:rsidRPr="00F82075">
        <w:t xml:space="preserve"> twice daily when co</w:t>
      </w:r>
      <w:r w:rsidR="003C7A0E" w:rsidRPr="00F82075">
        <w:t>-</w:t>
      </w:r>
      <w:r w:rsidRPr="00F82075">
        <w:t>administered with etravirine (without boosted protease inhibitors), efa</w:t>
      </w:r>
      <w:r w:rsidR="00F95676" w:rsidRPr="00F82075">
        <w:t>virenz, nevirapine, tipranavir/</w:t>
      </w:r>
      <w:r w:rsidRPr="00F82075">
        <w:t>ritonavir, rifampicin, carbamazepine, phenytoin, pheno</w:t>
      </w:r>
      <w:r w:rsidR="00F10703">
        <w:t>barbital, and St. John's wort.</w:t>
      </w:r>
      <w:r w:rsidR="004E2D77">
        <w:t xml:space="preserve"> In paediatric patients, the weight-based once daily dose should be administered twice daily.</w:t>
      </w:r>
    </w:p>
    <w:p w14:paraId="07921877" w14:textId="6F8F00A2" w:rsidR="007C6789" w:rsidRDefault="00FF0934" w:rsidP="00DD3ACA">
      <w:pPr>
        <w:spacing w:after="160"/>
      </w:pPr>
      <w:r w:rsidRPr="00F82075">
        <w:t>TIVICAY</w:t>
      </w:r>
      <w:r w:rsidR="006F6344">
        <w:t xml:space="preserve"> and TIVICAY PD</w:t>
      </w:r>
      <w:r w:rsidR="00D04C3D" w:rsidRPr="00F82075">
        <w:t xml:space="preserve"> should not be co</w:t>
      </w:r>
      <w:r w:rsidR="003C7A0E" w:rsidRPr="00F82075">
        <w:t>-</w:t>
      </w:r>
      <w:r w:rsidR="00D04C3D" w:rsidRPr="00F82075">
        <w:t>admi</w:t>
      </w:r>
      <w:r w:rsidR="003C7A0E" w:rsidRPr="00F82075">
        <w:t>nistered with polyvalent cation-</w:t>
      </w:r>
      <w:r w:rsidR="00D04C3D" w:rsidRPr="00F82075">
        <w:t xml:space="preserve">containing antacids. </w:t>
      </w:r>
      <w:r w:rsidRPr="00F82075">
        <w:t>TIVICAY</w:t>
      </w:r>
      <w:r w:rsidR="006F6344">
        <w:t xml:space="preserve"> and TIVICAY PD</w:t>
      </w:r>
      <w:r w:rsidR="00D04C3D" w:rsidRPr="00F82075">
        <w:t xml:space="preserve"> </w:t>
      </w:r>
      <w:r w:rsidR="006F6344">
        <w:t>are</w:t>
      </w:r>
      <w:r w:rsidR="00D04C3D" w:rsidRPr="00F82075">
        <w:t xml:space="preserve"> recommended to be administered two hours before o</w:t>
      </w:r>
      <w:r w:rsidR="007C6789">
        <w:t>r six hours after these agents.</w:t>
      </w:r>
    </w:p>
    <w:p w14:paraId="0AC13433" w14:textId="5C183BAA" w:rsidR="004F4B47" w:rsidRDefault="00FF0934" w:rsidP="00DD3ACA">
      <w:pPr>
        <w:spacing w:after="160"/>
      </w:pPr>
      <w:r w:rsidRPr="00F82075">
        <w:t>TIVICAY</w:t>
      </w:r>
      <w:r w:rsidR="00D04C3D" w:rsidRPr="00F82075">
        <w:t xml:space="preserve"> </w:t>
      </w:r>
      <w:r w:rsidR="006F6344">
        <w:t>and TIVICAY PD are</w:t>
      </w:r>
      <w:r w:rsidR="00D04C3D" w:rsidRPr="00F82075">
        <w:t xml:space="preserve"> recommended to be administered 2 hours before or 6 hours after taking calcium</w:t>
      </w:r>
      <w:r w:rsidR="007B622B">
        <w:t>, magnesium</w:t>
      </w:r>
      <w:r w:rsidR="00D04C3D" w:rsidRPr="00F82075">
        <w:t xml:space="preserve"> or iron supplements, or alternatively, administered with food</w:t>
      </w:r>
      <w:r w:rsidR="00042DAE">
        <w:t>.</w:t>
      </w:r>
      <w:r w:rsidR="00D04C3D" w:rsidRPr="00F82075">
        <w:t xml:space="preserve"> </w:t>
      </w:r>
    </w:p>
    <w:p w14:paraId="30FC3E05" w14:textId="60FFAD5B" w:rsidR="007C6789" w:rsidRDefault="006F6344" w:rsidP="00DD3ACA">
      <w:pPr>
        <w:spacing w:after="160"/>
      </w:pPr>
      <w:r>
        <w:t>Dolutegravir</w:t>
      </w:r>
      <w:r w:rsidRPr="00F82075">
        <w:t xml:space="preserve"> </w:t>
      </w:r>
      <w:r w:rsidR="00D04C3D" w:rsidRPr="00F82075">
        <w:t>increased metformin concentrations. A dose adjustment of metformin should be considered when starting and stopping co</w:t>
      </w:r>
      <w:r w:rsidR="00D1076D">
        <w:t>-</w:t>
      </w:r>
      <w:r w:rsidR="00D04C3D" w:rsidRPr="00F82075">
        <w:t>administration of dolutegravir with metformin, to maintain glycaemic control.</w:t>
      </w:r>
    </w:p>
    <w:p w14:paraId="57E4048F" w14:textId="5771228E" w:rsidR="007C6789" w:rsidRDefault="0023081E" w:rsidP="00DD3ACA">
      <w:pPr>
        <w:spacing w:after="160"/>
        <w:rPr>
          <w:i/>
          <w:iCs/>
        </w:rPr>
      </w:pPr>
      <w:r>
        <w:rPr>
          <w:b/>
          <w:bCs/>
        </w:rPr>
        <w:t>E</w:t>
      </w:r>
      <w:r w:rsidR="00D04C3D" w:rsidRPr="00A24A45">
        <w:rPr>
          <w:b/>
          <w:bCs/>
        </w:rPr>
        <w:t xml:space="preserve">ffect of </w:t>
      </w:r>
      <w:r w:rsidR="006F6344">
        <w:rPr>
          <w:b/>
          <w:bCs/>
        </w:rPr>
        <w:t>dolutegravir</w:t>
      </w:r>
      <w:r w:rsidR="006F6344" w:rsidRPr="00A24A45">
        <w:rPr>
          <w:b/>
          <w:bCs/>
        </w:rPr>
        <w:t xml:space="preserve"> </w:t>
      </w:r>
      <w:r w:rsidR="00D04C3D" w:rsidRPr="00A24A45">
        <w:rPr>
          <w:b/>
          <w:bCs/>
        </w:rPr>
        <w:t xml:space="preserve">on the </w:t>
      </w:r>
      <w:r w:rsidR="006F5B92" w:rsidRPr="00A24A45">
        <w:rPr>
          <w:b/>
          <w:bCs/>
        </w:rPr>
        <w:t>pharmacokinetics of other agents</w:t>
      </w:r>
      <w:r w:rsidR="00EB7B3D" w:rsidRPr="00F82075">
        <w:br/>
      </w:r>
      <w:r w:rsidR="00D04C3D" w:rsidRPr="00F82075">
        <w:rPr>
          <w:i/>
          <w:iCs/>
        </w:rPr>
        <w:t>In vitro,</w:t>
      </w:r>
      <w:r w:rsidR="00D04C3D" w:rsidRPr="00F82075">
        <w:t xml:space="preserve"> dolutegravir inhibited the renal organic cation transporter 2 (OCT2) (IC</w:t>
      </w:r>
      <w:r w:rsidR="00D04C3D" w:rsidRPr="00F82075">
        <w:rPr>
          <w:vertAlign w:val="subscript"/>
        </w:rPr>
        <w:t>50</w:t>
      </w:r>
      <w:r w:rsidR="00D04C3D" w:rsidRPr="00F82075">
        <w:t xml:space="preserve"> = 1.93 </w:t>
      </w:r>
      <w:proofErr w:type="spellStart"/>
      <w:r w:rsidR="00457406">
        <w:t>μM</w:t>
      </w:r>
      <w:proofErr w:type="spellEnd"/>
      <w:r w:rsidR="00D04C3D" w:rsidRPr="00F82075">
        <w:t>), multidrug and toxin extrusion transporter (MATE)</w:t>
      </w:r>
      <w:r w:rsidR="00DE0669">
        <w:t xml:space="preserve"> </w:t>
      </w:r>
      <w:r w:rsidR="00D04C3D" w:rsidRPr="00F82075">
        <w:t>1 (IC</w:t>
      </w:r>
      <w:r w:rsidR="00D04C3D" w:rsidRPr="00F82075">
        <w:rPr>
          <w:vertAlign w:val="subscript"/>
        </w:rPr>
        <w:t>50</w:t>
      </w:r>
      <w:r w:rsidR="00D04C3D" w:rsidRPr="00F82075">
        <w:t xml:space="preserve"> = 6.34 </w:t>
      </w:r>
      <w:proofErr w:type="spellStart"/>
      <w:r w:rsidR="00457406">
        <w:t>μM</w:t>
      </w:r>
      <w:proofErr w:type="spellEnd"/>
      <w:r w:rsidR="00D04C3D" w:rsidRPr="00F82075">
        <w:t>) and MATE2-K (IC</w:t>
      </w:r>
      <w:r w:rsidR="00D04C3D" w:rsidRPr="00F82075">
        <w:rPr>
          <w:vertAlign w:val="subscript"/>
        </w:rPr>
        <w:t>50</w:t>
      </w:r>
      <w:r w:rsidR="00D04C3D" w:rsidRPr="00F82075">
        <w:t xml:space="preserve"> = 24.8 </w:t>
      </w:r>
      <w:proofErr w:type="spellStart"/>
      <w:r w:rsidR="00457406">
        <w:t>μM</w:t>
      </w:r>
      <w:proofErr w:type="spellEnd"/>
      <w:r w:rsidR="00D04C3D" w:rsidRPr="00F82075">
        <w:t xml:space="preserve">). </w:t>
      </w:r>
      <w:r w:rsidR="00D04C3D" w:rsidRPr="00F82075">
        <w:rPr>
          <w:i/>
          <w:iCs/>
        </w:rPr>
        <w:t>In vivo,</w:t>
      </w:r>
      <w:r w:rsidR="00D04C3D" w:rsidRPr="00F82075">
        <w:t xml:space="preserve"> dolutegravir inhibits tubular secretion of creatinine by inhibiting OCT2. </w:t>
      </w:r>
      <w:r w:rsidR="00D04C3D" w:rsidRPr="00F82075">
        <w:rPr>
          <w:i/>
          <w:iCs/>
        </w:rPr>
        <w:t>In vivo</w:t>
      </w:r>
      <w:r w:rsidR="00D04C3D" w:rsidRPr="00F82075">
        <w:t xml:space="preserve"> dolutegravir may increase plasma concentrations of drugs in which excretion is dependent upon OCT2 or MATE1 (</w:t>
      </w:r>
      <w:r w:rsidR="00074BE8">
        <w:t xml:space="preserve">for example </w:t>
      </w:r>
      <w:proofErr w:type="spellStart"/>
      <w:r w:rsidR="00D04C3D" w:rsidRPr="00F82075">
        <w:t>dofetilide</w:t>
      </w:r>
      <w:proofErr w:type="spellEnd"/>
      <w:r w:rsidR="00074BE8">
        <w:t>,</w:t>
      </w:r>
      <w:r w:rsidR="00854FC2">
        <w:t xml:space="preserve"> </w:t>
      </w:r>
      <w:proofErr w:type="spellStart"/>
      <w:r w:rsidR="00074BE8" w:rsidRPr="00DD04B3">
        <w:t>pilsicainide</w:t>
      </w:r>
      <w:proofErr w:type="spellEnd"/>
      <w:r w:rsidR="00074BE8" w:rsidRPr="00DD04B3">
        <w:t>, fampridine</w:t>
      </w:r>
      <w:r w:rsidR="00D04C3D" w:rsidRPr="00F82075">
        <w:t xml:space="preserve"> </w:t>
      </w:r>
      <w:r w:rsidR="00074BE8">
        <w:t>or</w:t>
      </w:r>
      <w:r w:rsidR="00074BE8" w:rsidRPr="00F82075">
        <w:t xml:space="preserve"> </w:t>
      </w:r>
      <w:r w:rsidR="00D04C3D" w:rsidRPr="00F82075">
        <w:t>metformin) (see Table</w:t>
      </w:r>
      <w:r w:rsidR="009F38E4" w:rsidRPr="00F82075">
        <w:t xml:space="preserve"> </w:t>
      </w:r>
      <w:r w:rsidR="004E2D77">
        <w:t>2</w:t>
      </w:r>
      <w:r w:rsidR="00D04C3D" w:rsidRPr="00F82075">
        <w:t xml:space="preserve">). Given dolutegravir's </w:t>
      </w:r>
      <w:r w:rsidR="00D04C3D" w:rsidRPr="00F82075">
        <w:rPr>
          <w:i/>
          <w:iCs/>
        </w:rPr>
        <w:t>in vivo</w:t>
      </w:r>
      <w:r w:rsidR="00D04C3D" w:rsidRPr="00F82075">
        <w:t xml:space="preserve"> exposure, it has a low potential to affect the transport of MATE2-K substrates </w:t>
      </w:r>
      <w:r w:rsidR="00D04C3D" w:rsidRPr="00F82075">
        <w:rPr>
          <w:i/>
          <w:iCs/>
        </w:rPr>
        <w:t>in vivo.</w:t>
      </w:r>
    </w:p>
    <w:p w14:paraId="618FC47A" w14:textId="3DBBE4E3" w:rsidR="007C6789" w:rsidRDefault="00D04C3D" w:rsidP="00DD3ACA">
      <w:pPr>
        <w:spacing w:after="160"/>
      </w:pPr>
      <w:r w:rsidRPr="00F82075">
        <w:rPr>
          <w:i/>
          <w:iCs/>
        </w:rPr>
        <w:t>In vitro,</w:t>
      </w:r>
      <w:r w:rsidRPr="00F82075">
        <w:t xml:space="preserve"> dolutegravir inhibited the basolateral renal transporters: organic anion transporter (OAT)</w:t>
      </w:r>
      <w:r w:rsidR="00DE0669">
        <w:t xml:space="preserve"> </w:t>
      </w:r>
      <w:r w:rsidRPr="00F82075">
        <w:t>1 (IC</w:t>
      </w:r>
      <w:r w:rsidRPr="00F82075">
        <w:rPr>
          <w:vertAlign w:val="subscript"/>
        </w:rPr>
        <w:t>50</w:t>
      </w:r>
      <w:r w:rsidRPr="00F82075">
        <w:t xml:space="preserve"> = 2.12 </w:t>
      </w:r>
      <w:proofErr w:type="spellStart"/>
      <w:r w:rsidR="00457406">
        <w:t>μM</w:t>
      </w:r>
      <w:proofErr w:type="spellEnd"/>
      <w:r w:rsidRPr="00F82075">
        <w:t>) and OAT3 (IC</w:t>
      </w:r>
      <w:r w:rsidRPr="00F82075">
        <w:rPr>
          <w:vertAlign w:val="subscript"/>
        </w:rPr>
        <w:t>50</w:t>
      </w:r>
      <w:r w:rsidRPr="00F82075">
        <w:t xml:space="preserve"> = 1.97 </w:t>
      </w:r>
      <w:proofErr w:type="spellStart"/>
      <w:r w:rsidR="00457406">
        <w:t>μM</w:t>
      </w:r>
      <w:proofErr w:type="spellEnd"/>
      <w:r w:rsidRPr="00F82075">
        <w:t xml:space="preserve">). However, dolutegravir had no notable effect on the </w:t>
      </w:r>
      <w:r w:rsidRPr="00F82075">
        <w:rPr>
          <w:i/>
          <w:iCs/>
        </w:rPr>
        <w:t>in vivo</w:t>
      </w:r>
      <w:r w:rsidRPr="00F82075">
        <w:t xml:space="preserve"> pharmacokinetics of the OAT substrates tenofovir and para-</w:t>
      </w:r>
      <w:proofErr w:type="spellStart"/>
      <w:r w:rsidRPr="00F82075">
        <w:t>aminohippurate</w:t>
      </w:r>
      <w:proofErr w:type="spellEnd"/>
      <w:r w:rsidRPr="00F82075">
        <w:t xml:space="preserve">, and therefore has low propensity to cause drug interactions via </w:t>
      </w:r>
      <w:r w:rsidR="007C6789">
        <w:t>inhibition of OAT transporters.</w:t>
      </w:r>
    </w:p>
    <w:p w14:paraId="6371770D" w14:textId="3B4393A3" w:rsidR="004F4B47" w:rsidRDefault="00D04C3D" w:rsidP="00DD3ACA">
      <w:pPr>
        <w:spacing w:after="160"/>
      </w:pPr>
      <w:r w:rsidRPr="00F82075">
        <w:rPr>
          <w:i/>
          <w:iCs/>
        </w:rPr>
        <w:t>In vitro,</w:t>
      </w:r>
      <w:r w:rsidRPr="00F82075">
        <w:t xml:space="preserve"> dolutegravir demonstrated no direct, or weak inhibition (IC</w:t>
      </w:r>
      <w:r w:rsidRPr="00F82075">
        <w:rPr>
          <w:vertAlign w:val="subscript"/>
        </w:rPr>
        <w:t>50</w:t>
      </w:r>
      <w:r w:rsidRPr="00F82075">
        <w:t xml:space="preserve"> &gt; 50 </w:t>
      </w:r>
      <w:proofErr w:type="spellStart"/>
      <w:r w:rsidR="00457406">
        <w:t>μM</w:t>
      </w:r>
      <w:proofErr w:type="spellEnd"/>
      <w:r w:rsidRPr="00F82075">
        <w:t xml:space="preserve">) of the enzymes cytochrome P450 (CYP)1A2, CYP2A6, CYP2B6, CYP2C8, CYP2C9, CYP2C19, CYP2D6, CYP3A, uridine diphosphate </w:t>
      </w:r>
      <w:proofErr w:type="spellStart"/>
      <w:r w:rsidRPr="00F82075">
        <w:t>glucuronosyl</w:t>
      </w:r>
      <w:proofErr w:type="spellEnd"/>
      <w:r w:rsidRPr="00F82075">
        <w:t xml:space="preserve"> transferase (UGT)1A1 or UGT2B7, or the transporters P-</w:t>
      </w:r>
      <w:proofErr w:type="spellStart"/>
      <w:r w:rsidRPr="00F82075">
        <w:t>gp</w:t>
      </w:r>
      <w:proofErr w:type="spellEnd"/>
      <w:r w:rsidRPr="00F82075">
        <w:t>, BCRP, BSEP, OATP1B1, OATP1B3, OCT1, MRP2</w:t>
      </w:r>
      <w:r w:rsidR="00DE0669">
        <w:t>,</w:t>
      </w:r>
      <w:r w:rsidRPr="00F82075">
        <w:t xml:space="preserve"> or MRP4. </w:t>
      </w:r>
      <w:r w:rsidRPr="00F82075">
        <w:rPr>
          <w:i/>
          <w:iCs/>
        </w:rPr>
        <w:t>In vitro,</w:t>
      </w:r>
      <w:r w:rsidRPr="00F82075">
        <w:t xml:space="preserve"> dolutegravir did not induce CYP1A2, CYP2B6, or CYP3A4. Based on these data, dolutegravir is not expected to affect the pharmacokinetics of drugs that are substrates of</w:t>
      </w:r>
      <w:r w:rsidR="004F4B47">
        <w:t xml:space="preserve"> these enzymes or transporters.</w:t>
      </w:r>
    </w:p>
    <w:p w14:paraId="12F11BCC" w14:textId="77777777" w:rsidR="007C6789" w:rsidRDefault="00D04C3D" w:rsidP="00DD3ACA">
      <w:pPr>
        <w:spacing w:after="160"/>
      </w:pPr>
      <w:r w:rsidRPr="00F82075">
        <w:t xml:space="preserve">In drug interaction studies, dolutegravir did not have a clinically relevant effect on the pharmacokinetics of the following: tenofovir, ritonavir, methadone, efavirenz, lopinavir, </w:t>
      </w:r>
      <w:r w:rsidRPr="00F82075">
        <w:lastRenderedPageBreak/>
        <w:t xml:space="preserve">atazanavir, darunavir, etravirine, </w:t>
      </w:r>
      <w:proofErr w:type="spellStart"/>
      <w:r w:rsidRPr="00F82075">
        <w:t>fosamprenavir</w:t>
      </w:r>
      <w:proofErr w:type="spellEnd"/>
      <w:r w:rsidRPr="00F82075">
        <w:t xml:space="preserve">, boceprevir, daclatasvir and oral contraceptives containing </w:t>
      </w:r>
      <w:proofErr w:type="spellStart"/>
      <w:r w:rsidRPr="00F82075">
        <w:t>norg</w:t>
      </w:r>
      <w:r w:rsidR="007C6789">
        <w:t>estimate</w:t>
      </w:r>
      <w:proofErr w:type="spellEnd"/>
      <w:r w:rsidR="007C6789">
        <w:t xml:space="preserve"> and ethinyl </w:t>
      </w:r>
      <w:proofErr w:type="spellStart"/>
      <w:r w:rsidR="007C6789">
        <w:t>estradiol</w:t>
      </w:r>
      <w:proofErr w:type="spellEnd"/>
      <w:r w:rsidR="007C6789">
        <w:t>.</w:t>
      </w:r>
    </w:p>
    <w:p w14:paraId="46C40E11" w14:textId="2A47840B" w:rsidR="007C6789" w:rsidRDefault="00D04C3D" w:rsidP="00DD3ACA">
      <w:pPr>
        <w:spacing w:after="160"/>
      </w:pPr>
      <w:r w:rsidRPr="00A24A45">
        <w:rPr>
          <w:b/>
          <w:bCs/>
        </w:rPr>
        <w:t xml:space="preserve">Effect of </w:t>
      </w:r>
      <w:r w:rsidR="006F5B92" w:rsidRPr="00A24A45">
        <w:rPr>
          <w:b/>
          <w:bCs/>
        </w:rPr>
        <w:t xml:space="preserve">other agents on the pharmacokinetics </w:t>
      </w:r>
      <w:r w:rsidRPr="00A24A45">
        <w:rPr>
          <w:b/>
          <w:bCs/>
        </w:rPr>
        <w:t xml:space="preserve">of </w:t>
      </w:r>
      <w:r w:rsidR="006F6344">
        <w:rPr>
          <w:b/>
          <w:bCs/>
        </w:rPr>
        <w:t>dolutegravir</w:t>
      </w:r>
      <w:r w:rsidRPr="00F82075">
        <w:br/>
      </w:r>
      <w:proofErr w:type="spellStart"/>
      <w:r w:rsidRPr="00F82075">
        <w:t>Dolutegravir</w:t>
      </w:r>
      <w:proofErr w:type="spellEnd"/>
      <w:r w:rsidRPr="00F82075">
        <w:t xml:space="preserve"> is metabolised by UGT1A1 with some contribution from CYP3A. Dolutegravir is also a substrate of UGT1A3, UGT1A9, BCRP, and P-</w:t>
      </w:r>
      <w:proofErr w:type="spellStart"/>
      <w:r w:rsidRPr="00F82075">
        <w:t>gp</w:t>
      </w:r>
      <w:proofErr w:type="spellEnd"/>
      <w:r w:rsidRPr="00F82075">
        <w:t xml:space="preserve"> </w:t>
      </w:r>
      <w:r w:rsidRPr="00F82075">
        <w:rPr>
          <w:i/>
          <w:iCs/>
        </w:rPr>
        <w:t>in vitro.</w:t>
      </w:r>
      <w:r w:rsidRPr="00F82075">
        <w:t xml:space="preserve"> Drugs that induce those enzymes or transporters may decrease dolutegravir plasma concentration and reduce the therapeutic effect of dolutegravir. Co</w:t>
      </w:r>
      <w:r w:rsidR="000E4189">
        <w:t>-</w:t>
      </w:r>
      <w:r w:rsidRPr="00F82075">
        <w:t>administration of dolutegravir and other drugs that inhibit these enzymes may increase dolutegravir plasma c</w:t>
      </w:r>
      <w:r w:rsidR="007C6789">
        <w:t>oncentrations.</w:t>
      </w:r>
    </w:p>
    <w:p w14:paraId="6A5C7B6A" w14:textId="77777777" w:rsidR="007C6789" w:rsidRDefault="00D04C3D" w:rsidP="00DD3ACA">
      <w:pPr>
        <w:spacing w:after="160"/>
      </w:pPr>
      <w:r w:rsidRPr="00F82075">
        <w:rPr>
          <w:i/>
          <w:iCs/>
        </w:rPr>
        <w:t>In vitro,</w:t>
      </w:r>
      <w:r w:rsidRPr="00F82075">
        <w:t xml:space="preserve"> dolutegravir is not a substrate of human organic anion transporting polypeptide (OATP)1B1, OATP1B3, or OCT1, therefore drugs that solely modulate these transporters are not expected to affect dol</w:t>
      </w:r>
      <w:r w:rsidR="007C6789">
        <w:t>utegravir plasma concentration.</w:t>
      </w:r>
    </w:p>
    <w:p w14:paraId="26D988DC" w14:textId="77777777" w:rsidR="004D0B43" w:rsidRDefault="00D04C3D" w:rsidP="00DD3ACA">
      <w:pPr>
        <w:spacing w:after="160"/>
      </w:pPr>
      <w:r w:rsidRPr="00F82075">
        <w:t>Selected drug interactions are presented in Table</w:t>
      </w:r>
      <w:r w:rsidR="00D16773" w:rsidRPr="00F82075">
        <w:t xml:space="preserve"> </w:t>
      </w:r>
      <w:r w:rsidR="004E2D77">
        <w:t>2</w:t>
      </w:r>
      <w:r w:rsidRPr="00F82075">
        <w:t>. Recommendations are based on either drug interaction studies or predicted interactions due to the expected magnitude of interaction and potential for serious adverse events or loss of efficacy.</w:t>
      </w:r>
    </w:p>
    <w:p w14:paraId="78F77828" w14:textId="1FA94F49" w:rsidR="00626ADC" w:rsidRPr="00D4563C" w:rsidRDefault="00626ADC" w:rsidP="00DD3ACA">
      <w:pPr>
        <w:spacing w:after="160"/>
      </w:pPr>
      <w:bookmarkStart w:id="3" w:name="_Ref318205147"/>
      <w:r w:rsidRPr="00A24A45">
        <w:rPr>
          <w:b/>
        </w:rPr>
        <w:t xml:space="preserve">Table </w:t>
      </w:r>
      <w:bookmarkEnd w:id="3"/>
      <w:r w:rsidR="004E2D77">
        <w:rPr>
          <w:b/>
        </w:rPr>
        <w:t>2</w:t>
      </w:r>
      <w:r w:rsidR="006478F5">
        <w:rPr>
          <w:b/>
        </w:rPr>
        <w:tab/>
      </w:r>
      <w:r w:rsidRPr="00A24A45">
        <w:rPr>
          <w:b/>
        </w:rPr>
        <w:t>Drug Interactions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764"/>
        <w:gridCol w:w="3863"/>
      </w:tblGrid>
      <w:tr w:rsidR="00626ADC" w:rsidRPr="00D4563C" w14:paraId="39DA0759" w14:textId="77777777" w:rsidTr="0034449A">
        <w:trPr>
          <w:tblHeader/>
        </w:trPr>
        <w:tc>
          <w:tcPr>
            <w:tcW w:w="2235" w:type="dxa"/>
          </w:tcPr>
          <w:p w14:paraId="48C990E4" w14:textId="77777777" w:rsidR="00626ADC" w:rsidRPr="00BF7578" w:rsidRDefault="00626ADC" w:rsidP="00CE7FBF">
            <w:pPr>
              <w:spacing w:after="120" w:line="240" w:lineRule="auto"/>
              <w:rPr>
                <w:rFonts w:ascii="Arial Narrow" w:hAnsi="Arial Narrow"/>
                <w:b/>
                <w:sz w:val="20"/>
                <w:szCs w:val="20"/>
              </w:rPr>
            </w:pPr>
            <w:r w:rsidRPr="00BF7578">
              <w:rPr>
                <w:rFonts w:ascii="Arial Narrow" w:hAnsi="Arial Narrow"/>
                <w:b/>
                <w:sz w:val="20"/>
                <w:szCs w:val="20"/>
              </w:rPr>
              <w:t>Concomitant Drug Class:</w:t>
            </w:r>
            <w:r w:rsidRPr="00BF7578">
              <w:rPr>
                <w:rFonts w:ascii="Arial Narrow" w:hAnsi="Arial Narrow"/>
                <w:b/>
                <w:sz w:val="20"/>
                <w:szCs w:val="20"/>
              </w:rPr>
              <w:br/>
              <w:t>Drug Name</w:t>
            </w:r>
          </w:p>
        </w:tc>
        <w:tc>
          <w:tcPr>
            <w:tcW w:w="2764" w:type="dxa"/>
          </w:tcPr>
          <w:p w14:paraId="77C84621" w14:textId="77777777" w:rsidR="00626ADC" w:rsidRPr="00BF7578" w:rsidRDefault="00626ADC" w:rsidP="00CE7FBF">
            <w:pPr>
              <w:spacing w:after="120" w:line="240" w:lineRule="auto"/>
              <w:rPr>
                <w:rFonts w:ascii="Arial Narrow" w:hAnsi="Arial Narrow"/>
                <w:b/>
                <w:sz w:val="20"/>
                <w:szCs w:val="20"/>
              </w:rPr>
            </w:pPr>
            <w:r w:rsidRPr="00BF7578">
              <w:rPr>
                <w:rFonts w:ascii="Arial Narrow" w:hAnsi="Arial Narrow"/>
                <w:b/>
                <w:sz w:val="20"/>
                <w:szCs w:val="20"/>
              </w:rPr>
              <w:t>Effect on Concentration of Dolutegravir or Concomitant Drug</w:t>
            </w:r>
          </w:p>
        </w:tc>
        <w:tc>
          <w:tcPr>
            <w:tcW w:w="3863" w:type="dxa"/>
          </w:tcPr>
          <w:p w14:paraId="59374EE2" w14:textId="77777777" w:rsidR="00626ADC" w:rsidRPr="00BF7578" w:rsidRDefault="00626ADC" w:rsidP="00CE7FBF">
            <w:pPr>
              <w:spacing w:after="120" w:line="240" w:lineRule="auto"/>
              <w:rPr>
                <w:rFonts w:ascii="Arial Narrow" w:hAnsi="Arial Narrow"/>
                <w:b/>
                <w:sz w:val="20"/>
                <w:szCs w:val="20"/>
              </w:rPr>
            </w:pPr>
            <w:r w:rsidRPr="00BF7578">
              <w:rPr>
                <w:rFonts w:ascii="Arial Narrow" w:hAnsi="Arial Narrow"/>
                <w:b/>
                <w:sz w:val="20"/>
                <w:szCs w:val="20"/>
              </w:rPr>
              <w:t>Clinical Comment</w:t>
            </w:r>
          </w:p>
        </w:tc>
      </w:tr>
      <w:tr w:rsidR="00626ADC" w:rsidRPr="00D4563C" w14:paraId="71EF05B7" w14:textId="77777777" w:rsidTr="0034449A">
        <w:tc>
          <w:tcPr>
            <w:tcW w:w="8862" w:type="dxa"/>
            <w:gridSpan w:val="3"/>
          </w:tcPr>
          <w:p w14:paraId="7C58B39A" w14:textId="77777777" w:rsidR="00626ADC" w:rsidRPr="00BF7578" w:rsidRDefault="00626ADC" w:rsidP="00CE7FBF">
            <w:pPr>
              <w:spacing w:after="120" w:line="240" w:lineRule="auto"/>
              <w:rPr>
                <w:rFonts w:ascii="Arial Narrow" w:hAnsi="Arial Narrow"/>
                <w:b/>
              </w:rPr>
            </w:pPr>
            <w:r w:rsidRPr="00BF7578">
              <w:rPr>
                <w:rFonts w:ascii="Arial Narrow" w:hAnsi="Arial Narrow"/>
                <w:b/>
              </w:rPr>
              <w:t>HIV-1 Antiviral Agents</w:t>
            </w:r>
          </w:p>
        </w:tc>
      </w:tr>
      <w:tr w:rsidR="00626ADC" w:rsidRPr="00D4563C" w14:paraId="1F70D168" w14:textId="77777777" w:rsidTr="0034449A">
        <w:tc>
          <w:tcPr>
            <w:tcW w:w="2235" w:type="dxa"/>
          </w:tcPr>
          <w:p w14:paraId="79BB3789" w14:textId="77777777" w:rsidR="00626ADC" w:rsidRPr="007E2A9C" w:rsidRDefault="00626ADC" w:rsidP="007E2A9C">
            <w:pPr>
              <w:spacing w:after="120" w:line="240" w:lineRule="auto"/>
              <w:rPr>
                <w:rFonts w:ascii="Arial Narrow" w:hAnsi="Arial Narrow"/>
                <w:sz w:val="20"/>
                <w:szCs w:val="20"/>
                <w:lang w:val="fr-FR"/>
              </w:rPr>
            </w:pPr>
            <w:r w:rsidRPr="007E2A9C">
              <w:rPr>
                <w:rFonts w:ascii="Arial Narrow" w:hAnsi="Arial Narrow"/>
                <w:sz w:val="20"/>
                <w:szCs w:val="20"/>
                <w:lang w:val="fr-FR"/>
              </w:rPr>
              <w:t>Non-</w:t>
            </w:r>
            <w:proofErr w:type="spellStart"/>
            <w:r w:rsidRPr="007E2A9C">
              <w:rPr>
                <w:rFonts w:ascii="Arial Narrow" w:hAnsi="Arial Narrow"/>
                <w:sz w:val="20"/>
                <w:szCs w:val="20"/>
                <w:lang w:val="fr-FR"/>
              </w:rPr>
              <w:t>nucleoside</w:t>
            </w:r>
            <w:proofErr w:type="spellEnd"/>
            <w:r w:rsidRPr="007E2A9C">
              <w:rPr>
                <w:rFonts w:ascii="Arial Narrow" w:hAnsi="Arial Narrow"/>
                <w:sz w:val="20"/>
                <w:szCs w:val="20"/>
                <w:lang w:val="fr-FR"/>
              </w:rPr>
              <w:t xml:space="preserve"> Reverse Transcriptase </w:t>
            </w:r>
            <w:proofErr w:type="spellStart"/>
            <w:proofErr w:type="gramStart"/>
            <w:r w:rsidRPr="007E2A9C">
              <w:rPr>
                <w:rFonts w:ascii="Arial Narrow" w:hAnsi="Arial Narrow"/>
                <w:sz w:val="20"/>
                <w:szCs w:val="20"/>
                <w:lang w:val="fr-FR"/>
              </w:rPr>
              <w:t>Inhibitor</w:t>
            </w:r>
            <w:proofErr w:type="spellEnd"/>
            <w:r w:rsidRPr="007E2A9C">
              <w:rPr>
                <w:rFonts w:ascii="Arial Narrow" w:hAnsi="Arial Narrow"/>
                <w:sz w:val="20"/>
                <w:szCs w:val="20"/>
                <w:lang w:val="fr-FR"/>
              </w:rPr>
              <w:t>:</w:t>
            </w:r>
            <w:proofErr w:type="gramEnd"/>
            <w:r w:rsidRPr="007E2A9C">
              <w:rPr>
                <w:rFonts w:ascii="Arial Narrow" w:hAnsi="Arial Narrow"/>
                <w:sz w:val="20"/>
                <w:szCs w:val="20"/>
                <w:lang w:val="fr-FR"/>
              </w:rPr>
              <w:br/>
            </w:r>
            <w:proofErr w:type="spellStart"/>
            <w:r w:rsidRPr="007E2A9C">
              <w:rPr>
                <w:rFonts w:ascii="Arial Narrow" w:hAnsi="Arial Narrow"/>
                <w:sz w:val="20"/>
                <w:szCs w:val="20"/>
                <w:lang w:val="fr-FR"/>
              </w:rPr>
              <w:t>Etravirine</w:t>
            </w:r>
            <w:proofErr w:type="spellEnd"/>
            <w:r w:rsidRPr="007E2A9C">
              <w:rPr>
                <w:rFonts w:ascii="Arial Narrow" w:hAnsi="Arial Narrow"/>
                <w:sz w:val="20"/>
                <w:szCs w:val="20"/>
                <w:lang w:val="fr-FR"/>
              </w:rPr>
              <w:t xml:space="preserve"> (ETR)</w:t>
            </w:r>
            <w:r w:rsidRPr="007E2A9C">
              <w:rPr>
                <w:rFonts w:ascii="Arial Narrow" w:hAnsi="Arial Narrow"/>
                <w:sz w:val="20"/>
                <w:szCs w:val="20"/>
                <w:lang w:val="en-GB"/>
              </w:rPr>
              <w:t xml:space="preserve"> without boosted protease inhibitors</w:t>
            </w:r>
          </w:p>
        </w:tc>
        <w:tc>
          <w:tcPr>
            <w:tcW w:w="2764" w:type="dxa"/>
          </w:tcPr>
          <w:p w14:paraId="1E4E7EEE"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71%</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52%</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88%</w:t>
            </w:r>
          </w:p>
          <w:p w14:paraId="44682330"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ETR </w:t>
            </w:r>
            <w:r w:rsidRPr="007E2A9C">
              <w:rPr>
                <w:rFonts w:ascii="Arial Narrow" w:hAnsi="Arial Narrow"/>
                <w:sz w:val="20"/>
                <w:szCs w:val="20"/>
              </w:rPr>
              <w:sym w:font="Symbol" w:char="F0AB"/>
            </w:r>
          </w:p>
        </w:tc>
        <w:tc>
          <w:tcPr>
            <w:tcW w:w="3863" w:type="dxa"/>
          </w:tcPr>
          <w:p w14:paraId="4494AC59" w14:textId="17335329" w:rsidR="004E2D77" w:rsidRDefault="00626ADC" w:rsidP="007E2A9C">
            <w:pPr>
              <w:spacing w:after="120" w:line="240" w:lineRule="auto"/>
              <w:rPr>
                <w:rFonts w:ascii="Arial Narrow" w:hAnsi="Arial Narrow"/>
                <w:sz w:val="20"/>
                <w:szCs w:val="20"/>
                <w:lang w:val="en-GB"/>
              </w:rPr>
            </w:pPr>
            <w:r w:rsidRPr="007E2A9C">
              <w:rPr>
                <w:rFonts w:ascii="Arial Narrow" w:hAnsi="Arial Narrow"/>
                <w:sz w:val="20"/>
                <w:szCs w:val="20"/>
                <w:lang w:val="en-GB"/>
              </w:rPr>
              <w:t>Etravirine without boosted protease inhibitors decreased plasma dolutegravir concentration. The recommended dose of dolutegravir</w:t>
            </w:r>
            <w:r w:rsidR="00561773">
              <w:rPr>
                <w:rFonts w:ascii="Arial Narrow" w:hAnsi="Arial Narrow"/>
                <w:sz w:val="20"/>
                <w:szCs w:val="20"/>
                <w:lang w:val="en-GB"/>
              </w:rPr>
              <w:t xml:space="preserve"> should be given</w:t>
            </w:r>
            <w:r w:rsidRPr="007E2A9C">
              <w:rPr>
                <w:rFonts w:ascii="Arial Narrow" w:hAnsi="Arial Narrow"/>
                <w:sz w:val="20"/>
                <w:szCs w:val="20"/>
                <w:lang w:val="en-GB"/>
              </w:rPr>
              <w:t xml:space="preserve"> twice daily when co-administered with etravirine without boosted protease inhibitors.</w:t>
            </w:r>
          </w:p>
          <w:p w14:paraId="6A1AC126" w14:textId="72EB3672" w:rsidR="00626ADC" w:rsidRPr="007E2A9C" w:rsidRDefault="00626ADC" w:rsidP="007E2A9C">
            <w:pPr>
              <w:spacing w:after="120" w:line="240" w:lineRule="auto"/>
              <w:rPr>
                <w:rFonts w:ascii="Arial Narrow" w:hAnsi="Arial Narrow"/>
                <w:sz w:val="20"/>
                <w:szCs w:val="20"/>
                <w:shd w:val="clear" w:color="auto" w:fill="BFBFBF"/>
              </w:rPr>
            </w:pPr>
            <w:r w:rsidRPr="007E2A9C">
              <w:rPr>
                <w:rFonts w:ascii="Arial Narrow" w:hAnsi="Arial Narrow"/>
                <w:sz w:val="20"/>
                <w:szCs w:val="20"/>
                <w:lang w:val="en-GB"/>
              </w:rPr>
              <w:t>Dolutegravir should not be used with etravirine without co-administration of atazanavir/ritonavir,</w:t>
            </w:r>
            <w:r w:rsidR="00A24A45" w:rsidRPr="007E2A9C">
              <w:rPr>
                <w:rFonts w:ascii="Arial Narrow" w:hAnsi="Arial Narrow"/>
                <w:sz w:val="20"/>
                <w:szCs w:val="20"/>
                <w:lang w:val="en-GB"/>
              </w:rPr>
              <w:t xml:space="preserve"> </w:t>
            </w:r>
            <w:r w:rsidRPr="007E2A9C">
              <w:rPr>
                <w:rFonts w:ascii="Arial Narrow" w:hAnsi="Arial Narrow"/>
                <w:sz w:val="20"/>
                <w:szCs w:val="20"/>
                <w:lang w:val="en-GB"/>
              </w:rPr>
              <w:t>darunavir/ritonavir or lopinavir/riton</w:t>
            </w:r>
            <w:r w:rsidR="00A24A45" w:rsidRPr="007E2A9C">
              <w:rPr>
                <w:rFonts w:ascii="Arial Narrow" w:hAnsi="Arial Narrow"/>
                <w:sz w:val="20"/>
                <w:szCs w:val="20"/>
                <w:lang w:val="en-GB"/>
              </w:rPr>
              <w:t>avir in INI-resistant patients.</w:t>
            </w:r>
          </w:p>
        </w:tc>
      </w:tr>
      <w:tr w:rsidR="00626ADC" w:rsidRPr="00D4563C" w14:paraId="12F56EDE" w14:textId="77777777" w:rsidTr="0034449A">
        <w:tc>
          <w:tcPr>
            <w:tcW w:w="2235" w:type="dxa"/>
          </w:tcPr>
          <w:p w14:paraId="461E4D43"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Protease Inhibitor:</w:t>
            </w:r>
            <w:r w:rsidRPr="007E2A9C">
              <w:rPr>
                <w:rFonts w:ascii="Arial Narrow" w:hAnsi="Arial Narrow"/>
                <w:sz w:val="20"/>
                <w:szCs w:val="20"/>
              </w:rPr>
              <w:br/>
              <w:t>Lopinavir/ritonavir + Etravirine</w:t>
            </w:r>
          </w:p>
        </w:tc>
        <w:tc>
          <w:tcPr>
            <w:tcW w:w="2764" w:type="dxa"/>
          </w:tcPr>
          <w:p w14:paraId="1386CBF3"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B"/>
            </w:r>
            <w:r w:rsidRPr="007E2A9C">
              <w:rPr>
                <w:rFonts w:ascii="Arial Narrow" w:hAnsi="Arial Narrow"/>
                <w:sz w:val="20"/>
                <w:szCs w:val="20"/>
              </w:rPr>
              <w:br/>
              <w:t xml:space="preserve">AUC </w:t>
            </w:r>
            <w:r w:rsidRPr="007E2A9C">
              <w:rPr>
                <w:rFonts w:ascii="Arial Narrow" w:hAnsi="Arial Narrow"/>
                <w:sz w:val="20"/>
                <w:szCs w:val="20"/>
              </w:rPr>
              <w:sym w:font="Symbol" w:char="F0AD"/>
            </w:r>
            <w:r w:rsidRPr="007E2A9C">
              <w:rPr>
                <w:rFonts w:ascii="Arial Narrow" w:hAnsi="Arial Narrow"/>
                <w:sz w:val="20"/>
                <w:szCs w:val="20"/>
              </w:rPr>
              <w:t xml:space="preserve"> 11%</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D"/>
            </w:r>
            <w:r w:rsidRPr="007E2A9C">
              <w:rPr>
                <w:rFonts w:ascii="Arial Narrow" w:hAnsi="Arial Narrow"/>
                <w:sz w:val="20"/>
                <w:szCs w:val="20"/>
              </w:rPr>
              <w:t xml:space="preserve"> 7%</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D"/>
            </w:r>
            <w:r w:rsidRPr="007E2A9C">
              <w:rPr>
                <w:rFonts w:ascii="Arial Narrow" w:hAnsi="Arial Narrow"/>
                <w:sz w:val="20"/>
                <w:szCs w:val="20"/>
              </w:rPr>
              <w:t xml:space="preserve"> 28%</w:t>
            </w:r>
          </w:p>
          <w:p w14:paraId="354ADD21"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LPV </w:t>
            </w:r>
            <w:r w:rsidRPr="007E2A9C">
              <w:rPr>
                <w:rFonts w:ascii="Arial Narrow" w:hAnsi="Arial Narrow"/>
                <w:sz w:val="20"/>
                <w:szCs w:val="20"/>
              </w:rPr>
              <w:sym w:font="Symbol" w:char="F0AB"/>
            </w:r>
            <w:r w:rsidRPr="007E2A9C">
              <w:rPr>
                <w:rFonts w:ascii="Arial Narrow" w:hAnsi="Arial Narrow"/>
                <w:sz w:val="20"/>
                <w:szCs w:val="20"/>
              </w:rPr>
              <w:br/>
              <w:t xml:space="preserve">RTV </w:t>
            </w:r>
            <w:r w:rsidRPr="007E2A9C">
              <w:rPr>
                <w:rFonts w:ascii="Arial Narrow" w:hAnsi="Arial Narrow"/>
                <w:sz w:val="20"/>
                <w:szCs w:val="20"/>
              </w:rPr>
              <w:sym w:font="Symbol" w:char="F0AB"/>
            </w:r>
          </w:p>
        </w:tc>
        <w:tc>
          <w:tcPr>
            <w:tcW w:w="3863" w:type="dxa"/>
          </w:tcPr>
          <w:p w14:paraId="14120924"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Lopinavir/ritonavir and etravirine</w:t>
            </w:r>
            <w:r w:rsidRPr="007E2A9C" w:rsidDel="0034228F">
              <w:rPr>
                <w:rFonts w:ascii="Arial Narrow" w:hAnsi="Arial Narrow"/>
                <w:sz w:val="20"/>
                <w:szCs w:val="20"/>
              </w:rPr>
              <w:t xml:space="preserve"> </w:t>
            </w:r>
            <w:r w:rsidRPr="007E2A9C">
              <w:rPr>
                <w:rFonts w:ascii="Arial Narrow" w:hAnsi="Arial Narrow"/>
                <w:sz w:val="20"/>
                <w:szCs w:val="20"/>
              </w:rPr>
              <w:t>did not change dolutegravir plasma concentration to a clinically relevant extent.</w:t>
            </w:r>
            <w:r w:rsidR="00825890" w:rsidRPr="007E2A9C">
              <w:rPr>
                <w:rFonts w:ascii="Arial Narrow" w:hAnsi="Arial Narrow"/>
                <w:sz w:val="20"/>
                <w:szCs w:val="20"/>
              </w:rPr>
              <w:t xml:space="preserve"> </w:t>
            </w:r>
            <w:r w:rsidRPr="007E2A9C">
              <w:rPr>
                <w:rFonts w:ascii="Arial Narrow" w:hAnsi="Arial Narrow"/>
                <w:sz w:val="20"/>
                <w:szCs w:val="20"/>
              </w:rPr>
              <w:t>No dose adjustment is necessary.</w:t>
            </w:r>
          </w:p>
        </w:tc>
      </w:tr>
      <w:tr w:rsidR="00626ADC" w:rsidRPr="00D4563C" w14:paraId="140518BA" w14:textId="77777777" w:rsidTr="0034449A">
        <w:tc>
          <w:tcPr>
            <w:tcW w:w="2235" w:type="dxa"/>
          </w:tcPr>
          <w:p w14:paraId="6CAAE462"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Protease Inhibitor:</w:t>
            </w:r>
            <w:r w:rsidRPr="007E2A9C">
              <w:rPr>
                <w:rFonts w:ascii="Arial Narrow" w:hAnsi="Arial Narrow"/>
                <w:sz w:val="20"/>
                <w:szCs w:val="20"/>
              </w:rPr>
              <w:br/>
              <w:t>Darunavir/ritonavir + Etravirine</w:t>
            </w:r>
          </w:p>
        </w:tc>
        <w:tc>
          <w:tcPr>
            <w:tcW w:w="2764" w:type="dxa"/>
          </w:tcPr>
          <w:p w14:paraId="7308641B"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25%</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12%</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36%</w:t>
            </w:r>
          </w:p>
          <w:p w14:paraId="23F55E37"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DRV </w:t>
            </w:r>
            <w:r w:rsidRPr="007E2A9C">
              <w:rPr>
                <w:rFonts w:ascii="Arial Narrow" w:hAnsi="Arial Narrow"/>
                <w:sz w:val="20"/>
                <w:szCs w:val="20"/>
              </w:rPr>
              <w:sym w:font="Symbol" w:char="F0AB"/>
            </w:r>
            <w:r w:rsidRPr="007E2A9C">
              <w:rPr>
                <w:rFonts w:ascii="Arial Narrow" w:hAnsi="Arial Narrow"/>
                <w:sz w:val="20"/>
                <w:szCs w:val="20"/>
              </w:rPr>
              <w:br/>
              <w:t xml:space="preserve">RTV </w:t>
            </w:r>
            <w:r w:rsidRPr="007E2A9C">
              <w:rPr>
                <w:rFonts w:ascii="Arial Narrow" w:hAnsi="Arial Narrow"/>
                <w:sz w:val="20"/>
                <w:szCs w:val="20"/>
              </w:rPr>
              <w:sym w:font="Symbol" w:char="F0AB"/>
            </w:r>
          </w:p>
        </w:tc>
        <w:tc>
          <w:tcPr>
            <w:tcW w:w="3863" w:type="dxa"/>
          </w:tcPr>
          <w:p w14:paraId="172C27F1"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Darunavir/ritonavir and etravirine</w:t>
            </w:r>
            <w:r w:rsidRPr="007E2A9C" w:rsidDel="0034228F">
              <w:rPr>
                <w:rFonts w:ascii="Arial Narrow" w:hAnsi="Arial Narrow"/>
                <w:sz w:val="20"/>
                <w:szCs w:val="20"/>
              </w:rPr>
              <w:t xml:space="preserve"> </w:t>
            </w:r>
            <w:r w:rsidRPr="007E2A9C">
              <w:rPr>
                <w:rFonts w:ascii="Arial Narrow" w:hAnsi="Arial Narrow"/>
                <w:sz w:val="20"/>
                <w:szCs w:val="20"/>
              </w:rPr>
              <w:t>did not change dolutegravir plasma concentration to a clinically relevant extent.</w:t>
            </w:r>
            <w:r w:rsidR="00825890" w:rsidRPr="007E2A9C">
              <w:rPr>
                <w:rFonts w:ascii="Arial Narrow" w:hAnsi="Arial Narrow"/>
                <w:sz w:val="20"/>
                <w:szCs w:val="20"/>
              </w:rPr>
              <w:t xml:space="preserve"> </w:t>
            </w:r>
            <w:r w:rsidRPr="007E2A9C">
              <w:rPr>
                <w:rFonts w:ascii="Arial Narrow" w:hAnsi="Arial Narrow"/>
                <w:sz w:val="20"/>
                <w:szCs w:val="20"/>
              </w:rPr>
              <w:t>No dose adjustment is necessary.</w:t>
            </w:r>
          </w:p>
        </w:tc>
      </w:tr>
      <w:tr w:rsidR="00626ADC" w:rsidRPr="00D4563C" w14:paraId="54C3D016" w14:textId="77777777" w:rsidTr="0034449A">
        <w:tc>
          <w:tcPr>
            <w:tcW w:w="2235" w:type="dxa"/>
          </w:tcPr>
          <w:p w14:paraId="229258AF"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Non-nucleoside Reverse Transcriptase Inhibitor:</w:t>
            </w:r>
            <w:r w:rsidRPr="007E2A9C">
              <w:rPr>
                <w:rFonts w:ascii="Arial Narrow" w:hAnsi="Arial Narrow"/>
                <w:sz w:val="20"/>
                <w:szCs w:val="20"/>
              </w:rPr>
              <w:br/>
              <w:t>Efavirenz (EFV)</w:t>
            </w:r>
          </w:p>
          <w:p w14:paraId="6361057E" w14:textId="77777777" w:rsidR="00626ADC" w:rsidRPr="007E2A9C" w:rsidRDefault="00626ADC" w:rsidP="007E2A9C">
            <w:pPr>
              <w:spacing w:after="120" w:line="240" w:lineRule="auto"/>
              <w:rPr>
                <w:rFonts w:ascii="Arial Narrow" w:hAnsi="Arial Narrow"/>
                <w:sz w:val="20"/>
                <w:szCs w:val="20"/>
              </w:rPr>
            </w:pPr>
          </w:p>
        </w:tc>
        <w:tc>
          <w:tcPr>
            <w:tcW w:w="2764" w:type="dxa"/>
          </w:tcPr>
          <w:p w14:paraId="1C1C9D66"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57%</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39%</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75%</w:t>
            </w:r>
          </w:p>
          <w:p w14:paraId="10CF17BE"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lastRenderedPageBreak/>
              <w:t xml:space="preserve">EFV </w:t>
            </w:r>
            <w:r w:rsidRPr="007E2A9C">
              <w:rPr>
                <w:rFonts w:ascii="Arial Narrow" w:hAnsi="Arial Narrow"/>
                <w:sz w:val="20"/>
                <w:szCs w:val="20"/>
              </w:rPr>
              <w:sym w:font="Symbol" w:char="F0AB"/>
            </w:r>
          </w:p>
        </w:tc>
        <w:tc>
          <w:tcPr>
            <w:tcW w:w="3863" w:type="dxa"/>
          </w:tcPr>
          <w:p w14:paraId="73CE84A6" w14:textId="62C396B9"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lang w:val="en-GB"/>
              </w:rPr>
              <w:lastRenderedPageBreak/>
              <w:t xml:space="preserve">Efavirenz decreased dolutegravir plasma concentrations. The recommended dose of dolutegravir </w:t>
            </w:r>
            <w:r w:rsidR="00561773">
              <w:rPr>
                <w:rFonts w:ascii="Arial Narrow" w:hAnsi="Arial Narrow"/>
                <w:sz w:val="20"/>
                <w:szCs w:val="20"/>
                <w:lang w:val="en-GB"/>
              </w:rPr>
              <w:t>should be given</w:t>
            </w:r>
            <w:r w:rsidRPr="007E2A9C">
              <w:rPr>
                <w:rFonts w:ascii="Arial Narrow" w:hAnsi="Arial Narrow"/>
                <w:sz w:val="20"/>
                <w:szCs w:val="20"/>
                <w:lang w:val="en-GB"/>
              </w:rPr>
              <w:t xml:space="preserve"> twice daily when co-administered with efavirenz. Alternative </w:t>
            </w:r>
            <w:r w:rsidRPr="007E2A9C">
              <w:rPr>
                <w:rFonts w:ascii="Arial Narrow" w:hAnsi="Arial Narrow"/>
                <w:sz w:val="20"/>
                <w:szCs w:val="20"/>
                <w:lang w:val="en-GB"/>
              </w:rPr>
              <w:lastRenderedPageBreak/>
              <w:t>combinations that do not include efavirenz should be used where possible in INI-resistant patients.</w:t>
            </w:r>
          </w:p>
        </w:tc>
      </w:tr>
      <w:tr w:rsidR="00626ADC" w:rsidRPr="00D4563C" w14:paraId="460E91CF" w14:textId="77777777" w:rsidTr="0034449A">
        <w:tc>
          <w:tcPr>
            <w:tcW w:w="2235" w:type="dxa"/>
          </w:tcPr>
          <w:p w14:paraId="7712B887"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lastRenderedPageBreak/>
              <w:t>Non-nucleoside Reverse Transcriptase Inhibitor:</w:t>
            </w:r>
            <w:r w:rsidRPr="007E2A9C">
              <w:rPr>
                <w:rFonts w:ascii="Arial Narrow" w:hAnsi="Arial Narrow"/>
                <w:sz w:val="20"/>
                <w:szCs w:val="20"/>
              </w:rPr>
              <w:br/>
              <w:t>Nevirapine</w:t>
            </w:r>
          </w:p>
          <w:p w14:paraId="243DF966" w14:textId="77777777" w:rsidR="00626ADC" w:rsidRPr="007E2A9C" w:rsidRDefault="00626ADC" w:rsidP="007E2A9C">
            <w:pPr>
              <w:spacing w:after="120" w:line="240" w:lineRule="auto"/>
              <w:rPr>
                <w:rFonts w:ascii="Arial Narrow" w:hAnsi="Arial Narrow"/>
                <w:sz w:val="20"/>
                <w:szCs w:val="20"/>
              </w:rPr>
            </w:pPr>
          </w:p>
        </w:tc>
        <w:tc>
          <w:tcPr>
            <w:tcW w:w="2764" w:type="dxa"/>
          </w:tcPr>
          <w:p w14:paraId="78957653"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p>
        </w:tc>
        <w:tc>
          <w:tcPr>
            <w:tcW w:w="3863" w:type="dxa"/>
          </w:tcPr>
          <w:p w14:paraId="18E937CE"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lang w:val="en-GB"/>
              </w:rPr>
              <w:t xml:space="preserve">Co-administration with nevirapine has the potential to decrease dolutegravir plasma concentration due to enzyme induction and has not been studied. Effect of nevirapine on dolutegravir exposure is likely </w:t>
            </w:r>
            <w:proofErr w:type="gramStart"/>
            <w:r w:rsidRPr="007E2A9C">
              <w:rPr>
                <w:rFonts w:ascii="Arial Narrow" w:hAnsi="Arial Narrow"/>
                <w:sz w:val="20"/>
                <w:szCs w:val="20"/>
                <w:lang w:val="en-GB"/>
              </w:rPr>
              <w:t>similar to</w:t>
            </w:r>
            <w:proofErr w:type="gramEnd"/>
            <w:r w:rsidRPr="007E2A9C">
              <w:rPr>
                <w:rFonts w:ascii="Arial Narrow" w:hAnsi="Arial Narrow"/>
                <w:sz w:val="20"/>
                <w:szCs w:val="20"/>
                <w:lang w:val="en-GB"/>
              </w:rPr>
              <w:t xml:space="preserve"> or less than that of efavirenz. Alternative combinations that do not include nevirapine should be used where possible</w:t>
            </w:r>
            <w:r w:rsidR="00825890" w:rsidRPr="007E2A9C">
              <w:rPr>
                <w:rFonts w:ascii="Arial Narrow" w:hAnsi="Arial Narrow"/>
                <w:sz w:val="20"/>
                <w:szCs w:val="20"/>
                <w:lang w:val="en-GB"/>
              </w:rPr>
              <w:t xml:space="preserve"> </w:t>
            </w:r>
            <w:r w:rsidRPr="007E2A9C">
              <w:rPr>
                <w:rFonts w:ascii="Arial Narrow" w:hAnsi="Arial Narrow"/>
                <w:sz w:val="20"/>
                <w:szCs w:val="20"/>
                <w:lang w:val="en-GB"/>
              </w:rPr>
              <w:t>in INI-resistant patients.</w:t>
            </w:r>
          </w:p>
        </w:tc>
      </w:tr>
      <w:tr w:rsidR="00626ADC" w:rsidRPr="00D4563C" w14:paraId="0CC35727" w14:textId="77777777" w:rsidTr="0034449A">
        <w:tc>
          <w:tcPr>
            <w:tcW w:w="2235" w:type="dxa"/>
          </w:tcPr>
          <w:p w14:paraId="37FC7FFA"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Protease Inhibitor (PI):</w:t>
            </w:r>
            <w:r w:rsidRPr="007E2A9C">
              <w:rPr>
                <w:rFonts w:ascii="Arial Narrow" w:hAnsi="Arial Narrow"/>
                <w:sz w:val="20"/>
                <w:szCs w:val="20"/>
              </w:rPr>
              <w:br/>
              <w:t>Atazanavir (ATV)</w:t>
            </w:r>
          </w:p>
        </w:tc>
        <w:tc>
          <w:tcPr>
            <w:tcW w:w="2764" w:type="dxa"/>
          </w:tcPr>
          <w:p w14:paraId="6CC66220"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D"/>
            </w:r>
            <w:r w:rsidRPr="007E2A9C">
              <w:rPr>
                <w:rFonts w:ascii="Arial Narrow" w:hAnsi="Arial Narrow"/>
                <w:sz w:val="20"/>
                <w:szCs w:val="20"/>
              </w:rPr>
              <w:br/>
              <w:t xml:space="preserve">AUC </w:t>
            </w:r>
            <w:r w:rsidRPr="007E2A9C">
              <w:rPr>
                <w:rFonts w:ascii="Arial Narrow" w:hAnsi="Arial Narrow"/>
                <w:sz w:val="20"/>
                <w:szCs w:val="20"/>
              </w:rPr>
              <w:sym w:font="Symbol" w:char="F0AD"/>
            </w:r>
            <w:r w:rsidRPr="007E2A9C">
              <w:rPr>
                <w:rFonts w:ascii="Arial Narrow" w:hAnsi="Arial Narrow"/>
                <w:sz w:val="20"/>
                <w:szCs w:val="20"/>
              </w:rPr>
              <w:t xml:space="preserve"> 91%</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D"/>
            </w:r>
            <w:r w:rsidRPr="007E2A9C">
              <w:rPr>
                <w:rFonts w:ascii="Arial Narrow" w:hAnsi="Arial Narrow"/>
                <w:sz w:val="20"/>
                <w:szCs w:val="20"/>
              </w:rPr>
              <w:t xml:space="preserve"> 50%</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D"/>
            </w:r>
            <w:r w:rsidRPr="007E2A9C">
              <w:rPr>
                <w:rFonts w:ascii="Arial Narrow" w:hAnsi="Arial Narrow"/>
                <w:sz w:val="20"/>
                <w:szCs w:val="20"/>
              </w:rPr>
              <w:t xml:space="preserve"> 180%</w:t>
            </w:r>
            <w:r w:rsidRPr="007E2A9C">
              <w:rPr>
                <w:rFonts w:ascii="Arial Narrow" w:hAnsi="Arial Narrow"/>
                <w:sz w:val="20"/>
                <w:szCs w:val="20"/>
              </w:rPr>
              <w:br/>
              <w:t xml:space="preserve">ATV </w:t>
            </w:r>
            <w:r w:rsidRPr="007E2A9C">
              <w:rPr>
                <w:rFonts w:ascii="Arial Narrow" w:hAnsi="Arial Narrow"/>
                <w:sz w:val="20"/>
                <w:szCs w:val="20"/>
              </w:rPr>
              <w:sym w:font="Symbol" w:char="F0AB"/>
            </w:r>
            <w:r w:rsidRPr="007E2A9C">
              <w:rPr>
                <w:rFonts w:ascii="Arial Narrow" w:hAnsi="Arial Narrow"/>
                <w:sz w:val="20"/>
                <w:szCs w:val="20"/>
              </w:rPr>
              <w:br/>
            </w:r>
          </w:p>
        </w:tc>
        <w:tc>
          <w:tcPr>
            <w:tcW w:w="3863" w:type="dxa"/>
          </w:tcPr>
          <w:p w14:paraId="11AF4A55"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lang w:val="en-GB"/>
              </w:rPr>
              <w:t>Atazanavir increased dolutegravir plasma concentration.</w:t>
            </w:r>
            <w:r w:rsidR="00825890" w:rsidRPr="007E2A9C">
              <w:rPr>
                <w:rFonts w:ascii="Arial Narrow" w:hAnsi="Arial Narrow"/>
                <w:sz w:val="20"/>
                <w:szCs w:val="20"/>
                <w:lang w:val="en-GB"/>
              </w:rPr>
              <w:t xml:space="preserve"> </w:t>
            </w:r>
            <w:r w:rsidRPr="007E2A9C">
              <w:rPr>
                <w:rFonts w:ascii="Arial Narrow" w:hAnsi="Arial Narrow"/>
                <w:sz w:val="20"/>
                <w:szCs w:val="20"/>
                <w:lang w:val="en-GB"/>
              </w:rPr>
              <w:t>No dose adjustment is necessary.</w:t>
            </w:r>
          </w:p>
        </w:tc>
      </w:tr>
      <w:tr w:rsidR="00626ADC" w:rsidRPr="00D4563C" w14:paraId="30470D05" w14:textId="77777777" w:rsidTr="0034449A">
        <w:tc>
          <w:tcPr>
            <w:tcW w:w="2235" w:type="dxa"/>
          </w:tcPr>
          <w:p w14:paraId="3CF33674"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Protease Inhibitor:</w:t>
            </w:r>
            <w:r w:rsidRPr="007E2A9C">
              <w:rPr>
                <w:rFonts w:ascii="Arial Narrow" w:hAnsi="Arial Narrow"/>
                <w:sz w:val="20"/>
                <w:szCs w:val="20"/>
              </w:rPr>
              <w:br/>
              <w:t>Atazanavir/ritonavir</w:t>
            </w:r>
          </w:p>
          <w:p w14:paraId="597CDE53"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(ATV/RTV)</w:t>
            </w:r>
          </w:p>
        </w:tc>
        <w:tc>
          <w:tcPr>
            <w:tcW w:w="2764" w:type="dxa"/>
          </w:tcPr>
          <w:p w14:paraId="2669FC5B"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D"/>
            </w:r>
            <w:r w:rsidRPr="007E2A9C">
              <w:rPr>
                <w:rFonts w:ascii="Arial Narrow" w:hAnsi="Arial Narrow"/>
                <w:sz w:val="20"/>
                <w:szCs w:val="20"/>
              </w:rPr>
              <w:br/>
              <w:t xml:space="preserve">AUC </w:t>
            </w:r>
            <w:r w:rsidRPr="007E2A9C">
              <w:rPr>
                <w:rFonts w:ascii="Arial Narrow" w:hAnsi="Arial Narrow"/>
                <w:sz w:val="20"/>
                <w:szCs w:val="20"/>
              </w:rPr>
              <w:sym w:font="Symbol" w:char="F0AD"/>
            </w:r>
            <w:r w:rsidRPr="007E2A9C">
              <w:rPr>
                <w:rFonts w:ascii="Arial Narrow" w:hAnsi="Arial Narrow"/>
                <w:sz w:val="20"/>
                <w:szCs w:val="20"/>
              </w:rPr>
              <w:t xml:space="preserve"> 62%</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D"/>
            </w:r>
            <w:r w:rsidRPr="007E2A9C">
              <w:rPr>
                <w:rFonts w:ascii="Arial Narrow" w:hAnsi="Arial Narrow"/>
                <w:sz w:val="20"/>
                <w:szCs w:val="20"/>
              </w:rPr>
              <w:t xml:space="preserve"> 34%</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D"/>
            </w:r>
            <w:r w:rsidRPr="007E2A9C">
              <w:rPr>
                <w:rFonts w:ascii="Arial Narrow" w:hAnsi="Arial Narrow"/>
                <w:sz w:val="20"/>
                <w:szCs w:val="20"/>
              </w:rPr>
              <w:t xml:space="preserve"> 121%</w:t>
            </w:r>
          </w:p>
          <w:p w14:paraId="4B02FF9B"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ATV </w:t>
            </w:r>
            <w:r w:rsidRPr="007E2A9C">
              <w:rPr>
                <w:rFonts w:ascii="Arial Narrow" w:hAnsi="Arial Narrow"/>
                <w:sz w:val="20"/>
                <w:szCs w:val="20"/>
              </w:rPr>
              <w:sym w:font="Symbol" w:char="F0AB"/>
            </w:r>
            <w:r w:rsidRPr="007E2A9C">
              <w:rPr>
                <w:rFonts w:ascii="Arial Narrow" w:hAnsi="Arial Narrow"/>
                <w:sz w:val="20"/>
                <w:szCs w:val="20"/>
              </w:rPr>
              <w:br/>
              <w:t xml:space="preserve">RTV </w:t>
            </w:r>
            <w:r w:rsidRPr="007E2A9C">
              <w:rPr>
                <w:rFonts w:ascii="Arial Narrow" w:hAnsi="Arial Narrow"/>
                <w:sz w:val="20"/>
                <w:szCs w:val="20"/>
              </w:rPr>
              <w:sym w:font="Symbol" w:char="F0AB"/>
            </w:r>
          </w:p>
        </w:tc>
        <w:tc>
          <w:tcPr>
            <w:tcW w:w="3863" w:type="dxa"/>
          </w:tcPr>
          <w:p w14:paraId="4D14C143"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lang w:val="en-GB"/>
              </w:rPr>
              <w:t>Atazanavir/ritonavir increased dolutegravir plasma concentration. No dose adjustment is necessary.</w:t>
            </w:r>
          </w:p>
        </w:tc>
      </w:tr>
      <w:tr w:rsidR="00626ADC" w:rsidRPr="00D4563C" w14:paraId="5E572E31" w14:textId="77777777" w:rsidTr="0034449A">
        <w:tc>
          <w:tcPr>
            <w:tcW w:w="2235" w:type="dxa"/>
          </w:tcPr>
          <w:p w14:paraId="30CB3EF3"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Protease Inhibitor:</w:t>
            </w:r>
            <w:r w:rsidRPr="007E2A9C">
              <w:rPr>
                <w:rFonts w:ascii="Arial Narrow" w:hAnsi="Arial Narrow"/>
                <w:sz w:val="20"/>
                <w:szCs w:val="20"/>
              </w:rPr>
              <w:br/>
              <w:t>Tipranavir/ritonavir (TPV/RTV)</w:t>
            </w:r>
          </w:p>
        </w:tc>
        <w:tc>
          <w:tcPr>
            <w:tcW w:w="2764" w:type="dxa"/>
          </w:tcPr>
          <w:p w14:paraId="003ACAB8" w14:textId="77777777" w:rsidR="00626ADC" w:rsidRPr="007E2A9C" w:rsidRDefault="00626ADC" w:rsidP="007E2A9C">
            <w:pPr>
              <w:spacing w:after="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59%</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47%</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76%</w:t>
            </w:r>
            <w:r w:rsidRPr="007E2A9C">
              <w:rPr>
                <w:rFonts w:ascii="Arial Narrow" w:hAnsi="Arial Narrow"/>
                <w:sz w:val="20"/>
                <w:szCs w:val="20"/>
              </w:rPr>
              <w:br/>
            </w:r>
            <w:r w:rsidRPr="007E2A9C">
              <w:rPr>
                <w:rFonts w:ascii="Arial Narrow" w:hAnsi="Arial Narrow"/>
                <w:sz w:val="20"/>
                <w:szCs w:val="20"/>
              </w:rPr>
              <w:br/>
              <w:t xml:space="preserve">TPV </w:t>
            </w:r>
            <w:r w:rsidRPr="007E2A9C">
              <w:rPr>
                <w:rFonts w:ascii="Arial Narrow" w:hAnsi="Arial Narrow"/>
                <w:sz w:val="20"/>
                <w:szCs w:val="20"/>
              </w:rPr>
              <w:sym w:font="Symbol" w:char="F0AB"/>
            </w:r>
          </w:p>
          <w:p w14:paraId="6A7FB189"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RTV </w:t>
            </w:r>
            <w:r w:rsidRPr="007E2A9C">
              <w:rPr>
                <w:rFonts w:ascii="Arial Narrow" w:hAnsi="Arial Narrow"/>
                <w:sz w:val="20"/>
                <w:szCs w:val="20"/>
              </w:rPr>
              <w:sym w:font="Symbol" w:char="F0AB"/>
            </w:r>
          </w:p>
        </w:tc>
        <w:tc>
          <w:tcPr>
            <w:tcW w:w="3863" w:type="dxa"/>
          </w:tcPr>
          <w:p w14:paraId="3FCAB38E" w14:textId="764BD89C"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lang w:val="en-GB"/>
              </w:rPr>
              <w:t xml:space="preserve">Tipranavir/ritonavir decreases dolutegravir concentrations. The recommended dose of dolutegravir </w:t>
            </w:r>
            <w:r w:rsidR="002B680D">
              <w:rPr>
                <w:rFonts w:ascii="Arial Narrow" w:hAnsi="Arial Narrow"/>
                <w:sz w:val="20"/>
                <w:szCs w:val="20"/>
                <w:lang w:val="en-GB"/>
              </w:rPr>
              <w:t xml:space="preserve">should be given </w:t>
            </w:r>
            <w:r w:rsidRPr="007E2A9C">
              <w:rPr>
                <w:rFonts w:ascii="Arial Narrow" w:hAnsi="Arial Narrow"/>
                <w:sz w:val="20"/>
                <w:szCs w:val="20"/>
                <w:lang w:val="en-GB"/>
              </w:rPr>
              <w:t>twice daily when co-administered with tipranavir/ritonavir. Alternative combinations that do not include tipranavir/ritonavir should be used where possible in INI resistant patients.</w:t>
            </w:r>
          </w:p>
        </w:tc>
      </w:tr>
      <w:tr w:rsidR="00626ADC" w:rsidRPr="00D4563C" w14:paraId="3140F21A" w14:textId="77777777" w:rsidTr="0034449A">
        <w:tc>
          <w:tcPr>
            <w:tcW w:w="2235" w:type="dxa"/>
          </w:tcPr>
          <w:p w14:paraId="51940550"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Protease Inhibitor:</w:t>
            </w:r>
            <w:r w:rsidRPr="007E2A9C">
              <w:rPr>
                <w:rFonts w:ascii="Arial Narrow" w:hAnsi="Arial Narrow"/>
                <w:sz w:val="20"/>
                <w:szCs w:val="20"/>
              </w:rPr>
              <w:br/>
            </w:r>
            <w:proofErr w:type="spellStart"/>
            <w:r w:rsidRPr="007E2A9C">
              <w:rPr>
                <w:rFonts w:ascii="Arial Narrow" w:hAnsi="Arial Narrow"/>
                <w:sz w:val="20"/>
                <w:szCs w:val="20"/>
              </w:rPr>
              <w:t>Fosamprenavir</w:t>
            </w:r>
            <w:proofErr w:type="spellEnd"/>
            <w:r w:rsidRPr="007E2A9C">
              <w:rPr>
                <w:rFonts w:ascii="Arial Narrow" w:hAnsi="Arial Narrow"/>
                <w:sz w:val="20"/>
                <w:szCs w:val="20"/>
              </w:rPr>
              <w:t>/ritonavir (FPV/RTV)</w:t>
            </w:r>
          </w:p>
        </w:tc>
        <w:tc>
          <w:tcPr>
            <w:tcW w:w="2764" w:type="dxa"/>
          </w:tcPr>
          <w:p w14:paraId="369C9D0A"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35%</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24%</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49%</w:t>
            </w:r>
            <w:r w:rsidRPr="007E2A9C">
              <w:rPr>
                <w:rFonts w:ascii="Arial Narrow" w:hAnsi="Arial Narrow"/>
                <w:sz w:val="20"/>
                <w:szCs w:val="20"/>
              </w:rPr>
              <w:br/>
            </w:r>
            <w:r w:rsidRPr="007E2A9C">
              <w:rPr>
                <w:rFonts w:ascii="Arial Narrow" w:hAnsi="Arial Narrow"/>
                <w:sz w:val="20"/>
                <w:szCs w:val="20"/>
              </w:rPr>
              <w:br/>
              <w:t xml:space="preserve">FPV </w:t>
            </w:r>
            <w:r w:rsidRPr="007E2A9C">
              <w:rPr>
                <w:rFonts w:ascii="Arial Narrow" w:hAnsi="Arial Narrow"/>
                <w:sz w:val="20"/>
                <w:szCs w:val="20"/>
              </w:rPr>
              <w:sym w:font="Symbol" w:char="F0AB"/>
            </w:r>
            <w:r w:rsidRPr="007E2A9C">
              <w:rPr>
                <w:rFonts w:ascii="Arial Narrow" w:hAnsi="Arial Narrow"/>
                <w:sz w:val="20"/>
                <w:szCs w:val="20"/>
              </w:rPr>
              <w:br/>
              <w:t xml:space="preserve">RTV </w:t>
            </w:r>
            <w:r w:rsidRPr="007E2A9C">
              <w:rPr>
                <w:rFonts w:ascii="Arial Narrow" w:hAnsi="Arial Narrow"/>
                <w:sz w:val="20"/>
                <w:szCs w:val="20"/>
              </w:rPr>
              <w:sym w:font="Symbol" w:char="F0AB"/>
            </w:r>
          </w:p>
        </w:tc>
        <w:tc>
          <w:tcPr>
            <w:tcW w:w="3863" w:type="dxa"/>
          </w:tcPr>
          <w:p w14:paraId="31414D58" w14:textId="77777777" w:rsidR="00626ADC" w:rsidRPr="007E2A9C" w:rsidRDefault="00626ADC" w:rsidP="007E2A9C">
            <w:pPr>
              <w:spacing w:after="120" w:line="240" w:lineRule="auto"/>
              <w:rPr>
                <w:rFonts w:ascii="Arial Narrow" w:hAnsi="Arial Narrow"/>
                <w:sz w:val="20"/>
                <w:szCs w:val="20"/>
              </w:rPr>
            </w:pPr>
            <w:proofErr w:type="spellStart"/>
            <w:r w:rsidRPr="007E2A9C">
              <w:rPr>
                <w:rFonts w:ascii="Arial Narrow" w:hAnsi="Arial Narrow"/>
                <w:sz w:val="20"/>
                <w:szCs w:val="20"/>
                <w:lang w:val="en-GB"/>
              </w:rPr>
              <w:t>Fosamprenavir</w:t>
            </w:r>
            <w:proofErr w:type="spellEnd"/>
            <w:r w:rsidRPr="007E2A9C">
              <w:rPr>
                <w:rFonts w:ascii="Arial Narrow" w:hAnsi="Arial Narrow"/>
                <w:sz w:val="20"/>
                <w:szCs w:val="20"/>
                <w:lang w:val="en-GB"/>
              </w:rPr>
              <w:t>/ritonavir decreases dolutegravir concentrations, but based on limited data, did not result in decreased efficacy in Phase III studies. No dose adjustment is necessary in INI-naïve patients. Alternative combinations tha</w:t>
            </w:r>
            <w:r w:rsidR="007A31CD" w:rsidRPr="007E2A9C">
              <w:rPr>
                <w:rFonts w:ascii="Arial Narrow" w:hAnsi="Arial Narrow"/>
                <w:sz w:val="20"/>
                <w:szCs w:val="20"/>
                <w:lang w:val="en-GB"/>
              </w:rPr>
              <w:t xml:space="preserve">t do not include </w:t>
            </w:r>
            <w:proofErr w:type="spellStart"/>
            <w:r w:rsidR="007A31CD" w:rsidRPr="007E2A9C">
              <w:rPr>
                <w:rFonts w:ascii="Arial Narrow" w:hAnsi="Arial Narrow"/>
                <w:sz w:val="20"/>
                <w:szCs w:val="20"/>
                <w:lang w:val="en-GB"/>
              </w:rPr>
              <w:t>fosamprenavir</w:t>
            </w:r>
            <w:proofErr w:type="spellEnd"/>
            <w:r w:rsidR="007A31CD" w:rsidRPr="007E2A9C">
              <w:rPr>
                <w:rFonts w:ascii="Arial Narrow" w:hAnsi="Arial Narrow"/>
                <w:sz w:val="20"/>
                <w:szCs w:val="20"/>
                <w:lang w:val="en-GB"/>
              </w:rPr>
              <w:t>/</w:t>
            </w:r>
            <w:r w:rsidRPr="007E2A9C">
              <w:rPr>
                <w:rFonts w:ascii="Arial Narrow" w:hAnsi="Arial Narrow"/>
                <w:sz w:val="20"/>
                <w:szCs w:val="20"/>
                <w:lang w:val="en-GB"/>
              </w:rPr>
              <w:t>ritonavir should be used where possible in INI resistant patients.</w:t>
            </w:r>
          </w:p>
        </w:tc>
      </w:tr>
      <w:tr w:rsidR="00626ADC" w:rsidRPr="00D4563C" w14:paraId="61CD4768" w14:textId="77777777" w:rsidTr="0034449A">
        <w:tc>
          <w:tcPr>
            <w:tcW w:w="2235" w:type="dxa"/>
          </w:tcPr>
          <w:p w14:paraId="23948DB6"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Protease Inhibitor:</w:t>
            </w:r>
            <w:r w:rsidRPr="007E2A9C">
              <w:rPr>
                <w:rFonts w:ascii="Arial Narrow" w:hAnsi="Arial Narrow"/>
                <w:sz w:val="20"/>
                <w:szCs w:val="20"/>
              </w:rPr>
              <w:br/>
              <w:t>Nelfinavir</w:t>
            </w:r>
          </w:p>
        </w:tc>
        <w:tc>
          <w:tcPr>
            <w:tcW w:w="2764" w:type="dxa"/>
          </w:tcPr>
          <w:p w14:paraId="150D56C9"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B"/>
            </w:r>
          </w:p>
        </w:tc>
        <w:tc>
          <w:tcPr>
            <w:tcW w:w="3863" w:type="dxa"/>
          </w:tcPr>
          <w:p w14:paraId="3BC7246D"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lang w:val="en-GB"/>
              </w:rPr>
              <w:t>This interaction has not been studied. Although an inhibitor of CYP3A4, based on data from other inhibitors, an increase is not expected.</w:t>
            </w:r>
            <w:r w:rsidR="00825890" w:rsidRPr="007E2A9C">
              <w:rPr>
                <w:rFonts w:ascii="Arial Narrow" w:hAnsi="Arial Narrow"/>
                <w:sz w:val="20"/>
                <w:szCs w:val="20"/>
                <w:lang w:val="en-GB"/>
              </w:rPr>
              <w:t xml:space="preserve"> </w:t>
            </w:r>
            <w:r w:rsidRPr="007E2A9C">
              <w:rPr>
                <w:rFonts w:ascii="Arial Narrow" w:hAnsi="Arial Narrow"/>
                <w:sz w:val="20"/>
                <w:szCs w:val="20"/>
                <w:lang w:val="en-GB"/>
              </w:rPr>
              <w:t>No dose adjustment is necessary.</w:t>
            </w:r>
          </w:p>
        </w:tc>
      </w:tr>
      <w:tr w:rsidR="00626ADC" w:rsidRPr="00D4563C" w14:paraId="69385D9A" w14:textId="77777777" w:rsidTr="0034449A">
        <w:tc>
          <w:tcPr>
            <w:tcW w:w="2235" w:type="dxa"/>
          </w:tcPr>
          <w:p w14:paraId="1B394A82"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Protease Inhibitor:</w:t>
            </w:r>
            <w:r w:rsidRPr="007E2A9C">
              <w:rPr>
                <w:rFonts w:ascii="Arial Narrow" w:hAnsi="Arial Narrow"/>
                <w:sz w:val="20"/>
                <w:szCs w:val="20"/>
              </w:rPr>
              <w:br/>
              <w:t>Lopinavir/ritonavir (LPV+RTV)</w:t>
            </w:r>
          </w:p>
        </w:tc>
        <w:tc>
          <w:tcPr>
            <w:tcW w:w="2764" w:type="dxa"/>
          </w:tcPr>
          <w:p w14:paraId="7FEC1C03"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DTG </w:t>
            </w:r>
            <w:r w:rsidRPr="007E2A9C">
              <w:rPr>
                <w:rFonts w:ascii="Arial Narrow" w:hAnsi="Arial Narrow"/>
                <w:sz w:val="20"/>
                <w:szCs w:val="20"/>
              </w:rPr>
              <w:sym w:font="Symbol" w:char="F0AB"/>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4% </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B"/>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6%</w:t>
            </w:r>
          </w:p>
          <w:p w14:paraId="1FFBA789"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LPV</w:t>
            </w:r>
            <w:r w:rsidR="00825890" w:rsidRPr="007E2A9C">
              <w:rPr>
                <w:rFonts w:ascii="Arial Narrow" w:hAnsi="Arial Narrow"/>
                <w:sz w:val="20"/>
                <w:szCs w:val="20"/>
              </w:rPr>
              <w:t xml:space="preserve"> </w:t>
            </w:r>
            <w:r w:rsidRPr="007E2A9C">
              <w:rPr>
                <w:rFonts w:ascii="Arial Narrow" w:hAnsi="Arial Narrow"/>
                <w:sz w:val="20"/>
                <w:szCs w:val="20"/>
              </w:rPr>
              <w:sym w:font="Symbol" w:char="F0AB"/>
            </w:r>
            <w:r w:rsidRPr="007E2A9C">
              <w:rPr>
                <w:rFonts w:ascii="Arial Narrow" w:hAnsi="Arial Narrow"/>
                <w:sz w:val="20"/>
                <w:szCs w:val="20"/>
              </w:rPr>
              <w:br/>
              <w:t>RTV</w:t>
            </w:r>
            <w:r w:rsidR="00825890" w:rsidRPr="007E2A9C">
              <w:rPr>
                <w:rFonts w:ascii="Arial Narrow" w:hAnsi="Arial Narrow"/>
                <w:sz w:val="20"/>
                <w:szCs w:val="20"/>
              </w:rPr>
              <w:t xml:space="preserve"> </w:t>
            </w:r>
            <w:r w:rsidRPr="007E2A9C">
              <w:rPr>
                <w:rFonts w:ascii="Arial Narrow" w:hAnsi="Arial Narrow"/>
                <w:sz w:val="20"/>
                <w:szCs w:val="20"/>
              </w:rPr>
              <w:sym w:font="Symbol" w:char="F0AB"/>
            </w:r>
          </w:p>
        </w:tc>
        <w:tc>
          <w:tcPr>
            <w:tcW w:w="3863" w:type="dxa"/>
          </w:tcPr>
          <w:p w14:paraId="145703C5"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Lopinavir/ritonavir</w:t>
            </w:r>
            <w:r w:rsidRPr="007E2A9C" w:rsidDel="006671AC">
              <w:rPr>
                <w:rFonts w:ascii="Arial Narrow" w:hAnsi="Arial Narrow"/>
                <w:sz w:val="20"/>
                <w:szCs w:val="20"/>
              </w:rPr>
              <w:t xml:space="preserve"> </w:t>
            </w:r>
            <w:r w:rsidRPr="007E2A9C">
              <w:rPr>
                <w:rFonts w:ascii="Arial Narrow" w:hAnsi="Arial Narrow"/>
                <w:sz w:val="20"/>
                <w:szCs w:val="20"/>
              </w:rPr>
              <w:t>did not change dolutegravir plasma concentration to a clinically relevant extent.</w:t>
            </w:r>
            <w:r w:rsidR="00825890" w:rsidRPr="007E2A9C">
              <w:rPr>
                <w:rFonts w:ascii="Arial Narrow" w:hAnsi="Arial Narrow"/>
                <w:sz w:val="20"/>
                <w:szCs w:val="20"/>
              </w:rPr>
              <w:t xml:space="preserve"> </w:t>
            </w:r>
            <w:r w:rsidRPr="007E2A9C">
              <w:rPr>
                <w:rFonts w:ascii="Arial Narrow" w:hAnsi="Arial Narrow"/>
                <w:sz w:val="20"/>
                <w:szCs w:val="20"/>
              </w:rPr>
              <w:t>No dose adjustment is necessary. Using cross-study comparisons to historical pharmacokinetic data for each interacting drug, dolutegravir did not appear to affect the pharmacokinetics of</w:t>
            </w:r>
            <w:r w:rsidR="00825890" w:rsidRPr="007E2A9C">
              <w:rPr>
                <w:rFonts w:ascii="Arial Narrow" w:hAnsi="Arial Narrow"/>
                <w:sz w:val="20"/>
                <w:szCs w:val="20"/>
              </w:rPr>
              <w:t xml:space="preserve"> </w:t>
            </w:r>
            <w:r w:rsidRPr="007E2A9C">
              <w:rPr>
                <w:rFonts w:ascii="Arial Narrow" w:hAnsi="Arial Narrow"/>
                <w:sz w:val="20"/>
                <w:szCs w:val="20"/>
              </w:rPr>
              <w:t>lopinavir or ritonavir</w:t>
            </w:r>
            <w:r w:rsidR="00A24A45" w:rsidRPr="007E2A9C">
              <w:rPr>
                <w:rFonts w:ascii="Arial Narrow" w:hAnsi="Arial Narrow"/>
                <w:sz w:val="20"/>
                <w:szCs w:val="20"/>
              </w:rPr>
              <w:t>.</w:t>
            </w:r>
          </w:p>
        </w:tc>
      </w:tr>
      <w:tr w:rsidR="00626ADC" w:rsidRPr="00D4563C" w14:paraId="6E1A5A8A" w14:textId="77777777" w:rsidTr="0034449A">
        <w:tc>
          <w:tcPr>
            <w:tcW w:w="2235" w:type="dxa"/>
          </w:tcPr>
          <w:p w14:paraId="326BD043"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lang w:val="en-GB"/>
              </w:rPr>
              <w:lastRenderedPageBreak/>
              <w:t>Protease Inhibitor:</w:t>
            </w:r>
            <w:r w:rsidRPr="007E2A9C">
              <w:rPr>
                <w:rFonts w:ascii="Arial Narrow" w:hAnsi="Arial Narrow"/>
                <w:sz w:val="20"/>
                <w:szCs w:val="20"/>
                <w:lang w:val="en-GB"/>
              </w:rPr>
              <w:br/>
              <w:t>Darunavir/ritonavir</w:t>
            </w:r>
          </w:p>
        </w:tc>
        <w:tc>
          <w:tcPr>
            <w:tcW w:w="2764" w:type="dxa"/>
          </w:tcPr>
          <w:p w14:paraId="6D2162B8"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lang w:val="en-US"/>
              </w:rPr>
              <w:t xml:space="preserve">Dolutegravir </w:t>
            </w:r>
            <w:r w:rsidRPr="007E2A9C">
              <w:rPr>
                <w:rFonts w:ascii="Arial Narrow" w:hAnsi="Arial Narrow"/>
                <w:sz w:val="20"/>
                <w:szCs w:val="20"/>
                <w:lang w:val="en-GB"/>
              </w:rPr>
              <w:sym w:font="Symbol" w:char="F0AF"/>
            </w:r>
            <w:r w:rsidRPr="007E2A9C">
              <w:rPr>
                <w:rFonts w:ascii="Arial Narrow" w:hAnsi="Arial Narrow"/>
                <w:sz w:val="20"/>
                <w:szCs w:val="20"/>
                <w:lang w:val="en-GB"/>
              </w:rPr>
              <w:br/>
              <w:t xml:space="preserve">AUC </w:t>
            </w:r>
            <w:r w:rsidRPr="007E2A9C">
              <w:rPr>
                <w:rFonts w:ascii="Arial Narrow" w:hAnsi="Arial Narrow"/>
                <w:sz w:val="20"/>
                <w:szCs w:val="20"/>
                <w:lang w:val="en-GB"/>
              </w:rPr>
              <w:sym w:font="Symbol" w:char="F0AF"/>
            </w:r>
            <w:r w:rsidRPr="007E2A9C">
              <w:rPr>
                <w:rFonts w:ascii="Arial Narrow" w:hAnsi="Arial Narrow"/>
                <w:sz w:val="20"/>
                <w:szCs w:val="20"/>
                <w:lang w:val="en-GB"/>
              </w:rPr>
              <w:t xml:space="preserve"> 22% </w:t>
            </w:r>
            <w:r w:rsidRPr="007E2A9C">
              <w:rPr>
                <w:rFonts w:ascii="Arial Narrow" w:hAnsi="Arial Narrow"/>
                <w:sz w:val="20"/>
                <w:szCs w:val="20"/>
                <w:lang w:val="en-GB"/>
              </w:rPr>
              <w:br/>
            </w:r>
            <w:proofErr w:type="spellStart"/>
            <w:r w:rsidRPr="007E2A9C">
              <w:rPr>
                <w:rFonts w:ascii="Arial Narrow" w:hAnsi="Arial Narrow"/>
                <w:sz w:val="20"/>
                <w:szCs w:val="20"/>
                <w:lang w:val="en-GB"/>
              </w:rPr>
              <w:t>C</w:t>
            </w:r>
            <w:r w:rsidRPr="007E2A9C">
              <w:rPr>
                <w:rFonts w:ascii="Arial Narrow" w:hAnsi="Arial Narrow"/>
                <w:sz w:val="20"/>
                <w:szCs w:val="20"/>
                <w:vertAlign w:val="subscript"/>
                <w:lang w:val="en-GB"/>
              </w:rPr>
              <w:t>max</w:t>
            </w:r>
            <w:proofErr w:type="spellEnd"/>
            <w:r w:rsidRPr="007E2A9C">
              <w:rPr>
                <w:rFonts w:ascii="Arial Narrow" w:hAnsi="Arial Narrow"/>
                <w:sz w:val="20"/>
                <w:szCs w:val="20"/>
                <w:lang w:val="en-GB"/>
              </w:rPr>
              <w:t xml:space="preserve"> </w:t>
            </w:r>
            <w:r w:rsidRPr="007E2A9C">
              <w:rPr>
                <w:rFonts w:ascii="Arial Narrow" w:hAnsi="Arial Narrow"/>
                <w:sz w:val="20"/>
                <w:szCs w:val="20"/>
                <w:lang w:val="en-GB"/>
              </w:rPr>
              <w:sym w:font="Symbol" w:char="F0AF"/>
            </w:r>
            <w:r w:rsidRPr="007E2A9C">
              <w:rPr>
                <w:rFonts w:ascii="Arial Narrow" w:hAnsi="Arial Narrow"/>
                <w:sz w:val="20"/>
                <w:szCs w:val="20"/>
                <w:lang w:val="en-GB"/>
              </w:rPr>
              <w:t xml:space="preserve"> 11%</w:t>
            </w:r>
            <w:r w:rsidRPr="007E2A9C">
              <w:rPr>
                <w:rFonts w:ascii="Arial Narrow" w:hAnsi="Arial Narrow"/>
                <w:sz w:val="20"/>
                <w:szCs w:val="20"/>
                <w:lang w:val="en-GB"/>
              </w:rPr>
              <w:br/>
              <w:t>C</w:t>
            </w:r>
            <w:r w:rsidRPr="007E2A9C">
              <w:rPr>
                <w:rFonts w:ascii="Arial Narrow" w:hAnsi="Arial Narrow"/>
                <w:sz w:val="20"/>
                <w:szCs w:val="20"/>
                <w:lang w:val="en-GB"/>
              </w:rPr>
              <w:sym w:font="Symbol" w:char="F074"/>
            </w:r>
            <w:r w:rsidRPr="007E2A9C">
              <w:rPr>
                <w:rFonts w:ascii="Arial Narrow" w:hAnsi="Arial Narrow"/>
                <w:sz w:val="20"/>
                <w:szCs w:val="20"/>
                <w:lang w:val="en-GB"/>
              </w:rPr>
              <w:t xml:space="preserve"> </w:t>
            </w:r>
            <w:r w:rsidRPr="007E2A9C">
              <w:rPr>
                <w:rFonts w:ascii="Arial Narrow" w:hAnsi="Arial Narrow"/>
                <w:sz w:val="20"/>
                <w:szCs w:val="20"/>
                <w:lang w:val="en-GB"/>
              </w:rPr>
              <w:sym w:font="Symbol" w:char="F0AF"/>
            </w:r>
            <w:r w:rsidRPr="007E2A9C">
              <w:rPr>
                <w:rFonts w:ascii="Arial Narrow" w:hAnsi="Arial Narrow"/>
                <w:sz w:val="20"/>
                <w:szCs w:val="20"/>
                <w:lang w:val="en-GB"/>
              </w:rPr>
              <w:t xml:space="preserve"> 38%</w:t>
            </w:r>
          </w:p>
        </w:tc>
        <w:tc>
          <w:tcPr>
            <w:tcW w:w="3863" w:type="dxa"/>
          </w:tcPr>
          <w:p w14:paraId="34D51884" w14:textId="77777777" w:rsidR="00626ADC" w:rsidRPr="007E2A9C" w:rsidRDefault="00626ADC" w:rsidP="007E2A9C">
            <w:pPr>
              <w:spacing w:after="120" w:line="240" w:lineRule="auto"/>
              <w:rPr>
                <w:rFonts w:ascii="Arial Narrow" w:hAnsi="Arial Narrow"/>
                <w:sz w:val="20"/>
                <w:szCs w:val="20"/>
                <w:lang w:val="en-GB"/>
              </w:rPr>
            </w:pPr>
            <w:r w:rsidRPr="007E2A9C">
              <w:rPr>
                <w:rFonts w:ascii="Arial Narrow" w:hAnsi="Arial Narrow"/>
                <w:sz w:val="20"/>
                <w:szCs w:val="20"/>
                <w:lang w:val="en-GB"/>
              </w:rPr>
              <w:t>Darunavir/ritonavir did not change dolutegravir plasma concentration to a clinically relevant extent.</w:t>
            </w:r>
            <w:r w:rsidR="00825890" w:rsidRPr="007E2A9C">
              <w:rPr>
                <w:rFonts w:ascii="Arial Narrow" w:hAnsi="Arial Narrow"/>
                <w:sz w:val="20"/>
                <w:szCs w:val="20"/>
                <w:lang w:val="en-GB"/>
              </w:rPr>
              <w:t xml:space="preserve"> </w:t>
            </w:r>
            <w:r w:rsidRPr="007E2A9C">
              <w:rPr>
                <w:rFonts w:ascii="Arial Narrow" w:hAnsi="Arial Narrow"/>
                <w:sz w:val="20"/>
                <w:szCs w:val="20"/>
                <w:lang w:val="en-GB"/>
              </w:rPr>
              <w:t>No dose adjustment is necessary.</w:t>
            </w:r>
          </w:p>
        </w:tc>
      </w:tr>
      <w:tr w:rsidR="00626ADC" w:rsidRPr="00D4563C" w14:paraId="21306E19" w14:textId="77777777" w:rsidTr="0034449A">
        <w:tc>
          <w:tcPr>
            <w:tcW w:w="2235" w:type="dxa"/>
          </w:tcPr>
          <w:p w14:paraId="04105121" w14:textId="77777777" w:rsidR="00626ADC" w:rsidRPr="007E2A9C" w:rsidRDefault="00626ADC" w:rsidP="007E2A9C">
            <w:pPr>
              <w:spacing w:after="120" w:line="240" w:lineRule="auto"/>
              <w:rPr>
                <w:rFonts w:ascii="Arial Narrow" w:hAnsi="Arial Narrow"/>
                <w:sz w:val="20"/>
                <w:szCs w:val="20"/>
                <w:lang w:val="en-GB"/>
              </w:rPr>
            </w:pPr>
            <w:r w:rsidRPr="007E2A9C">
              <w:rPr>
                <w:rFonts w:ascii="Arial Narrow" w:hAnsi="Arial Narrow"/>
                <w:sz w:val="20"/>
                <w:szCs w:val="20"/>
              </w:rPr>
              <w:t>Nucleoside Reverse Transcriptase Inhibitor:</w:t>
            </w:r>
            <w:r w:rsidRPr="007E2A9C">
              <w:rPr>
                <w:rFonts w:ascii="Arial Narrow" w:hAnsi="Arial Narrow"/>
                <w:sz w:val="20"/>
                <w:szCs w:val="20"/>
              </w:rPr>
              <w:br/>
              <w:t>Tenofovir</w:t>
            </w:r>
          </w:p>
        </w:tc>
        <w:tc>
          <w:tcPr>
            <w:tcW w:w="2764" w:type="dxa"/>
          </w:tcPr>
          <w:p w14:paraId="01050F2C"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lang w:val="en-US"/>
              </w:rPr>
              <w:t xml:space="preserve">Dolutegravir </w:t>
            </w:r>
            <w:r w:rsidRPr="007E2A9C">
              <w:rPr>
                <w:rFonts w:ascii="Arial Narrow" w:hAnsi="Arial Narrow"/>
                <w:sz w:val="20"/>
                <w:szCs w:val="20"/>
              </w:rPr>
              <w:sym w:font="Symbol" w:char="F0AB"/>
            </w:r>
          </w:p>
          <w:p w14:paraId="3A23B698" w14:textId="77777777" w:rsidR="00626ADC" w:rsidRPr="007E2A9C" w:rsidRDefault="00626ADC" w:rsidP="007E2A9C">
            <w:pPr>
              <w:spacing w:after="120" w:line="240" w:lineRule="auto"/>
              <w:rPr>
                <w:rFonts w:ascii="Arial Narrow" w:hAnsi="Arial Narrow"/>
                <w:sz w:val="20"/>
                <w:szCs w:val="20"/>
                <w:lang w:val="en-GB"/>
              </w:rPr>
            </w:pPr>
            <w:r w:rsidRPr="007E2A9C">
              <w:rPr>
                <w:rFonts w:ascii="Arial Narrow" w:hAnsi="Arial Narrow"/>
                <w:sz w:val="20"/>
                <w:szCs w:val="20"/>
                <w:lang w:val="en-GB"/>
              </w:rPr>
              <w:t xml:space="preserve">AUC </w:t>
            </w:r>
            <w:r w:rsidRPr="007E2A9C">
              <w:rPr>
                <w:rFonts w:ascii="Arial Narrow" w:hAnsi="Arial Narrow"/>
                <w:sz w:val="20"/>
                <w:szCs w:val="20"/>
                <w:lang w:val="en-GB"/>
              </w:rPr>
              <w:sym w:font="Symbol" w:char="F0AB"/>
            </w:r>
            <w:r w:rsidRPr="007E2A9C">
              <w:rPr>
                <w:rFonts w:ascii="Arial Narrow" w:hAnsi="Arial Narrow"/>
                <w:sz w:val="20"/>
                <w:szCs w:val="20"/>
                <w:lang w:val="en-GB"/>
              </w:rPr>
              <w:br/>
            </w:r>
            <w:proofErr w:type="spellStart"/>
            <w:r w:rsidRPr="007E2A9C">
              <w:rPr>
                <w:rFonts w:ascii="Arial Narrow" w:hAnsi="Arial Narrow"/>
                <w:sz w:val="20"/>
                <w:szCs w:val="20"/>
                <w:lang w:val="en-GB"/>
              </w:rPr>
              <w:t>C</w:t>
            </w:r>
            <w:r w:rsidRPr="007E2A9C">
              <w:rPr>
                <w:rFonts w:ascii="Arial Narrow" w:hAnsi="Arial Narrow"/>
                <w:sz w:val="20"/>
                <w:szCs w:val="20"/>
                <w:vertAlign w:val="subscript"/>
                <w:lang w:val="en-GB"/>
              </w:rPr>
              <w:t>max</w:t>
            </w:r>
            <w:proofErr w:type="spellEnd"/>
            <w:r w:rsidRPr="007E2A9C">
              <w:rPr>
                <w:rFonts w:ascii="Arial Narrow" w:hAnsi="Arial Narrow"/>
                <w:sz w:val="20"/>
                <w:szCs w:val="20"/>
                <w:vertAlign w:val="subscript"/>
                <w:lang w:val="en-GB"/>
              </w:rPr>
              <w:t xml:space="preserve"> </w:t>
            </w:r>
            <w:r w:rsidRPr="007E2A9C">
              <w:rPr>
                <w:rFonts w:ascii="Arial Narrow" w:hAnsi="Arial Narrow"/>
                <w:sz w:val="20"/>
                <w:szCs w:val="20"/>
                <w:lang w:val="en-GB"/>
              </w:rPr>
              <w:sym w:font="Symbol" w:char="F0AF"/>
            </w:r>
            <w:r w:rsidR="00A24A45" w:rsidRPr="007E2A9C">
              <w:rPr>
                <w:rFonts w:ascii="Arial Narrow" w:hAnsi="Arial Narrow"/>
                <w:sz w:val="20"/>
                <w:szCs w:val="20"/>
                <w:lang w:val="en-GB"/>
              </w:rPr>
              <w:t xml:space="preserve"> </w:t>
            </w:r>
            <w:r w:rsidRPr="007E2A9C">
              <w:rPr>
                <w:rFonts w:ascii="Arial Narrow" w:hAnsi="Arial Narrow"/>
                <w:sz w:val="20"/>
                <w:szCs w:val="20"/>
                <w:lang w:val="en-GB"/>
              </w:rPr>
              <w:t>3%</w:t>
            </w:r>
            <w:r w:rsidRPr="007E2A9C">
              <w:rPr>
                <w:rFonts w:ascii="Arial Narrow" w:hAnsi="Arial Narrow"/>
                <w:sz w:val="20"/>
                <w:szCs w:val="20"/>
                <w:lang w:val="en-GB"/>
              </w:rPr>
              <w:br/>
              <w:t>C</w:t>
            </w:r>
            <w:r w:rsidRPr="007E2A9C">
              <w:rPr>
                <w:rFonts w:ascii="Arial Narrow" w:hAnsi="Arial Narrow"/>
                <w:sz w:val="20"/>
                <w:szCs w:val="20"/>
                <w:lang w:val="en-GB"/>
              </w:rPr>
              <w:sym w:font="Symbol" w:char="F074"/>
            </w:r>
            <w:r w:rsidRPr="007E2A9C">
              <w:rPr>
                <w:rFonts w:ascii="Arial Narrow" w:hAnsi="Arial Narrow"/>
                <w:sz w:val="20"/>
                <w:szCs w:val="20"/>
                <w:lang w:val="en-GB"/>
              </w:rPr>
              <w:t xml:space="preserve"> </w:t>
            </w:r>
            <w:r w:rsidRPr="007E2A9C">
              <w:rPr>
                <w:rFonts w:ascii="Arial Narrow" w:hAnsi="Arial Narrow"/>
                <w:sz w:val="20"/>
                <w:szCs w:val="20"/>
                <w:lang w:val="en-GB"/>
              </w:rPr>
              <w:sym w:font="Symbol" w:char="F0AF"/>
            </w:r>
            <w:r w:rsidRPr="007E2A9C">
              <w:rPr>
                <w:rFonts w:ascii="Arial Narrow" w:hAnsi="Arial Narrow"/>
                <w:sz w:val="20"/>
                <w:szCs w:val="20"/>
                <w:lang w:val="en-GB"/>
              </w:rPr>
              <w:t xml:space="preserve"> 8%</w:t>
            </w:r>
          </w:p>
          <w:p w14:paraId="0720B420" w14:textId="77777777" w:rsidR="00626ADC" w:rsidRPr="007E2A9C" w:rsidRDefault="00626ADC" w:rsidP="007E2A9C">
            <w:pPr>
              <w:spacing w:after="120" w:line="240" w:lineRule="auto"/>
              <w:rPr>
                <w:rFonts w:ascii="Arial Narrow" w:hAnsi="Arial Narrow"/>
                <w:sz w:val="20"/>
                <w:szCs w:val="20"/>
              </w:rPr>
            </w:pPr>
          </w:p>
          <w:p w14:paraId="0CAAD278" w14:textId="310E1E9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Tenofovir </w:t>
            </w:r>
            <w:r w:rsidR="007E2A9C" w:rsidRPr="007E2A9C">
              <w:rPr>
                <w:rFonts w:ascii="Arial Narrow" w:hAnsi="Arial Narrow"/>
                <w:sz w:val="20"/>
                <w:szCs w:val="20"/>
              </w:rPr>
              <w:sym w:font="Symbol" w:char="F0AB"/>
            </w:r>
          </w:p>
          <w:p w14:paraId="10590AD5" w14:textId="77777777" w:rsidR="00626ADC" w:rsidRPr="007E2A9C" w:rsidRDefault="00626ADC" w:rsidP="007E2A9C">
            <w:pPr>
              <w:spacing w:after="120" w:line="240" w:lineRule="auto"/>
              <w:rPr>
                <w:rFonts w:ascii="Arial Narrow" w:hAnsi="Arial Narrow"/>
                <w:sz w:val="20"/>
                <w:szCs w:val="20"/>
                <w:lang w:val="en-US"/>
              </w:rPr>
            </w:pPr>
            <w:r w:rsidRPr="007E2A9C">
              <w:rPr>
                <w:rFonts w:ascii="Arial Narrow" w:hAnsi="Arial Narrow"/>
                <w:sz w:val="20"/>
                <w:szCs w:val="20"/>
                <w:lang w:val="en-GB"/>
              </w:rPr>
              <w:t xml:space="preserve">AUC </w:t>
            </w:r>
            <w:r w:rsidRPr="007E2A9C">
              <w:rPr>
                <w:rFonts w:ascii="Arial Narrow" w:hAnsi="Arial Narrow"/>
                <w:sz w:val="20"/>
                <w:szCs w:val="20"/>
                <w:lang w:val="en-GB"/>
              </w:rPr>
              <w:sym w:font="Symbol" w:char="F0AD"/>
            </w:r>
            <w:r w:rsidRPr="007E2A9C">
              <w:rPr>
                <w:rFonts w:ascii="Arial Narrow" w:hAnsi="Arial Narrow"/>
                <w:sz w:val="20"/>
                <w:szCs w:val="20"/>
                <w:lang w:val="en-GB"/>
              </w:rPr>
              <w:t xml:space="preserve"> 12 %</w:t>
            </w:r>
            <w:r w:rsidRPr="007E2A9C">
              <w:rPr>
                <w:rFonts w:ascii="Arial Narrow" w:hAnsi="Arial Narrow"/>
                <w:sz w:val="20"/>
                <w:szCs w:val="20"/>
                <w:lang w:val="en-GB"/>
              </w:rPr>
              <w:br/>
            </w:r>
            <w:proofErr w:type="spellStart"/>
            <w:r w:rsidRPr="007E2A9C">
              <w:rPr>
                <w:rFonts w:ascii="Arial Narrow" w:hAnsi="Arial Narrow"/>
                <w:sz w:val="20"/>
                <w:szCs w:val="20"/>
                <w:lang w:val="en-GB"/>
              </w:rPr>
              <w:t>C</w:t>
            </w:r>
            <w:r w:rsidRPr="007E2A9C">
              <w:rPr>
                <w:rFonts w:ascii="Arial Narrow" w:hAnsi="Arial Narrow"/>
                <w:sz w:val="20"/>
                <w:szCs w:val="20"/>
                <w:vertAlign w:val="subscript"/>
                <w:lang w:val="en-GB"/>
              </w:rPr>
              <w:t>max</w:t>
            </w:r>
            <w:proofErr w:type="spellEnd"/>
            <w:r w:rsidRPr="007E2A9C">
              <w:rPr>
                <w:rFonts w:ascii="Arial Narrow" w:hAnsi="Arial Narrow"/>
                <w:sz w:val="20"/>
                <w:szCs w:val="20"/>
                <w:vertAlign w:val="subscript"/>
                <w:lang w:val="en-GB"/>
              </w:rPr>
              <w:t xml:space="preserve"> </w:t>
            </w:r>
            <w:r w:rsidRPr="007E2A9C">
              <w:rPr>
                <w:rFonts w:ascii="Arial Narrow" w:hAnsi="Arial Narrow"/>
                <w:sz w:val="20"/>
                <w:szCs w:val="20"/>
                <w:lang w:val="en-GB"/>
              </w:rPr>
              <w:sym w:font="Symbol" w:char="F0AD"/>
            </w:r>
            <w:r w:rsidRPr="007E2A9C">
              <w:rPr>
                <w:rFonts w:ascii="Arial Narrow" w:hAnsi="Arial Narrow"/>
                <w:sz w:val="20"/>
                <w:szCs w:val="20"/>
                <w:lang w:val="en-GB"/>
              </w:rPr>
              <w:t xml:space="preserve"> 9%</w:t>
            </w:r>
            <w:r w:rsidRPr="007E2A9C">
              <w:rPr>
                <w:rFonts w:ascii="Arial Narrow" w:hAnsi="Arial Narrow"/>
                <w:sz w:val="20"/>
                <w:szCs w:val="20"/>
                <w:lang w:val="en-GB"/>
              </w:rPr>
              <w:br/>
              <w:t>C</w:t>
            </w:r>
            <w:r w:rsidRPr="007E2A9C">
              <w:rPr>
                <w:rFonts w:ascii="Arial Narrow" w:hAnsi="Arial Narrow"/>
                <w:sz w:val="20"/>
                <w:szCs w:val="20"/>
                <w:lang w:val="en-GB"/>
              </w:rPr>
              <w:sym w:font="Symbol" w:char="F074"/>
            </w:r>
            <w:r w:rsidRPr="007E2A9C">
              <w:rPr>
                <w:rFonts w:ascii="Arial Narrow" w:hAnsi="Arial Narrow"/>
                <w:sz w:val="20"/>
                <w:szCs w:val="20"/>
                <w:lang w:val="en-GB"/>
              </w:rPr>
              <w:t xml:space="preserve"> </w:t>
            </w:r>
            <w:r w:rsidRPr="007E2A9C">
              <w:rPr>
                <w:rFonts w:ascii="Arial Narrow" w:hAnsi="Arial Narrow"/>
                <w:sz w:val="20"/>
                <w:szCs w:val="20"/>
                <w:lang w:val="en-GB"/>
              </w:rPr>
              <w:sym w:font="Symbol" w:char="F0AD"/>
            </w:r>
            <w:r w:rsidRPr="007E2A9C">
              <w:rPr>
                <w:rFonts w:ascii="Arial Narrow" w:hAnsi="Arial Narrow"/>
                <w:sz w:val="20"/>
                <w:szCs w:val="20"/>
                <w:lang w:val="en-GB"/>
              </w:rPr>
              <w:t xml:space="preserve"> 19 %</w:t>
            </w:r>
          </w:p>
        </w:tc>
        <w:tc>
          <w:tcPr>
            <w:tcW w:w="3863" w:type="dxa"/>
          </w:tcPr>
          <w:p w14:paraId="43013A90" w14:textId="77777777"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Tenofovir</w:t>
            </w:r>
            <w:r w:rsidRPr="007E2A9C" w:rsidDel="0034228F">
              <w:rPr>
                <w:rFonts w:ascii="Arial Narrow" w:hAnsi="Arial Narrow"/>
                <w:sz w:val="20"/>
                <w:szCs w:val="20"/>
              </w:rPr>
              <w:t xml:space="preserve"> </w:t>
            </w:r>
            <w:r w:rsidRPr="007E2A9C">
              <w:rPr>
                <w:rFonts w:ascii="Arial Narrow" w:hAnsi="Arial Narrow"/>
                <w:sz w:val="20"/>
                <w:szCs w:val="20"/>
              </w:rPr>
              <w:t xml:space="preserve">did not change dolutegravir </w:t>
            </w:r>
            <w:bookmarkStart w:id="4" w:name="_Hlk504129244"/>
            <w:r w:rsidRPr="007E2A9C">
              <w:rPr>
                <w:rFonts w:ascii="Arial Narrow" w:hAnsi="Arial Narrow"/>
                <w:sz w:val="20"/>
                <w:szCs w:val="20"/>
              </w:rPr>
              <w:t xml:space="preserve">plasma concentration to a clinically </w:t>
            </w:r>
            <w:bookmarkEnd w:id="4"/>
            <w:r w:rsidRPr="007E2A9C">
              <w:rPr>
                <w:rFonts w:ascii="Arial Narrow" w:hAnsi="Arial Narrow"/>
                <w:sz w:val="20"/>
                <w:szCs w:val="20"/>
              </w:rPr>
              <w:t>relevant extent.</w:t>
            </w:r>
            <w:r w:rsidR="00825890" w:rsidRPr="007E2A9C">
              <w:rPr>
                <w:rFonts w:ascii="Arial Narrow" w:hAnsi="Arial Narrow"/>
                <w:sz w:val="20"/>
                <w:szCs w:val="20"/>
              </w:rPr>
              <w:t xml:space="preserve"> </w:t>
            </w:r>
            <w:r w:rsidRPr="007E2A9C">
              <w:rPr>
                <w:rFonts w:ascii="Arial Narrow" w:hAnsi="Arial Narrow"/>
                <w:sz w:val="20"/>
                <w:szCs w:val="20"/>
              </w:rPr>
              <w:t>No dose adjustment is necessary.</w:t>
            </w:r>
          </w:p>
        </w:tc>
      </w:tr>
      <w:tr w:rsidR="00626ADC" w:rsidRPr="00D4563C" w14:paraId="435546D8" w14:textId="77777777" w:rsidTr="0034449A">
        <w:tc>
          <w:tcPr>
            <w:tcW w:w="8862" w:type="dxa"/>
            <w:gridSpan w:val="3"/>
          </w:tcPr>
          <w:p w14:paraId="59FC6902" w14:textId="77777777" w:rsidR="00626ADC" w:rsidRPr="00BF7578" w:rsidRDefault="00626ADC" w:rsidP="00CE7FBF">
            <w:pPr>
              <w:spacing w:after="120" w:line="240" w:lineRule="auto"/>
              <w:rPr>
                <w:rFonts w:ascii="Arial Narrow" w:hAnsi="Arial Narrow"/>
                <w:b/>
              </w:rPr>
            </w:pPr>
            <w:r w:rsidRPr="00BF7578">
              <w:rPr>
                <w:rFonts w:ascii="Arial Narrow" w:hAnsi="Arial Narrow"/>
                <w:b/>
              </w:rPr>
              <w:t>Other Agents</w:t>
            </w:r>
          </w:p>
        </w:tc>
      </w:tr>
      <w:tr w:rsidR="00626ADC" w:rsidRPr="00D4563C" w14:paraId="1B6956D5" w14:textId="77777777" w:rsidTr="0034449A">
        <w:tc>
          <w:tcPr>
            <w:tcW w:w="2235" w:type="dxa"/>
          </w:tcPr>
          <w:p w14:paraId="45DC452A" w14:textId="77777777" w:rsidR="00626ADC" w:rsidRDefault="00626ADC" w:rsidP="007E2A9C">
            <w:pPr>
              <w:spacing w:after="120" w:line="240" w:lineRule="auto"/>
              <w:rPr>
                <w:rFonts w:ascii="Arial Narrow" w:hAnsi="Arial Narrow"/>
                <w:sz w:val="20"/>
                <w:szCs w:val="20"/>
              </w:rPr>
            </w:pPr>
            <w:proofErr w:type="spellStart"/>
            <w:r w:rsidRPr="007E2A9C">
              <w:rPr>
                <w:rFonts w:ascii="Arial Narrow" w:hAnsi="Arial Narrow"/>
                <w:sz w:val="20"/>
                <w:szCs w:val="20"/>
              </w:rPr>
              <w:t>Dofetilide</w:t>
            </w:r>
            <w:proofErr w:type="spellEnd"/>
          </w:p>
          <w:p w14:paraId="398BB37F" w14:textId="2E562850" w:rsidR="00074BE8" w:rsidRPr="007E2A9C" w:rsidRDefault="00074BE8" w:rsidP="007E2A9C">
            <w:pPr>
              <w:spacing w:after="120" w:line="240" w:lineRule="auto"/>
              <w:rPr>
                <w:rFonts w:ascii="Arial Narrow" w:hAnsi="Arial Narrow"/>
                <w:sz w:val="20"/>
                <w:szCs w:val="20"/>
              </w:rPr>
            </w:pPr>
            <w:proofErr w:type="spellStart"/>
            <w:r w:rsidRPr="00DD04B3">
              <w:rPr>
                <w:rFonts w:ascii="Arial Narrow" w:hAnsi="Arial Narrow"/>
                <w:sz w:val="20"/>
                <w:szCs w:val="20"/>
              </w:rPr>
              <w:t>Pilsicainide</w:t>
            </w:r>
            <w:proofErr w:type="spellEnd"/>
          </w:p>
        </w:tc>
        <w:tc>
          <w:tcPr>
            <w:tcW w:w="2764" w:type="dxa"/>
          </w:tcPr>
          <w:p w14:paraId="4E486423" w14:textId="77777777" w:rsidR="00626ADC" w:rsidRDefault="00626ADC" w:rsidP="007E2A9C">
            <w:pPr>
              <w:spacing w:after="120" w:line="240" w:lineRule="auto"/>
              <w:rPr>
                <w:rFonts w:ascii="Arial Narrow" w:hAnsi="Arial Narrow"/>
                <w:sz w:val="20"/>
                <w:szCs w:val="20"/>
              </w:rPr>
            </w:pPr>
            <w:proofErr w:type="spellStart"/>
            <w:r w:rsidRPr="007E2A9C">
              <w:rPr>
                <w:rFonts w:ascii="Arial Narrow" w:hAnsi="Arial Narrow"/>
                <w:sz w:val="20"/>
                <w:szCs w:val="20"/>
              </w:rPr>
              <w:t>Dofetilide</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D"/>
            </w:r>
          </w:p>
          <w:p w14:paraId="3F71DF9C" w14:textId="4A36747F" w:rsidR="00074BE8" w:rsidRPr="007E2A9C" w:rsidRDefault="00074BE8" w:rsidP="007E2A9C">
            <w:pPr>
              <w:spacing w:after="120" w:line="240" w:lineRule="auto"/>
              <w:rPr>
                <w:rFonts w:ascii="Arial Narrow" w:hAnsi="Arial Narrow"/>
                <w:sz w:val="20"/>
                <w:szCs w:val="20"/>
              </w:rPr>
            </w:pPr>
            <w:proofErr w:type="spellStart"/>
            <w:r w:rsidRPr="00DD04B3">
              <w:rPr>
                <w:rFonts w:ascii="Arial Narrow" w:hAnsi="Arial Narrow"/>
                <w:sz w:val="20"/>
                <w:szCs w:val="20"/>
              </w:rPr>
              <w:t>Pilsicainide</w:t>
            </w:r>
            <w:proofErr w:type="spellEnd"/>
            <w:r>
              <w:rPr>
                <w:rFonts w:ascii="Arial Narrow" w:hAnsi="Arial Narrow"/>
                <w:sz w:val="20"/>
                <w:szCs w:val="20"/>
              </w:rPr>
              <w:t xml:space="preserve"> </w:t>
            </w:r>
            <w:r w:rsidRPr="007E2A9C">
              <w:rPr>
                <w:rFonts w:ascii="Arial Narrow" w:hAnsi="Arial Narrow"/>
                <w:sz w:val="20"/>
                <w:szCs w:val="20"/>
              </w:rPr>
              <w:sym w:font="Symbol" w:char="F0AD"/>
            </w:r>
          </w:p>
        </w:tc>
        <w:tc>
          <w:tcPr>
            <w:tcW w:w="3863" w:type="dxa"/>
          </w:tcPr>
          <w:p w14:paraId="0E9C40A9" w14:textId="66731211" w:rsidR="00626ADC" w:rsidRPr="007E2A9C" w:rsidRDefault="00626ADC" w:rsidP="007E2A9C">
            <w:pPr>
              <w:spacing w:after="120" w:line="240" w:lineRule="auto"/>
              <w:rPr>
                <w:rFonts w:ascii="Arial Narrow" w:hAnsi="Arial Narrow"/>
                <w:sz w:val="20"/>
                <w:szCs w:val="20"/>
              </w:rPr>
            </w:pPr>
            <w:r w:rsidRPr="007E2A9C">
              <w:rPr>
                <w:rFonts w:ascii="Arial Narrow" w:hAnsi="Arial Narrow"/>
                <w:sz w:val="20"/>
                <w:szCs w:val="20"/>
              </w:rPr>
              <w:t xml:space="preserve">Co-administration of dolutegravir has the potential to increase </w:t>
            </w:r>
            <w:proofErr w:type="spellStart"/>
            <w:r w:rsidRPr="007E2A9C">
              <w:rPr>
                <w:rFonts w:ascii="Arial Narrow" w:hAnsi="Arial Narrow"/>
                <w:sz w:val="20"/>
                <w:szCs w:val="20"/>
              </w:rPr>
              <w:t>dofetilide</w:t>
            </w:r>
            <w:proofErr w:type="spellEnd"/>
            <w:r w:rsidR="000F0204">
              <w:t xml:space="preserve"> </w:t>
            </w:r>
            <w:r w:rsidR="000F0204" w:rsidRPr="000F0204">
              <w:rPr>
                <w:rFonts w:ascii="Arial Narrow" w:hAnsi="Arial Narrow"/>
                <w:sz w:val="20"/>
                <w:szCs w:val="20"/>
              </w:rPr>
              <w:t xml:space="preserve">or </w:t>
            </w:r>
            <w:proofErr w:type="spellStart"/>
            <w:r w:rsidR="000F0204" w:rsidRPr="000F0204">
              <w:rPr>
                <w:rFonts w:ascii="Arial Narrow" w:hAnsi="Arial Narrow"/>
                <w:sz w:val="20"/>
                <w:szCs w:val="20"/>
              </w:rPr>
              <w:t>pilsicainide</w:t>
            </w:r>
            <w:proofErr w:type="spellEnd"/>
            <w:r w:rsidRPr="007E2A9C">
              <w:rPr>
                <w:rFonts w:ascii="Arial Narrow" w:hAnsi="Arial Narrow"/>
                <w:sz w:val="20"/>
                <w:szCs w:val="20"/>
              </w:rPr>
              <w:t xml:space="preserve"> plasma concentration via inhibition of OCT2 or MATE 1 transporters; co-administration has not been studied. </w:t>
            </w:r>
            <w:proofErr w:type="spellStart"/>
            <w:r w:rsidR="000F0204" w:rsidRPr="000F0204">
              <w:rPr>
                <w:rFonts w:ascii="Arial Narrow" w:hAnsi="Arial Narrow"/>
                <w:sz w:val="20"/>
                <w:szCs w:val="20"/>
              </w:rPr>
              <w:t>Dofetilide</w:t>
            </w:r>
            <w:proofErr w:type="spellEnd"/>
            <w:r w:rsidR="000F0204" w:rsidRPr="000F0204">
              <w:rPr>
                <w:rFonts w:ascii="Arial Narrow" w:hAnsi="Arial Narrow"/>
                <w:sz w:val="20"/>
                <w:szCs w:val="20"/>
              </w:rPr>
              <w:t xml:space="preserve"> or </w:t>
            </w:r>
            <w:proofErr w:type="spellStart"/>
            <w:r w:rsidR="000F0204" w:rsidRPr="000F0204">
              <w:rPr>
                <w:rFonts w:ascii="Arial Narrow" w:hAnsi="Arial Narrow"/>
                <w:sz w:val="20"/>
                <w:szCs w:val="20"/>
              </w:rPr>
              <w:t>pilsicainide</w:t>
            </w:r>
            <w:proofErr w:type="spellEnd"/>
            <w:r w:rsidR="000F0204" w:rsidRPr="000F0204">
              <w:rPr>
                <w:rFonts w:ascii="Arial Narrow" w:hAnsi="Arial Narrow"/>
                <w:sz w:val="20"/>
                <w:szCs w:val="20"/>
              </w:rPr>
              <w:t xml:space="preserve"> co-administration with </w:t>
            </w:r>
            <w:r w:rsidR="000F0204">
              <w:rPr>
                <w:rFonts w:ascii="Arial Narrow" w:hAnsi="Arial Narrow"/>
                <w:sz w:val="20"/>
                <w:szCs w:val="20"/>
              </w:rPr>
              <w:t>d</w:t>
            </w:r>
            <w:r w:rsidR="000F0204" w:rsidRPr="007E2A9C">
              <w:rPr>
                <w:rFonts w:ascii="Arial Narrow" w:hAnsi="Arial Narrow"/>
                <w:sz w:val="20"/>
                <w:szCs w:val="20"/>
              </w:rPr>
              <w:t xml:space="preserve">olutegravir </w:t>
            </w:r>
            <w:r w:rsidRPr="007E2A9C">
              <w:rPr>
                <w:rFonts w:ascii="Arial Narrow" w:hAnsi="Arial Narrow"/>
                <w:sz w:val="20"/>
                <w:szCs w:val="20"/>
              </w:rPr>
              <w:t xml:space="preserve">is contraindicated due to potential life-threatening toxicity caused by high </w:t>
            </w:r>
            <w:proofErr w:type="spellStart"/>
            <w:r w:rsidRPr="007E2A9C">
              <w:rPr>
                <w:rFonts w:ascii="Arial Narrow" w:hAnsi="Arial Narrow"/>
                <w:sz w:val="20"/>
                <w:szCs w:val="20"/>
              </w:rPr>
              <w:t>dofetilide</w:t>
            </w:r>
            <w:proofErr w:type="spellEnd"/>
            <w:r w:rsidRPr="007E2A9C">
              <w:rPr>
                <w:rFonts w:ascii="Arial Narrow" w:hAnsi="Arial Narrow"/>
                <w:sz w:val="20"/>
                <w:szCs w:val="20"/>
              </w:rPr>
              <w:t xml:space="preserve"> </w:t>
            </w:r>
            <w:r w:rsidR="000F0204" w:rsidRPr="000F0204">
              <w:rPr>
                <w:rFonts w:ascii="Arial Narrow" w:hAnsi="Arial Narrow"/>
                <w:sz w:val="20"/>
                <w:szCs w:val="20"/>
              </w:rPr>
              <w:t xml:space="preserve">or </w:t>
            </w:r>
            <w:proofErr w:type="spellStart"/>
            <w:r w:rsidR="000F0204" w:rsidRPr="000F0204">
              <w:rPr>
                <w:rFonts w:ascii="Arial Narrow" w:hAnsi="Arial Narrow"/>
                <w:sz w:val="20"/>
                <w:szCs w:val="20"/>
              </w:rPr>
              <w:t>pilsicainide</w:t>
            </w:r>
            <w:proofErr w:type="spellEnd"/>
            <w:r w:rsidR="000F0204" w:rsidRPr="000F0204">
              <w:rPr>
                <w:rFonts w:ascii="Arial Narrow" w:hAnsi="Arial Narrow"/>
                <w:sz w:val="20"/>
                <w:szCs w:val="20"/>
              </w:rPr>
              <w:t xml:space="preserve"> </w:t>
            </w:r>
            <w:r w:rsidRPr="007E2A9C">
              <w:rPr>
                <w:rFonts w:ascii="Arial Narrow" w:hAnsi="Arial Narrow"/>
                <w:sz w:val="20"/>
                <w:szCs w:val="20"/>
              </w:rPr>
              <w:t>concentration.</w:t>
            </w:r>
          </w:p>
        </w:tc>
      </w:tr>
      <w:tr w:rsidR="00074BE8" w:rsidRPr="00D4563C" w14:paraId="46C25068" w14:textId="77777777" w:rsidTr="0034449A">
        <w:tc>
          <w:tcPr>
            <w:tcW w:w="2235" w:type="dxa"/>
          </w:tcPr>
          <w:p w14:paraId="27B4927D" w14:textId="0784A644" w:rsidR="00074BE8" w:rsidRPr="007E2A9C" w:rsidRDefault="00074BE8" w:rsidP="00074BE8">
            <w:pPr>
              <w:spacing w:after="120" w:line="240" w:lineRule="auto"/>
              <w:rPr>
                <w:rFonts w:ascii="Arial Narrow" w:hAnsi="Arial Narrow"/>
                <w:sz w:val="20"/>
                <w:szCs w:val="20"/>
              </w:rPr>
            </w:pPr>
            <w:r w:rsidRPr="00D03AD1">
              <w:rPr>
                <w:rFonts w:ascii="Arial Narrow" w:hAnsi="Arial Narrow"/>
                <w:sz w:val="20"/>
                <w:szCs w:val="20"/>
              </w:rPr>
              <w:t>Fampridine</w:t>
            </w:r>
          </w:p>
        </w:tc>
        <w:tc>
          <w:tcPr>
            <w:tcW w:w="2764" w:type="dxa"/>
          </w:tcPr>
          <w:p w14:paraId="556480E7" w14:textId="06EB3315" w:rsidR="00074BE8" w:rsidRPr="007E2A9C" w:rsidRDefault="00074BE8" w:rsidP="00074BE8">
            <w:pPr>
              <w:spacing w:after="120" w:line="240" w:lineRule="auto"/>
              <w:rPr>
                <w:rFonts w:ascii="Arial Narrow" w:hAnsi="Arial Narrow"/>
                <w:sz w:val="20"/>
                <w:szCs w:val="20"/>
              </w:rPr>
            </w:pPr>
            <w:r w:rsidRPr="00D03AD1">
              <w:rPr>
                <w:rFonts w:ascii="Arial Narrow" w:hAnsi="Arial Narrow"/>
                <w:sz w:val="20"/>
                <w:szCs w:val="20"/>
              </w:rPr>
              <w:t xml:space="preserve">Fampridine </w:t>
            </w:r>
            <w:r w:rsidRPr="007E2A9C">
              <w:rPr>
                <w:rFonts w:ascii="Arial Narrow" w:hAnsi="Arial Narrow"/>
                <w:sz w:val="20"/>
                <w:szCs w:val="20"/>
              </w:rPr>
              <w:sym w:font="Symbol" w:char="F0AD"/>
            </w:r>
          </w:p>
        </w:tc>
        <w:tc>
          <w:tcPr>
            <w:tcW w:w="3863" w:type="dxa"/>
          </w:tcPr>
          <w:p w14:paraId="0BB2004D" w14:textId="6A29DFAD" w:rsidR="00074BE8" w:rsidRPr="007E2A9C" w:rsidRDefault="00074BE8" w:rsidP="00074BE8">
            <w:pPr>
              <w:spacing w:after="120" w:line="240" w:lineRule="auto"/>
              <w:rPr>
                <w:rFonts w:ascii="Arial Narrow" w:hAnsi="Arial Narrow"/>
                <w:sz w:val="20"/>
                <w:szCs w:val="20"/>
              </w:rPr>
            </w:pPr>
            <w:r w:rsidRPr="00D03AD1">
              <w:rPr>
                <w:rFonts w:ascii="Arial Narrow" w:hAnsi="Arial Narrow"/>
                <w:sz w:val="20"/>
                <w:szCs w:val="20"/>
              </w:rPr>
              <w:t xml:space="preserve">Co-administration of dolutegravir has the potential to cause seizures due to increased fampridine plasma concentration via inhibition of OCT2 transporter; coadministration has not been studied. Fampridine co-administration with </w:t>
            </w:r>
            <w:r>
              <w:rPr>
                <w:rFonts w:ascii="Arial Narrow" w:hAnsi="Arial Narrow"/>
                <w:sz w:val="20"/>
                <w:szCs w:val="20"/>
              </w:rPr>
              <w:t>dolutegravir</w:t>
            </w:r>
            <w:r w:rsidRPr="00D03AD1">
              <w:rPr>
                <w:rFonts w:ascii="Arial Narrow" w:hAnsi="Arial Narrow"/>
                <w:sz w:val="20"/>
                <w:szCs w:val="20"/>
              </w:rPr>
              <w:t xml:space="preserve"> is contraindicated.</w:t>
            </w:r>
          </w:p>
        </w:tc>
      </w:tr>
      <w:tr w:rsidR="00074BE8" w:rsidRPr="00D4563C" w14:paraId="50CF04EC" w14:textId="77777777" w:rsidTr="0034449A">
        <w:tc>
          <w:tcPr>
            <w:tcW w:w="2235" w:type="dxa"/>
          </w:tcPr>
          <w:p w14:paraId="3334EF23"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Carbamazepine</w:t>
            </w:r>
          </w:p>
          <w:p w14:paraId="10C6EFAE" w14:textId="77777777" w:rsidR="00074BE8" w:rsidRPr="007E2A9C" w:rsidRDefault="00074BE8" w:rsidP="00074BE8">
            <w:pPr>
              <w:spacing w:after="120" w:line="240" w:lineRule="auto"/>
              <w:rPr>
                <w:rFonts w:ascii="Arial Narrow" w:hAnsi="Arial Narrow"/>
                <w:sz w:val="20"/>
                <w:szCs w:val="20"/>
              </w:rPr>
            </w:pPr>
          </w:p>
        </w:tc>
        <w:tc>
          <w:tcPr>
            <w:tcW w:w="2764" w:type="dxa"/>
          </w:tcPr>
          <w:p w14:paraId="3AE59125" w14:textId="77777777" w:rsidR="00074BE8" w:rsidRPr="007E2A9C" w:rsidRDefault="00074BE8" w:rsidP="00074BE8">
            <w:pPr>
              <w:spacing w:after="120" w:line="240" w:lineRule="auto"/>
              <w:rPr>
                <w:rFonts w:ascii="Arial Narrow" w:eastAsia="MS Mincho"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49%</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33%</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73%</w:t>
            </w:r>
          </w:p>
          <w:p w14:paraId="13FE155B" w14:textId="77777777" w:rsidR="00074BE8" w:rsidRPr="007E2A9C" w:rsidRDefault="00074BE8" w:rsidP="00074BE8">
            <w:pPr>
              <w:spacing w:after="120" w:line="240" w:lineRule="auto"/>
              <w:rPr>
                <w:rFonts w:ascii="Arial Narrow" w:hAnsi="Arial Narrow"/>
                <w:sz w:val="20"/>
                <w:szCs w:val="20"/>
              </w:rPr>
            </w:pPr>
          </w:p>
        </w:tc>
        <w:tc>
          <w:tcPr>
            <w:tcW w:w="3863" w:type="dxa"/>
          </w:tcPr>
          <w:p w14:paraId="15860087" w14:textId="521FB19B"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Carbamazepine decreased dolutegravir plasma concentration. The recommended dose of dolutegravir </w:t>
            </w:r>
            <w:r>
              <w:rPr>
                <w:rFonts w:ascii="Arial Narrow" w:hAnsi="Arial Narrow"/>
                <w:sz w:val="20"/>
                <w:szCs w:val="20"/>
              </w:rPr>
              <w:t>should be given</w:t>
            </w:r>
            <w:r w:rsidRPr="007E2A9C">
              <w:rPr>
                <w:rFonts w:ascii="Arial Narrow" w:hAnsi="Arial Narrow"/>
                <w:sz w:val="20"/>
                <w:szCs w:val="20"/>
              </w:rPr>
              <w:t xml:space="preserve"> twice daily when co-administered with carbamazepine. Alternatives to carbamazepine should be used where possible for INI-resistant patients.</w:t>
            </w:r>
          </w:p>
        </w:tc>
      </w:tr>
      <w:tr w:rsidR="00074BE8" w:rsidRPr="00D4563C" w14:paraId="1153C154" w14:textId="77777777" w:rsidTr="0034449A">
        <w:tc>
          <w:tcPr>
            <w:tcW w:w="2235" w:type="dxa"/>
          </w:tcPr>
          <w:p w14:paraId="30FCAF52" w14:textId="77777777" w:rsidR="00074BE8" w:rsidRPr="007E2A9C" w:rsidRDefault="00074BE8" w:rsidP="00074BE8">
            <w:pPr>
              <w:spacing w:after="0" w:line="240" w:lineRule="auto"/>
              <w:rPr>
                <w:rFonts w:ascii="Arial Narrow" w:hAnsi="Arial Narrow"/>
                <w:sz w:val="20"/>
                <w:szCs w:val="20"/>
              </w:rPr>
            </w:pPr>
            <w:r w:rsidRPr="007E2A9C">
              <w:rPr>
                <w:rFonts w:ascii="Arial Narrow" w:hAnsi="Arial Narrow"/>
                <w:sz w:val="20"/>
                <w:szCs w:val="20"/>
              </w:rPr>
              <w:t>Phenytoin</w:t>
            </w:r>
          </w:p>
          <w:p w14:paraId="68DEB19B" w14:textId="77777777" w:rsidR="00074BE8" w:rsidRPr="007E2A9C" w:rsidRDefault="00074BE8" w:rsidP="00074BE8">
            <w:pPr>
              <w:spacing w:after="0" w:line="240" w:lineRule="auto"/>
              <w:rPr>
                <w:rFonts w:ascii="Arial Narrow" w:hAnsi="Arial Narrow"/>
                <w:sz w:val="20"/>
                <w:szCs w:val="20"/>
              </w:rPr>
            </w:pPr>
            <w:r w:rsidRPr="007E2A9C">
              <w:rPr>
                <w:rFonts w:ascii="Arial Narrow" w:hAnsi="Arial Narrow"/>
                <w:sz w:val="20"/>
                <w:szCs w:val="20"/>
              </w:rPr>
              <w:t>Phenobarbital</w:t>
            </w:r>
          </w:p>
          <w:p w14:paraId="425078D3" w14:textId="77777777" w:rsidR="00074BE8" w:rsidRPr="007E2A9C" w:rsidRDefault="00074BE8" w:rsidP="00074BE8">
            <w:pPr>
              <w:spacing w:after="0" w:line="240" w:lineRule="auto"/>
              <w:rPr>
                <w:rFonts w:ascii="Arial Narrow" w:hAnsi="Arial Narrow"/>
                <w:sz w:val="20"/>
                <w:szCs w:val="20"/>
              </w:rPr>
            </w:pPr>
            <w:r w:rsidRPr="007E2A9C">
              <w:rPr>
                <w:rFonts w:ascii="Arial Narrow" w:hAnsi="Arial Narrow"/>
                <w:sz w:val="20"/>
                <w:szCs w:val="20"/>
              </w:rPr>
              <w:t>St. John’s wort</w:t>
            </w:r>
          </w:p>
          <w:p w14:paraId="2438179D" w14:textId="77777777" w:rsidR="00074BE8" w:rsidRPr="007E2A9C" w:rsidRDefault="00074BE8" w:rsidP="00074BE8">
            <w:pPr>
              <w:spacing w:after="120" w:line="240" w:lineRule="auto"/>
              <w:rPr>
                <w:rFonts w:ascii="Arial Narrow" w:hAnsi="Arial Narrow"/>
                <w:sz w:val="20"/>
                <w:szCs w:val="20"/>
              </w:rPr>
            </w:pPr>
          </w:p>
        </w:tc>
        <w:tc>
          <w:tcPr>
            <w:tcW w:w="2764" w:type="dxa"/>
          </w:tcPr>
          <w:p w14:paraId="16EE972A"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p>
        </w:tc>
        <w:tc>
          <w:tcPr>
            <w:tcW w:w="3863" w:type="dxa"/>
          </w:tcPr>
          <w:p w14:paraId="5A29D16A" w14:textId="1B22208E"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lang w:val="en-GB"/>
              </w:rPr>
              <w:t xml:space="preserve">Co-administration with these metabolic inducers has the potential to decrease dolutegravir plasma concentration due to enzyme induction and has not been studied. Effect of these metabolic inducers on dolutegravir exposure is likely </w:t>
            </w:r>
            <w:proofErr w:type="gramStart"/>
            <w:r w:rsidRPr="007E2A9C">
              <w:rPr>
                <w:rFonts w:ascii="Arial Narrow" w:hAnsi="Arial Narrow"/>
                <w:sz w:val="20"/>
                <w:szCs w:val="20"/>
                <w:lang w:val="en-GB"/>
              </w:rPr>
              <w:t>similar to</w:t>
            </w:r>
            <w:proofErr w:type="gramEnd"/>
            <w:r w:rsidRPr="007E2A9C">
              <w:rPr>
                <w:rFonts w:ascii="Arial Narrow" w:hAnsi="Arial Narrow"/>
                <w:sz w:val="20"/>
                <w:szCs w:val="20"/>
                <w:lang w:val="en-GB"/>
              </w:rPr>
              <w:t xml:space="preserve"> carbamazepine. The recommended dose of dolutegravir </w:t>
            </w:r>
            <w:r>
              <w:rPr>
                <w:rFonts w:ascii="Arial Narrow" w:hAnsi="Arial Narrow"/>
                <w:sz w:val="20"/>
                <w:szCs w:val="20"/>
                <w:lang w:val="en-GB"/>
              </w:rPr>
              <w:t>should be given</w:t>
            </w:r>
            <w:r w:rsidRPr="007E2A9C">
              <w:rPr>
                <w:rFonts w:ascii="Arial Narrow" w:hAnsi="Arial Narrow"/>
                <w:sz w:val="20"/>
                <w:szCs w:val="20"/>
                <w:lang w:val="en-GB"/>
              </w:rPr>
              <w:t xml:space="preserve"> twice daily when co-administered with these metabolic inducers. Alternative combinations that do not include these metabolic inducers should be used where possible in INI-resistant patients.</w:t>
            </w:r>
          </w:p>
        </w:tc>
      </w:tr>
      <w:tr w:rsidR="00074BE8" w:rsidRPr="00D4563C" w14:paraId="6771956F" w14:textId="77777777" w:rsidTr="0034449A">
        <w:tc>
          <w:tcPr>
            <w:tcW w:w="2235" w:type="dxa"/>
          </w:tcPr>
          <w:p w14:paraId="552C639E" w14:textId="77777777" w:rsidR="00074BE8" w:rsidRPr="007E2A9C" w:rsidDel="002C28CD" w:rsidRDefault="00074BE8" w:rsidP="00074BE8">
            <w:pPr>
              <w:spacing w:after="120" w:line="240" w:lineRule="auto"/>
              <w:rPr>
                <w:rFonts w:ascii="Arial Narrow" w:hAnsi="Arial Narrow"/>
                <w:sz w:val="20"/>
                <w:szCs w:val="20"/>
              </w:rPr>
            </w:pPr>
            <w:r w:rsidRPr="007E2A9C">
              <w:rPr>
                <w:rFonts w:ascii="Arial Narrow" w:hAnsi="Arial Narrow"/>
                <w:sz w:val="20"/>
                <w:szCs w:val="20"/>
              </w:rPr>
              <w:t>Oxcarbazepine</w:t>
            </w:r>
          </w:p>
        </w:tc>
        <w:tc>
          <w:tcPr>
            <w:tcW w:w="2764" w:type="dxa"/>
          </w:tcPr>
          <w:p w14:paraId="22F695C4"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p>
        </w:tc>
        <w:tc>
          <w:tcPr>
            <w:tcW w:w="3863" w:type="dxa"/>
          </w:tcPr>
          <w:p w14:paraId="68DC5339" w14:textId="77777777" w:rsidR="00074BE8" w:rsidRPr="007E2A9C" w:rsidDel="002C28CD"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This interaction has not been studied. Although an inducer of CYP3A4, based on data from other </w:t>
            </w:r>
            <w:r w:rsidRPr="007E2A9C">
              <w:rPr>
                <w:rFonts w:ascii="Arial Narrow" w:hAnsi="Arial Narrow"/>
                <w:sz w:val="20"/>
                <w:szCs w:val="20"/>
              </w:rPr>
              <w:lastRenderedPageBreak/>
              <w:t>inducers, a clinically significant decrease in dolutegravir is not expected. No dose adjustment is necessary.</w:t>
            </w:r>
          </w:p>
        </w:tc>
      </w:tr>
      <w:tr w:rsidR="00074BE8" w:rsidRPr="00D4563C" w14:paraId="059B9CB5" w14:textId="77777777" w:rsidTr="0034449A">
        <w:tc>
          <w:tcPr>
            <w:tcW w:w="2235" w:type="dxa"/>
          </w:tcPr>
          <w:p w14:paraId="0B7EBA77"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lastRenderedPageBreak/>
              <w:t>Antacids containing polyvalent cations (e.g. Mg</w:t>
            </w:r>
            <w:r w:rsidRPr="007E2A9C">
              <w:rPr>
                <w:rFonts w:ascii="Arial Narrow" w:eastAsia="MS Mincho" w:hAnsi="Arial Narrow"/>
                <w:sz w:val="20"/>
                <w:szCs w:val="20"/>
                <w:lang w:eastAsia="ja-JP"/>
              </w:rPr>
              <w:t>, Al</w:t>
            </w:r>
            <w:r w:rsidRPr="007E2A9C">
              <w:rPr>
                <w:rFonts w:ascii="Arial Narrow" w:hAnsi="Arial Narrow"/>
                <w:sz w:val="20"/>
                <w:szCs w:val="20"/>
              </w:rPr>
              <w:t>)</w:t>
            </w:r>
          </w:p>
        </w:tc>
        <w:tc>
          <w:tcPr>
            <w:tcW w:w="2764" w:type="dxa"/>
          </w:tcPr>
          <w:p w14:paraId="17C4135E"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74% </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72%</w:t>
            </w:r>
            <w:r w:rsidRPr="007E2A9C">
              <w:rPr>
                <w:rFonts w:ascii="Arial Narrow" w:hAnsi="Arial Narrow"/>
                <w:sz w:val="20"/>
                <w:szCs w:val="20"/>
              </w:rPr>
              <w:br/>
              <w:t xml:space="preserve">C24 </w:t>
            </w:r>
            <w:r w:rsidRPr="007E2A9C">
              <w:rPr>
                <w:rFonts w:ascii="Arial Narrow" w:hAnsi="Arial Narrow"/>
                <w:sz w:val="20"/>
                <w:szCs w:val="20"/>
              </w:rPr>
              <w:sym w:font="Symbol" w:char="F0AF"/>
            </w:r>
            <w:r w:rsidRPr="007E2A9C">
              <w:rPr>
                <w:rFonts w:ascii="Arial Narrow" w:hAnsi="Arial Narrow"/>
                <w:sz w:val="20"/>
                <w:szCs w:val="20"/>
              </w:rPr>
              <w:t xml:space="preserve"> 74%</w:t>
            </w:r>
          </w:p>
        </w:tc>
        <w:tc>
          <w:tcPr>
            <w:tcW w:w="3863" w:type="dxa"/>
          </w:tcPr>
          <w:p w14:paraId="5827B019"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Co-administration of antacids containing polyvalent cations decreased dolutegravir plasma concentration. Dolutegravir is recommended to be administered 2 hours before or 6 hours after taking antacid products containing polyvalent cations. </w:t>
            </w:r>
          </w:p>
        </w:tc>
      </w:tr>
      <w:tr w:rsidR="00074BE8" w:rsidRPr="00D4563C" w14:paraId="51C424C9" w14:textId="77777777" w:rsidTr="0034449A">
        <w:tc>
          <w:tcPr>
            <w:tcW w:w="2235" w:type="dxa"/>
          </w:tcPr>
          <w:p w14:paraId="3DD77544"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Calcium supplements</w:t>
            </w:r>
          </w:p>
        </w:tc>
        <w:tc>
          <w:tcPr>
            <w:tcW w:w="2764" w:type="dxa"/>
          </w:tcPr>
          <w:p w14:paraId="0DBA7D4F"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39% </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37%</w:t>
            </w:r>
            <w:r w:rsidRPr="007E2A9C">
              <w:rPr>
                <w:rFonts w:ascii="Arial Narrow" w:hAnsi="Arial Narrow"/>
                <w:sz w:val="20"/>
                <w:szCs w:val="20"/>
              </w:rPr>
              <w:br/>
              <w:t xml:space="preserve">C24 </w:t>
            </w:r>
            <w:r w:rsidRPr="007E2A9C">
              <w:rPr>
                <w:rFonts w:ascii="Arial Narrow" w:hAnsi="Arial Narrow"/>
                <w:sz w:val="20"/>
                <w:szCs w:val="20"/>
              </w:rPr>
              <w:sym w:font="Symbol" w:char="F0AF"/>
            </w:r>
            <w:r w:rsidRPr="007E2A9C">
              <w:rPr>
                <w:rFonts w:ascii="Arial Narrow" w:hAnsi="Arial Narrow"/>
                <w:sz w:val="20"/>
                <w:szCs w:val="20"/>
              </w:rPr>
              <w:t xml:space="preserve"> 39%</w:t>
            </w:r>
          </w:p>
        </w:tc>
        <w:tc>
          <w:tcPr>
            <w:tcW w:w="3863" w:type="dxa"/>
          </w:tcPr>
          <w:p w14:paraId="4665FDBD"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Dolutegravir is recommended to be administered 2 hours before or 6 hours after taking products containing calcium, or alternatively, administer with food. </w:t>
            </w:r>
          </w:p>
        </w:tc>
      </w:tr>
      <w:tr w:rsidR="00074BE8" w:rsidRPr="00D4563C" w14:paraId="7E3EDB57" w14:textId="77777777" w:rsidTr="0034449A">
        <w:tc>
          <w:tcPr>
            <w:tcW w:w="2235" w:type="dxa"/>
          </w:tcPr>
          <w:p w14:paraId="6CC406C9"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Iron supplements</w:t>
            </w:r>
          </w:p>
        </w:tc>
        <w:tc>
          <w:tcPr>
            <w:tcW w:w="2764" w:type="dxa"/>
          </w:tcPr>
          <w:p w14:paraId="37455012"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54% </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57%</w:t>
            </w:r>
            <w:r w:rsidRPr="007E2A9C">
              <w:rPr>
                <w:rFonts w:ascii="Arial Narrow" w:hAnsi="Arial Narrow"/>
                <w:sz w:val="20"/>
                <w:szCs w:val="20"/>
              </w:rPr>
              <w:br/>
              <w:t xml:space="preserve">C24 </w:t>
            </w:r>
            <w:r w:rsidRPr="007E2A9C">
              <w:rPr>
                <w:rFonts w:ascii="Arial Narrow" w:hAnsi="Arial Narrow"/>
                <w:sz w:val="20"/>
                <w:szCs w:val="20"/>
              </w:rPr>
              <w:sym w:font="Symbol" w:char="F0AF"/>
            </w:r>
            <w:r w:rsidRPr="007E2A9C">
              <w:rPr>
                <w:rFonts w:ascii="Arial Narrow" w:hAnsi="Arial Narrow"/>
                <w:sz w:val="20"/>
                <w:szCs w:val="20"/>
              </w:rPr>
              <w:t xml:space="preserve"> 56%</w:t>
            </w:r>
          </w:p>
        </w:tc>
        <w:tc>
          <w:tcPr>
            <w:tcW w:w="3863" w:type="dxa"/>
          </w:tcPr>
          <w:p w14:paraId="791D9089"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Dolutegravir is recommended to be administered 2 hours before or 6 hours after taking products containing iron, or alternatively, administer with food.</w:t>
            </w:r>
          </w:p>
        </w:tc>
      </w:tr>
      <w:tr w:rsidR="00074BE8" w:rsidRPr="00D4563C" w14:paraId="59C4D514" w14:textId="77777777" w:rsidTr="0034449A">
        <w:tc>
          <w:tcPr>
            <w:tcW w:w="2235" w:type="dxa"/>
          </w:tcPr>
          <w:p w14:paraId="4C71974F"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Metformin</w:t>
            </w:r>
          </w:p>
        </w:tc>
        <w:tc>
          <w:tcPr>
            <w:tcW w:w="2764" w:type="dxa"/>
          </w:tcPr>
          <w:p w14:paraId="3CC69188"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Metformin </w:t>
            </w:r>
            <w:r w:rsidRPr="007E2A9C">
              <w:rPr>
                <w:rFonts w:ascii="Arial Narrow" w:hAnsi="Arial Narrow"/>
                <w:sz w:val="20"/>
                <w:szCs w:val="20"/>
              </w:rPr>
              <w:sym w:font="Symbol" w:char="F0AD"/>
            </w:r>
          </w:p>
          <w:p w14:paraId="28C9F476" w14:textId="17B0F1C1" w:rsidR="00074BE8" w:rsidRPr="007E2A9C" w:rsidRDefault="00074BE8" w:rsidP="00074BE8">
            <w:pPr>
              <w:spacing w:after="120" w:line="240" w:lineRule="auto"/>
              <w:rPr>
                <w:rFonts w:ascii="Arial Narrow" w:hAnsi="Arial Narrow"/>
                <w:sz w:val="20"/>
                <w:szCs w:val="20"/>
                <w:lang w:val="en-GB"/>
              </w:rPr>
            </w:pPr>
            <w:r w:rsidRPr="007E2A9C">
              <w:rPr>
                <w:rFonts w:ascii="Arial Narrow" w:hAnsi="Arial Narrow"/>
                <w:sz w:val="20"/>
                <w:szCs w:val="20"/>
                <w:lang w:val="en-GB"/>
              </w:rPr>
              <w:t xml:space="preserve">When co-administered with dolutegravir 50 mg </w:t>
            </w:r>
            <w:r>
              <w:rPr>
                <w:rFonts w:ascii="Arial Narrow" w:hAnsi="Arial Narrow"/>
                <w:sz w:val="20"/>
                <w:szCs w:val="20"/>
                <w:lang w:val="en-GB"/>
              </w:rPr>
              <w:t xml:space="preserve">film-coated tablets </w:t>
            </w:r>
            <w:r w:rsidRPr="007E2A9C">
              <w:rPr>
                <w:rFonts w:ascii="Arial Narrow" w:hAnsi="Arial Narrow"/>
                <w:sz w:val="20"/>
                <w:szCs w:val="20"/>
                <w:lang w:val="en-GB"/>
              </w:rPr>
              <w:t>QD:</w:t>
            </w:r>
          </w:p>
          <w:p w14:paraId="66B4157A" w14:textId="77777777" w:rsidR="00074BE8" w:rsidRPr="007E2A9C" w:rsidRDefault="00074BE8" w:rsidP="00074BE8">
            <w:pPr>
              <w:spacing w:after="120" w:line="240" w:lineRule="auto"/>
              <w:rPr>
                <w:rFonts w:ascii="Arial Narrow" w:hAnsi="Arial Narrow"/>
                <w:sz w:val="20"/>
                <w:szCs w:val="20"/>
                <w:lang w:val="en-GB"/>
              </w:rPr>
            </w:pPr>
            <w:r w:rsidRPr="007E2A9C">
              <w:rPr>
                <w:rFonts w:ascii="Arial Narrow" w:hAnsi="Arial Narrow"/>
                <w:sz w:val="20"/>
                <w:szCs w:val="20"/>
                <w:lang w:val="en-GB"/>
              </w:rPr>
              <w:t>Metformin</w:t>
            </w:r>
            <w:r w:rsidRPr="007E2A9C">
              <w:rPr>
                <w:rFonts w:ascii="Arial Narrow" w:hAnsi="Arial Narrow"/>
                <w:sz w:val="20"/>
                <w:szCs w:val="20"/>
                <w:lang w:val="en-GB"/>
              </w:rPr>
              <w:br/>
              <w:t xml:space="preserve">AUC </w:t>
            </w:r>
            <w:r w:rsidRPr="007E2A9C">
              <w:rPr>
                <w:rFonts w:ascii="Arial Narrow" w:hAnsi="Arial Narrow"/>
                <w:sz w:val="20"/>
                <w:szCs w:val="20"/>
                <w:lang w:val="en-GB"/>
              </w:rPr>
              <w:sym w:font="Symbol" w:char="F0AD"/>
            </w:r>
            <w:r w:rsidRPr="007E2A9C">
              <w:rPr>
                <w:rFonts w:ascii="Arial Narrow" w:hAnsi="Arial Narrow"/>
                <w:sz w:val="20"/>
                <w:szCs w:val="20"/>
                <w:lang w:val="en-GB"/>
              </w:rPr>
              <w:t xml:space="preserve"> 79% </w:t>
            </w:r>
            <w:r w:rsidRPr="007E2A9C">
              <w:rPr>
                <w:rFonts w:ascii="Arial Narrow" w:hAnsi="Arial Narrow"/>
                <w:sz w:val="20"/>
                <w:szCs w:val="20"/>
                <w:lang w:val="en-GB"/>
              </w:rPr>
              <w:br/>
            </w:r>
            <w:proofErr w:type="spellStart"/>
            <w:r w:rsidRPr="007E2A9C">
              <w:rPr>
                <w:rFonts w:ascii="Arial Narrow" w:hAnsi="Arial Narrow"/>
                <w:sz w:val="20"/>
                <w:szCs w:val="20"/>
                <w:lang w:val="en-GB"/>
              </w:rPr>
              <w:t>C</w:t>
            </w:r>
            <w:r w:rsidRPr="007E2A9C">
              <w:rPr>
                <w:rFonts w:ascii="Arial Narrow" w:hAnsi="Arial Narrow"/>
                <w:sz w:val="20"/>
                <w:szCs w:val="20"/>
                <w:vertAlign w:val="subscript"/>
                <w:lang w:val="en-GB"/>
              </w:rPr>
              <w:t>max</w:t>
            </w:r>
            <w:proofErr w:type="spellEnd"/>
            <w:r w:rsidRPr="007E2A9C">
              <w:rPr>
                <w:rFonts w:ascii="Arial Narrow" w:hAnsi="Arial Narrow"/>
                <w:sz w:val="20"/>
                <w:szCs w:val="20"/>
                <w:lang w:val="en-GB"/>
              </w:rPr>
              <w:t xml:space="preserve"> </w:t>
            </w:r>
            <w:r w:rsidRPr="007E2A9C">
              <w:rPr>
                <w:rFonts w:ascii="Arial Narrow" w:hAnsi="Arial Narrow"/>
                <w:sz w:val="20"/>
                <w:szCs w:val="20"/>
                <w:lang w:val="en-GB"/>
              </w:rPr>
              <w:sym w:font="Symbol" w:char="F0AD"/>
            </w:r>
            <w:r w:rsidRPr="007E2A9C">
              <w:rPr>
                <w:rFonts w:ascii="Arial Narrow" w:hAnsi="Arial Narrow"/>
                <w:sz w:val="20"/>
                <w:szCs w:val="20"/>
                <w:lang w:val="en-GB"/>
              </w:rPr>
              <w:t xml:space="preserve"> 66%</w:t>
            </w:r>
          </w:p>
          <w:p w14:paraId="25A8D585" w14:textId="60B256E3" w:rsidR="00074BE8" w:rsidRPr="007E2A9C" w:rsidRDefault="00074BE8" w:rsidP="00074BE8">
            <w:pPr>
              <w:spacing w:after="120" w:line="240" w:lineRule="auto"/>
              <w:rPr>
                <w:rFonts w:ascii="Arial Narrow" w:hAnsi="Arial Narrow"/>
                <w:sz w:val="20"/>
                <w:szCs w:val="20"/>
                <w:lang w:val="en-GB"/>
              </w:rPr>
            </w:pPr>
            <w:r w:rsidRPr="007E2A9C">
              <w:rPr>
                <w:rFonts w:ascii="Arial Narrow" w:hAnsi="Arial Narrow"/>
                <w:sz w:val="20"/>
                <w:szCs w:val="20"/>
                <w:lang w:val="en-GB"/>
              </w:rPr>
              <w:t xml:space="preserve">When co-administered with dolutegravir 50 mg </w:t>
            </w:r>
            <w:r>
              <w:rPr>
                <w:rFonts w:ascii="Arial Narrow" w:hAnsi="Arial Narrow"/>
                <w:sz w:val="20"/>
                <w:szCs w:val="20"/>
                <w:lang w:val="en-GB"/>
              </w:rPr>
              <w:t xml:space="preserve">film-coated tablets </w:t>
            </w:r>
            <w:r w:rsidRPr="007E2A9C">
              <w:rPr>
                <w:rFonts w:ascii="Arial Narrow" w:hAnsi="Arial Narrow"/>
                <w:sz w:val="20"/>
                <w:szCs w:val="20"/>
                <w:lang w:val="en-GB"/>
              </w:rPr>
              <w:t xml:space="preserve">BID: </w:t>
            </w:r>
          </w:p>
          <w:p w14:paraId="59140DE1"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lang w:val="en-GB"/>
              </w:rPr>
              <w:t>Metformin</w:t>
            </w:r>
            <w:r w:rsidRPr="007E2A9C">
              <w:rPr>
                <w:rFonts w:ascii="Arial Narrow" w:hAnsi="Arial Narrow"/>
                <w:sz w:val="20"/>
                <w:szCs w:val="20"/>
                <w:lang w:val="en-GB"/>
              </w:rPr>
              <w:br/>
              <w:t xml:space="preserve">AUC </w:t>
            </w:r>
            <w:r w:rsidRPr="007E2A9C">
              <w:rPr>
                <w:rFonts w:ascii="Arial Narrow" w:hAnsi="Arial Narrow"/>
                <w:sz w:val="20"/>
                <w:szCs w:val="20"/>
                <w:lang w:val="en-GB"/>
              </w:rPr>
              <w:sym w:font="Symbol" w:char="F0AD"/>
            </w:r>
            <w:r w:rsidRPr="007E2A9C">
              <w:rPr>
                <w:rFonts w:ascii="Arial Narrow" w:hAnsi="Arial Narrow"/>
                <w:sz w:val="20"/>
                <w:szCs w:val="20"/>
                <w:lang w:val="en-GB"/>
              </w:rPr>
              <w:t xml:space="preserve"> 145 % </w:t>
            </w:r>
            <w:r w:rsidRPr="007E2A9C">
              <w:rPr>
                <w:rFonts w:ascii="Arial Narrow" w:hAnsi="Arial Narrow"/>
                <w:sz w:val="20"/>
                <w:szCs w:val="20"/>
                <w:lang w:val="en-GB"/>
              </w:rPr>
              <w:br/>
            </w:r>
            <w:proofErr w:type="spellStart"/>
            <w:r w:rsidRPr="007E2A9C">
              <w:rPr>
                <w:rFonts w:ascii="Arial Narrow" w:hAnsi="Arial Narrow"/>
                <w:sz w:val="20"/>
                <w:szCs w:val="20"/>
                <w:lang w:val="en-GB"/>
              </w:rPr>
              <w:t>C</w:t>
            </w:r>
            <w:r w:rsidRPr="007E2A9C">
              <w:rPr>
                <w:rFonts w:ascii="Arial Narrow" w:hAnsi="Arial Narrow"/>
                <w:sz w:val="20"/>
                <w:szCs w:val="20"/>
                <w:vertAlign w:val="subscript"/>
                <w:lang w:val="en-GB"/>
              </w:rPr>
              <w:t>max</w:t>
            </w:r>
            <w:proofErr w:type="spellEnd"/>
            <w:r w:rsidRPr="007E2A9C">
              <w:rPr>
                <w:rFonts w:ascii="Arial Narrow" w:hAnsi="Arial Narrow"/>
                <w:sz w:val="20"/>
                <w:szCs w:val="20"/>
                <w:lang w:val="en-GB"/>
              </w:rPr>
              <w:t xml:space="preserve"> </w:t>
            </w:r>
            <w:r w:rsidRPr="007E2A9C">
              <w:rPr>
                <w:rFonts w:ascii="Arial Narrow" w:hAnsi="Arial Narrow"/>
                <w:sz w:val="20"/>
                <w:szCs w:val="20"/>
                <w:lang w:val="en-GB"/>
              </w:rPr>
              <w:sym w:font="Symbol" w:char="F0AD"/>
            </w:r>
            <w:r w:rsidRPr="007E2A9C">
              <w:rPr>
                <w:rFonts w:ascii="Arial Narrow" w:hAnsi="Arial Narrow"/>
                <w:sz w:val="20"/>
                <w:szCs w:val="20"/>
                <w:lang w:val="en-GB"/>
              </w:rPr>
              <w:t xml:space="preserve"> 111%</w:t>
            </w:r>
          </w:p>
        </w:tc>
        <w:tc>
          <w:tcPr>
            <w:tcW w:w="3863" w:type="dxa"/>
          </w:tcPr>
          <w:p w14:paraId="71656446"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Co-administration of dolutegravir increased metformin plasma concentration via inhibition of OCT2 or MATE 1 transporters; co-administration has not been studied. </w:t>
            </w:r>
            <w:r w:rsidRPr="007E2A9C">
              <w:rPr>
                <w:rFonts w:ascii="Arial Narrow" w:hAnsi="Arial Narrow"/>
                <w:sz w:val="20"/>
                <w:szCs w:val="20"/>
                <w:lang w:val="en-GB"/>
              </w:rPr>
              <w:t xml:space="preserve">A dose adjustment of metformin should be </w:t>
            </w:r>
            <w:r w:rsidRPr="007E2A9C">
              <w:rPr>
                <w:rFonts w:ascii="Arial Narrow" w:hAnsi="Arial Narrow"/>
                <w:sz w:val="20"/>
                <w:szCs w:val="20"/>
                <w:lang w:val="en-US"/>
              </w:rPr>
              <w:t xml:space="preserve">considered </w:t>
            </w:r>
            <w:r w:rsidRPr="007E2A9C">
              <w:rPr>
                <w:rFonts w:ascii="Arial Narrow" w:hAnsi="Arial Narrow"/>
                <w:sz w:val="20"/>
                <w:szCs w:val="20"/>
                <w:lang w:val="en-GB"/>
              </w:rPr>
              <w:t xml:space="preserve">when starting and stopping co-administration of dolutegravir with metformin, </w:t>
            </w:r>
            <w:r w:rsidRPr="007E2A9C">
              <w:rPr>
                <w:rFonts w:ascii="Arial Narrow" w:hAnsi="Arial Narrow"/>
                <w:sz w:val="20"/>
                <w:szCs w:val="20"/>
                <w:lang w:val="en-US"/>
              </w:rPr>
              <w:t xml:space="preserve">to maintain </w:t>
            </w:r>
            <w:proofErr w:type="spellStart"/>
            <w:r w:rsidRPr="007E2A9C">
              <w:rPr>
                <w:rFonts w:ascii="Arial Narrow" w:hAnsi="Arial Narrow"/>
                <w:sz w:val="20"/>
                <w:szCs w:val="20"/>
                <w:lang w:val="en-US"/>
              </w:rPr>
              <w:t>glycaemic</w:t>
            </w:r>
            <w:proofErr w:type="spellEnd"/>
            <w:r w:rsidRPr="007E2A9C">
              <w:rPr>
                <w:rFonts w:ascii="Arial Narrow" w:hAnsi="Arial Narrow"/>
                <w:sz w:val="20"/>
                <w:szCs w:val="20"/>
                <w:lang w:val="en-US"/>
              </w:rPr>
              <w:t xml:space="preserve"> control.</w:t>
            </w:r>
            <w:r w:rsidRPr="007E2A9C" w:rsidDel="00F413ED">
              <w:rPr>
                <w:rFonts w:ascii="Arial Narrow" w:hAnsi="Arial Narrow"/>
                <w:sz w:val="20"/>
                <w:szCs w:val="20"/>
              </w:rPr>
              <w:t xml:space="preserve"> </w:t>
            </w:r>
          </w:p>
        </w:tc>
      </w:tr>
      <w:tr w:rsidR="00074BE8" w:rsidRPr="00D4563C" w14:paraId="29A1F40D" w14:textId="77777777" w:rsidTr="0034449A">
        <w:tc>
          <w:tcPr>
            <w:tcW w:w="2235" w:type="dxa"/>
          </w:tcPr>
          <w:p w14:paraId="6F2F3FA6"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Rifampicin</w:t>
            </w:r>
          </w:p>
        </w:tc>
        <w:tc>
          <w:tcPr>
            <w:tcW w:w="2764" w:type="dxa"/>
          </w:tcPr>
          <w:p w14:paraId="02A9A5EA" w14:textId="77777777" w:rsidR="00074BE8" w:rsidRPr="007E2A9C" w:rsidRDefault="00074BE8" w:rsidP="00074BE8">
            <w:pPr>
              <w:spacing w:after="120" w:line="240" w:lineRule="auto"/>
              <w:rPr>
                <w:rFonts w:ascii="Arial Narrow" w:eastAsia="MS Mincho" w:hAnsi="Arial Narrow"/>
                <w:sz w:val="20"/>
                <w:szCs w:val="20"/>
                <w:lang w:eastAsia="ja-JP"/>
              </w:rPr>
            </w:pPr>
            <w:r w:rsidRPr="007E2A9C">
              <w:rPr>
                <w:rFonts w:ascii="Arial Narrow" w:hAnsi="Arial Narrow"/>
                <w:sz w:val="20"/>
                <w:szCs w:val="20"/>
              </w:rPr>
              <w:t xml:space="preserve">Dolutegravir </w:t>
            </w:r>
            <w:r w:rsidRPr="007E2A9C">
              <w:rPr>
                <w:rFonts w:ascii="Arial Narrow" w:hAnsi="Arial Narrow"/>
                <w:sz w:val="20"/>
                <w:szCs w:val="20"/>
              </w:rPr>
              <w:sym w:font="Symbol" w:char="F0AF"/>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54%</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43%</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72%</w:t>
            </w:r>
          </w:p>
          <w:p w14:paraId="414EB6FB" w14:textId="77777777" w:rsidR="00074BE8" w:rsidRPr="007E2A9C" w:rsidRDefault="00074BE8" w:rsidP="00074BE8">
            <w:pPr>
              <w:spacing w:after="120" w:line="240" w:lineRule="auto"/>
              <w:rPr>
                <w:rFonts w:ascii="Arial Narrow" w:hAnsi="Arial Narrow"/>
                <w:sz w:val="20"/>
                <w:szCs w:val="20"/>
              </w:rPr>
            </w:pPr>
          </w:p>
        </w:tc>
        <w:tc>
          <w:tcPr>
            <w:tcW w:w="3863" w:type="dxa"/>
          </w:tcPr>
          <w:p w14:paraId="03CEA523" w14:textId="6692E0F0"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Rifampicin decreased dolutegravir plasma concentration. The recommended dose of dolutegravir </w:t>
            </w:r>
            <w:r>
              <w:rPr>
                <w:rFonts w:ascii="Arial Narrow" w:hAnsi="Arial Narrow"/>
                <w:sz w:val="20"/>
                <w:szCs w:val="20"/>
              </w:rPr>
              <w:t>should be given</w:t>
            </w:r>
            <w:r w:rsidRPr="007E2A9C">
              <w:rPr>
                <w:rFonts w:ascii="Arial Narrow" w:hAnsi="Arial Narrow"/>
                <w:sz w:val="20"/>
                <w:szCs w:val="20"/>
              </w:rPr>
              <w:t xml:space="preserve"> twice daily when co-administered with rifampicin. </w:t>
            </w:r>
            <w:r w:rsidRPr="007E2A9C">
              <w:rPr>
                <w:rFonts w:ascii="Arial Narrow" w:hAnsi="Arial Narrow"/>
                <w:sz w:val="20"/>
                <w:szCs w:val="20"/>
                <w:lang w:val="en-GB"/>
              </w:rPr>
              <w:t>Alternatives to rifampicin should be used where possible for</w:t>
            </w:r>
            <w:r w:rsidRPr="007E2A9C">
              <w:rPr>
                <w:rFonts w:ascii="Arial Narrow" w:hAnsi="Arial Narrow"/>
                <w:sz w:val="20"/>
                <w:szCs w:val="20"/>
              </w:rPr>
              <w:t xml:space="preserve"> INI-resistant patients.</w:t>
            </w:r>
          </w:p>
        </w:tc>
      </w:tr>
      <w:tr w:rsidR="00074BE8" w:rsidRPr="00D4563C" w14:paraId="716AD9BB" w14:textId="77777777" w:rsidTr="0034449A">
        <w:tc>
          <w:tcPr>
            <w:tcW w:w="2235" w:type="dxa"/>
          </w:tcPr>
          <w:p w14:paraId="232D059A" w14:textId="45468E62" w:rsidR="00074BE8" w:rsidRPr="007E2A9C" w:rsidRDefault="00074BE8" w:rsidP="00074BE8">
            <w:pPr>
              <w:spacing w:after="0" w:line="240" w:lineRule="auto"/>
              <w:rPr>
                <w:rFonts w:ascii="Arial Narrow" w:hAnsi="Arial Narrow"/>
                <w:sz w:val="20"/>
                <w:szCs w:val="20"/>
              </w:rPr>
            </w:pPr>
            <w:r>
              <w:rPr>
                <w:rFonts w:ascii="Arial Narrow" w:hAnsi="Arial Narrow"/>
                <w:sz w:val="20"/>
                <w:szCs w:val="20"/>
              </w:rPr>
              <w:t>Rifabutin</w:t>
            </w:r>
          </w:p>
        </w:tc>
        <w:tc>
          <w:tcPr>
            <w:tcW w:w="2764" w:type="dxa"/>
          </w:tcPr>
          <w:p w14:paraId="79B24E8C" w14:textId="77777777" w:rsidR="00074BE8" w:rsidRDefault="00074BE8" w:rsidP="00074BE8">
            <w:pPr>
              <w:spacing w:after="0" w:line="240" w:lineRule="auto"/>
              <w:rPr>
                <w:rFonts w:ascii="Arial Narrow" w:hAnsi="Arial Narrow"/>
                <w:sz w:val="20"/>
                <w:szCs w:val="20"/>
              </w:rPr>
            </w:pPr>
            <w:r>
              <w:rPr>
                <w:rFonts w:ascii="Arial Narrow" w:hAnsi="Arial Narrow"/>
                <w:sz w:val="20"/>
                <w:szCs w:val="20"/>
              </w:rPr>
              <w:t xml:space="preserve">Dolutegravir </w:t>
            </w:r>
            <w:r w:rsidRPr="007E2A9C">
              <w:rPr>
                <w:rFonts w:ascii="Arial Narrow" w:hAnsi="Arial Narrow"/>
                <w:sz w:val="20"/>
                <w:szCs w:val="20"/>
              </w:rPr>
              <w:sym w:font="Symbol" w:char="F0AB"/>
            </w:r>
          </w:p>
          <w:p w14:paraId="73754730" w14:textId="77777777" w:rsidR="00074BE8" w:rsidRDefault="00074BE8" w:rsidP="00074BE8">
            <w:pPr>
              <w:spacing w:after="0" w:line="240" w:lineRule="auto"/>
              <w:rPr>
                <w:rFonts w:ascii="Arial Narrow" w:hAnsi="Arial Narrow"/>
                <w:sz w:val="20"/>
                <w:szCs w:val="20"/>
              </w:rPr>
            </w:pPr>
            <w:r>
              <w:rPr>
                <w:rFonts w:ascii="Arial Narrow" w:hAnsi="Arial Narrow"/>
                <w:sz w:val="20"/>
                <w:szCs w:val="20"/>
              </w:rPr>
              <w:t xml:space="preserve">AUC </w:t>
            </w:r>
            <w:r w:rsidRPr="007E2A9C">
              <w:rPr>
                <w:rFonts w:ascii="Arial Narrow" w:hAnsi="Arial Narrow"/>
                <w:sz w:val="20"/>
                <w:szCs w:val="20"/>
              </w:rPr>
              <w:sym w:font="Symbol" w:char="F0AF"/>
            </w:r>
            <w:r>
              <w:rPr>
                <w:rFonts w:ascii="Arial Narrow" w:hAnsi="Arial Narrow"/>
                <w:sz w:val="20"/>
                <w:szCs w:val="20"/>
              </w:rPr>
              <w:t xml:space="preserve"> 5%</w:t>
            </w:r>
          </w:p>
          <w:p w14:paraId="0FCD6E49" w14:textId="77777777" w:rsidR="00074BE8" w:rsidRDefault="00074BE8" w:rsidP="00074BE8">
            <w:pPr>
              <w:spacing w:after="0" w:line="240" w:lineRule="auto"/>
              <w:rPr>
                <w:rFonts w:ascii="Arial Narrow" w:hAnsi="Arial Narrow"/>
                <w:sz w:val="20"/>
                <w:szCs w:val="20"/>
                <w:lang w:val="en-GB"/>
              </w:rPr>
            </w:pPr>
            <w:proofErr w:type="spellStart"/>
            <w:r>
              <w:rPr>
                <w:rFonts w:ascii="Arial Narrow" w:hAnsi="Arial Narrow"/>
                <w:sz w:val="20"/>
                <w:szCs w:val="20"/>
              </w:rPr>
              <w:t>C</w:t>
            </w:r>
            <w:r>
              <w:rPr>
                <w:rFonts w:ascii="Arial Narrow" w:hAnsi="Arial Narrow"/>
                <w:sz w:val="20"/>
                <w:szCs w:val="20"/>
                <w:vertAlign w:val="subscript"/>
              </w:rPr>
              <w:t>max</w:t>
            </w:r>
            <w:proofErr w:type="spellEnd"/>
            <w:r>
              <w:rPr>
                <w:rFonts w:ascii="Arial Narrow" w:hAnsi="Arial Narrow"/>
                <w:sz w:val="20"/>
                <w:szCs w:val="20"/>
              </w:rPr>
              <w:t xml:space="preserve"> </w:t>
            </w:r>
            <w:r w:rsidRPr="007E2A9C">
              <w:rPr>
                <w:rFonts w:ascii="Arial Narrow" w:hAnsi="Arial Narrow"/>
                <w:sz w:val="20"/>
                <w:szCs w:val="20"/>
                <w:lang w:val="en-GB"/>
              </w:rPr>
              <w:t xml:space="preserve"> </w:t>
            </w:r>
            <w:r w:rsidRPr="007E2A9C">
              <w:rPr>
                <w:rFonts w:ascii="Arial Narrow" w:hAnsi="Arial Narrow"/>
                <w:sz w:val="20"/>
                <w:szCs w:val="20"/>
                <w:lang w:val="en-GB"/>
              </w:rPr>
              <w:sym w:font="Symbol" w:char="F0AD"/>
            </w:r>
            <w:r>
              <w:rPr>
                <w:rFonts w:ascii="Arial Narrow" w:hAnsi="Arial Narrow"/>
                <w:sz w:val="20"/>
                <w:szCs w:val="20"/>
                <w:lang w:val="en-GB"/>
              </w:rPr>
              <w:t xml:space="preserve"> 16%</w:t>
            </w:r>
          </w:p>
          <w:p w14:paraId="113C9B1F" w14:textId="0B7C05FF" w:rsidR="00074BE8" w:rsidRPr="007B622B" w:rsidRDefault="00074BE8" w:rsidP="00074BE8">
            <w:pPr>
              <w:spacing w:after="0" w:line="240" w:lineRule="auto"/>
              <w:rPr>
                <w:rFonts w:ascii="Arial Narrow" w:hAnsi="Arial Narrow"/>
                <w:sz w:val="20"/>
                <w:szCs w:val="20"/>
              </w:rPr>
            </w:pPr>
            <w:r w:rsidRPr="007E2A9C">
              <w:rPr>
                <w:rFonts w:ascii="Arial Narrow" w:hAnsi="Arial Narrow"/>
                <w:sz w:val="20"/>
                <w:szCs w:val="20"/>
              </w:rP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Pr>
                <w:rFonts w:ascii="Arial Narrow" w:hAnsi="Arial Narrow"/>
                <w:sz w:val="20"/>
                <w:szCs w:val="20"/>
              </w:rPr>
              <w:t xml:space="preserve"> 30%</w:t>
            </w:r>
          </w:p>
        </w:tc>
        <w:tc>
          <w:tcPr>
            <w:tcW w:w="3863" w:type="dxa"/>
          </w:tcPr>
          <w:p w14:paraId="5D17B440" w14:textId="73DACDA6" w:rsidR="00074BE8" w:rsidRPr="007E2A9C" w:rsidRDefault="00074BE8" w:rsidP="00074BE8">
            <w:pPr>
              <w:spacing w:after="0" w:line="240" w:lineRule="auto"/>
              <w:rPr>
                <w:rFonts w:ascii="Arial Narrow" w:hAnsi="Arial Narrow"/>
                <w:sz w:val="20"/>
                <w:szCs w:val="20"/>
              </w:rPr>
            </w:pPr>
            <w:r>
              <w:rPr>
                <w:rFonts w:ascii="Arial Narrow" w:hAnsi="Arial Narrow"/>
                <w:sz w:val="20"/>
                <w:szCs w:val="20"/>
              </w:rPr>
              <w:t>No dose adjustment is necessary.</w:t>
            </w:r>
          </w:p>
        </w:tc>
      </w:tr>
      <w:tr w:rsidR="00074BE8" w:rsidRPr="00D4563C" w14:paraId="0FDBCE46" w14:textId="77777777" w:rsidTr="0034449A">
        <w:tc>
          <w:tcPr>
            <w:tcW w:w="2235" w:type="dxa"/>
          </w:tcPr>
          <w:p w14:paraId="451C6360"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Oral contraceptives</w:t>
            </w:r>
          </w:p>
          <w:p w14:paraId="6D1D2CBE"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(Ethinyl </w:t>
            </w:r>
            <w:proofErr w:type="spellStart"/>
            <w:r w:rsidRPr="007E2A9C">
              <w:rPr>
                <w:rFonts w:ascii="Arial Narrow" w:hAnsi="Arial Narrow"/>
                <w:sz w:val="20"/>
                <w:szCs w:val="20"/>
              </w:rPr>
              <w:t>estradiol</w:t>
            </w:r>
            <w:proofErr w:type="spellEnd"/>
            <w:r w:rsidRPr="007E2A9C">
              <w:rPr>
                <w:rFonts w:ascii="Arial Narrow" w:hAnsi="Arial Narrow"/>
                <w:sz w:val="20"/>
                <w:szCs w:val="20"/>
              </w:rPr>
              <w:t xml:space="preserve"> (EE) and </w:t>
            </w:r>
            <w:proofErr w:type="spellStart"/>
            <w:r w:rsidRPr="007E2A9C">
              <w:rPr>
                <w:rFonts w:ascii="Arial Narrow" w:hAnsi="Arial Narrow"/>
                <w:sz w:val="20"/>
                <w:szCs w:val="20"/>
              </w:rPr>
              <w:t>Norelgestromin</w:t>
            </w:r>
            <w:proofErr w:type="spellEnd"/>
            <w:r w:rsidRPr="007E2A9C">
              <w:rPr>
                <w:rFonts w:ascii="Arial Narrow" w:hAnsi="Arial Narrow"/>
                <w:sz w:val="20"/>
                <w:szCs w:val="20"/>
              </w:rPr>
              <w:t xml:space="preserve"> (NGMN))</w:t>
            </w:r>
          </w:p>
        </w:tc>
        <w:tc>
          <w:tcPr>
            <w:tcW w:w="2764" w:type="dxa"/>
          </w:tcPr>
          <w:p w14:paraId="134A712F"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Effect of Dolutegravir:</w:t>
            </w:r>
          </w:p>
          <w:p w14:paraId="29E4CACD"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EE </w:t>
            </w:r>
            <w:r w:rsidRPr="007E2A9C">
              <w:rPr>
                <w:rFonts w:ascii="Arial Narrow" w:hAnsi="Arial Narrow"/>
                <w:sz w:val="20"/>
                <w:szCs w:val="20"/>
              </w:rPr>
              <w:sym w:font="Symbol" w:char="F0AB"/>
            </w:r>
            <w:r w:rsidRPr="007E2A9C">
              <w:rPr>
                <w:rFonts w:ascii="Arial Narrow" w:hAnsi="Arial Narrow"/>
                <w:sz w:val="20"/>
                <w:szCs w:val="20"/>
              </w:rPr>
              <w:br/>
              <w:t xml:space="preserve">AUC </w:t>
            </w:r>
            <w:r w:rsidRPr="007E2A9C">
              <w:rPr>
                <w:rFonts w:ascii="Arial Narrow" w:hAnsi="Arial Narrow"/>
                <w:sz w:val="20"/>
                <w:szCs w:val="20"/>
              </w:rPr>
              <w:sym w:font="Symbol" w:char="F0AD"/>
            </w:r>
            <w:r w:rsidRPr="007E2A9C">
              <w:rPr>
                <w:rFonts w:ascii="Arial Narrow" w:hAnsi="Arial Narrow"/>
                <w:sz w:val="20"/>
                <w:szCs w:val="20"/>
              </w:rPr>
              <w:t xml:space="preserve"> 3% </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1%</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D"/>
            </w:r>
            <w:r w:rsidRPr="007E2A9C">
              <w:rPr>
                <w:rFonts w:ascii="Arial Narrow" w:hAnsi="Arial Narrow"/>
                <w:sz w:val="20"/>
                <w:szCs w:val="20"/>
              </w:rPr>
              <w:t xml:space="preserve"> 2%</w:t>
            </w:r>
          </w:p>
          <w:p w14:paraId="4944F330"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Effect of Dolutegravir:</w:t>
            </w:r>
          </w:p>
          <w:p w14:paraId="753254AC"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lastRenderedPageBreak/>
              <w:t xml:space="preserve">NGMN </w:t>
            </w:r>
            <w:r w:rsidRPr="007E2A9C">
              <w:rPr>
                <w:rFonts w:ascii="Arial Narrow" w:hAnsi="Arial Narrow"/>
                <w:sz w:val="20"/>
                <w:szCs w:val="20"/>
              </w:rPr>
              <w:sym w:font="Symbol" w:char="F0AB"/>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2% </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11%</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7%</w:t>
            </w:r>
          </w:p>
        </w:tc>
        <w:tc>
          <w:tcPr>
            <w:tcW w:w="3863" w:type="dxa"/>
          </w:tcPr>
          <w:p w14:paraId="26E73B54"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lastRenderedPageBreak/>
              <w:t xml:space="preserve">Dolutegravir did not change ethinyl </w:t>
            </w:r>
            <w:proofErr w:type="spellStart"/>
            <w:r w:rsidRPr="007E2A9C">
              <w:rPr>
                <w:rFonts w:ascii="Arial Narrow" w:hAnsi="Arial Narrow"/>
                <w:sz w:val="20"/>
                <w:szCs w:val="20"/>
              </w:rPr>
              <w:t>estradiol</w:t>
            </w:r>
            <w:proofErr w:type="spellEnd"/>
            <w:r w:rsidRPr="007E2A9C">
              <w:rPr>
                <w:rFonts w:ascii="Arial Narrow" w:hAnsi="Arial Narrow"/>
                <w:sz w:val="20"/>
                <w:szCs w:val="20"/>
              </w:rPr>
              <w:t xml:space="preserve"> and </w:t>
            </w:r>
            <w:proofErr w:type="spellStart"/>
            <w:r w:rsidRPr="007E2A9C">
              <w:rPr>
                <w:rFonts w:ascii="Arial Narrow" w:hAnsi="Arial Narrow"/>
                <w:sz w:val="20"/>
                <w:szCs w:val="20"/>
              </w:rPr>
              <w:t>norelgestromin</w:t>
            </w:r>
            <w:proofErr w:type="spellEnd"/>
            <w:r w:rsidRPr="007E2A9C">
              <w:rPr>
                <w:rFonts w:ascii="Arial Narrow" w:hAnsi="Arial Narrow"/>
                <w:sz w:val="20"/>
                <w:szCs w:val="20"/>
              </w:rPr>
              <w:t xml:space="preserve"> plasma concentrations to a clinically relevant extent. No dose adjustment of oral contraceptives is necessary when co-administered with dolutegravir. </w:t>
            </w:r>
          </w:p>
        </w:tc>
      </w:tr>
      <w:tr w:rsidR="00074BE8" w:rsidRPr="00D4563C" w14:paraId="61FD6379" w14:textId="77777777" w:rsidTr="0034449A">
        <w:tc>
          <w:tcPr>
            <w:tcW w:w="2235" w:type="dxa"/>
          </w:tcPr>
          <w:p w14:paraId="7E851537"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Methadone </w:t>
            </w:r>
          </w:p>
        </w:tc>
        <w:tc>
          <w:tcPr>
            <w:tcW w:w="2764" w:type="dxa"/>
          </w:tcPr>
          <w:p w14:paraId="528BCB40"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Effect of Dolutegravir:</w:t>
            </w:r>
          </w:p>
          <w:p w14:paraId="58014238"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Methadone </w:t>
            </w:r>
            <w:r w:rsidRPr="007E2A9C">
              <w:rPr>
                <w:rFonts w:ascii="Arial Narrow" w:hAnsi="Arial Narrow"/>
                <w:sz w:val="20"/>
                <w:szCs w:val="20"/>
              </w:rPr>
              <w:sym w:font="Symbol" w:char="F0AB"/>
            </w:r>
            <w:r w:rsidRPr="007E2A9C">
              <w:rPr>
                <w:rFonts w:ascii="Arial Narrow" w:hAnsi="Arial Narrow"/>
                <w:sz w:val="20"/>
                <w:szCs w:val="20"/>
              </w:rPr>
              <w:br/>
              <w:t xml:space="preserve">AUC </w:t>
            </w:r>
            <w:r w:rsidRPr="007E2A9C">
              <w:rPr>
                <w:rFonts w:ascii="Arial Narrow" w:hAnsi="Arial Narrow"/>
                <w:sz w:val="20"/>
                <w:szCs w:val="20"/>
              </w:rPr>
              <w:sym w:font="Symbol" w:char="F0AF"/>
            </w:r>
            <w:r w:rsidRPr="007E2A9C">
              <w:rPr>
                <w:rFonts w:ascii="Arial Narrow" w:hAnsi="Arial Narrow"/>
                <w:sz w:val="20"/>
                <w:szCs w:val="20"/>
              </w:rPr>
              <w:t xml:space="preserve"> 2% </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B"/>
            </w:r>
            <w:r w:rsidRPr="007E2A9C">
              <w:rPr>
                <w:rFonts w:ascii="Arial Narrow" w:hAnsi="Arial Narrow"/>
                <w:sz w:val="20"/>
                <w:szCs w:val="20"/>
              </w:rPr>
              <w:t xml:space="preserve"> 0%</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F"/>
            </w:r>
            <w:r w:rsidRPr="007E2A9C">
              <w:rPr>
                <w:rFonts w:ascii="Arial Narrow" w:hAnsi="Arial Narrow"/>
                <w:sz w:val="20"/>
                <w:szCs w:val="20"/>
              </w:rPr>
              <w:t xml:space="preserve"> 1%</w:t>
            </w:r>
          </w:p>
        </w:tc>
        <w:tc>
          <w:tcPr>
            <w:tcW w:w="3863" w:type="dxa"/>
          </w:tcPr>
          <w:p w14:paraId="435654BB"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Dolutegravir did not change methadone plasma concentrations to a clinically relevant extent. No dose adjustment of methadone is necessary when co-administered with dolutegravir. </w:t>
            </w:r>
          </w:p>
        </w:tc>
      </w:tr>
      <w:tr w:rsidR="00074BE8" w:rsidRPr="00D4563C" w14:paraId="1F31AFB0" w14:textId="77777777" w:rsidTr="0034449A">
        <w:tc>
          <w:tcPr>
            <w:tcW w:w="2235" w:type="dxa"/>
            <w:tcBorders>
              <w:top w:val="single" w:sz="4" w:space="0" w:color="auto"/>
              <w:left w:val="single" w:sz="4" w:space="0" w:color="auto"/>
              <w:bottom w:val="single" w:sz="4" w:space="0" w:color="auto"/>
              <w:right w:val="single" w:sz="4" w:space="0" w:color="auto"/>
            </w:tcBorders>
          </w:tcPr>
          <w:p w14:paraId="50DDF51E"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Daclatasvir</w:t>
            </w:r>
          </w:p>
        </w:tc>
        <w:tc>
          <w:tcPr>
            <w:tcW w:w="2764" w:type="dxa"/>
            <w:tcBorders>
              <w:top w:val="single" w:sz="4" w:space="0" w:color="auto"/>
              <w:left w:val="single" w:sz="4" w:space="0" w:color="auto"/>
              <w:bottom w:val="single" w:sz="4" w:space="0" w:color="auto"/>
              <w:right w:val="single" w:sz="4" w:space="0" w:color="auto"/>
            </w:tcBorders>
          </w:tcPr>
          <w:p w14:paraId="6E1169C5"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Dolutegravir </w:t>
            </w:r>
            <w:r w:rsidRPr="007E2A9C">
              <w:rPr>
                <w:rFonts w:ascii="Arial Narrow" w:hAnsi="Arial Narrow"/>
                <w:sz w:val="20"/>
                <w:szCs w:val="20"/>
              </w:rPr>
              <w:sym w:font="Symbol" w:char="F0AB"/>
            </w:r>
            <w:r w:rsidRPr="007E2A9C">
              <w:rPr>
                <w:rFonts w:ascii="Arial Narrow" w:hAnsi="Arial Narrow"/>
                <w:sz w:val="20"/>
                <w:szCs w:val="20"/>
              </w:rPr>
              <w:br/>
              <w:t xml:space="preserve">AUC </w:t>
            </w:r>
            <w:r w:rsidRPr="007E2A9C">
              <w:rPr>
                <w:rFonts w:ascii="Arial Narrow" w:hAnsi="Arial Narrow"/>
                <w:sz w:val="20"/>
                <w:szCs w:val="20"/>
              </w:rPr>
              <w:sym w:font="Symbol" w:char="F0AD"/>
            </w:r>
            <w:r w:rsidRPr="007E2A9C">
              <w:rPr>
                <w:rFonts w:ascii="Arial Narrow" w:hAnsi="Arial Narrow"/>
                <w:sz w:val="20"/>
                <w:szCs w:val="20"/>
              </w:rPr>
              <w:t xml:space="preserve"> 33% </w:t>
            </w:r>
            <w:r w:rsidRPr="007E2A9C">
              <w:rPr>
                <w:rFonts w:ascii="Arial Narrow" w:hAnsi="Arial Narrow"/>
                <w:sz w:val="20"/>
                <w:szCs w:val="20"/>
              </w:rPr>
              <w:br/>
            </w:r>
            <w:proofErr w:type="spellStart"/>
            <w:r w:rsidRPr="007E2A9C">
              <w:rPr>
                <w:rFonts w:ascii="Arial Narrow" w:hAnsi="Arial Narrow"/>
                <w:sz w:val="20"/>
                <w:szCs w:val="20"/>
              </w:rPr>
              <w:t>C</w:t>
            </w:r>
            <w:r w:rsidRPr="007E2A9C">
              <w:rPr>
                <w:rFonts w:ascii="Arial Narrow" w:hAnsi="Arial Narrow"/>
                <w:sz w:val="20"/>
                <w:szCs w:val="20"/>
                <w:vertAlign w:val="subscript"/>
              </w:rPr>
              <w:t>max</w:t>
            </w:r>
            <w:proofErr w:type="spellEnd"/>
            <w:r w:rsidRPr="007E2A9C">
              <w:rPr>
                <w:rFonts w:ascii="Arial Narrow" w:hAnsi="Arial Narrow"/>
                <w:sz w:val="20"/>
                <w:szCs w:val="20"/>
              </w:rPr>
              <w:t xml:space="preserve"> </w:t>
            </w:r>
            <w:r w:rsidRPr="007E2A9C">
              <w:rPr>
                <w:rFonts w:ascii="Arial Narrow" w:hAnsi="Arial Narrow"/>
                <w:sz w:val="20"/>
                <w:szCs w:val="20"/>
              </w:rPr>
              <w:sym w:font="Symbol" w:char="F0AD"/>
            </w:r>
            <w:r w:rsidRPr="007E2A9C">
              <w:rPr>
                <w:rFonts w:ascii="Arial Narrow" w:hAnsi="Arial Narrow"/>
                <w:sz w:val="20"/>
                <w:szCs w:val="20"/>
              </w:rPr>
              <w:t xml:space="preserve"> 29%</w:t>
            </w:r>
            <w:r w:rsidRPr="007E2A9C">
              <w:rPr>
                <w:rFonts w:ascii="Arial Narrow" w:hAnsi="Arial Narrow"/>
                <w:sz w:val="20"/>
                <w:szCs w:val="20"/>
              </w:rPr>
              <w:br/>
              <w:t>C</w:t>
            </w:r>
            <w:r w:rsidRPr="007E2A9C">
              <w:rPr>
                <w:rFonts w:ascii="Arial Narrow" w:hAnsi="Arial Narrow"/>
                <w:sz w:val="20"/>
                <w:szCs w:val="20"/>
              </w:rPr>
              <w:sym w:font="Symbol" w:char="F074"/>
            </w:r>
            <w:r w:rsidRPr="007E2A9C">
              <w:rPr>
                <w:rFonts w:ascii="Arial Narrow" w:hAnsi="Arial Narrow"/>
                <w:sz w:val="20"/>
                <w:szCs w:val="20"/>
              </w:rPr>
              <w:t xml:space="preserve"> </w:t>
            </w:r>
            <w:r w:rsidRPr="007E2A9C">
              <w:rPr>
                <w:rFonts w:ascii="Arial Narrow" w:hAnsi="Arial Narrow"/>
                <w:sz w:val="20"/>
                <w:szCs w:val="20"/>
              </w:rPr>
              <w:sym w:font="Symbol" w:char="F0AD"/>
            </w:r>
            <w:r w:rsidRPr="007E2A9C">
              <w:rPr>
                <w:rFonts w:ascii="Arial Narrow" w:hAnsi="Arial Narrow"/>
                <w:sz w:val="20"/>
                <w:szCs w:val="20"/>
              </w:rPr>
              <w:t xml:space="preserve"> 45%</w:t>
            </w:r>
          </w:p>
          <w:p w14:paraId="2D139DA8"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 xml:space="preserve">Daclatasvir </w:t>
            </w:r>
            <w:r w:rsidRPr="007E2A9C">
              <w:rPr>
                <w:rFonts w:ascii="Arial Narrow" w:hAnsi="Arial Narrow"/>
                <w:sz w:val="20"/>
                <w:szCs w:val="20"/>
              </w:rPr>
              <w:sym w:font="Symbol" w:char="F0AB"/>
            </w:r>
          </w:p>
        </w:tc>
        <w:tc>
          <w:tcPr>
            <w:tcW w:w="3863" w:type="dxa"/>
            <w:tcBorders>
              <w:top w:val="single" w:sz="4" w:space="0" w:color="auto"/>
              <w:left w:val="single" w:sz="4" w:space="0" w:color="auto"/>
              <w:bottom w:val="single" w:sz="4" w:space="0" w:color="auto"/>
              <w:right w:val="single" w:sz="4" w:space="0" w:color="auto"/>
            </w:tcBorders>
          </w:tcPr>
          <w:p w14:paraId="64940FDE" w14:textId="77777777" w:rsidR="00074BE8" w:rsidRPr="007E2A9C" w:rsidRDefault="00074BE8" w:rsidP="00074BE8">
            <w:pPr>
              <w:spacing w:after="120" w:line="240" w:lineRule="auto"/>
              <w:rPr>
                <w:rFonts w:ascii="Arial Narrow" w:hAnsi="Arial Narrow"/>
                <w:sz w:val="20"/>
                <w:szCs w:val="20"/>
              </w:rPr>
            </w:pPr>
            <w:r w:rsidRPr="007E2A9C">
              <w:rPr>
                <w:rFonts w:ascii="Arial Narrow" w:hAnsi="Arial Narrow"/>
                <w:sz w:val="20"/>
                <w:szCs w:val="20"/>
              </w:rPr>
              <w:t>Daclatasvir did not change dolutegravir plasma concentration to a clinically relevant extent. Dolutegravir did not change daclatasvir plasma concentration. No dose adjustment is necessary.</w:t>
            </w:r>
          </w:p>
        </w:tc>
      </w:tr>
    </w:tbl>
    <w:p w14:paraId="502DA5F7" w14:textId="181D2372" w:rsidR="00626ADC" w:rsidRPr="00357D41" w:rsidRDefault="00626ADC">
      <w:pPr>
        <w:rPr>
          <w:rFonts w:ascii="Arial Narrow" w:hAnsi="Arial Narrow"/>
          <w:sz w:val="20"/>
          <w:szCs w:val="20"/>
          <w:lang w:eastAsia="zh-CN"/>
        </w:rPr>
      </w:pPr>
      <w:r w:rsidRPr="00357D41">
        <w:rPr>
          <w:rFonts w:ascii="Arial Narrow" w:hAnsi="Arial Narrow"/>
          <w:sz w:val="20"/>
          <w:szCs w:val="20"/>
          <w:lang w:eastAsia="zh-CN"/>
        </w:rPr>
        <w:t xml:space="preserve">Abbreviations: </w:t>
      </w:r>
      <w:r w:rsidRPr="00357D41">
        <w:rPr>
          <w:rFonts w:ascii="Arial Narrow" w:hAnsi="Arial Narrow"/>
          <w:sz w:val="20"/>
          <w:szCs w:val="20"/>
        </w:rPr>
        <w:sym w:font="Symbol" w:char="F0AD"/>
      </w:r>
      <w:r w:rsidRPr="00357D41">
        <w:rPr>
          <w:rFonts w:ascii="Arial Narrow" w:hAnsi="Arial Narrow"/>
          <w:sz w:val="20"/>
          <w:szCs w:val="20"/>
          <w:lang w:eastAsia="zh-CN"/>
        </w:rPr>
        <w:t xml:space="preserve"> = Increase; </w:t>
      </w:r>
      <w:r w:rsidRPr="00357D41">
        <w:rPr>
          <w:rFonts w:ascii="Arial Narrow" w:hAnsi="Arial Narrow"/>
          <w:sz w:val="20"/>
          <w:szCs w:val="20"/>
        </w:rPr>
        <w:sym w:font="Symbol" w:char="F0AF"/>
      </w:r>
      <w:r w:rsidRPr="00357D41">
        <w:rPr>
          <w:rFonts w:ascii="Arial Narrow" w:hAnsi="Arial Narrow"/>
          <w:sz w:val="20"/>
          <w:szCs w:val="20"/>
          <w:lang w:eastAsia="zh-CN"/>
        </w:rPr>
        <w:t xml:space="preserve"> =decrease; </w:t>
      </w:r>
      <w:r w:rsidRPr="00357D41">
        <w:rPr>
          <w:rFonts w:ascii="Arial Narrow" w:hAnsi="Arial Narrow"/>
          <w:sz w:val="20"/>
          <w:szCs w:val="20"/>
        </w:rPr>
        <w:sym w:font="Symbol" w:char="F0AB"/>
      </w:r>
      <w:r w:rsidRPr="00357D41">
        <w:rPr>
          <w:rFonts w:ascii="Arial Narrow" w:hAnsi="Arial Narrow"/>
          <w:sz w:val="20"/>
          <w:szCs w:val="20"/>
          <w:lang w:eastAsia="zh-CN"/>
        </w:rPr>
        <w:t xml:space="preserve"> = no significant change; AUC=area under the concentration versus time curve; </w:t>
      </w:r>
      <w:proofErr w:type="spellStart"/>
      <w:r w:rsidRPr="00357D41">
        <w:rPr>
          <w:rFonts w:ascii="Arial Narrow" w:hAnsi="Arial Narrow"/>
          <w:sz w:val="20"/>
          <w:szCs w:val="20"/>
          <w:lang w:eastAsia="zh-CN"/>
        </w:rPr>
        <w:t>C</w:t>
      </w:r>
      <w:r w:rsidRPr="00357D41">
        <w:rPr>
          <w:rFonts w:ascii="Arial Narrow" w:hAnsi="Arial Narrow"/>
          <w:sz w:val="20"/>
          <w:szCs w:val="20"/>
          <w:vertAlign w:val="subscript"/>
          <w:lang w:eastAsia="zh-CN"/>
        </w:rPr>
        <w:t>max</w:t>
      </w:r>
      <w:proofErr w:type="spellEnd"/>
      <w:r w:rsidRPr="00357D41">
        <w:rPr>
          <w:rFonts w:ascii="Arial Narrow" w:hAnsi="Arial Narrow"/>
          <w:sz w:val="20"/>
          <w:szCs w:val="20"/>
          <w:lang w:eastAsia="zh-CN"/>
        </w:rPr>
        <w:t xml:space="preserve">=maximum observed concentration, </w:t>
      </w:r>
      <w:r w:rsidRPr="00357D41">
        <w:rPr>
          <w:rFonts w:ascii="Arial Narrow" w:hAnsi="Arial Narrow"/>
          <w:sz w:val="20"/>
          <w:szCs w:val="20"/>
        </w:rPr>
        <w:t>C</w:t>
      </w:r>
      <w:r w:rsidRPr="00357D41">
        <w:rPr>
          <w:rFonts w:ascii="Arial Narrow" w:hAnsi="Arial Narrow"/>
          <w:sz w:val="20"/>
          <w:szCs w:val="20"/>
        </w:rPr>
        <w:sym w:font="Symbol" w:char="F074"/>
      </w:r>
      <w:r w:rsidRPr="00357D41">
        <w:rPr>
          <w:rFonts w:ascii="Arial Narrow" w:hAnsi="Arial Narrow"/>
          <w:sz w:val="20"/>
          <w:szCs w:val="20"/>
        </w:rPr>
        <w:t>=concentration at the end of dosing interval</w:t>
      </w:r>
    </w:p>
    <w:p w14:paraId="0244C2F6" w14:textId="77777777" w:rsidR="00ED65A6" w:rsidRPr="00D4563C" w:rsidRDefault="00D04C3D" w:rsidP="00D4563C">
      <w:pPr>
        <w:pStyle w:val="Heading2"/>
      </w:pPr>
      <w:r w:rsidRPr="00D4563C">
        <w:t xml:space="preserve">Fertility, pregnancy and lactation </w:t>
      </w:r>
    </w:p>
    <w:p w14:paraId="22F7FCC2" w14:textId="735FB2AC" w:rsidR="00ED65A6" w:rsidRPr="00D4563C" w:rsidRDefault="00D04C3D" w:rsidP="00D4563C">
      <w:pPr>
        <w:pStyle w:val="Heading3"/>
      </w:pPr>
      <w:r w:rsidRPr="00D4563C">
        <w:t xml:space="preserve">Effects on </w:t>
      </w:r>
      <w:r w:rsidR="006F5B92" w:rsidRPr="00D4563C">
        <w:t>f</w:t>
      </w:r>
      <w:r w:rsidR="009F38E4" w:rsidRPr="00D4563C">
        <w:t>ertility</w:t>
      </w:r>
    </w:p>
    <w:p w14:paraId="1EA86A75" w14:textId="58139694" w:rsidR="00ED65A6" w:rsidRPr="00D4563C" w:rsidRDefault="00D04C3D" w:rsidP="00D4563C">
      <w:r w:rsidRPr="00D4563C">
        <w:t xml:space="preserve">There are no data on the effects of </w:t>
      </w:r>
      <w:r w:rsidR="00FF0934" w:rsidRPr="00D4563C">
        <w:t>TIVICAY</w:t>
      </w:r>
      <w:r w:rsidRPr="00D4563C">
        <w:t xml:space="preserve"> </w:t>
      </w:r>
      <w:r w:rsidR="006F6344">
        <w:t xml:space="preserve">and TIVICAY PD </w:t>
      </w:r>
      <w:r w:rsidRPr="00D4563C">
        <w:t xml:space="preserve">on human male or female fertility. </w:t>
      </w:r>
      <w:r w:rsidR="008931D1">
        <w:t>Dolutegravir</w:t>
      </w:r>
      <w:r w:rsidR="008931D1" w:rsidRPr="00D4563C">
        <w:t xml:space="preserve"> </w:t>
      </w:r>
      <w:r w:rsidRPr="00D4563C">
        <w:t>did not affect male or female mating or fertility in rats at doses up to 1000 mg/kg/day associated with an exposure level 24 times the clinical exposure based on AUC at the maximum recommended dose of 50 mg BID.</w:t>
      </w:r>
    </w:p>
    <w:p w14:paraId="1F48F8F0" w14:textId="77777777" w:rsidR="00514196" w:rsidRDefault="0066640B" w:rsidP="00D4563C">
      <w:pPr>
        <w:pStyle w:val="Heading3"/>
      </w:pPr>
      <w:r>
        <w:t>Use in</w:t>
      </w:r>
      <w:r w:rsidR="006F5B92">
        <w:t xml:space="preserve"> p</w:t>
      </w:r>
      <w:r w:rsidR="006F5B92" w:rsidRPr="00D4563C">
        <w:t>regnancy</w:t>
      </w:r>
    </w:p>
    <w:p w14:paraId="1EB120C3" w14:textId="77777777" w:rsidR="00514196" w:rsidRPr="00DA6660" w:rsidRDefault="00D04C3D" w:rsidP="0066640B">
      <w:pPr>
        <w:rPr>
          <w:b/>
        </w:rPr>
      </w:pPr>
      <w:r w:rsidRPr="00DA6660">
        <w:rPr>
          <w:b/>
        </w:rPr>
        <w:t>(Category B1)</w:t>
      </w:r>
    </w:p>
    <w:p w14:paraId="722721C8" w14:textId="4E9EB844" w:rsidR="00854FC2" w:rsidRDefault="00B803AC" w:rsidP="00B803AC">
      <w:pPr>
        <w:autoSpaceDE w:val="0"/>
        <w:autoSpaceDN w:val="0"/>
        <w:adjustRightInd w:val="0"/>
      </w:pPr>
      <w:r w:rsidRPr="00D4563C">
        <w:t>TIVICAY</w:t>
      </w:r>
      <w:r w:rsidRPr="00714B70">
        <w:t xml:space="preserve"> </w:t>
      </w:r>
      <w:r w:rsidR="006F6344">
        <w:t xml:space="preserve">and TIVICAY PD </w:t>
      </w:r>
      <w:r w:rsidRPr="00714B70">
        <w:t>should be used during pregnancy only if the expected benefit justifies the</w:t>
      </w:r>
      <w:r>
        <w:t xml:space="preserve"> </w:t>
      </w:r>
      <w:r w:rsidRPr="00714B70">
        <w:t xml:space="preserve">potential risk to the foetus. Women of childbearing potential should </w:t>
      </w:r>
      <w:bookmarkStart w:id="5" w:name="_Hlk40706530"/>
      <w:bookmarkStart w:id="6" w:name="_Hlk49957116"/>
      <w:r w:rsidR="00ED746E" w:rsidRPr="00BE7906">
        <w:t>be informed about the potential risk of neural tube defects with dolutegravir and counselled about the use of effective contraception. It is recommended that</w:t>
      </w:r>
      <w:bookmarkEnd w:id="5"/>
      <w:r w:rsidR="00ED746E" w:rsidRPr="00BE7906">
        <w:t xml:space="preserve"> </w:t>
      </w:r>
      <w:r w:rsidR="00ED746E" w:rsidRPr="00BD689C">
        <w:t>pregnancy testing</w:t>
      </w:r>
      <w:r w:rsidR="00ED746E">
        <w:t xml:space="preserve"> is conducted prior to</w:t>
      </w:r>
      <w:r w:rsidR="00ED746E" w:rsidRPr="00BD689C">
        <w:t xml:space="preserve"> initiation of TIVICAY</w:t>
      </w:r>
      <w:r w:rsidR="00ED746E">
        <w:t>/TIVICAY PD</w:t>
      </w:r>
      <w:r w:rsidR="00ED746E" w:rsidRPr="00BD689C">
        <w:t>.</w:t>
      </w:r>
      <w:r w:rsidR="00ED746E">
        <w:t xml:space="preserve"> </w:t>
      </w:r>
      <w:r w:rsidR="00ED746E" w:rsidRPr="00BE7906">
        <w:t xml:space="preserve">If there are plans to become pregnant, or if pregnancy is confirmed within the first trimester while on dolutegravir, the risks and benefits of continuing dolutegravir versus switching to another antiretroviral regimen should be discussed with the patient. </w:t>
      </w:r>
      <w:bookmarkStart w:id="7" w:name="_Hlk40706053"/>
      <w:r w:rsidR="00ED746E" w:rsidRPr="00BE7906">
        <w:t>Factors to consider should include feasibility of switching, tolerability, ability to maintain viral suppression, actual gestational age, risk of transmission to the infant and the available data around the potential risk of neural tube defects and other pregnancy outcomes for dolutegravir and alternative antiretroviral drugs.</w:t>
      </w:r>
      <w:bookmarkEnd w:id="6"/>
      <w:bookmarkEnd w:id="7"/>
    </w:p>
    <w:p w14:paraId="10760AC8" w14:textId="1A2E544E" w:rsidR="00424AA6" w:rsidRDefault="00ED746E" w:rsidP="00424AA6">
      <w:pPr>
        <w:autoSpaceDE w:val="0"/>
        <w:autoSpaceDN w:val="0"/>
        <w:adjustRightInd w:val="0"/>
      </w:pPr>
      <w:bookmarkStart w:id="8" w:name="_Hlk526260690"/>
      <w:r>
        <w:t>I</w:t>
      </w:r>
      <w:r w:rsidR="00E16E28" w:rsidRPr="00E16E28">
        <w:t>n a birth outcome surveillance study in Botswana,</w:t>
      </w:r>
      <w:r w:rsidR="00424AA6" w:rsidRPr="00E16E28">
        <w:t xml:space="preserve"> </w:t>
      </w:r>
      <w:bookmarkStart w:id="9" w:name="_Hlk40706078"/>
      <w:r w:rsidR="00424AA6" w:rsidRPr="00BE7906">
        <w:t>a</w:t>
      </w:r>
      <w:r w:rsidR="00424AA6">
        <w:t xml:space="preserve"> </w:t>
      </w:r>
      <w:r w:rsidR="00424AA6" w:rsidRPr="00BE7906">
        <w:t>numerically higher rate of neural tube defects was identified with exposure to dolutegravir compared to non-dolutegravir-containing antiretroviral regimens at the time of conception, however, the difference was not statistically significant.</w:t>
      </w:r>
      <w:bookmarkEnd w:id="9"/>
      <w:r w:rsidR="00424AA6" w:rsidRPr="004F09DE">
        <w:t xml:space="preserve"> Seven cases of neural tube defects were </w:t>
      </w:r>
      <w:r w:rsidR="00E16E28" w:rsidRPr="00E16E28">
        <w:t xml:space="preserve">reported </w:t>
      </w:r>
      <w:r w:rsidR="00424AA6">
        <w:t xml:space="preserve">in </w:t>
      </w:r>
      <w:r w:rsidR="00E16E28" w:rsidRPr="00E16E28">
        <w:t xml:space="preserve">426 </w:t>
      </w:r>
      <w:r w:rsidR="00424AA6">
        <w:t>deliveries</w:t>
      </w:r>
      <w:r w:rsidR="00424AA6" w:rsidRPr="00E16E28">
        <w:t xml:space="preserve"> </w:t>
      </w:r>
      <w:r w:rsidR="00E16E28" w:rsidRPr="00E16E28">
        <w:t>(0.</w:t>
      </w:r>
      <w:r w:rsidR="00424AA6">
        <w:t>1</w:t>
      </w:r>
      <w:r w:rsidR="00E16E28" w:rsidRPr="00E16E28">
        <w:t xml:space="preserve">9%) to </w:t>
      </w:r>
      <w:r w:rsidR="00E16E28" w:rsidRPr="00E16E28">
        <w:lastRenderedPageBreak/>
        <w:t xml:space="preserve">mothers </w:t>
      </w:r>
      <w:r w:rsidR="00424AA6">
        <w:t>taking</w:t>
      </w:r>
      <w:r w:rsidR="00E16E28" w:rsidRPr="00E16E28">
        <w:t xml:space="preserve"> dolutegravir-containing regimens at the time of conception</w:t>
      </w:r>
      <w:r w:rsidR="00424AA6">
        <w:t>, compared with 21 cases in 19,361 deliveries (0.11%) to mothers taking non-dolutegravir-containing regimens from the time of conception (Prevalence Difference 0.09%; 95% CI -0.03, 0.30)</w:t>
      </w:r>
      <w:r w:rsidR="00E16E28" w:rsidRPr="00E16E28">
        <w:t xml:space="preserve">. </w:t>
      </w:r>
    </w:p>
    <w:p w14:paraId="3DD51EDA" w14:textId="3FCB8C2D" w:rsidR="00E16E28" w:rsidRDefault="00424AA6" w:rsidP="00424AA6">
      <w:pPr>
        <w:autoSpaceDE w:val="0"/>
        <w:autoSpaceDN w:val="0"/>
        <w:adjustRightInd w:val="0"/>
      </w:pPr>
      <w:bookmarkStart w:id="10" w:name="_Hlk49957773"/>
      <w:r w:rsidRPr="00B718C9">
        <w:t xml:space="preserve">The </w:t>
      </w:r>
      <w:r>
        <w:t>seven</w:t>
      </w:r>
      <w:r w:rsidRPr="00B718C9">
        <w:t xml:space="preserve"> neural tube defect cases reported with dolutegravir included </w:t>
      </w:r>
      <w:r w:rsidRPr="00BE7906">
        <w:t>three</w:t>
      </w:r>
      <w:r w:rsidRPr="00BE7906">
        <w:rPr>
          <w:lang w:val="en-GB"/>
        </w:rPr>
        <w:t xml:space="preserve"> cases of myelomeningocele, two cases of encephalocele, and one case each of anencephaly and iniencephaly</w:t>
      </w:r>
      <w:r w:rsidRPr="00B718C9">
        <w:t>.</w:t>
      </w:r>
      <w:bookmarkEnd w:id="10"/>
      <w:r>
        <w:t xml:space="preserve"> In the same study, </w:t>
      </w:r>
      <w:r w:rsidRPr="00BE7906">
        <w:rPr>
          <w:color w:val="000000"/>
        </w:rPr>
        <w:t>an increased risk of neural tube defects was not identified in women who started dolutegravir during pregnancy.</w:t>
      </w:r>
      <w:r>
        <w:rPr>
          <w:color w:val="000000"/>
        </w:rPr>
        <w:t xml:space="preserve"> </w:t>
      </w:r>
      <w:r>
        <w:t>Two</w:t>
      </w:r>
      <w:r w:rsidRPr="00E16E28">
        <w:t xml:space="preserve"> </w:t>
      </w:r>
      <w:r w:rsidR="00E16E28" w:rsidRPr="00E16E28">
        <w:t>infant</w:t>
      </w:r>
      <w:r>
        <w:t>s</w:t>
      </w:r>
      <w:r w:rsidR="00E16E28" w:rsidRPr="00E16E28">
        <w:t xml:space="preserve"> </w:t>
      </w:r>
      <w:r>
        <w:t xml:space="preserve">out of 4,448 (0.04%) deliveries </w:t>
      </w:r>
      <w:r w:rsidR="00E16E28" w:rsidRPr="00E16E28">
        <w:t>to wom</w:t>
      </w:r>
      <w:r w:rsidR="00C34132">
        <w:t>e</w:t>
      </w:r>
      <w:r w:rsidR="00E16E28" w:rsidRPr="00E16E28">
        <w:t>n who started dolutegravir during pregnancy had a neural tube defect</w:t>
      </w:r>
      <w:r w:rsidR="00C34132">
        <w:t>, compared with five infants out of 6,748 (0.07%) deliveries to women who started non-dolutegravir-containing regimens during pregnancy</w:t>
      </w:r>
      <w:r w:rsidR="00C34132" w:rsidRPr="00E16E28">
        <w:t>.</w:t>
      </w:r>
      <w:r w:rsidR="00C34132">
        <w:t xml:space="preserve"> </w:t>
      </w:r>
      <w:r w:rsidR="00E16E28" w:rsidRPr="00E16E28">
        <w:t xml:space="preserve"> </w:t>
      </w:r>
      <w:bookmarkEnd w:id="8"/>
    </w:p>
    <w:p w14:paraId="37882432" w14:textId="410770CD" w:rsidR="00C34132" w:rsidRPr="00E16E28" w:rsidRDefault="00C34132" w:rsidP="00FD77CB">
      <w:bookmarkStart w:id="11" w:name="_Hlk49957876"/>
      <w:r w:rsidRPr="001A4A80">
        <w:t>Further safety data from other sources including the Antiretroviral Pregnancy Registry, clinical trials, and post-marketing data are currently insufficient to further address the risk of neural tube defects with dolutegravir. There have been spontaneous reports of neural tube defects with use of dolutegravir-containing regimens.</w:t>
      </w:r>
      <w:r w:rsidRPr="00BD689C">
        <w:t xml:space="preserve"> </w:t>
      </w:r>
      <w:bookmarkEnd w:id="11"/>
      <w:r>
        <w:t>A causal relationship of these events to the use of dolutegravir has not been established. The incidence of neural tube defects in the general population ranges from 0.5-1 case per 1,000 live births. As most neural tube defects occur within the first 4 weeks of foetal development (</w:t>
      </w:r>
      <w:bookmarkStart w:id="12" w:name="_Hlk49958022"/>
      <w:r w:rsidRPr="00BE7906">
        <w:rPr>
          <w:color w:val="000000"/>
        </w:rPr>
        <w:t>approximately 6 weeks after the last menstrual</w:t>
      </w:r>
      <w:r>
        <w:t xml:space="preserve"> </w:t>
      </w:r>
      <w:r w:rsidRPr="00BE7906">
        <w:rPr>
          <w:color w:val="000000"/>
        </w:rPr>
        <w:t>period</w:t>
      </w:r>
      <w:bookmarkEnd w:id="12"/>
      <w:r>
        <w:t xml:space="preserve">) this potential risk would concern women exposed to dolutegravir at the time of conception and in early pregnancy. </w:t>
      </w:r>
    </w:p>
    <w:p w14:paraId="74EDC3FE" w14:textId="0E0811C3" w:rsidR="007C6789" w:rsidRDefault="00D04C3D" w:rsidP="0066640B">
      <w:r w:rsidRPr="00D4563C">
        <w:t xml:space="preserve">In </w:t>
      </w:r>
      <w:r w:rsidR="00C34132">
        <w:t xml:space="preserve">animal </w:t>
      </w:r>
      <w:r w:rsidRPr="00D4563C">
        <w:t>reproductive toxicity studies,</w:t>
      </w:r>
      <w:r w:rsidR="00C34132">
        <w:t xml:space="preserve"> </w:t>
      </w:r>
      <w:r w:rsidR="00C34132" w:rsidRPr="00B33CD7">
        <w:t>no adverse development outcomes, including neural tube defects, were identified.</w:t>
      </w:r>
      <w:r w:rsidRPr="00D4563C">
        <w:t xml:space="preserve"> </w:t>
      </w:r>
      <w:r w:rsidR="00C34132">
        <w:t>D</w:t>
      </w:r>
      <w:r w:rsidR="00C34132" w:rsidRPr="00D4563C">
        <w:t xml:space="preserve">olutegravir </w:t>
      </w:r>
      <w:r w:rsidRPr="00D4563C">
        <w:t>was shown to cross the placenta</w:t>
      </w:r>
      <w:r w:rsidR="00B803AC" w:rsidRPr="00B803AC">
        <w:t xml:space="preserve"> </w:t>
      </w:r>
      <w:r w:rsidR="00C34132">
        <w:t>in animals</w:t>
      </w:r>
      <w:r w:rsidRPr="00D4563C">
        <w:t xml:space="preserve">. </w:t>
      </w:r>
    </w:p>
    <w:p w14:paraId="6084E41A" w14:textId="77777777" w:rsidR="007C6789" w:rsidRDefault="00D04C3D" w:rsidP="0066640B">
      <w:r w:rsidRPr="00D4563C">
        <w:t>Oral administration of dolutegravir to pregnant rats at doses up to 1000 mg/kg daily from days 6 to 17 of gestation did not elicit maternal toxicity, developmental toxicity or teratogenicity (27 times the 50 mg human clinical exposure based on AUC at the maximum recommended dose of 50 mg BID).</w:t>
      </w:r>
    </w:p>
    <w:p w14:paraId="652FAAF6" w14:textId="025B2333" w:rsidR="00ED65A6" w:rsidRDefault="00D04C3D" w:rsidP="0066640B">
      <w:r w:rsidRPr="00D4563C">
        <w:t xml:space="preserve">Oral administration of dolutegravir to pregnant rabbits at doses up to 1000 mg/kg daily from days 6 to 18 of gestation was associated with marked maternal </w:t>
      </w:r>
      <w:proofErr w:type="gramStart"/>
      <w:r w:rsidRPr="00D4563C">
        <w:t>toxicity, but</w:t>
      </w:r>
      <w:proofErr w:type="gramEnd"/>
      <w:r w:rsidRPr="00D4563C">
        <w:t xml:space="preserve"> did not elicit developmental toxicity or teratogenicity in the offspring (0.4 times the clinical exposure based on AUC).</w:t>
      </w:r>
    </w:p>
    <w:p w14:paraId="345F7CA0" w14:textId="77777777" w:rsidR="00C34132" w:rsidRPr="00D4563C" w:rsidRDefault="00C34132" w:rsidP="00C34132">
      <w:r w:rsidRPr="00B33CD7">
        <w:t>Dolutegravir use during pregnancy has been evaluated in the Antiretroviral Pregnancy Registry (APR) in over 600 women (as of July 2019). Available human data from the APR do not show an increased risk of major birth defects for dolutegravir compared to the background rate (see Section 5.1 PHARMACODYNAMIC PROPERTIES, Clinical trials).</w:t>
      </w:r>
    </w:p>
    <w:p w14:paraId="7D6204CF" w14:textId="77777777" w:rsidR="00C34132" w:rsidRPr="00D4563C" w:rsidRDefault="00C34132" w:rsidP="0066640B"/>
    <w:p w14:paraId="70BE8052" w14:textId="5049EB77" w:rsidR="00ED65A6" w:rsidRPr="00D4563C" w:rsidRDefault="00D04C3D" w:rsidP="00D4563C">
      <w:pPr>
        <w:pStyle w:val="Heading3"/>
      </w:pPr>
      <w:r w:rsidRPr="00D4563C">
        <w:t xml:space="preserve">Use in </w:t>
      </w:r>
      <w:r w:rsidR="00BF7578">
        <w:t>l</w:t>
      </w:r>
      <w:r w:rsidR="009F38E4" w:rsidRPr="00D4563C">
        <w:t>actation</w:t>
      </w:r>
    </w:p>
    <w:p w14:paraId="574DCBA4" w14:textId="77777777" w:rsidR="007C6789" w:rsidRDefault="00D04C3D" w:rsidP="00D4563C">
      <w:r w:rsidRPr="00D4563C">
        <w:t>It is expected that dolutegravir will be secreted into human milk based on studies in lactating rats and their offspring, although this has not been confirmed in humans. The extent of excretion of dolutegravir in human breast milk is unknown.</w:t>
      </w:r>
    </w:p>
    <w:p w14:paraId="5E8A242C" w14:textId="77777777" w:rsidR="007C6789" w:rsidRDefault="007C6789" w:rsidP="00D4563C">
      <w:r>
        <w:lastRenderedPageBreak/>
        <w:t>B</w:t>
      </w:r>
      <w:r w:rsidR="00D04C3D" w:rsidRPr="00D4563C">
        <w:t>reast</w:t>
      </w:r>
      <w:r w:rsidR="009F38E4" w:rsidRPr="00D4563C">
        <w:t xml:space="preserve"> </w:t>
      </w:r>
      <w:r w:rsidR="00D04C3D" w:rsidRPr="00D4563C">
        <w:t>feeding is not advised because of the potential for HIV transmission from mother to child, and the potential risk of adverse events due to antiretroviral</w:t>
      </w:r>
      <w:r>
        <w:t xml:space="preserve"> drug excretion in breast milk.</w:t>
      </w:r>
    </w:p>
    <w:p w14:paraId="749AA4C4" w14:textId="77777777" w:rsidR="00ED65A6" w:rsidRPr="00D4563C" w:rsidRDefault="00D04C3D" w:rsidP="00D4563C">
      <w:r w:rsidRPr="00D4563C">
        <w:t xml:space="preserve">In settings where formula feeding is unsafe or unavailable, the World Health Organisation has provided </w:t>
      </w:r>
      <w:r w:rsidR="009F38E4" w:rsidRPr="00D4563C">
        <w:t>Guidelines</w:t>
      </w:r>
      <w:r w:rsidRPr="00D4563C">
        <w:t>.</w:t>
      </w:r>
    </w:p>
    <w:p w14:paraId="6BAFEBE9" w14:textId="77777777" w:rsidR="00ED65A6" w:rsidRPr="00D4563C" w:rsidRDefault="00D04C3D" w:rsidP="00147416">
      <w:pPr>
        <w:pStyle w:val="Heading2"/>
        <w:keepNext/>
        <w:keepLines/>
      </w:pPr>
      <w:r w:rsidRPr="00D4563C">
        <w:t xml:space="preserve">Effects on ability to drive and use machines </w:t>
      </w:r>
    </w:p>
    <w:p w14:paraId="56FA3B76" w14:textId="55911E61" w:rsidR="007C6789" w:rsidRDefault="00D04C3D" w:rsidP="00147416">
      <w:pPr>
        <w:keepNext/>
        <w:keepLines/>
      </w:pPr>
      <w:r w:rsidRPr="00D4563C">
        <w:t xml:space="preserve">There have been no studies to investigate the effect of </w:t>
      </w:r>
      <w:r w:rsidR="00FF0934" w:rsidRPr="00D4563C">
        <w:t>TIVICAY</w:t>
      </w:r>
      <w:r w:rsidRPr="00D4563C">
        <w:t xml:space="preserve"> </w:t>
      </w:r>
      <w:r w:rsidR="00F82EF2">
        <w:t xml:space="preserve">or TIVICAY PD </w:t>
      </w:r>
      <w:r w:rsidRPr="00D4563C">
        <w:t>on driving performance or the ability to operate machi</w:t>
      </w:r>
      <w:r w:rsidR="007C6789">
        <w:t>nery.</w:t>
      </w:r>
    </w:p>
    <w:p w14:paraId="58C7F468" w14:textId="669E1C89" w:rsidR="00ED65A6" w:rsidRPr="00D4563C" w:rsidRDefault="00D04C3D" w:rsidP="00D4563C">
      <w:r w:rsidRPr="00D4563C">
        <w:t xml:space="preserve">The clinical status of the patient and the adverse event profile of </w:t>
      </w:r>
      <w:proofErr w:type="spellStart"/>
      <w:r w:rsidR="009B0AEA">
        <w:t>dolutgravir</w:t>
      </w:r>
      <w:proofErr w:type="spellEnd"/>
      <w:r w:rsidRPr="00D4563C">
        <w:t xml:space="preserve"> should be borne in mind when considering the patient's ability to drive or operate machinery.</w:t>
      </w:r>
    </w:p>
    <w:p w14:paraId="09F8321F" w14:textId="77777777" w:rsidR="00ED65A6" w:rsidRPr="00D4563C" w:rsidRDefault="00D04C3D" w:rsidP="00D4563C">
      <w:pPr>
        <w:pStyle w:val="Heading2"/>
      </w:pPr>
      <w:r w:rsidRPr="00D4563C">
        <w:t>Adverse effects (Undesirable effects)</w:t>
      </w:r>
    </w:p>
    <w:p w14:paraId="6D9D5831" w14:textId="77777777" w:rsidR="006478F5" w:rsidRPr="00147416" w:rsidRDefault="00D04C3D" w:rsidP="00DD3ACA">
      <w:pPr>
        <w:rPr>
          <w:b/>
          <w:bCs/>
          <w:u w:val="single"/>
        </w:rPr>
      </w:pPr>
      <w:r w:rsidRPr="00147416">
        <w:rPr>
          <w:b/>
          <w:bCs/>
          <w:u w:val="single"/>
        </w:rPr>
        <w:t>Clinical trial data</w:t>
      </w:r>
    </w:p>
    <w:p w14:paraId="60ABB136" w14:textId="77AB8303" w:rsidR="007C6789" w:rsidRDefault="00E15698" w:rsidP="00DD3ACA">
      <w:r w:rsidRPr="0066640B">
        <w:rPr>
          <w:b/>
        </w:rPr>
        <w:t xml:space="preserve">Antiretroviral </w:t>
      </w:r>
      <w:proofErr w:type="spellStart"/>
      <w:r w:rsidR="006F5B92" w:rsidRPr="0066640B">
        <w:rPr>
          <w:b/>
        </w:rPr>
        <w:t>na</w:t>
      </w:r>
      <w:proofErr w:type="spellEnd"/>
      <w:r w:rsidR="006F5B92" w:rsidRPr="0066640B">
        <w:rPr>
          <w:rFonts w:eastAsia="MS Mincho"/>
          <w:b/>
          <w:lang w:val="en-GB" w:eastAsia="ja-JP"/>
        </w:rPr>
        <w:t>ï</w:t>
      </w:r>
      <w:proofErr w:type="spellStart"/>
      <w:r w:rsidR="006F5B92" w:rsidRPr="0066640B">
        <w:rPr>
          <w:b/>
        </w:rPr>
        <w:t>ve</w:t>
      </w:r>
      <w:proofErr w:type="spellEnd"/>
      <w:r w:rsidR="006F5B92" w:rsidRPr="0066640B">
        <w:rPr>
          <w:b/>
        </w:rPr>
        <w:t xml:space="preserve"> patients</w:t>
      </w:r>
      <w:r w:rsidR="00457406">
        <w:rPr>
          <w:b/>
        </w:rPr>
        <w:br/>
      </w:r>
      <w:r w:rsidR="00D04C3D" w:rsidRPr="00D4563C">
        <w:t xml:space="preserve">The safety assessment of </w:t>
      </w:r>
      <w:r w:rsidR="00FF0934" w:rsidRPr="00D4563C">
        <w:t>TIVICAY</w:t>
      </w:r>
      <w:r w:rsidR="00FF6FAB" w:rsidRPr="00D4563C">
        <w:t xml:space="preserve"> in HIV-1 infected treatment-</w:t>
      </w:r>
      <w:r w:rsidRPr="00D4563C">
        <w:t>na</w:t>
      </w:r>
      <w:r w:rsidRPr="00D4563C">
        <w:rPr>
          <w:rFonts w:eastAsia="MS Mincho"/>
        </w:rPr>
        <w:t>ï</w:t>
      </w:r>
      <w:r w:rsidR="00D04C3D" w:rsidRPr="00D4563C">
        <w:t>ve patients</w:t>
      </w:r>
      <w:r w:rsidR="00FF6FAB" w:rsidRPr="00D4563C">
        <w:t xml:space="preserve"> is based on the analyses of 96-</w:t>
      </w:r>
      <w:r w:rsidR="00D04C3D" w:rsidRPr="00D4563C">
        <w:t>week data from 2, int</w:t>
      </w:r>
      <w:r w:rsidR="00FF6FAB" w:rsidRPr="00D4563C">
        <w:t>ernational, multicentre, double-</w:t>
      </w:r>
      <w:r w:rsidR="00D04C3D" w:rsidRPr="00D4563C">
        <w:t>blind trials, SPRING-2 (ING113086</w:t>
      </w:r>
      <w:r w:rsidR="00FF6FAB" w:rsidRPr="00D4563C">
        <w:t>) and SINGLE (ING114467) and 48-</w:t>
      </w:r>
      <w:r w:rsidR="00D04C3D" w:rsidRPr="00D4563C">
        <w:t>week data from the internati</w:t>
      </w:r>
      <w:r w:rsidR="00FF6FAB" w:rsidRPr="00D4563C">
        <w:t>onal, multicentre, open-</w:t>
      </w:r>
      <w:r w:rsidR="00D04C3D" w:rsidRPr="00D4563C">
        <w:t>la</w:t>
      </w:r>
      <w:r w:rsidR="007C6789">
        <w:t>bel FLAMINGO (ING114915) trial.</w:t>
      </w:r>
    </w:p>
    <w:p w14:paraId="35BA583C" w14:textId="3A79E02C" w:rsidR="007C6789" w:rsidRDefault="00D04C3D" w:rsidP="00DD3ACA">
      <w:r w:rsidRPr="00D4563C">
        <w:t xml:space="preserve">In SPRING-2, 822 patients were randomised and received at least 1 dose of either </w:t>
      </w:r>
      <w:r w:rsidR="00FF0934" w:rsidRPr="00D4563C">
        <w:t>TIVICAY</w:t>
      </w:r>
      <w:r w:rsidRPr="00D4563C">
        <w:t xml:space="preserve"> 50 mg once daily or </w:t>
      </w:r>
      <w:proofErr w:type="spellStart"/>
      <w:r w:rsidRPr="00D4563C">
        <w:t>raltegravir</w:t>
      </w:r>
      <w:proofErr w:type="spellEnd"/>
      <w:r w:rsidRPr="00D4563C">
        <w:t xml:space="preserve"> 400 mg twice daily,</w:t>
      </w:r>
      <w:r w:rsidR="00A01346" w:rsidRPr="00D4563C">
        <w:t xml:space="preserve"> both in combination with fixed-</w:t>
      </w:r>
      <w:r w:rsidRPr="00D4563C">
        <w:t xml:space="preserve">dose dual nucleoside reverse transcriptase inhibitor (NRTI) treatment (either abacavir </w:t>
      </w:r>
      <w:r w:rsidR="00F95676" w:rsidRPr="00D4563C">
        <w:t xml:space="preserve">sulfate/lamivudine </w:t>
      </w:r>
      <w:r w:rsidRPr="00D4563C">
        <w:t xml:space="preserve">or </w:t>
      </w:r>
      <w:r w:rsidR="00D06EDF" w:rsidRPr="00D4563C">
        <w:t>emtricitabine/tenofovir</w:t>
      </w:r>
      <w:r w:rsidRPr="00D4563C">
        <w:t xml:space="preserve">). Through 96 weeks the rates of discontinuation due to adverse events were 1% in patients receiving </w:t>
      </w:r>
      <w:r w:rsidR="00FF0934" w:rsidRPr="00D4563C">
        <w:t>TIVICAY</w:t>
      </w:r>
      <w:r w:rsidRPr="00D4563C">
        <w:t xml:space="preserve"> 50 mg once daily + either abacavir </w:t>
      </w:r>
      <w:r w:rsidR="00F95676" w:rsidRPr="00D4563C">
        <w:t>sulfate/lamivudine</w:t>
      </w:r>
      <w:r w:rsidR="008660D9">
        <w:t xml:space="preserve"> (ABC/</w:t>
      </w:r>
      <w:r w:rsidR="007B622B">
        <w:t>3TC</w:t>
      </w:r>
      <w:r w:rsidR="008660D9">
        <w:t>)</w:t>
      </w:r>
      <w:r w:rsidR="00F95676" w:rsidRPr="00D4563C">
        <w:t xml:space="preserve"> </w:t>
      </w:r>
      <w:r w:rsidRPr="00D4563C">
        <w:t xml:space="preserve">or </w:t>
      </w:r>
      <w:r w:rsidR="00D06EDF" w:rsidRPr="00D4563C">
        <w:t>tenofovir</w:t>
      </w:r>
      <w:r w:rsidR="00E65116">
        <w:t>/</w:t>
      </w:r>
      <w:r w:rsidR="00E65116" w:rsidRPr="00E65116">
        <w:t xml:space="preserve"> </w:t>
      </w:r>
      <w:r w:rsidR="00E65116">
        <w:t>emtricitabine</w:t>
      </w:r>
      <w:r w:rsidR="008660D9">
        <w:t xml:space="preserve"> (TDF/FTC)</w:t>
      </w:r>
      <w:r w:rsidRPr="00D4563C">
        <w:t xml:space="preserve"> and 2% in patients receiving </w:t>
      </w:r>
      <w:proofErr w:type="spellStart"/>
      <w:r w:rsidRPr="00D4563C">
        <w:t>raltegravir</w:t>
      </w:r>
      <w:proofErr w:type="spellEnd"/>
      <w:r w:rsidRPr="00D4563C">
        <w:t xml:space="preserve"> 400 mg twice daily + either abacavir </w:t>
      </w:r>
      <w:r w:rsidR="00F95676" w:rsidRPr="00D4563C">
        <w:t xml:space="preserve">sulfate/lamivudine </w:t>
      </w:r>
      <w:r w:rsidRPr="00D4563C">
        <w:t xml:space="preserve">or </w:t>
      </w:r>
      <w:r w:rsidR="00D06EDF" w:rsidRPr="00D4563C">
        <w:t>emtricitabine/tenofovir</w:t>
      </w:r>
      <w:r w:rsidR="007C6789">
        <w:t>.</w:t>
      </w:r>
    </w:p>
    <w:p w14:paraId="48D7B3B0" w14:textId="7099D617" w:rsidR="007C6789" w:rsidRDefault="00D04C3D" w:rsidP="00DD3ACA">
      <w:r w:rsidRPr="00D4563C">
        <w:t xml:space="preserve">In SINGLE, 833 patients were randomised and received at least 1 dose of either </w:t>
      </w:r>
      <w:r w:rsidR="00FF0934" w:rsidRPr="00D4563C">
        <w:t>TIVICAY</w:t>
      </w:r>
      <w:r w:rsidR="00E705A0" w:rsidRPr="00D4563C">
        <w:t xml:space="preserve"> 50 mg with fixed-</w:t>
      </w:r>
      <w:r w:rsidRPr="00D4563C">
        <w:t xml:space="preserve">dose abacavir </w:t>
      </w:r>
      <w:r w:rsidR="00F95676" w:rsidRPr="00D4563C">
        <w:t xml:space="preserve">sulfate/lamivudine </w:t>
      </w:r>
      <w:r w:rsidR="00E705A0" w:rsidRPr="00D4563C">
        <w:t>once daily or fixed-</w:t>
      </w:r>
      <w:r w:rsidR="007A31CD" w:rsidRPr="00D4563C">
        <w:t>dose efavirenz/</w:t>
      </w:r>
      <w:r w:rsidR="00E65116" w:rsidRPr="00D4563C" w:rsidDel="00E65116">
        <w:t xml:space="preserve"> </w:t>
      </w:r>
      <w:r w:rsidR="00D06EDF" w:rsidRPr="00D4563C">
        <w:t>tenofovir</w:t>
      </w:r>
      <w:r w:rsidR="00E65116">
        <w:t>/emtricitabine (EFV/TDF/FTC)</w:t>
      </w:r>
      <w:r w:rsidRPr="00D4563C">
        <w:t xml:space="preserve"> once daily. Through 96 weeks</w:t>
      </w:r>
      <w:r w:rsidR="0066640B">
        <w:t>,</w:t>
      </w:r>
      <w:r w:rsidRPr="00D4563C">
        <w:t xml:space="preserve"> the rates of discontinuation due to adverse events were 3% in patients receiving </w:t>
      </w:r>
      <w:r w:rsidR="00FF0934" w:rsidRPr="00D4563C">
        <w:t>TIVICAY</w:t>
      </w:r>
      <w:r w:rsidRPr="00D4563C">
        <w:t xml:space="preserve"> 50 mg once daily + abacavir </w:t>
      </w:r>
      <w:r w:rsidR="00F95676" w:rsidRPr="00D4563C">
        <w:t xml:space="preserve">sulfate/lamivudine </w:t>
      </w:r>
      <w:r w:rsidRPr="00D4563C">
        <w:t>and 12% i</w:t>
      </w:r>
      <w:r w:rsidR="00F95676" w:rsidRPr="00D4563C">
        <w:t>n patients receiving efavirenz/</w:t>
      </w:r>
      <w:r w:rsidR="00D06EDF" w:rsidRPr="00D4563C">
        <w:t>emtricitabine/tenofovir</w:t>
      </w:r>
      <w:r w:rsidR="007C6789">
        <w:t xml:space="preserve"> once daily.</w:t>
      </w:r>
    </w:p>
    <w:p w14:paraId="542E5F6B" w14:textId="0BB7141B" w:rsidR="00357D41" w:rsidRDefault="00D04C3D" w:rsidP="00DD3ACA">
      <w:r w:rsidRPr="00D4563C">
        <w:t xml:space="preserve">Treatment emergent adverse reactions (adverse events assessed as causally related by the investigator) of moderate to severe intensity with a </w:t>
      </w:r>
      <w:r w:rsidR="0066640B" w:rsidRPr="00D4563C">
        <w:sym w:font="Symbol" w:char="F0B3"/>
      </w:r>
      <w:r w:rsidR="0066640B">
        <w:t xml:space="preserve"> </w:t>
      </w:r>
      <w:r w:rsidRPr="00D4563C">
        <w:t>2% frequency in either treatment arm in SPRING-2 and SINGL</w:t>
      </w:r>
      <w:r w:rsidR="00EC34C3" w:rsidRPr="00D4563C">
        <w:t xml:space="preserve">E trials are provided in Table </w:t>
      </w:r>
      <w:r w:rsidR="004E2D77">
        <w:t>3</w:t>
      </w:r>
      <w:r w:rsidR="00EC34C3" w:rsidRPr="00D4563C">
        <w:t>. Side-by-</w:t>
      </w:r>
      <w:r w:rsidRPr="00D4563C">
        <w:t>side tabulation is to simplify presentation; direct comparisons across trials should not be made due to differing trial designs.</w:t>
      </w:r>
    </w:p>
    <w:p w14:paraId="16154221" w14:textId="36B625EC" w:rsidR="00626ADC" w:rsidRPr="00193A46" w:rsidRDefault="00626ADC" w:rsidP="00FD77CB">
      <w:pPr>
        <w:keepNext/>
        <w:keepLines/>
        <w:ind w:left="1440" w:hanging="1440"/>
        <w:rPr>
          <w:b/>
          <w:i/>
        </w:rPr>
      </w:pPr>
      <w:r w:rsidRPr="00193A46">
        <w:rPr>
          <w:b/>
        </w:rPr>
        <w:lastRenderedPageBreak/>
        <w:t xml:space="preserve">Table </w:t>
      </w:r>
      <w:r w:rsidR="004E2D77">
        <w:rPr>
          <w:b/>
        </w:rPr>
        <w:t>3</w:t>
      </w:r>
      <w:r w:rsidR="006478F5">
        <w:rPr>
          <w:b/>
        </w:rPr>
        <w:tab/>
      </w:r>
      <w:r w:rsidRPr="00193A46">
        <w:rPr>
          <w:b/>
        </w:rPr>
        <w:t>Treatment</w:t>
      </w:r>
      <w:r w:rsidRPr="00193A46">
        <w:rPr>
          <w:b/>
        </w:rPr>
        <w:noBreakHyphen/>
        <w:t xml:space="preserve">Emergent Adverse Reactions of at Least Moderate Intensity (Grades 2 to 4) and </w:t>
      </w:r>
      <w:r w:rsidRPr="00193A46">
        <w:rPr>
          <w:b/>
        </w:rPr>
        <w:sym w:font="Symbol" w:char="F0B3"/>
      </w:r>
      <w:r w:rsidR="0066640B" w:rsidRPr="00193A46">
        <w:rPr>
          <w:b/>
        </w:rPr>
        <w:t xml:space="preserve"> </w:t>
      </w:r>
      <w:r w:rsidRPr="00193A46">
        <w:rPr>
          <w:b/>
        </w:rPr>
        <w:t>2% Frequency in Treatment</w:t>
      </w:r>
      <w:r w:rsidRPr="00193A46">
        <w:rPr>
          <w:b/>
        </w:rPr>
        <w:noBreakHyphen/>
        <w:t>Naive Patients in SPRING-2 and SINGLE Trials (Week 96 Analysis)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530"/>
        <w:gridCol w:w="1530"/>
        <w:gridCol w:w="1620"/>
        <w:gridCol w:w="1710"/>
      </w:tblGrid>
      <w:tr w:rsidR="00626ADC" w:rsidRPr="00193A46" w14:paraId="100DC58E" w14:textId="77777777" w:rsidTr="00EB01CD">
        <w:trPr>
          <w:trHeight w:val="278"/>
          <w:tblHeader/>
        </w:trPr>
        <w:tc>
          <w:tcPr>
            <w:tcW w:w="3505" w:type="dxa"/>
            <w:vMerge w:val="restart"/>
            <w:vAlign w:val="bottom"/>
          </w:tcPr>
          <w:p w14:paraId="4896A1A3"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Body System/</w:t>
            </w:r>
          </w:p>
          <w:p w14:paraId="55C3C627"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Preferred Term</w:t>
            </w:r>
          </w:p>
        </w:tc>
        <w:tc>
          <w:tcPr>
            <w:tcW w:w="3060" w:type="dxa"/>
            <w:gridSpan w:val="2"/>
            <w:tcBorders>
              <w:right w:val="single" w:sz="12" w:space="0" w:color="auto"/>
            </w:tcBorders>
            <w:vAlign w:val="bottom"/>
          </w:tcPr>
          <w:p w14:paraId="52959B23" w14:textId="77777777" w:rsidR="00626ADC" w:rsidRPr="00160371" w:rsidRDefault="00626ADC" w:rsidP="00FD77CB">
            <w:pPr>
              <w:pStyle w:val="tabletextNS"/>
              <w:keepNext/>
              <w:keepLines/>
              <w:spacing w:line="240" w:lineRule="auto"/>
              <w:jc w:val="center"/>
              <w:rPr>
                <w:rFonts w:cs="Arial"/>
                <w:b/>
                <w:sz w:val="20"/>
              </w:rPr>
            </w:pPr>
            <w:r w:rsidRPr="00160371">
              <w:rPr>
                <w:rFonts w:cs="Arial"/>
                <w:b/>
                <w:sz w:val="20"/>
              </w:rPr>
              <w:t>SPRING-2</w:t>
            </w:r>
          </w:p>
        </w:tc>
        <w:tc>
          <w:tcPr>
            <w:tcW w:w="3330" w:type="dxa"/>
            <w:gridSpan w:val="2"/>
            <w:tcBorders>
              <w:left w:val="single" w:sz="12" w:space="0" w:color="auto"/>
              <w:bottom w:val="nil"/>
            </w:tcBorders>
            <w:vAlign w:val="bottom"/>
          </w:tcPr>
          <w:p w14:paraId="506D66CE" w14:textId="77777777" w:rsidR="00626ADC" w:rsidRPr="00160371" w:rsidRDefault="00626ADC" w:rsidP="00FD77CB">
            <w:pPr>
              <w:pStyle w:val="tabletextNS"/>
              <w:keepNext/>
              <w:keepLines/>
              <w:spacing w:line="240" w:lineRule="auto"/>
              <w:jc w:val="center"/>
              <w:rPr>
                <w:rFonts w:cs="Arial"/>
                <w:b/>
                <w:sz w:val="20"/>
              </w:rPr>
            </w:pPr>
            <w:r w:rsidRPr="00160371">
              <w:rPr>
                <w:rFonts w:cs="Arial"/>
                <w:b/>
                <w:sz w:val="20"/>
              </w:rPr>
              <w:t>SINGLE</w:t>
            </w:r>
          </w:p>
        </w:tc>
      </w:tr>
      <w:tr w:rsidR="00626ADC" w:rsidRPr="00193A46" w14:paraId="4ECF965A" w14:textId="77777777" w:rsidTr="00EB01CD">
        <w:trPr>
          <w:tblHeader/>
        </w:trPr>
        <w:tc>
          <w:tcPr>
            <w:tcW w:w="3505" w:type="dxa"/>
            <w:vMerge/>
            <w:tcBorders>
              <w:bottom w:val="single" w:sz="4" w:space="0" w:color="auto"/>
            </w:tcBorders>
          </w:tcPr>
          <w:p w14:paraId="7B608E75" w14:textId="77777777" w:rsidR="00626ADC" w:rsidRPr="00357D41" w:rsidRDefault="00626ADC" w:rsidP="00FD77CB">
            <w:pPr>
              <w:pStyle w:val="tabletextNS"/>
              <w:keepNext/>
              <w:keepLines/>
              <w:spacing w:line="240" w:lineRule="auto"/>
              <w:rPr>
                <w:rFonts w:cs="Arial"/>
                <w:sz w:val="20"/>
              </w:rPr>
            </w:pPr>
          </w:p>
        </w:tc>
        <w:tc>
          <w:tcPr>
            <w:tcW w:w="1530" w:type="dxa"/>
            <w:tcBorders>
              <w:bottom w:val="single" w:sz="4" w:space="0" w:color="auto"/>
            </w:tcBorders>
            <w:vAlign w:val="bottom"/>
          </w:tcPr>
          <w:p w14:paraId="42460F59"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TIVICAY 50 mg Once Daily</w:t>
            </w:r>
            <w:r w:rsidR="00147B37" w:rsidRPr="00357D41">
              <w:rPr>
                <w:rFonts w:cs="Arial"/>
                <w:sz w:val="20"/>
              </w:rPr>
              <w:t xml:space="preserve"> </w:t>
            </w:r>
            <w:r w:rsidRPr="00357D41">
              <w:rPr>
                <w:rFonts w:cs="Arial"/>
                <w:sz w:val="20"/>
              </w:rPr>
              <w:t>+</w:t>
            </w:r>
          </w:p>
          <w:p w14:paraId="14C79217"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2 NRTIs</w:t>
            </w:r>
          </w:p>
          <w:p w14:paraId="473C3E24"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(N = 411)</w:t>
            </w:r>
          </w:p>
        </w:tc>
        <w:tc>
          <w:tcPr>
            <w:tcW w:w="1530" w:type="dxa"/>
            <w:tcBorders>
              <w:bottom w:val="single" w:sz="4" w:space="0" w:color="auto"/>
              <w:right w:val="single" w:sz="12" w:space="0" w:color="auto"/>
            </w:tcBorders>
            <w:vAlign w:val="bottom"/>
          </w:tcPr>
          <w:p w14:paraId="6D28D759" w14:textId="77777777" w:rsidR="00626ADC" w:rsidRPr="00357D41" w:rsidRDefault="00626ADC" w:rsidP="00FD77CB">
            <w:pPr>
              <w:pStyle w:val="tabletextNS"/>
              <w:keepNext/>
              <w:keepLines/>
              <w:spacing w:line="240" w:lineRule="auto"/>
              <w:jc w:val="center"/>
              <w:rPr>
                <w:rFonts w:cs="Arial"/>
                <w:sz w:val="20"/>
              </w:rPr>
            </w:pPr>
            <w:proofErr w:type="spellStart"/>
            <w:r w:rsidRPr="00357D41">
              <w:rPr>
                <w:rFonts w:cs="Arial"/>
                <w:sz w:val="20"/>
              </w:rPr>
              <w:t>Raltegravir</w:t>
            </w:r>
            <w:proofErr w:type="spellEnd"/>
          </w:p>
          <w:p w14:paraId="52DA5D3A"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400 mg Twice Daily + 2 NRTIs</w:t>
            </w:r>
          </w:p>
          <w:p w14:paraId="1E37697E"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(N = 411)</w:t>
            </w:r>
          </w:p>
        </w:tc>
        <w:tc>
          <w:tcPr>
            <w:tcW w:w="1620" w:type="dxa"/>
            <w:tcBorders>
              <w:top w:val="single" w:sz="4" w:space="0" w:color="auto"/>
              <w:left w:val="single" w:sz="12" w:space="0" w:color="auto"/>
              <w:bottom w:val="single" w:sz="4" w:space="0" w:color="auto"/>
            </w:tcBorders>
            <w:vAlign w:val="bottom"/>
          </w:tcPr>
          <w:p w14:paraId="4ED6BE12" w14:textId="1C7C2054" w:rsidR="00626ADC" w:rsidRPr="00357D41" w:rsidRDefault="00626ADC" w:rsidP="00FD77CB">
            <w:pPr>
              <w:pStyle w:val="tabletextNS"/>
              <w:keepNext/>
              <w:keepLines/>
              <w:spacing w:line="240" w:lineRule="auto"/>
              <w:jc w:val="center"/>
              <w:rPr>
                <w:rFonts w:cs="Arial"/>
                <w:sz w:val="20"/>
              </w:rPr>
            </w:pPr>
            <w:r w:rsidRPr="00357D41">
              <w:rPr>
                <w:rFonts w:cs="Arial"/>
                <w:sz w:val="20"/>
              </w:rPr>
              <w:t>TIVICAY 50 mg + KIVEXA (ABC/3TC) Once Daily</w:t>
            </w:r>
          </w:p>
          <w:p w14:paraId="1F469454"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(N = 414)</w:t>
            </w:r>
          </w:p>
        </w:tc>
        <w:tc>
          <w:tcPr>
            <w:tcW w:w="1710" w:type="dxa"/>
            <w:tcBorders>
              <w:bottom w:val="single" w:sz="4" w:space="0" w:color="auto"/>
            </w:tcBorders>
            <w:vAlign w:val="bottom"/>
          </w:tcPr>
          <w:p w14:paraId="71B5218C"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EFV/TDF/FTC</w:t>
            </w:r>
          </w:p>
          <w:p w14:paraId="4CD4D931"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Once Daily</w:t>
            </w:r>
          </w:p>
          <w:p w14:paraId="1C9D04D8" w14:textId="77777777" w:rsidR="00626ADC" w:rsidRPr="00357D41" w:rsidRDefault="00626ADC" w:rsidP="00FD77CB">
            <w:pPr>
              <w:pStyle w:val="tabletextNS"/>
              <w:keepNext/>
              <w:keepLines/>
              <w:spacing w:line="240" w:lineRule="auto"/>
              <w:jc w:val="center"/>
              <w:rPr>
                <w:rFonts w:cs="Arial"/>
                <w:sz w:val="20"/>
              </w:rPr>
            </w:pPr>
            <w:r w:rsidRPr="00357D41">
              <w:rPr>
                <w:rFonts w:cs="Arial"/>
                <w:sz w:val="20"/>
              </w:rPr>
              <w:t>(N = 419)</w:t>
            </w:r>
          </w:p>
        </w:tc>
      </w:tr>
      <w:tr w:rsidR="00626ADC" w:rsidRPr="00193A46" w14:paraId="22AC8899" w14:textId="77777777" w:rsidTr="008634A8">
        <w:tc>
          <w:tcPr>
            <w:tcW w:w="3505" w:type="dxa"/>
            <w:tcBorders>
              <w:bottom w:val="nil"/>
            </w:tcBorders>
          </w:tcPr>
          <w:p w14:paraId="0CC7EA44" w14:textId="77777777" w:rsidR="00626ADC" w:rsidRPr="00357D41" w:rsidRDefault="00626ADC" w:rsidP="00FD77CB">
            <w:pPr>
              <w:pStyle w:val="tabletextNS"/>
              <w:keepNext/>
              <w:keepLines/>
              <w:spacing w:line="240" w:lineRule="auto"/>
              <w:rPr>
                <w:rFonts w:cs="Arial"/>
                <w:b/>
                <w:sz w:val="20"/>
              </w:rPr>
            </w:pPr>
            <w:r w:rsidRPr="00357D41">
              <w:rPr>
                <w:rFonts w:cs="Arial"/>
                <w:b/>
                <w:sz w:val="20"/>
              </w:rPr>
              <w:t xml:space="preserve">Psychiatric </w:t>
            </w:r>
          </w:p>
        </w:tc>
        <w:tc>
          <w:tcPr>
            <w:tcW w:w="1530" w:type="dxa"/>
            <w:tcBorders>
              <w:bottom w:val="nil"/>
            </w:tcBorders>
          </w:tcPr>
          <w:p w14:paraId="6C72F7EF"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530" w:type="dxa"/>
            <w:tcBorders>
              <w:bottom w:val="nil"/>
              <w:right w:val="single" w:sz="12" w:space="0" w:color="auto"/>
            </w:tcBorders>
          </w:tcPr>
          <w:p w14:paraId="119E85BC"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620" w:type="dxa"/>
            <w:tcBorders>
              <w:top w:val="single" w:sz="4" w:space="0" w:color="auto"/>
              <w:left w:val="single" w:sz="12" w:space="0" w:color="auto"/>
              <w:bottom w:val="nil"/>
            </w:tcBorders>
          </w:tcPr>
          <w:p w14:paraId="097D4528" w14:textId="77777777" w:rsidR="00626ADC" w:rsidRPr="00357D41" w:rsidRDefault="00626ADC" w:rsidP="00FD77CB">
            <w:pPr>
              <w:pStyle w:val="tabletextNS"/>
              <w:keepNext/>
              <w:keepLines/>
              <w:spacing w:line="240" w:lineRule="auto"/>
              <w:jc w:val="center"/>
              <w:rPr>
                <w:rFonts w:cs="Arial"/>
                <w:sz w:val="20"/>
              </w:rPr>
            </w:pPr>
          </w:p>
        </w:tc>
        <w:tc>
          <w:tcPr>
            <w:tcW w:w="1710" w:type="dxa"/>
            <w:tcBorders>
              <w:bottom w:val="nil"/>
            </w:tcBorders>
          </w:tcPr>
          <w:p w14:paraId="25D2CA6D" w14:textId="77777777" w:rsidR="00626ADC" w:rsidRPr="00357D41" w:rsidRDefault="00626ADC" w:rsidP="00FD77CB">
            <w:pPr>
              <w:pStyle w:val="tabletextNS"/>
              <w:keepNext/>
              <w:keepLines/>
              <w:spacing w:line="240" w:lineRule="auto"/>
              <w:jc w:val="center"/>
              <w:rPr>
                <w:rFonts w:cs="Arial"/>
                <w:sz w:val="20"/>
              </w:rPr>
            </w:pPr>
          </w:p>
        </w:tc>
      </w:tr>
      <w:tr w:rsidR="00626ADC" w:rsidRPr="00193A46" w14:paraId="587A89D4" w14:textId="77777777" w:rsidTr="008634A8">
        <w:tc>
          <w:tcPr>
            <w:tcW w:w="3505" w:type="dxa"/>
            <w:tcBorders>
              <w:top w:val="nil"/>
              <w:bottom w:val="nil"/>
            </w:tcBorders>
          </w:tcPr>
          <w:p w14:paraId="5001169E" w14:textId="77777777" w:rsidR="00626ADC" w:rsidRPr="00357D41" w:rsidRDefault="00825890" w:rsidP="00FD77CB">
            <w:pPr>
              <w:pStyle w:val="tabletextNS"/>
              <w:keepNext/>
              <w:keepLines/>
              <w:spacing w:line="240" w:lineRule="auto"/>
              <w:rPr>
                <w:rFonts w:cs="Arial"/>
                <w:b/>
                <w:sz w:val="20"/>
              </w:rPr>
            </w:pPr>
            <w:r w:rsidRPr="00357D41">
              <w:rPr>
                <w:rFonts w:cs="Arial"/>
                <w:sz w:val="20"/>
              </w:rPr>
              <w:t xml:space="preserve">   </w:t>
            </w:r>
            <w:r w:rsidR="00626ADC" w:rsidRPr="00357D41">
              <w:rPr>
                <w:rFonts w:cs="Arial"/>
                <w:sz w:val="20"/>
              </w:rPr>
              <w:t xml:space="preserve"> Insomnia</w:t>
            </w:r>
          </w:p>
        </w:tc>
        <w:tc>
          <w:tcPr>
            <w:tcW w:w="1530" w:type="dxa"/>
            <w:tcBorders>
              <w:top w:val="nil"/>
              <w:bottom w:val="nil"/>
            </w:tcBorders>
          </w:tcPr>
          <w:p w14:paraId="54CD9EB6"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1 (&lt;1%)</w:t>
            </w:r>
          </w:p>
        </w:tc>
        <w:tc>
          <w:tcPr>
            <w:tcW w:w="1530" w:type="dxa"/>
            <w:tcBorders>
              <w:top w:val="nil"/>
              <w:bottom w:val="nil"/>
              <w:right w:val="single" w:sz="12" w:space="0" w:color="auto"/>
            </w:tcBorders>
          </w:tcPr>
          <w:p w14:paraId="6F4E9ADC"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1 (&lt;1%)</w:t>
            </w:r>
          </w:p>
        </w:tc>
        <w:tc>
          <w:tcPr>
            <w:tcW w:w="1620" w:type="dxa"/>
            <w:tcBorders>
              <w:top w:val="nil"/>
              <w:left w:val="single" w:sz="12" w:space="0" w:color="auto"/>
              <w:bottom w:val="nil"/>
            </w:tcBorders>
          </w:tcPr>
          <w:p w14:paraId="3597D598" w14:textId="77777777" w:rsidR="00626ADC" w:rsidRPr="00357D41" w:rsidRDefault="00626ADC" w:rsidP="00FD77CB">
            <w:pPr>
              <w:pStyle w:val="tabletextNS"/>
              <w:keepNext/>
              <w:keepLines/>
              <w:spacing w:line="240" w:lineRule="auto"/>
              <w:jc w:val="center"/>
              <w:rPr>
                <w:rFonts w:cs="Arial"/>
                <w:sz w:val="20"/>
              </w:rPr>
            </w:pPr>
            <w:r w:rsidRPr="00357D41">
              <w:rPr>
                <w:rFonts w:cs="Arial"/>
                <w:snapToGrid w:val="0"/>
                <w:sz w:val="20"/>
              </w:rPr>
              <w:t>14 (3%)</w:t>
            </w:r>
          </w:p>
        </w:tc>
        <w:tc>
          <w:tcPr>
            <w:tcW w:w="1710" w:type="dxa"/>
            <w:tcBorders>
              <w:top w:val="nil"/>
              <w:bottom w:val="nil"/>
            </w:tcBorders>
          </w:tcPr>
          <w:p w14:paraId="1CEA02CF" w14:textId="77777777" w:rsidR="00626ADC" w:rsidRPr="00357D41" w:rsidRDefault="00626ADC" w:rsidP="00FD77CB">
            <w:pPr>
              <w:pStyle w:val="tabletextNS"/>
              <w:keepNext/>
              <w:keepLines/>
              <w:spacing w:line="240" w:lineRule="auto"/>
              <w:jc w:val="center"/>
              <w:rPr>
                <w:rFonts w:cs="Arial"/>
                <w:sz w:val="20"/>
              </w:rPr>
            </w:pPr>
            <w:r w:rsidRPr="00357D41">
              <w:rPr>
                <w:rFonts w:cs="Arial"/>
                <w:snapToGrid w:val="0"/>
                <w:sz w:val="20"/>
              </w:rPr>
              <w:t>10 (2%)</w:t>
            </w:r>
          </w:p>
        </w:tc>
      </w:tr>
      <w:tr w:rsidR="00626ADC" w:rsidRPr="00193A46" w14:paraId="537A5B46" w14:textId="77777777" w:rsidTr="008634A8">
        <w:tc>
          <w:tcPr>
            <w:tcW w:w="3505" w:type="dxa"/>
            <w:tcBorders>
              <w:top w:val="nil"/>
              <w:bottom w:val="nil"/>
            </w:tcBorders>
          </w:tcPr>
          <w:p w14:paraId="7006608E" w14:textId="77777777" w:rsidR="00626ADC" w:rsidRPr="00357D41" w:rsidRDefault="00626ADC" w:rsidP="00FD77CB">
            <w:pPr>
              <w:pStyle w:val="tabletextNS"/>
              <w:keepNext/>
              <w:keepLines/>
              <w:spacing w:line="240" w:lineRule="auto"/>
              <w:ind w:left="248"/>
              <w:rPr>
                <w:rFonts w:cs="Arial"/>
                <w:sz w:val="20"/>
              </w:rPr>
            </w:pPr>
            <w:r w:rsidRPr="00357D41">
              <w:rPr>
                <w:rFonts w:cs="Arial"/>
                <w:sz w:val="20"/>
              </w:rPr>
              <w:t>Depression</w:t>
            </w:r>
          </w:p>
        </w:tc>
        <w:tc>
          <w:tcPr>
            <w:tcW w:w="1530" w:type="dxa"/>
            <w:tcBorders>
              <w:top w:val="nil"/>
              <w:bottom w:val="nil"/>
            </w:tcBorders>
            <w:vAlign w:val="bottom"/>
          </w:tcPr>
          <w:p w14:paraId="3FB31FEC"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1 (&lt;1%)</w:t>
            </w:r>
          </w:p>
        </w:tc>
        <w:tc>
          <w:tcPr>
            <w:tcW w:w="1530" w:type="dxa"/>
            <w:tcBorders>
              <w:top w:val="nil"/>
              <w:bottom w:val="nil"/>
              <w:right w:val="single" w:sz="12" w:space="0" w:color="auto"/>
            </w:tcBorders>
            <w:vAlign w:val="bottom"/>
          </w:tcPr>
          <w:p w14:paraId="55DC6FC8"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1 (&lt;1%)</w:t>
            </w:r>
          </w:p>
        </w:tc>
        <w:tc>
          <w:tcPr>
            <w:tcW w:w="1620" w:type="dxa"/>
            <w:tcBorders>
              <w:top w:val="nil"/>
              <w:left w:val="single" w:sz="12" w:space="0" w:color="auto"/>
              <w:bottom w:val="nil"/>
            </w:tcBorders>
          </w:tcPr>
          <w:p w14:paraId="04B93DB3"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5 (1%)</w:t>
            </w:r>
          </w:p>
        </w:tc>
        <w:tc>
          <w:tcPr>
            <w:tcW w:w="1710" w:type="dxa"/>
            <w:tcBorders>
              <w:top w:val="nil"/>
              <w:bottom w:val="nil"/>
            </w:tcBorders>
          </w:tcPr>
          <w:p w14:paraId="5180C109"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9 (2%)</w:t>
            </w:r>
          </w:p>
        </w:tc>
      </w:tr>
      <w:tr w:rsidR="00626ADC" w:rsidRPr="00193A46" w14:paraId="457B71FE" w14:textId="77777777" w:rsidTr="008634A8">
        <w:tc>
          <w:tcPr>
            <w:tcW w:w="3505" w:type="dxa"/>
            <w:tcBorders>
              <w:top w:val="nil"/>
              <w:bottom w:val="single" w:sz="4" w:space="0" w:color="auto"/>
            </w:tcBorders>
          </w:tcPr>
          <w:p w14:paraId="180C6094" w14:textId="77777777" w:rsidR="00626ADC" w:rsidRPr="00357D41" w:rsidRDefault="00626ADC" w:rsidP="00FD77CB">
            <w:pPr>
              <w:pStyle w:val="tabletextNS"/>
              <w:keepNext/>
              <w:keepLines/>
              <w:spacing w:line="240" w:lineRule="auto"/>
              <w:ind w:left="248"/>
              <w:rPr>
                <w:rFonts w:cs="Arial"/>
                <w:sz w:val="20"/>
              </w:rPr>
            </w:pPr>
            <w:r w:rsidRPr="00357D41">
              <w:rPr>
                <w:rFonts w:cs="Arial"/>
                <w:sz w:val="20"/>
              </w:rPr>
              <w:t>Abnormal dreams</w:t>
            </w:r>
          </w:p>
        </w:tc>
        <w:tc>
          <w:tcPr>
            <w:tcW w:w="1530" w:type="dxa"/>
            <w:tcBorders>
              <w:top w:val="nil"/>
              <w:bottom w:val="single" w:sz="4" w:space="0" w:color="auto"/>
            </w:tcBorders>
            <w:vAlign w:val="bottom"/>
          </w:tcPr>
          <w:p w14:paraId="2DE1C092"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2</w:t>
            </w:r>
            <w:r w:rsidR="0066640B" w:rsidRPr="00357D41">
              <w:rPr>
                <w:rFonts w:ascii="Arial Narrow" w:hAnsi="Arial Narrow"/>
                <w:snapToGrid w:val="0"/>
                <w:sz w:val="20"/>
                <w:szCs w:val="20"/>
              </w:rPr>
              <w:t xml:space="preserve"> </w:t>
            </w:r>
            <w:r w:rsidRPr="00357D41">
              <w:rPr>
                <w:rFonts w:ascii="Arial Narrow" w:hAnsi="Arial Narrow"/>
                <w:snapToGrid w:val="0"/>
                <w:sz w:val="20"/>
                <w:szCs w:val="20"/>
              </w:rPr>
              <w:t>(&lt;1%)</w:t>
            </w:r>
          </w:p>
        </w:tc>
        <w:tc>
          <w:tcPr>
            <w:tcW w:w="1530" w:type="dxa"/>
            <w:tcBorders>
              <w:top w:val="nil"/>
              <w:bottom w:val="single" w:sz="4" w:space="0" w:color="auto"/>
              <w:right w:val="single" w:sz="12" w:space="0" w:color="auto"/>
            </w:tcBorders>
            <w:vAlign w:val="bottom"/>
          </w:tcPr>
          <w:p w14:paraId="48A55A5C"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1 (&lt;1%)</w:t>
            </w:r>
          </w:p>
        </w:tc>
        <w:tc>
          <w:tcPr>
            <w:tcW w:w="1620" w:type="dxa"/>
            <w:tcBorders>
              <w:top w:val="nil"/>
              <w:left w:val="single" w:sz="12" w:space="0" w:color="auto"/>
              <w:bottom w:val="single" w:sz="4" w:space="0" w:color="auto"/>
            </w:tcBorders>
            <w:vAlign w:val="bottom"/>
          </w:tcPr>
          <w:p w14:paraId="0A88538B"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3 (&lt;1%)</w:t>
            </w:r>
          </w:p>
        </w:tc>
        <w:tc>
          <w:tcPr>
            <w:tcW w:w="1710" w:type="dxa"/>
            <w:tcBorders>
              <w:top w:val="nil"/>
              <w:bottom w:val="single" w:sz="4" w:space="0" w:color="auto"/>
            </w:tcBorders>
            <w:vAlign w:val="bottom"/>
          </w:tcPr>
          <w:p w14:paraId="2AF99FFD"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8 (2%)</w:t>
            </w:r>
          </w:p>
        </w:tc>
      </w:tr>
      <w:tr w:rsidR="00626ADC" w:rsidRPr="00193A46" w14:paraId="26AB4636" w14:textId="77777777" w:rsidTr="008634A8">
        <w:tc>
          <w:tcPr>
            <w:tcW w:w="3505" w:type="dxa"/>
            <w:tcBorders>
              <w:bottom w:val="nil"/>
            </w:tcBorders>
          </w:tcPr>
          <w:p w14:paraId="2BD1093F" w14:textId="77777777" w:rsidR="00626ADC" w:rsidRPr="00357D41" w:rsidRDefault="00626ADC" w:rsidP="00FD77CB">
            <w:pPr>
              <w:pStyle w:val="tabletextNS"/>
              <w:keepNext/>
              <w:keepLines/>
              <w:spacing w:line="240" w:lineRule="auto"/>
              <w:rPr>
                <w:rFonts w:cs="Arial"/>
                <w:b/>
                <w:sz w:val="20"/>
              </w:rPr>
            </w:pPr>
            <w:r w:rsidRPr="00357D41">
              <w:rPr>
                <w:rFonts w:cs="Arial"/>
                <w:b/>
                <w:sz w:val="20"/>
              </w:rPr>
              <w:t>Nervous System</w:t>
            </w:r>
          </w:p>
        </w:tc>
        <w:tc>
          <w:tcPr>
            <w:tcW w:w="1530" w:type="dxa"/>
            <w:tcBorders>
              <w:bottom w:val="nil"/>
            </w:tcBorders>
          </w:tcPr>
          <w:p w14:paraId="0D5C85EA"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530" w:type="dxa"/>
            <w:tcBorders>
              <w:bottom w:val="nil"/>
              <w:right w:val="single" w:sz="12" w:space="0" w:color="auto"/>
            </w:tcBorders>
          </w:tcPr>
          <w:p w14:paraId="318A152F"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620" w:type="dxa"/>
            <w:tcBorders>
              <w:top w:val="single" w:sz="4" w:space="0" w:color="auto"/>
              <w:left w:val="single" w:sz="12" w:space="0" w:color="auto"/>
              <w:bottom w:val="nil"/>
            </w:tcBorders>
          </w:tcPr>
          <w:p w14:paraId="195B883D"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710" w:type="dxa"/>
            <w:tcBorders>
              <w:bottom w:val="nil"/>
            </w:tcBorders>
          </w:tcPr>
          <w:p w14:paraId="67864FAB"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r>
      <w:tr w:rsidR="00626ADC" w:rsidRPr="00193A46" w14:paraId="71314065" w14:textId="77777777" w:rsidTr="008634A8">
        <w:tc>
          <w:tcPr>
            <w:tcW w:w="3505" w:type="dxa"/>
            <w:tcBorders>
              <w:top w:val="nil"/>
              <w:bottom w:val="nil"/>
            </w:tcBorders>
          </w:tcPr>
          <w:p w14:paraId="13B15F76" w14:textId="77777777" w:rsidR="00626ADC" w:rsidRPr="00357D41" w:rsidRDefault="00626ADC" w:rsidP="00FD77CB">
            <w:pPr>
              <w:pStyle w:val="tabletextNS"/>
              <w:keepNext/>
              <w:keepLines/>
              <w:spacing w:line="240" w:lineRule="auto"/>
              <w:ind w:left="248"/>
              <w:rPr>
                <w:rFonts w:cs="Arial"/>
                <w:sz w:val="20"/>
              </w:rPr>
            </w:pPr>
            <w:r w:rsidRPr="00357D41">
              <w:rPr>
                <w:rFonts w:cs="Arial"/>
                <w:sz w:val="20"/>
              </w:rPr>
              <w:t xml:space="preserve">Dizziness </w:t>
            </w:r>
          </w:p>
        </w:tc>
        <w:tc>
          <w:tcPr>
            <w:tcW w:w="1530" w:type="dxa"/>
            <w:tcBorders>
              <w:top w:val="nil"/>
              <w:bottom w:val="nil"/>
            </w:tcBorders>
          </w:tcPr>
          <w:p w14:paraId="16A7DD2E"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1 (&lt;1%)</w:t>
            </w:r>
          </w:p>
        </w:tc>
        <w:tc>
          <w:tcPr>
            <w:tcW w:w="1530" w:type="dxa"/>
            <w:tcBorders>
              <w:top w:val="nil"/>
              <w:bottom w:val="nil"/>
              <w:right w:val="single" w:sz="12" w:space="0" w:color="auto"/>
            </w:tcBorders>
          </w:tcPr>
          <w:p w14:paraId="40DCE0BD"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1 (&lt;1%)</w:t>
            </w:r>
          </w:p>
        </w:tc>
        <w:tc>
          <w:tcPr>
            <w:tcW w:w="1620" w:type="dxa"/>
            <w:tcBorders>
              <w:top w:val="nil"/>
              <w:left w:val="single" w:sz="12" w:space="0" w:color="auto"/>
              <w:bottom w:val="nil"/>
            </w:tcBorders>
          </w:tcPr>
          <w:p w14:paraId="74A680E2"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2 (&lt;1%)</w:t>
            </w:r>
          </w:p>
        </w:tc>
        <w:tc>
          <w:tcPr>
            <w:tcW w:w="1710" w:type="dxa"/>
            <w:tcBorders>
              <w:top w:val="nil"/>
              <w:bottom w:val="nil"/>
            </w:tcBorders>
          </w:tcPr>
          <w:p w14:paraId="32AB5038"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21 (5%)</w:t>
            </w:r>
          </w:p>
        </w:tc>
      </w:tr>
      <w:tr w:rsidR="00626ADC" w:rsidRPr="00193A46" w14:paraId="71EC6D27" w14:textId="77777777" w:rsidTr="008634A8">
        <w:tc>
          <w:tcPr>
            <w:tcW w:w="3505" w:type="dxa"/>
            <w:tcBorders>
              <w:top w:val="nil"/>
              <w:bottom w:val="single" w:sz="4" w:space="0" w:color="auto"/>
            </w:tcBorders>
          </w:tcPr>
          <w:p w14:paraId="09804A8C" w14:textId="77777777" w:rsidR="00626ADC" w:rsidRPr="00357D41" w:rsidRDefault="00626ADC" w:rsidP="00FD77CB">
            <w:pPr>
              <w:pStyle w:val="tabletextNS"/>
              <w:keepNext/>
              <w:keepLines/>
              <w:spacing w:line="240" w:lineRule="auto"/>
              <w:ind w:left="248"/>
              <w:rPr>
                <w:rFonts w:cs="Arial"/>
                <w:sz w:val="20"/>
              </w:rPr>
            </w:pPr>
            <w:r w:rsidRPr="00357D41">
              <w:rPr>
                <w:rFonts w:cs="Arial"/>
                <w:sz w:val="20"/>
              </w:rPr>
              <w:t>Headache</w:t>
            </w:r>
          </w:p>
        </w:tc>
        <w:tc>
          <w:tcPr>
            <w:tcW w:w="1530" w:type="dxa"/>
            <w:tcBorders>
              <w:top w:val="nil"/>
              <w:bottom w:val="single" w:sz="4" w:space="0" w:color="auto"/>
            </w:tcBorders>
            <w:vAlign w:val="bottom"/>
          </w:tcPr>
          <w:p w14:paraId="19B8870C"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3 (&lt;1%)</w:t>
            </w:r>
          </w:p>
        </w:tc>
        <w:tc>
          <w:tcPr>
            <w:tcW w:w="1530" w:type="dxa"/>
            <w:tcBorders>
              <w:top w:val="nil"/>
              <w:bottom w:val="single" w:sz="4" w:space="0" w:color="auto"/>
              <w:right w:val="single" w:sz="12" w:space="0" w:color="auto"/>
            </w:tcBorders>
            <w:vAlign w:val="bottom"/>
          </w:tcPr>
          <w:p w14:paraId="572194F3"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4 (&lt;1%)</w:t>
            </w:r>
          </w:p>
        </w:tc>
        <w:tc>
          <w:tcPr>
            <w:tcW w:w="1620" w:type="dxa"/>
            <w:tcBorders>
              <w:top w:val="nil"/>
              <w:left w:val="single" w:sz="12" w:space="0" w:color="auto"/>
              <w:bottom w:val="single" w:sz="4" w:space="0" w:color="auto"/>
            </w:tcBorders>
            <w:vAlign w:val="bottom"/>
          </w:tcPr>
          <w:p w14:paraId="3E5C13F5"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8 (2%)</w:t>
            </w:r>
          </w:p>
        </w:tc>
        <w:tc>
          <w:tcPr>
            <w:tcW w:w="1710" w:type="dxa"/>
            <w:tcBorders>
              <w:top w:val="nil"/>
              <w:bottom w:val="single" w:sz="4" w:space="0" w:color="auto"/>
            </w:tcBorders>
            <w:vAlign w:val="bottom"/>
          </w:tcPr>
          <w:p w14:paraId="6D766422"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9 (2%)</w:t>
            </w:r>
          </w:p>
        </w:tc>
      </w:tr>
      <w:tr w:rsidR="00626ADC" w:rsidRPr="00193A46" w14:paraId="1992FD7F" w14:textId="77777777" w:rsidTr="008634A8">
        <w:tc>
          <w:tcPr>
            <w:tcW w:w="3505" w:type="dxa"/>
            <w:tcBorders>
              <w:bottom w:val="nil"/>
            </w:tcBorders>
          </w:tcPr>
          <w:p w14:paraId="1624544D" w14:textId="77777777" w:rsidR="00626ADC" w:rsidRPr="00357D41" w:rsidRDefault="00626ADC" w:rsidP="00FD77CB">
            <w:pPr>
              <w:pStyle w:val="tabletextNS"/>
              <w:keepNext/>
              <w:keepLines/>
              <w:spacing w:line="240" w:lineRule="auto"/>
              <w:rPr>
                <w:rFonts w:cs="Arial"/>
                <w:b/>
                <w:sz w:val="20"/>
              </w:rPr>
            </w:pPr>
            <w:r w:rsidRPr="00357D41">
              <w:rPr>
                <w:rFonts w:cs="Arial"/>
                <w:b/>
                <w:sz w:val="20"/>
              </w:rPr>
              <w:t xml:space="preserve">Gastrointestinal </w:t>
            </w:r>
          </w:p>
        </w:tc>
        <w:tc>
          <w:tcPr>
            <w:tcW w:w="1530" w:type="dxa"/>
            <w:tcBorders>
              <w:bottom w:val="nil"/>
            </w:tcBorders>
          </w:tcPr>
          <w:p w14:paraId="0AC2CD71"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530" w:type="dxa"/>
            <w:tcBorders>
              <w:bottom w:val="nil"/>
              <w:right w:val="single" w:sz="12" w:space="0" w:color="auto"/>
            </w:tcBorders>
          </w:tcPr>
          <w:p w14:paraId="6E5015C1"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620" w:type="dxa"/>
            <w:tcBorders>
              <w:top w:val="single" w:sz="4" w:space="0" w:color="auto"/>
              <w:left w:val="single" w:sz="12" w:space="0" w:color="auto"/>
              <w:bottom w:val="nil"/>
            </w:tcBorders>
          </w:tcPr>
          <w:p w14:paraId="115F85AD" w14:textId="77777777" w:rsidR="00626ADC" w:rsidRPr="00357D41" w:rsidRDefault="00626ADC" w:rsidP="00FD77CB">
            <w:pPr>
              <w:pStyle w:val="tabletextNS"/>
              <w:keepNext/>
              <w:keepLines/>
              <w:spacing w:line="240" w:lineRule="auto"/>
              <w:jc w:val="center"/>
              <w:rPr>
                <w:rFonts w:cs="Arial"/>
                <w:sz w:val="20"/>
              </w:rPr>
            </w:pPr>
          </w:p>
        </w:tc>
        <w:tc>
          <w:tcPr>
            <w:tcW w:w="1710" w:type="dxa"/>
            <w:tcBorders>
              <w:bottom w:val="nil"/>
            </w:tcBorders>
          </w:tcPr>
          <w:p w14:paraId="1897FB5E" w14:textId="77777777" w:rsidR="00626ADC" w:rsidRPr="00357D41" w:rsidRDefault="00626ADC" w:rsidP="00FD77CB">
            <w:pPr>
              <w:pStyle w:val="tabletextNS"/>
              <w:keepNext/>
              <w:keepLines/>
              <w:spacing w:line="240" w:lineRule="auto"/>
              <w:jc w:val="center"/>
              <w:rPr>
                <w:rFonts w:cs="Arial"/>
                <w:sz w:val="20"/>
              </w:rPr>
            </w:pPr>
          </w:p>
        </w:tc>
      </w:tr>
      <w:tr w:rsidR="00626ADC" w:rsidRPr="00193A46" w14:paraId="009419EA" w14:textId="77777777" w:rsidTr="008634A8">
        <w:tc>
          <w:tcPr>
            <w:tcW w:w="3505" w:type="dxa"/>
            <w:tcBorders>
              <w:top w:val="nil"/>
              <w:bottom w:val="nil"/>
            </w:tcBorders>
          </w:tcPr>
          <w:p w14:paraId="3713BB64" w14:textId="77777777" w:rsidR="00626ADC" w:rsidRPr="00357D41" w:rsidRDefault="00626ADC" w:rsidP="00FD77CB">
            <w:pPr>
              <w:pStyle w:val="tabletextNS"/>
              <w:keepNext/>
              <w:keepLines/>
              <w:spacing w:line="240" w:lineRule="auto"/>
              <w:ind w:left="248"/>
              <w:rPr>
                <w:rFonts w:cs="Arial"/>
                <w:sz w:val="20"/>
              </w:rPr>
            </w:pPr>
            <w:r w:rsidRPr="00357D41">
              <w:rPr>
                <w:rFonts w:cs="Arial"/>
                <w:sz w:val="20"/>
              </w:rPr>
              <w:t>Nausea</w:t>
            </w:r>
          </w:p>
        </w:tc>
        <w:tc>
          <w:tcPr>
            <w:tcW w:w="1530" w:type="dxa"/>
            <w:tcBorders>
              <w:top w:val="nil"/>
              <w:bottom w:val="nil"/>
            </w:tcBorders>
          </w:tcPr>
          <w:p w14:paraId="0B08C565"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6 (1%)</w:t>
            </w:r>
          </w:p>
        </w:tc>
        <w:tc>
          <w:tcPr>
            <w:tcW w:w="1530" w:type="dxa"/>
            <w:tcBorders>
              <w:top w:val="nil"/>
              <w:bottom w:val="nil"/>
              <w:right w:val="single" w:sz="12" w:space="0" w:color="auto"/>
            </w:tcBorders>
          </w:tcPr>
          <w:p w14:paraId="6A8973E7"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5 (1%)</w:t>
            </w:r>
          </w:p>
        </w:tc>
        <w:tc>
          <w:tcPr>
            <w:tcW w:w="1620" w:type="dxa"/>
            <w:tcBorders>
              <w:top w:val="nil"/>
              <w:left w:val="single" w:sz="12" w:space="0" w:color="auto"/>
              <w:bottom w:val="nil"/>
            </w:tcBorders>
          </w:tcPr>
          <w:p w14:paraId="3630584F"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3 (&lt;1%)</w:t>
            </w:r>
          </w:p>
        </w:tc>
        <w:tc>
          <w:tcPr>
            <w:tcW w:w="1710" w:type="dxa"/>
            <w:tcBorders>
              <w:top w:val="nil"/>
              <w:bottom w:val="nil"/>
            </w:tcBorders>
          </w:tcPr>
          <w:p w14:paraId="77B89E0C"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12 (3%)</w:t>
            </w:r>
          </w:p>
        </w:tc>
      </w:tr>
      <w:tr w:rsidR="00626ADC" w:rsidRPr="00193A46" w14:paraId="03EE7A55" w14:textId="77777777" w:rsidTr="008634A8">
        <w:tc>
          <w:tcPr>
            <w:tcW w:w="3505" w:type="dxa"/>
            <w:tcBorders>
              <w:top w:val="nil"/>
              <w:bottom w:val="single" w:sz="4" w:space="0" w:color="auto"/>
            </w:tcBorders>
          </w:tcPr>
          <w:p w14:paraId="4CB2DAAF" w14:textId="77777777" w:rsidR="00626ADC" w:rsidRPr="00357D41" w:rsidRDefault="00626ADC" w:rsidP="00FD77CB">
            <w:pPr>
              <w:pStyle w:val="tabletextNS"/>
              <w:keepNext/>
              <w:keepLines/>
              <w:spacing w:line="240" w:lineRule="auto"/>
              <w:ind w:left="248"/>
              <w:rPr>
                <w:rFonts w:cs="Arial"/>
                <w:sz w:val="20"/>
              </w:rPr>
            </w:pPr>
            <w:proofErr w:type="spellStart"/>
            <w:r w:rsidRPr="00357D41">
              <w:rPr>
                <w:rFonts w:cs="Arial"/>
                <w:sz w:val="20"/>
              </w:rPr>
              <w:t>Diarrhea</w:t>
            </w:r>
            <w:proofErr w:type="spellEnd"/>
          </w:p>
        </w:tc>
        <w:tc>
          <w:tcPr>
            <w:tcW w:w="1530" w:type="dxa"/>
            <w:tcBorders>
              <w:top w:val="nil"/>
              <w:bottom w:val="single" w:sz="4" w:space="0" w:color="auto"/>
            </w:tcBorders>
          </w:tcPr>
          <w:p w14:paraId="047C39A8"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3</w:t>
            </w:r>
            <w:r w:rsidR="0066640B" w:rsidRPr="00357D41">
              <w:rPr>
                <w:rFonts w:ascii="Arial Narrow" w:hAnsi="Arial Narrow"/>
                <w:snapToGrid w:val="0"/>
                <w:sz w:val="20"/>
                <w:szCs w:val="20"/>
              </w:rPr>
              <w:t xml:space="preserve"> </w:t>
            </w:r>
            <w:r w:rsidRPr="00357D41">
              <w:rPr>
                <w:rFonts w:ascii="Arial Narrow" w:hAnsi="Arial Narrow"/>
                <w:snapToGrid w:val="0"/>
                <w:sz w:val="20"/>
                <w:szCs w:val="20"/>
              </w:rPr>
              <w:t>(&lt;1%)</w:t>
            </w:r>
          </w:p>
        </w:tc>
        <w:tc>
          <w:tcPr>
            <w:tcW w:w="1530" w:type="dxa"/>
            <w:tcBorders>
              <w:top w:val="nil"/>
              <w:bottom w:val="single" w:sz="4" w:space="0" w:color="auto"/>
              <w:right w:val="single" w:sz="12" w:space="0" w:color="auto"/>
            </w:tcBorders>
          </w:tcPr>
          <w:p w14:paraId="2CBC84F3"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2 (&lt;1%)</w:t>
            </w:r>
          </w:p>
        </w:tc>
        <w:tc>
          <w:tcPr>
            <w:tcW w:w="1620" w:type="dxa"/>
            <w:tcBorders>
              <w:top w:val="nil"/>
              <w:left w:val="single" w:sz="12" w:space="0" w:color="auto"/>
              <w:bottom w:val="single" w:sz="4" w:space="0" w:color="auto"/>
            </w:tcBorders>
            <w:vAlign w:val="bottom"/>
          </w:tcPr>
          <w:p w14:paraId="57452A7A"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3 (&lt;1%)</w:t>
            </w:r>
          </w:p>
        </w:tc>
        <w:tc>
          <w:tcPr>
            <w:tcW w:w="1710" w:type="dxa"/>
            <w:tcBorders>
              <w:top w:val="nil"/>
              <w:bottom w:val="single" w:sz="4" w:space="0" w:color="auto"/>
            </w:tcBorders>
            <w:vAlign w:val="bottom"/>
          </w:tcPr>
          <w:p w14:paraId="137B801C"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7 (2%)</w:t>
            </w:r>
          </w:p>
        </w:tc>
      </w:tr>
      <w:tr w:rsidR="00626ADC" w:rsidRPr="00193A46" w14:paraId="0D9B505E" w14:textId="77777777" w:rsidTr="008634A8">
        <w:tc>
          <w:tcPr>
            <w:tcW w:w="3505" w:type="dxa"/>
            <w:tcBorders>
              <w:top w:val="single" w:sz="4" w:space="0" w:color="auto"/>
              <w:bottom w:val="nil"/>
            </w:tcBorders>
          </w:tcPr>
          <w:p w14:paraId="6ED7BF48" w14:textId="77777777" w:rsidR="00626ADC" w:rsidRPr="00357D41" w:rsidRDefault="00626ADC" w:rsidP="00FD77CB">
            <w:pPr>
              <w:pStyle w:val="tabletextNS"/>
              <w:keepNext/>
              <w:keepLines/>
              <w:spacing w:line="240" w:lineRule="auto"/>
              <w:rPr>
                <w:rFonts w:cs="Arial"/>
                <w:b/>
                <w:sz w:val="20"/>
              </w:rPr>
            </w:pPr>
            <w:r w:rsidRPr="00357D41">
              <w:rPr>
                <w:rFonts w:cs="Arial"/>
                <w:b/>
                <w:sz w:val="20"/>
              </w:rPr>
              <w:t>General Disorders</w:t>
            </w:r>
          </w:p>
        </w:tc>
        <w:tc>
          <w:tcPr>
            <w:tcW w:w="1530" w:type="dxa"/>
            <w:tcBorders>
              <w:top w:val="single" w:sz="4" w:space="0" w:color="auto"/>
              <w:bottom w:val="nil"/>
            </w:tcBorders>
          </w:tcPr>
          <w:p w14:paraId="65D21408"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530" w:type="dxa"/>
            <w:tcBorders>
              <w:top w:val="single" w:sz="4" w:space="0" w:color="auto"/>
              <w:bottom w:val="nil"/>
              <w:right w:val="single" w:sz="12" w:space="0" w:color="auto"/>
            </w:tcBorders>
          </w:tcPr>
          <w:p w14:paraId="47575FE1"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620" w:type="dxa"/>
            <w:tcBorders>
              <w:top w:val="single" w:sz="4" w:space="0" w:color="auto"/>
              <w:left w:val="single" w:sz="12" w:space="0" w:color="auto"/>
              <w:bottom w:val="nil"/>
            </w:tcBorders>
          </w:tcPr>
          <w:p w14:paraId="7E0626EE"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710" w:type="dxa"/>
            <w:tcBorders>
              <w:top w:val="single" w:sz="4" w:space="0" w:color="auto"/>
              <w:bottom w:val="nil"/>
            </w:tcBorders>
          </w:tcPr>
          <w:p w14:paraId="4D1083C1"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r>
      <w:tr w:rsidR="00626ADC" w:rsidRPr="00193A46" w14:paraId="30AB4220" w14:textId="77777777" w:rsidTr="008634A8">
        <w:tc>
          <w:tcPr>
            <w:tcW w:w="3505" w:type="dxa"/>
            <w:tcBorders>
              <w:top w:val="nil"/>
              <w:bottom w:val="single" w:sz="4" w:space="0" w:color="auto"/>
            </w:tcBorders>
          </w:tcPr>
          <w:p w14:paraId="1A66E40B" w14:textId="77777777" w:rsidR="00626ADC" w:rsidRPr="00357D41" w:rsidRDefault="00626ADC" w:rsidP="00FD77CB">
            <w:pPr>
              <w:pStyle w:val="tabletextNS"/>
              <w:keepNext/>
              <w:keepLines/>
              <w:spacing w:line="240" w:lineRule="auto"/>
              <w:ind w:left="248"/>
              <w:rPr>
                <w:rFonts w:cs="Arial"/>
                <w:sz w:val="20"/>
              </w:rPr>
            </w:pPr>
            <w:r w:rsidRPr="00357D41">
              <w:rPr>
                <w:rFonts w:cs="Arial"/>
                <w:sz w:val="20"/>
              </w:rPr>
              <w:t>Fatigue</w:t>
            </w:r>
          </w:p>
        </w:tc>
        <w:tc>
          <w:tcPr>
            <w:tcW w:w="1530" w:type="dxa"/>
            <w:tcBorders>
              <w:top w:val="nil"/>
              <w:bottom w:val="single" w:sz="4" w:space="0" w:color="auto"/>
            </w:tcBorders>
          </w:tcPr>
          <w:p w14:paraId="78472ED1" w14:textId="77777777" w:rsidR="00626ADC" w:rsidRPr="00357D41" w:rsidRDefault="00626ADC" w:rsidP="00FD77CB">
            <w:pPr>
              <w:keepNext/>
              <w:keepLines/>
              <w:spacing w:after="120" w:line="240" w:lineRule="auto"/>
              <w:jc w:val="center"/>
              <w:rPr>
                <w:rFonts w:ascii="Arial Narrow" w:hAnsi="Arial Narrow"/>
                <w:sz w:val="20"/>
                <w:szCs w:val="20"/>
                <w:lang w:val="en-GB" w:eastAsia="en-GB"/>
              </w:rPr>
            </w:pPr>
            <w:r w:rsidRPr="00357D41">
              <w:rPr>
                <w:rFonts w:ascii="Arial Narrow" w:hAnsi="Arial Narrow"/>
                <w:sz w:val="20"/>
                <w:szCs w:val="20"/>
                <w:lang w:val="en-GB" w:eastAsia="en-GB"/>
              </w:rPr>
              <w:t>2 (&lt;1%)</w:t>
            </w:r>
          </w:p>
        </w:tc>
        <w:tc>
          <w:tcPr>
            <w:tcW w:w="1530" w:type="dxa"/>
            <w:tcBorders>
              <w:top w:val="nil"/>
              <w:bottom w:val="single" w:sz="4" w:space="0" w:color="auto"/>
              <w:right w:val="single" w:sz="12" w:space="0" w:color="auto"/>
            </w:tcBorders>
          </w:tcPr>
          <w:p w14:paraId="5DDC0A4D" w14:textId="77777777" w:rsidR="00626ADC" w:rsidRPr="00357D41" w:rsidRDefault="00626ADC" w:rsidP="00FD77CB">
            <w:pPr>
              <w:keepNext/>
              <w:keepLines/>
              <w:spacing w:after="120" w:line="240" w:lineRule="auto"/>
              <w:jc w:val="center"/>
              <w:rPr>
                <w:rFonts w:ascii="Arial Narrow" w:hAnsi="Arial Narrow"/>
                <w:sz w:val="20"/>
                <w:szCs w:val="20"/>
                <w:lang w:val="en-GB" w:eastAsia="en-GB"/>
              </w:rPr>
            </w:pPr>
            <w:r w:rsidRPr="00357D41">
              <w:rPr>
                <w:rFonts w:ascii="Arial Narrow" w:hAnsi="Arial Narrow"/>
                <w:sz w:val="20"/>
                <w:szCs w:val="20"/>
                <w:lang w:val="en-GB" w:eastAsia="en-GB"/>
              </w:rPr>
              <w:t>2 (&lt;1%)</w:t>
            </w:r>
          </w:p>
        </w:tc>
        <w:tc>
          <w:tcPr>
            <w:tcW w:w="1620" w:type="dxa"/>
            <w:tcBorders>
              <w:top w:val="nil"/>
              <w:left w:val="single" w:sz="12" w:space="0" w:color="auto"/>
              <w:bottom w:val="single" w:sz="4" w:space="0" w:color="auto"/>
            </w:tcBorders>
          </w:tcPr>
          <w:p w14:paraId="5D8407E8" w14:textId="77777777" w:rsidR="00626ADC" w:rsidRPr="00357D41" w:rsidRDefault="00626ADC" w:rsidP="00FD77CB">
            <w:pPr>
              <w:keepNext/>
              <w:keepLines/>
              <w:spacing w:after="120" w:line="240" w:lineRule="auto"/>
              <w:jc w:val="center"/>
              <w:rPr>
                <w:rFonts w:ascii="Arial Narrow" w:hAnsi="Arial Narrow"/>
                <w:sz w:val="20"/>
                <w:szCs w:val="20"/>
                <w:lang w:val="en-GB" w:eastAsia="en-GB"/>
              </w:rPr>
            </w:pPr>
            <w:r w:rsidRPr="00357D41">
              <w:rPr>
                <w:rFonts w:ascii="Arial Narrow" w:hAnsi="Arial Narrow"/>
                <w:sz w:val="20"/>
                <w:szCs w:val="20"/>
                <w:lang w:val="en-GB" w:eastAsia="en-GB"/>
              </w:rPr>
              <w:t>7 (2%)</w:t>
            </w:r>
          </w:p>
        </w:tc>
        <w:tc>
          <w:tcPr>
            <w:tcW w:w="1710" w:type="dxa"/>
            <w:tcBorders>
              <w:top w:val="nil"/>
              <w:bottom w:val="single" w:sz="4" w:space="0" w:color="auto"/>
            </w:tcBorders>
          </w:tcPr>
          <w:p w14:paraId="2D304A9D" w14:textId="77777777" w:rsidR="00626ADC" w:rsidRPr="00357D41" w:rsidRDefault="00626ADC" w:rsidP="00FD77CB">
            <w:pPr>
              <w:keepNext/>
              <w:keepLines/>
              <w:spacing w:after="120" w:line="240" w:lineRule="auto"/>
              <w:jc w:val="center"/>
              <w:rPr>
                <w:rFonts w:ascii="Arial Narrow" w:hAnsi="Arial Narrow"/>
                <w:sz w:val="20"/>
                <w:szCs w:val="20"/>
                <w:lang w:val="en-GB" w:eastAsia="en-GB"/>
              </w:rPr>
            </w:pPr>
            <w:r w:rsidRPr="00357D41">
              <w:rPr>
                <w:rFonts w:ascii="Arial Narrow" w:hAnsi="Arial Narrow"/>
                <w:sz w:val="20"/>
                <w:szCs w:val="20"/>
                <w:lang w:val="en-GB" w:eastAsia="en-GB"/>
              </w:rPr>
              <w:t>7 (2%)</w:t>
            </w:r>
          </w:p>
        </w:tc>
      </w:tr>
      <w:tr w:rsidR="00626ADC" w:rsidRPr="00193A46" w14:paraId="5EFFE25B" w14:textId="77777777" w:rsidTr="008634A8">
        <w:tc>
          <w:tcPr>
            <w:tcW w:w="3505" w:type="dxa"/>
            <w:tcBorders>
              <w:bottom w:val="nil"/>
            </w:tcBorders>
          </w:tcPr>
          <w:p w14:paraId="35149E57" w14:textId="77777777" w:rsidR="00626ADC" w:rsidRPr="00357D41" w:rsidRDefault="00626ADC" w:rsidP="00FD77CB">
            <w:pPr>
              <w:pStyle w:val="tabletextNS"/>
              <w:keepNext/>
              <w:keepLines/>
              <w:spacing w:line="240" w:lineRule="auto"/>
              <w:rPr>
                <w:rFonts w:cs="Arial"/>
                <w:sz w:val="20"/>
              </w:rPr>
            </w:pPr>
            <w:r w:rsidRPr="00357D41">
              <w:rPr>
                <w:rFonts w:cs="Arial"/>
                <w:b/>
                <w:sz w:val="20"/>
              </w:rPr>
              <w:t>Skin and Subcutaneous</w:t>
            </w:r>
            <w:r w:rsidR="008634A8" w:rsidRPr="00357D41">
              <w:rPr>
                <w:rFonts w:cs="Arial"/>
                <w:b/>
                <w:sz w:val="20"/>
              </w:rPr>
              <w:t xml:space="preserve"> </w:t>
            </w:r>
            <w:r w:rsidRPr="00357D41">
              <w:rPr>
                <w:rFonts w:cs="Arial"/>
                <w:b/>
                <w:sz w:val="20"/>
              </w:rPr>
              <w:t>Tissue</w:t>
            </w:r>
            <w:r w:rsidRPr="00357D41">
              <w:rPr>
                <w:rFonts w:cs="Arial"/>
                <w:sz w:val="20"/>
              </w:rPr>
              <w:t xml:space="preserve"> </w:t>
            </w:r>
          </w:p>
        </w:tc>
        <w:tc>
          <w:tcPr>
            <w:tcW w:w="1530" w:type="dxa"/>
            <w:tcBorders>
              <w:bottom w:val="nil"/>
            </w:tcBorders>
            <w:vAlign w:val="center"/>
          </w:tcPr>
          <w:p w14:paraId="730B4BD7" w14:textId="77777777" w:rsidR="00626ADC" w:rsidRPr="00357D41" w:rsidRDefault="00626ADC" w:rsidP="00FD77CB">
            <w:pPr>
              <w:pStyle w:val="tabletextNS"/>
              <w:keepNext/>
              <w:keepLines/>
              <w:spacing w:line="240" w:lineRule="auto"/>
              <w:jc w:val="center"/>
              <w:rPr>
                <w:rFonts w:cs="Arial"/>
                <w:sz w:val="20"/>
              </w:rPr>
            </w:pPr>
          </w:p>
        </w:tc>
        <w:tc>
          <w:tcPr>
            <w:tcW w:w="1530" w:type="dxa"/>
            <w:tcBorders>
              <w:bottom w:val="nil"/>
              <w:right w:val="single" w:sz="12" w:space="0" w:color="auto"/>
            </w:tcBorders>
          </w:tcPr>
          <w:p w14:paraId="136967F3" w14:textId="77777777" w:rsidR="00626ADC" w:rsidRPr="00357D41" w:rsidRDefault="00626ADC" w:rsidP="00FD77CB">
            <w:pPr>
              <w:pStyle w:val="tabletextNS"/>
              <w:keepNext/>
              <w:keepLines/>
              <w:spacing w:line="240" w:lineRule="auto"/>
              <w:jc w:val="center"/>
              <w:rPr>
                <w:rFonts w:cs="Arial"/>
                <w:sz w:val="20"/>
              </w:rPr>
            </w:pPr>
          </w:p>
        </w:tc>
        <w:tc>
          <w:tcPr>
            <w:tcW w:w="1620" w:type="dxa"/>
            <w:tcBorders>
              <w:top w:val="single" w:sz="4" w:space="0" w:color="auto"/>
              <w:left w:val="single" w:sz="12" w:space="0" w:color="auto"/>
              <w:bottom w:val="nil"/>
            </w:tcBorders>
            <w:vAlign w:val="bottom"/>
          </w:tcPr>
          <w:p w14:paraId="4DC59E08"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710" w:type="dxa"/>
            <w:tcBorders>
              <w:bottom w:val="nil"/>
            </w:tcBorders>
            <w:vAlign w:val="bottom"/>
          </w:tcPr>
          <w:p w14:paraId="314C810F"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r>
      <w:tr w:rsidR="00626ADC" w:rsidRPr="00193A46" w14:paraId="73D08C62" w14:textId="77777777" w:rsidTr="008634A8">
        <w:tc>
          <w:tcPr>
            <w:tcW w:w="3505" w:type="dxa"/>
            <w:tcBorders>
              <w:top w:val="nil"/>
            </w:tcBorders>
          </w:tcPr>
          <w:p w14:paraId="199BA8F5" w14:textId="77777777" w:rsidR="00626ADC" w:rsidRPr="00357D41" w:rsidRDefault="00626ADC" w:rsidP="00FD77CB">
            <w:pPr>
              <w:pStyle w:val="tabletextNS"/>
              <w:keepNext/>
              <w:keepLines/>
              <w:spacing w:line="240" w:lineRule="auto"/>
              <w:ind w:left="338"/>
              <w:rPr>
                <w:rFonts w:cs="Arial"/>
                <w:sz w:val="20"/>
              </w:rPr>
            </w:pPr>
            <w:r w:rsidRPr="00357D41">
              <w:rPr>
                <w:rFonts w:cs="Arial"/>
                <w:sz w:val="20"/>
              </w:rPr>
              <w:t>Rash</w:t>
            </w:r>
            <w:r w:rsidRPr="00357D41">
              <w:rPr>
                <w:rFonts w:cs="Arial"/>
                <w:sz w:val="20"/>
                <w:vertAlign w:val="superscript"/>
              </w:rPr>
              <w:t xml:space="preserve"> a</w:t>
            </w:r>
          </w:p>
        </w:tc>
        <w:tc>
          <w:tcPr>
            <w:tcW w:w="1530" w:type="dxa"/>
            <w:tcBorders>
              <w:top w:val="nil"/>
            </w:tcBorders>
            <w:vAlign w:val="bottom"/>
          </w:tcPr>
          <w:p w14:paraId="03AD8810"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0</w:t>
            </w:r>
          </w:p>
        </w:tc>
        <w:tc>
          <w:tcPr>
            <w:tcW w:w="1530" w:type="dxa"/>
            <w:tcBorders>
              <w:top w:val="nil"/>
              <w:right w:val="single" w:sz="12" w:space="0" w:color="auto"/>
            </w:tcBorders>
            <w:vAlign w:val="bottom"/>
          </w:tcPr>
          <w:p w14:paraId="3349851C"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3 (&lt;1%)</w:t>
            </w:r>
          </w:p>
        </w:tc>
        <w:tc>
          <w:tcPr>
            <w:tcW w:w="1620" w:type="dxa"/>
            <w:tcBorders>
              <w:top w:val="nil"/>
              <w:left w:val="single" w:sz="12" w:space="0" w:color="auto"/>
              <w:bottom w:val="single" w:sz="4" w:space="0" w:color="auto"/>
            </w:tcBorders>
            <w:vAlign w:val="bottom"/>
          </w:tcPr>
          <w:p w14:paraId="26845EF6"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2 (&lt;1%)</w:t>
            </w:r>
          </w:p>
        </w:tc>
        <w:tc>
          <w:tcPr>
            <w:tcW w:w="1710" w:type="dxa"/>
            <w:tcBorders>
              <w:top w:val="nil"/>
            </w:tcBorders>
            <w:vAlign w:val="bottom"/>
          </w:tcPr>
          <w:p w14:paraId="3F3BCA66"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25 (6%)</w:t>
            </w:r>
          </w:p>
        </w:tc>
      </w:tr>
      <w:tr w:rsidR="00626ADC" w:rsidRPr="00193A46" w14:paraId="0F7FD0CC" w14:textId="77777777" w:rsidTr="008634A8">
        <w:tc>
          <w:tcPr>
            <w:tcW w:w="3505" w:type="dxa"/>
            <w:tcBorders>
              <w:bottom w:val="nil"/>
            </w:tcBorders>
          </w:tcPr>
          <w:p w14:paraId="22A689EF" w14:textId="77777777" w:rsidR="00626ADC" w:rsidRPr="00357D41" w:rsidRDefault="00626ADC" w:rsidP="00FD77CB">
            <w:pPr>
              <w:pStyle w:val="tabletextNS"/>
              <w:keepNext/>
              <w:keepLines/>
              <w:spacing w:line="240" w:lineRule="auto"/>
              <w:rPr>
                <w:rFonts w:cs="Arial"/>
                <w:b/>
                <w:sz w:val="20"/>
              </w:rPr>
            </w:pPr>
            <w:r w:rsidRPr="00357D41">
              <w:rPr>
                <w:rFonts w:cs="Arial"/>
                <w:b/>
                <w:sz w:val="20"/>
              </w:rPr>
              <w:t xml:space="preserve">Ear and Labyrinth </w:t>
            </w:r>
          </w:p>
        </w:tc>
        <w:tc>
          <w:tcPr>
            <w:tcW w:w="1530" w:type="dxa"/>
            <w:tcBorders>
              <w:bottom w:val="nil"/>
            </w:tcBorders>
            <w:vAlign w:val="center"/>
          </w:tcPr>
          <w:p w14:paraId="6A0652E3" w14:textId="77777777" w:rsidR="00626ADC" w:rsidRPr="00357D41" w:rsidRDefault="00626ADC" w:rsidP="00FD77CB">
            <w:pPr>
              <w:pStyle w:val="tabletextNS"/>
              <w:keepNext/>
              <w:keepLines/>
              <w:spacing w:line="240" w:lineRule="auto"/>
              <w:jc w:val="center"/>
              <w:rPr>
                <w:rFonts w:cs="Arial"/>
                <w:sz w:val="20"/>
              </w:rPr>
            </w:pPr>
          </w:p>
        </w:tc>
        <w:tc>
          <w:tcPr>
            <w:tcW w:w="1530" w:type="dxa"/>
            <w:tcBorders>
              <w:bottom w:val="nil"/>
              <w:right w:val="single" w:sz="12" w:space="0" w:color="auto"/>
            </w:tcBorders>
          </w:tcPr>
          <w:p w14:paraId="0FA6D018" w14:textId="77777777" w:rsidR="00626ADC" w:rsidRPr="00357D41" w:rsidRDefault="00626ADC" w:rsidP="00FD77CB">
            <w:pPr>
              <w:pStyle w:val="tabletextNS"/>
              <w:keepNext/>
              <w:keepLines/>
              <w:spacing w:line="240" w:lineRule="auto"/>
              <w:jc w:val="center"/>
              <w:rPr>
                <w:rFonts w:cs="Arial"/>
                <w:sz w:val="20"/>
              </w:rPr>
            </w:pPr>
          </w:p>
        </w:tc>
        <w:tc>
          <w:tcPr>
            <w:tcW w:w="1620" w:type="dxa"/>
            <w:tcBorders>
              <w:top w:val="single" w:sz="4" w:space="0" w:color="auto"/>
              <w:left w:val="single" w:sz="12" w:space="0" w:color="auto"/>
              <w:bottom w:val="nil"/>
            </w:tcBorders>
            <w:vAlign w:val="bottom"/>
          </w:tcPr>
          <w:p w14:paraId="0D89E557"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c>
          <w:tcPr>
            <w:tcW w:w="1710" w:type="dxa"/>
            <w:tcBorders>
              <w:bottom w:val="nil"/>
            </w:tcBorders>
            <w:vAlign w:val="bottom"/>
          </w:tcPr>
          <w:p w14:paraId="7E2FEC0E" w14:textId="77777777" w:rsidR="00626ADC" w:rsidRPr="00357D41" w:rsidRDefault="00626ADC" w:rsidP="00FD77CB">
            <w:pPr>
              <w:keepNext/>
              <w:keepLines/>
              <w:spacing w:after="120" w:line="240" w:lineRule="auto"/>
              <w:jc w:val="center"/>
              <w:rPr>
                <w:rFonts w:ascii="Arial Narrow" w:hAnsi="Arial Narrow"/>
                <w:snapToGrid w:val="0"/>
                <w:sz w:val="20"/>
                <w:szCs w:val="20"/>
              </w:rPr>
            </w:pPr>
          </w:p>
        </w:tc>
      </w:tr>
      <w:tr w:rsidR="00626ADC" w:rsidRPr="00193A46" w14:paraId="4396361C" w14:textId="77777777" w:rsidTr="008634A8">
        <w:tc>
          <w:tcPr>
            <w:tcW w:w="3505" w:type="dxa"/>
            <w:tcBorders>
              <w:top w:val="nil"/>
            </w:tcBorders>
          </w:tcPr>
          <w:p w14:paraId="3579D164" w14:textId="77777777" w:rsidR="00626ADC" w:rsidRPr="00357D41" w:rsidRDefault="00626ADC" w:rsidP="00FD77CB">
            <w:pPr>
              <w:pStyle w:val="tabletextNS"/>
              <w:keepNext/>
              <w:keepLines/>
              <w:spacing w:line="240" w:lineRule="auto"/>
              <w:ind w:left="248"/>
              <w:rPr>
                <w:rFonts w:cs="Arial"/>
                <w:sz w:val="20"/>
              </w:rPr>
            </w:pPr>
            <w:r w:rsidRPr="00357D41">
              <w:rPr>
                <w:rFonts w:cs="Arial"/>
                <w:sz w:val="20"/>
              </w:rPr>
              <w:t>Vertigo</w:t>
            </w:r>
          </w:p>
        </w:tc>
        <w:tc>
          <w:tcPr>
            <w:tcW w:w="1530" w:type="dxa"/>
            <w:tcBorders>
              <w:top w:val="nil"/>
            </w:tcBorders>
            <w:vAlign w:val="bottom"/>
          </w:tcPr>
          <w:p w14:paraId="1D62B469"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0</w:t>
            </w:r>
          </w:p>
        </w:tc>
        <w:tc>
          <w:tcPr>
            <w:tcW w:w="1530" w:type="dxa"/>
            <w:tcBorders>
              <w:top w:val="nil"/>
              <w:right w:val="single" w:sz="12" w:space="0" w:color="auto"/>
            </w:tcBorders>
            <w:vAlign w:val="bottom"/>
          </w:tcPr>
          <w:p w14:paraId="6EAFD3C5"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1 (&lt;1%)</w:t>
            </w:r>
          </w:p>
        </w:tc>
        <w:tc>
          <w:tcPr>
            <w:tcW w:w="1620" w:type="dxa"/>
            <w:tcBorders>
              <w:top w:val="nil"/>
              <w:left w:val="single" w:sz="12" w:space="0" w:color="auto"/>
              <w:bottom w:val="single" w:sz="4" w:space="0" w:color="auto"/>
            </w:tcBorders>
            <w:vAlign w:val="bottom"/>
          </w:tcPr>
          <w:p w14:paraId="6A5C0C2C"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0</w:t>
            </w:r>
          </w:p>
        </w:tc>
        <w:tc>
          <w:tcPr>
            <w:tcW w:w="1710" w:type="dxa"/>
            <w:tcBorders>
              <w:top w:val="nil"/>
            </w:tcBorders>
            <w:vAlign w:val="bottom"/>
          </w:tcPr>
          <w:p w14:paraId="684BEB7E" w14:textId="77777777" w:rsidR="00626ADC" w:rsidRPr="00357D41" w:rsidRDefault="00626ADC" w:rsidP="00FD77CB">
            <w:pPr>
              <w:keepNext/>
              <w:keepLines/>
              <w:spacing w:after="120" w:line="240" w:lineRule="auto"/>
              <w:jc w:val="center"/>
              <w:rPr>
                <w:rFonts w:ascii="Arial Narrow" w:hAnsi="Arial Narrow"/>
                <w:snapToGrid w:val="0"/>
                <w:sz w:val="20"/>
                <w:szCs w:val="20"/>
              </w:rPr>
            </w:pPr>
            <w:r w:rsidRPr="00357D41">
              <w:rPr>
                <w:rFonts w:ascii="Arial Narrow" w:hAnsi="Arial Narrow"/>
                <w:snapToGrid w:val="0"/>
                <w:sz w:val="20"/>
                <w:szCs w:val="20"/>
              </w:rPr>
              <w:t>7 (2%)</w:t>
            </w:r>
          </w:p>
        </w:tc>
      </w:tr>
    </w:tbl>
    <w:p w14:paraId="74A6BB3E" w14:textId="77777777" w:rsidR="0066640B" w:rsidRPr="00450C04" w:rsidRDefault="00626ADC" w:rsidP="00FD77CB">
      <w:pPr>
        <w:keepNext/>
        <w:keepLines/>
        <w:spacing w:before="40"/>
        <w:rPr>
          <w:rFonts w:ascii="Arial Narrow" w:hAnsi="Arial Narrow"/>
          <w:sz w:val="20"/>
          <w:szCs w:val="20"/>
        </w:rPr>
      </w:pPr>
      <w:proofErr w:type="spellStart"/>
      <w:r w:rsidRPr="00450C04">
        <w:rPr>
          <w:rFonts w:ascii="Arial Narrow" w:hAnsi="Arial Narrow"/>
          <w:sz w:val="20"/>
          <w:szCs w:val="20"/>
          <w:vertAlign w:val="superscript"/>
        </w:rPr>
        <w:t>a</w:t>
      </w:r>
      <w:proofErr w:type="spellEnd"/>
      <w:r w:rsidR="005D1125" w:rsidRPr="00450C04">
        <w:rPr>
          <w:rFonts w:ascii="Arial Narrow" w:hAnsi="Arial Narrow"/>
          <w:sz w:val="20"/>
          <w:szCs w:val="20"/>
        </w:rPr>
        <w:t xml:space="preserve"> </w:t>
      </w:r>
      <w:r w:rsidRPr="00450C04">
        <w:rPr>
          <w:rFonts w:ascii="Arial Narrow" w:hAnsi="Arial Narrow"/>
          <w:sz w:val="20"/>
          <w:szCs w:val="20"/>
        </w:rPr>
        <w:t>Includes pooled terms: rash, rash generalised, rash macular, rash maculo-papular, rash pruritic, and drug eruption.</w:t>
      </w:r>
    </w:p>
    <w:p w14:paraId="655FDF43" w14:textId="76424D64" w:rsidR="00147416" w:rsidRDefault="00D04C3D" w:rsidP="00147416">
      <w:pPr>
        <w:keepNext/>
        <w:keepLines/>
        <w:spacing w:after="160"/>
      </w:pPr>
      <w:r w:rsidRPr="00D4563C">
        <w:t xml:space="preserve">Laboratory abnormalities with a worsening grade from baseline in ≥ 2% (for </w:t>
      </w:r>
      <w:r w:rsidR="00EC34C3" w:rsidRPr="00D4563C">
        <w:t>G</w:t>
      </w:r>
      <w:r w:rsidRPr="00D4563C">
        <w:t>rades 3 to 4 combined) of patients</w:t>
      </w:r>
      <w:r w:rsidR="00EC34C3" w:rsidRPr="00D4563C">
        <w:t xml:space="preserve"> are presented in Table </w:t>
      </w:r>
      <w:r w:rsidR="004E2D77">
        <w:t>4</w:t>
      </w:r>
      <w:r w:rsidR="00EC34C3" w:rsidRPr="00D4563C">
        <w:t>. Side-by-</w:t>
      </w:r>
      <w:r w:rsidR="00193A46">
        <w:t xml:space="preserve">side tabulation is to simplify </w:t>
      </w:r>
      <w:r w:rsidRPr="00D4563C">
        <w:t>presentation; direct comparisons across trials should not be made due to differing trial designs.</w:t>
      </w:r>
    </w:p>
    <w:p w14:paraId="3B6A2904" w14:textId="2B332D5C" w:rsidR="0034449A" w:rsidRPr="00D4563C" w:rsidRDefault="0034449A" w:rsidP="00A13DA0">
      <w:pPr>
        <w:keepNext/>
        <w:keepLines/>
        <w:pageBreakBefore/>
        <w:spacing w:after="160"/>
      </w:pPr>
      <w:r w:rsidRPr="00193A46">
        <w:rPr>
          <w:b/>
        </w:rPr>
        <w:lastRenderedPageBreak/>
        <w:t xml:space="preserve">Table </w:t>
      </w:r>
      <w:r w:rsidR="004E2D77">
        <w:rPr>
          <w:b/>
        </w:rPr>
        <w:t>4</w:t>
      </w:r>
      <w:r w:rsidR="006478F5">
        <w:rPr>
          <w:b/>
        </w:rPr>
        <w:tab/>
      </w:r>
      <w:r w:rsidRPr="00193A46">
        <w:rPr>
          <w:b/>
        </w:rPr>
        <w:t>Laboratory Abnormalities (</w:t>
      </w:r>
      <w:r w:rsidRPr="00193A46">
        <w:rPr>
          <w:b/>
        </w:rPr>
        <w:sym w:font="Symbol" w:char="F0B3"/>
      </w:r>
      <w:r w:rsidR="00193A46">
        <w:rPr>
          <w:b/>
        </w:rPr>
        <w:t xml:space="preserve"> </w:t>
      </w:r>
      <w:r w:rsidRPr="00193A46">
        <w:rPr>
          <w:b/>
        </w:rPr>
        <w:t xml:space="preserve">2% for Grades 3 to 4 Combined) in </w:t>
      </w:r>
      <w:r w:rsidR="006478F5">
        <w:rPr>
          <w:b/>
        </w:rPr>
        <w:tab/>
      </w:r>
      <w:r w:rsidR="006478F5">
        <w:rPr>
          <w:b/>
        </w:rPr>
        <w:tab/>
      </w:r>
      <w:r w:rsidR="006478F5">
        <w:rPr>
          <w:b/>
        </w:rPr>
        <w:tab/>
      </w:r>
      <w:r w:rsidRPr="00193A46">
        <w:rPr>
          <w:b/>
        </w:rPr>
        <w:t>Treatment</w:t>
      </w:r>
      <w:r w:rsidRPr="00193A46">
        <w:rPr>
          <w:b/>
        </w:rPr>
        <w:noBreakHyphen/>
        <w:t xml:space="preserve">Naive Patients in SPRING-2 and SINGLE Trials (Week 96 </w:t>
      </w:r>
      <w:r w:rsidR="006478F5">
        <w:rPr>
          <w:b/>
        </w:rPr>
        <w:tab/>
      </w:r>
      <w:r w:rsidR="006478F5">
        <w:rPr>
          <w:b/>
        </w:rPr>
        <w:tab/>
      </w:r>
      <w:r w:rsidR="006478F5">
        <w:rPr>
          <w:b/>
        </w:rPr>
        <w:tab/>
      </w:r>
      <w:r w:rsidRPr="00193A46">
        <w:rPr>
          <w:b/>
        </w:rPr>
        <w:t>Analysis)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755"/>
        <w:gridCol w:w="1755"/>
        <w:gridCol w:w="1755"/>
        <w:gridCol w:w="1755"/>
      </w:tblGrid>
      <w:tr w:rsidR="0034449A" w:rsidRPr="00357D41" w14:paraId="22FC89D9" w14:textId="77777777" w:rsidTr="00EB01CD">
        <w:trPr>
          <w:trHeight w:val="70"/>
          <w:tblHeader/>
        </w:trPr>
        <w:tc>
          <w:tcPr>
            <w:tcW w:w="2988" w:type="dxa"/>
            <w:vMerge w:val="restart"/>
            <w:vAlign w:val="bottom"/>
          </w:tcPr>
          <w:p w14:paraId="72B46314" w14:textId="77777777" w:rsidR="0034449A" w:rsidRPr="00357D41" w:rsidRDefault="0034449A" w:rsidP="00FD77CB">
            <w:pPr>
              <w:pStyle w:val="tabletextNS"/>
              <w:keepNext/>
              <w:keepLines/>
              <w:spacing w:line="240" w:lineRule="auto"/>
              <w:jc w:val="center"/>
              <w:rPr>
                <w:rFonts w:cs="Arial"/>
                <w:sz w:val="20"/>
              </w:rPr>
            </w:pPr>
            <w:r w:rsidRPr="00357D41">
              <w:rPr>
                <w:rFonts w:cs="Arial"/>
                <w:sz w:val="20"/>
              </w:rPr>
              <w:t>Laboratory Parameter</w:t>
            </w:r>
          </w:p>
          <w:p w14:paraId="0D49F44C" w14:textId="77777777" w:rsidR="0034449A" w:rsidRPr="00357D41" w:rsidRDefault="0034449A" w:rsidP="00FD77CB">
            <w:pPr>
              <w:pStyle w:val="tabletextNS"/>
              <w:keepNext/>
              <w:keepLines/>
              <w:spacing w:line="240" w:lineRule="auto"/>
              <w:jc w:val="center"/>
              <w:rPr>
                <w:rFonts w:cs="Arial"/>
                <w:b/>
                <w:sz w:val="20"/>
              </w:rPr>
            </w:pPr>
            <w:r w:rsidRPr="00357D41">
              <w:rPr>
                <w:rFonts w:cs="Arial"/>
                <w:sz w:val="20"/>
              </w:rPr>
              <w:t>Preferred Term (Unit)</w:t>
            </w:r>
          </w:p>
        </w:tc>
        <w:tc>
          <w:tcPr>
            <w:tcW w:w="3510" w:type="dxa"/>
            <w:gridSpan w:val="2"/>
            <w:tcBorders>
              <w:right w:val="single" w:sz="12" w:space="0" w:color="auto"/>
            </w:tcBorders>
            <w:vAlign w:val="bottom"/>
          </w:tcPr>
          <w:p w14:paraId="692DCF2A" w14:textId="160A7F1E" w:rsidR="0034449A" w:rsidRPr="00450C04" w:rsidRDefault="00450C04" w:rsidP="00FD77CB">
            <w:pPr>
              <w:pStyle w:val="tabletextNS"/>
              <w:keepNext/>
              <w:keepLines/>
              <w:spacing w:line="240" w:lineRule="auto"/>
              <w:jc w:val="center"/>
              <w:rPr>
                <w:rFonts w:cs="Arial"/>
                <w:b/>
                <w:sz w:val="20"/>
              </w:rPr>
            </w:pPr>
            <w:r>
              <w:rPr>
                <w:rFonts w:cs="Arial"/>
                <w:b/>
                <w:sz w:val="20"/>
              </w:rPr>
              <w:t>SPRING-2</w:t>
            </w:r>
          </w:p>
        </w:tc>
        <w:tc>
          <w:tcPr>
            <w:tcW w:w="3510" w:type="dxa"/>
            <w:gridSpan w:val="2"/>
            <w:tcBorders>
              <w:left w:val="single" w:sz="12" w:space="0" w:color="auto"/>
              <w:bottom w:val="nil"/>
            </w:tcBorders>
            <w:vAlign w:val="bottom"/>
          </w:tcPr>
          <w:p w14:paraId="1D716A02" w14:textId="4EEA951D" w:rsidR="0034449A" w:rsidRPr="00450C04" w:rsidRDefault="00450C04" w:rsidP="00FD77CB">
            <w:pPr>
              <w:pStyle w:val="tabletextNS"/>
              <w:keepNext/>
              <w:keepLines/>
              <w:spacing w:line="240" w:lineRule="auto"/>
              <w:jc w:val="center"/>
              <w:rPr>
                <w:rFonts w:cs="Arial"/>
                <w:b/>
                <w:sz w:val="20"/>
              </w:rPr>
            </w:pPr>
            <w:r>
              <w:rPr>
                <w:rFonts w:cs="Arial"/>
                <w:b/>
                <w:sz w:val="20"/>
              </w:rPr>
              <w:t>SINGLE</w:t>
            </w:r>
          </w:p>
        </w:tc>
      </w:tr>
      <w:tr w:rsidR="0034449A" w:rsidRPr="00357D41" w14:paraId="6A1FE1AC" w14:textId="77777777" w:rsidTr="00EB01CD">
        <w:trPr>
          <w:tblHeader/>
        </w:trPr>
        <w:tc>
          <w:tcPr>
            <w:tcW w:w="2988" w:type="dxa"/>
            <w:vMerge/>
            <w:tcBorders>
              <w:bottom w:val="single" w:sz="4" w:space="0" w:color="auto"/>
            </w:tcBorders>
          </w:tcPr>
          <w:p w14:paraId="4D41095F" w14:textId="77777777" w:rsidR="0034449A" w:rsidRPr="00357D41" w:rsidRDefault="0034449A" w:rsidP="00FD77CB">
            <w:pPr>
              <w:pStyle w:val="tabletextNS"/>
              <w:keepNext/>
              <w:keepLines/>
              <w:spacing w:line="240" w:lineRule="auto"/>
              <w:rPr>
                <w:rFonts w:cs="Arial"/>
                <w:sz w:val="20"/>
              </w:rPr>
            </w:pPr>
          </w:p>
        </w:tc>
        <w:tc>
          <w:tcPr>
            <w:tcW w:w="1755" w:type="dxa"/>
            <w:tcBorders>
              <w:bottom w:val="single" w:sz="4" w:space="0" w:color="auto"/>
            </w:tcBorders>
            <w:vAlign w:val="bottom"/>
          </w:tcPr>
          <w:p w14:paraId="0FA01064" w14:textId="77777777" w:rsidR="00450C04" w:rsidRDefault="0034449A" w:rsidP="00FD77CB">
            <w:pPr>
              <w:pStyle w:val="tabletextNS"/>
              <w:keepNext/>
              <w:keepLines/>
              <w:spacing w:line="240" w:lineRule="auto"/>
              <w:jc w:val="center"/>
              <w:rPr>
                <w:rFonts w:cs="Arial"/>
                <w:sz w:val="20"/>
              </w:rPr>
            </w:pPr>
            <w:r w:rsidRPr="00357D41">
              <w:rPr>
                <w:rFonts w:cs="Arial"/>
                <w:sz w:val="20"/>
              </w:rPr>
              <w:t>TIVICAY 50 mg</w:t>
            </w:r>
          </w:p>
          <w:p w14:paraId="53115C8C" w14:textId="43DA5DCA" w:rsidR="0034449A" w:rsidRPr="00357D41" w:rsidRDefault="0034449A" w:rsidP="00FD77CB">
            <w:pPr>
              <w:pStyle w:val="tabletextNS"/>
              <w:keepNext/>
              <w:keepLines/>
              <w:spacing w:line="240" w:lineRule="auto"/>
              <w:jc w:val="center"/>
              <w:rPr>
                <w:rFonts w:cs="Arial"/>
                <w:sz w:val="20"/>
              </w:rPr>
            </w:pPr>
            <w:r w:rsidRPr="00357D41">
              <w:rPr>
                <w:rFonts w:cs="Arial"/>
                <w:sz w:val="20"/>
              </w:rPr>
              <w:t>Once Daily</w:t>
            </w:r>
            <w:r w:rsidR="002817FF" w:rsidRPr="00357D41">
              <w:rPr>
                <w:rFonts w:cs="Arial"/>
                <w:sz w:val="20"/>
              </w:rPr>
              <w:t xml:space="preserve"> </w:t>
            </w:r>
            <w:r w:rsidRPr="00357D41">
              <w:rPr>
                <w:rFonts w:cs="Arial"/>
                <w:sz w:val="20"/>
              </w:rPr>
              <w:t>+</w:t>
            </w:r>
          </w:p>
          <w:p w14:paraId="5C185B4C" w14:textId="77777777" w:rsidR="0034449A" w:rsidRPr="00357D41" w:rsidRDefault="0034449A" w:rsidP="00FD77CB">
            <w:pPr>
              <w:pStyle w:val="tabletextNS"/>
              <w:keepNext/>
              <w:keepLines/>
              <w:spacing w:line="240" w:lineRule="auto"/>
              <w:jc w:val="center"/>
              <w:rPr>
                <w:rFonts w:cs="Arial"/>
                <w:sz w:val="20"/>
              </w:rPr>
            </w:pPr>
            <w:r w:rsidRPr="00357D41">
              <w:rPr>
                <w:rFonts w:cs="Arial"/>
                <w:sz w:val="20"/>
              </w:rPr>
              <w:t>2 NRTIs</w:t>
            </w:r>
          </w:p>
          <w:p w14:paraId="2D7356CA" w14:textId="77777777" w:rsidR="0034449A" w:rsidRPr="00357D41" w:rsidRDefault="0034449A" w:rsidP="00FD77CB">
            <w:pPr>
              <w:pStyle w:val="tabletextNS"/>
              <w:keepNext/>
              <w:keepLines/>
              <w:spacing w:line="240" w:lineRule="auto"/>
              <w:jc w:val="center"/>
              <w:rPr>
                <w:rFonts w:cs="Arial"/>
                <w:sz w:val="20"/>
              </w:rPr>
            </w:pPr>
            <w:r w:rsidRPr="00357D41">
              <w:rPr>
                <w:rFonts w:cs="Arial"/>
                <w:sz w:val="20"/>
              </w:rPr>
              <w:t>(N = 411)</w:t>
            </w:r>
          </w:p>
        </w:tc>
        <w:tc>
          <w:tcPr>
            <w:tcW w:w="1755" w:type="dxa"/>
            <w:tcBorders>
              <w:bottom w:val="single" w:sz="4" w:space="0" w:color="auto"/>
              <w:right w:val="single" w:sz="12" w:space="0" w:color="auto"/>
            </w:tcBorders>
            <w:vAlign w:val="bottom"/>
          </w:tcPr>
          <w:p w14:paraId="3CD5579A" w14:textId="77777777" w:rsidR="0034449A" w:rsidRPr="00357D41" w:rsidRDefault="0034449A" w:rsidP="00FD77CB">
            <w:pPr>
              <w:pStyle w:val="tabletextNS"/>
              <w:keepNext/>
              <w:keepLines/>
              <w:spacing w:line="240" w:lineRule="auto"/>
              <w:jc w:val="center"/>
              <w:rPr>
                <w:rFonts w:cs="Arial"/>
                <w:sz w:val="20"/>
              </w:rPr>
            </w:pPr>
            <w:proofErr w:type="spellStart"/>
            <w:r w:rsidRPr="00357D41">
              <w:rPr>
                <w:rFonts w:cs="Arial"/>
                <w:sz w:val="20"/>
              </w:rPr>
              <w:t>Raltegravir</w:t>
            </w:r>
            <w:proofErr w:type="spellEnd"/>
          </w:p>
          <w:p w14:paraId="59936C11" w14:textId="77777777" w:rsidR="00450C04" w:rsidRDefault="0034449A" w:rsidP="00FD77CB">
            <w:pPr>
              <w:pStyle w:val="tabletextNS"/>
              <w:keepNext/>
              <w:keepLines/>
              <w:spacing w:line="240" w:lineRule="auto"/>
              <w:jc w:val="center"/>
              <w:rPr>
                <w:rFonts w:cs="Arial"/>
                <w:sz w:val="20"/>
              </w:rPr>
            </w:pPr>
            <w:r w:rsidRPr="00357D41">
              <w:rPr>
                <w:rFonts w:cs="Arial"/>
                <w:sz w:val="20"/>
              </w:rPr>
              <w:t>400 mg Twice Daily</w:t>
            </w:r>
          </w:p>
          <w:p w14:paraId="5F8E8F14" w14:textId="0887B766" w:rsidR="0034449A" w:rsidRPr="00357D41" w:rsidRDefault="0034449A" w:rsidP="00FD77CB">
            <w:pPr>
              <w:pStyle w:val="tabletextNS"/>
              <w:keepNext/>
              <w:keepLines/>
              <w:spacing w:line="240" w:lineRule="auto"/>
              <w:jc w:val="center"/>
              <w:rPr>
                <w:rFonts w:cs="Arial"/>
                <w:sz w:val="20"/>
              </w:rPr>
            </w:pPr>
            <w:r w:rsidRPr="00357D41">
              <w:rPr>
                <w:rFonts w:cs="Arial"/>
                <w:sz w:val="20"/>
              </w:rPr>
              <w:t>+ 2 NRTIs</w:t>
            </w:r>
          </w:p>
          <w:p w14:paraId="7B13CDD3" w14:textId="77777777" w:rsidR="0034449A" w:rsidRPr="00357D41" w:rsidRDefault="0034449A" w:rsidP="00FD77CB">
            <w:pPr>
              <w:pStyle w:val="tabletextNS"/>
              <w:keepNext/>
              <w:keepLines/>
              <w:spacing w:line="240" w:lineRule="auto"/>
              <w:jc w:val="center"/>
              <w:rPr>
                <w:rFonts w:cs="Arial"/>
                <w:sz w:val="20"/>
              </w:rPr>
            </w:pPr>
            <w:r w:rsidRPr="00357D41">
              <w:rPr>
                <w:rFonts w:cs="Arial"/>
                <w:sz w:val="20"/>
              </w:rPr>
              <w:t>(N = 411)</w:t>
            </w:r>
          </w:p>
        </w:tc>
        <w:tc>
          <w:tcPr>
            <w:tcW w:w="1755" w:type="dxa"/>
            <w:tcBorders>
              <w:top w:val="single" w:sz="4" w:space="0" w:color="auto"/>
              <w:left w:val="single" w:sz="12" w:space="0" w:color="auto"/>
              <w:bottom w:val="single" w:sz="4" w:space="0" w:color="auto"/>
            </w:tcBorders>
            <w:vAlign w:val="bottom"/>
          </w:tcPr>
          <w:p w14:paraId="4B2E330F" w14:textId="77777777" w:rsidR="00450C04" w:rsidRDefault="0034449A" w:rsidP="00FD77CB">
            <w:pPr>
              <w:pStyle w:val="tabletextNS"/>
              <w:keepNext/>
              <w:keepLines/>
              <w:spacing w:line="240" w:lineRule="auto"/>
              <w:jc w:val="center"/>
              <w:rPr>
                <w:rFonts w:cs="Arial"/>
                <w:sz w:val="20"/>
              </w:rPr>
            </w:pPr>
            <w:r w:rsidRPr="00357D41">
              <w:rPr>
                <w:rFonts w:cs="Arial"/>
                <w:sz w:val="20"/>
              </w:rPr>
              <w:t>TIVICAY 50 mg +</w:t>
            </w:r>
          </w:p>
          <w:p w14:paraId="21147950" w14:textId="58B735F4" w:rsidR="00450C04" w:rsidRDefault="00450C04" w:rsidP="00FD77CB">
            <w:pPr>
              <w:pStyle w:val="tabletextNS"/>
              <w:keepNext/>
              <w:keepLines/>
              <w:spacing w:line="240" w:lineRule="auto"/>
              <w:jc w:val="center"/>
              <w:rPr>
                <w:rFonts w:cs="Arial"/>
                <w:sz w:val="20"/>
              </w:rPr>
            </w:pPr>
            <w:r>
              <w:rPr>
                <w:rFonts w:cs="Arial"/>
                <w:sz w:val="20"/>
              </w:rPr>
              <w:t>K</w:t>
            </w:r>
            <w:r w:rsidR="0034449A" w:rsidRPr="00357D41">
              <w:rPr>
                <w:rFonts w:cs="Arial"/>
                <w:sz w:val="20"/>
              </w:rPr>
              <w:t>IVEXA (ABC/3TC)</w:t>
            </w:r>
          </w:p>
          <w:p w14:paraId="41CC1682" w14:textId="67557A3F" w:rsidR="0034449A" w:rsidRPr="00357D41" w:rsidRDefault="0034449A" w:rsidP="00FD77CB">
            <w:pPr>
              <w:pStyle w:val="tabletextNS"/>
              <w:keepNext/>
              <w:keepLines/>
              <w:spacing w:line="240" w:lineRule="auto"/>
              <w:jc w:val="center"/>
              <w:rPr>
                <w:rFonts w:cs="Arial"/>
                <w:sz w:val="20"/>
              </w:rPr>
            </w:pPr>
            <w:r w:rsidRPr="00357D41">
              <w:rPr>
                <w:rFonts w:cs="Arial"/>
                <w:sz w:val="20"/>
              </w:rPr>
              <w:t>Once Daily</w:t>
            </w:r>
          </w:p>
          <w:p w14:paraId="4D8840A2" w14:textId="77777777" w:rsidR="0034449A" w:rsidRPr="00357D41" w:rsidRDefault="0034449A" w:rsidP="00FD77CB">
            <w:pPr>
              <w:pStyle w:val="tabletextNS"/>
              <w:keepNext/>
              <w:keepLines/>
              <w:spacing w:line="240" w:lineRule="auto"/>
              <w:jc w:val="center"/>
              <w:rPr>
                <w:rFonts w:cs="Arial"/>
                <w:sz w:val="20"/>
              </w:rPr>
            </w:pPr>
            <w:r w:rsidRPr="00357D41">
              <w:rPr>
                <w:rFonts w:cs="Arial"/>
                <w:sz w:val="20"/>
              </w:rPr>
              <w:t>(N = 414)</w:t>
            </w:r>
          </w:p>
        </w:tc>
        <w:tc>
          <w:tcPr>
            <w:tcW w:w="1755" w:type="dxa"/>
            <w:tcBorders>
              <w:bottom w:val="single" w:sz="4" w:space="0" w:color="auto"/>
            </w:tcBorders>
            <w:vAlign w:val="bottom"/>
          </w:tcPr>
          <w:p w14:paraId="7F2464A9" w14:textId="77777777" w:rsidR="0034449A" w:rsidRPr="00357D41" w:rsidRDefault="0034449A" w:rsidP="00FD77CB">
            <w:pPr>
              <w:pStyle w:val="tabletextNS"/>
              <w:keepNext/>
              <w:keepLines/>
              <w:spacing w:line="240" w:lineRule="auto"/>
              <w:jc w:val="center"/>
              <w:rPr>
                <w:rFonts w:cs="Arial"/>
                <w:sz w:val="20"/>
              </w:rPr>
            </w:pPr>
            <w:r w:rsidRPr="00357D41">
              <w:rPr>
                <w:rFonts w:cs="Arial"/>
                <w:sz w:val="20"/>
              </w:rPr>
              <w:t>EFV/TDF/FTC</w:t>
            </w:r>
          </w:p>
          <w:p w14:paraId="3236911F" w14:textId="77777777" w:rsidR="0034449A" w:rsidRPr="00357D41" w:rsidRDefault="0034449A" w:rsidP="00FD77CB">
            <w:pPr>
              <w:pStyle w:val="tabletextNS"/>
              <w:keepNext/>
              <w:keepLines/>
              <w:spacing w:line="240" w:lineRule="auto"/>
              <w:jc w:val="center"/>
              <w:rPr>
                <w:rFonts w:cs="Arial"/>
                <w:sz w:val="20"/>
              </w:rPr>
            </w:pPr>
            <w:r w:rsidRPr="00357D41">
              <w:rPr>
                <w:rFonts w:cs="Arial"/>
                <w:sz w:val="20"/>
              </w:rPr>
              <w:t>Once Daily</w:t>
            </w:r>
          </w:p>
          <w:p w14:paraId="726A1120" w14:textId="77777777" w:rsidR="0034449A" w:rsidRPr="00357D41" w:rsidRDefault="0034449A" w:rsidP="00FD77CB">
            <w:pPr>
              <w:pStyle w:val="tabletextNS"/>
              <w:keepNext/>
              <w:keepLines/>
              <w:spacing w:line="240" w:lineRule="auto"/>
              <w:jc w:val="center"/>
              <w:rPr>
                <w:rFonts w:cs="Arial"/>
                <w:sz w:val="20"/>
              </w:rPr>
            </w:pPr>
            <w:r w:rsidRPr="00357D41">
              <w:rPr>
                <w:rFonts w:cs="Arial"/>
                <w:sz w:val="20"/>
              </w:rPr>
              <w:t>(N = 419)</w:t>
            </w:r>
          </w:p>
        </w:tc>
      </w:tr>
      <w:tr w:rsidR="0034449A" w:rsidRPr="00357D41" w14:paraId="284994ED" w14:textId="77777777" w:rsidTr="0034449A">
        <w:tc>
          <w:tcPr>
            <w:tcW w:w="2988" w:type="dxa"/>
            <w:tcBorders>
              <w:bottom w:val="nil"/>
            </w:tcBorders>
          </w:tcPr>
          <w:p w14:paraId="642176CC" w14:textId="77777777" w:rsidR="0034449A" w:rsidRPr="00357D41" w:rsidRDefault="0034449A" w:rsidP="00FD77CB">
            <w:pPr>
              <w:pStyle w:val="tabletextNS"/>
              <w:keepNext/>
              <w:keepLines/>
              <w:spacing w:after="200" w:line="240" w:lineRule="auto"/>
              <w:rPr>
                <w:rFonts w:cs="Arial"/>
                <w:sz w:val="20"/>
              </w:rPr>
            </w:pPr>
            <w:r w:rsidRPr="00357D41">
              <w:rPr>
                <w:rFonts w:cs="Arial"/>
                <w:sz w:val="20"/>
              </w:rPr>
              <w:t>ALT (IU/L)</w:t>
            </w:r>
          </w:p>
        </w:tc>
        <w:tc>
          <w:tcPr>
            <w:tcW w:w="1755" w:type="dxa"/>
            <w:tcBorders>
              <w:bottom w:val="nil"/>
            </w:tcBorders>
          </w:tcPr>
          <w:p w14:paraId="72D75EDA" w14:textId="77777777" w:rsidR="0034449A" w:rsidRPr="00357D41" w:rsidRDefault="0034449A" w:rsidP="00FD77CB">
            <w:pPr>
              <w:keepNext/>
              <w:keepLines/>
              <w:spacing w:line="240" w:lineRule="auto"/>
              <w:jc w:val="center"/>
              <w:rPr>
                <w:rFonts w:ascii="Arial Narrow" w:hAnsi="Arial Narrow"/>
                <w:snapToGrid w:val="0"/>
                <w:sz w:val="20"/>
                <w:szCs w:val="20"/>
              </w:rPr>
            </w:pPr>
          </w:p>
        </w:tc>
        <w:tc>
          <w:tcPr>
            <w:tcW w:w="1755" w:type="dxa"/>
            <w:tcBorders>
              <w:bottom w:val="nil"/>
              <w:right w:val="single" w:sz="12" w:space="0" w:color="auto"/>
            </w:tcBorders>
          </w:tcPr>
          <w:p w14:paraId="4B5EBCDE" w14:textId="77777777" w:rsidR="0034449A" w:rsidRPr="00357D41" w:rsidRDefault="0034449A" w:rsidP="00FD77CB">
            <w:pPr>
              <w:keepNext/>
              <w:keepLines/>
              <w:spacing w:line="240" w:lineRule="auto"/>
              <w:jc w:val="center"/>
              <w:rPr>
                <w:rFonts w:ascii="Arial Narrow" w:hAnsi="Arial Narrow"/>
                <w:snapToGrid w:val="0"/>
                <w:sz w:val="20"/>
                <w:szCs w:val="20"/>
              </w:rPr>
            </w:pPr>
          </w:p>
        </w:tc>
        <w:tc>
          <w:tcPr>
            <w:tcW w:w="1755" w:type="dxa"/>
            <w:tcBorders>
              <w:top w:val="single" w:sz="4" w:space="0" w:color="auto"/>
              <w:left w:val="single" w:sz="12" w:space="0" w:color="auto"/>
              <w:bottom w:val="nil"/>
            </w:tcBorders>
          </w:tcPr>
          <w:p w14:paraId="0C806B3D" w14:textId="77777777" w:rsidR="0034449A" w:rsidRPr="00357D41" w:rsidRDefault="0034449A" w:rsidP="00FD77CB">
            <w:pPr>
              <w:keepNext/>
              <w:keepLines/>
              <w:spacing w:line="240" w:lineRule="auto"/>
              <w:jc w:val="center"/>
              <w:rPr>
                <w:rFonts w:ascii="Arial Narrow" w:hAnsi="Arial Narrow"/>
                <w:sz w:val="20"/>
                <w:szCs w:val="20"/>
                <w:lang w:val="en-GB"/>
              </w:rPr>
            </w:pPr>
          </w:p>
        </w:tc>
        <w:tc>
          <w:tcPr>
            <w:tcW w:w="1755" w:type="dxa"/>
            <w:tcBorders>
              <w:bottom w:val="nil"/>
            </w:tcBorders>
          </w:tcPr>
          <w:p w14:paraId="359ECDCA" w14:textId="77777777" w:rsidR="0034449A" w:rsidRPr="00357D41" w:rsidRDefault="0034449A" w:rsidP="00FD77CB">
            <w:pPr>
              <w:keepNext/>
              <w:keepLines/>
              <w:spacing w:line="240" w:lineRule="auto"/>
              <w:jc w:val="center"/>
              <w:rPr>
                <w:rFonts w:ascii="Arial Narrow" w:hAnsi="Arial Narrow"/>
                <w:sz w:val="20"/>
                <w:szCs w:val="20"/>
                <w:lang w:val="en-GB"/>
              </w:rPr>
            </w:pPr>
          </w:p>
        </w:tc>
      </w:tr>
      <w:tr w:rsidR="0034449A" w:rsidRPr="00357D41" w14:paraId="40BD2F2A" w14:textId="77777777" w:rsidTr="0034449A">
        <w:tc>
          <w:tcPr>
            <w:tcW w:w="2988" w:type="dxa"/>
            <w:tcBorders>
              <w:top w:val="nil"/>
              <w:bottom w:val="nil"/>
            </w:tcBorders>
          </w:tcPr>
          <w:p w14:paraId="29E31A12"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3 (5.1-10.0 x ULN)</w:t>
            </w:r>
          </w:p>
        </w:tc>
        <w:tc>
          <w:tcPr>
            <w:tcW w:w="1755" w:type="dxa"/>
            <w:tcBorders>
              <w:top w:val="nil"/>
              <w:bottom w:val="nil"/>
            </w:tcBorders>
            <w:vAlign w:val="bottom"/>
          </w:tcPr>
          <w:p w14:paraId="086BF371" w14:textId="77777777" w:rsidR="0034449A" w:rsidRPr="00357D41" w:rsidRDefault="0034449A" w:rsidP="00FD77CB">
            <w:pPr>
              <w:pStyle w:val="tabletextNS"/>
              <w:keepNext/>
              <w:keepLines/>
              <w:spacing w:after="200" w:line="240" w:lineRule="auto"/>
              <w:jc w:val="center"/>
              <w:rPr>
                <w:rFonts w:cs="Arial"/>
                <w:sz w:val="20"/>
              </w:rPr>
            </w:pPr>
            <w:r w:rsidRPr="00357D41">
              <w:rPr>
                <w:rFonts w:cs="Arial"/>
                <w:sz w:val="20"/>
              </w:rPr>
              <w:t>5 (1%)</w:t>
            </w:r>
          </w:p>
        </w:tc>
        <w:tc>
          <w:tcPr>
            <w:tcW w:w="1755" w:type="dxa"/>
            <w:tcBorders>
              <w:top w:val="nil"/>
              <w:bottom w:val="nil"/>
              <w:right w:val="single" w:sz="12" w:space="0" w:color="auto"/>
            </w:tcBorders>
            <w:vAlign w:val="bottom"/>
          </w:tcPr>
          <w:p w14:paraId="3066F3CB" w14:textId="77777777" w:rsidR="0034449A" w:rsidRPr="00357D41" w:rsidRDefault="0034449A" w:rsidP="00FD77CB">
            <w:pPr>
              <w:pStyle w:val="tabletextNS"/>
              <w:keepNext/>
              <w:keepLines/>
              <w:spacing w:after="200" w:line="240" w:lineRule="auto"/>
              <w:jc w:val="center"/>
              <w:rPr>
                <w:rFonts w:cs="Arial"/>
                <w:sz w:val="20"/>
              </w:rPr>
            </w:pPr>
            <w:r w:rsidRPr="00357D41">
              <w:rPr>
                <w:rFonts w:cs="Arial"/>
                <w:sz w:val="20"/>
              </w:rPr>
              <w:t>6 (1%)</w:t>
            </w:r>
          </w:p>
        </w:tc>
        <w:tc>
          <w:tcPr>
            <w:tcW w:w="1755" w:type="dxa"/>
            <w:tcBorders>
              <w:top w:val="nil"/>
              <w:left w:val="single" w:sz="12" w:space="0" w:color="auto"/>
              <w:bottom w:val="nil"/>
            </w:tcBorders>
            <w:vAlign w:val="bottom"/>
          </w:tcPr>
          <w:p w14:paraId="78A37FFE"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 (&lt;1%)</w:t>
            </w:r>
          </w:p>
        </w:tc>
        <w:tc>
          <w:tcPr>
            <w:tcW w:w="1755" w:type="dxa"/>
            <w:tcBorders>
              <w:top w:val="nil"/>
              <w:bottom w:val="nil"/>
            </w:tcBorders>
            <w:vAlign w:val="bottom"/>
          </w:tcPr>
          <w:p w14:paraId="33723DE4"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 (&lt;1%)</w:t>
            </w:r>
          </w:p>
        </w:tc>
      </w:tr>
      <w:tr w:rsidR="0034449A" w:rsidRPr="00357D41" w14:paraId="4EDD7109" w14:textId="77777777" w:rsidTr="0034449A">
        <w:tc>
          <w:tcPr>
            <w:tcW w:w="2988" w:type="dxa"/>
            <w:tcBorders>
              <w:top w:val="nil"/>
              <w:bottom w:val="single" w:sz="4" w:space="0" w:color="auto"/>
            </w:tcBorders>
          </w:tcPr>
          <w:p w14:paraId="34C74835"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4 (&gt;10.0 x ULN)</w:t>
            </w:r>
          </w:p>
        </w:tc>
        <w:tc>
          <w:tcPr>
            <w:tcW w:w="1755" w:type="dxa"/>
            <w:tcBorders>
              <w:top w:val="nil"/>
              <w:bottom w:val="single" w:sz="4" w:space="0" w:color="auto"/>
            </w:tcBorders>
            <w:vAlign w:val="bottom"/>
          </w:tcPr>
          <w:p w14:paraId="5C29ECF3" w14:textId="77777777" w:rsidR="0034449A" w:rsidRPr="00357D41" w:rsidRDefault="0034449A" w:rsidP="00FD77CB">
            <w:pPr>
              <w:pStyle w:val="tabletextNS"/>
              <w:keepNext/>
              <w:keepLines/>
              <w:spacing w:after="200" w:line="240" w:lineRule="auto"/>
              <w:jc w:val="center"/>
              <w:rPr>
                <w:rFonts w:cs="Arial"/>
                <w:sz w:val="20"/>
              </w:rPr>
            </w:pPr>
            <w:r w:rsidRPr="00357D41">
              <w:rPr>
                <w:rFonts w:cs="Arial"/>
                <w:sz w:val="20"/>
              </w:rPr>
              <w:t>5 (2%)</w:t>
            </w:r>
          </w:p>
        </w:tc>
        <w:tc>
          <w:tcPr>
            <w:tcW w:w="1755" w:type="dxa"/>
            <w:tcBorders>
              <w:top w:val="nil"/>
              <w:bottom w:val="single" w:sz="4" w:space="0" w:color="auto"/>
              <w:right w:val="single" w:sz="12" w:space="0" w:color="auto"/>
            </w:tcBorders>
            <w:vAlign w:val="bottom"/>
          </w:tcPr>
          <w:p w14:paraId="4F73FBFF" w14:textId="77777777" w:rsidR="0034449A" w:rsidRPr="00357D41" w:rsidRDefault="0034449A" w:rsidP="00FD77CB">
            <w:pPr>
              <w:pStyle w:val="tabletextNS"/>
              <w:keepNext/>
              <w:keepLines/>
              <w:spacing w:after="200" w:line="240" w:lineRule="auto"/>
              <w:jc w:val="center"/>
              <w:rPr>
                <w:rFonts w:cs="Arial"/>
                <w:sz w:val="20"/>
              </w:rPr>
            </w:pPr>
            <w:r w:rsidRPr="00357D41">
              <w:rPr>
                <w:rFonts w:cs="Arial"/>
                <w:sz w:val="20"/>
              </w:rPr>
              <w:t>2 (&lt;1%)</w:t>
            </w:r>
          </w:p>
        </w:tc>
        <w:tc>
          <w:tcPr>
            <w:tcW w:w="1755" w:type="dxa"/>
            <w:tcBorders>
              <w:top w:val="nil"/>
              <w:left w:val="single" w:sz="12" w:space="0" w:color="auto"/>
              <w:bottom w:val="single" w:sz="4" w:space="0" w:color="auto"/>
            </w:tcBorders>
            <w:vAlign w:val="bottom"/>
          </w:tcPr>
          <w:p w14:paraId="2F9737AF"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 (&lt;1%)</w:t>
            </w:r>
          </w:p>
        </w:tc>
        <w:tc>
          <w:tcPr>
            <w:tcW w:w="1755" w:type="dxa"/>
            <w:tcBorders>
              <w:top w:val="nil"/>
              <w:bottom w:val="single" w:sz="4" w:space="0" w:color="auto"/>
            </w:tcBorders>
            <w:vAlign w:val="bottom"/>
          </w:tcPr>
          <w:p w14:paraId="57400A71"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 (&lt;1%)</w:t>
            </w:r>
          </w:p>
        </w:tc>
      </w:tr>
      <w:tr w:rsidR="0034449A" w:rsidRPr="00357D41" w14:paraId="6B65452D" w14:textId="77777777" w:rsidTr="0034449A">
        <w:tc>
          <w:tcPr>
            <w:tcW w:w="2988" w:type="dxa"/>
            <w:tcBorders>
              <w:bottom w:val="nil"/>
            </w:tcBorders>
          </w:tcPr>
          <w:p w14:paraId="204633E6" w14:textId="77777777" w:rsidR="0034449A" w:rsidRPr="00357D41" w:rsidRDefault="0034449A" w:rsidP="00FD77CB">
            <w:pPr>
              <w:pStyle w:val="tabletextNS"/>
              <w:keepNext/>
              <w:keepLines/>
              <w:spacing w:after="200" w:line="240" w:lineRule="auto"/>
              <w:rPr>
                <w:rFonts w:cs="Arial"/>
                <w:caps/>
                <w:sz w:val="20"/>
              </w:rPr>
            </w:pPr>
            <w:r w:rsidRPr="00357D41">
              <w:rPr>
                <w:rFonts w:cs="Arial"/>
                <w:sz w:val="20"/>
              </w:rPr>
              <w:t>AST (IU/L)</w:t>
            </w:r>
          </w:p>
        </w:tc>
        <w:tc>
          <w:tcPr>
            <w:tcW w:w="1755" w:type="dxa"/>
            <w:tcBorders>
              <w:bottom w:val="nil"/>
            </w:tcBorders>
          </w:tcPr>
          <w:p w14:paraId="4041B8ED" w14:textId="77777777" w:rsidR="0034449A" w:rsidRPr="00357D41" w:rsidRDefault="0034449A" w:rsidP="00FD77CB">
            <w:pPr>
              <w:pStyle w:val="tabletextNS"/>
              <w:keepNext/>
              <w:keepLines/>
              <w:spacing w:after="200" w:line="240" w:lineRule="auto"/>
              <w:jc w:val="center"/>
              <w:rPr>
                <w:rFonts w:cs="Arial"/>
                <w:sz w:val="20"/>
              </w:rPr>
            </w:pPr>
          </w:p>
        </w:tc>
        <w:tc>
          <w:tcPr>
            <w:tcW w:w="1755" w:type="dxa"/>
            <w:tcBorders>
              <w:bottom w:val="nil"/>
              <w:right w:val="single" w:sz="12" w:space="0" w:color="auto"/>
            </w:tcBorders>
          </w:tcPr>
          <w:p w14:paraId="346022AE" w14:textId="77777777" w:rsidR="0034449A" w:rsidRPr="00357D41" w:rsidRDefault="0034449A" w:rsidP="00FD77CB">
            <w:pPr>
              <w:pStyle w:val="tabletextNS"/>
              <w:keepNext/>
              <w:keepLines/>
              <w:spacing w:after="200" w:line="240" w:lineRule="auto"/>
              <w:jc w:val="center"/>
              <w:rPr>
                <w:rFonts w:cs="Arial"/>
                <w:sz w:val="20"/>
              </w:rPr>
            </w:pPr>
          </w:p>
        </w:tc>
        <w:tc>
          <w:tcPr>
            <w:tcW w:w="1755" w:type="dxa"/>
            <w:tcBorders>
              <w:top w:val="single" w:sz="4" w:space="0" w:color="auto"/>
              <w:left w:val="single" w:sz="12" w:space="0" w:color="auto"/>
              <w:bottom w:val="nil"/>
            </w:tcBorders>
          </w:tcPr>
          <w:p w14:paraId="671F4B18" w14:textId="77777777" w:rsidR="0034449A" w:rsidRPr="00357D41" w:rsidRDefault="0034449A" w:rsidP="00FD77CB">
            <w:pPr>
              <w:keepNext/>
              <w:keepLines/>
              <w:spacing w:line="240" w:lineRule="auto"/>
              <w:jc w:val="center"/>
              <w:rPr>
                <w:rFonts w:ascii="Arial Narrow" w:hAnsi="Arial Narrow"/>
                <w:sz w:val="20"/>
                <w:szCs w:val="20"/>
                <w:lang w:val="en-GB"/>
              </w:rPr>
            </w:pPr>
          </w:p>
        </w:tc>
        <w:tc>
          <w:tcPr>
            <w:tcW w:w="1755" w:type="dxa"/>
            <w:tcBorders>
              <w:bottom w:val="nil"/>
            </w:tcBorders>
          </w:tcPr>
          <w:p w14:paraId="3690C869" w14:textId="77777777" w:rsidR="0034449A" w:rsidRPr="00357D41" w:rsidRDefault="0034449A" w:rsidP="00FD77CB">
            <w:pPr>
              <w:keepNext/>
              <w:keepLines/>
              <w:spacing w:line="240" w:lineRule="auto"/>
              <w:jc w:val="center"/>
              <w:rPr>
                <w:rFonts w:ascii="Arial Narrow" w:hAnsi="Arial Narrow"/>
                <w:sz w:val="20"/>
                <w:szCs w:val="20"/>
                <w:lang w:val="en-GB"/>
              </w:rPr>
            </w:pPr>
          </w:p>
        </w:tc>
      </w:tr>
      <w:tr w:rsidR="0034449A" w:rsidRPr="00357D41" w14:paraId="00956735" w14:textId="77777777" w:rsidTr="0034449A">
        <w:tc>
          <w:tcPr>
            <w:tcW w:w="2988" w:type="dxa"/>
            <w:tcBorders>
              <w:top w:val="nil"/>
              <w:bottom w:val="nil"/>
            </w:tcBorders>
          </w:tcPr>
          <w:p w14:paraId="271BB1CE"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3 (5.1-10.0 x ULN)</w:t>
            </w:r>
          </w:p>
        </w:tc>
        <w:tc>
          <w:tcPr>
            <w:tcW w:w="1755" w:type="dxa"/>
            <w:tcBorders>
              <w:top w:val="nil"/>
              <w:bottom w:val="nil"/>
            </w:tcBorders>
          </w:tcPr>
          <w:p w14:paraId="6C80F962" w14:textId="77777777" w:rsidR="0034449A" w:rsidRPr="00357D41" w:rsidRDefault="0034449A" w:rsidP="00FD77CB">
            <w:pPr>
              <w:pStyle w:val="tabletextNS"/>
              <w:keepNext/>
              <w:keepLines/>
              <w:spacing w:after="200" w:line="240" w:lineRule="auto"/>
              <w:jc w:val="center"/>
              <w:rPr>
                <w:rFonts w:cs="Arial"/>
                <w:sz w:val="20"/>
              </w:rPr>
            </w:pPr>
            <w:r w:rsidRPr="00357D41">
              <w:rPr>
                <w:rFonts w:cs="Arial"/>
                <w:sz w:val="20"/>
              </w:rPr>
              <w:t>8 (2%)</w:t>
            </w:r>
          </w:p>
        </w:tc>
        <w:tc>
          <w:tcPr>
            <w:tcW w:w="1755" w:type="dxa"/>
            <w:tcBorders>
              <w:top w:val="nil"/>
              <w:bottom w:val="nil"/>
              <w:right w:val="single" w:sz="12" w:space="0" w:color="auto"/>
            </w:tcBorders>
          </w:tcPr>
          <w:p w14:paraId="2AEC24BB" w14:textId="77777777" w:rsidR="0034449A" w:rsidRPr="00357D41" w:rsidRDefault="0034449A" w:rsidP="00FD77CB">
            <w:pPr>
              <w:pStyle w:val="tabletextNS"/>
              <w:keepNext/>
              <w:keepLines/>
              <w:spacing w:after="200" w:line="240" w:lineRule="auto"/>
              <w:jc w:val="center"/>
              <w:rPr>
                <w:rFonts w:cs="Arial"/>
                <w:sz w:val="20"/>
              </w:rPr>
            </w:pPr>
            <w:r w:rsidRPr="00357D41">
              <w:rPr>
                <w:rFonts w:cs="Arial"/>
                <w:sz w:val="20"/>
              </w:rPr>
              <w:t>8 (2%)</w:t>
            </w:r>
          </w:p>
        </w:tc>
        <w:tc>
          <w:tcPr>
            <w:tcW w:w="1755" w:type="dxa"/>
            <w:tcBorders>
              <w:top w:val="nil"/>
              <w:left w:val="single" w:sz="12" w:space="0" w:color="auto"/>
              <w:bottom w:val="nil"/>
            </w:tcBorders>
            <w:vAlign w:val="bottom"/>
          </w:tcPr>
          <w:p w14:paraId="4049E4CA"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 (&lt;1%)</w:t>
            </w:r>
          </w:p>
        </w:tc>
        <w:tc>
          <w:tcPr>
            <w:tcW w:w="1755" w:type="dxa"/>
            <w:tcBorders>
              <w:top w:val="nil"/>
              <w:bottom w:val="nil"/>
            </w:tcBorders>
            <w:vAlign w:val="bottom"/>
          </w:tcPr>
          <w:p w14:paraId="6DDADE77"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9 (2%)</w:t>
            </w:r>
          </w:p>
        </w:tc>
      </w:tr>
      <w:tr w:rsidR="0034449A" w:rsidRPr="00357D41" w14:paraId="37CD1E84" w14:textId="77777777" w:rsidTr="0034449A">
        <w:tc>
          <w:tcPr>
            <w:tcW w:w="2988" w:type="dxa"/>
            <w:tcBorders>
              <w:top w:val="nil"/>
              <w:bottom w:val="single" w:sz="4" w:space="0" w:color="auto"/>
            </w:tcBorders>
          </w:tcPr>
          <w:p w14:paraId="7EA505FC"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4 (&gt;10.0 x ULN)</w:t>
            </w:r>
          </w:p>
        </w:tc>
        <w:tc>
          <w:tcPr>
            <w:tcW w:w="1755" w:type="dxa"/>
            <w:tcBorders>
              <w:top w:val="nil"/>
              <w:bottom w:val="single" w:sz="4" w:space="0" w:color="auto"/>
            </w:tcBorders>
          </w:tcPr>
          <w:p w14:paraId="1BE39B6C" w14:textId="77777777" w:rsidR="0034449A" w:rsidRPr="00357D41" w:rsidRDefault="0034449A" w:rsidP="00FD77CB">
            <w:pPr>
              <w:pStyle w:val="tabletextNS"/>
              <w:keepNext/>
              <w:keepLines/>
              <w:spacing w:after="200" w:line="240" w:lineRule="auto"/>
              <w:jc w:val="center"/>
              <w:rPr>
                <w:rFonts w:cs="Arial"/>
                <w:sz w:val="20"/>
              </w:rPr>
            </w:pPr>
            <w:r w:rsidRPr="00357D41">
              <w:rPr>
                <w:rFonts w:cs="Arial"/>
                <w:sz w:val="20"/>
              </w:rPr>
              <w:t>6 (1%)</w:t>
            </w:r>
          </w:p>
        </w:tc>
        <w:tc>
          <w:tcPr>
            <w:tcW w:w="1755" w:type="dxa"/>
            <w:tcBorders>
              <w:top w:val="nil"/>
              <w:bottom w:val="single" w:sz="4" w:space="0" w:color="auto"/>
              <w:right w:val="single" w:sz="12" w:space="0" w:color="auto"/>
            </w:tcBorders>
          </w:tcPr>
          <w:p w14:paraId="05CE3B74" w14:textId="77777777" w:rsidR="0034449A" w:rsidRPr="00357D41" w:rsidRDefault="0034449A" w:rsidP="00FD77CB">
            <w:pPr>
              <w:pStyle w:val="tabletextNS"/>
              <w:keepNext/>
              <w:keepLines/>
              <w:spacing w:after="200" w:line="240" w:lineRule="auto"/>
              <w:jc w:val="center"/>
              <w:rPr>
                <w:rFonts w:cs="Arial"/>
                <w:sz w:val="20"/>
              </w:rPr>
            </w:pPr>
            <w:r w:rsidRPr="00357D41">
              <w:rPr>
                <w:rFonts w:cs="Arial"/>
                <w:sz w:val="20"/>
              </w:rPr>
              <w:t>2 (&lt;1%)</w:t>
            </w:r>
          </w:p>
        </w:tc>
        <w:tc>
          <w:tcPr>
            <w:tcW w:w="1755" w:type="dxa"/>
            <w:tcBorders>
              <w:top w:val="nil"/>
              <w:left w:val="single" w:sz="12" w:space="0" w:color="auto"/>
              <w:bottom w:val="single" w:sz="4" w:space="0" w:color="auto"/>
            </w:tcBorders>
            <w:vAlign w:val="bottom"/>
          </w:tcPr>
          <w:p w14:paraId="53CB93FA"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0</w:t>
            </w:r>
          </w:p>
        </w:tc>
        <w:tc>
          <w:tcPr>
            <w:tcW w:w="1755" w:type="dxa"/>
            <w:tcBorders>
              <w:top w:val="nil"/>
              <w:bottom w:val="single" w:sz="4" w:space="0" w:color="auto"/>
            </w:tcBorders>
            <w:vAlign w:val="bottom"/>
          </w:tcPr>
          <w:p w14:paraId="43F8B88F"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2 (&lt;1%)</w:t>
            </w:r>
          </w:p>
        </w:tc>
      </w:tr>
      <w:tr w:rsidR="0034449A" w:rsidRPr="00357D41" w14:paraId="0686EA3E" w14:textId="77777777" w:rsidTr="0034449A">
        <w:tc>
          <w:tcPr>
            <w:tcW w:w="2988" w:type="dxa"/>
            <w:tcBorders>
              <w:bottom w:val="nil"/>
            </w:tcBorders>
          </w:tcPr>
          <w:p w14:paraId="53187C41" w14:textId="77777777" w:rsidR="0034449A" w:rsidRPr="00357D41" w:rsidRDefault="0034449A" w:rsidP="00FD77CB">
            <w:pPr>
              <w:pStyle w:val="tabletextNS"/>
              <w:keepNext/>
              <w:keepLines/>
              <w:spacing w:after="200" w:line="240" w:lineRule="auto"/>
              <w:rPr>
                <w:rFonts w:cs="Arial"/>
                <w:sz w:val="20"/>
              </w:rPr>
            </w:pPr>
            <w:r w:rsidRPr="00357D41">
              <w:rPr>
                <w:rFonts w:cs="Arial"/>
                <w:sz w:val="20"/>
              </w:rPr>
              <w:t>Creatine kinase (IU/L)</w:t>
            </w:r>
          </w:p>
        </w:tc>
        <w:tc>
          <w:tcPr>
            <w:tcW w:w="1755" w:type="dxa"/>
            <w:tcBorders>
              <w:bottom w:val="nil"/>
            </w:tcBorders>
          </w:tcPr>
          <w:p w14:paraId="6D639C55" w14:textId="77777777" w:rsidR="0034449A" w:rsidRPr="00357D41" w:rsidRDefault="0034449A" w:rsidP="00FD77CB">
            <w:pPr>
              <w:keepNext/>
              <w:keepLines/>
              <w:spacing w:line="240" w:lineRule="auto"/>
              <w:jc w:val="center"/>
              <w:rPr>
                <w:rFonts w:ascii="Arial Narrow" w:hAnsi="Arial Narrow"/>
                <w:sz w:val="20"/>
                <w:szCs w:val="20"/>
                <w:lang w:val="en-GB"/>
              </w:rPr>
            </w:pPr>
          </w:p>
        </w:tc>
        <w:tc>
          <w:tcPr>
            <w:tcW w:w="1755" w:type="dxa"/>
            <w:tcBorders>
              <w:bottom w:val="nil"/>
              <w:right w:val="single" w:sz="12" w:space="0" w:color="auto"/>
            </w:tcBorders>
          </w:tcPr>
          <w:p w14:paraId="2171571A" w14:textId="77777777" w:rsidR="0034449A" w:rsidRPr="00357D41" w:rsidRDefault="0034449A" w:rsidP="00FD77CB">
            <w:pPr>
              <w:keepNext/>
              <w:keepLines/>
              <w:spacing w:line="240" w:lineRule="auto"/>
              <w:jc w:val="center"/>
              <w:rPr>
                <w:rFonts w:ascii="Arial Narrow" w:hAnsi="Arial Narrow"/>
                <w:sz w:val="20"/>
                <w:szCs w:val="20"/>
                <w:lang w:val="en-GB"/>
              </w:rPr>
            </w:pPr>
          </w:p>
        </w:tc>
        <w:tc>
          <w:tcPr>
            <w:tcW w:w="1755" w:type="dxa"/>
            <w:tcBorders>
              <w:top w:val="single" w:sz="4" w:space="0" w:color="auto"/>
              <w:left w:val="single" w:sz="12" w:space="0" w:color="auto"/>
              <w:bottom w:val="nil"/>
            </w:tcBorders>
          </w:tcPr>
          <w:p w14:paraId="14273B6B" w14:textId="77777777" w:rsidR="0034449A" w:rsidRPr="00357D41" w:rsidRDefault="0034449A" w:rsidP="00FD77CB">
            <w:pPr>
              <w:keepNext/>
              <w:keepLines/>
              <w:spacing w:line="240" w:lineRule="auto"/>
              <w:jc w:val="center"/>
              <w:rPr>
                <w:rFonts w:ascii="Arial Narrow" w:hAnsi="Arial Narrow"/>
                <w:sz w:val="20"/>
                <w:szCs w:val="20"/>
                <w:lang w:val="en-GB"/>
              </w:rPr>
            </w:pPr>
          </w:p>
        </w:tc>
        <w:tc>
          <w:tcPr>
            <w:tcW w:w="1755" w:type="dxa"/>
            <w:tcBorders>
              <w:bottom w:val="nil"/>
            </w:tcBorders>
          </w:tcPr>
          <w:p w14:paraId="401F2979" w14:textId="77777777" w:rsidR="0034449A" w:rsidRPr="00357D41" w:rsidRDefault="0034449A" w:rsidP="00FD77CB">
            <w:pPr>
              <w:keepNext/>
              <w:keepLines/>
              <w:spacing w:line="240" w:lineRule="auto"/>
              <w:jc w:val="center"/>
              <w:rPr>
                <w:rFonts w:ascii="Arial Narrow" w:hAnsi="Arial Narrow"/>
                <w:sz w:val="20"/>
                <w:szCs w:val="20"/>
                <w:lang w:val="en-GB"/>
              </w:rPr>
            </w:pPr>
          </w:p>
        </w:tc>
      </w:tr>
      <w:tr w:rsidR="0034449A" w:rsidRPr="00357D41" w14:paraId="6C2C4D2F" w14:textId="77777777" w:rsidTr="0034449A">
        <w:tc>
          <w:tcPr>
            <w:tcW w:w="2988" w:type="dxa"/>
            <w:tcBorders>
              <w:top w:val="nil"/>
              <w:bottom w:val="nil"/>
            </w:tcBorders>
          </w:tcPr>
          <w:p w14:paraId="00D4F37E"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3 (10.0-19.9 x ULN)</w:t>
            </w:r>
          </w:p>
        </w:tc>
        <w:tc>
          <w:tcPr>
            <w:tcW w:w="1755" w:type="dxa"/>
            <w:tcBorders>
              <w:top w:val="nil"/>
              <w:bottom w:val="nil"/>
            </w:tcBorders>
            <w:vAlign w:val="bottom"/>
          </w:tcPr>
          <w:p w14:paraId="048DC746"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9 (2%)</w:t>
            </w:r>
          </w:p>
        </w:tc>
        <w:tc>
          <w:tcPr>
            <w:tcW w:w="1755" w:type="dxa"/>
            <w:tcBorders>
              <w:top w:val="nil"/>
              <w:bottom w:val="nil"/>
              <w:right w:val="single" w:sz="12" w:space="0" w:color="auto"/>
            </w:tcBorders>
            <w:vAlign w:val="bottom"/>
          </w:tcPr>
          <w:p w14:paraId="4E227922"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10 (2%)</w:t>
            </w:r>
          </w:p>
        </w:tc>
        <w:tc>
          <w:tcPr>
            <w:tcW w:w="1755" w:type="dxa"/>
            <w:tcBorders>
              <w:top w:val="nil"/>
              <w:left w:val="single" w:sz="12" w:space="0" w:color="auto"/>
              <w:bottom w:val="nil"/>
            </w:tcBorders>
            <w:vAlign w:val="bottom"/>
          </w:tcPr>
          <w:p w14:paraId="1B8DF53D"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11 (3%)</w:t>
            </w:r>
          </w:p>
        </w:tc>
        <w:tc>
          <w:tcPr>
            <w:tcW w:w="1755" w:type="dxa"/>
            <w:tcBorders>
              <w:top w:val="nil"/>
              <w:bottom w:val="nil"/>
            </w:tcBorders>
            <w:vAlign w:val="bottom"/>
          </w:tcPr>
          <w:p w14:paraId="3005DE42"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11 (3%)</w:t>
            </w:r>
          </w:p>
        </w:tc>
      </w:tr>
      <w:tr w:rsidR="0034449A" w:rsidRPr="00357D41" w14:paraId="07610594" w14:textId="77777777" w:rsidTr="0034449A">
        <w:tc>
          <w:tcPr>
            <w:tcW w:w="2988" w:type="dxa"/>
            <w:tcBorders>
              <w:top w:val="nil"/>
              <w:bottom w:val="single" w:sz="4" w:space="0" w:color="auto"/>
            </w:tcBorders>
          </w:tcPr>
          <w:p w14:paraId="7A9A01A7"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4 (</w:t>
            </w:r>
            <w:r w:rsidRPr="00357D41">
              <w:rPr>
                <w:rFonts w:cs="Arial"/>
                <w:sz w:val="20"/>
              </w:rPr>
              <w:sym w:font="Symbol" w:char="F0B3"/>
            </w:r>
            <w:r w:rsidRPr="00357D41">
              <w:rPr>
                <w:rFonts w:cs="Arial"/>
                <w:sz w:val="20"/>
              </w:rPr>
              <w:t>20.0 x ULN)</w:t>
            </w:r>
          </w:p>
        </w:tc>
        <w:tc>
          <w:tcPr>
            <w:tcW w:w="1755" w:type="dxa"/>
            <w:tcBorders>
              <w:top w:val="nil"/>
              <w:bottom w:val="single" w:sz="4" w:space="0" w:color="auto"/>
            </w:tcBorders>
            <w:vAlign w:val="bottom"/>
          </w:tcPr>
          <w:p w14:paraId="013E4DFF"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18 (4%)</w:t>
            </w:r>
          </w:p>
        </w:tc>
        <w:tc>
          <w:tcPr>
            <w:tcW w:w="1755" w:type="dxa"/>
            <w:tcBorders>
              <w:top w:val="nil"/>
              <w:bottom w:val="single" w:sz="4" w:space="0" w:color="auto"/>
              <w:right w:val="single" w:sz="12" w:space="0" w:color="auto"/>
            </w:tcBorders>
            <w:vAlign w:val="bottom"/>
          </w:tcPr>
          <w:p w14:paraId="4E42D985"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8 (2%)</w:t>
            </w:r>
          </w:p>
        </w:tc>
        <w:tc>
          <w:tcPr>
            <w:tcW w:w="1755" w:type="dxa"/>
            <w:tcBorders>
              <w:top w:val="nil"/>
              <w:left w:val="single" w:sz="12" w:space="0" w:color="auto"/>
              <w:bottom w:val="single" w:sz="4" w:space="0" w:color="auto"/>
            </w:tcBorders>
            <w:vAlign w:val="bottom"/>
          </w:tcPr>
          <w:p w14:paraId="759FB1C2"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10 (2%)</w:t>
            </w:r>
          </w:p>
        </w:tc>
        <w:tc>
          <w:tcPr>
            <w:tcW w:w="1755" w:type="dxa"/>
            <w:tcBorders>
              <w:top w:val="nil"/>
              <w:bottom w:val="single" w:sz="4" w:space="0" w:color="auto"/>
            </w:tcBorders>
            <w:vAlign w:val="bottom"/>
          </w:tcPr>
          <w:p w14:paraId="0A73611B"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17 (4%)</w:t>
            </w:r>
          </w:p>
        </w:tc>
      </w:tr>
      <w:tr w:rsidR="0034449A" w:rsidRPr="00357D41" w14:paraId="0D410E88" w14:textId="77777777" w:rsidTr="0034449A">
        <w:tc>
          <w:tcPr>
            <w:tcW w:w="2988" w:type="dxa"/>
            <w:tcBorders>
              <w:bottom w:val="nil"/>
            </w:tcBorders>
          </w:tcPr>
          <w:p w14:paraId="301FBE28" w14:textId="77777777" w:rsidR="0034449A" w:rsidRPr="00357D41" w:rsidRDefault="0034449A" w:rsidP="00FD77CB">
            <w:pPr>
              <w:pStyle w:val="tabletextNS"/>
              <w:keepNext/>
              <w:keepLines/>
              <w:spacing w:after="200" w:line="240" w:lineRule="auto"/>
              <w:rPr>
                <w:rFonts w:cs="Arial"/>
                <w:sz w:val="20"/>
              </w:rPr>
            </w:pPr>
            <w:r w:rsidRPr="00357D41">
              <w:rPr>
                <w:rFonts w:cs="Arial"/>
                <w:sz w:val="20"/>
              </w:rPr>
              <w:t>Lipase (U/L)</w:t>
            </w:r>
          </w:p>
        </w:tc>
        <w:tc>
          <w:tcPr>
            <w:tcW w:w="1755" w:type="dxa"/>
            <w:tcBorders>
              <w:bottom w:val="nil"/>
            </w:tcBorders>
          </w:tcPr>
          <w:p w14:paraId="4CCED1A2" w14:textId="77777777" w:rsidR="0034449A" w:rsidRPr="00357D41" w:rsidRDefault="0034449A" w:rsidP="00FD77CB">
            <w:pPr>
              <w:keepNext/>
              <w:keepLines/>
              <w:spacing w:line="240" w:lineRule="auto"/>
              <w:jc w:val="center"/>
              <w:rPr>
                <w:rFonts w:ascii="Arial Narrow" w:hAnsi="Arial Narrow"/>
                <w:snapToGrid w:val="0"/>
                <w:sz w:val="20"/>
                <w:szCs w:val="20"/>
              </w:rPr>
            </w:pPr>
          </w:p>
        </w:tc>
        <w:tc>
          <w:tcPr>
            <w:tcW w:w="1755" w:type="dxa"/>
            <w:tcBorders>
              <w:bottom w:val="nil"/>
              <w:right w:val="single" w:sz="12" w:space="0" w:color="auto"/>
            </w:tcBorders>
          </w:tcPr>
          <w:p w14:paraId="354D0A2C" w14:textId="77777777" w:rsidR="0034449A" w:rsidRPr="00357D41" w:rsidRDefault="0034449A" w:rsidP="00FD77CB">
            <w:pPr>
              <w:keepNext/>
              <w:keepLines/>
              <w:spacing w:line="240" w:lineRule="auto"/>
              <w:jc w:val="center"/>
              <w:rPr>
                <w:rFonts w:ascii="Arial Narrow" w:hAnsi="Arial Narrow"/>
                <w:snapToGrid w:val="0"/>
                <w:sz w:val="20"/>
                <w:szCs w:val="20"/>
              </w:rPr>
            </w:pPr>
          </w:p>
        </w:tc>
        <w:tc>
          <w:tcPr>
            <w:tcW w:w="1755" w:type="dxa"/>
            <w:tcBorders>
              <w:top w:val="single" w:sz="4" w:space="0" w:color="auto"/>
              <w:left w:val="single" w:sz="12" w:space="0" w:color="auto"/>
              <w:bottom w:val="nil"/>
            </w:tcBorders>
          </w:tcPr>
          <w:p w14:paraId="678BF70D" w14:textId="77777777" w:rsidR="0034449A" w:rsidRPr="00357D41" w:rsidRDefault="0034449A" w:rsidP="00FD77CB">
            <w:pPr>
              <w:keepNext/>
              <w:keepLines/>
              <w:spacing w:line="240" w:lineRule="auto"/>
              <w:jc w:val="center"/>
              <w:rPr>
                <w:rFonts w:ascii="Arial Narrow" w:hAnsi="Arial Narrow"/>
                <w:sz w:val="20"/>
                <w:szCs w:val="20"/>
                <w:lang w:val="en-GB"/>
              </w:rPr>
            </w:pPr>
          </w:p>
        </w:tc>
        <w:tc>
          <w:tcPr>
            <w:tcW w:w="1755" w:type="dxa"/>
            <w:tcBorders>
              <w:bottom w:val="nil"/>
            </w:tcBorders>
          </w:tcPr>
          <w:p w14:paraId="7F9188FB" w14:textId="77777777" w:rsidR="0034449A" w:rsidRPr="00357D41" w:rsidRDefault="0034449A" w:rsidP="00FD77CB">
            <w:pPr>
              <w:keepNext/>
              <w:keepLines/>
              <w:spacing w:line="240" w:lineRule="auto"/>
              <w:jc w:val="center"/>
              <w:rPr>
                <w:rFonts w:ascii="Arial Narrow" w:hAnsi="Arial Narrow"/>
                <w:sz w:val="20"/>
                <w:szCs w:val="20"/>
                <w:lang w:val="en-GB"/>
              </w:rPr>
            </w:pPr>
          </w:p>
        </w:tc>
      </w:tr>
      <w:tr w:rsidR="0034449A" w:rsidRPr="00357D41" w14:paraId="6C4B947A" w14:textId="77777777" w:rsidTr="0034449A">
        <w:tc>
          <w:tcPr>
            <w:tcW w:w="2988" w:type="dxa"/>
            <w:tcBorders>
              <w:top w:val="nil"/>
              <w:bottom w:val="nil"/>
            </w:tcBorders>
          </w:tcPr>
          <w:p w14:paraId="13D728F0"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3 (3.1-5.0 x ULN)</w:t>
            </w:r>
          </w:p>
        </w:tc>
        <w:tc>
          <w:tcPr>
            <w:tcW w:w="1755" w:type="dxa"/>
            <w:tcBorders>
              <w:top w:val="nil"/>
              <w:bottom w:val="nil"/>
            </w:tcBorders>
            <w:vAlign w:val="bottom"/>
          </w:tcPr>
          <w:p w14:paraId="404A3523"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6 (1%)</w:t>
            </w:r>
          </w:p>
        </w:tc>
        <w:tc>
          <w:tcPr>
            <w:tcW w:w="1755" w:type="dxa"/>
            <w:tcBorders>
              <w:top w:val="nil"/>
              <w:bottom w:val="nil"/>
              <w:right w:val="single" w:sz="12" w:space="0" w:color="auto"/>
            </w:tcBorders>
            <w:vAlign w:val="bottom"/>
          </w:tcPr>
          <w:p w14:paraId="79E55129"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13 (3%)</w:t>
            </w:r>
          </w:p>
        </w:tc>
        <w:tc>
          <w:tcPr>
            <w:tcW w:w="1755" w:type="dxa"/>
            <w:tcBorders>
              <w:top w:val="nil"/>
              <w:left w:val="single" w:sz="12" w:space="0" w:color="auto"/>
              <w:bottom w:val="nil"/>
            </w:tcBorders>
            <w:vAlign w:val="bottom"/>
          </w:tcPr>
          <w:p w14:paraId="6D677CBD"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10 (2%)</w:t>
            </w:r>
          </w:p>
        </w:tc>
        <w:tc>
          <w:tcPr>
            <w:tcW w:w="1755" w:type="dxa"/>
            <w:tcBorders>
              <w:top w:val="nil"/>
              <w:bottom w:val="nil"/>
            </w:tcBorders>
            <w:vAlign w:val="bottom"/>
          </w:tcPr>
          <w:p w14:paraId="36295FC3"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11 (3%)</w:t>
            </w:r>
          </w:p>
        </w:tc>
      </w:tr>
      <w:tr w:rsidR="0034449A" w:rsidRPr="00357D41" w14:paraId="702DB280" w14:textId="77777777" w:rsidTr="0034449A">
        <w:tc>
          <w:tcPr>
            <w:tcW w:w="2988" w:type="dxa"/>
            <w:tcBorders>
              <w:top w:val="nil"/>
              <w:bottom w:val="nil"/>
            </w:tcBorders>
          </w:tcPr>
          <w:p w14:paraId="2A8C07F4"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4 (&gt;5.0 x ULN)</w:t>
            </w:r>
          </w:p>
        </w:tc>
        <w:tc>
          <w:tcPr>
            <w:tcW w:w="1755" w:type="dxa"/>
            <w:tcBorders>
              <w:top w:val="nil"/>
              <w:bottom w:val="nil"/>
            </w:tcBorders>
            <w:vAlign w:val="bottom"/>
          </w:tcPr>
          <w:p w14:paraId="5919EA64"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3 (&lt;1%)</w:t>
            </w:r>
          </w:p>
        </w:tc>
        <w:tc>
          <w:tcPr>
            <w:tcW w:w="1755" w:type="dxa"/>
            <w:tcBorders>
              <w:top w:val="nil"/>
              <w:bottom w:val="nil"/>
              <w:right w:val="single" w:sz="12" w:space="0" w:color="auto"/>
            </w:tcBorders>
            <w:vAlign w:val="bottom"/>
          </w:tcPr>
          <w:p w14:paraId="5241D47F"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6 (1%)</w:t>
            </w:r>
          </w:p>
        </w:tc>
        <w:tc>
          <w:tcPr>
            <w:tcW w:w="1755" w:type="dxa"/>
            <w:tcBorders>
              <w:top w:val="nil"/>
              <w:left w:val="single" w:sz="12" w:space="0" w:color="auto"/>
              <w:bottom w:val="nil"/>
            </w:tcBorders>
            <w:vAlign w:val="bottom"/>
          </w:tcPr>
          <w:p w14:paraId="4281E1A1"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6 (1%)</w:t>
            </w:r>
          </w:p>
        </w:tc>
        <w:tc>
          <w:tcPr>
            <w:tcW w:w="1755" w:type="dxa"/>
            <w:tcBorders>
              <w:top w:val="nil"/>
              <w:bottom w:val="nil"/>
            </w:tcBorders>
            <w:vAlign w:val="bottom"/>
          </w:tcPr>
          <w:p w14:paraId="0BB9C0FF"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2 (&lt;1%)</w:t>
            </w:r>
          </w:p>
        </w:tc>
      </w:tr>
      <w:tr w:rsidR="0034449A" w:rsidRPr="00357D41" w14:paraId="1DE6F51E" w14:textId="77777777" w:rsidTr="0034449A">
        <w:tc>
          <w:tcPr>
            <w:tcW w:w="2988" w:type="dxa"/>
            <w:tcBorders>
              <w:bottom w:val="nil"/>
            </w:tcBorders>
          </w:tcPr>
          <w:p w14:paraId="2425DDB9" w14:textId="77777777" w:rsidR="0034449A" w:rsidRPr="00357D41" w:rsidRDefault="0034449A" w:rsidP="00FD77CB">
            <w:pPr>
              <w:pStyle w:val="tabletextNS"/>
              <w:keepNext/>
              <w:keepLines/>
              <w:spacing w:after="200" w:line="240" w:lineRule="auto"/>
              <w:rPr>
                <w:rFonts w:cs="Arial"/>
                <w:sz w:val="20"/>
              </w:rPr>
            </w:pPr>
            <w:r w:rsidRPr="00357D41">
              <w:rPr>
                <w:rFonts w:cs="Arial"/>
                <w:sz w:val="20"/>
              </w:rPr>
              <w:t>Total neutrophils (10</w:t>
            </w:r>
            <w:r w:rsidRPr="00357D41">
              <w:rPr>
                <w:rFonts w:cs="Arial"/>
                <w:sz w:val="20"/>
                <w:vertAlign w:val="superscript"/>
              </w:rPr>
              <w:t>3</w:t>
            </w:r>
            <w:r w:rsidRPr="00357D41">
              <w:rPr>
                <w:rFonts w:cs="Arial"/>
                <w:sz w:val="20"/>
              </w:rPr>
              <w:t>/</w:t>
            </w:r>
            <w:r w:rsidRPr="00357D41">
              <w:rPr>
                <w:rFonts w:cs="Arial"/>
                <w:sz w:val="20"/>
              </w:rPr>
              <w:sym w:font="Symbol" w:char="F06D"/>
            </w:r>
            <w:r w:rsidRPr="00357D41">
              <w:rPr>
                <w:rFonts w:cs="Arial"/>
                <w:sz w:val="20"/>
              </w:rPr>
              <w:t>L)</w:t>
            </w:r>
          </w:p>
        </w:tc>
        <w:tc>
          <w:tcPr>
            <w:tcW w:w="1755" w:type="dxa"/>
            <w:tcBorders>
              <w:bottom w:val="nil"/>
            </w:tcBorders>
            <w:vAlign w:val="center"/>
          </w:tcPr>
          <w:p w14:paraId="5BB7DA8C" w14:textId="77777777" w:rsidR="0034449A" w:rsidRPr="00357D41" w:rsidRDefault="0034449A" w:rsidP="00FD77CB">
            <w:pPr>
              <w:keepNext/>
              <w:keepLines/>
              <w:spacing w:line="240" w:lineRule="auto"/>
              <w:jc w:val="center"/>
              <w:rPr>
                <w:rFonts w:ascii="Arial Narrow" w:hAnsi="Arial Narrow"/>
                <w:sz w:val="20"/>
                <w:szCs w:val="20"/>
                <w:lang w:val="en-GB"/>
              </w:rPr>
            </w:pPr>
          </w:p>
        </w:tc>
        <w:tc>
          <w:tcPr>
            <w:tcW w:w="1755" w:type="dxa"/>
            <w:tcBorders>
              <w:bottom w:val="nil"/>
              <w:right w:val="single" w:sz="12" w:space="0" w:color="auto"/>
            </w:tcBorders>
          </w:tcPr>
          <w:p w14:paraId="37480C9E" w14:textId="77777777" w:rsidR="0034449A" w:rsidRPr="00357D41" w:rsidRDefault="0034449A" w:rsidP="00FD77CB">
            <w:pPr>
              <w:keepNext/>
              <w:keepLines/>
              <w:spacing w:line="240" w:lineRule="auto"/>
              <w:jc w:val="center"/>
              <w:rPr>
                <w:rFonts w:ascii="Arial Narrow" w:hAnsi="Arial Narrow"/>
                <w:sz w:val="20"/>
                <w:szCs w:val="20"/>
                <w:lang w:val="en-GB"/>
              </w:rPr>
            </w:pPr>
          </w:p>
        </w:tc>
        <w:tc>
          <w:tcPr>
            <w:tcW w:w="1755" w:type="dxa"/>
            <w:tcBorders>
              <w:top w:val="single" w:sz="4" w:space="0" w:color="auto"/>
              <w:left w:val="single" w:sz="12" w:space="0" w:color="auto"/>
              <w:bottom w:val="nil"/>
            </w:tcBorders>
            <w:vAlign w:val="bottom"/>
          </w:tcPr>
          <w:p w14:paraId="6218E87B" w14:textId="77777777" w:rsidR="0034449A" w:rsidRPr="00357D41" w:rsidRDefault="0034449A" w:rsidP="00FD77CB">
            <w:pPr>
              <w:keepNext/>
              <w:keepLines/>
              <w:spacing w:line="240" w:lineRule="auto"/>
              <w:jc w:val="center"/>
              <w:rPr>
                <w:rFonts w:ascii="Arial Narrow" w:hAnsi="Arial Narrow"/>
                <w:sz w:val="20"/>
                <w:szCs w:val="20"/>
                <w:lang w:val="en-GB"/>
              </w:rPr>
            </w:pPr>
          </w:p>
        </w:tc>
        <w:tc>
          <w:tcPr>
            <w:tcW w:w="1755" w:type="dxa"/>
            <w:tcBorders>
              <w:bottom w:val="nil"/>
            </w:tcBorders>
            <w:vAlign w:val="bottom"/>
          </w:tcPr>
          <w:p w14:paraId="709BA3C7" w14:textId="77777777" w:rsidR="0034449A" w:rsidRPr="00357D41" w:rsidRDefault="0034449A" w:rsidP="00FD77CB">
            <w:pPr>
              <w:keepNext/>
              <w:keepLines/>
              <w:spacing w:line="240" w:lineRule="auto"/>
              <w:jc w:val="center"/>
              <w:rPr>
                <w:rFonts w:ascii="Arial Narrow" w:hAnsi="Arial Narrow"/>
                <w:sz w:val="20"/>
                <w:szCs w:val="20"/>
                <w:lang w:val="en-GB"/>
              </w:rPr>
            </w:pPr>
          </w:p>
        </w:tc>
      </w:tr>
      <w:tr w:rsidR="0034449A" w:rsidRPr="00357D41" w14:paraId="746F3E8A" w14:textId="77777777" w:rsidTr="0034449A">
        <w:tc>
          <w:tcPr>
            <w:tcW w:w="2988" w:type="dxa"/>
            <w:tcBorders>
              <w:top w:val="nil"/>
              <w:bottom w:val="nil"/>
            </w:tcBorders>
          </w:tcPr>
          <w:p w14:paraId="4056420F"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3 (0.50-0.749 x 10</w:t>
            </w:r>
            <w:r w:rsidRPr="00357D41">
              <w:rPr>
                <w:rFonts w:cs="Arial"/>
                <w:sz w:val="20"/>
                <w:vertAlign w:val="superscript"/>
              </w:rPr>
              <w:t>9</w:t>
            </w:r>
            <w:r w:rsidRPr="00357D41">
              <w:rPr>
                <w:rFonts w:cs="Arial"/>
                <w:sz w:val="20"/>
              </w:rPr>
              <w:t>)</w:t>
            </w:r>
          </w:p>
        </w:tc>
        <w:tc>
          <w:tcPr>
            <w:tcW w:w="1755" w:type="dxa"/>
            <w:tcBorders>
              <w:top w:val="nil"/>
              <w:bottom w:val="nil"/>
            </w:tcBorders>
            <w:vAlign w:val="bottom"/>
          </w:tcPr>
          <w:p w14:paraId="48312233"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5 (1%)</w:t>
            </w:r>
          </w:p>
        </w:tc>
        <w:tc>
          <w:tcPr>
            <w:tcW w:w="1755" w:type="dxa"/>
            <w:tcBorders>
              <w:top w:val="nil"/>
              <w:bottom w:val="nil"/>
              <w:right w:val="single" w:sz="12" w:space="0" w:color="auto"/>
            </w:tcBorders>
            <w:vAlign w:val="bottom"/>
          </w:tcPr>
          <w:p w14:paraId="1FF9D5D2"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3 (&lt;1%)</w:t>
            </w:r>
          </w:p>
        </w:tc>
        <w:tc>
          <w:tcPr>
            <w:tcW w:w="1755" w:type="dxa"/>
            <w:tcBorders>
              <w:top w:val="nil"/>
              <w:left w:val="single" w:sz="12" w:space="0" w:color="auto"/>
              <w:bottom w:val="nil"/>
            </w:tcBorders>
            <w:vAlign w:val="bottom"/>
          </w:tcPr>
          <w:p w14:paraId="4E8CA437"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8 (2%)</w:t>
            </w:r>
          </w:p>
        </w:tc>
        <w:tc>
          <w:tcPr>
            <w:tcW w:w="1755" w:type="dxa"/>
            <w:tcBorders>
              <w:top w:val="nil"/>
              <w:bottom w:val="nil"/>
            </w:tcBorders>
            <w:vAlign w:val="bottom"/>
          </w:tcPr>
          <w:p w14:paraId="0484C466"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7 (2%)</w:t>
            </w:r>
          </w:p>
        </w:tc>
      </w:tr>
      <w:tr w:rsidR="0034449A" w:rsidRPr="00357D41" w14:paraId="678E79C7" w14:textId="77777777" w:rsidTr="0034449A">
        <w:tc>
          <w:tcPr>
            <w:tcW w:w="2988" w:type="dxa"/>
            <w:tcBorders>
              <w:top w:val="nil"/>
              <w:bottom w:val="single" w:sz="4" w:space="0" w:color="auto"/>
            </w:tcBorders>
          </w:tcPr>
          <w:p w14:paraId="6ABF2AE4" w14:textId="77777777" w:rsidR="0034449A" w:rsidRPr="00357D41" w:rsidRDefault="0034449A" w:rsidP="00FD77CB">
            <w:pPr>
              <w:pStyle w:val="tabletextNS"/>
              <w:keepNext/>
              <w:keepLines/>
              <w:spacing w:after="200" w:line="240" w:lineRule="auto"/>
              <w:ind w:left="68"/>
              <w:rPr>
                <w:rFonts w:cs="Arial"/>
                <w:sz w:val="20"/>
              </w:rPr>
            </w:pPr>
            <w:r w:rsidRPr="00357D41">
              <w:rPr>
                <w:rFonts w:cs="Arial"/>
                <w:sz w:val="20"/>
              </w:rPr>
              <w:t>Grade 4 (&lt;0.50 x 10</w:t>
            </w:r>
            <w:r w:rsidRPr="00357D41">
              <w:rPr>
                <w:rFonts w:cs="Arial"/>
                <w:sz w:val="20"/>
                <w:vertAlign w:val="superscript"/>
              </w:rPr>
              <w:t>9</w:t>
            </w:r>
            <w:r w:rsidRPr="00357D41">
              <w:rPr>
                <w:rFonts w:cs="Arial"/>
                <w:sz w:val="20"/>
              </w:rPr>
              <w:t>)</w:t>
            </w:r>
          </w:p>
        </w:tc>
        <w:tc>
          <w:tcPr>
            <w:tcW w:w="1755" w:type="dxa"/>
            <w:tcBorders>
              <w:top w:val="nil"/>
              <w:bottom w:val="single" w:sz="4" w:space="0" w:color="auto"/>
            </w:tcBorders>
            <w:vAlign w:val="bottom"/>
          </w:tcPr>
          <w:p w14:paraId="42DD6949"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3 (&lt;1%)</w:t>
            </w:r>
          </w:p>
        </w:tc>
        <w:tc>
          <w:tcPr>
            <w:tcW w:w="1755" w:type="dxa"/>
            <w:tcBorders>
              <w:top w:val="nil"/>
              <w:bottom w:val="single" w:sz="4" w:space="0" w:color="auto"/>
              <w:right w:val="single" w:sz="12" w:space="0" w:color="auto"/>
            </w:tcBorders>
            <w:vAlign w:val="bottom"/>
          </w:tcPr>
          <w:p w14:paraId="431CE40B"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5 (&lt;1%)</w:t>
            </w:r>
          </w:p>
        </w:tc>
        <w:tc>
          <w:tcPr>
            <w:tcW w:w="1755" w:type="dxa"/>
            <w:tcBorders>
              <w:top w:val="nil"/>
              <w:left w:val="single" w:sz="12" w:space="0" w:color="auto"/>
              <w:bottom w:val="single" w:sz="4" w:space="0" w:color="auto"/>
            </w:tcBorders>
            <w:vAlign w:val="bottom"/>
          </w:tcPr>
          <w:p w14:paraId="4665619F"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2 (&lt;1%)</w:t>
            </w:r>
          </w:p>
        </w:tc>
        <w:tc>
          <w:tcPr>
            <w:tcW w:w="1755" w:type="dxa"/>
            <w:tcBorders>
              <w:top w:val="nil"/>
              <w:bottom w:val="single" w:sz="4" w:space="0" w:color="auto"/>
            </w:tcBorders>
            <w:vAlign w:val="bottom"/>
          </w:tcPr>
          <w:p w14:paraId="3A5EF29E" w14:textId="77777777" w:rsidR="0034449A" w:rsidRPr="00357D41" w:rsidRDefault="0034449A" w:rsidP="00FD77CB">
            <w:pPr>
              <w:keepNext/>
              <w:keepLines/>
              <w:spacing w:line="240" w:lineRule="auto"/>
              <w:jc w:val="center"/>
              <w:rPr>
                <w:rFonts w:ascii="Arial Narrow" w:hAnsi="Arial Narrow"/>
                <w:sz w:val="20"/>
                <w:szCs w:val="20"/>
                <w:lang w:val="en-GB"/>
              </w:rPr>
            </w:pPr>
            <w:r w:rsidRPr="00357D41">
              <w:rPr>
                <w:rFonts w:ascii="Arial Narrow" w:hAnsi="Arial Narrow"/>
                <w:sz w:val="20"/>
                <w:szCs w:val="20"/>
                <w:lang w:val="en-GB"/>
              </w:rPr>
              <w:t>7 (2%)</w:t>
            </w:r>
          </w:p>
        </w:tc>
      </w:tr>
    </w:tbl>
    <w:p w14:paraId="5FE2B416" w14:textId="079DA663" w:rsidR="007C6789" w:rsidRDefault="0034449A" w:rsidP="00FD77CB">
      <w:pPr>
        <w:keepNext/>
        <w:keepLines/>
      </w:pPr>
      <w:r w:rsidRPr="00357D41">
        <w:rPr>
          <w:rFonts w:ascii="Arial Narrow" w:hAnsi="Arial Narrow"/>
          <w:sz w:val="20"/>
          <w:szCs w:val="20"/>
        </w:rPr>
        <w:t>ULN = Upper limit of normal.</w:t>
      </w:r>
      <w:r w:rsidR="00EC34C3" w:rsidRPr="00357D41">
        <w:rPr>
          <w:rFonts w:ascii="Arial Narrow" w:hAnsi="Arial Narrow"/>
          <w:sz w:val="20"/>
          <w:szCs w:val="20"/>
        </w:rPr>
        <w:br/>
      </w:r>
      <w:r w:rsidR="00EC34C3" w:rsidRPr="00D4563C">
        <w:br/>
        <w:t>In a multicentre, open-</w:t>
      </w:r>
      <w:r w:rsidR="00D04C3D" w:rsidRPr="00D4563C">
        <w:t xml:space="preserve">label trial (FLAMINGO), 243 subjects received </w:t>
      </w:r>
      <w:r w:rsidR="00FF0934" w:rsidRPr="00D4563C">
        <w:t>TIVICAY</w:t>
      </w:r>
      <w:r w:rsidR="00D04C3D" w:rsidRPr="00D4563C">
        <w:t xml:space="preserve"> 50 mg once daily versus 242 subjects</w:t>
      </w:r>
      <w:r w:rsidR="007A31CD" w:rsidRPr="00D4563C">
        <w:t xml:space="preserve"> who received darunavir 800 mg/</w:t>
      </w:r>
      <w:r w:rsidR="00D04C3D" w:rsidRPr="00D4563C">
        <w:t>ritonavir 100 mg once daily, both i</w:t>
      </w:r>
      <w:r w:rsidR="00EC34C3" w:rsidRPr="00D4563C">
        <w:t>n combination with investigator-</w:t>
      </w:r>
      <w:r w:rsidR="00D04C3D" w:rsidRPr="00D4563C">
        <w:t xml:space="preserve">selected NRTI background regimen (either ABC/3TC or TDF/FTC). There were 484 subjects included in the efficacy and safety analyses. Through 48 weeks, the rates of adverse events leading to discontinuation were 2% in subjects receiving </w:t>
      </w:r>
      <w:r w:rsidR="00FF0934" w:rsidRPr="00D4563C">
        <w:t>TIVICAY</w:t>
      </w:r>
      <w:r w:rsidR="00D04C3D" w:rsidRPr="00D4563C">
        <w:t xml:space="preserve"> and 4% in subjects receiving darunavir</w:t>
      </w:r>
      <w:r w:rsidR="007A31CD" w:rsidRPr="00D4563C">
        <w:t>/</w:t>
      </w:r>
      <w:r w:rsidR="00D04C3D" w:rsidRPr="00D4563C">
        <w:t>ritonavir. The ADRs observed in FLAMINGO were generally consistent with tho</w:t>
      </w:r>
      <w:r w:rsidR="007C6789">
        <w:t>se seen in SPRING-2 and SINGLE.</w:t>
      </w:r>
    </w:p>
    <w:p w14:paraId="1723A64F" w14:textId="2A997A1F" w:rsidR="007C6789" w:rsidRDefault="00D04C3D" w:rsidP="00D4563C">
      <w:r w:rsidRPr="00D4563C">
        <w:t>Laboratory abnormalities observed in the FLAMINGO trial were generally consistent with obser</w:t>
      </w:r>
      <w:r w:rsidR="007C6789">
        <w:t>vations in SPRING-2 and SINGLE.</w:t>
      </w:r>
    </w:p>
    <w:p w14:paraId="5CEECBDB" w14:textId="455C732E" w:rsidR="00F560AA" w:rsidRDefault="00C265B2" w:rsidP="00D4563C">
      <w:r w:rsidRPr="00C265B2">
        <w:lastRenderedPageBreak/>
        <w:t>In identical 148-week, randomised, double-blind, multicentre, non-inferiority studies (GEMINI-1 and GEMINI-2), 1433 subjects where treated with a two-drug regimen of dolutegravir 50 mg plus lamivudine 300 mg once daily (n=716) verses fixed dose tenofovir/emtricitabine (TDF/FTC) (n=717) (see Section 5.1 PHARMACODYNAMIC PROPERTIES, Clinical trials). Through 48 weeks, the rates of adverse events leading to discontinuation in the pooled analysis were 2% of subjects in both treatment arms. The ADRs observed for the combination of dolutegravir and lamivudine in these studies were generally consistent with the ADR profiles and severities for the individual components when administered with other antiretroviral agents</w:t>
      </w:r>
      <w:r w:rsidR="00047545">
        <w:t>.</w:t>
      </w:r>
    </w:p>
    <w:p w14:paraId="6CEE3490" w14:textId="2E04BF0E" w:rsidR="007C6789" w:rsidRDefault="00D04C3D" w:rsidP="00D4563C">
      <w:r w:rsidRPr="00D4563C">
        <w:rPr>
          <w:b/>
          <w:iCs/>
        </w:rPr>
        <w:t xml:space="preserve">Antiretroviral </w:t>
      </w:r>
      <w:r w:rsidR="006F5B92" w:rsidRPr="00D4563C">
        <w:rPr>
          <w:b/>
          <w:iCs/>
        </w:rPr>
        <w:t xml:space="preserve">experienced (and integrase inhibitor </w:t>
      </w:r>
      <w:proofErr w:type="spellStart"/>
      <w:r w:rsidR="006F5B92" w:rsidRPr="00D4563C">
        <w:rPr>
          <w:rFonts w:eastAsia="MS Mincho"/>
          <w:b/>
          <w:lang w:val="en-GB" w:eastAsia="ja-JP"/>
        </w:rPr>
        <w:t>naï</w:t>
      </w:r>
      <w:r w:rsidR="006F5B92" w:rsidRPr="00D4563C">
        <w:rPr>
          <w:b/>
          <w:iCs/>
        </w:rPr>
        <w:t>ve</w:t>
      </w:r>
      <w:proofErr w:type="spellEnd"/>
      <w:r w:rsidR="006F5B92" w:rsidRPr="00D4563C">
        <w:rPr>
          <w:b/>
          <w:iCs/>
        </w:rPr>
        <w:t>) patients</w:t>
      </w:r>
      <w:r w:rsidR="00160371">
        <w:rPr>
          <w:b/>
          <w:iCs/>
        </w:rPr>
        <w:br/>
      </w:r>
      <w:r w:rsidRPr="00D4563C">
        <w:t>In an int</w:t>
      </w:r>
      <w:r w:rsidR="00EC34C3" w:rsidRPr="00D4563C">
        <w:t>ernational, multicentre, double-</w:t>
      </w:r>
      <w:r w:rsidRPr="00D4563C">
        <w:t>blind trial</w:t>
      </w:r>
      <w:r w:rsidR="00EB75AD">
        <w:t xml:space="preserve"> SAILING (ING111762), 719 HIV-1 </w:t>
      </w:r>
      <w:r w:rsidRPr="00D4563C">
        <w:t>inf</w:t>
      </w:r>
      <w:r w:rsidR="001977C8" w:rsidRPr="00D4563C">
        <w:t>ected, antiretroviral treatment-</w:t>
      </w:r>
      <w:r w:rsidRPr="00D4563C">
        <w:t xml:space="preserve">experienced adults were randomised and received either </w:t>
      </w:r>
      <w:r w:rsidR="00FF0934" w:rsidRPr="00D4563C">
        <w:t>TIVICAY</w:t>
      </w:r>
      <w:r w:rsidRPr="00D4563C">
        <w:t xml:space="preserve"> 50 mg once daily or </w:t>
      </w:r>
      <w:proofErr w:type="spellStart"/>
      <w:r w:rsidRPr="00D4563C">
        <w:t>raltegravir</w:t>
      </w:r>
      <w:proofErr w:type="spellEnd"/>
      <w:r w:rsidRPr="00D4563C">
        <w:t xml:space="preserve"> 400 m</w:t>
      </w:r>
      <w:r w:rsidR="001977C8" w:rsidRPr="00D4563C">
        <w:t>g twice daily with investigator-</w:t>
      </w:r>
      <w:r w:rsidRPr="00D4563C">
        <w:t xml:space="preserve">selected background regimen consisting of up to 2 agents, including at least one fully active agent. At 48 weeks, the rates of discontinuation due to adverse events were 2% (7/357) in patients receiving </w:t>
      </w:r>
      <w:r w:rsidR="00FF0934" w:rsidRPr="00D4563C">
        <w:t>TIVICAY</w:t>
      </w:r>
      <w:r w:rsidRPr="00D4563C">
        <w:t xml:space="preserve"> 50 mg once daily + background regimen and 4% (13/362) in patients receiving </w:t>
      </w:r>
      <w:proofErr w:type="spellStart"/>
      <w:r w:rsidRPr="00D4563C">
        <w:t>raltegravir</w:t>
      </w:r>
      <w:proofErr w:type="spellEnd"/>
      <w:r w:rsidRPr="00D4563C">
        <w:t xml:space="preserve"> 400 mg twice daily + backgrou</w:t>
      </w:r>
      <w:r w:rsidR="00EB75AD">
        <w:t>nd regimen.</w:t>
      </w:r>
    </w:p>
    <w:p w14:paraId="096361D1" w14:textId="77777777" w:rsidR="007C6789" w:rsidRDefault="00EB75AD" w:rsidP="00D4563C">
      <w:r>
        <w:t>The only treatment-</w:t>
      </w:r>
      <w:r w:rsidR="00D04C3D" w:rsidRPr="00D4563C">
        <w:t xml:space="preserve">emergent adverse reaction (adverse event assessed as causally related by the investigators) of moderate to severe intensity with a ≥ 2% frequency in either treatment group was diarrhea, 2% (6/357) in patients receiving </w:t>
      </w:r>
      <w:r w:rsidR="00FF0934" w:rsidRPr="00D4563C">
        <w:t>TIVICAY</w:t>
      </w:r>
      <w:r w:rsidR="00D04C3D" w:rsidRPr="00D4563C">
        <w:t xml:space="preserve"> 50 mg once daily + background regimen and 1% (5/362) in patients receiving </w:t>
      </w:r>
      <w:proofErr w:type="spellStart"/>
      <w:r w:rsidR="00D04C3D" w:rsidRPr="00D4563C">
        <w:t>raltegravir</w:t>
      </w:r>
      <w:proofErr w:type="spellEnd"/>
      <w:r w:rsidR="00D04C3D" w:rsidRPr="00D4563C">
        <w:t xml:space="preserve"> 400 mg tw</w:t>
      </w:r>
      <w:r w:rsidR="007C6789">
        <w:t>ice daily + background regimen.</w:t>
      </w:r>
    </w:p>
    <w:p w14:paraId="44AC38D0" w14:textId="77777777" w:rsidR="007C6789" w:rsidRDefault="00D04C3D" w:rsidP="00D4563C">
      <w:r w:rsidRPr="00D4563C">
        <w:t>Laboratory abnormalities observed in SAILING were generally similar compared with ob</w:t>
      </w:r>
      <w:r w:rsidR="001977C8" w:rsidRPr="00D4563C">
        <w:t>servations seen in the treatment-</w:t>
      </w:r>
      <w:r w:rsidR="00E15698" w:rsidRPr="00D4563C">
        <w:t>naïve</w:t>
      </w:r>
      <w:r w:rsidR="007C6789">
        <w:t xml:space="preserve"> (SPRING-2 and SINGLE) trials.</w:t>
      </w:r>
    </w:p>
    <w:p w14:paraId="58BEC8BD" w14:textId="222FC38A" w:rsidR="007C6789" w:rsidRDefault="00D04C3D" w:rsidP="00D4563C">
      <w:r w:rsidRPr="00D4563C">
        <w:rPr>
          <w:b/>
          <w:iCs/>
        </w:rPr>
        <w:t xml:space="preserve">Integrase </w:t>
      </w:r>
      <w:r w:rsidR="006F5B92" w:rsidRPr="00D4563C">
        <w:rPr>
          <w:b/>
          <w:iCs/>
        </w:rPr>
        <w:t>inhibitor resistant patients</w:t>
      </w:r>
      <w:r w:rsidR="00160371">
        <w:rPr>
          <w:b/>
          <w:iCs/>
        </w:rPr>
        <w:br/>
      </w:r>
      <w:r w:rsidR="00F752CA" w:rsidRPr="00D4563C">
        <w:t>In a multic</w:t>
      </w:r>
      <w:r w:rsidR="007E18CE">
        <w:t>entre, open</w:t>
      </w:r>
      <w:r w:rsidR="00F752CA" w:rsidRPr="00D4563C">
        <w:t>-</w:t>
      </w:r>
      <w:r w:rsidR="007E18CE">
        <w:t>l</w:t>
      </w:r>
      <w:r w:rsidR="00F752CA" w:rsidRPr="00D4563C">
        <w:t>abel, single-</w:t>
      </w:r>
      <w:r w:rsidRPr="00D4563C">
        <w:t>arm trial VIKING-3 (ING1125</w:t>
      </w:r>
      <w:r w:rsidR="00F752CA" w:rsidRPr="00D4563C">
        <w:t>74), 183 HIV-1-</w:t>
      </w:r>
      <w:r w:rsidRPr="00D4563C">
        <w:t>inf</w:t>
      </w:r>
      <w:r w:rsidR="00F752CA" w:rsidRPr="00D4563C">
        <w:t>ected, antiretroviral treatment-</w:t>
      </w:r>
      <w:r w:rsidRPr="00D4563C">
        <w:t xml:space="preserve">experienced adults with virological failure and current or historical evidence of </w:t>
      </w:r>
      <w:proofErr w:type="spellStart"/>
      <w:r w:rsidRPr="00D4563C">
        <w:t>raltegravir</w:t>
      </w:r>
      <w:proofErr w:type="spellEnd"/>
      <w:r w:rsidRPr="00D4563C">
        <w:t xml:space="preserve"> and/or elvitegravir resistance received </w:t>
      </w:r>
      <w:r w:rsidR="00FF0934" w:rsidRPr="00D4563C">
        <w:t>TIVICAY</w:t>
      </w:r>
      <w:r w:rsidRPr="00D4563C">
        <w:t xml:space="preserve"> 50 mg twice daily with the current failing background regimen for 7 days and with optimised background therapy from </w:t>
      </w:r>
      <w:r w:rsidR="00F752CA" w:rsidRPr="00D4563C">
        <w:t xml:space="preserve">Day </w:t>
      </w:r>
      <w:r w:rsidRPr="00D4563C">
        <w:t xml:space="preserve">8. The rate of discontinuation due to adverse events was 4% of patients at </w:t>
      </w:r>
      <w:r w:rsidR="00F752CA" w:rsidRPr="00D4563C">
        <w:t xml:space="preserve">Week </w:t>
      </w:r>
      <w:r w:rsidR="007C6789">
        <w:t>48.</w:t>
      </w:r>
      <w:bookmarkStart w:id="13" w:name="_Hlk503342096"/>
    </w:p>
    <w:p w14:paraId="2A27E5A9" w14:textId="77777777" w:rsidR="007C6789" w:rsidRDefault="00EB75AD" w:rsidP="00D4563C">
      <w:r>
        <w:t>Treatment-</w:t>
      </w:r>
      <w:r w:rsidR="00D04C3D" w:rsidRPr="00D4563C">
        <w:t xml:space="preserve">emergent ADRs in VIKING-3 </w:t>
      </w:r>
      <w:bookmarkEnd w:id="13"/>
      <w:r w:rsidR="00D04C3D" w:rsidRPr="00D4563C">
        <w:t>were generally similar compared with o</w:t>
      </w:r>
      <w:r w:rsidR="00F752CA" w:rsidRPr="00D4563C">
        <w:t>bservations with the 50 mg once-</w:t>
      </w:r>
      <w:r w:rsidR="00D04C3D" w:rsidRPr="00D4563C">
        <w:t xml:space="preserve">daily dose in adult </w:t>
      </w:r>
      <w:r w:rsidR="00A80186" w:rsidRPr="00D4563C">
        <w:t xml:space="preserve">Phase </w:t>
      </w:r>
      <w:r w:rsidR="00D04C3D" w:rsidRPr="00D4563C">
        <w:t>III tri</w:t>
      </w:r>
      <w:r w:rsidR="007C6789">
        <w:t>als.</w:t>
      </w:r>
    </w:p>
    <w:p w14:paraId="57A2468E" w14:textId="77777777" w:rsidR="007C6789" w:rsidRDefault="00A80186" w:rsidP="00D4563C">
      <w:r w:rsidRPr="00D4563C">
        <w:t>The most common treatment-</w:t>
      </w:r>
      <w:r w:rsidR="00D04C3D" w:rsidRPr="00D4563C">
        <w:t>emergent labo</w:t>
      </w:r>
      <w:r w:rsidR="00EB75AD">
        <w:t>ratory abnormalities (&gt; 5% for G</w:t>
      </w:r>
      <w:r w:rsidR="00D04C3D" w:rsidRPr="00D4563C">
        <w:t xml:space="preserve">rades 2 to 4 combined) observed in VIKING-3 at </w:t>
      </w:r>
      <w:r w:rsidRPr="00D4563C">
        <w:t xml:space="preserve">Week </w:t>
      </w:r>
      <w:r w:rsidR="00D04C3D" w:rsidRPr="00D4563C">
        <w:t xml:space="preserve">48 were elevated ALT (9%), AST (8%), cholesterol (10%), creatine kinase (6%), </w:t>
      </w:r>
      <w:proofErr w:type="spellStart"/>
      <w:r w:rsidR="00D04C3D" w:rsidRPr="00D4563C">
        <w:t>hyperglycemia</w:t>
      </w:r>
      <w:proofErr w:type="spellEnd"/>
      <w:r w:rsidR="00D04C3D" w:rsidRPr="00D4563C">
        <w:t xml:space="preserve"> (14%), and lipase (10%). Two percent (4/183) of subjects had a </w:t>
      </w:r>
      <w:r w:rsidRPr="00D4563C">
        <w:t>Grade 3 to 4, treatment-</w:t>
      </w:r>
      <w:r w:rsidR="00D04C3D" w:rsidRPr="00D4563C">
        <w:t>emergent hematology laboratory abnormality, with neutropenia (2% [3/183]) bein</w:t>
      </w:r>
      <w:r w:rsidR="007C6789">
        <w:t>g the most frequently reported.</w:t>
      </w:r>
    </w:p>
    <w:p w14:paraId="5FBC2088" w14:textId="5C134DE9" w:rsidR="007C6789" w:rsidRDefault="00D04C3D" w:rsidP="00D4563C">
      <w:r w:rsidRPr="00D4563C">
        <w:rPr>
          <w:b/>
          <w:iCs/>
        </w:rPr>
        <w:t>Change</w:t>
      </w:r>
      <w:r w:rsidR="00F752CA" w:rsidRPr="00D4563C">
        <w:rPr>
          <w:b/>
          <w:iCs/>
        </w:rPr>
        <w:t xml:space="preserve">s in </w:t>
      </w:r>
      <w:r w:rsidR="006F5B92" w:rsidRPr="00D4563C">
        <w:rPr>
          <w:b/>
          <w:iCs/>
        </w:rPr>
        <w:t>clinical laboratory values</w:t>
      </w:r>
      <w:r w:rsidR="00160371">
        <w:rPr>
          <w:b/>
          <w:iCs/>
        </w:rPr>
        <w:br/>
      </w:r>
      <w:r w:rsidRPr="00D4563C">
        <w:t>Increases in serum creatinine occurred within the first week of treatment with dolutegravir and remained stable through 48 weeks. In treatment</w:t>
      </w:r>
      <w:r w:rsidR="00A80186" w:rsidRPr="00D4563C">
        <w:t>-</w:t>
      </w:r>
      <w:r w:rsidR="00E15698" w:rsidRPr="00D4563C">
        <w:t>naïve</w:t>
      </w:r>
      <w:r w:rsidRPr="00D4563C">
        <w:t xml:space="preserve"> patients a mean change from </w:t>
      </w:r>
      <w:r w:rsidRPr="00D4563C">
        <w:lastRenderedPageBreak/>
        <w:t xml:space="preserve">baseline of 9.96 </w:t>
      </w:r>
      <w:proofErr w:type="spellStart"/>
      <w:r w:rsidR="00457406">
        <w:t>μM</w:t>
      </w:r>
      <w:r w:rsidRPr="00D4563C">
        <w:t>ol</w:t>
      </w:r>
      <w:proofErr w:type="spellEnd"/>
      <w:r w:rsidRPr="00D4563C">
        <w:t xml:space="preserve">/L (range: 53 </w:t>
      </w:r>
      <w:proofErr w:type="spellStart"/>
      <w:r w:rsidR="00457406">
        <w:t>μM</w:t>
      </w:r>
      <w:r w:rsidRPr="00D4563C">
        <w:t>ol</w:t>
      </w:r>
      <w:proofErr w:type="spellEnd"/>
      <w:r w:rsidRPr="00D4563C">
        <w:t xml:space="preserve">/L to 54.8 </w:t>
      </w:r>
      <w:proofErr w:type="spellStart"/>
      <w:r w:rsidR="00457406">
        <w:t>μM</w:t>
      </w:r>
      <w:r w:rsidRPr="00D4563C">
        <w:t>ol</w:t>
      </w:r>
      <w:proofErr w:type="spellEnd"/>
      <w:r w:rsidRPr="00D4563C">
        <w:t>/L) was observed after 48 weeks of treatment. Creatinine increases were comparable by background NRTIs and were similar in treatment experienced patients. These changes are not considered to be clinically relevant since they do not reflect a change in glomerular filtration rate (GFR) (see</w:t>
      </w:r>
      <w:r w:rsidR="00A80186" w:rsidRPr="00D4563C">
        <w:t xml:space="preserve"> Section 5</w:t>
      </w:r>
      <w:r w:rsidR="008D24ED">
        <w:t>.1</w:t>
      </w:r>
      <w:r w:rsidR="00A80186" w:rsidRPr="00D4563C">
        <w:t xml:space="preserve"> </w:t>
      </w:r>
      <w:r w:rsidR="005C5B60" w:rsidRPr="00D4563C">
        <w:t>PHARMACODYNAMIC PROPERTIES</w:t>
      </w:r>
      <w:r w:rsidR="005C5B60">
        <w:t xml:space="preserve"> </w:t>
      </w:r>
      <w:r w:rsidR="00EF7F9F">
        <w:t>-</w:t>
      </w:r>
      <w:r w:rsidRPr="00D4563C">
        <w:t xml:space="preserve"> Effects on renal function).</w:t>
      </w:r>
    </w:p>
    <w:p w14:paraId="4F38F2B2" w14:textId="77777777" w:rsidR="007C6789" w:rsidRDefault="00D04C3D" w:rsidP="00D4563C">
      <w:r w:rsidRPr="00D4563C">
        <w:t xml:space="preserve">Small increases in total bilirubin (without clinical jaundice) were observed on dolutegravir and </w:t>
      </w:r>
      <w:proofErr w:type="spellStart"/>
      <w:r w:rsidRPr="00D4563C">
        <w:t>raltegravir</w:t>
      </w:r>
      <w:proofErr w:type="spellEnd"/>
      <w:r w:rsidRPr="00D4563C">
        <w:t xml:space="preserve"> (but not efavirenz) arms in the clinical trials. These changes are not considered clinically relevant as they likely reflect competition between dolutegravir and unconjugated bilirubin for a common clearance pathway, uridine diphosphate gl</w:t>
      </w:r>
      <w:r w:rsidR="007C6789">
        <w:t>ucuronosyltransferase (UGT1A1).</w:t>
      </w:r>
    </w:p>
    <w:p w14:paraId="56C38914" w14:textId="77777777" w:rsidR="007C6789" w:rsidRDefault="00D04C3D" w:rsidP="00D4563C">
      <w:r w:rsidRPr="00D4563C">
        <w:t>Asymptomatic creatine phosphokinase (CPK) elevations mainly in association with exercise have also been repo</w:t>
      </w:r>
      <w:r w:rsidR="007C6789">
        <w:t>rted with dolutegravir therapy.</w:t>
      </w:r>
    </w:p>
    <w:p w14:paraId="7ECDCB4B" w14:textId="6C925480" w:rsidR="007C6789" w:rsidRDefault="00D04C3D" w:rsidP="00160371">
      <w:r w:rsidRPr="00D4563C">
        <w:rPr>
          <w:b/>
          <w:bCs/>
          <w:iCs/>
        </w:rPr>
        <w:t xml:space="preserve">Less </w:t>
      </w:r>
      <w:r w:rsidR="006F5B92" w:rsidRPr="00D4563C">
        <w:rPr>
          <w:b/>
          <w:bCs/>
          <w:iCs/>
        </w:rPr>
        <w:t xml:space="preserve">common adverse reactions observed in treatment naïve and </w:t>
      </w:r>
      <w:r w:rsidR="006F5B92">
        <w:rPr>
          <w:b/>
          <w:bCs/>
          <w:iCs/>
        </w:rPr>
        <w:t>treatment-</w:t>
      </w:r>
      <w:r w:rsidR="006F5B92" w:rsidRPr="00D4563C">
        <w:rPr>
          <w:b/>
          <w:bCs/>
          <w:iCs/>
        </w:rPr>
        <w:t>experienced trials</w:t>
      </w:r>
      <w:r w:rsidR="00160371">
        <w:rPr>
          <w:b/>
          <w:bCs/>
          <w:iCs/>
        </w:rPr>
        <w:br/>
      </w:r>
      <w:r w:rsidRPr="00D4563C">
        <w:t>The following adverse reactions occurred in &lt; 2% of treatment</w:t>
      </w:r>
      <w:r w:rsidR="006255BF" w:rsidRPr="00D4563C">
        <w:t>-</w:t>
      </w:r>
      <w:r w:rsidR="00E15698" w:rsidRPr="00D4563C">
        <w:t>naïve</w:t>
      </w:r>
      <w:r w:rsidR="006255BF" w:rsidRPr="00D4563C">
        <w:t xml:space="preserve"> or treatment-</w:t>
      </w:r>
      <w:r w:rsidRPr="00D4563C">
        <w:t xml:space="preserve">experienced patients in any one trial receiving </w:t>
      </w:r>
      <w:r w:rsidR="00FF0934" w:rsidRPr="00D4563C">
        <w:t>TIVICAY</w:t>
      </w:r>
      <w:r w:rsidRPr="00D4563C">
        <w:t xml:space="preserve"> in a combination regimen. These events have been included because of their seriousness and assessment of</w:t>
      </w:r>
      <w:r w:rsidR="007C6789">
        <w:t xml:space="preserve"> potential causal relationship.</w:t>
      </w:r>
    </w:p>
    <w:p w14:paraId="37FCF8A1" w14:textId="1429E086" w:rsidR="007C6789" w:rsidRDefault="00A80186" w:rsidP="00357D41">
      <w:pPr>
        <w:spacing w:after="120"/>
      </w:pPr>
      <w:r w:rsidRPr="00D4563C">
        <w:rPr>
          <w:i/>
          <w:iCs/>
        </w:rPr>
        <w:t xml:space="preserve">Gastrointestinal </w:t>
      </w:r>
      <w:r w:rsidR="00160371">
        <w:rPr>
          <w:i/>
          <w:iCs/>
        </w:rPr>
        <w:t>d</w:t>
      </w:r>
      <w:r w:rsidRPr="00D4563C">
        <w:rPr>
          <w:i/>
          <w:iCs/>
        </w:rPr>
        <w:t xml:space="preserve">isorders: </w:t>
      </w:r>
      <w:r w:rsidR="00D04C3D" w:rsidRPr="00D4563C">
        <w:t xml:space="preserve">Abdominal pain, abdominal discomfort, flatulence, </w:t>
      </w:r>
      <w:r w:rsidR="007C6789">
        <w:t>upper abdominal pain, vomiting.</w:t>
      </w:r>
    </w:p>
    <w:p w14:paraId="7EDB000B" w14:textId="626AEA4E" w:rsidR="007C6789" w:rsidRDefault="00A80186" w:rsidP="00357D41">
      <w:pPr>
        <w:spacing w:after="120"/>
      </w:pPr>
      <w:r w:rsidRPr="00D4563C">
        <w:rPr>
          <w:i/>
          <w:iCs/>
        </w:rPr>
        <w:t xml:space="preserve">General </w:t>
      </w:r>
      <w:r w:rsidR="00160371">
        <w:rPr>
          <w:i/>
          <w:iCs/>
        </w:rPr>
        <w:t>d</w:t>
      </w:r>
      <w:r w:rsidRPr="00D4563C">
        <w:rPr>
          <w:i/>
          <w:iCs/>
        </w:rPr>
        <w:t xml:space="preserve">isorders: </w:t>
      </w:r>
      <w:r w:rsidR="007C6789">
        <w:t>Fatigue.</w:t>
      </w:r>
    </w:p>
    <w:p w14:paraId="329D91BE" w14:textId="0D9EF110" w:rsidR="007C6789" w:rsidRDefault="00A80186" w:rsidP="00357D41">
      <w:pPr>
        <w:spacing w:after="120"/>
      </w:pPr>
      <w:r w:rsidRPr="00D4563C">
        <w:rPr>
          <w:i/>
          <w:iCs/>
        </w:rPr>
        <w:t xml:space="preserve">Hepatobiliary </w:t>
      </w:r>
      <w:r w:rsidR="00160371">
        <w:rPr>
          <w:i/>
          <w:iCs/>
        </w:rPr>
        <w:t>d</w:t>
      </w:r>
      <w:r w:rsidRPr="00D4563C">
        <w:rPr>
          <w:i/>
          <w:iCs/>
        </w:rPr>
        <w:t xml:space="preserve">isorders: </w:t>
      </w:r>
      <w:r w:rsidR="007C6789">
        <w:t>Hepatitis.</w:t>
      </w:r>
    </w:p>
    <w:p w14:paraId="61ED07A7" w14:textId="042E5481" w:rsidR="007C6789" w:rsidRDefault="00A80186" w:rsidP="00357D41">
      <w:pPr>
        <w:spacing w:after="120"/>
      </w:pPr>
      <w:r w:rsidRPr="00D4563C">
        <w:rPr>
          <w:i/>
          <w:iCs/>
        </w:rPr>
        <w:t xml:space="preserve">Psychiatric </w:t>
      </w:r>
      <w:r w:rsidR="00160371">
        <w:rPr>
          <w:i/>
          <w:iCs/>
        </w:rPr>
        <w:t>d</w:t>
      </w:r>
      <w:r w:rsidRPr="00D4563C">
        <w:rPr>
          <w:i/>
          <w:iCs/>
        </w:rPr>
        <w:t xml:space="preserve">isorders: </w:t>
      </w:r>
      <w:r w:rsidR="00D04C3D" w:rsidRPr="00D4563C">
        <w:t xml:space="preserve">Suicidal ideation, attempt, </w:t>
      </w:r>
      <w:proofErr w:type="spellStart"/>
      <w:r w:rsidR="00D04C3D" w:rsidRPr="00D4563C">
        <w:t>behavior</w:t>
      </w:r>
      <w:proofErr w:type="spellEnd"/>
      <w:r w:rsidR="00D04C3D" w:rsidRPr="00D4563C">
        <w:t>, or completion. These events were observed primarily in subjects with a pre-existing history of depressio</w:t>
      </w:r>
      <w:r w:rsidR="007C6789">
        <w:t>n or other psychiatric illness.</w:t>
      </w:r>
    </w:p>
    <w:p w14:paraId="5D4B8581" w14:textId="25C1692F" w:rsidR="007C6789" w:rsidRDefault="00A80186" w:rsidP="00357D41">
      <w:pPr>
        <w:spacing w:after="120"/>
      </w:pPr>
      <w:r w:rsidRPr="00D4563C">
        <w:rPr>
          <w:i/>
          <w:iCs/>
        </w:rPr>
        <w:t xml:space="preserve">Immune </w:t>
      </w:r>
      <w:r w:rsidR="00160371">
        <w:rPr>
          <w:i/>
          <w:iCs/>
        </w:rPr>
        <w:t>s</w:t>
      </w:r>
      <w:r w:rsidRPr="00D4563C">
        <w:rPr>
          <w:i/>
          <w:iCs/>
        </w:rPr>
        <w:t xml:space="preserve">ystem </w:t>
      </w:r>
      <w:r w:rsidR="00160371">
        <w:rPr>
          <w:i/>
          <w:iCs/>
        </w:rPr>
        <w:t>d</w:t>
      </w:r>
      <w:r w:rsidRPr="00D4563C">
        <w:rPr>
          <w:i/>
          <w:iCs/>
        </w:rPr>
        <w:t xml:space="preserve">isorders: </w:t>
      </w:r>
      <w:r w:rsidR="00D04C3D" w:rsidRPr="00D4563C">
        <w:t xml:space="preserve">Hypersensitivity, </w:t>
      </w:r>
      <w:r w:rsidR="007C6789">
        <w:t>immune reconstitution syndrome.</w:t>
      </w:r>
    </w:p>
    <w:p w14:paraId="354D9F06" w14:textId="6DFE5C60" w:rsidR="007C6789" w:rsidRDefault="00D04C3D" w:rsidP="00357D41">
      <w:pPr>
        <w:spacing w:after="120"/>
      </w:pPr>
      <w:r w:rsidRPr="00D4563C">
        <w:rPr>
          <w:i/>
          <w:iCs/>
        </w:rPr>
        <w:t xml:space="preserve">Skin and </w:t>
      </w:r>
      <w:r w:rsidR="00160371">
        <w:rPr>
          <w:i/>
          <w:iCs/>
        </w:rPr>
        <w:t>s</w:t>
      </w:r>
      <w:r w:rsidR="00A80186" w:rsidRPr="00D4563C">
        <w:rPr>
          <w:i/>
          <w:iCs/>
        </w:rPr>
        <w:t xml:space="preserve">ubcutaneous </w:t>
      </w:r>
      <w:r w:rsidR="00160371">
        <w:rPr>
          <w:i/>
          <w:iCs/>
        </w:rPr>
        <w:t>t</w:t>
      </w:r>
      <w:r w:rsidR="00A80186" w:rsidRPr="00D4563C">
        <w:rPr>
          <w:i/>
          <w:iCs/>
        </w:rPr>
        <w:t xml:space="preserve">issue </w:t>
      </w:r>
      <w:r w:rsidR="00160371">
        <w:rPr>
          <w:i/>
          <w:iCs/>
        </w:rPr>
        <w:t>d</w:t>
      </w:r>
      <w:r w:rsidR="00A80186" w:rsidRPr="00D4563C">
        <w:rPr>
          <w:i/>
          <w:iCs/>
        </w:rPr>
        <w:t xml:space="preserve">isorders: </w:t>
      </w:r>
      <w:r w:rsidR="007C6789">
        <w:t>Pruritus.</w:t>
      </w:r>
    </w:p>
    <w:p w14:paraId="7DDA7800" w14:textId="129F7AE7" w:rsidR="007C6789" w:rsidRDefault="00D04C3D" w:rsidP="00357D41">
      <w:pPr>
        <w:spacing w:after="120"/>
      </w:pPr>
      <w:r w:rsidRPr="00D4563C">
        <w:rPr>
          <w:b/>
          <w:bCs/>
        </w:rPr>
        <w:t>Paediatric population</w:t>
      </w:r>
      <w:r w:rsidRPr="00D4563C">
        <w:br/>
        <w:t xml:space="preserve">Based on data </w:t>
      </w:r>
      <w:r w:rsidR="00C3400E" w:rsidRPr="00C3400E">
        <w:t xml:space="preserve">from the ongoing P1093 (ING112578) and ODYSSEY (201296) studies </w:t>
      </w:r>
      <w:r w:rsidRPr="00D4563C">
        <w:t>in children and adolescents (</w:t>
      </w:r>
      <w:r w:rsidR="00C3400E" w:rsidRPr="00C3400E">
        <w:t>aged at least 4 weeks to less than 18 years, and weighing at least 3 kg</w:t>
      </w:r>
      <w:r w:rsidRPr="00D4563C">
        <w:t>)</w:t>
      </w:r>
      <w:r w:rsidR="00C3400E">
        <w:t xml:space="preserve"> </w:t>
      </w:r>
      <w:r w:rsidR="00C3400E" w:rsidRPr="00C3400E">
        <w:t>who received the recommended doses of either film-coated tablets or dispersible tablets once daily</w:t>
      </w:r>
      <w:r w:rsidRPr="00D4563C">
        <w:t>, there were no additional types of adverse reactions beyond those ob</w:t>
      </w:r>
      <w:r w:rsidR="007C6789">
        <w:t>served in the adult population.</w:t>
      </w:r>
    </w:p>
    <w:p w14:paraId="413A9B80" w14:textId="6080DD35" w:rsidR="007C6789" w:rsidRDefault="00D04C3D" w:rsidP="00D4563C">
      <w:r w:rsidRPr="00D4563C">
        <w:rPr>
          <w:b/>
          <w:bCs/>
        </w:rPr>
        <w:t>Co</w:t>
      </w:r>
      <w:r w:rsidR="00EC2A52" w:rsidRPr="00D4563C">
        <w:rPr>
          <w:b/>
          <w:bCs/>
        </w:rPr>
        <w:t>-</w:t>
      </w:r>
      <w:r w:rsidRPr="00D4563C">
        <w:rPr>
          <w:b/>
          <w:bCs/>
        </w:rPr>
        <w:t xml:space="preserve">infection with </w:t>
      </w:r>
      <w:r w:rsidR="006255BF" w:rsidRPr="00D4563C">
        <w:rPr>
          <w:b/>
          <w:bCs/>
        </w:rPr>
        <w:t xml:space="preserve">Hepatitis </w:t>
      </w:r>
      <w:r w:rsidRPr="00D4563C">
        <w:rPr>
          <w:b/>
          <w:bCs/>
        </w:rPr>
        <w:t>B or C</w:t>
      </w:r>
      <w:r w:rsidRPr="00D4563C">
        <w:br/>
        <w:t xml:space="preserve">In </w:t>
      </w:r>
      <w:r w:rsidR="006255BF" w:rsidRPr="00D4563C">
        <w:t xml:space="preserve">Phase </w:t>
      </w:r>
      <w:r w:rsidRPr="00D4563C">
        <w:t>III studies, patients with hepatitis B and/or C co</w:t>
      </w:r>
      <w:r w:rsidR="006255BF" w:rsidRPr="00D4563C">
        <w:t>-</w:t>
      </w:r>
      <w:r w:rsidRPr="00D4563C">
        <w:t xml:space="preserve">infection were permitted to enrol </w:t>
      </w:r>
      <w:proofErr w:type="gramStart"/>
      <w:r w:rsidRPr="00D4563C">
        <w:t>provided that</w:t>
      </w:r>
      <w:proofErr w:type="gramEnd"/>
      <w:r w:rsidRPr="00D4563C">
        <w:t xml:space="preserve"> baseline liver chemistry tests did not exceed 5 times the upper limit of normal (ULN). Overall, the safety profile in patients co</w:t>
      </w:r>
      <w:r w:rsidR="00EB75AD">
        <w:t>-</w:t>
      </w:r>
      <w:r w:rsidRPr="00D4563C">
        <w:t>infected with hepatitis B and/or C was similar to that observed in patients without hepatitis B or C co</w:t>
      </w:r>
      <w:r w:rsidR="006255BF" w:rsidRPr="00D4563C">
        <w:t>-</w:t>
      </w:r>
      <w:r w:rsidRPr="00D4563C">
        <w:t>infection, although the rates of AST and ALT abnormalities were higher in the subgroup with hepatitis B and/or C co</w:t>
      </w:r>
      <w:r w:rsidR="006255BF" w:rsidRPr="00D4563C">
        <w:t>-</w:t>
      </w:r>
      <w:r w:rsidRPr="00D4563C">
        <w:t xml:space="preserve">infection for all treatment groups. Liver chemistry elevations consistent with immune reconstitution </w:t>
      </w:r>
      <w:r w:rsidRPr="00D4563C">
        <w:lastRenderedPageBreak/>
        <w:t>syndrome were observed in some patients with hepatitis B and/or C co</w:t>
      </w:r>
      <w:r w:rsidR="006255BF" w:rsidRPr="00D4563C">
        <w:t>-</w:t>
      </w:r>
      <w:r w:rsidRPr="00D4563C">
        <w:t xml:space="preserve">infection at the start of </w:t>
      </w:r>
      <w:r w:rsidR="00FF0934" w:rsidRPr="00D4563C">
        <w:t>TIVICAY</w:t>
      </w:r>
      <w:r w:rsidRPr="00D4563C">
        <w:t xml:space="preserve"> therapy, particularly in those whose anti</w:t>
      </w:r>
      <w:r w:rsidR="006255BF" w:rsidRPr="00D4563C">
        <w:t>-</w:t>
      </w:r>
      <w:r w:rsidRPr="00D4563C">
        <w:t>hepatit</w:t>
      </w:r>
      <w:r w:rsidR="006255BF" w:rsidRPr="00D4563C">
        <w:t xml:space="preserve">is B therapy was withdrawn (see Section 4.4 </w:t>
      </w:r>
      <w:r w:rsidR="005C5B60" w:rsidRPr="00D4563C">
        <w:t>SPECIAL WARNINGS AND PRECAUTIONS FOR USE</w:t>
      </w:r>
      <w:r w:rsidR="007C6789">
        <w:t>).</w:t>
      </w:r>
    </w:p>
    <w:p w14:paraId="006C4EF4" w14:textId="77777777" w:rsidR="006255BF" w:rsidRPr="00D4563C" w:rsidRDefault="00D04C3D" w:rsidP="00357D41">
      <w:pPr>
        <w:spacing w:after="120"/>
        <w:rPr>
          <w:i/>
          <w:iCs/>
        </w:rPr>
      </w:pPr>
      <w:r w:rsidRPr="00D4563C">
        <w:rPr>
          <w:b/>
          <w:bCs/>
        </w:rPr>
        <w:t>Post</w:t>
      </w:r>
      <w:r w:rsidR="006255BF" w:rsidRPr="00D4563C">
        <w:rPr>
          <w:b/>
          <w:bCs/>
        </w:rPr>
        <w:t xml:space="preserve"> </w:t>
      </w:r>
      <w:r w:rsidRPr="00D4563C">
        <w:rPr>
          <w:b/>
          <w:bCs/>
        </w:rPr>
        <w:t>marketing data</w:t>
      </w:r>
      <w:r w:rsidRPr="00D4563C">
        <w:br/>
      </w:r>
      <w:r w:rsidRPr="00D4563C">
        <w:rPr>
          <w:i/>
          <w:iCs/>
        </w:rPr>
        <w:t>Musculoskeletal an</w:t>
      </w:r>
      <w:r w:rsidR="006255BF" w:rsidRPr="00D4563C">
        <w:rPr>
          <w:i/>
          <w:iCs/>
        </w:rPr>
        <w:t>d connective tissue disorders</w:t>
      </w:r>
    </w:p>
    <w:p w14:paraId="561D84C3" w14:textId="77777777" w:rsidR="007C6789" w:rsidRDefault="006255BF" w:rsidP="00357D41">
      <w:pPr>
        <w:spacing w:after="120"/>
      </w:pPr>
      <w:r w:rsidRPr="00D4563C">
        <w:t>Uncommon: arthralgia, myalgia</w:t>
      </w:r>
    </w:p>
    <w:p w14:paraId="457B076E" w14:textId="77777777" w:rsidR="006255BF" w:rsidRPr="00D4563C" w:rsidRDefault="006255BF" w:rsidP="00357D41">
      <w:pPr>
        <w:spacing w:after="120"/>
        <w:rPr>
          <w:i/>
          <w:iCs/>
        </w:rPr>
      </w:pPr>
      <w:r w:rsidRPr="00D4563C">
        <w:rPr>
          <w:i/>
          <w:iCs/>
        </w:rPr>
        <w:t>Psychiatric disorders</w:t>
      </w:r>
    </w:p>
    <w:p w14:paraId="1BD8DD0E" w14:textId="7018D4AF" w:rsidR="00ED65A6" w:rsidRDefault="006255BF" w:rsidP="00357D41">
      <w:pPr>
        <w:spacing w:after="120"/>
      </w:pPr>
      <w:r w:rsidRPr="00D4563C">
        <w:t>Common: anxiety</w:t>
      </w:r>
    </w:p>
    <w:p w14:paraId="03A44413" w14:textId="3724AF4A" w:rsidR="00042DAE" w:rsidRPr="00DA6660" w:rsidRDefault="00042DAE" w:rsidP="00357D41">
      <w:pPr>
        <w:spacing w:after="120"/>
        <w:rPr>
          <w:i/>
        </w:rPr>
      </w:pPr>
      <w:r w:rsidRPr="00DA6660">
        <w:rPr>
          <w:i/>
        </w:rPr>
        <w:t>Investigations</w:t>
      </w:r>
    </w:p>
    <w:p w14:paraId="34E47C0A" w14:textId="65F51312" w:rsidR="00042DAE" w:rsidRDefault="008128E0" w:rsidP="00357D41">
      <w:pPr>
        <w:spacing w:after="120"/>
      </w:pPr>
      <w:r>
        <w:t>Uncommon: w</w:t>
      </w:r>
      <w:r w:rsidR="00042DAE">
        <w:t>eight increased</w:t>
      </w:r>
    </w:p>
    <w:p w14:paraId="05E98EA8" w14:textId="4987ECB7" w:rsidR="00D46087" w:rsidRDefault="00972F68" w:rsidP="00357D41">
      <w:pPr>
        <w:spacing w:after="120"/>
        <w:rPr>
          <w:i/>
        </w:rPr>
      </w:pPr>
      <w:r w:rsidRPr="005A68C7">
        <w:rPr>
          <w:i/>
        </w:rPr>
        <w:t>Hepatobiliary disorders</w:t>
      </w:r>
    </w:p>
    <w:p w14:paraId="7E910F0E" w14:textId="26B16102" w:rsidR="00972F68" w:rsidRDefault="00972F68" w:rsidP="00357D41">
      <w:pPr>
        <w:spacing w:after="120"/>
      </w:pPr>
      <w:r>
        <w:t>Rare: acute hepatic failure*</w:t>
      </w:r>
    </w:p>
    <w:p w14:paraId="7DE36031" w14:textId="02DA4D95" w:rsidR="00972F68" w:rsidRPr="00972F68" w:rsidRDefault="00972F68" w:rsidP="00357D41">
      <w:pPr>
        <w:spacing w:after="120"/>
      </w:pPr>
      <w:r>
        <w:t>*Acute hepatic failure has been reported in a dolutegravir-containing regimen. The contribution of dolutegravir in these cases is unclear.</w:t>
      </w:r>
    </w:p>
    <w:p w14:paraId="33878949" w14:textId="77777777" w:rsidR="00D46087" w:rsidRPr="00D23393" w:rsidRDefault="00D46087" w:rsidP="00D46087">
      <w:pPr>
        <w:spacing w:after="120"/>
        <w:rPr>
          <w:b/>
          <w:bCs/>
        </w:rPr>
      </w:pPr>
      <w:r w:rsidRPr="00D23393">
        <w:rPr>
          <w:b/>
          <w:bCs/>
        </w:rPr>
        <w:t>Reporting suspected adverse effects</w:t>
      </w:r>
    </w:p>
    <w:p w14:paraId="69A5309C" w14:textId="680C7D5F" w:rsidR="004E368B" w:rsidRPr="00D4563C" w:rsidRDefault="004E368B" w:rsidP="00D4563C">
      <w:r w:rsidRPr="00D4563C">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14:paraId="0146B84D" w14:textId="77777777" w:rsidR="00ED65A6" w:rsidRPr="00D4563C" w:rsidRDefault="00D04C3D" w:rsidP="00D4563C">
      <w:pPr>
        <w:pStyle w:val="Heading2"/>
      </w:pPr>
      <w:r w:rsidRPr="00D4563C">
        <w:t>Overdose</w:t>
      </w:r>
    </w:p>
    <w:p w14:paraId="11191D78" w14:textId="1670229C" w:rsidR="007C6789" w:rsidRDefault="00D04C3D" w:rsidP="00D4563C">
      <w:r w:rsidRPr="00D4563C">
        <w:rPr>
          <w:b/>
          <w:bCs/>
        </w:rPr>
        <w:t xml:space="preserve">Symptoms and </w:t>
      </w:r>
      <w:r w:rsidR="006F5B92">
        <w:rPr>
          <w:b/>
          <w:bCs/>
        </w:rPr>
        <w:t>s</w:t>
      </w:r>
      <w:r w:rsidR="006255BF" w:rsidRPr="00D4563C">
        <w:rPr>
          <w:b/>
          <w:bCs/>
        </w:rPr>
        <w:t>igns</w:t>
      </w:r>
      <w:r w:rsidRPr="00D4563C">
        <w:br/>
        <w:t xml:space="preserve">There </w:t>
      </w:r>
      <w:proofErr w:type="gramStart"/>
      <w:r w:rsidRPr="00D4563C">
        <w:t>is</w:t>
      </w:r>
      <w:proofErr w:type="gramEnd"/>
      <w:r w:rsidRPr="00D4563C">
        <w:t xml:space="preserve"> currently limited experience with overdosage in </w:t>
      </w:r>
      <w:r w:rsidR="00FF0934" w:rsidRPr="00D4563C">
        <w:t>TIVICAY</w:t>
      </w:r>
      <w:r w:rsidR="00F82EF2">
        <w:t xml:space="preserve"> and TIVICAY PD</w:t>
      </w:r>
      <w:r w:rsidR="007C6789">
        <w:t>.</w:t>
      </w:r>
    </w:p>
    <w:p w14:paraId="0B8C409E" w14:textId="7EA4DE37" w:rsidR="007C6789" w:rsidRDefault="00D04C3D" w:rsidP="00D4563C">
      <w:r w:rsidRPr="00D4563C">
        <w:t xml:space="preserve">Limited experience of single higher doses (up to 250 mg </w:t>
      </w:r>
      <w:r w:rsidR="00C3400E">
        <w:t xml:space="preserve">film-coated tablets </w:t>
      </w:r>
      <w:r w:rsidRPr="00D4563C">
        <w:t>in healthy patients) revealed no specific symptoms or signs, apart from tho</w:t>
      </w:r>
      <w:r w:rsidR="007C6789">
        <w:t>se listed as adverse reactions.</w:t>
      </w:r>
    </w:p>
    <w:p w14:paraId="1E9798F9" w14:textId="77777777" w:rsidR="007C6789" w:rsidRDefault="00D04C3D" w:rsidP="00D4563C">
      <w:r w:rsidRPr="00D4563C">
        <w:rPr>
          <w:b/>
          <w:bCs/>
        </w:rPr>
        <w:t>Treatment</w:t>
      </w:r>
      <w:r w:rsidRPr="00D4563C">
        <w:br/>
        <w:t>Further management should be as clinically indicated or as recommended by the national p</w:t>
      </w:r>
      <w:r w:rsidR="007C6789">
        <w:t>oisons centre, where available.</w:t>
      </w:r>
    </w:p>
    <w:p w14:paraId="38D440B1" w14:textId="678C1DF8" w:rsidR="007C6789" w:rsidRDefault="00D04C3D" w:rsidP="00D4563C">
      <w:r w:rsidRPr="00D4563C">
        <w:t xml:space="preserve">There is no specific treatment for an overdose of </w:t>
      </w:r>
      <w:r w:rsidR="00FF0934" w:rsidRPr="00D4563C">
        <w:t>TIVICAY</w:t>
      </w:r>
      <w:r w:rsidR="00F82EF2">
        <w:t>/TIVICAY PD</w:t>
      </w:r>
      <w:r w:rsidRPr="00D4563C">
        <w:t xml:space="preserve">. If overdose occurs, the patient should be treated supportively with appropriate monitoring as necessary. As </w:t>
      </w:r>
      <w:r w:rsidR="00F82EF2">
        <w:t>dolutegravir</w:t>
      </w:r>
      <w:r w:rsidR="00F82EF2" w:rsidRPr="00D4563C">
        <w:t xml:space="preserve"> </w:t>
      </w:r>
      <w:r w:rsidRPr="00D4563C">
        <w:t>is highly bound to plasma proteins, it is unlikely that it will be sig</w:t>
      </w:r>
      <w:r w:rsidR="007C6789">
        <w:t>nificantly removed by dialysis.</w:t>
      </w:r>
    </w:p>
    <w:p w14:paraId="41C29949" w14:textId="77777777" w:rsidR="00ED65A6" w:rsidRPr="00D4563C" w:rsidRDefault="00D04C3D" w:rsidP="00D4563C">
      <w:r w:rsidRPr="00D4563C">
        <w:t>For information on the management of overdose, contact the Po</w:t>
      </w:r>
      <w:r w:rsidR="00EB75AD">
        <w:t>isons Information Centre on 131</w:t>
      </w:r>
      <w:r w:rsidRPr="00D4563C">
        <w:t>126 (Australia).</w:t>
      </w:r>
    </w:p>
    <w:p w14:paraId="617F528B" w14:textId="77777777" w:rsidR="00ED65A6" w:rsidRPr="00D4563C" w:rsidRDefault="00D04C3D" w:rsidP="00D4563C">
      <w:pPr>
        <w:pStyle w:val="Heading1"/>
        <w:rPr>
          <w:lang w:val="en-US"/>
        </w:rPr>
      </w:pPr>
      <w:r w:rsidRPr="00D4563C">
        <w:rPr>
          <w:lang w:val="en-US"/>
        </w:rPr>
        <w:lastRenderedPageBreak/>
        <w:t>Pharmacological properties</w:t>
      </w:r>
    </w:p>
    <w:p w14:paraId="6C8E9435" w14:textId="77777777" w:rsidR="00ED65A6" w:rsidRPr="00D4563C" w:rsidRDefault="00D04C3D" w:rsidP="00D4563C">
      <w:pPr>
        <w:pStyle w:val="Heading2"/>
        <w:rPr>
          <w:lang w:val="en-US"/>
        </w:rPr>
      </w:pPr>
      <w:r w:rsidRPr="00D4563C">
        <w:rPr>
          <w:lang w:val="en-US"/>
        </w:rPr>
        <w:t xml:space="preserve">Pharmacodynamic properties </w:t>
      </w:r>
    </w:p>
    <w:p w14:paraId="34D89CCE" w14:textId="0AC5EA3F" w:rsidR="00ED65A6" w:rsidRPr="00D4563C" w:rsidRDefault="00D04C3D" w:rsidP="00D4563C">
      <w:pPr>
        <w:pStyle w:val="Heading3"/>
      </w:pPr>
      <w:r w:rsidRPr="00D4563C">
        <w:t xml:space="preserve">Mechanism of </w:t>
      </w:r>
      <w:r w:rsidR="00000D76">
        <w:t>a</w:t>
      </w:r>
      <w:r w:rsidR="00FF0934" w:rsidRPr="00D4563C">
        <w:t>ction</w:t>
      </w:r>
    </w:p>
    <w:p w14:paraId="750465DF" w14:textId="3866BCA1" w:rsidR="007C6789" w:rsidRDefault="00340AF6" w:rsidP="00D4563C">
      <w:r w:rsidRPr="00D4563C">
        <w:t xml:space="preserve">TIVICAY film-coated tablets </w:t>
      </w:r>
      <w:r w:rsidR="00F82EF2">
        <w:t xml:space="preserve">and TIVICAY PD dispersible tablets </w:t>
      </w:r>
      <w:r w:rsidRPr="00D4563C">
        <w:t>contain dolutegravir (as dolutegravir sodium) which is an integrase inhibitor active against Human</w:t>
      </w:r>
      <w:r w:rsidR="007C6789">
        <w:t xml:space="preserve"> Immunodeficiency Virus (HIV).</w:t>
      </w:r>
    </w:p>
    <w:p w14:paraId="44C51073" w14:textId="7DD30F0E" w:rsidR="00ED65A6" w:rsidRDefault="00D04C3D" w:rsidP="00D4563C">
      <w:r w:rsidRPr="00D4563C">
        <w:t xml:space="preserve">Dolutegravir inhibits HIV integrase by binding to the integrase active site and blocking the strand transfer step of retroviral </w:t>
      </w:r>
      <w:r w:rsidR="004C6569" w:rsidRPr="00D4563C">
        <w:t>D</w:t>
      </w:r>
      <w:r w:rsidRPr="00D4563C">
        <w:t>eoxyribonucleic acid (DNA) integration which is essential for the HIV replication cycle. Strand transfer biochemical assays using purified HIV-1 integrase and pre</w:t>
      </w:r>
      <w:r w:rsidR="00A57F03" w:rsidRPr="00D4563C">
        <w:t>-</w:t>
      </w:r>
      <w:r w:rsidRPr="00D4563C">
        <w:t>processed substrate DNA resulted in IC</w:t>
      </w:r>
      <w:r w:rsidRPr="00D4563C">
        <w:rPr>
          <w:vertAlign w:val="subscript"/>
        </w:rPr>
        <w:t>50</w:t>
      </w:r>
      <w:r w:rsidRPr="00D4563C">
        <w:t xml:space="preserve"> values of 2.7</w:t>
      </w:r>
      <w:r w:rsidR="00D12037" w:rsidRPr="00D4563C">
        <w:t xml:space="preserve"> </w:t>
      </w:r>
      <w:proofErr w:type="spellStart"/>
      <w:r w:rsidR="00CC754E" w:rsidRPr="00D4563C">
        <w:t>nM</w:t>
      </w:r>
      <w:proofErr w:type="spellEnd"/>
      <w:r w:rsidRPr="00D4563C">
        <w:t xml:space="preserve"> and 12.6</w:t>
      </w:r>
      <w:r w:rsidR="00D12037" w:rsidRPr="00D4563C">
        <w:t xml:space="preserve"> </w:t>
      </w:r>
      <w:proofErr w:type="spellStart"/>
      <w:r w:rsidR="00CC754E" w:rsidRPr="00D4563C">
        <w:t>nM</w:t>
      </w:r>
      <w:r w:rsidRPr="00D4563C">
        <w:t>.</w:t>
      </w:r>
      <w:proofErr w:type="spellEnd"/>
      <w:r w:rsidRPr="00D4563C">
        <w:t xml:space="preserve"> </w:t>
      </w:r>
      <w:r w:rsidRPr="00D4563C">
        <w:rPr>
          <w:i/>
          <w:iCs/>
        </w:rPr>
        <w:t>In vitro,</w:t>
      </w:r>
      <w:r w:rsidRPr="00D4563C">
        <w:t xml:space="preserve"> dolutegravir dissociates slowly from the active </w:t>
      </w:r>
      <w:r w:rsidR="006636DF">
        <w:t>site of the wild type integrase-</w:t>
      </w:r>
      <w:r w:rsidRPr="00D4563C">
        <w:t>DNA complex (t</w:t>
      </w:r>
      <w:r w:rsidR="009A0455" w:rsidRPr="00E26848">
        <w:t>½</w:t>
      </w:r>
      <w:r w:rsidRPr="00D4563C">
        <w:t xml:space="preserve"> 71 hours).</w:t>
      </w:r>
    </w:p>
    <w:p w14:paraId="3A9AB4EB" w14:textId="6C2BB8A6" w:rsidR="00A548AC" w:rsidRPr="00D4563C" w:rsidRDefault="00A548AC" w:rsidP="00A548AC">
      <w:pPr>
        <w:pStyle w:val="Heading3"/>
      </w:pPr>
      <w:r>
        <w:t>Pharmacodynamic effects</w:t>
      </w:r>
    </w:p>
    <w:p w14:paraId="594C1DF7" w14:textId="69C0B850" w:rsidR="00D9560D" w:rsidRDefault="006636DF" w:rsidP="00D4563C">
      <w:r>
        <w:t>In a randomised, dose-</w:t>
      </w:r>
      <w:r w:rsidR="00D04C3D" w:rsidRPr="00D4563C">
        <w:t>ranging trial, HIV-1 infected patients treated with dolutegravir monotherapy (ING1115</w:t>
      </w:r>
      <w:r>
        <w:t>21) demonstrated rapid and dose-</w:t>
      </w:r>
      <w:r w:rsidR="00D04C3D" w:rsidRPr="00D4563C">
        <w:t>dependent antiviral activity, with mean declines from baseline to day 11 in HIV-1 RNA of 1.5, 2.0, and 2.5 log10 for dolutegravir 2 mg, 10 mg, and 50 mg once daily, respectively. This antiviral response was maintained for 3 to 4 days after th</w:t>
      </w:r>
      <w:r w:rsidR="00D9560D">
        <w:t>e last dose in the 50 mg group.</w:t>
      </w:r>
    </w:p>
    <w:p w14:paraId="216BBDBD" w14:textId="3958375D" w:rsidR="00CE7A00" w:rsidRDefault="00CE7A00" w:rsidP="00D4563C">
      <w:r w:rsidRPr="00CE7A00">
        <w:t xml:space="preserve">PK/PD modelling using pooled data from clinical studies in integrase resistant patients suggest that increasing the dose from 50 mg film-coated tablet twice daily to 100 mg film-coated tablet twice daily may increase the effectiveness of dolutegravir in patients with integrase resistance and limited treatment options due to advanced multi class resistance. The proportion of responders (HIV-1 RNA &lt;50 c/mL) at week 24 was predicted to increase around 4-18% in the subjects with Q148 + ≥2 secondary mutations from G140A/C/S, E138A/K/T, L74I. Although these simulated results have not been confirmed in clinical trials, this high dose may be considered in the presence of the Q148 + ≥2 secondary mutations from G140A/C/S, E138A/K/T, L74I in patients with overall limited treatment options due to advanced multi class resistance. There is no clinical data on the safety or efficacy of the 100 mg film-coated tablet twice daily dose. Co-treatment with atazanavir increases the exposure of dolutegravir </w:t>
      </w:r>
      <w:proofErr w:type="gramStart"/>
      <w:r w:rsidRPr="00CE7A00">
        <w:t>markedly, and</w:t>
      </w:r>
      <w:proofErr w:type="gramEnd"/>
      <w:r w:rsidRPr="00CE7A00">
        <w:t xml:space="preserve"> should not be used in combination with this high dose, since safety with the resulting dolutegravir exposure has not been established.</w:t>
      </w:r>
    </w:p>
    <w:p w14:paraId="53EF0413" w14:textId="24FD8B19" w:rsidR="007C6789" w:rsidRDefault="00D04C3D" w:rsidP="00D4563C">
      <w:r w:rsidRPr="00D4563C">
        <w:rPr>
          <w:bCs/>
          <w:iCs/>
          <w:u w:val="single"/>
        </w:rPr>
        <w:t xml:space="preserve">Antiviral </w:t>
      </w:r>
      <w:r w:rsidR="00000D76" w:rsidRPr="00D4563C">
        <w:rPr>
          <w:bCs/>
          <w:iCs/>
          <w:u w:val="single"/>
        </w:rPr>
        <w:t>activity in cell culture</w:t>
      </w:r>
      <w:r w:rsidR="00B21750">
        <w:rPr>
          <w:bCs/>
          <w:iCs/>
          <w:u w:val="single"/>
        </w:rPr>
        <w:br/>
      </w:r>
      <w:r w:rsidRPr="00D4563C">
        <w:t xml:space="preserve">Dolutegravir exhibited antiviral activity against laboratory strains of wild type HIV-1 in peripheral blood mononuclear cells (PBMC) and MT4 cells with mean </w:t>
      </w:r>
      <w:r w:rsidR="005B1538" w:rsidRPr="005B1538">
        <w:t>EC</w:t>
      </w:r>
      <w:r w:rsidR="005B1538" w:rsidRPr="005B1538">
        <w:rPr>
          <w:vertAlign w:val="subscript"/>
        </w:rPr>
        <w:t>50s</w:t>
      </w:r>
      <w:r w:rsidRPr="00D4563C">
        <w:t xml:space="preserve"> of 0.5</w:t>
      </w:r>
      <w:r w:rsidR="00D12037" w:rsidRPr="00D4563C">
        <w:t xml:space="preserve"> </w:t>
      </w:r>
      <w:proofErr w:type="spellStart"/>
      <w:r w:rsidR="00CC754E" w:rsidRPr="00D4563C">
        <w:t>nM</w:t>
      </w:r>
      <w:proofErr w:type="spellEnd"/>
      <w:r w:rsidRPr="00D4563C">
        <w:t xml:space="preserve"> to 2.1</w:t>
      </w:r>
      <w:r w:rsidR="00D12037" w:rsidRPr="00D4563C">
        <w:t xml:space="preserve"> </w:t>
      </w:r>
      <w:proofErr w:type="spellStart"/>
      <w:r w:rsidR="00CC754E" w:rsidRPr="00D4563C">
        <w:t>nM</w:t>
      </w:r>
      <w:r w:rsidR="007C6789">
        <w:t>.</w:t>
      </w:r>
      <w:proofErr w:type="spellEnd"/>
    </w:p>
    <w:p w14:paraId="137C1E5A" w14:textId="57D516F2" w:rsidR="007C6789" w:rsidRDefault="00D04C3D" w:rsidP="00D4563C">
      <w:r w:rsidRPr="00D4563C">
        <w:t xml:space="preserve">In a viral integrase susceptibility assay using the integrase coding region from 13 clinically diverse clade B isolates, dolutegravir demonstrated antiviral potency </w:t>
      </w:r>
      <w:proofErr w:type="gramStart"/>
      <w:r w:rsidRPr="00D4563C">
        <w:t>similar to</w:t>
      </w:r>
      <w:proofErr w:type="gramEnd"/>
      <w:r w:rsidRPr="00D4563C">
        <w:t xml:space="preserve"> laboratory strains, with a mean </w:t>
      </w:r>
      <w:bookmarkStart w:id="14" w:name="_Hlk516675790"/>
      <w:r w:rsidR="005B1538">
        <w:t>EC</w:t>
      </w:r>
      <w:r w:rsidR="005B1538" w:rsidRPr="005B1538">
        <w:rPr>
          <w:vertAlign w:val="subscript"/>
        </w:rPr>
        <w:t>50</w:t>
      </w:r>
      <w:bookmarkEnd w:id="14"/>
      <w:r w:rsidRPr="00D4563C">
        <w:t xml:space="preserve"> of 0.52</w:t>
      </w:r>
      <w:r w:rsidR="00D12037" w:rsidRPr="00D4563C">
        <w:t xml:space="preserve"> </w:t>
      </w:r>
      <w:proofErr w:type="spellStart"/>
      <w:r w:rsidR="00CC754E" w:rsidRPr="00D4563C">
        <w:t>nM</w:t>
      </w:r>
      <w:r w:rsidRPr="00D4563C">
        <w:t>.</w:t>
      </w:r>
      <w:proofErr w:type="spellEnd"/>
      <w:r w:rsidRPr="00D4563C">
        <w:t xml:space="preserve"> When tested in PBMC assays against a panel consisting of 24 HIV-1 clinical isolates [group M (clade A, B, C, D, E, F and G) and group O] and 3 HIV-2 clinical isolates, the geometric mean </w:t>
      </w:r>
      <w:r w:rsidR="005B1538">
        <w:t>EC</w:t>
      </w:r>
      <w:r w:rsidR="005B1538" w:rsidRPr="00D644C8">
        <w:rPr>
          <w:vertAlign w:val="subscript"/>
        </w:rPr>
        <w:t>50</w:t>
      </w:r>
      <w:r w:rsidRPr="00D4563C">
        <w:t xml:space="preserve"> was 0.20</w:t>
      </w:r>
      <w:r w:rsidR="00D12037" w:rsidRPr="00D4563C">
        <w:t xml:space="preserve"> </w:t>
      </w:r>
      <w:proofErr w:type="spellStart"/>
      <w:r w:rsidR="00CC754E" w:rsidRPr="00D4563C">
        <w:t>nM</w:t>
      </w:r>
      <w:proofErr w:type="spellEnd"/>
      <w:r w:rsidRPr="00D4563C">
        <w:t xml:space="preserve"> and </w:t>
      </w:r>
      <w:r w:rsidR="005B1538">
        <w:t>EC</w:t>
      </w:r>
      <w:r w:rsidR="005B1538" w:rsidRPr="00D644C8">
        <w:rPr>
          <w:vertAlign w:val="subscript"/>
        </w:rPr>
        <w:t>50</w:t>
      </w:r>
      <w:r w:rsidRPr="00D4563C">
        <w:t xml:space="preserve"> values ranged </w:t>
      </w:r>
      <w:r w:rsidRPr="00D4563C">
        <w:lastRenderedPageBreak/>
        <w:t>from 0.02 to 2.14</w:t>
      </w:r>
      <w:r w:rsidR="00D12037" w:rsidRPr="00D4563C">
        <w:t xml:space="preserve"> </w:t>
      </w:r>
      <w:proofErr w:type="spellStart"/>
      <w:r w:rsidR="00CC754E" w:rsidRPr="00D4563C">
        <w:t>nM</w:t>
      </w:r>
      <w:proofErr w:type="spellEnd"/>
      <w:r w:rsidRPr="00D4563C">
        <w:t xml:space="preserve"> for HIV-1, while the geometric mean </w:t>
      </w:r>
      <w:r w:rsidR="005B1538">
        <w:t>EC</w:t>
      </w:r>
      <w:r w:rsidR="005B1538" w:rsidRPr="00D644C8">
        <w:rPr>
          <w:vertAlign w:val="subscript"/>
        </w:rPr>
        <w:t>50</w:t>
      </w:r>
      <w:r w:rsidRPr="00D4563C">
        <w:t xml:space="preserve"> was 0.18</w:t>
      </w:r>
      <w:r w:rsidR="00D12037" w:rsidRPr="00D4563C">
        <w:t xml:space="preserve"> </w:t>
      </w:r>
      <w:proofErr w:type="spellStart"/>
      <w:r w:rsidR="00CC754E" w:rsidRPr="00D4563C">
        <w:t>nM</w:t>
      </w:r>
      <w:proofErr w:type="spellEnd"/>
      <w:r w:rsidRPr="00D4563C">
        <w:t xml:space="preserve"> and </w:t>
      </w:r>
      <w:r w:rsidR="005B1538">
        <w:t>EC</w:t>
      </w:r>
      <w:r w:rsidR="005B1538" w:rsidRPr="00D644C8">
        <w:rPr>
          <w:vertAlign w:val="subscript"/>
        </w:rPr>
        <w:t>50</w:t>
      </w:r>
      <w:r w:rsidRPr="00D4563C">
        <w:t xml:space="preserve"> values ranged from 0.09 to 0.61</w:t>
      </w:r>
      <w:r w:rsidR="00D12037" w:rsidRPr="00D4563C">
        <w:t xml:space="preserve"> </w:t>
      </w:r>
      <w:proofErr w:type="spellStart"/>
      <w:r w:rsidR="00CC754E" w:rsidRPr="00D4563C">
        <w:t>nM</w:t>
      </w:r>
      <w:proofErr w:type="spellEnd"/>
      <w:r w:rsidR="007C6789">
        <w:t xml:space="preserve"> for HIV-2 isolates.</w:t>
      </w:r>
    </w:p>
    <w:p w14:paraId="29DCEA4D" w14:textId="33DB513E" w:rsidR="007C6789" w:rsidRDefault="00D04C3D" w:rsidP="00D4563C">
      <w:r w:rsidRPr="00D4563C">
        <w:rPr>
          <w:bCs/>
          <w:iCs/>
          <w:u w:val="single"/>
        </w:rPr>
        <w:t xml:space="preserve">Antiviral </w:t>
      </w:r>
      <w:r w:rsidR="00000D76" w:rsidRPr="00D4563C">
        <w:rPr>
          <w:bCs/>
          <w:iCs/>
          <w:u w:val="single"/>
        </w:rPr>
        <w:t>activity in combination with other antiviral agents</w:t>
      </w:r>
      <w:r w:rsidR="00B21750">
        <w:rPr>
          <w:bCs/>
          <w:iCs/>
          <w:u w:val="single"/>
        </w:rPr>
        <w:br/>
      </w:r>
      <w:r w:rsidRPr="00D4563C">
        <w:t xml:space="preserve">The antiviral activity of dolutegravir </w:t>
      </w:r>
      <w:r w:rsidRPr="00D4563C">
        <w:rPr>
          <w:i/>
          <w:iCs/>
        </w:rPr>
        <w:t>in vitro</w:t>
      </w:r>
      <w:r w:rsidRPr="00D4563C">
        <w:t xml:space="preserve"> was not antagonistic with the integrase inhibitor (INI) </w:t>
      </w:r>
      <w:proofErr w:type="spellStart"/>
      <w:r w:rsidRPr="00D4563C">
        <w:t>raltegravir</w:t>
      </w:r>
      <w:proofErr w:type="spellEnd"/>
      <w:r w:rsidRPr="00D4563C">
        <w:t>; the non-nucleoside reverse transcriptase inhibitors (NNRTIs) efavirenz or nevirapine; the nucleoside reverse transcriptase inhibitors (NRTIs) abacavir or stavudine; the protease inhibitors (PIs) amprenavir or lopinavir; the CCR5 co</w:t>
      </w:r>
      <w:r w:rsidR="009B6F5D" w:rsidRPr="00D4563C">
        <w:t>-</w:t>
      </w:r>
      <w:r w:rsidRPr="00D4563C">
        <w:t xml:space="preserve">receptor antagonist maraviroc; or the fusion inhibitor enfuvirtide. Dolutegravir antiviral activity was not antagonistic when combined with the HBV reverse transcriptase inhibitor </w:t>
      </w:r>
      <w:proofErr w:type="gramStart"/>
      <w:r w:rsidRPr="00D4563C">
        <w:t>adefovir, or</w:t>
      </w:r>
      <w:proofErr w:type="gramEnd"/>
      <w:r w:rsidRPr="00D4563C">
        <w:t xml:space="preserve"> inhibited by the antiviral ribaviri</w:t>
      </w:r>
      <w:r w:rsidR="007C6789">
        <w:t>n.</w:t>
      </w:r>
    </w:p>
    <w:p w14:paraId="1CA8287D" w14:textId="62093881" w:rsidR="004F4B47" w:rsidRDefault="00D04C3D" w:rsidP="00D4563C">
      <w:r w:rsidRPr="00D4563C">
        <w:rPr>
          <w:bCs/>
          <w:iCs/>
          <w:u w:val="single"/>
        </w:rPr>
        <w:t>Resista</w:t>
      </w:r>
      <w:r w:rsidR="00000D76" w:rsidRPr="00D4563C">
        <w:rPr>
          <w:bCs/>
          <w:iCs/>
          <w:u w:val="single"/>
        </w:rPr>
        <w:t xml:space="preserve">nce </w:t>
      </w:r>
      <w:r w:rsidR="00000D76" w:rsidRPr="006636DF">
        <w:rPr>
          <w:bCs/>
          <w:i/>
          <w:iCs/>
          <w:u w:val="single"/>
        </w:rPr>
        <w:t>in vitro</w:t>
      </w:r>
      <w:r w:rsidR="00B21750">
        <w:rPr>
          <w:bCs/>
          <w:i/>
          <w:iCs/>
          <w:u w:val="single"/>
        </w:rPr>
        <w:br/>
      </w:r>
      <w:r w:rsidR="006636DF">
        <w:t>Dolutegravir-</w:t>
      </w:r>
      <w:r w:rsidRPr="00D4563C">
        <w:t>resistant viruses were selected in studies of potential resistance using different wild type strains and clades of HIV-1. Amino acid substitutions that emerged during passaging included E92Q, G193E, G118R, S153F or Y, and R263K, and were associated with decreased susceptibility to</w:t>
      </w:r>
      <w:r w:rsidR="004F4B47">
        <w:t xml:space="preserve"> dolutegravir of up to 11-fold.</w:t>
      </w:r>
    </w:p>
    <w:p w14:paraId="7A261561" w14:textId="77777777" w:rsidR="007C6789" w:rsidRDefault="00D04C3D" w:rsidP="00D4563C">
      <w:r w:rsidRPr="00D4563C">
        <w:t xml:space="preserve">In resistance development studies starting with the single </w:t>
      </w:r>
      <w:proofErr w:type="spellStart"/>
      <w:r w:rsidRPr="00D4563C">
        <w:t>raltegravir</w:t>
      </w:r>
      <w:proofErr w:type="spellEnd"/>
      <w:r w:rsidRPr="00D4563C">
        <w:t xml:space="preserve"> resistance mutants Q148H, Q148K or Q148R, additional mutations detected during passage with dolutegravir included E138K/Q148K, E138K/Q148R, Q140S/Q148R and G140S/Q148R, which all exhibited greater than ten</w:t>
      </w:r>
      <w:r w:rsidR="009B6F5D" w:rsidRPr="00D4563C">
        <w:t>-</w:t>
      </w:r>
      <w:r w:rsidRPr="00D4563C">
        <w:t xml:space="preserve">fold reductions </w:t>
      </w:r>
      <w:r w:rsidR="007C6789">
        <w:t>in sensitivity to dolutegravir.</w:t>
      </w:r>
    </w:p>
    <w:p w14:paraId="220F1F81" w14:textId="77777777" w:rsidR="007C6789" w:rsidRDefault="00D04C3D" w:rsidP="00D4563C">
      <w:r w:rsidRPr="00D4563C">
        <w:rPr>
          <w:b/>
          <w:i/>
          <w:iCs/>
        </w:rPr>
        <w:t>Anti-HIV act</w:t>
      </w:r>
      <w:r w:rsidR="004A0209" w:rsidRPr="00D4563C">
        <w:rPr>
          <w:b/>
          <w:i/>
          <w:iCs/>
        </w:rPr>
        <w:t>ivity against resistant strains:</w:t>
      </w:r>
      <w:r w:rsidRPr="00D4563C">
        <w:t xml:space="preserve"> Reverse </w:t>
      </w:r>
      <w:r w:rsidR="009B6F5D" w:rsidRPr="00D4563C">
        <w:t xml:space="preserve">Transcriptase Inhibitor </w:t>
      </w:r>
      <w:r w:rsidRPr="00D4563C">
        <w:t xml:space="preserve">and </w:t>
      </w:r>
      <w:r w:rsidR="009B6F5D" w:rsidRPr="00D4563C">
        <w:t>Protease Inhibitor Resistant Strains</w:t>
      </w:r>
      <w:r w:rsidR="006636DF">
        <w:t>: D</w:t>
      </w:r>
      <w:r w:rsidRPr="00D4563C">
        <w:t>olutegravir demonstrated equivalent potency ag</w:t>
      </w:r>
      <w:r w:rsidR="006636DF">
        <w:t>ainst 2 non-nucleoside (NN)-RTI-resistant, 3 nucleoside (N)-RTI-resistant, and 2 PI-</w:t>
      </w:r>
      <w:r w:rsidRPr="00D4563C">
        <w:t>resistant HIV-1 mutant clones (1 triple and 1</w:t>
      </w:r>
      <w:r w:rsidR="009B6F5D" w:rsidRPr="00D4563C">
        <w:t xml:space="preserve"> sextuple) compared to the wild-</w:t>
      </w:r>
      <w:r w:rsidR="007C6789">
        <w:t>type strain.</w:t>
      </w:r>
    </w:p>
    <w:p w14:paraId="393855AE" w14:textId="4604E826" w:rsidR="007C6789" w:rsidRDefault="00D04C3D" w:rsidP="00D4563C">
      <w:r w:rsidRPr="00D4563C">
        <w:rPr>
          <w:b/>
          <w:i/>
          <w:iCs/>
        </w:rPr>
        <w:t xml:space="preserve">Cross </w:t>
      </w:r>
      <w:r w:rsidR="00000D76" w:rsidRPr="00D4563C">
        <w:rPr>
          <w:b/>
          <w:i/>
          <w:iCs/>
        </w:rPr>
        <w:t xml:space="preserve">resistance: </w:t>
      </w:r>
      <w:r w:rsidR="00000D76">
        <w:rPr>
          <w:b/>
          <w:i/>
          <w:iCs/>
        </w:rPr>
        <w:t>integrase inhibitor-</w:t>
      </w:r>
      <w:r w:rsidR="00000D76" w:rsidRPr="00D4563C">
        <w:rPr>
          <w:b/>
          <w:i/>
          <w:iCs/>
        </w:rPr>
        <w:t xml:space="preserve">resistant </w:t>
      </w:r>
      <w:r w:rsidRPr="00D4563C">
        <w:rPr>
          <w:b/>
          <w:i/>
          <w:iCs/>
        </w:rPr>
        <w:t xml:space="preserve">HIV-1 </w:t>
      </w:r>
      <w:r w:rsidR="006F5B92">
        <w:rPr>
          <w:b/>
          <w:i/>
          <w:iCs/>
        </w:rPr>
        <w:t>s</w:t>
      </w:r>
      <w:r w:rsidR="00FF0934" w:rsidRPr="00D4563C">
        <w:rPr>
          <w:b/>
          <w:i/>
          <w:iCs/>
        </w:rPr>
        <w:t>trains</w:t>
      </w:r>
      <w:r w:rsidR="004A0209" w:rsidRPr="00D4563C">
        <w:rPr>
          <w:b/>
          <w:i/>
          <w:iCs/>
        </w:rPr>
        <w:t>:</w:t>
      </w:r>
      <w:r w:rsidR="009B6F5D" w:rsidRPr="00D4563C">
        <w:t xml:space="preserve"> Sixty integrase inhibitor-</w:t>
      </w:r>
      <w:r w:rsidRPr="00D4563C">
        <w:t>resistant mutant HIV-1 viruses (28 with single substitutions and 32 with 2 or more substitut</w:t>
      </w:r>
      <w:r w:rsidR="009B6F5D" w:rsidRPr="00D4563C">
        <w:t>ions) were produced from wild-type virus NL-432 using site-</w:t>
      </w:r>
      <w:r w:rsidRPr="00D4563C">
        <w:t>directed mutagenesis. Dolutegravir showed anti-HIV activity (susceptibility) with FC &lt; 5 again</w:t>
      </w:r>
      <w:r w:rsidR="00E15698" w:rsidRPr="00D4563C">
        <w:t>st 27 of 28 integrase inhibitor-</w:t>
      </w:r>
      <w:r w:rsidRPr="00D4563C">
        <w:t xml:space="preserve">resistant mutant viruses with single substitutions including T66A/I/K, E92Q/V, Y143C/H/R, Q148H/K/R, and N155H. A G118R substitution conferred a 10-fold reduction in dolutegravir susceptibility but has not been observed during </w:t>
      </w:r>
      <w:r w:rsidR="008B6160">
        <w:t>dolutegravir</w:t>
      </w:r>
      <w:r w:rsidR="008B6160" w:rsidRPr="00D4563C">
        <w:t xml:space="preserve"> </w:t>
      </w:r>
      <w:r w:rsidRPr="00D4563C">
        <w:t>clinical studies. The single INSTI resistance substitutions T66K, I151L, and S153Y conferred a &gt; 2-fold decrease in dolutegravir susceptibility (range: 2.3-fold to 3.6-fold from reference). Combinations of multiple substitutions T66K/L74M, E92Q/N155H, G140C/Q148R, G140S/Q148H, R or K, Q148R/N155H, T97A/G140S/Q148, and substitutions at E138/G140/Q148 showed a &gt; 2-fold decrease in dolutegravir susceptibility (range: 2.5-fold to 21-</w:t>
      </w:r>
      <w:r w:rsidR="007C6789">
        <w:t>fold from reference).</w:t>
      </w:r>
    </w:p>
    <w:p w14:paraId="413BC86E" w14:textId="4B51792D" w:rsidR="007C6789" w:rsidRDefault="00D04C3D" w:rsidP="00D4563C">
      <w:r w:rsidRPr="00D4563C">
        <w:rPr>
          <w:b/>
          <w:i/>
          <w:iCs/>
        </w:rPr>
        <w:t xml:space="preserve">Cross </w:t>
      </w:r>
      <w:r w:rsidR="00000D76" w:rsidRPr="00D4563C">
        <w:rPr>
          <w:b/>
          <w:i/>
          <w:iCs/>
        </w:rPr>
        <w:t xml:space="preserve">resistance: integrase inhibitor resistant </w:t>
      </w:r>
      <w:r w:rsidRPr="00D4563C">
        <w:rPr>
          <w:b/>
          <w:i/>
          <w:iCs/>
        </w:rPr>
        <w:t xml:space="preserve">HIV-2 </w:t>
      </w:r>
      <w:r w:rsidR="006F5B92">
        <w:rPr>
          <w:b/>
          <w:i/>
          <w:iCs/>
        </w:rPr>
        <w:t>s</w:t>
      </w:r>
      <w:r w:rsidR="00FF0934" w:rsidRPr="00D4563C">
        <w:rPr>
          <w:b/>
          <w:i/>
          <w:iCs/>
        </w:rPr>
        <w:t>trains</w:t>
      </w:r>
      <w:r w:rsidR="004A0209" w:rsidRPr="00D4563C">
        <w:rPr>
          <w:b/>
          <w:i/>
          <w:iCs/>
        </w:rPr>
        <w:t>:</w:t>
      </w:r>
      <w:r w:rsidR="006636DF">
        <w:t xml:space="preserve"> Site-</w:t>
      </w:r>
      <w:r w:rsidRPr="00D4563C">
        <w:t xml:space="preserve">directed mutant HIV-2 viruses were constructed based on patients infected with HIV-2 and treated with </w:t>
      </w:r>
      <w:proofErr w:type="spellStart"/>
      <w:r w:rsidRPr="00D4563C">
        <w:t>raltegravir</w:t>
      </w:r>
      <w:proofErr w:type="spellEnd"/>
      <w:r w:rsidRPr="00D4563C">
        <w:t xml:space="preserve"> who showed virologic failure. HIV-2 mutants with combinations of substitutions A153G/N155H/S163G and E92Q/T97A/N155H/S163D were associated with four</w:t>
      </w:r>
      <w:r w:rsidR="00E15698" w:rsidRPr="00D4563C">
        <w:t>-</w:t>
      </w:r>
      <w:r w:rsidRPr="00D4563C">
        <w:t xml:space="preserve">fold reductions in dolutegravir susceptibility, while susceptibility of viruses with E92Q/N155H and G140S/Q148R substitutions were decreased 8.5 and 17-fold, </w:t>
      </w:r>
      <w:r w:rsidR="007C6789">
        <w:t>respectively.</w:t>
      </w:r>
    </w:p>
    <w:p w14:paraId="2D850418" w14:textId="31FCD5DA" w:rsidR="007C6789" w:rsidRDefault="00D04C3D" w:rsidP="00D4563C">
      <w:r w:rsidRPr="00D4563C">
        <w:rPr>
          <w:b/>
          <w:i/>
          <w:iCs/>
        </w:rPr>
        <w:lastRenderedPageBreak/>
        <w:t xml:space="preserve">Clinical </w:t>
      </w:r>
      <w:r w:rsidR="00000D76" w:rsidRPr="00D4563C">
        <w:rPr>
          <w:b/>
          <w:i/>
          <w:iCs/>
        </w:rPr>
        <w:t xml:space="preserve">isolates from </w:t>
      </w:r>
      <w:proofErr w:type="spellStart"/>
      <w:r w:rsidR="00000D76" w:rsidRPr="00D4563C">
        <w:rPr>
          <w:b/>
          <w:i/>
          <w:iCs/>
        </w:rPr>
        <w:t>raltegravir</w:t>
      </w:r>
      <w:proofErr w:type="spellEnd"/>
      <w:r w:rsidR="00000D76" w:rsidRPr="00D4563C">
        <w:rPr>
          <w:b/>
          <w:i/>
          <w:iCs/>
        </w:rPr>
        <w:t xml:space="preserve"> treatment virologic failure patients</w:t>
      </w:r>
      <w:r w:rsidR="004A0209" w:rsidRPr="00D4563C">
        <w:rPr>
          <w:b/>
          <w:i/>
          <w:iCs/>
        </w:rPr>
        <w:t>:</w:t>
      </w:r>
      <w:r w:rsidRPr="00D4563C">
        <w:t xml:space="preserve"> Thirty clinical isolate samples with genotypic and phenotypic resistance to </w:t>
      </w:r>
      <w:proofErr w:type="spellStart"/>
      <w:r w:rsidRPr="00D4563C">
        <w:t>raltegravir</w:t>
      </w:r>
      <w:proofErr w:type="spellEnd"/>
      <w:r w:rsidRPr="00D4563C">
        <w:t xml:space="preserve"> (median FC &gt; 81) were examined for susceptibility to dolutegravir (median FC 1.5). The median FC to dolutegravir for isolates containing changes at G140S + Q148H was 3.75; G140S + Q148R was 13.3; T97A + Y14</w:t>
      </w:r>
      <w:r w:rsidR="007C6789">
        <w:t>3R was 1.05 and N155H was 1.37.</w:t>
      </w:r>
    </w:p>
    <w:p w14:paraId="62FAE848" w14:textId="77777777" w:rsidR="007C6789" w:rsidRDefault="00D04C3D" w:rsidP="00D4563C">
      <w:r w:rsidRPr="00D4563C">
        <w:t xml:space="preserve">Seven hundred and five </w:t>
      </w:r>
      <w:proofErr w:type="spellStart"/>
      <w:r w:rsidRPr="00D4563C">
        <w:t>raltegravir</w:t>
      </w:r>
      <w:proofErr w:type="spellEnd"/>
      <w:r w:rsidRPr="00D4563C">
        <w:t xml:space="preserve"> resistant isolates from </w:t>
      </w:r>
      <w:proofErr w:type="spellStart"/>
      <w:r w:rsidRPr="00D4563C">
        <w:t>raltegravir</w:t>
      </w:r>
      <w:proofErr w:type="spellEnd"/>
      <w:r w:rsidRPr="00D4563C">
        <w:t xml:space="preserve"> experienced patients were analysed for susceptibility to dolutegravir. Dolutegravir has a less than or equal to 10 FC against 93.9% of the 705 clinical isolates. Dolutegr</w:t>
      </w:r>
      <w:r w:rsidR="00E15698" w:rsidRPr="00D4563C">
        <w:t>avir has a ≤</w:t>
      </w:r>
      <w:r w:rsidRPr="00D4563C">
        <w:t xml:space="preserve"> 10 FC against 67 (73%) of the 92 clinical </w:t>
      </w:r>
      <w:r w:rsidR="006636DF">
        <w:t>isolates with Q148 + ≥ 2 INSTI-r</w:t>
      </w:r>
      <w:r w:rsidRPr="00D4563C">
        <w:t>esistance substitutions and 168 (91%) of the 1</w:t>
      </w:r>
      <w:r w:rsidR="00E15698" w:rsidRPr="00D4563C">
        <w:t>84 isolates with Q148 + 1 INSTI-</w:t>
      </w:r>
      <w:r w:rsidR="007C6789">
        <w:t>resistance substitutions.</w:t>
      </w:r>
    </w:p>
    <w:p w14:paraId="010FA9A4" w14:textId="657E0CFE" w:rsidR="007C6789" w:rsidRDefault="00D04C3D" w:rsidP="00D4563C">
      <w:r w:rsidRPr="00D4563C">
        <w:rPr>
          <w:bCs/>
          <w:iCs/>
          <w:u w:val="single"/>
        </w:rPr>
        <w:t xml:space="preserve">Resistance </w:t>
      </w:r>
      <w:r w:rsidR="00000D76" w:rsidRPr="006636DF">
        <w:rPr>
          <w:bCs/>
          <w:i/>
          <w:iCs/>
          <w:u w:val="single"/>
        </w:rPr>
        <w:t>in vivo</w:t>
      </w:r>
      <w:r w:rsidR="00000D76" w:rsidRPr="00D4563C">
        <w:rPr>
          <w:bCs/>
          <w:iCs/>
          <w:u w:val="single"/>
        </w:rPr>
        <w:t>: integrase inhibitor naïve patients</w:t>
      </w:r>
      <w:r w:rsidR="00F9575F">
        <w:rPr>
          <w:bCs/>
          <w:iCs/>
          <w:u w:val="single"/>
        </w:rPr>
        <w:br/>
      </w:r>
      <w:r w:rsidR="00E15698" w:rsidRPr="00D4563C">
        <w:t>No INI-</w:t>
      </w:r>
      <w:r w:rsidRPr="00D4563C">
        <w:t>resistant mutations or treatment emergent resistance to the NRTI backbone therapy were isolated with dolutegravi</w:t>
      </w:r>
      <w:r w:rsidR="00E15698" w:rsidRPr="00D4563C">
        <w:t xml:space="preserve">r 50 mg </w:t>
      </w:r>
      <w:r w:rsidR="00C3400E">
        <w:t xml:space="preserve">film-coated tablets </w:t>
      </w:r>
      <w:r w:rsidR="00E15698" w:rsidRPr="00D4563C">
        <w:t>once daily in treatment-</w:t>
      </w:r>
      <w:proofErr w:type="spellStart"/>
      <w:r w:rsidR="00E15698" w:rsidRPr="00D4563C">
        <w:t>na</w:t>
      </w:r>
      <w:proofErr w:type="spellEnd"/>
      <w:r w:rsidR="00E15698" w:rsidRPr="00D4563C">
        <w:rPr>
          <w:rFonts w:eastAsia="MS Mincho"/>
          <w:lang w:val="en-GB" w:eastAsia="ja-JP"/>
        </w:rPr>
        <w:t>ï</w:t>
      </w:r>
      <w:proofErr w:type="spellStart"/>
      <w:r w:rsidRPr="00D4563C">
        <w:t>ve</w:t>
      </w:r>
      <w:proofErr w:type="spellEnd"/>
      <w:r w:rsidRPr="00D4563C">
        <w:t xml:space="preserve"> studies (SPRING-1, SPRING-2, SINGLE</w:t>
      </w:r>
      <w:r w:rsidR="00D20C0E">
        <w:t>,</w:t>
      </w:r>
      <w:r w:rsidRPr="00D4563C">
        <w:t xml:space="preserve"> FLAMINGO</w:t>
      </w:r>
      <w:r w:rsidR="00D20C0E">
        <w:t xml:space="preserve"> and GEMINI</w:t>
      </w:r>
      <w:r w:rsidRPr="00D4563C">
        <w:t xml:space="preserve"> studies). In the SAILING study for treatment experienced (and integrase</w:t>
      </w:r>
      <w:r w:rsidR="001977C8" w:rsidRPr="00D4563C">
        <w:t xml:space="preserve"> </w:t>
      </w:r>
      <w:r w:rsidR="00E15698" w:rsidRPr="00D4563C">
        <w:t>naïve</w:t>
      </w:r>
      <w:r w:rsidRPr="00D4563C">
        <w:t>) patients (n = 354 in t</w:t>
      </w:r>
      <w:r w:rsidR="006636DF">
        <w:t>he dolutegravir arm), treatment-</w:t>
      </w:r>
      <w:r w:rsidRPr="00D4563C">
        <w:t>emergent integrase substitutions were observed at week 48 in 4 of 17 patients receiving dolutegravir with virologic failure. Of these four, 2 subjects had a unique R263K integrase substitution, with a maximum FC of 1.93, 1 subject had a polymorphic V151V/I integrase substitution, with maximum FC of 0.92, and 1 subject had pre-existing integrase mutations and is assumed to have been integrase experienced or infected with integrase resistant virus by transmission (see</w:t>
      </w:r>
      <w:r w:rsidR="00AD09BF">
        <w:t xml:space="preserve"> </w:t>
      </w:r>
      <w:r w:rsidR="00AD09BF" w:rsidRPr="00D4563C">
        <w:t xml:space="preserve">Section 5.1 </w:t>
      </w:r>
      <w:r w:rsidR="007E391B" w:rsidRPr="00D4563C">
        <w:t>PHARMACODYNAMIC PROPERTIES</w:t>
      </w:r>
      <w:r w:rsidR="007E391B">
        <w:t xml:space="preserve"> </w:t>
      </w:r>
      <w:r w:rsidR="00EF7F9F">
        <w:t>-</w:t>
      </w:r>
      <w:r w:rsidR="007C6789">
        <w:t xml:space="preserve"> Clinical trials).</w:t>
      </w:r>
    </w:p>
    <w:p w14:paraId="7BC16BEE" w14:textId="6104012D" w:rsidR="007C6789" w:rsidRDefault="00D04C3D" w:rsidP="00D4563C">
      <w:r w:rsidRPr="00D4563C">
        <w:rPr>
          <w:bCs/>
          <w:iCs/>
          <w:u w:val="single"/>
        </w:rPr>
        <w:t xml:space="preserve">Resistance </w:t>
      </w:r>
      <w:r w:rsidR="00000D76" w:rsidRPr="006636DF">
        <w:rPr>
          <w:bCs/>
          <w:i/>
          <w:iCs/>
          <w:u w:val="single"/>
        </w:rPr>
        <w:t>in vivo</w:t>
      </w:r>
      <w:r w:rsidR="00000D76" w:rsidRPr="00D4563C">
        <w:rPr>
          <w:bCs/>
          <w:iCs/>
          <w:u w:val="single"/>
        </w:rPr>
        <w:t>: integrase inhibitor resistant patients</w:t>
      </w:r>
      <w:r w:rsidR="00F9575F">
        <w:rPr>
          <w:bCs/>
          <w:iCs/>
          <w:u w:val="single"/>
        </w:rPr>
        <w:br/>
      </w:r>
      <w:r w:rsidRPr="00D4563C">
        <w:t>The VIKING-3 study examined dolutegravir (plus optimised background therapy) in patients with pre-existin</w:t>
      </w:r>
      <w:r w:rsidR="006636DF">
        <w:t xml:space="preserve">g INI-resistance. </w:t>
      </w:r>
      <w:proofErr w:type="gramStart"/>
      <w:r w:rsidR="006636DF">
        <w:t xml:space="preserve">Thirty </w:t>
      </w:r>
      <w:r w:rsidRPr="00D4563C">
        <w:t>six</w:t>
      </w:r>
      <w:proofErr w:type="gramEnd"/>
      <w:r w:rsidRPr="00D4563C">
        <w:t xml:space="preserve"> patients (36/183) experienced protocol defined virologic failure through to </w:t>
      </w:r>
      <w:r w:rsidR="00E15698" w:rsidRPr="00D4563C">
        <w:t>W</w:t>
      </w:r>
      <w:r w:rsidRPr="00D4563C">
        <w:t>eek 24. Of these, 32 had paired baseline and PDVF resistance data for analysis and 17/32 (53%) had treatmen</w:t>
      </w:r>
      <w:r w:rsidR="00A45F77">
        <w:t>t-</w:t>
      </w:r>
      <w:r w:rsidR="006636DF">
        <w:t>emergent mutations. Treatment-</w:t>
      </w:r>
      <w:r w:rsidRPr="00D4563C">
        <w:t>emergent mutations or mixtures of mutations observed were L74L/M (n = 1), E92Q (n = 2), T97A (n = 9), E138K/A/T (n = 8), G140S (n = 2), Y143H (n = 1), S147G (n = 1), Q148H/K/R (n = 4), N155H (n = 1) and E157E/Q (n = 1). Fourteen of the 17 patients with virus exhibiti</w:t>
      </w:r>
      <w:r w:rsidR="006636DF">
        <w:t>ng treatment-</w:t>
      </w:r>
      <w:r w:rsidRPr="00D4563C">
        <w:t>emergent mutations harboured Q148 pathway virus present at baseline or historically. Five further subjects experienced PDVF between weeks 24 and 48,</w:t>
      </w:r>
      <w:r w:rsidR="006636DF">
        <w:t xml:space="preserve"> and 2 of these 5 had treatment-emergent mutations. Treatment-</w:t>
      </w:r>
      <w:r w:rsidRPr="00D4563C">
        <w:t>emergent mutations or mixtures of mutations observed we</w:t>
      </w:r>
      <w:r w:rsidR="007C6789">
        <w:t>re L74I (n = 1), N155H (n = 2).</w:t>
      </w:r>
    </w:p>
    <w:p w14:paraId="465679B4" w14:textId="60519FB0" w:rsidR="007C6789" w:rsidRDefault="00D04C3D" w:rsidP="00D4563C">
      <w:r w:rsidRPr="00D4563C">
        <w:t xml:space="preserve">The VIKING-4 study examined dolutegravir (plus optimised background therapy) in subjects with primary genotypic resistance to INIs at Screening in 30 subjects. Treatment-emergent mutations observed were consistent with those </w:t>
      </w:r>
      <w:r w:rsidR="007C6789">
        <w:t>observed in the VIKING-3 study.</w:t>
      </w:r>
    </w:p>
    <w:p w14:paraId="6649C316" w14:textId="248E8DB3" w:rsidR="005B1538" w:rsidRPr="008750B7" w:rsidRDefault="005B1538" w:rsidP="008750B7">
      <w:pPr>
        <w:spacing w:after="0"/>
        <w:rPr>
          <w:u w:val="single"/>
        </w:rPr>
      </w:pPr>
      <w:r w:rsidRPr="008750B7">
        <w:rPr>
          <w:u w:val="single"/>
        </w:rPr>
        <w:t>R</w:t>
      </w:r>
      <w:r w:rsidR="00085D42" w:rsidRPr="008750B7">
        <w:rPr>
          <w:u w:val="single"/>
        </w:rPr>
        <w:t xml:space="preserve">esistance </w:t>
      </w:r>
      <w:r w:rsidR="00085D42" w:rsidRPr="008750B7">
        <w:rPr>
          <w:i/>
          <w:u w:val="single"/>
        </w:rPr>
        <w:t>in v</w:t>
      </w:r>
      <w:r w:rsidRPr="008750B7">
        <w:rPr>
          <w:i/>
          <w:u w:val="single"/>
        </w:rPr>
        <w:t>ivo</w:t>
      </w:r>
      <w:r w:rsidRPr="008750B7">
        <w:rPr>
          <w:u w:val="single"/>
        </w:rPr>
        <w:t>: Virologically Supressed Patients</w:t>
      </w:r>
    </w:p>
    <w:p w14:paraId="3668186D" w14:textId="3C5ED820" w:rsidR="005B1538" w:rsidRDefault="005B1538" w:rsidP="00D4563C">
      <w:r w:rsidRPr="006D30EC">
        <w:rPr>
          <w:rFonts w:eastAsia="MS Mincho"/>
          <w:lang w:eastAsia="ja-JP"/>
        </w:rPr>
        <w:t xml:space="preserve">SWORD-1 and SWORD-2 are identical studies that examined stable suppressed subjects receiving </w:t>
      </w:r>
      <w:r w:rsidRPr="006D30EC">
        <w:t>2 NRTIs plus either an INI, an NNRTI, or a PI,</w:t>
      </w:r>
      <w:r w:rsidRPr="006D30EC">
        <w:rPr>
          <w:rFonts w:eastAsia="MS Mincho"/>
          <w:lang w:eastAsia="ja-JP"/>
        </w:rPr>
        <w:t xml:space="preserve"> that switched to dolutegravir plus rilpivirine (n=513) or remained on their current antiviral regimen (n=511)</w:t>
      </w:r>
      <w:r w:rsidRPr="006D30EC">
        <w:t xml:space="preserve">. </w:t>
      </w:r>
      <w:r w:rsidRPr="006D30EC">
        <w:rPr>
          <w:rFonts w:eastAsia="MS Mincho"/>
          <w:lang w:eastAsia="ja-JP"/>
        </w:rPr>
        <w:t xml:space="preserve"> The number of subjects who met the protocol-defined confirmed virologic withdrawal (CVW) criteria was low </w:t>
      </w:r>
      <w:r w:rsidRPr="006D30EC">
        <w:rPr>
          <w:rFonts w:eastAsia="MS Mincho"/>
          <w:lang w:eastAsia="ja-JP"/>
        </w:rPr>
        <w:lastRenderedPageBreak/>
        <w:t xml:space="preserve">across the pooled SWORD-1 and SWORD-2 studies. Two subjects from each treatment arm met CVW criteria at any time through Week 48. NNRTI resistance associated substitution K101K/E mixture with no decreased susceptibility to rilpivirine (FC=1.2) was observed in one subject with identified adherence issues that received dolutegravir plus rilpivirine. </w:t>
      </w:r>
      <w:r>
        <w:rPr>
          <w:rFonts w:eastAsia="MS Mincho"/>
          <w:lang w:eastAsia="ja-JP"/>
        </w:rPr>
        <w:t xml:space="preserve">No integrase resistance was observed. </w:t>
      </w:r>
      <w:r w:rsidRPr="006D30EC">
        <w:rPr>
          <w:rFonts w:eastAsia="MS Mincho"/>
          <w:lang w:eastAsia="ja-JP"/>
        </w:rPr>
        <w:t xml:space="preserve">This </w:t>
      </w:r>
      <w:r w:rsidR="005F284C">
        <w:rPr>
          <w:rFonts w:eastAsia="MS Mincho"/>
          <w:lang w:eastAsia="ja-JP"/>
        </w:rPr>
        <w:t>subject</w:t>
      </w:r>
      <w:r w:rsidRPr="006D30EC">
        <w:rPr>
          <w:rFonts w:eastAsia="MS Mincho"/>
          <w:lang w:eastAsia="ja-JP"/>
        </w:rPr>
        <w:t>’s viral load was 1,059,771 copies/mL at the suspected virologic withdrawal visit, and on resumption of dolutegravir plus rilpivirine the viral load decreased to 1,018 copies/mL at the confirmatory visit and was &lt;50 copies/mL at the withdrawal visit. No resistance-associated substitutions were observed for the other three subjects meeting CVW criteria.</w:t>
      </w:r>
    </w:p>
    <w:p w14:paraId="3AAECA62" w14:textId="08CF6807" w:rsidR="007C6789" w:rsidRDefault="00D04C3D" w:rsidP="00D4563C">
      <w:r w:rsidRPr="00D4563C">
        <w:rPr>
          <w:bCs/>
          <w:iCs/>
          <w:u w:val="single"/>
        </w:rPr>
        <w:t xml:space="preserve">Effects on </w:t>
      </w:r>
      <w:r w:rsidR="006F5B92">
        <w:rPr>
          <w:bCs/>
          <w:iCs/>
          <w:u w:val="single"/>
        </w:rPr>
        <w:t>e</w:t>
      </w:r>
      <w:r w:rsidR="00FF0934" w:rsidRPr="00D4563C">
        <w:rPr>
          <w:bCs/>
          <w:iCs/>
          <w:u w:val="single"/>
        </w:rPr>
        <w:t>lectrocardiogram</w:t>
      </w:r>
      <w:r w:rsidR="00F9575F">
        <w:rPr>
          <w:bCs/>
          <w:iCs/>
          <w:u w:val="single"/>
        </w:rPr>
        <w:br/>
      </w:r>
      <w:r w:rsidR="006636DF">
        <w:t>In a randomised, placebo-</w:t>
      </w:r>
      <w:r w:rsidRPr="00D4563C">
        <w:t>controlled, cross</w:t>
      </w:r>
      <w:r w:rsidR="00E15698" w:rsidRPr="00D4563C">
        <w:t>-</w:t>
      </w:r>
      <w:r w:rsidRPr="00D4563C">
        <w:t xml:space="preserve">over trial, 42 healthy patients received single dose oral administrations of placebo, dolutegravir 250 mg suspension (exposures approximately 3-fold of the </w:t>
      </w:r>
      <w:r w:rsidR="006636DF">
        <w:t>50 mg once daily dose at steady-</w:t>
      </w:r>
      <w:r w:rsidRPr="00D4563C">
        <w:t>state), and moxifloxacin (400 mg, active control) in random sequence. Dolutegravir did not prolong the QTc interval for 24 hours post</w:t>
      </w:r>
      <w:r w:rsidR="00E15698" w:rsidRPr="00D4563C">
        <w:t xml:space="preserve"> </w:t>
      </w:r>
      <w:r w:rsidRPr="00D4563C">
        <w:t>dose. After baseline and placebo adjustment, the maximum mean QTc change based on Fridericia correction method (</w:t>
      </w:r>
      <w:proofErr w:type="spellStart"/>
      <w:r w:rsidRPr="00D4563C">
        <w:t>QTcF</w:t>
      </w:r>
      <w:proofErr w:type="spellEnd"/>
      <w:r w:rsidRPr="00D4563C">
        <w:t>) was 1.99 msec (1</w:t>
      </w:r>
      <w:r w:rsidR="00E15698" w:rsidRPr="00D4563C">
        <w:t>-</w:t>
      </w:r>
      <w:r w:rsidR="007C6789">
        <w:t>sided 95% upper CI: 4.53 msec).</w:t>
      </w:r>
    </w:p>
    <w:p w14:paraId="5B694709" w14:textId="02A9AF19" w:rsidR="00ED65A6" w:rsidRPr="00D4563C" w:rsidRDefault="00D04C3D" w:rsidP="00D4563C">
      <w:r w:rsidRPr="00D4563C">
        <w:rPr>
          <w:bCs/>
          <w:iCs/>
          <w:u w:val="single"/>
        </w:rPr>
        <w:t xml:space="preserve">Effects on </w:t>
      </w:r>
      <w:r w:rsidR="006F5B92" w:rsidRPr="00D4563C">
        <w:rPr>
          <w:bCs/>
          <w:iCs/>
          <w:u w:val="single"/>
        </w:rPr>
        <w:t>renal function</w:t>
      </w:r>
      <w:r w:rsidR="00F9575F">
        <w:rPr>
          <w:bCs/>
          <w:iCs/>
          <w:u w:val="single"/>
        </w:rPr>
        <w:br/>
      </w:r>
      <w:r w:rsidRPr="00D4563C">
        <w:t>The effect of dolutegravir on serum creatinine clearance (</w:t>
      </w:r>
      <w:proofErr w:type="spellStart"/>
      <w:r w:rsidRPr="00D4563C">
        <w:t>CrCl</w:t>
      </w:r>
      <w:proofErr w:type="spellEnd"/>
      <w:r w:rsidRPr="00D4563C">
        <w:t xml:space="preserve">), glomerular filtration rate (GFR) using </w:t>
      </w:r>
      <w:proofErr w:type="spellStart"/>
      <w:r w:rsidRPr="00D4563C">
        <w:t>iohexol</w:t>
      </w:r>
      <w:proofErr w:type="spellEnd"/>
      <w:r w:rsidRPr="00D4563C">
        <w:t xml:space="preserve"> as the probe and effective renal plasma flow (ERPF) using para-</w:t>
      </w:r>
      <w:proofErr w:type="spellStart"/>
      <w:r w:rsidRPr="00D4563C">
        <w:t>aminohippurate</w:t>
      </w:r>
      <w:proofErr w:type="spellEnd"/>
      <w:r w:rsidRPr="00D4563C">
        <w:t xml:space="preserve"> (PAH) as the probe was evaluated in an open</w:t>
      </w:r>
      <w:r w:rsidR="00E15698" w:rsidRPr="00D4563C">
        <w:t>-</w:t>
      </w:r>
      <w:r w:rsidRPr="00D4563C">
        <w:t>label, randomised, 3 arm, parallel, placebo</w:t>
      </w:r>
      <w:r w:rsidR="00E15698" w:rsidRPr="00D4563C">
        <w:t>-</w:t>
      </w:r>
      <w:r w:rsidRPr="00D4563C">
        <w:t>controlled study in 37 healthy patients, who were administered dolutegravir</w:t>
      </w:r>
      <w:r w:rsidR="00C3400E">
        <w:t xml:space="preserve"> film-coated tablets</w:t>
      </w:r>
      <w:r w:rsidRPr="00D4563C">
        <w:t xml:space="preserve"> 50 mg once daily (n = 12), 50 mg twice daily (n = 13) or placebo once daily (n = 12) for 14 days. A modest decrease in </w:t>
      </w:r>
      <w:proofErr w:type="spellStart"/>
      <w:r w:rsidRPr="00D4563C">
        <w:t>CrCl</w:t>
      </w:r>
      <w:proofErr w:type="spellEnd"/>
      <w:r w:rsidRPr="00D4563C">
        <w:t xml:space="preserve"> was observed with dolutegravir within the first week of treatment, consistent with that seen in clinical studies. Dolutegravir at both doses had no significant effect on GFR or ERPF. These data support </w:t>
      </w:r>
      <w:r w:rsidRPr="00D4563C">
        <w:rPr>
          <w:i/>
          <w:iCs/>
        </w:rPr>
        <w:t>in vitro</w:t>
      </w:r>
      <w:r w:rsidRPr="00D4563C">
        <w:t xml:space="preserve"> studies which suggest that the small increases in creatinine observed in clinical studies are due to the </w:t>
      </w:r>
      <w:proofErr w:type="spellStart"/>
      <w:r w:rsidRPr="00D4563C">
        <w:t>nonpathologic</w:t>
      </w:r>
      <w:proofErr w:type="spellEnd"/>
      <w:r w:rsidRPr="00D4563C">
        <w:t xml:space="preserve"> inhibition of the organic cation transporter 2 (OCT2) in the proximal renal tubules, which mediates the tubular secretion of creatinine.</w:t>
      </w:r>
    </w:p>
    <w:p w14:paraId="70D716D5" w14:textId="77777777" w:rsidR="00ED65A6" w:rsidRPr="00DC39FB" w:rsidRDefault="00D04C3D" w:rsidP="00D4563C">
      <w:pPr>
        <w:pStyle w:val="Heading3"/>
        <w:rPr>
          <w:u w:val="single"/>
        </w:rPr>
      </w:pPr>
      <w:r w:rsidRPr="00DC39FB">
        <w:rPr>
          <w:u w:val="single"/>
        </w:rPr>
        <w:t>Clinical trials</w:t>
      </w:r>
    </w:p>
    <w:p w14:paraId="0693DF2C" w14:textId="6AB4F3D6" w:rsidR="007C6789" w:rsidRPr="00D20C0E" w:rsidRDefault="00F9575F" w:rsidP="00DD3ACA">
      <w:pPr>
        <w:spacing w:after="160"/>
        <w:rPr>
          <w:lang w:val="en-GB"/>
        </w:rPr>
      </w:pPr>
      <w:r>
        <w:rPr>
          <w:b/>
        </w:rPr>
        <w:br/>
      </w:r>
      <w:r w:rsidR="002E032B">
        <w:rPr>
          <w:b/>
        </w:rPr>
        <w:t>A</w:t>
      </w:r>
      <w:r w:rsidR="006F5B92" w:rsidRPr="006636DF">
        <w:rPr>
          <w:b/>
        </w:rPr>
        <w:t>ntiretroviral naïve patients</w:t>
      </w:r>
      <w:r w:rsidR="00D04C3D" w:rsidRPr="006636DF">
        <w:br/>
        <w:t xml:space="preserve">The efficacy of </w:t>
      </w:r>
      <w:r w:rsidR="00FF0934" w:rsidRPr="006636DF">
        <w:t>TIVICAY</w:t>
      </w:r>
      <w:r w:rsidR="006636DF">
        <w:t xml:space="preserve"> in HIV-</w:t>
      </w:r>
      <w:r w:rsidR="00D04C3D" w:rsidRPr="006636DF">
        <w:t>infected, therapy</w:t>
      </w:r>
      <w:r w:rsidR="001977C8" w:rsidRPr="006636DF">
        <w:t xml:space="preserve"> </w:t>
      </w:r>
      <w:r w:rsidR="00E15698" w:rsidRPr="006636DF">
        <w:t>naïve</w:t>
      </w:r>
      <w:r w:rsidR="00D04C3D" w:rsidRPr="006636DF">
        <w:t xml:space="preserve"> patients </w:t>
      </w:r>
      <w:proofErr w:type="gramStart"/>
      <w:r w:rsidR="00D04C3D" w:rsidRPr="006636DF">
        <w:t>is</w:t>
      </w:r>
      <w:proofErr w:type="gramEnd"/>
      <w:r w:rsidR="00D04C3D" w:rsidRPr="006636DF">
        <w:t xml:space="preserve"> based on data from two ra</w:t>
      </w:r>
      <w:r w:rsidR="006636DF">
        <w:t>ndomised, international, double-blind, active-</w:t>
      </w:r>
      <w:r w:rsidR="00D04C3D" w:rsidRPr="006636DF">
        <w:t xml:space="preserve">controlled trials, 96 week data from SPRING-2 (ING113086) and SINGLE (ING114467). This is supported by </w:t>
      </w:r>
      <w:proofErr w:type="gramStart"/>
      <w:r w:rsidR="00D04C3D" w:rsidRPr="006636DF">
        <w:t>96 week</w:t>
      </w:r>
      <w:proofErr w:type="gramEnd"/>
      <w:r w:rsidR="00D04C3D" w:rsidRPr="006636DF">
        <w:t xml:space="preserve"> data from an open</w:t>
      </w:r>
      <w:r w:rsidR="006636DF">
        <w:t>-label and active-</w:t>
      </w:r>
      <w:r w:rsidR="00D04C3D" w:rsidRPr="006636DF">
        <w:t>controlled study FLAMINGO (ING114915) and additional data from the open-labe</w:t>
      </w:r>
      <w:r w:rsidR="007C6789">
        <w:t>l phase of SINGLE to 144 weeks.</w:t>
      </w:r>
      <w:r w:rsidR="00D20C0E">
        <w:t xml:space="preserve"> </w:t>
      </w:r>
      <w:r w:rsidR="00D20C0E" w:rsidRPr="00D20C0E">
        <w:rPr>
          <w:lang w:val="en-GB"/>
        </w:rPr>
        <w:t>The efficacy of dolutegravir in combination with lamivudine in adults is supported by 48-week primary endpoint data from two identical 148-week, randomised, multicentre, double-blind, non-inferiority studies GEMINI-1 (204861) and GEMINI-2 (205543).</w:t>
      </w:r>
    </w:p>
    <w:p w14:paraId="71E53CC6" w14:textId="1C070BA6" w:rsidR="007C6789" w:rsidRDefault="00D04C3D" w:rsidP="00DD3ACA">
      <w:pPr>
        <w:spacing w:after="160"/>
      </w:pPr>
      <w:r w:rsidRPr="006636DF">
        <w:t xml:space="preserve">In SPRING-2, 822 adults were randomised and received at least one dose of either </w:t>
      </w:r>
      <w:r w:rsidR="00FF0934" w:rsidRPr="006636DF">
        <w:t>TIVICAY</w:t>
      </w:r>
      <w:r w:rsidRPr="006636DF">
        <w:t xml:space="preserve"> 50 mg </w:t>
      </w:r>
      <w:r w:rsidR="00D679A8">
        <w:t xml:space="preserve">film-coated tablets </w:t>
      </w:r>
      <w:r w:rsidRPr="006636DF">
        <w:t xml:space="preserve">once daily or </w:t>
      </w:r>
      <w:proofErr w:type="spellStart"/>
      <w:r w:rsidRPr="006636DF">
        <w:t>raltegravir</w:t>
      </w:r>
      <w:proofErr w:type="spellEnd"/>
      <w:r w:rsidRPr="006636DF">
        <w:t xml:space="preserve"> 400 mg twice dail</w:t>
      </w:r>
      <w:r w:rsidR="006636DF">
        <w:t>y, both administered with fixed-</w:t>
      </w:r>
      <w:r w:rsidRPr="006636DF">
        <w:t xml:space="preserve">dose dual NRTI therapy (either ABC/3TC or TDF/FTC). At baseline, median patient </w:t>
      </w:r>
      <w:r w:rsidRPr="006636DF">
        <w:lastRenderedPageBreak/>
        <w:t>age was 36 years, 14% were female, 15% non</w:t>
      </w:r>
      <w:r w:rsidR="006636DF">
        <w:t>-</w:t>
      </w:r>
      <w:r w:rsidRPr="006636DF">
        <w:t>white, and 12% had hepatitis B and/or C co</w:t>
      </w:r>
      <w:r w:rsidR="006636DF">
        <w:t>-</w:t>
      </w:r>
      <w:r w:rsidRPr="006636DF">
        <w:t>infection and 2% were CDC class C; these characteristics were si</w:t>
      </w:r>
      <w:r w:rsidR="007C6789">
        <w:t>milar between treatment groups.</w:t>
      </w:r>
    </w:p>
    <w:p w14:paraId="02597510" w14:textId="77777777" w:rsidR="007C6789" w:rsidRDefault="00D04C3D" w:rsidP="00DD3ACA">
      <w:pPr>
        <w:spacing w:after="160"/>
      </w:pPr>
      <w:r w:rsidRPr="006636DF">
        <w:t>In the SPRING-2 study through 96 weeks, virologic suppression (HIV-1 RNA &lt; 50 copies/mL) in the dolutegravir group (81%) was non</w:t>
      </w:r>
      <w:r w:rsidR="006636DF">
        <w:t>-</w:t>
      </w:r>
      <w:r w:rsidRPr="006636DF">
        <w:t xml:space="preserve">inferior to the </w:t>
      </w:r>
      <w:proofErr w:type="spellStart"/>
      <w:r w:rsidRPr="006636DF">
        <w:t>raltegravir</w:t>
      </w:r>
      <w:proofErr w:type="spellEnd"/>
      <w:r w:rsidRPr="006636DF">
        <w:t xml:space="preserve"> group (76%) based on a margin of -10% [difference (95% CI) 4.5% (-1.1%, 10.0%)]. The median change in CD4+ T cell count from baseline were 230 cells/mm3 in the group receiving </w:t>
      </w:r>
      <w:r w:rsidR="00FF0934" w:rsidRPr="006636DF">
        <w:t>TIVICAY</w:t>
      </w:r>
      <w:r w:rsidRPr="006636DF">
        <w:t xml:space="preserve"> and the </w:t>
      </w:r>
      <w:proofErr w:type="spellStart"/>
      <w:r w:rsidRPr="006636DF">
        <w:t>raltegravir</w:t>
      </w:r>
      <w:proofErr w:type="spellEnd"/>
      <w:r w:rsidRPr="006636DF">
        <w:t xml:space="preserve"> group at 48 weeks and 276 cells/mm3 in the group receiving dolutegravir compared to 264 cells/mm3 the </w:t>
      </w:r>
      <w:proofErr w:type="spellStart"/>
      <w:r w:rsidRPr="006636DF">
        <w:t>ral</w:t>
      </w:r>
      <w:r w:rsidR="007C6789">
        <w:t>tegravir</w:t>
      </w:r>
      <w:proofErr w:type="spellEnd"/>
      <w:r w:rsidR="007C6789">
        <w:t xml:space="preserve"> group at 96 weeks.</w:t>
      </w:r>
    </w:p>
    <w:p w14:paraId="3CECA77A" w14:textId="33847ED5" w:rsidR="007C6789" w:rsidRDefault="00D04C3D" w:rsidP="00DD3ACA">
      <w:pPr>
        <w:spacing w:after="160"/>
      </w:pPr>
      <w:r w:rsidRPr="006636DF">
        <w:t xml:space="preserve">In SINGLE, 833 patients were randomised and received at least one dose of either </w:t>
      </w:r>
      <w:r w:rsidR="00FF0934" w:rsidRPr="006636DF">
        <w:t>TIVICAY</w:t>
      </w:r>
      <w:r w:rsidR="006636DF">
        <w:t xml:space="preserve"> 50 mg </w:t>
      </w:r>
      <w:r w:rsidR="00D679A8">
        <w:t xml:space="preserve">film-coated tablets </w:t>
      </w:r>
      <w:r w:rsidR="006636DF">
        <w:t>once daily with fixed-</w:t>
      </w:r>
      <w:r w:rsidRPr="006636DF">
        <w:t>d</w:t>
      </w:r>
      <w:r w:rsidR="006636DF">
        <w:t>ose abacavir-</w:t>
      </w:r>
      <w:r w:rsidRPr="006636DF">
        <w:t>lami</w:t>
      </w:r>
      <w:r w:rsidR="006636DF">
        <w:t>vudine (DTG + ABC/3TC) or fixed-dose efavirenz-tenofovir-</w:t>
      </w:r>
      <w:r w:rsidRPr="006636DF">
        <w:t>emtricitabine (EFV/TDF/FTC). At baseline, median patient age was 35 years, 16% were female, 32% non</w:t>
      </w:r>
      <w:r w:rsidR="006636DF">
        <w:t>-</w:t>
      </w:r>
      <w:r w:rsidRPr="006636DF">
        <w:t>white, 7% had hepatitis C co</w:t>
      </w:r>
      <w:r w:rsidR="006636DF">
        <w:t>-</w:t>
      </w:r>
      <w:r w:rsidRPr="006636DF">
        <w:t>infection and 4% were CDC class C, these characteristics were si</w:t>
      </w:r>
      <w:r w:rsidR="007C6789">
        <w:t>milar between treatment groups.</w:t>
      </w:r>
    </w:p>
    <w:p w14:paraId="5DE1C3CB" w14:textId="222044BA" w:rsidR="007C6789" w:rsidRDefault="00D04C3D" w:rsidP="00DD3ACA">
      <w:pPr>
        <w:spacing w:after="160"/>
      </w:pPr>
      <w:r w:rsidRPr="006636DF">
        <w:t xml:space="preserve">In the SINGLE study at week 48, virologic suppression (HIV-1 RNA &lt; 50 copies/mL) in the </w:t>
      </w:r>
      <w:r w:rsidR="00FF0934" w:rsidRPr="006636DF">
        <w:t>TIVICAY</w:t>
      </w:r>
      <w:r w:rsidRPr="006636DF">
        <w:t xml:space="preserve"> + ABC/3TC arm was 88%, which was superior to the EFV/TDF/FTC arm (81%), based on the primary analysis (p = 0.003). At week 96, the percentage of participants virologically suppressed (i.e. having &lt; 50 copies/mL using a missing, switch or discontinuation = failure analysis) was 80% for those on the </w:t>
      </w:r>
      <w:r w:rsidR="00FF0934" w:rsidRPr="006636DF">
        <w:t>TIVICAY</w:t>
      </w:r>
      <w:r w:rsidRPr="006636DF">
        <w:t xml:space="preserve"> + ABC/3TC regimen vs. 72% for those on EFV/TDF/FTC [difference (95% CI) 8.0% (2.3%, 13.8%)]. The higher responses on DTG + ABC/3TC were driven by withdrawals due to AEs and m</w:t>
      </w:r>
      <w:r w:rsidR="007C6789">
        <w:t>issing data.</w:t>
      </w:r>
    </w:p>
    <w:p w14:paraId="392136BC" w14:textId="5B12C768" w:rsidR="007C6789" w:rsidRDefault="00D04C3D" w:rsidP="00DD3ACA">
      <w:pPr>
        <w:spacing w:after="160"/>
      </w:pPr>
      <w:r w:rsidRPr="006636DF">
        <w:t xml:space="preserve">The adjusted mean </w:t>
      </w:r>
      <w:proofErr w:type="gramStart"/>
      <w:r w:rsidRPr="006636DF">
        <w:t>change</w:t>
      </w:r>
      <w:proofErr w:type="gramEnd"/>
      <w:r w:rsidRPr="006636DF">
        <w:t xml:space="preserve"> in CD4+ T cell count from baseline were 267 cells/mm3 in the group receiving </w:t>
      </w:r>
      <w:r w:rsidR="00FF0934" w:rsidRPr="006636DF">
        <w:t>TIVICAY</w:t>
      </w:r>
      <w:r w:rsidRPr="006636DF">
        <w:t xml:space="preserve"> + ABC/3TC and 208 cells/mm3 for the EFV/TDF/FTC arm in SINGLE at 48 weeks. The adjusted difference and 95% CI </w:t>
      </w:r>
      <w:proofErr w:type="gramStart"/>
      <w:r w:rsidRPr="006636DF">
        <w:t>was</w:t>
      </w:r>
      <w:proofErr w:type="gramEnd"/>
      <w:r w:rsidRPr="006636DF">
        <w:t xml:space="preserve"> 58.9 (33.4, 84.4), p &lt; 0.001 (repeated measure model adjusting for the baseline stratification factors: baseline HIV-1 RNA and baseline CD4+ T cell count, among other factors). This analysis was pre</w:t>
      </w:r>
      <w:r w:rsidR="006636DF">
        <w:t>-</w:t>
      </w:r>
      <w:r w:rsidRPr="006636DF">
        <w:t xml:space="preserve">specified and adjusted for multiplicity. The median time to viral suppression was 28 days in the group receiving </w:t>
      </w:r>
      <w:r w:rsidR="00FF0934" w:rsidRPr="006636DF">
        <w:t>TIVICAY</w:t>
      </w:r>
      <w:r w:rsidRPr="006636DF">
        <w:t xml:space="preserve"> + ABC/3TC and 84 days in the EFV/TDF/FTC arm in SINGLE at 48 weeks (p &lt; 0.0001). This analysis was prespecified</w:t>
      </w:r>
      <w:r w:rsidR="007C6789">
        <w:t xml:space="preserve"> and adjusted for multiplicity.</w:t>
      </w:r>
    </w:p>
    <w:p w14:paraId="4A3DAB07" w14:textId="7A78BCDD" w:rsidR="007C6789" w:rsidRDefault="00D04C3D" w:rsidP="00DD3ACA">
      <w:pPr>
        <w:spacing w:after="160"/>
      </w:pPr>
      <w:r w:rsidRPr="006636DF">
        <w:t>At 144 weeks in the open-label phase, virologic suppression in the dolutegravir + ABC/3TC arm was 71% and in the EFV/TDF/FTC arm it was 63%, treatment dif</w:t>
      </w:r>
      <w:r w:rsidR="007C6789">
        <w:t>ference was 8.3% (2.0%, 14.6%).</w:t>
      </w:r>
    </w:p>
    <w:p w14:paraId="3AD7187D" w14:textId="0DFA9EF1" w:rsidR="007C6789" w:rsidRDefault="00D04C3D" w:rsidP="00DD3ACA">
      <w:pPr>
        <w:spacing w:after="160"/>
      </w:pPr>
      <w:r w:rsidRPr="006636DF">
        <w:t xml:space="preserve">The primary endpoint and other week 48 outcomes (including outcomes by key baseline covariates) for SPRING-2 and SINGLE are shown in Table </w:t>
      </w:r>
      <w:r w:rsidR="00EB2692">
        <w:t>5</w:t>
      </w:r>
      <w:r w:rsidR="007C6789">
        <w:t>.</w:t>
      </w:r>
    </w:p>
    <w:p w14:paraId="68D3514B" w14:textId="1BC34A29" w:rsidR="0034449A" w:rsidRPr="00D4563C" w:rsidRDefault="0034449A" w:rsidP="005D7F85">
      <w:pPr>
        <w:keepNext/>
        <w:spacing w:after="160"/>
        <w:ind w:left="1440" w:hanging="1440"/>
      </w:pPr>
      <w:r w:rsidRPr="006636DF">
        <w:rPr>
          <w:b/>
        </w:rPr>
        <w:lastRenderedPageBreak/>
        <w:t xml:space="preserve">Table </w:t>
      </w:r>
      <w:r w:rsidR="00EB2692">
        <w:rPr>
          <w:b/>
        </w:rPr>
        <w:t>5</w:t>
      </w:r>
      <w:r w:rsidR="005D7F85">
        <w:rPr>
          <w:b/>
        </w:rPr>
        <w:tab/>
      </w:r>
      <w:r w:rsidRPr="006636DF">
        <w:rPr>
          <w:b/>
        </w:rPr>
        <w:t>Virologic Outcomes of Randomised Treatment of SPRING-2 and SINGLE a</w:t>
      </w:r>
      <w:r w:rsidR="00550A02">
        <w:rPr>
          <w:b/>
        </w:rPr>
        <w:t>t 48 Weeks (Snapshot algorithm-</w:t>
      </w:r>
      <w:r w:rsidRPr="006636DF">
        <w:rPr>
          <w:b/>
        </w:rPr>
        <w:t>missing, switch or discontinuation =</w:t>
      </w:r>
      <w:r w:rsidR="00825890" w:rsidRPr="006636DF">
        <w:rPr>
          <w:b/>
        </w:rPr>
        <w:t xml:space="preserve"> </w:t>
      </w:r>
      <w:r w:rsidRPr="006636DF">
        <w:rPr>
          <w:b/>
        </w:rPr>
        <w:t>failure)</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530"/>
        <w:gridCol w:w="1800"/>
        <w:gridCol w:w="1530"/>
        <w:gridCol w:w="1530"/>
      </w:tblGrid>
      <w:tr w:rsidR="0034449A" w:rsidRPr="00D4563C" w14:paraId="66D88DDF" w14:textId="77777777" w:rsidTr="005947F4">
        <w:trPr>
          <w:tblHeader/>
        </w:trPr>
        <w:tc>
          <w:tcPr>
            <w:tcW w:w="2785" w:type="dxa"/>
          </w:tcPr>
          <w:p w14:paraId="0DE29AF1" w14:textId="77777777" w:rsidR="0034449A" w:rsidRPr="00F9575F" w:rsidRDefault="0034449A" w:rsidP="002A49AC">
            <w:pPr>
              <w:pStyle w:val="tabletextNS"/>
              <w:keepNext/>
              <w:rPr>
                <w:rFonts w:ascii="Arial" w:hAnsi="Arial" w:cs="Arial"/>
                <w:sz w:val="20"/>
              </w:rPr>
            </w:pPr>
          </w:p>
        </w:tc>
        <w:tc>
          <w:tcPr>
            <w:tcW w:w="3330" w:type="dxa"/>
            <w:gridSpan w:val="2"/>
          </w:tcPr>
          <w:p w14:paraId="495ECA38" w14:textId="77777777" w:rsidR="0034449A" w:rsidRPr="00F9575F" w:rsidRDefault="0034449A" w:rsidP="002A49AC">
            <w:pPr>
              <w:pStyle w:val="tabletextNS"/>
              <w:keepNext/>
              <w:jc w:val="center"/>
              <w:rPr>
                <w:rFonts w:ascii="Arial" w:hAnsi="Arial" w:cs="Arial"/>
                <w:b/>
                <w:sz w:val="20"/>
              </w:rPr>
            </w:pPr>
            <w:r w:rsidRPr="00F9575F">
              <w:rPr>
                <w:rFonts w:ascii="Arial" w:hAnsi="Arial" w:cs="Arial"/>
                <w:b/>
                <w:sz w:val="20"/>
              </w:rPr>
              <w:t>SPRING-2</w:t>
            </w:r>
          </w:p>
        </w:tc>
        <w:tc>
          <w:tcPr>
            <w:tcW w:w="3060" w:type="dxa"/>
            <w:gridSpan w:val="2"/>
          </w:tcPr>
          <w:p w14:paraId="5480A8CC" w14:textId="77777777" w:rsidR="0034449A" w:rsidRPr="00F9575F" w:rsidRDefault="0034449A" w:rsidP="002A49AC">
            <w:pPr>
              <w:pStyle w:val="tabletextNS"/>
              <w:keepNext/>
              <w:jc w:val="center"/>
              <w:rPr>
                <w:rFonts w:ascii="Arial" w:hAnsi="Arial" w:cs="Arial"/>
                <w:b/>
                <w:sz w:val="20"/>
              </w:rPr>
            </w:pPr>
            <w:r w:rsidRPr="00F9575F">
              <w:rPr>
                <w:rFonts w:ascii="Arial" w:hAnsi="Arial" w:cs="Arial"/>
                <w:b/>
                <w:sz w:val="20"/>
              </w:rPr>
              <w:t>SINGLE</w:t>
            </w:r>
          </w:p>
        </w:tc>
      </w:tr>
      <w:tr w:rsidR="0034449A" w:rsidRPr="00D4563C" w14:paraId="0A2BAE81" w14:textId="77777777" w:rsidTr="00047545">
        <w:trPr>
          <w:trHeight w:val="1203"/>
          <w:tblHeader/>
        </w:trPr>
        <w:tc>
          <w:tcPr>
            <w:tcW w:w="2785" w:type="dxa"/>
          </w:tcPr>
          <w:p w14:paraId="1CC79634" w14:textId="77777777" w:rsidR="0034449A" w:rsidRPr="00F9575F" w:rsidRDefault="0034449A" w:rsidP="002E032B">
            <w:pPr>
              <w:pStyle w:val="tabletextNS"/>
              <w:rPr>
                <w:rFonts w:ascii="Arial" w:hAnsi="Arial" w:cs="Arial"/>
                <w:sz w:val="20"/>
              </w:rPr>
            </w:pPr>
          </w:p>
        </w:tc>
        <w:tc>
          <w:tcPr>
            <w:tcW w:w="1530" w:type="dxa"/>
          </w:tcPr>
          <w:p w14:paraId="2FDA1BD6" w14:textId="77777777" w:rsidR="0034449A" w:rsidRPr="00F9575F" w:rsidRDefault="0034449A" w:rsidP="002E032B">
            <w:pPr>
              <w:pStyle w:val="tabletextNS"/>
              <w:jc w:val="center"/>
              <w:rPr>
                <w:rFonts w:cs="Arial"/>
                <w:b/>
                <w:sz w:val="20"/>
              </w:rPr>
            </w:pPr>
            <w:r w:rsidRPr="00F9575F">
              <w:rPr>
                <w:rFonts w:cs="Arial"/>
                <w:b/>
                <w:sz w:val="20"/>
              </w:rPr>
              <w:t>TIVICAY 50 mg Once Daily + 2 NRTI</w:t>
            </w:r>
          </w:p>
          <w:p w14:paraId="5D6ABD80" w14:textId="77777777" w:rsidR="0034449A" w:rsidRPr="00F9575F" w:rsidRDefault="0034449A" w:rsidP="002E032B">
            <w:pPr>
              <w:pStyle w:val="tabletextNS"/>
              <w:jc w:val="center"/>
              <w:rPr>
                <w:rFonts w:cs="Arial"/>
                <w:b/>
                <w:sz w:val="20"/>
              </w:rPr>
            </w:pPr>
            <w:r w:rsidRPr="00F9575F">
              <w:rPr>
                <w:rFonts w:cs="Arial"/>
                <w:b/>
                <w:sz w:val="20"/>
              </w:rPr>
              <w:t>N=411</w:t>
            </w:r>
          </w:p>
        </w:tc>
        <w:tc>
          <w:tcPr>
            <w:tcW w:w="1800" w:type="dxa"/>
          </w:tcPr>
          <w:p w14:paraId="62F4D2C1" w14:textId="77777777" w:rsidR="0034449A" w:rsidRPr="00F9575F" w:rsidRDefault="0034449A" w:rsidP="002E032B">
            <w:pPr>
              <w:pStyle w:val="tabletextNS"/>
              <w:jc w:val="center"/>
              <w:rPr>
                <w:rFonts w:cs="Arial"/>
                <w:b/>
                <w:sz w:val="20"/>
              </w:rPr>
            </w:pPr>
            <w:r w:rsidRPr="00F9575F">
              <w:rPr>
                <w:rFonts w:cs="Arial"/>
                <w:b/>
                <w:sz w:val="20"/>
              </w:rPr>
              <w:t>RAL 400 mg Twice Daily + 2 NRTI</w:t>
            </w:r>
          </w:p>
          <w:p w14:paraId="65462E99" w14:textId="77777777" w:rsidR="0034449A" w:rsidRPr="00F9575F" w:rsidRDefault="0034449A" w:rsidP="002E032B">
            <w:pPr>
              <w:pStyle w:val="tabletextNS"/>
              <w:jc w:val="center"/>
              <w:rPr>
                <w:rFonts w:cs="Arial"/>
                <w:b/>
                <w:sz w:val="20"/>
              </w:rPr>
            </w:pPr>
            <w:r w:rsidRPr="00F9575F">
              <w:rPr>
                <w:rFonts w:cs="Arial"/>
                <w:b/>
                <w:sz w:val="20"/>
              </w:rPr>
              <w:t>N=411</w:t>
            </w:r>
          </w:p>
        </w:tc>
        <w:tc>
          <w:tcPr>
            <w:tcW w:w="1530" w:type="dxa"/>
          </w:tcPr>
          <w:p w14:paraId="5076806B" w14:textId="04F2738F" w:rsidR="0034449A" w:rsidRPr="00F9575F" w:rsidRDefault="0034449A" w:rsidP="002E032B">
            <w:pPr>
              <w:pStyle w:val="tabletextNS"/>
              <w:jc w:val="center"/>
              <w:rPr>
                <w:rFonts w:cs="Arial"/>
                <w:b/>
                <w:sz w:val="20"/>
              </w:rPr>
            </w:pPr>
            <w:r w:rsidRPr="00F9575F">
              <w:rPr>
                <w:rFonts w:cs="Arial"/>
                <w:b/>
                <w:sz w:val="20"/>
              </w:rPr>
              <w:t>TIVICAY 50 mg + ABC/3TC Once Daily</w:t>
            </w:r>
          </w:p>
          <w:p w14:paraId="6D2964BB" w14:textId="77777777" w:rsidR="0034449A" w:rsidRPr="00F9575F" w:rsidRDefault="0034449A" w:rsidP="002E032B">
            <w:pPr>
              <w:pStyle w:val="tabletextNS"/>
              <w:jc w:val="center"/>
              <w:rPr>
                <w:rFonts w:cs="Arial"/>
                <w:b/>
                <w:sz w:val="20"/>
              </w:rPr>
            </w:pPr>
            <w:r w:rsidRPr="00F9575F">
              <w:rPr>
                <w:rFonts w:cs="Arial"/>
                <w:b/>
                <w:sz w:val="20"/>
              </w:rPr>
              <w:t>N=414</w:t>
            </w:r>
          </w:p>
        </w:tc>
        <w:tc>
          <w:tcPr>
            <w:tcW w:w="1530" w:type="dxa"/>
          </w:tcPr>
          <w:p w14:paraId="680A4E4C" w14:textId="77777777" w:rsidR="0034449A" w:rsidRPr="00F9575F" w:rsidRDefault="0034449A" w:rsidP="002E032B">
            <w:pPr>
              <w:pStyle w:val="tabletextNS"/>
              <w:jc w:val="center"/>
              <w:rPr>
                <w:rFonts w:cs="Arial"/>
                <w:b/>
                <w:sz w:val="20"/>
              </w:rPr>
            </w:pPr>
            <w:r w:rsidRPr="00F9575F">
              <w:rPr>
                <w:rFonts w:cs="Arial"/>
                <w:b/>
                <w:sz w:val="20"/>
              </w:rPr>
              <w:t>EFV/TDF/FTC Once Daily</w:t>
            </w:r>
          </w:p>
          <w:p w14:paraId="6E6A96E5" w14:textId="77777777" w:rsidR="0034449A" w:rsidRPr="00F9575F" w:rsidRDefault="0034449A" w:rsidP="002E032B">
            <w:pPr>
              <w:pStyle w:val="tabletextNS"/>
              <w:jc w:val="center"/>
              <w:rPr>
                <w:rFonts w:cs="Arial"/>
                <w:b/>
                <w:sz w:val="20"/>
              </w:rPr>
            </w:pPr>
            <w:r w:rsidRPr="00F9575F">
              <w:rPr>
                <w:rFonts w:cs="Arial"/>
                <w:b/>
                <w:sz w:val="20"/>
              </w:rPr>
              <w:t>N=419</w:t>
            </w:r>
          </w:p>
        </w:tc>
      </w:tr>
      <w:tr w:rsidR="0034449A" w:rsidRPr="00D4563C" w14:paraId="6D7FD54D" w14:textId="77777777" w:rsidTr="005947F4">
        <w:tc>
          <w:tcPr>
            <w:tcW w:w="2785" w:type="dxa"/>
            <w:vAlign w:val="center"/>
          </w:tcPr>
          <w:p w14:paraId="48D24023" w14:textId="77777777" w:rsidR="0034449A" w:rsidRPr="00F9575F" w:rsidRDefault="0034449A" w:rsidP="002E032B">
            <w:pPr>
              <w:pStyle w:val="tabletextNS"/>
              <w:rPr>
                <w:rFonts w:cs="Arial"/>
                <w:b/>
                <w:sz w:val="20"/>
              </w:rPr>
            </w:pPr>
            <w:r w:rsidRPr="00F9575F">
              <w:rPr>
                <w:rFonts w:cs="Arial"/>
                <w:b/>
                <w:sz w:val="20"/>
              </w:rPr>
              <w:t>HIV-1 RNA &lt;</w:t>
            </w:r>
            <w:r w:rsidR="00DB7A97" w:rsidRPr="00F9575F">
              <w:rPr>
                <w:rFonts w:cs="Arial"/>
                <w:b/>
                <w:sz w:val="20"/>
              </w:rPr>
              <w:t xml:space="preserve"> </w:t>
            </w:r>
            <w:r w:rsidRPr="00F9575F">
              <w:rPr>
                <w:rFonts w:cs="Arial"/>
                <w:b/>
                <w:sz w:val="20"/>
              </w:rPr>
              <w:t>50 copies/mL</w:t>
            </w:r>
          </w:p>
        </w:tc>
        <w:tc>
          <w:tcPr>
            <w:tcW w:w="1530" w:type="dxa"/>
          </w:tcPr>
          <w:p w14:paraId="44F35E2C" w14:textId="77777777" w:rsidR="0034449A" w:rsidRPr="00F9575F" w:rsidRDefault="0034449A" w:rsidP="002E032B">
            <w:pPr>
              <w:pStyle w:val="tabletextNS"/>
              <w:jc w:val="center"/>
              <w:rPr>
                <w:rFonts w:cs="Arial"/>
                <w:sz w:val="20"/>
              </w:rPr>
            </w:pPr>
            <w:r w:rsidRPr="00F9575F">
              <w:rPr>
                <w:rFonts w:cs="Arial"/>
                <w:sz w:val="20"/>
              </w:rPr>
              <w:t>88%</w:t>
            </w:r>
          </w:p>
        </w:tc>
        <w:tc>
          <w:tcPr>
            <w:tcW w:w="1800" w:type="dxa"/>
          </w:tcPr>
          <w:p w14:paraId="4770A78F" w14:textId="77777777" w:rsidR="0034449A" w:rsidRPr="00F9575F" w:rsidRDefault="0034449A" w:rsidP="002E032B">
            <w:pPr>
              <w:pStyle w:val="tabletextNS"/>
              <w:jc w:val="center"/>
              <w:rPr>
                <w:rFonts w:cs="Arial"/>
                <w:sz w:val="20"/>
              </w:rPr>
            </w:pPr>
            <w:r w:rsidRPr="00F9575F">
              <w:rPr>
                <w:rFonts w:cs="Arial"/>
                <w:sz w:val="20"/>
              </w:rPr>
              <w:t>85%</w:t>
            </w:r>
          </w:p>
        </w:tc>
        <w:tc>
          <w:tcPr>
            <w:tcW w:w="1530" w:type="dxa"/>
          </w:tcPr>
          <w:p w14:paraId="47D8F02A" w14:textId="77777777" w:rsidR="0034449A" w:rsidRPr="00F9575F" w:rsidRDefault="0034449A" w:rsidP="002E032B">
            <w:pPr>
              <w:pStyle w:val="tabletextNS"/>
              <w:jc w:val="center"/>
              <w:rPr>
                <w:rFonts w:cs="Arial"/>
                <w:sz w:val="20"/>
              </w:rPr>
            </w:pPr>
            <w:r w:rsidRPr="00F9575F">
              <w:rPr>
                <w:rFonts w:cs="Arial"/>
                <w:sz w:val="20"/>
              </w:rPr>
              <w:t>88%</w:t>
            </w:r>
          </w:p>
        </w:tc>
        <w:tc>
          <w:tcPr>
            <w:tcW w:w="1530" w:type="dxa"/>
          </w:tcPr>
          <w:p w14:paraId="68826594" w14:textId="77777777" w:rsidR="0034449A" w:rsidRPr="00F9575F" w:rsidRDefault="0034449A" w:rsidP="002E032B">
            <w:pPr>
              <w:pStyle w:val="tabletextNS"/>
              <w:jc w:val="center"/>
              <w:rPr>
                <w:rFonts w:cs="Arial"/>
                <w:sz w:val="20"/>
              </w:rPr>
            </w:pPr>
            <w:r w:rsidRPr="00F9575F">
              <w:rPr>
                <w:rFonts w:cs="Arial"/>
                <w:sz w:val="20"/>
              </w:rPr>
              <w:t>81%</w:t>
            </w:r>
          </w:p>
        </w:tc>
      </w:tr>
      <w:tr w:rsidR="0034449A" w:rsidRPr="00D4563C" w14:paraId="30D019DF" w14:textId="77777777" w:rsidTr="005947F4">
        <w:trPr>
          <w:trHeight w:val="598"/>
        </w:trPr>
        <w:tc>
          <w:tcPr>
            <w:tcW w:w="2785" w:type="dxa"/>
            <w:vAlign w:val="center"/>
          </w:tcPr>
          <w:p w14:paraId="5C26D272" w14:textId="77777777" w:rsidR="0034449A" w:rsidRPr="00F9575F" w:rsidRDefault="00825890" w:rsidP="002E032B">
            <w:pPr>
              <w:pStyle w:val="tabletextNS"/>
              <w:ind w:left="-112"/>
              <w:rPr>
                <w:rFonts w:cs="Arial"/>
                <w:b/>
                <w:sz w:val="20"/>
              </w:rPr>
            </w:pPr>
            <w:r w:rsidRPr="00F9575F">
              <w:rPr>
                <w:rFonts w:cs="Arial"/>
                <w:b/>
                <w:sz w:val="20"/>
              </w:rPr>
              <w:t xml:space="preserve"> </w:t>
            </w:r>
            <w:r w:rsidR="0034449A" w:rsidRPr="00F9575F">
              <w:rPr>
                <w:rFonts w:cs="Arial"/>
                <w:b/>
                <w:sz w:val="20"/>
              </w:rPr>
              <w:t>Treatment Difference*</w:t>
            </w:r>
          </w:p>
        </w:tc>
        <w:tc>
          <w:tcPr>
            <w:tcW w:w="3330" w:type="dxa"/>
            <w:gridSpan w:val="2"/>
            <w:vAlign w:val="center"/>
          </w:tcPr>
          <w:p w14:paraId="586459C5" w14:textId="77777777" w:rsidR="0034449A" w:rsidRPr="00F9575F" w:rsidRDefault="0034449A" w:rsidP="002E032B">
            <w:pPr>
              <w:pStyle w:val="tabletextNS"/>
              <w:jc w:val="center"/>
              <w:rPr>
                <w:rFonts w:cs="Arial"/>
                <w:sz w:val="20"/>
              </w:rPr>
            </w:pPr>
            <w:r w:rsidRPr="00F9575F">
              <w:rPr>
                <w:rFonts w:cs="Arial"/>
                <w:sz w:val="20"/>
              </w:rPr>
              <w:t>2.5% (95% CI: -2.2%, 7.1%)</w:t>
            </w:r>
          </w:p>
        </w:tc>
        <w:tc>
          <w:tcPr>
            <w:tcW w:w="3060" w:type="dxa"/>
            <w:gridSpan w:val="2"/>
            <w:vAlign w:val="center"/>
          </w:tcPr>
          <w:p w14:paraId="1CD4CC29" w14:textId="77777777" w:rsidR="0034449A" w:rsidRPr="00F9575F" w:rsidRDefault="0034449A" w:rsidP="002E032B">
            <w:pPr>
              <w:pStyle w:val="tabletextNS"/>
              <w:jc w:val="center"/>
              <w:rPr>
                <w:rFonts w:cs="Arial"/>
                <w:sz w:val="20"/>
              </w:rPr>
            </w:pPr>
            <w:r w:rsidRPr="00F9575F">
              <w:rPr>
                <w:rFonts w:cs="Arial"/>
                <w:sz w:val="20"/>
              </w:rPr>
              <w:t>7.4% (95% CI: 2.5%, 12.3%)</w:t>
            </w:r>
          </w:p>
          <w:p w14:paraId="2AA90275" w14:textId="77777777" w:rsidR="0034449A" w:rsidRPr="00F9575F" w:rsidRDefault="0034449A" w:rsidP="002E032B">
            <w:pPr>
              <w:pStyle w:val="tabletextNS"/>
              <w:jc w:val="center"/>
              <w:rPr>
                <w:rFonts w:cs="Arial"/>
                <w:sz w:val="20"/>
              </w:rPr>
            </w:pPr>
            <w:r w:rsidRPr="00F9575F">
              <w:rPr>
                <w:rFonts w:cs="Arial"/>
                <w:sz w:val="20"/>
              </w:rPr>
              <w:t>P=0.003</w:t>
            </w:r>
          </w:p>
        </w:tc>
      </w:tr>
      <w:tr w:rsidR="0034449A" w:rsidRPr="00D4563C" w14:paraId="7181D180" w14:textId="77777777" w:rsidTr="005947F4">
        <w:tc>
          <w:tcPr>
            <w:tcW w:w="2785" w:type="dxa"/>
          </w:tcPr>
          <w:p w14:paraId="3A7D51E9" w14:textId="77777777" w:rsidR="0034449A" w:rsidRPr="00F9575F" w:rsidRDefault="0034449A" w:rsidP="002E032B">
            <w:pPr>
              <w:pStyle w:val="tabletextNS"/>
              <w:rPr>
                <w:rFonts w:cs="Arial"/>
                <w:b/>
                <w:sz w:val="20"/>
              </w:rPr>
            </w:pPr>
            <w:r w:rsidRPr="00F9575F">
              <w:rPr>
                <w:rFonts w:cs="Arial"/>
                <w:b/>
                <w:sz w:val="20"/>
              </w:rPr>
              <w:t xml:space="preserve">Virologic </w:t>
            </w:r>
            <w:proofErr w:type="gramStart"/>
            <w:r w:rsidRPr="00F9575F">
              <w:rPr>
                <w:rFonts w:cs="Arial"/>
                <w:b/>
                <w:sz w:val="20"/>
              </w:rPr>
              <w:t>non response</w:t>
            </w:r>
            <w:proofErr w:type="gramEnd"/>
            <w:r w:rsidRPr="00F9575F">
              <w:rPr>
                <w:rFonts w:cs="Arial"/>
                <w:b/>
                <w:sz w:val="20"/>
              </w:rPr>
              <w:t xml:space="preserve">† </w:t>
            </w:r>
          </w:p>
        </w:tc>
        <w:tc>
          <w:tcPr>
            <w:tcW w:w="1530" w:type="dxa"/>
            <w:vAlign w:val="center"/>
          </w:tcPr>
          <w:p w14:paraId="74BC1F93" w14:textId="77777777" w:rsidR="0034449A" w:rsidRPr="00F9575F" w:rsidRDefault="0034449A" w:rsidP="002E032B">
            <w:pPr>
              <w:pStyle w:val="tabletextNS"/>
              <w:jc w:val="center"/>
              <w:rPr>
                <w:rFonts w:cs="Arial"/>
                <w:sz w:val="20"/>
              </w:rPr>
            </w:pPr>
            <w:r w:rsidRPr="00F9575F">
              <w:rPr>
                <w:rFonts w:cs="Arial"/>
                <w:sz w:val="20"/>
              </w:rPr>
              <w:t>5%</w:t>
            </w:r>
          </w:p>
        </w:tc>
        <w:tc>
          <w:tcPr>
            <w:tcW w:w="1800" w:type="dxa"/>
          </w:tcPr>
          <w:p w14:paraId="701432A0" w14:textId="77777777" w:rsidR="0034449A" w:rsidRPr="00F9575F" w:rsidRDefault="0034449A" w:rsidP="002E032B">
            <w:pPr>
              <w:pStyle w:val="tabletextNS"/>
              <w:jc w:val="center"/>
              <w:rPr>
                <w:rFonts w:cs="Arial"/>
                <w:sz w:val="20"/>
              </w:rPr>
            </w:pPr>
            <w:r w:rsidRPr="00F9575F">
              <w:rPr>
                <w:rFonts w:cs="Arial"/>
                <w:sz w:val="20"/>
              </w:rPr>
              <w:t>8%</w:t>
            </w:r>
          </w:p>
        </w:tc>
        <w:tc>
          <w:tcPr>
            <w:tcW w:w="1530" w:type="dxa"/>
          </w:tcPr>
          <w:p w14:paraId="51E71770" w14:textId="77777777" w:rsidR="0034449A" w:rsidRPr="00F9575F" w:rsidRDefault="0034449A" w:rsidP="002E032B">
            <w:pPr>
              <w:pStyle w:val="tabletextNS"/>
              <w:jc w:val="center"/>
              <w:rPr>
                <w:rFonts w:cs="Arial"/>
                <w:sz w:val="20"/>
              </w:rPr>
            </w:pPr>
            <w:r w:rsidRPr="00F9575F">
              <w:rPr>
                <w:rFonts w:cs="Arial"/>
                <w:sz w:val="20"/>
              </w:rPr>
              <w:t>5%</w:t>
            </w:r>
          </w:p>
        </w:tc>
        <w:tc>
          <w:tcPr>
            <w:tcW w:w="1530" w:type="dxa"/>
          </w:tcPr>
          <w:p w14:paraId="297B1282" w14:textId="77777777" w:rsidR="0034449A" w:rsidRPr="00F9575F" w:rsidRDefault="0034449A" w:rsidP="002E032B">
            <w:pPr>
              <w:pStyle w:val="tabletextNS"/>
              <w:jc w:val="center"/>
              <w:rPr>
                <w:rFonts w:cs="Arial"/>
                <w:sz w:val="20"/>
              </w:rPr>
            </w:pPr>
            <w:r w:rsidRPr="00F9575F">
              <w:rPr>
                <w:rFonts w:cs="Arial"/>
                <w:sz w:val="20"/>
              </w:rPr>
              <w:t>6%</w:t>
            </w:r>
          </w:p>
        </w:tc>
      </w:tr>
      <w:tr w:rsidR="0034449A" w:rsidRPr="00D4563C" w14:paraId="37899C52" w14:textId="77777777" w:rsidTr="005947F4">
        <w:tc>
          <w:tcPr>
            <w:tcW w:w="2785" w:type="dxa"/>
          </w:tcPr>
          <w:p w14:paraId="1C4F1842" w14:textId="77777777" w:rsidR="0034449A" w:rsidRPr="00F9575F" w:rsidRDefault="0034449A" w:rsidP="002E032B">
            <w:pPr>
              <w:pStyle w:val="tabletextNS"/>
              <w:rPr>
                <w:rFonts w:cs="Arial"/>
                <w:b/>
                <w:sz w:val="20"/>
              </w:rPr>
            </w:pPr>
            <w:r w:rsidRPr="00F9575F">
              <w:rPr>
                <w:rFonts w:cs="Arial"/>
                <w:b/>
                <w:sz w:val="20"/>
              </w:rPr>
              <w:t xml:space="preserve">No virologic data at Week 48 window </w:t>
            </w:r>
          </w:p>
        </w:tc>
        <w:tc>
          <w:tcPr>
            <w:tcW w:w="1530" w:type="dxa"/>
            <w:vAlign w:val="center"/>
          </w:tcPr>
          <w:p w14:paraId="21626017" w14:textId="77777777" w:rsidR="0034449A" w:rsidRPr="00F9575F" w:rsidRDefault="0034449A" w:rsidP="002E032B">
            <w:pPr>
              <w:pStyle w:val="tabletextNS"/>
              <w:jc w:val="center"/>
              <w:rPr>
                <w:rFonts w:cs="Arial"/>
                <w:sz w:val="20"/>
              </w:rPr>
            </w:pPr>
            <w:r w:rsidRPr="00F9575F">
              <w:rPr>
                <w:rFonts w:cs="Arial"/>
                <w:sz w:val="20"/>
              </w:rPr>
              <w:t>7%</w:t>
            </w:r>
          </w:p>
        </w:tc>
        <w:tc>
          <w:tcPr>
            <w:tcW w:w="1800" w:type="dxa"/>
            <w:vAlign w:val="center"/>
          </w:tcPr>
          <w:p w14:paraId="560D0A1A" w14:textId="77777777" w:rsidR="0034449A" w:rsidRPr="00F9575F" w:rsidRDefault="0034449A" w:rsidP="002E032B">
            <w:pPr>
              <w:pStyle w:val="tabletextNS"/>
              <w:jc w:val="center"/>
              <w:rPr>
                <w:rFonts w:cs="Arial"/>
                <w:sz w:val="20"/>
              </w:rPr>
            </w:pPr>
            <w:r w:rsidRPr="00F9575F">
              <w:rPr>
                <w:rFonts w:cs="Arial"/>
                <w:sz w:val="20"/>
              </w:rPr>
              <w:t>7%</w:t>
            </w:r>
          </w:p>
        </w:tc>
        <w:tc>
          <w:tcPr>
            <w:tcW w:w="1530" w:type="dxa"/>
            <w:vAlign w:val="center"/>
          </w:tcPr>
          <w:p w14:paraId="4D4966AE" w14:textId="77777777" w:rsidR="0034449A" w:rsidRPr="00F9575F" w:rsidRDefault="0034449A" w:rsidP="002E032B">
            <w:pPr>
              <w:pStyle w:val="tabletextNS"/>
              <w:jc w:val="center"/>
              <w:rPr>
                <w:rFonts w:cs="Arial"/>
                <w:sz w:val="20"/>
              </w:rPr>
            </w:pPr>
            <w:r w:rsidRPr="00F9575F">
              <w:rPr>
                <w:rFonts w:cs="Arial"/>
                <w:sz w:val="20"/>
              </w:rPr>
              <w:t>7%</w:t>
            </w:r>
          </w:p>
        </w:tc>
        <w:tc>
          <w:tcPr>
            <w:tcW w:w="1530" w:type="dxa"/>
            <w:vAlign w:val="center"/>
          </w:tcPr>
          <w:p w14:paraId="13F4F5E2" w14:textId="77777777" w:rsidR="0034449A" w:rsidRPr="00F9575F" w:rsidRDefault="0034449A" w:rsidP="002E032B">
            <w:pPr>
              <w:pStyle w:val="tabletextNS"/>
              <w:jc w:val="center"/>
              <w:rPr>
                <w:rFonts w:cs="Arial"/>
                <w:sz w:val="20"/>
              </w:rPr>
            </w:pPr>
            <w:r w:rsidRPr="00F9575F">
              <w:rPr>
                <w:rFonts w:cs="Arial"/>
                <w:sz w:val="20"/>
              </w:rPr>
              <w:t>13%</w:t>
            </w:r>
          </w:p>
        </w:tc>
      </w:tr>
      <w:tr w:rsidR="0034449A" w:rsidRPr="00D4563C" w14:paraId="76C82CC6" w14:textId="77777777" w:rsidTr="005947F4">
        <w:tc>
          <w:tcPr>
            <w:tcW w:w="2785" w:type="dxa"/>
          </w:tcPr>
          <w:p w14:paraId="353EB8A0" w14:textId="77777777" w:rsidR="0034449A" w:rsidRPr="00F9575F" w:rsidRDefault="0034449A" w:rsidP="002E032B">
            <w:pPr>
              <w:pStyle w:val="tabletextNS"/>
              <w:rPr>
                <w:rFonts w:cs="Arial"/>
                <w:b/>
                <w:sz w:val="20"/>
                <w:u w:val="single"/>
              </w:rPr>
            </w:pPr>
            <w:r w:rsidRPr="00F9575F">
              <w:rPr>
                <w:rFonts w:cs="Arial"/>
                <w:sz w:val="20"/>
                <w:u w:val="single"/>
              </w:rPr>
              <w:t>Reasons</w:t>
            </w:r>
          </w:p>
        </w:tc>
        <w:tc>
          <w:tcPr>
            <w:tcW w:w="1530" w:type="dxa"/>
            <w:vAlign w:val="center"/>
          </w:tcPr>
          <w:p w14:paraId="423DACDD" w14:textId="77777777" w:rsidR="0034449A" w:rsidRPr="00F9575F" w:rsidRDefault="0034449A" w:rsidP="002E032B">
            <w:pPr>
              <w:pStyle w:val="tabletextNS"/>
              <w:jc w:val="center"/>
              <w:rPr>
                <w:rFonts w:cs="Arial"/>
                <w:sz w:val="20"/>
              </w:rPr>
            </w:pPr>
          </w:p>
        </w:tc>
        <w:tc>
          <w:tcPr>
            <w:tcW w:w="1800" w:type="dxa"/>
            <w:vAlign w:val="center"/>
          </w:tcPr>
          <w:p w14:paraId="531D72D9" w14:textId="77777777" w:rsidR="0034449A" w:rsidRPr="00F9575F" w:rsidRDefault="0034449A" w:rsidP="002E032B">
            <w:pPr>
              <w:pStyle w:val="tabletextNS"/>
              <w:jc w:val="center"/>
              <w:rPr>
                <w:rFonts w:cs="Arial"/>
                <w:sz w:val="20"/>
              </w:rPr>
            </w:pPr>
          </w:p>
        </w:tc>
        <w:tc>
          <w:tcPr>
            <w:tcW w:w="1530" w:type="dxa"/>
            <w:vAlign w:val="center"/>
          </w:tcPr>
          <w:p w14:paraId="2BCBE37F" w14:textId="77777777" w:rsidR="0034449A" w:rsidRPr="00F9575F" w:rsidRDefault="0034449A" w:rsidP="002E032B">
            <w:pPr>
              <w:pStyle w:val="tabletextNS"/>
              <w:jc w:val="center"/>
              <w:rPr>
                <w:rFonts w:cs="Arial"/>
                <w:sz w:val="20"/>
              </w:rPr>
            </w:pPr>
          </w:p>
        </w:tc>
        <w:tc>
          <w:tcPr>
            <w:tcW w:w="1530" w:type="dxa"/>
            <w:vAlign w:val="center"/>
          </w:tcPr>
          <w:p w14:paraId="47E351DB" w14:textId="77777777" w:rsidR="0034449A" w:rsidRPr="00F9575F" w:rsidRDefault="0034449A" w:rsidP="002E032B">
            <w:pPr>
              <w:pStyle w:val="tabletextNS"/>
              <w:jc w:val="center"/>
              <w:rPr>
                <w:rFonts w:cs="Arial"/>
                <w:sz w:val="20"/>
              </w:rPr>
            </w:pPr>
          </w:p>
        </w:tc>
      </w:tr>
      <w:tr w:rsidR="0034449A" w:rsidRPr="00D4563C" w14:paraId="24C87329" w14:textId="77777777" w:rsidTr="005947F4">
        <w:tc>
          <w:tcPr>
            <w:tcW w:w="2785" w:type="dxa"/>
          </w:tcPr>
          <w:p w14:paraId="786AAF8C" w14:textId="77777777" w:rsidR="0034449A" w:rsidRPr="00F9575F" w:rsidRDefault="0034449A" w:rsidP="002E032B">
            <w:pPr>
              <w:pStyle w:val="tabletextNS"/>
              <w:rPr>
                <w:rFonts w:cs="Arial"/>
                <w:sz w:val="20"/>
              </w:rPr>
            </w:pPr>
            <w:r w:rsidRPr="00F9575F">
              <w:rPr>
                <w:rFonts w:cs="Arial"/>
                <w:sz w:val="20"/>
              </w:rPr>
              <w:t xml:space="preserve">Discontinued study/study drug due to adverse event or death‡ </w:t>
            </w:r>
          </w:p>
        </w:tc>
        <w:tc>
          <w:tcPr>
            <w:tcW w:w="1530" w:type="dxa"/>
            <w:vAlign w:val="center"/>
          </w:tcPr>
          <w:p w14:paraId="2FDD855F" w14:textId="77777777" w:rsidR="0034449A" w:rsidRPr="00F9575F" w:rsidRDefault="0034449A" w:rsidP="002E032B">
            <w:pPr>
              <w:pStyle w:val="tabletextNS"/>
              <w:jc w:val="center"/>
              <w:rPr>
                <w:rFonts w:cs="Arial"/>
                <w:sz w:val="20"/>
              </w:rPr>
            </w:pPr>
            <w:r w:rsidRPr="00F9575F">
              <w:rPr>
                <w:rFonts w:cs="Arial"/>
                <w:sz w:val="20"/>
              </w:rPr>
              <w:t>2%</w:t>
            </w:r>
          </w:p>
        </w:tc>
        <w:tc>
          <w:tcPr>
            <w:tcW w:w="1800" w:type="dxa"/>
            <w:vAlign w:val="center"/>
          </w:tcPr>
          <w:p w14:paraId="60525C8F" w14:textId="77777777" w:rsidR="0034449A" w:rsidRPr="00F9575F" w:rsidRDefault="0034449A" w:rsidP="002E032B">
            <w:pPr>
              <w:pStyle w:val="tabletextNS"/>
              <w:jc w:val="center"/>
              <w:rPr>
                <w:rFonts w:cs="Arial"/>
                <w:sz w:val="20"/>
              </w:rPr>
            </w:pPr>
            <w:r w:rsidRPr="00F9575F">
              <w:rPr>
                <w:rFonts w:cs="Arial"/>
                <w:sz w:val="20"/>
              </w:rPr>
              <w:t>1%</w:t>
            </w:r>
          </w:p>
        </w:tc>
        <w:tc>
          <w:tcPr>
            <w:tcW w:w="1530" w:type="dxa"/>
            <w:vAlign w:val="center"/>
          </w:tcPr>
          <w:p w14:paraId="52B5CBFD" w14:textId="77777777" w:rsidR="0034449A" w:rsidRPr="00F9575F" w:rsidRDefault="0034449A" w:rsidP="002E032B">
            <w:pPr>
              <w:pStyle w:val="tabletextNS"/>
              <w:jc w:val="center"/>
              <w:rPr>
                <w:rFonts w:cs="Arial"/>
                <w:sz w:val="20"/>
              </w:rPr>
            </w:pPr>
            <w:r w:rsidRPr="00F9575F">
              <w:rPr>
                <w:rFonts w:cs="Arial"/>
                <w:sz w:val="20"/>
              </w:rPr>
              <w:t>2%</w:t>
            </w:r>
          </w:p>
        </w:tc>
        <w:tc>
          <w:tcPr>
            <w:tcW w:w="1530" w:type="dxa"/>
            <w:vAlign w:val="center"/>
          </w:tcPr>
          <w:p w14:paraId="235F9449" w14:textId="77777777" w:rsidR="0034449A" w:rsidRPr="00F9575F" w:rsidRDefault="0034449A" w:rsidP="002E032B">
            <w:pPr>
              <w:pStyle w:val="tabletextNS"/>
              <w:jc w:val="center"/>
              <w:rPr>
                <w:rFonts w:cs="Arial"/>
                <w:sz w:val="20"/>
              </w:rPr>
            </w:pPr>
            <w:r w:rsidRPr="00F9575F">
              <w:rPr>
                <w:rFonts w:cs="Arial"/>
                <w:sz w:val="20"/>
              </w:rPr>
              <w:t>10%</w:t>
            </w:r>
          </w:p>
        </w:tc>
      </w:tr>
      <w:tr w:rsidR="0034449A" w:rsidRPr="00D4563C" w14:paraId="64B9A10D" w14:textId="77777777" w:rsidTr="005947F4">
        <w:tc>
          <w:tcPr>
            <w:tcW w:w="2785" w:type="dxa"/>
            <w:vAlign w:val="center"/>
          </w:tcPr>
          <w:p w14:paraId="38F6C00A" w14:textId="77777777" w:rsidR="0034449A" w:rsidRPr="00F9575F" w:rsidRDefault="0034449A" w:rsidP="002E032B">
            <w:pPr>
              <w:pStyle w:val="tabletextNS"/>
              <w:rPr>
                <w:rFonts w:cs="Arial"/>
                <w:sz w:val="20"/>
              </w:rPr>
            </w:pPr>
            <w:r w:rsidRPr="00F9575F">
              <w:rPr>
                <w:rFonts w:cs="Arial"/>
                <w:sz w:val="20"/>
              </w:rPr>
              <w:t>Discontinued study/study drug for other reasons§</w:t>
            </w:r>
          </w:p>
        </w:tc>
        <w:tc>
          <w:tcPr>
            <w:tcW w:w="1530" w:type="dxa"/>
            <w:vAlign w:val="center"/>
          </w:tcPr>
          <w:p w14:paraId="6D3218CC" w14:textId="77777777" w:rsidR="0034449A" w:rsidRPr="00F9575F" w:rsidRDefault="0034449A" w:rsidP="002E032B">
            <w:pPr>
              <w:pStyle w:val="tabletextNS"/>
              <w:jc w:val="center"/>
              <w:rPr>
                <w:rFonts w:cs="Arial"/>
                <w:sz w:val="20"/>
              </w:rPr>
            </w:pPr>
            <w:r w:rsidRPr="00F9575F">
              <w:rPr>
                <w:rFonts w:cs="Arial"/>
                <w:sz w:val="20"/>
              </w:rPr>
              <w:t>5%</w:t>
            </w:r>
          </w:p>
        </w:tc>
        <w:tc>
          <w:tcPr>
            <w:tcW w:w="1800" w:type="dxa"/>
            <w:vAlign w:val="center"/>
          </w:tcPr>
          <w:p w14:paraId="35EE29CB" w14:textId="77777777" w:rsidR="0034449A" w:rsidRPr="00F9575F" w:rsidRDefault="0034449A" w:rsidP="002E032B">
            <w:pPr>
              <w:pStyle w:val="tabletextNS"/>
              <w:jc w:val="center"/>
              <w:rPr>
                <w:rFonts w:cs="Arial"/>
                <w:sz w:val="20"/>
              </w:rPr>
            </w:pPr>
            <w:r w:rsidRPr="00F9575F">
              <w:rPr>
                <w:rFonts w:cs="Arial"/>
                <w:sz w:val="20"/>
              </w:rPr>
              <w:t>6%</w:t>
            </w:r>
          </w:p>
        </w:tc>
        <w:tc>
          <w:tcPr>
            <w:tcW w:w="1530" w:type="dxa"/>
            <w:vAlign w:val="center"/>
          </w:tcPr>
          <w:p w14:paraId="0CC628F1" w14:textId="77777777" w:rsidR="0034449A" w:rsidRPr="00F9575F" w:rsidRDefault="0034449A" w:rsidP="002E032B">
            <w:pPr>
              <w:pStyle w:val="tabletextNS"/>
              <w:jc w:val="center"/>
              <w:rPr>
                <w:rFonts w:cs="Arial"/>
                <w:sz w:val="20"/>
              </w:rPr>
            </w:pPr>
            <w:r w:rsidRPr="00F9575F">
              <w:rPr>
                <w:rFonts w:cs="Arial"/>
                <w:sz w:val="20"/>
              </w:rPr>
              <w:t>5%</w:t>
            </w:r>
          </w:p>
        </w:tc>
        <w:tc>
          <w:tcPr>
            <w:tcW w:w="1530" w:type="dxa"/>
            <w:vAlign w:val="center"/>
          </w:tcPr>
          <w:p w14:paraId="291D5103" w14:textId="77777777" w:rsidR="0034449A" w:rsidRPr="00F9575F" w:rsidRDefault="0034449A" w:rsidP="002E032B">
            <w:pPr>
              <w:pStyle w:val="tabletextNS"/>
              <w:jc w:val="center"/>
              <w:rPr>
                <w:rFonts w:cs="Arial"/>
                <w:sz w:val="20"/>
              </w:rPr>
            </w:pPr>
            <w:r w:rsidRPr="00F9575F">
              <w:rPr>
                <w:rFonts w:cs="Arial"/>
                <w:sz w:val="20"/>
              </w:rPr>
              <w:t>3%</w:t>
            </w:r>
          </w:p>
        </w:tc>
      </w:tr>
      <w:tr w:rsidR="0034449A" w:rsidRPr="00D4563C" w14:paraId="0AC45D37" w14:textId="77777777" w:rsidTr="005947F4">
        <w:tc>
          <w:tcPr>
            <w:tcW w:w="2785" w:type="dxa"/>
          </w:tcPr>
          <w:p w14:paraId="40645C12" w14:textId="1986ED9E" w:rsidR="00047545" w:rsidRPr="00F9575F" w:rsidRDefault="0034449A" w:rsidP="002E032B">
            <w:pPr>
              <w:pStyle w:val="tabletextNS"/>
              <w:rPr>
                <w:rFonts w:cs="Arial"/>
                <w:sz w:val="20"/>
              </w:rPr>
            </w:pPr>
            <w:r w:rsidRPr="00F9575F">
              <w:rPr>
                <w:rFonts w:cs="Arial"/>
                <w:sz w:val="20"/>
              </w:rPr>
              <w:t>Missing data during window but on study</w:t>
            </w:r>
          </w:p>
        </w:tc>
        <w:tc>
          <w:tcPr>
            <w:tcW w:w="1530" w:type="dxa"/>
            <w:vAlign w:val="center"/>
          </w:tcPr>
          <w:p w14:paraId="652CEB0A" w14:textId="77777777" w:rsidR="0034449A" w:rsidRPr="00F9575F" w:rsidRDefault="0034449A" w:rsidP="002E032B">
            <w:pPr>
              <w:pStyle w:val="tabletextNS"/>
              <w:jc w:val="center"/>
              <w:rPr>
                <w:rFonts w:cs="Arial"/>
                <w:sz w:val="20"/>
              </w:rPr>
            </w:pPr>
            <w:r w:rsidRPr="00F9575F">
              <w:rPr>
                <w:rFonts w:cs="Arial"/>
                <w:sz w:val="20"/>
              </w:rPr>
              <w:t>0%</w:t>
            </w:r>
          </w:p>
        </w:tc>
        <w:tc>
          <w:tcPr>
            <w:tcW w:w="1800" w:type="dxa"/>
            <w:vAlign w:val="center"/>
          </w:tcPr>
          <w:p w14:paraId="0741C9EF" w14:textId="77777777" w:rsidR="0034449A" w:rsidRPr="00F9575F" w:rsidRDefault="0034449A" w:rsidP="002E032B">
            <w:pPr>
              <w:pStyle w:val="tabletextNS"/>
              <w:jc w:val="center"/>
              <w:rPr>
                <w:rFonts w:cs="Arial"/>
                <w:sz w:val="20"/>
              </w:rPr>
            </w:pPr>
            <w:r w:rsidRPr="00F9575F">
              <w:rPr>
                <w:rFonts w:cs="Arial"/>
                <w:sz w:val="20"/>
              </w:rPr>
              <w:t>0</w:t>
            </w:r>
          </w:p>
        </w:tc>
        <w:tc>
          <w:tcPr>
            <w:tcW w:w="1530" w:type="dxa"/>
            <w:vAlign w:val="center"/>
          </w:tcPr>
          <w:p w14:paraId="01EC8D80" w14:textId="77777777" w:rsidR="0034449A" w:rsidRPr="00F9575F" w:rsidRDefault="0034449A" w:rsidP="002E032B">
            <w:pPr>
              <w:pStyle w:val="tabletextNS"/>
              <w:jc w:val="center"/>
              <w:rPr>
                <w:rFonts w:cs="Arial"/>
                <w:sz w:val="20"/>
              </w:rPr>
            </w:pPr>
            <w:r w:rsidRPr="00F9575F">
              <w:rPr>
                <w:rFonts w:cs="Arial"/>
                <w:sz w:val="20"/>
              </w:rPr>
              <w:t>0</w:t>
            </w:r>
          </w:p>
        </w:tc>
        <w:tc>
          <w:tcPr>
            <w:tcW w:w="1530" w:type="dxa"/>
            <w:vAlign w:val="center"/>
          </w:tcPr>
          <w:p w14:paraId="6AFD1966" w14:textId="77777777" w:rsidR="0034449A" w:rsidRPr="00F9575F" w:rsidRDefault="0034449A" w:rsidP="002E032B">
            <w:pPr>
              <w:pStyle w:val="tabletextNS"/>
              <w:jc w:val="center"/>
              <w:rPr>
                <w:rFonts w:cs="Arial"/>
                <w:sz w:val="20"/>
              </w:rPr>
            </w:pPr>
            <w:r w:rsidRPr="00F9575F">
              <w:rPr>
                <w:rFonts w:cs="Arial"/>
                <w:sz w:val="20"/>
              </w:rPr>
              <w:t>&lt;1%</w:t>
            </w:r>
          </w:p>
        </w:tc>
      </w:tr>
      <w:tr w:rsidR="0034449A" w:rsidRPr="00D4563C" w14:paraId="5C6FF685" w14:textId="77777777" w:rsidTr="00D00544">
        <w:tc>
          <w:tcPr>
            <w:tcW w:w="9175" w:type="dxa"/>
            <w:gridSpan w:val="5"/>
          </w:tcPr>
          <w:p w14:paraId="2A38B477" w14:textId="77777777" w:rsidR="0034449A" w:rsidRPr="00F9575F" w:rsidRDefault="0034449A" w:rsidP="00047545">
            <w:pPr>
              <w:pStyle w:val="tabletextNS"/>
              <w:keepNext/>
              <w:rPr>
                <w:rFonts w:cs="Arial"/>
                <w:b/>
                <w:sz w:val="20"/>
              </w:rPr>
            </w:pPr>
            <w:r w:rsidRPr="00F9575F">
              <w:rPr>
                <w:rFonts w:cs="Arial"/>
                <w:b/>
                <w:sz w:val="20"/>
              </w:rPr>
              <w:t>HIV-1 RNA &lt;</w:t>
            </w:r>
            <w:r w:rsidR="00DB7A97" w:rsidRPr="00F9575F">
              <w:rPr>
                <w:rFonts w:cs="Arial"/>
                <w:b/>
                <w:sz w:val="20"/>
              </w:rPr>
              <w:t xml:space="preserve"> </w:t>
            </w:r>
            <w:r w:rsidRPr="00F9575F">
              <w:rPr>
                <w:rFonts w:cs="Arial"/>
                <w:b/>
                <w:sz w:val="20"/>
              </w:rPr>
              <w:t>50 copies/mL by baseline covariates</w:t>
            </w:r>
          </w:p>
        </w:tc>
      </w:tr>
      <w:tr w:rsidR="0034449A" w:rsidRPr="00D4563C" w14:paraId="54BB8A3B" w14:textId="77777777" w:rsidTr="005947F4">
        <w:tc>
          <w:tcPr>
            <w:tcW w:w="2785" w:type="dxa"/>
          </w:tcPr>
          <w:p w14:paraId="4E513C7C" w14:textId="77777777" w:rsidR="0034449A" w:rsidRPr="00F9575F" w:rsidRDefault="0034449A" w:rsidP="00047545">
            <w:pPr>
              <w:pStyle w:val="tabletextNS"/>
              <w:keepNext/>
              <w:rPr>
                <w:rFonts w:cs="Arial"/>
                <w:b/>
                <w:sz w:val="20"/>
              </w:rPr>
            </w:pPr>
            <w:r w:rsidRPr="00F9575F">
              <w:rPr>
                <w:rFonts w:cs="Arial"/>
                <w:b/>
                <w:sz w:val="20"/>
              </w:rPr>
              <w:t>Baseline Plasma Viral Load (copies/mL)</w:t>
            </w:r>
          </w:p>
        </w:tc>
        <w:tc>
          <w:tcPr>
            <w:tcW w:w="1530" w:type="dxa"/>
            <w:vAlign w:val="center"/>
          </w:tcPr>
          <w:p w14:paraId="1D8A37AB" w14:textId="77777777" w:rsidR="0034449A" w:rsidRPr="00F9575F" w:rsidRDefault="0034449A" w:rsidP="002E032B">
            <w:pPr>
              <w:pStyle w:val="tabletextNS"/>
              <w:jc w:val="center"/>
              <w:rPr>
                <w:rFonts w:cs="Arial"/>
                <w:sz w:val="20"/>
              </w:rPr>
            </w:pPr>
            <w:r w:rsidRPr="00F9575F">
              <w:rPr>
                <w:rFonts w:cs="Arial"/>
                <w:sz w:val="20"/>
              </w:rPr>
              <w:t>n / N (%)</w:t>
            </w:r>
          </w:p>
        </w:tc>
        <w:tc>
          <w:tcPr>
            <w:tcW w:w="1800" w:type="dxa"/>
            <w:vAlign w:val="center"/>
          </w:tcPr>
          <w:p w14:paraId="5A864DB2" w14:textId="77777777" w:rsidR="0034449A" w:rsidRPr="00F9575F" w:rsidRDefault="0034449A" w:rsidP="002E032B">
            <w:pPr>
              <w:pStyle w:val="tabletextNS"/>
              <w:jc w:val="center"/>
              <w:rPr>
                <w:rFonts w:cs="Arial"/>
                <w:sz w:val="20"/>
              </w:rPr>
            </w:pPr>
            <w:r w:rsidRPr="00F9575F">
              <w:rPr>
                <w:rFonts w:cs="Arial"/>
                <w:sz w:val="20"/>
              </w:rPr>
              <w:t>n / N (%)</w:t>
            </w:r>
          </w:p>
        </w:tc>
        <w:tc>
          <w:tcPr>
            <w:tcW w:w="1530" w:type="dxa"/>
            <w:vAlign w:val="center"/>
          </w:tcPr>
          <w:p w14:paraId="6D5F96CE" w14:textId="77777777" w:rsidR="0034449A" w:rsidRPr="00F9575F" w:rsidRDefault="0034449A" w:rsidP="002E032B">
            <w:pPr>
              <w:pStyle w:val="tabletextNS"/>
              <w:jc w:val="center"/>
              <w:rPr>
                <w:rFonts w:cs="Arial"/>
                <w:sz w:val="20"/>
              </w:rPr>
            </w:pPr>
            <w:r w:rsidRPr="00F9575F">
              <w:rPr>
                <w:rFonts w:cs="Arial"/>
                <w:sz w:val="20"/>
              </w:rPr>
              <w:t>n / N (%)</w:t>
            </w:r>
          </w:p>
        </w:tc>
        <w:tc>
          <w:tcPr>
            <w:tcW w:w="1530" w:type="dxa"/>
            <w:vAlign w:val="center"/>
          </w:tcPr>
          <w:p w14:paraId="07294152" w14:textId="77777777" w:rsidR="0034449A" w:rsidRPr="00F9575F" w:rsidRDefault="0034449A" w:rsidP="002E032B">
            <w:pPr>
              <w:pStyle w:val="tabletextNS"/>
              <w:jc w:val="center"/>
              <w:rPr>
                <w:rFonts w:cs="Arial"/>
                <w:sz w:val="20"/>
              </w:rPr>
            </w:pPr>
            <w:r w:rsidRPr="00F9575F">
              <w:rPr>
                <w:rFonts w:cs="Arial"/>
                <w:sz w:val="20"/>
              </w:rPr>
              <w:t>n / N (%)</w:t>
            </w:r>
          </w:p>
        </w:tc>
      </w:tr>
      <w:tr w:rsidR="0034449A" w:rsidRPr="00D4563C" w14:paraId="5177B7D5" w14:textId="77777777" w:rsidTr="005947F4">
        <w:tc>
          <w:tcPr>
            <w:tcW w:w="2785" w:type="dxa"/>
          </w:tcPr>
          <w:p w14:paraId="39B2D00D"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sym w:font="Symbol" w:char="F0A3"/>
            </w:r>
            <w:r w:rsidR="0034449A" w:rsidRPr="00F9575F">
              <w:rPr>
                <w:rFonts w:cs="Arial"/>
                <w:sz w:val="20"/>
              </w:rPr>
              <w:t xml:space="preserve">100,000 </w:t>
            </w:r>
          </w:p>
        </w:tc>
        <w:tc>
          <w:tcPr>
            <w:tcW w:w="1530" w:type="dxa"/>
            <w:vAlign w:val="center"/>
          </w:tcPr>
          <w:p w14:paraId="1BE45BAA" w14:textId="77777777" w:rsidR="0034449A" w:rsidRPr="00F9575F" w:rsidRDefault="0034449A" w:rsidP="002E032B">
            <w:pPr>
              <w:pStyle w:val="tabletextNS"/>
              <w:jc w:val="center"/>
              <w:rPr>
                <w:rFonts w:cs="Arial"/>
                <w:sz w:val="20"/>
              </w:rPr>
            </w:pPr>
            <w:r w:rsidRPr="00F9575F">
              <w:rPr>
                <w:rFonts w:cs="Arial"/>
                <w:sz w:val="20"/>
              </w:rPr>
              <w:t>267 / 297 (90%)</w:t>
            </w:r>
          </w:p>
        </w:tc>
        <w:tc>
          <w:tcPr>
            <w:tcW w:w="1800" w:type="dxa"/>
            <w:vAlign w:val="center"/>
          </w:tcPr>
          <w:p w14:paraId="229D538A" w14:textId="77777777" w:rsidR="0034449A" w:rsidRPr="00F9575F" w:rsidRDefault="0034449A" w:rsidP="002E032B">
            <w:pPr>
              <w:pStyle w:val="tabletextNS"/>
              <w:jc w:val="center"/>
              <w:rPr>
                <w:rFonts w:cs="Arial"/>
                <w:sz w:val="20"/>
              </w:rPr>
            </w:pPr>
            <w:r w:rsidRPr="00F9575F">
              <w:rPr>
                <w:rFonts w:cs="Arial"/>
                <w:sz w:val="20"/>
              </w:rPr>
              <w:t>264 / 295 (89%)</w:t>
            </w:r>
          </w:p>
        </w:tc>
        <w:tc>
          <w:tcPr>
            <w:tcW w:w="1530" w:type="dxa"/>
            <w:vAlign w:val="center"/>
          </w:tcPr>
          <w:p w14:paraId="089A9341" w14:textId="77777777" w:rsidR="0034449A" w:rsidRPr="00F9575F" w:rsidRDefault="0034449A" w:rsidP="002E032B">
            <w:pPr>
              <w:pStyle w:val="tabletextNS"/>
              <w:jc w:val="center"/>
              <w:rPr>
                <w:rFonts w:cs="Arial"/>
                <w:sz w:val="20"/>
              </w:rPr>
            </w:pPr>
            <w:r w:rsidRPr="00F9575F">
              <w:rPr>
                <w:rFonts w:cs="Arial"/>
                <w:sz w:val="20"/>
              </w:rPr>
              <w:t>253 / 280 (90%)</w:t>
            </w:r>
          </w:p>
        </w:tc>
        <w:tc>
          <w:tcPr>
            <w:tcW w:w="1530" w:type="dxa"/>
            <w:vAlign w:val="center"/>
          </w:tcPr>
          <w:p w14:paraId="2D0FC7FB" w14:textId="64247D09" w:rsidR="0034449A" w:rsidRPr="00F9575F" w:rsidRDefault="0034449A" w:rsidP="002E032B">
            <w:pPr>
              <w:pStyle w:val="tabletextNS"/>
              <w:jc w:val="center"/>
              <w:rPr>
                <w:rFonts w:cs="Arial"/>
                <w:sz w:val="20"/>
              </w:rPr>
            </w:pPr>
            <w:r w:rsidRPr="00F9575F">
              <w:rPr>
                <w:rFonts w:cs="Arial"/>
                <w:sz w:val="20"/>
              </w:rPr>
              <w:t>238 / 288</w:t>
            </w:r>
            <w:r w:rsidR="005947F4" w:rsidRPr="00F9575F">
              <w:rPr>
                <w:rFonts w:cs="Arial"/>
                <w:sz w:val="20"/>
              </w:rPr>
              <w:t xml:space="preserve"> </w:t>
            </w:r>
            <w:r w:rsidRPr="00F9575F">
              <w:rPr>
                <w:rFonts w:cs="Arial"/>
                <w:sz w:val="20"/>
              </w:rPr>
              <w:t>(83%)</w:t>
            </w:r>
          </w:p>
        </w:tc>
      </w:tr>
      <w:tr w:rsidR="0034449A" w:rsidRPr="00D4563C" w14:paraId="207A954A" w14:textId="77777777" w:rsidTr="005947F4">
        <w:tc>
          <w:tcPr>
            <w:tcW w:w="2785" w:type="dxa"/>
          </w:tcPr>
          <w:p w14:paraId="78D44370"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t>Treatment Difference</w:t>
            </w:r>
          </w:p>
        </w:tc>
        <w:tc>
          <w:tcPr>
            <w:tcW w:w="3330" w:type="dxa"/>
            <w:gridSpan w:val="2"/>
            <w:vAlign w:val="center"/>
          </w:tcPr>
          <w:p w14:paraId="022C1075" w14:textId="77777777" w:rsidR="0034449A" w:rsidRPr="00F9575F" w:rsidRDefault="0034449A" w:rsidP="002E032B">
            <w:pPr>
              <w:pStyle w:val="tabletextNS"/>
              <w:jc w:val="center"/>
              <w:rPr>
                <w:rFonts w:cs="Arial"/>
                <w:sz w:val="20"/>
              </w:rPr>
            </w:pPr>
            <w:r w:rsidRPr="00F9575F">
              <w:rPr>
                <w:rFonts w:cs="Arial"/>
                <w:sz w:val="20"/>
              </w:rPr>
              <w:t>0.4% (95% CI: -4.5%, 5.3%)</w:t>
            </w:r>
          </w:p>
        </w:tc>
        <w:tc>
          <w:tcPr>
            <w:tcW w:w="3060" w:type="dxa"/>
            <w:gridSpan w:val="2"/>
            <w:vAlign w:val="center"/>
          </w:tcPr>
          <w:p w14:paraId="6F801A37" w14:textId="77777777" w:rsidR="0034449A" w:rsidRPr="00F9575F" w:rsidRDefault="0034449A" w:rsidP="002E032B">
            <w:pPr>
              <w:pStyle w:val="tabletextNS"/>
              <w:jc w:val="center"/>
              <w:rPr>
                <w:rFonts w:cs="Arial"/>
                <w:sz w:val="20"/>
              </w:rPr>
            </w:pPr>
            <w:r w:rsidRPr="00F9575F">
              <w:rPr>
                <w:rFonts w:cs="Arial"/>
                <w:sz w:val="20"/>
              </w:rPr>
              <w:t>7.7% (95% CI: 2.1%, 13.3%)</w:t>
            </w:r>
          </w:p>
        </w:tc>
      </w:tr>
      <w:tr w:rsidR="0034449A" w:rsidRPr="00D4563C" w14:paraId="044E7493" w14:textId="77777777" w:rsidTr="005947F4">
        <w:tc>
          <w:tcPr>
            <w:tcW w:w="2785" w:type="dxa"/>
            <w:vAlign w:val="center"/>
          </w:tcPr>
          <w:p w14:paraId="19BDF241"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t xml:space="preserve">&gt;100,000 </w:t>
            </w:r>
          </w:p>
        </w:tc>
        <w:tc>
          <w:tcPr>
            <w:tcW w:w="1530" w:type="dxa"/>
            <w:vAlign w:val="center"/>
          </w:tcPr>
          <w:p w14:paraId="27036E33" w14:textId="77777777" w:rsidR="0034449A" w:rsidRPr="00F9575F" w:rsidRDefault="0034449A" w:rsidP="002E032B">
            <w:pPr>
              <w:pStyle w:val="tabletextNS"/>
              <w:jc w:val="center"/>
              <w:rPr>
                <w:rFonts w:cs="Arial"/>
                <w:sz w:val="20"/>
              </w:rPr>
            </w:pPr>
            <w:r w:rsidRPr="00F9575F">
              <w:rPr>
                <w:rFonts w:cs="Arial"/>
                <w:sz w:val="20"/>
              </w:rPr>
              <w:t>94 / 114 (82%)</w:t>
            </w:r>
          </w:p>
        </w:tc>
        <w:tc>
          <w:tcPr>
            <w:tcW w:w="1800" w:type="dxa"/>
            <w:vAlign w:val="center"/>
          </w:tcPr>
          <w:p w14:paraId="49A7520D" w14:textId="77777777" w:rsidR="0034449A" w:rsidRPr="00F9575F" w:rsidRDefault="0034449A" w:rsidP="002E032B">
            <w:pPr>
              <w:pStyle w:val="tabletextNS"/>
              <w:jc w:val="center"/>
              <w:rPr>
                <w:rFonts w:cs="Arial"/>
                <w:sz w:val="20"/>
              </w:rPr>
            </w:pPr>
            <w:r w:rsidRPr="00F9575F">
              <w:rPr>
                <w:rFonts w:cs="Arial"/>
                <w:sz w:val="20"/>
              </w:rPr>
              <w:t>87 / 116 (75%)</w:t>
            </w:r>
          </w:p>
        </w:tc>
        <w:tc>
          <w:tcPr>
            <w:tcW w:w="1530" w:type="dxa"/>
            <w:vAlign w:val="center"/>
          </w:tcPr>
          <w:p w14:paraId="3303870D" w14:textId="77777777" w:rsidR="0034449A" w:rsidRPr="00F9575F" w:rsidRDefault="0034449A" w:rsidP="002E032B">
            <w:pPr>
              <w:pStyle w:val="tabletextNS"/>
              <w:jc w:val="center"/>
              <w:rPr>
                <w:rFonts w:cs="Arial"/>
                <w:sz w:val="20"/>
              </w:rPr>
            </w:pPr>
            <w:r w:rsidRPr="00F9575F">
              <w:rPr>
                <w:rFonts w:cs="Arial"/>
                <w:sz w:val="20"/>
              </w:rPr>
              <w:t>111 / 134 (83%)</w:t>
            </w:r>
          </w:p>
        </w:tc>
        <w:tc>
          <w:tcPr>
            <w:tcW w:w="1530" w:type="dxa"/>
            <w:vAlign w:val="center"/>
          </w:tcPr>
          <w:p w14:paraId="2960DEC2" w14:textId="77777777" w:rsidR="0034449A" w:rsidRPr="00F9575F" w:rsidRDefault="0034449A" w:rsidP="002E032B">
            <w:pPr>
              <w:pStyle w:val="tabletextNS"/>
              <w:jc w:val="center"/>
              <w:rPr>
                <w:rFonts w:cs="Arial"/>
                <w:sz w:val="20"/>
              </w:rPr>
            </w:pPr>
            <w:r w:rsidRPr="00F9575F">
              <w:rPr>
                <w:rFonts w:cs="Arial"/>
                <w:sz w:val="20"/>
              </w:rPr>
              <w:t>100 / 131 (76%)</w:t>
            </w:r>
          </w:p>
        </w:tc>
      </w:tr>
      <w:tr w:rsidR="0034449A" w:rsidRPr="00D4563C" w14:paraId="048A5C6A" w14:textId="77777777" w:rsidTr="005947F4">
        <w:tc>
          <w:tcPr>
            <w:tcW w:w="2785" w:type="dxa"/>
            <w:vAlign w:val="center"/>
          </w:tcPr>
          <w:p w14:paraId="50DAD270"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t>Treatment Difference</w:t>
            </w:r>
          </w:p>
        </w:tc>
        <w:tc>
          <w:tcPr>
            <w:tcW w:w="3330" w:type="dxa"/>
            <w:gridSpan w:val="2"/>
            <w:vAlign w:val="center"/>
          </w:tcPr>
          <w:p w14:paraId="75C804E0" w14:textId="77777777" w:rsidR="0034449A" w:rsidRPr="00F9575F" w:rsidRDefault="0034449A" w:rsidP="002E032B">
            <w:pPr>
              <w:pStyle w:val="tabletextNS"/>
              <w:jc w:val="center"/>
              <w:rPr>
                <w:rFonts w:cs="Arial"/>
                <w:sz w:val="20"/>
              </w:rPr>
            </w:pPr>
            <w:r w:rsidRPr="00F9575F">
              <w:rPr>
                <w:rFonts w:cs="Arial"/>
                <w:sz w:val="20"/>
              </w:rPr>
              <w:t>7.5% (95% CI: -3.1%, 18.0%)</w:t>
            </w:r>
          </w:p>
        </w:tc>
        <w:tc>
          <w:tcPr>
            <w:tcW w:w="3060" w:type="dxa"/>
            <w:gridSpan w:val="2"/>
            <w:vAlign w:val="center"/>
          </w:tcPr>
          <w:p w14:paraId="156FFEB0" w14:textId="77777777" w:rsidR="0034449A" w:rsidRPr="00F9575F" w:rsidRDefault="0034449A" w:rsidP="002E032B">
            <w:pPr>
              <w:pStyle w:val="tabletextNS"/>
              <w:jc w:val="center"/>
              <w:rPr>
                <w:rFonts w:cs="Arial"/>
                <w:sz w:val="20"/>
              </w:rPr>
            </w:pPr>
            <w:r w:rsidRPr="00F9575F">
              <w:rPr>
                <w:rFonts w:cs="Arial"/>
                <w:sz w:val="20"/>
              </w:rPr>
              <w:t>6.5% (95% CI: -3.2%, 16.2%)</w:t>
            </w:r>
          </w:p>
        </w:tc>
      </w:tr>
      <w:tr w:rsidR="0034449A" w:rsidRPr="00D4563C" w14:paraId="2D4BE9C7" w14:textId="77777777" w:rsidTr="005947F4">
        <w:tc>
          <w:tcPr>
            <w:tcW w:w="2785" w:type="dxa"/>
          </w:tcPr>
          <w:p w14:paraId="4B080402" w14:textId="77777777" w:rsidR="0034449A" w:rsidRPr="00F9575F" w:rsidRDefault="0034449A" w:rsidP="002E032B">
            <w:pPr>
              <w:pStyle w:val="tabletextNS"/>
              <w:rPr>
                <w:rFonts w:cs="Arial"/>
                <w:b/>
                <w:sz w:val="20"/>
              </w:rPr>
            </w:pPr>
            <w:r w:rsidRPr="00F9575F">
              <w:rPr>
                <w:rFonts w:cs="Arial"/>
                <w:b/>
                <w:sz w:val="20"/>
              </w:rPr>
              <w:t>Baseline CD4+ (cells/</w:t>
            </w:r>
            <w:r w:rsidRPr="00F9575F">
              <w:rPr>
                <w:rFonts w:cs="Arial"/>
                <w:b/>
                <w:bCs/>
                <w:sz w:val="20"/>
              </w:rPr>
              <w:t>mm</w:t>
            </w:r>
            <w:r w:rsidRPr="00F9575F">
              <w:rPr>
                <w:rFonts w:cs="Arial"/>
                <w:b/>
                <w:bCs/>
                <w:sz w:val="20"/>
                <w:vertAlign w:val="superscript"/>
              </w:rPr>
              <w:t>3</w:t>
            </w:r>
            <w:r w:rsidRPr="00F9575F">
              <w:rPr>
                <w:rFonts w:cs="Arial"/>
                <w:b/>
                <w:sz w:val="20"/>
              </w:rPr>
              <w:t>)</w:t>
            </w:r>
            <w:r w:rsidRPr="00F9575F">
              <w:rPr>
                <w:rFonts w:cs="Arial"/>
                <w:b/>
                <w:sz w:val="20"/>
                <w:lang w:eastAsia="en-US"/>
              </w:rPr>
              <w:t xml:space="preserve"> ¶</w:t>
            </w:r>
          </w:p>
        </w:tc>
        <w:tc>
          <w:tcPr>
            <w:tcW w:w="1530" w:type="dxa"/>
            <w:vAlign w:val="center"/>
          </w:tcPr>
          <w:p w14:paraId="0D8E8EBB" w14:textId="77777777" w:rsidR="0034449A" w:rsidRPr="00F9575F" w:rsidRDefault="0034449A" w:rsidP="002E032B">
            <w:pPr>
              <w:pStyle w:val="tabletextNS"/>
              <w:jc w:val="center"/>
              <w:rPr>
                <w:rFonts w:cs="Arial"/>
                <w:sz w:val="20"/>
              </w:rPr>
            </w:pPr>
          </w:p>
        </w:tc>
        <w:tc>
          <w:tcPr>
            <w:tcW w:w="1800" w:type="dxa"/>
            <w:vAlign w:val="center"/>
          </w:tcPr>
          <w:p w14:paraId="310652C8" w14:textId="77777777" w:rsidR="0034449A" w:rsidRPr="00F9575F" w:rsidRDefault="0034449A" w:rsidP="002E032B">
            <w:pPr>
              <w:pStyle w:val="tabletextNS"/>
              <w:jc w:val="center"/>
              <w:rPr>
                <w:rFonts w:cs="Arial"/>
                <w:sz w:val="20"/>
              </w:rPr>
            </w:pPr>
          </w:p>
        </w:tc>
        <w:tc>
          <w:tcPr>
            <w:tcW w:w="1530" w:type="dxa"/>
            <w:vAlign w:val="center"/>
          </w:tcPr>
          <w:p w14:paraId="5AA29AFF" w14:textId="77777777" w:rsidR="0034449A" w:rsidRPr="00F9575F" w:rsidRDefault="0034449A" w:rsidP="002E032B">
            <w:pPr>
              <w:pStyle w:val="tabletextNS"/>
              <w:jc w:val="center"/>
              <w:rPr>
                <w:rFonts w:cs="Arial"/>
                <w:sz w:val="20"/>
              </w:rPr>
            </w:pPr>
          </w:p>
        </w:tc>
        <w:tc>
          <w:tcPr>
            <w:tcW w:w="1530" w:type="dxa"/>
            <w:vAlign w:val="center"/>
          </w:tcPr>
          <w:p w14:paraId="2B210866" w14:textId="77777777" w:rsidR="0034449A" w:rsidRPr="00F9575F" w:rsidRDefault="0034449A" w:rsidP="002E032B">
            <w:pPr>
              <w:pStyle w:val="tabletextNS"/>
              <w:jc w:val="center"/>
              <w:rPr>
                <w:rFonts w:cs="Arial"/>
                <w:sz w:val="20"/>
              </w:rPr>
            </w:pPr>
          </w:p>
        </w:tc>
      </w:tr>
      <w:tr w:rsidR="0034449A" w:rsidRPr="00D4563C" w14:paraId="043F6458" w14:textId="77777777" w:rsidTr="005947F4">
        <w:tc>
          <w:tcPr>
            <w:tcW w:w="2785" w:type="dxa"/>
          </w:tcPr>
          <w:p w14:paraId="54543E06"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t>&lt;200</w:t>
            </w:r>
            <w:r w:rsidR="0034449A" w:rsidRPr="00F9575F">
              <w:rPr>
                <w:rFonts w:cs="Arial"/>
                <w:bCs/>
                <w:sz w:val="20"/>
              </w:rPr>
              <w:t xml:space="preserve"> </w:t>
            </w:r>
          </w:p>
        </w:tc>
        <w:tc>
          <w:tcPr>
            <w:tcW w:w="1530" w:type="dxa"/>
          </w:tcPr>
          <w:p w14:paraId="3EDC5800"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43 / 55 (78%)</w:t>
            </w:r>
          </w:p>
        </w:tc>
        <w:tc>
          <w:tcPr>
            <w:tcW w:w="1800" w:type="dxa"/>
          </w:tcPr>
          <w:p w14:paraId="2628E074"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34 / 50 (68%)</w:t>
            </w:r>
          </w:p>
        </w:tc>
        <w:tc>
          <w:tcPr>
            <w:tcW w:w="1530" w:type="dxa"/>
          </w:tcPr>
          <w:p w14:paraId="09377D90"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45 / 57 (79%)</w:t>
            </w:r>
          </w:p>
        </w:tc>
        <w:tc>
          <w:tcPr>
            <w:tcW w:w="1530" w:type="dxa"/>
          </w:tcPr>
          <w:p w14:paraId="30D8B25D"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48 / 62 (77%)</w:t>
            </w:r>
          </w:p>
        </w:tc>
      </w:tr>
      <w:tr w:rsidR="0034449A" w:rsidRPr="00D4563C" w14:paraId="218E335D" w14:textId="77777777" w:rsidTr="005947F4">
        <w:tc>
          <w:tcPr>
            <w:tcW w:w="2785" w:type="dxa"/>
          </w:tcPr>
          <w:p w14:paraId="0EF92D2F"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t>200 to &lt;350</w:t>
            </w:r>
            <w:r w:rsidR="0034449A" w:rsidRPr="00F9575F">
              <w:rPr>
                <w:rFonts w:cs="Arial"/>
                <w:bCs/>
                <w:sz w:val="20"/>
              </w:rPr>
              <w:t xml:space="preserve"> </w:t>
            </w:r>
          </w:p>
        </w:tc>
        <w:tc>
          <w:tcPr>
            <w:tcW w:w="1530" w:type="dxa"/>
          </w:tcPr>
          <w:p w14:paraId="084713CF"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128 / 144 (89%)</w:t>
            </w:r>
          </w:p>
        </w:tc>
        <w:tc>
          <w:tcPr>
            <w:tcW w:w="1800" w:type="dxa"/>
          </w:tcPr>
          <w:p w14:paraId="29CF945D"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118 / 139 (85%)</w:t>
            </w:r>
          </w:p>
        </w:tc>
        <w:tc>
          <w:tcPr>
            <w:tcW w:w="1530" w:type="dxa"/>
          </w:tcPr>
          <w:p w14:paraId="1B7B750D"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143 / 163 (88%)</w:t>
            </w:r>
          </w:p>
        </w:tc>
        <w:tc>
          <w:tcPr>
            <w:tcW w:w="1530" w:type="dxa"/>
          </w:tcPr>
          <w:p w14:paraId="6A462F37"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126 / 159 (79%)</w:t>
            </w:r>
          </w:p>
        </w:tc>
      </w:tr>
      <w:tr w:rsidR="0034449A" w:rsidRPr="00D4563C" w14:paraId="5BD7685C" w14:textId="77777777" w:rsidTr="005947F4">
        <w:tc>
          <w:tcPr>
            <w:tcW w:w="2785" w:type="dxa"/>
          </w:tcPr>
          <w:p w14:paraId="67553D37"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sym w:font="Symbol" w:char="F0B3"/>
            </w:r>
            <w:r w:rsidR="0034449A" w:rsidRPr="00F9575F">
              <w:rPr>
                <w:rFonts w:cs="Arial"/>
                <w:sz w:val="20"/>
              </w:rPr>
              <w:t>350</w:t>
            </w:r>
          </w:p>
        </w:tc>
        <w:tc>
          <w:tcPr>
            <w:tcW w:w="1530" w:type="dxa"/>
          </w:tcPr>
          <w:p w14:paraId="4C1A5D4B"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190 / 212 (90%)</w:t>
            </w:r>
          </w:p>
        </w:tc>
        <w:tc>
          <w:tcPr>
            <w:tcW w:w="1800" w:type="dxa"/>
          </w:tcPr>
          <w:p w14:paraId="2A79D8D2"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199 / 222 (90%)</w:t>
            </w:r>
          </w:p>
        </w:tc>
        <w:tc>
          <w:tcPr>
            <w:tcW w:w="1530" w:type="dxa"/>
          </w:tcPr>
          <w:p w14:paraId="1F7FAA36"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176 / 194 (91%)</w:t>
            </w:r>
          </w:p>
        </w:tc>
        <w:tc>
          <w:tcPr>
            <w:tcW w:w="1530" w:type="dxa"/>
          </w:tcPr>
          <w:p w14:paraId="7FB19CC0" w14:textId="77777777" w:rsidR="0034449A" w:rsidRPr="00F9575F" w:rsidRDefault="0034449A" w:rsidP="002E032B">
            <w:pPr>
              <w:spacing w:after="120"/>
              <w:jc w:val="center"/>
              <w:rPr>
                <w:rFonts w:ascii="Arial Narrow" w:hAnsi="Arial Narrow"/>
                <w:sz w:val="20"/>
                <w:szCs w:val="20"/>
              </w:rPr>
            </w:pPr>
            <w:r w:rsidRPr="00F9575F">
              <w:rPr>
                <w:rFonts w:ascii="Arial Narrow" w:hAnsi="Arial Narrow"/>
                <w:sz w:val="20"/>
                <w:szCs w:val="20"/>
              </w:rPr>
              <w:t>164 / 198 (83%)</w:t>
            </w:r>
          </w:p>
        </w:tc>
      </w:tr>
      <w:tr w:rsidR="0034449A" w:rsidRPr="00D4563C" w14:paraId="18D6389E" w14:textId="77777777" w:rsidTr="005947F4">
        <w:tc>
          <w:tcPr>
            <w:tcW w:w="2785" w:type="dxa"/>
          </w:tcPr>
          <w:p w14:paraId="71CB7FF0" w14:textId="77777777" w:rsidR="0034449A" w:rsidRPr="00F9575F" w:rsidRDefault="0034449A" w:rsidP="002E032B">
            <w:pPr>
              <w:pStyle w:val="tabletextNS"/>
              <w:rPr>
                <w:rFonts w:cs="Arial"/>
                <w:b/>
                <w:sz w:val="20"/>
              </w:rPr>
            </w:pPr>
            <w:r w:rsidRPr="00F9575F">
              <w:rPr>
                <w:rFonts w:cs="Arial"/>
                <w:b/>
                <w:sz w:val="20"/>
              </w:rPr>
              <w:t>NRTI backbone</w:t>
            </w:r>
          </w:p>
        </w:tc>
        <w:tc>
          <w:tcPr>
            <w:tcW w:w="1530" w:type="dxa"/>
          </w:tcPr>
          <w:p w14:paraId="26F81752" w14:textId="77777777" w:rsidR="0034449A" w:rsidRPr="00F9575F" w:rsidRDefault="0034449A" w:rsidP="002E032B">
            <w:pPr>
              <w:pStyle w:val="tabletextNS"/>
              <w:jc w:val="center"/>
              <w:rPr>
                <w:rFonts w:cs="Arial"/>
                <w:sz w:val="20"/>
              </w:rPr>
            </w:pPr>
          </w:p>
        </w:tc>
        <w:tc>
          <w:tcPr>
            <w:tcW w:w="1800" w:type="dxa"/>
          </w:tcPr>
          <w:p w14:paraId="16A36574" w14:textId="77777777" w:rsidR="0034449A" w:rsidRPr="00F9575F" w:rsidRDefault="0034449A" w:rsidP="002E032B">
            <w:pPr>
              <w:pStyle w:val="tabletextNS"/>
              <w:jc w:val="center"/>
              <w:rPr>
                <w:rFonts w:cs="Arial"/>
                <w:sz w:val="20"/>
              </w:rPr>
            </w:pPr>
          </w:p>
        </w:tc>
        <w:tc>
          <w:tcPr>
            <w:tcW w:w="1530" w:type="dxa"/>
          </w:tcPr>
          <w:p w14:paraId="1577E39E" w14:textId="77777777" w:rsidR="0034449A" w:rsidRPr="00F9575F" w:rsidRDefault="0034449A" w:rsidP="002E032B">
            <w:pPr>
              <w:pStyle w:val="tabletextNS"/>
              <w:jc w:val="center"/>
              <w:rPr>
                <w:rFonts w:cs="Arial"/>
                <w:sz w:val="20"/>
              </w:rPr>
            </w:pPr>
          </w:p>
        </w:tc>
        <w:tc>
          <w:tcPr>
            <w:tcW w:w="1530" w:type="dxa"/>
          </w:tcPr>
          <w:p w14:paraId="3363DB06" w14:textId="77777777" w:rsidR="0034449A" w:rsidRPr="00F9575F" w:rsidRDefault="0034449A" w:rsidP="002E032B">
            <w:pPr>
              <w:pStyle w:val="tabletextNS"/>
              <w:jc w:val="center"/>
              <w:rPr>
                <w:rFonts w:cs="Arial"/>
                <w:sz w:val="20"/>
              </w:rPr>
            </w:pPr>
          </w:p>
        </w:tc>
      </w:tr>
      <w:tr w:rsidR="0034449A" w:rsidRPr="00D4563C" w14:paraId="07EA01F6" w14:textId="77777777" w:rsidTr="005947F4">
        <w:trPr>
          <w:trHeight w:val="211"/>
        </w:trPr>
        <w:tc>
          <w:tcPr>
            <w:tcW w:w="2785" w:type="dxa"/>
          </w:tcPr>
          <w:p w14:paraId="6D46CB27" w14:textId="6447DF6F" w:rsidR="0034449A" w:rsidRPr="00F9575F" w:rsidRDefault="00825890" w:rsidP="002E032B">
            <w:pPr>
              <w:pStyle w:val="tabletextNS"/>
              <w:rPr>
                <w:rFonts w:cs="Arial"/>
                <w:sz w:val="20"/>
              </w:rPr>
            </w:pPr>
            <w:r w:rsidRPr="00F9575F">
              <w:rPr>
                <w:rFonts w:cs="Arial"/>
                <w:b/>
                <w:sz w:val="20"/>
              </w:rPr>
              <w:t xml:space="preserve"> </w:t>
            </w:r>
            <w:r w:rsidR="0034449A" w:rsidRPr="00F9575F">
              <w:rPr>
                <w:rFonts w:cs="Arial"/>
                <w:sz w:val="20"/>
              </w:rPr>
              <w:t>ABC/3TC</w:t>
            </w:r>
          </w:p>
        </w:tc>
        <w:tc>
          <w:tcPr>
            <w:tcW w:w="1530" w:type="dxa"/>
          </w:tcPr>
          <w:p w14:paraId="4FEC9B7E" w14:textId="77777777" w:rsidR="0034449A" w:rsidRPr="00F9575F" w:rsidRDefault="0034449A" w:rsidP="002E032B">
            <w:pPr>
              <w:pStyle w:val="tabletextNS"/>
              <w:jc w:val="center"/>
              <w:rPr>
                <w:rFonts w:cs="Arial"/>
                <w:sz w:val="20"/>
              </w:rPr>
            </w:pPr>
            <w:r w:rsidRPr="00F9575F">
              <w:rPr>
                <w:rFonts w:cs="Arial"/>
                <w:sz w:val="20"/>
              </w:rPr>
              <w:t>145 / 169 (86%)</w:t>
            </w:r>
          </w:p>
        </w:tc>
        <w:tc>
          <w:tcPr>
            <w:tcW w:w="1800" w:type="dxa"/>
          </w:tcPr>
          <w:p w14:paraId="43160238" w14:textId="77777777" w:rsidR="0034449A" w:rsidRPr="00F9575F" w:rsidRDefault="0034449A" w:rsidP="002E032B">
            <w:pPr>
              <w:pStyle w:val="tabletextNS"/>
              <w:jc w:val="center"/>
              <w:rPr>
                <w:rFonts w:cs="Arial"/>
                <w:sz w:val="20"/>
              </w:rPr>
            </w:pPr>
            <w:r w:rsidRPr="00F9575F">
              <w:rPr>
                <w:rFonts w:cs="Arial"/>
                <w:sz w:val="20"/>
              </w:rPr>
              <w:t>142 / 164 (87%)</w:t>
            </w:r>
          </w:p>
        </w:tc>
        <w:tc>
          <w:tcPr>
            <w:tcW w:w="1530" w:type="dxa"/>
          </w:tcPr>
          <w:p w14:paraId="3E600931" w14:textId="77777777" w:rsidR="0034449A" w:rsidRPr="00F9575F" w:rsidRDefault="0034449A" w:rsidP="002E032B">
            <w:pPr>
              <w:pStyle w:val="tabletextNS"/>
              <w:jc w:val="center"/>
              <w:rPr>
                <w:rFonts w:cs="Arial"/>
                <w:sz w:val="20"/>
              </w:rPr>
            </w:pPr>
            <w:r w:rsidRPr="00F9575F">
              <w:rPr>
                <w:rFonts w:cs="Arial"/>
                <w:sz w:val="20"/>
              </w:rPr>
              <w:t>N/A</w:t>
            </w:r>
          </w:p>
        </w:tc>
        <w:tc>
          <w:tcPr>
            <w:tcW w:w="1530" w:type="dxa"/>
          </w:tcPr>
          <w:p w14:paraId="054D7765" w14:textId="77777777" w:rsidR="0034449A" w:rsidRPr="00F9575F" w:rsidRDefault="0034449A" w:rsidP="002E032B">
            <w:pPr>
              <w:pStyle w:val="tabletextNS"/>
              <w:jc w:val="center"/>
              <w:rPr>
                <w:rFonts w:cs="Arial"/>
                <w:sz w:val="20"/>
              </w:rPr>
            </w:pPr>
            <w:r w:rsidRPr="00F9575F">
              <w:rPr>
                <w:rFonts w:cs="Arial"/>
                <w:sz w:val="20"/>
              </w:rPr>
              <w:t>N/A</w:t>
            </w:r>
          </w:p>
        </w:tc>
      </w:tr>
      <w:tr w:rsidR="0034449A" w:rsidRPr="00D4563C" w14:paraId="42CC5FCE" w14:textId="77777777" w:rsidTr="005947F4">
        <w:trPr>
          <w:trHeight w:val="211"/>
        </w:trPr>
        <w:tc>
          <w:tcPr>
            <w:tcW w:w="2785" w:type="dxa"/>
          </w:tcPr>
          <w:p w14:paraId="3759EA8C"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t>Treatment Difference</w:t>
            </w:r>
          </w:p>
        </w:tc>
        <w:tc>
          <w:tcPr>
            <w:tcW w:w="3330" w:type="dxa"/>
            <w:gridSpan w:val="2"/>
          </w:tcPr>
          <w:p w14:paraId="0F87CED6" w14:textId="77777777" w:rsidR="0034449A" w:rsidRPr="00F9575F" w:rsidRDefault="0034449A" w:rsidP="002E032B">
            <w:pPr>
              <w:pStyle w:val="tabletextNS"/>
              <w:jc w:val="center"/>
              <w:rPr>
                <w:rFonts w:cs="Arial"/>
                <w:sz w:val="20"/>
              </w:rPr>
            </w:pPr>
            <w:r w:rsidRPr="00F9575F">
              <w:rPr>
                <w:rFonts w:cs="Arial"/>
                <w:sz w:val="20"/>
              </w:rPr>
              <w:t>-0.8% (95% CI: -8.2%, 6.6%)</w:t>
            </w:r>
          </w:p>
        </w:tc>
        <w:tc>
          <w:tcPr>
            <w:tcW w:w="1530" w:type="dxa"/>
          </w:tcPr>
          <w:p w14:paraId="68169047" w14:textId="77777777" w:rsidR="0034449A" w:rsidRPr="00F9575F" w:rsidRDefault="0034449A" w:rsidP="002E032B">
            <w:pPr>
              <w:pStyle w:val="tabletextNS"/>
              <w:jc w:val="center"/>
              <w:rPr>
                <w:rFonts w:cs="Arial"/>
                <w:sz w:val="20"/>
              </w:rPr>
            </w:pPr>
          </w:p>
        </w:tc>
        <w:tc>
          <w:tcPr>
            <w:tcW w:w="1530" w:type="dxa"/>
          </w:tcPr>
          <w:p w14:paraId="44A9D7E6" w14:textId="77777777" w:rsidR="0034449A" w:rsidRPr="00F9575F" w:rsidRDefault="0034449A" w:rsidP="002E032B">
            <w:pPr>
              <w:pStyle w:val="tabletextNS"/>
              <w:jc w:val="center"/>
              <w:rPr>
                <w:rFonts w:cs="Arial"/>
                <w:sz w:val="20"/>
              </w:rPr>
            </w:pPr>
          </w:p>
        </w:tc>
      </w:tr>
      <w:tr w:rsidR="0034449A" w:rsidRPr="00D4563C" w14:paraId="50B69429" w14:textId="77777777" w:rsidTr="005947F4">
        <w:trPr>
          <w:trHeight w:val="210"/>
        </w:trPr>
        <w:tc>
          <w:tcPr>
            <w:tcW w:w="2785" w:type="dxa"/>
          </w:tcPr>
          <w:p w14:paraId="35844617" w14:textId="77777777" w:rsidR="0034449A" w:rsidRPr="00F9575F" w:rsidRDefault="00825890" w:rsidP="002E032B">
            <w:pPr>
              <w:pStyle w:val="tabletextNS"/>
              <w:rPr>
                <w:rFonts w:cs="Arial"/>
                <w:b/>
                <w:sz w:val="20"/>
              </w:rPr>
            </w:pPr>
            <w:r w:rsidRPr="00F9575F">
              <w:rPr>
                <w:rFonts w:cs="Arial"/>
                <w:sz w:val="20"/>
              </w:rPr>
              <w:t xml:space="preserve"> </w:t>
            </w:r>
            <w:r w:rsidR="0034449A" w:rsidRPr="00F9575F">
              <w:rPr>
                <w:rFonts w:cs="Arial"/>
                <w:sz w:val="20"/>
              </w:rPr>
              <w:t>TDF/FTC</w:t>
            </w:r>
          </w:p>
        </w:tc>
        <w:tc>
          <w:tcPr>
            <w:tcW w:w="1530" w:type="dxa"/>
          </w:tcPr>
          <w:p w14:paraId="2E81BB8B" w14:textId="77777777" w:rsidR="0034449A" w:rsidRPr="00F9575F" w:rsidRDefault="0034449A" w:rsidP="002E032B">
            <w:pPr>
              <w:pStyle w:val="tabletextNS"/>
              <w:jc w:val="center"/>
              <w:rPr>
                <w:rFonts w:cs="Arial"/>
                <w:sz w:val="20"/>
              </w:rPr>
            </w:pPr>
            <w:r w:rsidRPr="00F9575F">
              <w:rPr>
                <w:rFonts w:cs="Arial"/>
                <w:sz w:val="20"/>
              </w:rPr>
              <w:t>216 / 242 (89%)</w:t>
            </w:r>
          </w:p>
        </w:tc>
        <w:tc>
          <w:tcPr>
            <w:tcW w:w="1800" w:type="dxa"/>
          </w:tcPr>
          <w:p w14:paraId="42049F82" w14:textId="77777777" w:rsidR="0034449A" w:rsidRPr="00F9575F" w:rsidRDefault="0034449A" w:rsidP="002E032B">
            <w:pPr>
              <w:pStyle w:val="tabletextNS"/>
              <w:jc w:val="center"/>
              <w:rPr>
                <w:rFonts w:cs="Arial"/>
                <w:sz w:val="20"/>
              </w:rPr>
            </w:pPr>
            <w:r w:rsidRPr="00F9575F">
              <w:rPr>
                <w:rFonts w:cs="Arial"/>
                <w:sz w:val="20"/>
              </w:rPr>
              <w:t>209 / 247 (85%)</w:t>
            </w:r>
          </w:p>
        </w:tc>
        <w:tc>
          <w:tcPr>
            <w:tcW w:w="1530" w:type="dxa"/>
          </w:tcPr>
          <w:p w14:paraId="46681A2A" w14:textId="77777777" w:rsidR="0034449A" w:rsidRPr="00F9575F" w:rsidRDefault="0034449A" w:rsidP="002E032B">
            <w:pPr>
              <w:pStyle w:val="tabletextNS"/>
              <w:jc w:val="center"/>
              <w:rPr>
                <w:rFonts w:cs="Arial"/>
                <w:sz w:val="20"/>
              </w:rPr>
            </w:pPr>
            <w:r w:rsidRPr="00F9575F">
              <w:rPr>
                <w:rFonts w:cs="Arial"/>
                <w:sz w:val="20"/>
              </w:rPr>
              <w:t>N/A</w:t>
            </w:r>
          </w:p>
        </w:tc>
        <w:tc>
          <w:tcPr>
            <w:tcW w:w="1530" w:type="dxa"/>
          </w:tcPr>
          <w:p w14:paraId="22C0923B" w14:textId="77777777" w:rsidR="0034449A" w:rsidRPr="00F9575F" w:rsidRDefault="0034449A" w:rsidP="002E032B">
            <w:pPr>
              <w:pStyle w:val="tabletextNS"/>
              <w:jc w:val="center"/>
              <w:rPr>
                <w:rFonts w:cs="Arial"/>
                <w:sz w:val="20"/>
              </w:rPr>
            </w:pPr>
            <w:r w:rsidRPr="00F9575F">
              <w:rPr>
                <w:rFonts w:cs="Arial"/>
                <w:sz w:val="20"/>
              </w:rPr>
              <w:t>N/A</w:t>
            </w:r>
          </w:p>
        </w:tc>
      </w:tr>
      <w:tr w:rsidR="0034449A" w:rsidRPr="00D4563C" w14:paraId="371E4FA6" w14:textId="77777777" w:rsidTr="005947F4">
        <w:trPr>
          <w:trHeight w:val="210"/>
        </w:trPr>
        <w:tc>
          <w:tcPr>
            <w:tcW w:w="2785" w:type="dxa"/>
          </w:tcPr>
          <w:p w14:paraId="075EC19D"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t>Treatment Difference</w:t>
            </w:r>
          </w:p>
        </w:tc>
        <w:tc>
          <w:tcPr>
            <w:tcW w:w="3330" w:type="dxa"/>
            <w:gridSpan w:val="2"/>
          </w:tcPr>
          <w:p w14:paraId="593659E8" w14:textId="77777777" w:rsidR="0034449A" w:rsidRPr="00F9575F" w:rsidRDefault="0034449A" w:rsidP="002E032B">
            <w:pPr>
              <w:pStyle w:val="tabletextNS"/>
              <w:jc w:val="center"/>
              <w:rPr>
                <w:rFonts w:cs="Arial"/>
                <w:sz w:val="20"/>
              </w:rPr>
            </w:pPr>
            <w:r w:rsidRPr="00F9575F">
              <w:rPr>
                <w:rFonts w:cs="Arial"/>
                <w:sz w:val="20"/>
              </w:rPr>
              <w:t>4.6% (95% CI: -1.3%, 10.6%)</w:t>
            </w:r>
          </w:p>
        </w:tc>
        <w:tc>
          <w:tcPr>
            <w:tcW w:w="1530" w:type="dxa"/>
          </w:tcPr>
          <w:p w14:paraId="15240A20" w14:textId="77777777" w:rsidR="0034449A" w:rsidRPr="00F9575F" w:rsidRDefault="0034449A" w:rsidP="002E032B">
            <w:pPr>
              <w:pStyle w:val="tabletextNS"/>
              <w:jc w:val="center"/>
              <w:rPr>
                <w:rFonts w:cs="Arial"/>
                <w:sz w:val="20"/>
              </w:rPr>
            </w:pPr>
          </w:p>
        </w:tc>
        <w:tc>
          <w:tcPr>
            <w:tcW w:w="1530" w:type="dxa"/>
          </w:tcPr>
          <w:p w14:paraId="22A5363C" w14:textId="77777777" w:rsidR="0034449A" w:rsidRPr="00F9575F" w:rsidRDefault="0034449A" w:rsidP="002E032B">
            <w:pPr>
              <w:pStyle w:val="tabletextNS"/>
              <w:jc w:val="center"/>
              <w:rPr>
                <w:rFonts w:cs="Arial"/>
                <w:sz w:val="20"/>
              </w:rPr>
            </w:pPr>
          </w:p>
        </w:tc>
      </w:tr>
      <w:tr w:rsidR="0034449A" w:rsidRPr="00D4563C" w14:paraId="0CF766DB" w14:textId="77777777" w:rsidTr="005947F4">
        <w:trPr>
          <w:trHeight w:val="210"/>
        </w:trPr>
        <w:tc>
          <w:tcPr>
            <w:tcW w:w="2785" w:type="dxa"/>
            <w:vAlign w:val="center"/>
          </w:tcPr>
          <w:p w14:paraId="20E26175" w14:textId="77777777" w:rsidR="0034449A" w:rsidRPr="00F9575F" w:rsidRDefault="0034449A" w:rsidP="002E032B">
            <w:pPr>
              <w:pStyle w:val="tabletextNS"/>
              <w:rPr>
                <w:rFonts w:cs="Arial"/>
                <w:b/>
                <w:sz w:val="20"/>
              </w:rPr>
            </w:pPr>
            <w:r w:rsidRPr="00F9575F">
              <w:rPr>
                <w:rFonts w:cs="Arial"/>
                <w:b/>
                <w:sz w:val="20"/>
              </w:rPr>
              <w:t>Gender</w:t>
            </w:r>
          </w:p>
        </w:tc>
        <w:tc>
          <w:tcPr>
            <w:tcW w:w="1530" w:type="dxa"/>
            <w:vAlign w:val="center"/>
          </w:tcPr>
          <w:p w14:paraId="27C18A4A" w14:textId="77777777" w:rsidR="0034449A" w:rsidRPr="00F9575F" w:rsidRDefault="0034449A" w:rsidP="002E032B">
            <w:pPr>
              <w:pStyle w:val="tabletextNS"/>
              <w:jc w:val="center"/>
              <w:rPr>
                <w:rFonts w:cs="Arial"/>
                <w:sz w:val="20"/>
              </w:rPr>
            </w:pPr>
          </w:p>
        </w:tc>
        <w:tc>
          <w:tcPr>
            <w:tcW w:w="1800" w:type="dxa"/>
            <w:vAlign w:val="center"/>
          </w:tcPr>
          <w:p w14:paraId="46E308FB" w14:textId="77777777" w:rsidR="0034449A" w:rsidRPr="00F9575F" w:rsidRDefault="0034449A" w:rsidP="002E032B">
            <w:pPr>
              <w:pStyle w:val="tabletextNS"/>
              <w:jc w:val="center"/>
              <w:rPr>
                <w:rFonts w:cs="Arial"/>
                <w:sz w:val="20"/>
              </w:rPr>
            </w:pPr>
          </w:p>
        </w:tc>
        <w:tc>
          <w:tcPr>
            <w:tcW w:w="1530" w:type="dxa"/>
            <w:vAlign w:val="center"/>
          </w:tcPr>
          <w:p w14:paraId="0EDC65B2" w14:textId="77777777" w:rsidR="0034449A" w:rsidRPr="00F9575F" w:rsidRDefault="0034449A" w:rsidP="002E032B">
            <w:pPr>
              <w:pStyle w:val="tabletextNS"/>
              <w:jc w:val="center"/>
              <w:rPr>
                <w:rFonts w:cs="Arial"/>
                <w:sz w:val="20"/>
              </w:rPr>
            </w:pPr>
          </w:p>
        </w:tc>
        <w:tc>
          <w:tcPr>
            <w:tcW w:w="1530" w:type="dxa"/>
            <w:vAlign w:val="center"/>
          </w:tcPr>
          <w:p w14:paraId="38360F58" w14:textId="77777777" w:rsidR="0034449A" w:rsidRPr="00F9575F" w:rsidRDefault="0034449A" w:rsidP="002E032B">
            <w:pPr>
              <w:pStyle w:val="tabletextNS"/>
              <w:jc w:val="center"/>
              <w:rPr>
                <w:rFonts w:cs="Arial"/>
                <w:sz w:val="20"/>
              </w:rPr>
            </w:pPr>
          </w:p>
        </w:tc>
      </w:tr>
      <w:tr w:rsidR="0034449A" w:rsidRPr="00D4563C" w14:paraId="72317B34" w14:textId="77777777" w:rsidTr="005947F4">
        <w:trPr>
          <w:trHeight w:val="210"/>
        </w:trPr>
        <w:tc>
          <w:tcPr>
            <w:tcW w:w="2785" w:type="dxa"/>
            <w:vAlign w:val="center"/>
          </w:tcPr>
          <w:p w14:paraId="0A31A8C4" w14:textId="77777777" w:rsidR="0034449A" w:rsidRPr="00F9575F" w:rsidRDefault="00825890" w:rsidP="002E032B">
            <w:pPr>
              <w:pStyle w:val="tabletextNS"/>
              <w:rPr>
                <w:rFonts w:cs="Arial"/>
                <w:b/>
                <w:sz w:val="20"/>
              </w:rPr>
            </w:pPr>
            <w:r w:rsidRPr="00F9575F">
              <w:rPr>
                <w:rFonts w:cs="Arial"/>
                <w:sz w:val="20"/>
              </w:rPr>
              <w:lastRenderedPageBreak/>
              <w:t xml:space="preserve"> </w:t>
            </w:r>
            <w:r w:rsidR="0034449A" w:rsidRPr="00F9575F">
              <w:rPr>
                <w:rFonts w:cs="Arial"/>
                <w:sz w:val="20"/>
              </w:rPr>
              <w:t xml:space="preserve">Male </w:t>
            </w:r>
          </w:p>
        </w:tc>
        <w:tc>
          <w:tcPr>
            <w:tcW w:w="1530" w:type="dxa"/>
            <w:vAlign w:val="center"/>
          </w:tcPr>
          <w:p w14:paraId="2E242C70" w14:textId="77777777" w:rsidR="0034449A" w:rsidRPr="00F9575F" w:rsidRDefault="0034449A" w:rsidP="002E032B">
            <w:pPr>
              <w:pStyle w:val="tabletextNS"/>
              <w:jc w:val="center"/>
              <w:rPr>
                <w:rFonts w:cs="Arial"/>
                <w:sz w:val="20"/>
              </w:rPr>
            </w:pPr>
            <w:r w:rsidRPr="00F9575F">
              <w:rPr>
                <w:rFonts w:cs="Arial"/>
                <w:sz w:val="20"/>
              </w:rPr>
              <w:t>308 / 348 (89%)</w:t>
            </w:r>
          </w:p>
        </w:tc>
        <w:tc>
          <w:tcPr>
            <w:tcW w:w="1800" w:type="dxa"/>
            <w:vAlign w:val="center"/>
          </w:tcPr>
          <w:p w14:paraId="3CC9983C" w14:textId="77777777" w:rsidR="0034449A" w:rsidRPr="00F9575F" w:rsidRDefault="0034449A" w:rsidP="002E032B">
            <w:pPr>
              <w:pStyle w:val="tabletextNS"/>
              <w:jc w:val="center"/>
              <w:rPr>
                <w:rFonts w:cs="Arial"/>
                <w:sz w:val="20"/>
              </w:rPr>
            </w:pPr>
            <w:r w:rsidRPr="00F9575F">
              <w:rPr>
                <w:rFonts w:cs="Arial"/>
                <w:sz w:val="20"/>
              </w:rPr>
              <w:t>305 / 355 (86%)</w:t>
            </w:r>
          </w:p>
        </w:tc>
        <w:tc>
          <w:tcPr>
            <w:tcW w:w="1530" w:type="dxa"/>
            <w:vAlign w:val="center"/>
          </w:tcPr>
          <w:p w14:paraId="1CE1FD95" w14:textId="77777777" w:rsidR="0034449A" w:rsidRPr="00F9575F" w:rsidRDefault="0034449A" w:rsidP="002E032B">
            <w:pPr>
              <w:pStyle w:val="tabletextNS"/>
              <w:jc w:val="center"/>
              <w:rPr>
                <w:rFonts w:cs="Arial"/>
                <w:sz w:val="20"/>
              </w:rPr>
            </w:pPr>
            <w:r w:rsidRPr="00F9575F">
              <w:rPr>
                <w:rFonts w:cs="Arial"/>
                <w:sz w:val="20"/>
              </w:rPr>
              <w:t>307 / 347 (88%)</w:t>
            </w:r>
          </w:p>
        </w:tc>
        <w:tc>
          <w:tcPr>
            <w:tcW w:w="1530" w:type="dxa"/>
            <w:vAlign w:val="center"/>
          </w:tcPr>
          <w:p w14:paraId="24C9F10E" w14:textId="77777777" w:rsidR="0034449A" w:rsidRPr="00F9575F" w:rsidRDefault="0034449A" w:rsidP="002E032B">
            <w:pPr>
              <w:pStyle w:val="tabletextNS"/>
              <w:jc w:val="center"/>
              <w:rPr>
                <w:rFonts w:cs="Arial"/>
                <w:sz w:val="20"/>
              </w:rPr>
            </w:pPr>
            <w:r w:rsidRPr="00F9575F">
              <w:rPr>
                <w:rFonts w:cs="Arial"/>
                <w:sz w:val="20"/>
              </w:rPr>
              <w:t>291 / 356 (82%)</w:t>
            </w:r>
          </w:p>
        </w:tc>
      </w:tr>
      <w:tr w:rsidR="0034449A" w:rsidRPr="00D4563C" w14:paraId="0AD53DFF" w14:textId="77777777" w:rsidTr="005947F4">
        <w:trPr>
          <w:trHeight w:val="210"/>
        </w:trPr>
        <w:tc>
          <w:tcPr>
            <w:tcW w:w="2785" w:type="dxa"/>
            <w:vAlign w:val="center"/>
          </w:tcPr>
          <w:p w14:paraId="6F5060EA" w14:textId="77777777" w:rsidR="0034449A" w:rsidRPr="00F9575F" w:rsidRDefault="00825890" w:rsidP="002E032B">
            <w:pPr>
              <w:pStyle w:val="tabletextNS"/>
              <w:rPr>
                <w:rFonts w:cs="Arial"/>
                <w:b/>
                <w:sz w:val="20"/>
              </w:rPr>
            </w:pPr>
            <w:r w:rsidRPr="00F9575F">
              <w:rPr>
                <w:rFonts w:cs="Arial"/>
                <w:sz w:val="20"/>
              </w:rPr>
              <w:t xml:space="preserve"> </w:t>
            </w:r>
            <w:r w:rsidR="0034449A" w:rsidRPr="00F9575F">
              <w:rPr>
                <w:rFonts w:cs="Arial"/>
                <w:sz w:val="20"/>
              </w:rPr>
              <w:t xml:space="preserve">Female </w:t>
            </w:r>
          </w:p>
        </w:tc>
        <w:tc>
          <w:tcPr>
            <w:tcW w:w="1530" w:type="dxa"/>
            <w:vAlign w:val="center"/>
          </w:tcPr>
          <w:p w14:paraId="79A2E7EA" w14:textId="77777777" w:rsidR="0034449A" w:rsidRPr="00F9575F" w:rsidRDefault="0034449A" w:rsidP="002E032B">
            <w:pPr>
              <w:pStyle w:val="tabletextNS"/>
              <w:jc w:val="center"/>
              <w:rPr>
                <w:rFonts w:cs="Arial"/>
                <w:sz w:val="20"/>
              </w:rPr>
            </w:pPr>
            <w:r w:rsidRPr="00F9575F">
              <w:rPr>
                <w:rFonts w:cs="Arial"/>
                <w:sz w:val="20"/>
              </w:rPr>
              <w:t>53 / 63 (84%)</w:t>
            </w:r>
          </w:p>
        </w:tc>
        <w:tc>
          <w:tcPr>
            <w:tcW w:w="1800" w:type="dxa"/>
            <w:vAlign w:val="center"/>
          </w:tcPr>
          <w:p w14:paraId="79A80666" w14:textId="77777777" w:rsidR="0034449A" w:rsidRPr="00F9575F" w:rsidRDefault="0034449A" w:rsidP="002E032B">
            <w:pPr>
              <w:pStyle w:val="tabletextNS"/>
              <w:jc w:val="center"/>
              <w:rPr>
                <w:rFonts w:cs="Arial"/>
                <w:sz w:val="20"/>
              </w:rPr>
            </w:pPr>
            <w:r w:rsidRPr="00F9575F">
              <w:rPr>
                <w:rFonts w:cs="Arial"/>
                <w:sz w:val="20"/>
              </w:rPr>
              <w:t>46 / 56 (82%)</w:t>
            </w:r>
          </w:p>
        </w:tc>
        <w:tc>
          <w:tcPr>
            <w:tcW w:w="1530" w:type="dxa"/>
            <w:vAlign w:val="center"/>
          </w:tcPr>
          <w:p w14:paraId="3E0A63C7" w14:textId="77777777" w:rsidR="0034449A" w:rsidRPr="00F9575F" w:rsidRDefault="0034449A" w:rsidP="002E032B">
            <w:pPr>
              <w:pStyle w:val="tabletextNS"/>
              <w:jc w:val="center"/>
              <w:rPr>
                <w:rFonts w:cs="Arial"/>
                <w:sz w:val="20"/>
              </w:rPr>
            </w:pPr>
            <w:r w:rsidRPr="00F9575F">
              <w:rPr>
                <w:rFonts w:cs="Arial"/>
                <w:sz w:val="20"/>
              </w:rPr>
              <w:t>57 / 67 (85%)</w:t>
            </w:r>
          </w:p>
        </w:tc>
        <w:tc>
          <w:tcPr>
            <w:tcW w:w="1530" w:type="dxa"/>
            <w:vAlign w:val="center"/>
          </w:tcPr>
          <w:p w14:paraId="2FA29259" w14:textId="77777777" w:rsidR="0034449A" w:rsidRPr="00F9575F" w:rsidRDefault="0034449A" w:rsidP="002E032B">
            <w:pPr>
              <w:pStyle w:val="tabletextNS"/>
              <w:jc w:val="center"/>
              <w:rPr>
                <w:rFonts w:cs="Arial"/>
                <w:sz w:val="20"/>
              </w:rPr>
            </w:pPr>
            <w:r w:rsidRPr="00F9575F">
              <w:rPr>
                <w:rFonts w:cs="Arial"/>
                <w:sz w:val="20"/>
              </w:rPr>
              <w:t>47 / 63 (75%)</w:t>
            </w:r>
          </w:p>
        </w:tc>
      </w:tr>
      <w:tr w:rsidR="0034449A" w:rsidRPr="00D4563C" w14:paraId="362E2850" w14:textId="77777777" w:rsidTr="005947F4">
        <w:trPr>
          <w:trHeight w:val="210"/>
        </w:trPr>
        <w:tc>
          <w:tcPr>
            <w:tcW w:w="2785" w:type="dxa"/>
            <w:vAlign w:val="center"/>
          </w:tcPr>
          <w:p w14:paraId="31B81510" w14:textId="77777777" w:rsidR="0034449A" w:rsidRPr="00F9575F" w:rsidRDefault="0034449A" w:rsidP="002E032B">
            <w:pPr>
              <w:pStyle w:val="tabletextNS"/>
              <w:rPr>
                <w:rFonts w:cs="Arial"/>
                <w:b/>
                <w:sz w:val="20"/>
              </w:rPr>
            </w:pPr>
            <w:r w:rsidRPr="00F9575F">
              <w:rPr>
                <w:rFonts w:cs="Arial"/>
                <w:b/>
                <w:sz w:val="20"/>
              </w:rPr>
              <w:t xml:space="preserve">Race </w:t>
            </w:r>
          </w:p>
        </w:tc>
        <w:tc>
          <w:tcPr>
            <w:tcW w:w="1530" w:type="dxa"/>
            <w:vAlign w:val="center"/>
          </w:tcPr>
          <w:p w14:paraId="7E0CCDD7" w14:textId="77777777" w:rsidR="0034449A" w:rsidRPr="00F9575F" w:rsidRDefault="0034449A" w:rsidP="002E032B">
            <w:pPr>
              <w:pStyle w:val="tabletextNS"/>
              <w:jc w:val="center"/>
              <w:rPr>
                <w:rFonts w:cs="Arial"/>
                <w:sz w:val="20"/>
              </w:rPr>
            </w:pPr>
          </w:p>
        </w:tc>
        <w:tc>
          <w:tcPr>
            <w:tcW w:w="1800" w:type="dxa"/>
            <w:vAlign w:val="center"/>
          </w:tcPr>
          <w:p w14:paraId="4C41B8CD" w14:textId="77777777" w:rsidR="0034449A" w:rsidRPr="00F9575F" w:rsidRDefault="0034449A" w:rsidP="002E032B">
            <w:pPr>
              <w:pStyle w:val="tabletextNS"/>
              <w:jc w:val="center"/>
              <w:rPr>
                <w:rFonts w:cs="Arial"/>
                <w:sz w:val="20"/>
              </w:rPr>
            </w:pPr>
          </w:p>
        </w:tc>
        <w:tc>
          <w:tcPr>
            <w:tcW w:w="1530" w:type="dxa"/>
            <w:vAlign w:val="center"/>
          </w:tcPr>
          <w:p w14:paraId="105B6884" w14:textId="77777777" w:rsidR="0034449A" w:rsidRPr="00F9575F" w:rsidRDefault="0034449A" w:rsidP="002E032B">
            <w:pPr>
              <w:pStyle w:val="tabletextNS"/>
              <w:jc w:val="center"/>
              <w:rPr>
                <w:rFonts w:cs="Arial"/>
                <w:sz w:val="20"/>
              </w:rPr>
            </w:pPr>
          </w:p>
        </w:tc>
        <w:tc>
          <w:tcPr>
            <w:tcW w:w="1530" w:type="dxa"/>
            <w:vAlign w:val="center"/>
          </w:tcPr>
          <w:p w14:paraId="1DC553D7" w14:textId="77777777" w:rsidR="0034449A" w:rsidRPr="00F9575F" w:rsidRDefault="0034449A" w:rsidP="002E032B">
            <w:pPr>
              <w:pStyle w:val="tabletextNS"/>
              <w:jc w:val="center"/>
              <w:rPr>
                <w:rFonts w:cs="Arial"/>
                <w:sz w:val="20"/>
              </w:rPr>
            </w:pPr>
          </w:p>
        </w:tc>
      </w:tr>
      <w:tr w:rsidR="0034449A" w:rsidRPr="00D4563C" w14:paraId="36597589" w14:textId="77777777" w:rsidTr="005947F4">
        <w:trPr>
          <w:trHeight w:val="210"/>
        </w:trPr>
        <w:tc>
          <w:tcPr>
            <w:tcW w:w="2785" w:type="dxa"/>
            <w:vAlign w:val="center"/>
          </w:tcPr>
          <w:p w14:paraId="23CD4A4C" w14:textId="77777777" w:rsidR="0034449A" w:rsidRPr="00F9575F" w:rsidRDefault="00825890" w:rsidP="002E032B">
            <w:pPr>
              <w:pStyle w:val="tabletextNS"/>
              <w:rPr>
                <w:rFonts w:cs="Arial"/>
                <w:b/>
                <w:sz w:val="20"/>
              </w:rPr>
            </w:pPr>
            <w:r w:rsidRPr="00F9575F">
              <w:rPr>
                <w:rFonts w:cs="Arial"/>
                <w:sz w:val="20"/>
              </w:rPr>
              <w:t xml:space="preserve"> </w:t>
            </w:r>
            <w:r w:rsidR="0034449A" w:rsidRPr="00F9575F">
              <w:rPr>
                <w:rFonts w:cs="Arial"/>
                <w:sz w:val="20"/>
              </w:rPr>
              <w:t xml:space="preserve">White </w:t>
            </w:r>
          </w:p>
        </w:tc>
        <w:tc>
          <w:tcPr>
            <w:tcW w:w="1530" w:type="dxa"/>
            <w:vAlign w:val="center"/>
          </w:tcPr>
          <w:p w14:paraId="15A81928" w14:textId="77777777" w:rsidR="0034449A" w:rsidRPr="00F9575F" w:rsidRDefault="0034449A" w:rsidP="002E032B">
            <w:pPr>
              <w:pStyle w:val="tabletextNS"/>
              <w:jc w:val="center"/>
              <w:rPr>
                <w:rFonts w:cs="Arial"/>
                <w:sz w:val="20"/>
              </w:rPr>
            </w:pPr>
            <w:r w:rsidRPr="00F9575F">
              <w:rPr>
                <w:rFonts w:cs="Arial"/>
                <w:sz w:val="20"/>
              </w:rPr>
              <w:t>306 / 346 (88%)</w:t>
            </w:r>
          </w:p>
        </w:tc>
        <w:tc>
          <w:tcPr>
            <w:tcW w:w="1800" w:type="dxa"/>
            <w:vAlign w:val="center"/>
          </w:tcPr>
          <w:p w14:paraId="6CD9DB4F" w14:textId="77777777" w:rsidR="0034449A" w:rsidRPr="00F9575F" w:rsidRDefault="0034449A" w:rsidP="002E032B">
            <w:pPr>
              <w:pStyle w:val="tabletextNS"/>
              <w:jc w:val="center"/>
              <w:rPr>
                <w:rFonts w:cs="Arial"/>
                <w:sz w:val="20"/>
              </w:rPr>
            </w:pPr>
            <w:r w:rsidRPr="00F9575F">
              <w:rPr>
                <w:rFonts w:cs="Arial"/>
                <w:sz w:val="20"/>
              </w:rPr>
              <w:t>301 / 352 (86%)</w:t>
            </w:r>
          </w:p>
        </w:tc>
        <w:tc>
          <w:tcPr>
            <w:tcW w:w="1530" w:type="dxa"/>
            <w:vAlign w:val="center"/>
          </w:tcPr>
          <w:p w14:paraId="7CBF6659" w14:textId="77777777" w:rsidR="0034449A" w:rsidRPr="00F9575F" w:rsidRDefault="0034449A" w:rsidP="002E032B">
            <w:pPr>
              <w:pStyle w:val="tabletextNS"/>
              <w:jc w:val="center"/>
              <w:rPr>
                <w:rFonts w:cs="Arial"/>
                <w:sz w:val="20"/>
              </w:rPr>
            </w:pPr>
            <w:r w:rsidRPr="00F9575F">
              <w:rPr>
                <w:rFonts w:cs="Arial"/>
                <w:sz w:val="20"/>
              </w:rPr>
              <w:t>255 / 284 (90%)</w:t>
            </w:r>
          </w:p>
        </w:tc>
        <w:tc>
          <w:tcPr>
            <w:tcW w:w="1530" w:type="dxa"/>
            <w:vAlign w:val="center"/>
          </w:tcPr>
          <w:p w14:paraId="55C65FE3" w14:textId="77777777" w:rsidR="0034449A" w:rsidRPr="00F9575F" w:rsidRDefault="0034449A" w:rsidP="002E032B">
            <w:pPr>
              <w:pStyle w:val="tabletextNS"/>
              <w:jc w:val="center"/>
              <w:rPr>
                <w:rFonts w:cs="Arial"/>
                <w:sz w:val="20"/>
              </w:rPr>
            </w:pPr>
            <w:r w:rsidRPr="00F9575F">
              <w:rPr>
                <w:rFonts w:cs="Arial"/>
                <w:sz w:val="20"/>
              </w:rPr>
              <w:t>238 /285 (84%)</w:t>
            </w:r>
          </w:p>
        </w:tc>
      </w:tr>
      <w:tr w:rsidR="0034449A" w:rsidRPr="00D4563C" w14:paraId="7B926658" w14:textId="77777777" w:rsidTr="005947F4">
        <w:trPr>
          <w:trHeight w:val="210"/>
        </w:trPr>
        <w:tc>
          <w:tcPr>
            <w:tcW w:w="2785" w:type="dxa"/>
            <w:vAlign w:val="center"/>
          </w:tcPr>
          <w:p w14:paraId="20FEDC18" w14:textId="77777777" w:rsidR="0034449A" w:rsidRPr="00F9575F" w:rsidRDefault="0034449A" w:rsidP="002E032B">
            <w:pPr>
              <w:pStyle w:val="tabletextNS"/>
              <w:rPr>
                <w:rFonts w:cs="Arial"/>
                <w:sz w:val="20"/>
              </w:rPr>
            </w:pPr>
            <w:r w:rsidRPr="00F9575F">
              <w:rPr>
                <w:rFonts w:cs="Arial"/>
                <w:sz w:val="20"/>
              </w:rPr>
              <w:t xml:space="preserve"> African-America/African Heritage/Other</w:t>
            </w:r>
          </w:p>
        </w:tc>
        <w:tc>
          <w:tcPr>
            <w:tcW w:w="1530" w:type="dxa"/>
            <w:vAlign w:val="center"/>
          </w:tcPr>
          <w:p w14:paraId="6C4E3798" w14:textId="77777777" w:rsidR="0034449A" w:rsidRPr="00F9575F" w:rsidRDefault="0034449A" w:rsidP="002E032B">
            <w:pPr>
              <w:pStyle w:val="tabletextNS"/>
              <w:jc w:val="center"/>
              <w:rPr>
                <w:rFonts w:cs="Arial"/>
                <w:sz w:val="20"/>
              </w:rPr>
            </w:pPr>
            <w:r w:rsidRPr="00F9575F">
              <w:rPr>
                <w:rFonts w:cs="Arial"/>
                <w:sz w:val="20"/>
              </w:rPr>
              <w:t>55 / 65 (85%)</w:t>
            </w:r>
          </w:p>
        </w:tc>
        <w:tc>
          <w:tcPr>
            <w:tcW w:w="1800" w:type="dxa"/>
            <w:vAlign w:val="center"/>
          </w:tcPr>
          <w:p w14:paraId="0FB7A8E0" w14:textId="77777777" w:rsidR="0034449A" w:rsidRPr="00F9575F" w:rsidRDefault="0034449A" w:rsidP="002E032B">
            <w:pPr>
              <w:pStyle w:val="tabletextNS"/>
              <w:jc w:val="center"/>
              <w:rPr>
                <w:rFonts w:cs="Arial"/>
                <w:sz w:val="20"/>
              </w:rPr>
            </w:pPr>
            <w:r w:rsidRPr="00F9575F">
              <w:rPr>
                <w:rFonts w:cs="Arial"/>
                <w:sz w:val="20"/>
              </w:rPr>
              <w:t>50 / 59 (85%)</w:t>
            </w:r>
          </w:p>
        </w:tc>
        <w:tc>
          <w:tcPr>
            <w:tcW w:w="1530" w:type="dxa"/>
            <w:vAlign w:val="center"/>
          </w:tcPr>
          <w:p w14:paraId="13D64729" w14:textId="77777777" w:rsidR="0034449A" w:rsidRPr="00F9575F" w:rsidRDefault="0034449A" w:rsidP="002E032B">
            <w:pPr>
              <w:pStyle w:val="tabletextNS"/>
              <w:jc w:val="center"/>
              <w:rPr>
                <w:rFonts w:cs="Arial"/>
                <w:sz w:val="20"/>
              </w:rPr>
            </w:pPr>
            <w:r w:rsidRPr="00F9575F">
              <w:rPr>
                <w:rFonts w:cs="Arial"/>
                <w:sz w:val="20"/>
              </w:rPr>
              <w:t>109 / 130 (84%)</w:t>
            </w:r>
          </w:p>
        </w:tc>
        <w:tc>
          <w:tcPr>
            <w:tcW w:w="1530" w:type="dxa"/>
            <w:vAlign w:val="center"/>
          </w:tcPr>
          <w:p w14:paraId="1E74A2B3" w14:textId="77777777" w:rsidR="0034449A" w:rsidRPr="00F9575F" w:rsidRDefault="0034449A" w:rsidP="002E032B">
            <w:pPr>
              <w:pStyle w:val="tabletextNS"/>
              <w:jc w:val="center"/>
              <w:rPr>
                <w:rFonts w:cs="Arial"/>
                <w:sz w:val="20"/>
              </w:rPr>
            </w:pPr>
            <w:r w:rsidRPr="00F9575F">
              <w:rPr>
                <w:rFonts w:cs="Arial"/>
                <w:sz w:val="20"/>
              </w:rPr>
              <w:t>99 / 133 (74%)</w:t>
            </w:r>
          </w:p>
        </w:tc>
      </w:tr>
      <w:tr w:rsidR="0034449A" w:rsidRPr="00D4563C" w14:paraId="1ADED0E5" w14:textId="77777777" w:rsidTr="005947F4">
        <w:trPr>
          <w:trHeight w:val="210"/>
        </w:trPr>
        <w:tc>
          <w:tcPr>
            <w:tcW w:w="2785" w:type="dxa"/>
            <w:vAlign w:val="center"/>
          </w:tcPr>
          <w:p w14:paraId="3A6D3C73" w14:textId="77777777" w:rsidR="0034449A" w:rsidRPr="00F9575F" w:rsidRDefault="0034449A" w:rsidP="002E032B">
            <w:pPr>
              <w:pStyle w:val="tabletextNS"/>
              <w:rPr>
                <w:rFonts w:cs="Arial"/>
                <w:b/>
                <w:sz w:val="20"/>
              </w:rPr>
            </w:pPr>
            <w:r w:rsidRPr="00F9575F">
              <w:rPr>
                <w:rFonts w:cs="Arial"/>
                <w:b/>
                <w:sz w:val="20"/>
              </w:rPr>
              <w:t>Age (years)</w:t>
            </w:r>
          </w:p>
        </w:tc>
        <w:tc>
          <w:tcPr>
            <w:tcW w:w="1530" w:type="dxa"/>
            <w:vAlign w:val="center"/>
          </w:tcPr>
          <w:p w14:paraId="0BB4D2A2" w14:textId="77777777" w:rsidR="0034449A" w:rsidRPr="00F9575F" w:rsidRDefault="0034449A" w:rsidP="002E032B">
            <w:pPr>
              <w:pStyle w:val="tabletextNS"/>
              <w:jc w:val="center"/>
              <w:rPr>
                <w:rFonts w:cs="Arial"/>
                <w:sz w:val="20"/>
              </w:rPr>
            </w:pPr>
          </w:p>
        </w:tc>
        <w:tc>
          <w:tcPr>
            <w:tcW w:w="1800" w:type="dxa"/>
            <w:vAlign w:val="center"/>
          </w:tcPr>
          <w:p w14:paraId="330155F0" w14:textId="77777777" w:rsidR="0034449A" w:rsidRPr="00F9575F" w:rsidRDefault="0034449A" w:rsidP="002E032B">
            <w:pPr>
              <w:pStyle w:val="tabletextNS"/>
              <w:jc w:val="center"/>
              <w:rPr>
                <w:rFonts w:cs="Arial"/>
                <w:sz w:val="20"/>
              </w:rPr>
            </w:pPr>
          </w:p>
        </w:tc>
        <w:tc>
          <w:tcPr>
            <w:tcW w:w="1530" w:type="dxa"/>
            <w:vAlign w:val="center"/>
          </w:tcPr>
          <w:p w14:paraId="554A9DCB" w14:textId="77777777" w:rsidR="0034449A" w:rsidRPr="00F9575F" w:rsidRDefault="0034449A" w:rsidP="002E032B">
            <w:pPr>
              <w:pStyle w:val="tabletextNS"/>
              <w:jc w:val="center"/>
              <w:rPr>
                <w:rFonts w:cs="Arial"/>
                <w:sz w:val="20"/>
              </w:rPr>
            </w:pPr>
          </w:p>
        </w:tc>
        <w:tc>
          <w:tcPr>
            <w:tcW w:w="1530" w:type="dxa"/>
            <w:vAlign w:val="center"/>
          </w:tcPr>
          <w:p w14:paraId="2A946B22" w14:textId="77777777" w:rsidR="0034449A" w:rsidRPr="00F9575F" w:rsidRDefault="0034449A" w:rsidP="002E032B">
            <w:pPr>
              <w:pStyle w:val="tabletextNS"/>
              <w:jc w:val="center"/>
              <w:rPr>
                <w:rFonts w:cs="Arial"/>
                <w:sz w:val="20"/>
              </w:rPr>
            </w:pPr>
          </w:p>
        </w:tc>
      </w:tr>
      <w:tr w:rsidR="0034449A" w:rsidRPr="00D4563C" w14:paraId="26FB95B1" w14:textId="77777777" w:rsidTr="005947F4">
        <w:trPr>
          <w:trHeight w:val="210"/>
        </w:trPr>
        <w:tc>
          <w:tcPr>
            <w:tcW w:w="2785" w:type="dxa"/>
            <w:vAlign w:val="center"/>
          </w:tcPr>
          <w:p w14:paraId="710096FD"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t>&lt;50</w:t>
            </w:r>
          </w:p>
        </w:tc>
        <w:tc>
          <w:tcPr>
            <w:tcW w:w="1530" w:type="dxa"/>
            <w:vAlign w:val="center"/>
          </w:tcPr>
          <w:p w14:paraId="3EAD51C9" w14:textId="77777777" w:rsidR="0034449A" w:rsidRPr="00F9575F" w:rsidRDefault="0034449A" w:rsidP="002E032B">
            <w:pPr>
              <w:pStyle w:val="tabletextNS"/>
              <w:jc w:val="center"/>
              <w:rPr>
                <w:rFonts w:cs="Arial"/>
                <w:sz w:val="20"/>
              </w:rPr>
            </w:pPr>
            <w:r w:rsidRPr="00F9575F">
              <w:rPr>
                <w:rFonts w:cs="Arial"/>
                <w:sz w:val="20"/>
              </w:rPr>
              <w:t>324 / 370 (88%)</w:t>
            </w:r>
          </w:p>
        </w:tc>
        <w:tc>
          <w:tcPr>
            <w:tcW w:w="1800" w:type="dxa"/>
            <w:vAlign w:val="center"/>
          </w:tcPr>
          <w:p w14:paraId="1A2758D3" w14:textId="77777777" w:rsidR="0034449A" w:rsidRPr="00F9575F" w:rsidRDefault="0034449A" w:rsidP="002E032B">
            <w:pPr>
              <w:pStyle w:val="tabletextNS"/>
              <w:jc w:val="center"/>
              <w:rPr>
                <w:rFonts w:cs="Arial"/>
                <w:sz w:val="20"/>
              </w:rPr>
            </w:pPr>
            <w:r w:rsidRPr="00F9575F">
              <w:rPr>
                <w:rFonts w:cs="Arial"/>
                <w:sz w:val="20"/>
              </w:rPr>
              <w:t>312 / 365 (85%)</w:t>
            </w:r>
          </w:p>
        </w:tc>
        <w:tc>
          <w:tcPr>
            <w:tcW w:w="1530" w:type="dxa"/>
            <w:vAlign w:val="center"/>
          </w:tcPr>
          <w:p w14:paraId="72875118" w14:textId="77777777" w:rsidR="0034449A" w:rsidRPr="00F9575F" w:rsidRDefault="0034449A" w:rsidP="002E032B">
            <w:pPr>
              <w:pStyle w:val="tabletextNS"/>
              <w:jc w:val="center"/>
              <w:rPr>
                <w:rFonts w:cs="Arial"/>
                <w:sz w:val="20"/>
              </w:rPr>
            </w:pPr>
            <w:r w:rsidRPr="00F9575F">
              <w:rPr>
                <w:rFonts w:cs="Arial"/>
                <w:sz w:val="20"/>
              </w:rPr>
              <w:t>319 / 361 (88%)</w:t>
            </w:r>
          </w:p>
        </w:tc>
        <w:tc>
          <w:tcPr>
            <w:tcW w:w="1530" w:type="dxa"/>
            <w:vAlign w:val="center"/>
          </w:tcPr>
          <w:p w14:paraId="4C3EF9A2" w14:textId="77777777" w:rsidR="0034449A" w:rsidRPr="00F9575F" w:rsidRDefault="0034449A" w:rsidP="002E032B">
            <w:pPr>
              <w:pStyle w:val="tabletextNS"/>
              <w:jc w:val="center"/>
              <w:rPr>
                <w:rFonts w:cs="Arial"/>
                <w:sz w:val="20"/>
              </w:rPr>
            </w:pPr>
            <w:r w:rsidRPr="00F9575F">
              <w:rPr>
                <w:rFonts w:cs="Arial"/>
                <w:sz w:val="20"/>
              </w:rPr>
              <w:t>302 / 375 (81%)</w:t>
            </w:r>
          </w:p>
        </w:tc>
      </w:tr>
      <w:tr w:rsidR="0034449A" w:rsidRPr="00D4563C" w14:paraId="34F97688" w14:textId="77777777" w:rsidTr="005947F4">
        <w:trPr>
          <w:trHeight w:val="210"/>
        </w:trPr>
        <w:tc>
          <w:tcPr>
            <w:tcW w:w="2785" w:type="dxa"/>
            <w:vAlign w:val="center"/>
          </w:tcPr>
          <w:p w14:paraId="1CAA78FA" w14:textId="77777777" w:rsidR="0034449A" w:rsidRPr="00F9575F" w:rsidRDefault="00825890" w:rsidP="002E032B">
            <w:pPr>
              <w:pStyle w:val="tabletextNS"/>
              <w:rPr>
                <w:rFonts w:cs="Arial"/>
                <w:sz w:val="20"/>
              </w:rPr>
            </w:pPr>
            <w:r w:rsidRPr="00F9575F">
              <w:rPr>
                <w:rFonts w:cs="Arial"/>
                <w:sz w:val="20"/>
              </w:rPr>
              <w:t xml:space="preserve"> </w:t>
            </w:r>
            <w:r w:rsidR="0034449A" w:rsidRPr="00F9575F">
              <w:rPr>
                <w:rFonts w:cs="Arial"/>
                <w:sz w:val="20"/>
              </w:rPr>
              <w:sym w:font="Symbol" w:char="F0B3"/>
            </w:r>
            <w:r w:rsidR="0034449A" w:rsidRPr="00F9575F">
              <w:rPr>
                <w:rFonts w:cs="Arial"/>
                <w:sz w:val="20"/>
              </w:rPr>
              <w:t>50</w:t>
            </w:r>
          </w:p>
        </w:tc>
        <w:tc>
          <w:tcPr>
            <w:tcW w:w="1530" w:type="dxa"/>
            <w:vAlign w:val="center"/>
          </w:tcPr>
          <w:p w14:paraId="52EFC1D8" w14:textId="77777777" w:rsidR="0034449A" w:rsidRPr="00F9575F" w:rsidRDefault="0034449A" w:rsidP="002E032B">
            <w:pPr>
              <w:pStyle w:val="tabletextNS"/>
              <w:jc w:val="center"/>
              <w:rPr>
                <w:rFonts w:cs="Arial"/>
                <w:sz w:val="20"/>
              </w:rPr>
            </w:pPr>
            <w:r w:rsidRPr="00F9575F">
              <w:rPr>
                <w:rFonts w:cs="Arial"/>
                <w:sz w:val="20"/>
              </w:rPr>
              <w:t>37 / 41 (90%)</w:t>
            </w:r>
          </w:p>
        </w:tc>
        <w:tc>
          <w:tcPr>
            <w:tcW w:w="1800" w:type="dxa"/>
            <w:vAlign w:val="center"/>
          </w:tcPr>
          <w:p w14:paraId="52EC700E" w14:textId="77777777" w:rsidR="0034449A" w:rsidRPr="00F9575F" w:rsidRDefault="0034449A" w:rsidP="002E032B">
            <w:pPr>
              <w:pStyle w:val="tabletextNS"/>
              <w:jc w:val="center"/>
              <w:rPr>
                <w:rFonts w:cs="Arial"/>
                <w:sz w:val="20"/>
              </w:rPr>
            </w:pPr>
            <w:r w:rsidRPr="00F9575F">
              <w:rPr>
                <w:rFonts w:cs="Arial"/>
                <w:sz w:val="20"/>
              </w:rPr>
              <w:t>39 / 46 (85%)</w:t>
            </w:r>
          </w:p>
        </w:tc>
        <w:tc>
          <w:tcPr>
            <w:tcW w:w="1530" w:type="dxa"/>
            <w:vAlign w:val="center"/>
          </w:tcPr>
          <w:p w14:paraId="5393BB33" w14:textId="77777777" w:rsidR="0034449A" w:rsidRPr="00F9575F" w:rsidRDefault="0034449A" w:rsidP="002E032B">
            <w:pPr>
              <w:pStyle w:val="tabletextNS"/>
              <w:jc w:val="center"/>
              <w:rPr>
                <w:rFonts w:cs="Arial"/>
                <w:sz w:val="20"/>
              </w:rPr>
            </w:pPr>
            <w:r w:rsidRPr="00F9575F">
              <w:rPr>
                <w:rFonts w:cs="Arial"/>
                <w:sz w:val="20"/>
              </w:rPr>
              <w:t>45 / 53 (85%)</w:t>
            </w:r>
          </w:p>
        </w:tc>
        <w:tc>
          <w:tcPr>
            <w:tcW w:w="1530" w:type="dxa"/>
            <w:vAlign w:val="center"/>
          </w:tcPr>
          <w:p w14:paraId="658185DE" w14:textId="77777777" w:rsidR="0034449A" w:rsidRPr="00F9575F" w:rsidRDefault="0034449A" w:rsidP="002E032B">
            <w:pPr>
              <w:pStyle w:val="tabletextNS"/>
              <w:jc w:val="center"/>
              <w:rPr>
                <w:rFonts w:cs="Arial"/>
                <w:sz w:val="20"/>
              </w:rPr>
            </w:pPr>
            <w:r w:rsidRPr="00F9575F">
              <w:rPr>
                <w:rFonts w:cs="Arial"/>
                <w:sz w:val="20"/>
              </w:rPr>
              <w:t>36 / 44 (82%)</w:t>
            </w:r>
          </w:p>
        </w:tc>
      </w:tr>
      <w:tr w:rsidR="0034449A" w:rsidRPr="00D4563C" w14:paraId="0DF0117A" w14:textId="77777777" w:rsidTr="00D00544">
        <w:tc>
          <w:tcPr>
            <w:tcW w:w="9175" w:type="dxa"/>
            <w:gridSpan w:val="5"/>
          </w:tcPr>
          <w:p w14:paraId="614513EC" w14:textId="77777777" w:rsidR="0034449A" w:rsidRPr="005947F4" w:rsidRDefault="0034449A" w:rsidP="005947F4">
            <w:pPr>
              <w:spacing w:after="0"/>
              <w:rPr>
                <w:rFonts w:ascii="Arial Narrow" w:hAnsi="Arial Narrow"/>
                <w:sz w:val="18"/>
                <w:szCs w:val="18"/>
              </w:rPr>
            </w:pPr>
            <w:r w:rsidRPr="005947F4">
              <w:rPr>
                <w:rFonts w:ascii="Arial Narrow" w:hAnsi="Arial Narrow"/>
                <w:sz w:val="18"/>
                <w:szCs w:val="18"/>
              </w:rPr>
              <w:t>* Adjusted for baseline stratification factors.</w:t>
            </w:r>
          </w:p>
          <w:p w14:paraId="321A40BE" w14:textId="77777777" w:rsidR="0034449A" w:rsidRPr="005947F4" w:rsidRDefault="0034449A" w:rsidP="005947F4">
            <w:pPr>
              <w:spacing w:after="0"/>
              <w:rPr>
                <w:rFonts w:ascii="Arial Narrow" w:hAnsi="Arial Narrow"/>
                <w:sz w:val="18"/>
                <w:szCs w:val="18"/>
              </w:rPr>
            </w:pPr>
            <w:r w:rsidRPr="005947F4">
              <w:rPr>
                <w:rFonts w:ascii="Arial Narrow" w:hAnsi="Arial Narrow"/>
                <w:sz w:val="18"/>
                <w:szCs w:val="18"/>
              </w:rPr>
              <w:t xml:space="preserve">† Includes patients who changed background regimen (BR) to new class or changed BR not permitted per protocol or due to lack of efficacy prior to Week 48 (for SPRING-2 only), patients who discontinued prior to Week 48 for lack or loss of efficacy and patients who are </w:t>
            </w:r>
            <w:r w:rsidRPr="005947F4">
              <w:rPr>
                <w:rFonts w:ascii="Arial Narrow" w:hAnsi="Arial Narrow"/>
                <w:sz w:val="18"/>
                <w:szCs w:val="18"/>
              </w:rPr>
              <w:sym w:font="Symbol" w:char="F0B3"/>
            </w:r>
            <w:r w:rsidRPr="005947F4">
              <w:rPr>
                <w:rFonts w:ascii="Arial Narrow" w:hAnsi="Arial Narrow"/>
                <w:sz w:val="18"/>
                <w:szCs w:val="18"/>
              </w:rPr>
              <w:t xml:space="preserve">50 copies in the 48 week window. </w:t>
            </w:r>
          </w:p>
          <w:p w14:paraId="3432841A" w14:textId="77777777" w:rsidR="0034449A" w:rsidRPr="005947F4" w:rsidRDefault="0034449A" w:rsidP="005947F4">
            <w:pPr>
              <w:spacing w:after="0"/>
              <w:rPr>
                <w:rFonts w:ascii="Arial Narrow" w:hAnsi="Arial Narrow"/>
                <w:sz w:val="18"/>
                <w:szCs w:val="18"/>
              </w:rPr>
            </w:pPr>
            <w:r w:rsidRPr="005947F4">
              <w:rPr>
                <w:rFonts w:ascii="Arial Narrow" w:hAnsi="Arial Narrow"/>
                <w:sz w:val="18"/>
                <w:szCs w:val="18"/>
              </w:rPr>
              <w:t xml:space="preserve">‡ Includes patients who discontinued due to an adverse event or death at any time point from Day 1 through the Week 48 window if this resulted in no virologic data on treatment during the Week 48 window. </w:t>
            </w:r>
          </w:p>
          <w:p w14:paraId="1102B370" w14:textId="77777777" w:rsidR="0034449A" w:rsidRPr="005947F4" w:rsidRDefault="0034449A" w:rsidP="005947F4">
            <w:pPr>
              <w:spacing w:after="0"/>
              <w:rPr>
                <w:rFonts w:ascii="Arial Narrow" w:hAnsi="Arial Narrow"/>
                <w:sz w:val="18"/>
                <w:szCs w:val="18"/>
              </w:rPr>
            </w:pPr>
            <w:r w:rsidRPr="005947F4">
              <w:rPr>
                <w:rFonts w:ascii="Arial Narrow" w:hAnsi="Arial Narrow"/>
                <w:sz w:val="18"/>
                <w:szCs w:val="18"/>
              </w:rPr>
              <w:t xml:space="preserve">§ Includes reasons such as withdrew consent, loss to follow-up, moved, protocol deviation. </w:t>
            </w:r>
          </w:p>
          <w:p w14:paraId="2FAA88EF" w14:textId="0C174C1C" w:rsidR="0034449A" w:rsidRPr="005947F4" w:rsidRDefault="0034449A" w:rsidP="005947F4">
            <w:pPr>
              <w:spacing w:after="0"/>
              <w:rPr>
                <w:rFonts w:ascii="Arial Narrow" w:hAnsi="Arial Narrow"/>
                <w:sz w:val="18"/>
                <w:szCs w:val="18"/>
              </w:rPr>
            </w:pPr>
            <w:r w:rsidRPr="005947F4">
              <w:rPr>
                <w:rFonts w:ascii="Arial Narrow" w:hAnsi="Arial Narrow"/>
                <w:sz w:val="18"/>
                <w:szCs w:val="18"/>
              </w:rPr>
              <w:t xml:space="preserve">¶ For Single, Treatment Differences (95% CIs) for Baseline CD4+ stratification factor: for </w:t>
            </w:r>
            <w:r w:rsidRPr="005947F4">
              <w:rPr>
                <w:rFonts w:ascii="Arial Narrow" w:hAnsi="Arial Narrow"/>
                <w:sz w:val="18"/>
                <w:szCs w:val="18"/>
              </w:rPr>
              <w:sym w:font="Symbol" w:char="F0A3"/>
            </w:r>
            <w:r w:rsidRPr="005947F4">
              <w:rPr>
                <w:rFonts w:ascii="Arial Narrow" w:hAnsi="Arial Narrow"/>
                <w:sz w:val="18"/>
                <w:szCs w:val="18"/>
              </w:rPr>
              <w:t>200 cells/</w:t>
            </w:r>
            <w:r w:rsidRPr="005947F4">
              <w:rPr>
                <w:rFonts w:ascii="Arial Narrow" w:hAnsi="Arial Narrow"/>
                <w:bCs/>
                <w:sz w:val="18"/>
                <w:szCs w:val="18"/>
              </w:rPr>
              <w:t>mm</w:t>
            </w:r>
            <w:r w:rsidRPr="005947F4">
              <w:rPr>
                <w:rFonts w:ascii="Arial Narrow" w:hAnsi="Arial Narrow"/>
                <w:bCs/>
                <w:sz w:val="18"/>
                <w:szCs w:val="18"/>
                <w:vertAlign w:val="superscript"/>
              </w:rPr>
              <w:t>3</w:t>
            </w:r>
            <w:r w:rsidRPr="005947F4">
              <w:rPr>
                <w:rFonts w:ascii="Arial Narrow" w:hAnsi="Arial Narrow"/>
                <w:sz w:val="18"/>
                <w:szCs w:val="18"/>
              </w:rPr>
              <w:t xml:space="preserve">: 1.5% (-13.3%, 16.4%), for &gt;200: 8.1% (3.0%, 13.3%) </w:t>
            </w:r>
          </w:p>
          <w:p w14:paraId="3C5409F9" w14:textId="34537ECA" w:rsidR="0034449A" w:rsidRPr="005947F4" w:rsidRDefault="0034449A" w:rsidP="005947F4">
            <w:pPr>
              <w:spacing w:after="0"/>
              <w:rPr>
                <w:rFonts w:ascii="Arial Narrow" w:hAnsi="Arial Narrow"/>
                <w:sz w:val="18"/>
                <w:szCs w:val="18"/>
              </w:rPr>
            </w:pPr>
            <w:r w:rsidRPr="005947F4">
              <w:rPr>
                <w:rFonts w:ascii="Arial Narrow" w:hAnsi="Arial Narrow"/>
                <w:sz w:val="18"/>
                <w:szCs w:val="18"/>
              </w:rPr>
              <w:t xml:space="preserve">Notes: ABC/3TC = abacavir 600 mg, lamivudine 300 mg in the form of </w:t>
            </w:r>
            <w:proofErr w:type="spellStart"/>
            <w:r w:rsidRPr="005947F4">
              <w:rPr>
                <w:rFonts w:ascii="Arial Narrow" w:hAnsi="Arial Narrow"/>
                <w:sz w:val="18"/>
                <w:szCs w:val="18"/>
              </w:rPr>
              <w:t>Kivexa</w:t>
            </w:r>
            <w:proofErr w:type="spellEnd"/>
            <w:r w:rsidRPr="005947F4">
              <w:rPr>
                <w:rFonts w:ascii="Arial Narrow" w:hAnsi="Arial Narrow"/>
                <w:sz w:val="18"/>
                <w:szCs w:val="18"/>
              </w:rPr>
              <w:t xml:space="preserve"> fixed dose combination (FDC)</w:t>
            </w:r>
            <w:r w:rsidR="00366AFF" w:rsidRPr="005947F4">
              <w:rPr>
                <w:rFonts w:ascii="Arial Narrow" w:hAnsi="Arial Narrow"/>
                <w:sz w:val="18"/>
                <w:szCs w:val="18"/>
              </w:rPr>
              <w:t>.</w:t>
            </w:r>
          </w:p>
          <w:p w14:paraId="7F0F646E" w14:textId="77777777" w:rsidR="0034449A" w:rsidRPr="005947F4" w:rsidRDefault="0034449A" w:rsidP="005947F4">
            <w:pPr>
              <w:spacing w:after="0"/>
              <w:rPr>
                <w:rFonts w:ascii="Arial Narrow" w:hAnsi="Arial Narrow"/>
                <w:sz w:val="18"/>
                <w:szCs w:val="18"/>
              </w:rPr>
            </w:pPr>
            <w:r w:rsidRPr="005947F4">
              <w:rPr>
                <w:rFonts w:ascii="Arial Narrow" w:hAnsi="Arial Narrow"/>
                <w:sz w:val="18"/>
                <w:szCs w:val="18"/>
              </w:rPr>
              <w:t>EFV/TDF/FTC = efavirenz 600 mg, tenofovir 300 mg, emtricitabine 200 mg FDC.</w:t>
            </w:r>
          </w:p>
          <w:p w14:paraId="0C8CBB09" w14:textId="77777777" w:rsidR="0034449A" w:rsidRPr="005947F4" w:rsidRDefault="0034449A" w:rsidP="005947F4">
            <w:pPr>
              <w:spacing w:after="0"/>
              <w:rPr>
                <w:rFonts w:ascii="Arial Narrow" w:hAnsi="Arial Narrow"/>
                <w:sz w:val="18"/>
                <w:szCs w:val="18"/>
              </w:rPr>
            </w:pPr>
            <w:r w:rsidRPr="005947F4">
              <w:rPr>
                <w:rFonts w:ascii="Arial Narrow" w:hAnsi="Arial Narrow"/>
                <w:sz w:val="18"/>
                <w:szCs w:val="18"/>
              </w:rPr>
              <w:t>N = Number of patients in each treatment group</w:t>
            </w:r>
            <w:r w:rsidR="00366AFF" w:rsidRPr="005947F4">
              <w:rPr>
                <w:rFonts w:ascii="Arial Narrow" w:hAnsi="Arial Narrow"/>
                <w:sz w:val="18"/>
                <w:szCs w:val="18"/>
              </w:rPr>
              <w:t>.</w:t>
            </w:r>
          </w:p>
        </w:tc>
      </w:tr>
    </w:tbl>
    <w:p w14:paraId="4DDB3A8E" w14:textId="77777777" w:rsidR="007C6789" w:rsidRDefault="00D04C3D" w:rsidP="00DD3ACA">
      <w:r w:rsidRPr="00D4563C">
        <w:br/>
        <w:t>In both SPRING-2 and SINGLE studies virologic suppression (HIV-1 RNA &lt; 50 copies/mL), treatment differences were comparable across baseline characteristi</w:t>
      </w:r>
      <w:r w:rsidR="007C6789">
        <w:t>cs (gender, race and age).</w:t>
      </w:r>
    </w:p>
    <w:p w14:paraId="6E622D21" w14:textId="77777777" w:rsidR="007C6789" w:rsidRDefault="00D04C3D" w:rsidP="00DD3ACA">
      <w:r w:rsidRPr="00D4563C">
        <w:t>Through 96 weeks</w:t>
      </w:r>
      <w:r w:rsidR="00366AFF">
        <w:t xml:space="preserve"> in SINGLE and SPRING-2, no INI-</w:t>
      </w:r>
      <w:r w:rsidRPr="00D4563C">
        <w:t xml:space="preserve">resistant mutations or treatment emergent resistance in background therapy were isolated on the </w:t>
      </w:r>
      <w:r w:rsidR="00FF0934" w:rsidRPr="00D4563C">
        <w:t>TIVICAY</w:t>
      </w:r>
      <w:r w:rsidRPr="00D4563C">
        <w:t xml:space="preserve"> containing arms. In SPRING-2, four patients on the </w:t>
      </w:r>
      <w:proofErr w:type="spellStart"/>
      <w:r w:rsidRPr="00D4563C">
        <w:t>raltegravir</w:t>
      </w:r>
      <w:proofErr w:type="spellEnd"/>
      <w:r w:rsidRPr="00D4563C">
        <w:t xml:space="preserve"> arm failed with major NRTI mutations and one patient developed </w:t>
      </w:r>
      <w:proofErr w:type="spellStart"/>
      <w:r w:rsidRPr="00D4563C">
        <w:t>raltegravir</w:t>
      </w:r>
      <w:proofErr w:type="spellEnd"/>
      <w:r w:rsidRPr="00D4563C">
        <w:t xml:space="preserve"> resistance; in SINGLE, six patients on the EFV/TDF/FTC arm failed with mutations associated with NNRTI resistance and one d</w:t>
      </w:r>
      <w:r w:rsidR="007C6789">
        <w:t>eveloped a major NRTI mutation.</w:t>
      </w:r>
    </w:p>
    <w:p w14:paraId="476A3922" w14:textId="753C11B6" w:rsidR="007C6789" w:rsidRDefault="00D04C3D" w:rsidP="00DD3ACA">
      <w:r w:rsidRPr="00D4563C">
        <w:t>I</w:t>
      </w:r>
      <w:r w:rsidR="002F1371">
        <w:t>n FLAMINGO (ING114915), an open-label and active-</w:t>
      </w:r>
      <w:r w:rsidRPr="00D4563C">
        <w:t>controlled study, 484 HIV-1 infected antiretroviral</w:t>
      </w:r>
      <w:r w:rsidR="001977C8" w:rsidRPr="00D4563C">
        <w:t xml:space="preserve"> </w:t>
      </w:r>
      <w:r w:rsidR="00E15698" w:rsidRPr="00D4563C">
        <w:t>naïve</w:t>
      </w:r>
      <w:r w:rsidRPr="00D4563C">
        <w:t xml:space="preserve"> adults were randomised and received one dose of either dolutegravir 50 mg </w:t>
      </w:r>
      <w:r w:rsidR="00D679A8">
        <w:t xml:space="preserve">film-coated tablets </w:t>
      </w:r>
      <w:r w:rsidRPr="00D4563C">
        <w:t>once daily or darunavir/ritonavir (DRV/r) 800 mg/100 mg once daily, both administered with fixed dose dual NRTI therapy (either ABC/3TC or TDF/FTC). At baseline, median patient age was 34 years, 15% were female, 28% non</w:t>
      </w:r>
      <w:r w:rsidR="002F1371">
        <w:t>-</w:t>
      </w:r>
      <w:r w:rsidRPr="00D4563C">
        <w:t>white, 10% had hepatitis B and/or C co</w:t>
      </w:r>
      <w:r w:rsidR="00BB6F5E">
        <w:t>-</w:t>
      </w:r>
      <w:r w:rsidRPr="00D4563C">
        <w:t>infection, and 3% were CDC class C; these characteristics were si</w:t>
      </w:r>
      <w:r w:rsidR="007C6789">
        <w:t>milar between treatment groups.</w:t>
      </w:r>
    </w:p>
    <w:p w14:paraId="511EA7CA" w14:textId="1B3B5566" w:rsidR="007C6789" w:rsidRDefault="00D04C3D" w:rsidP="00DD3ACA">
      <w:r w:rsidRPr="00D4563C">
        <w:lastRenderedPageBreak/>
        <w:t>Virologic suppression (HIV-1 RNA &lt; 50 copies/mL, snapshot algorithm</w:t>
      </w:r>
      <w:r w:rsidR="00000D76">
        <w:t xml:space="preserve"> - </w:t>
      </w:r>
      <w:r w:rsidRPr="00D4563C">
        <w:t>missing, switch or discontinuation = failure) in the dolutegravir group (90%) was superior to the DRV/r group (83%) at 48 weeks. The adjusted difference in proportion and 95% CI were 7.1% (0.9, 13.2), p = 0.025. At Week 96 virologic suppression in the dolutegravir group was 80% and in the DRV/r group it was 68%, treatment difference was 12.4% (4.7%, 20.2%). No treatment emergent primary INI, PI or NRTI resistance mutations were observed for subjects in the dolutegravir or DRV + RTV treatment gr</w:t>
      </w:r>
      <w:r w:rsidR="002F1371">
        <w:t>oups. Treatment failure due to “no virologic data”</w:t>
      </w:r>
      <w:r w:rsidRPr="00D4563C">
        <w:t xml:space="preserve"> was 10 (4%) in the </w:t>
      </w:r>
      <w:r w:rsidR="008B6160">
        <w:t>dolutegravir</w:t>
      </w:r>
      <w:r w:rsidR="008B6160" w:rsidRPr="00D4563C">
        <w:t xml:space="preserve"> </w:t>
      </w:r>
      <w:r w:rsidRPr="00D4563C">
        <w:t>group and 2</w:t>
      </w:r>
      <w:r w:rsidR="007C6789">
        <w:t>4 (10%) in the DRV + RTV group.</w:t>
      </w:r>
    </w:p>
    <w:p w14:paraId="2017D371" w14:textId="0A3B8354" w:rsidR="00ED65A6" w:rsidRDefault="00D04C3D" w:rsidP="00DD3ACA">
      <w:r w:rsidRPr="00D4563C">
        <w:t xml:space="preserve">Sustained virological response was demonstrated in the SPRING-1 study (ING112276), in which 88% of patients receiving 50 mg </w:t>
      </w:r>
      <w:r w:rsidR="000329AF">
        <w:t xml:space="preserve">dose of dolutegravir </w:t>
      </w:r>
      <w:r w:rsidR="00D679A8">
        <w:t xml:space="preserve">film-coated tablets </w:t>
      </w:r>
      <w:r w:rsidRPr="00D4563C">
        <w:t xml:space="preserve">(n = 51) once daily had HIV-1 RNA &lt; 50 copies/mL, compared to 72% of patients in the efavirenz group (n = 50) at 96 </w:t>
      </w:r>
      <w:r w:rsidR="002F1371">
        <w:t>weeks. No INI-</w:t>
      </w:r>
      <w:r w:rsidRPr="00D4563C">
        <w:t>r</w:t>
      </w:r>
      <w:r w:rsidR="002F1371">
        <w:t>esistant mutations or treatment-</w:t>
      </w:r>
      <w:r w:rsidRPr="00D4563C">
        <w:t xml:space="preserve">emergent resistance in background therapy were isolated with </w:t>
      </w:r>
      <w:r w:rsidR="000329AF">
        <w:t>dolutegravir</w:t>
      </w:r>
      <w:r w:rsidR="007F4039" w:rsidRPr="00D4563C">
        <w:t xml:space="preserve"> through 96 weeks.</w:t>
      </w:r>
    </w:p>
    <w:p w14:paraId="47A2C60B" w14:textId="2F6BC277" w:rsidR="00D20C0E" w:rsidRDefault="00D20C0E" w:rsidP="00DD3ACA">
      <w:pPr>
        <w:rPr>
          <w:bCs/>
          <w:lang w:val="en-GB"/>
        </w:rPr>
      </w:pPr>
      <w:r w:rsidRPr="00D20C0E">
        <w:rPr>
          <w:lang w:val="en-GB"/>
        </w:rPr>
        <w:t xml:space="preserve">In GEMINI-1 (204861) and GEMINI-2 (205543), identical 148-week, randomised, double-blind, multicentre, non-inferiority studies, 1433 adult HIV-1 infected antiretroviral naïve subjects were randomised and received a two-drug regimen dolutegravir 50 mg </w:t>
      </w:r>
      <w:r w:rsidR="000329AF">
        <w:rPr>
          <w:lang w:val="en-GB"/>
        </w:rPr>
        <w:t xml:space="preserve">film-coated tablets </w:t>
      </w:r>
      <w:r w:rsidRPr="00D20C0E">
        <w:rPr>
          <w:lang w:val="en-GB"/>
        </w:rPr>
        <w:t xml:space="preserve">plus lamivudine 300 mg once daily or dolutegravir 50 mg </w:t>
      </w:r>
      <w:r w:rsidR="000329AF">
        <w:rPr>
          <w:lang w:val="en-GB"/>
        </w:rPr>
        <w:t xml:space="preserve">film-coated tablets </w:t>
      </w:r>
      <w:r w:rsidRPr="00D20C0E">
        <w:rPr>
          <w:lang w:val="en-GB"/>
        </w:rPr>
        <w:t xml:space="preserve">once daily with fixed dose </w:t>
      </w:r>
      <w:r w:rsidR="008B6160">
        <w:rPr>
          <w:lang w:val="en-GB"/>
        </w:rPr>
        <w:t>tenofovir/emtricitabine (</w:t>
      </w:r>
      <w:r w:rsidRPr="00D20C0E">
        <w:rPr>
          <w:lang w:val="en-GB"/>
        </w:rPr>
        <w:t>TDF/FTC</w:t>
      </w:r>
      <w:r w:rsidR="008B6160">
        <w:rPr>
          <w:lang w:val="en-GB"/>
        </w:rPr>
        <w:t>)</w:t>
      </w:r>
      <w:r w:rsidRPr="00D20C0E">
        <w:rPr>
          <w:lang w:val="en-GB"/>
        </w:rPr>
        <w:t xml:space="preserve">. </w:t>
      </w:r>
      <w:r w:rsidRPr="00D20C0E">
        <w:rPr>
          <w:bCs/>
          <w:lang w:val="en-GB"/>
        </w:rPr>
        <w:t>Subjects were enrolled with a screening plasma HIV-1 RNA of 1000 c/mL to ≤500,000 c/</w:t>
      </w:r>
      <w:proofErr w:type="spellStart"/>
      <w:r w:rsidRPr="00D20C0E">
        <w:rPr>
          <w:bCs/>
          <w:lang w:val="en-GB"/>
        </w:rPr>
        <w:t>mL.</w:t>
      </w:r>
      <w:proofErr w:type="spellEnd"/>
      <w:r w:rsidRPr="00D20C0E">
        <w:rPr>
          <w:bCs/>
          <w:lang w:val="en-GB"/>
        </w:rPr>
        <w:t xml:space="preserve"> </w:t>
      </w:r>
      <w:r w:rsidRPr="00D20C0E">
        <w:rPr>
          <w:lang w:val="en-GB"/>
        </w:rPr>
        <w:t xml:space="preserve">At baseline, in the pooled analysis of all patients, median patient age was 33 years, 15% were female, 32% non-white, 6% had hepatitis C co-infection and 9% were CDC Stage 3; these characteristics were similar between treatment groups. Virologic suppression (HIV-1 RNA &lt;50 copies/mL) in the dolutegravir plus lamivudine group (91% [pooled data]) was non-inferior to the dolutegravir plus TDF/FTC group (93% [pooled data]) at 48 weeks. The adjusted difference in proportion and 95% CI were -1.7% (-4.4, 1.1). The results of the pooled analysis were in line with those of the individual studies, for which the primary endpoint (difference in proportion &lt;50 copies/mL plasma HIV-1 RNA at week 48 based on the Snapshot algorithm for dolutegravir plus lamivudine versus dolutegravir plus TDF/FTC) was met. The adjusted difference was -2.6% (95% CI: -6.7; 1.5) for GEMINI-1 and -0.7% (95% </w:t>
      </w:r>
      <w:proofErr w:type="gramStart"/>
      <w:r w:rsidRPr="00D20C0E">
        <w:rPr>
          <w:lang w:val="en-GB"/>
        </w:rPr>
        <w:t>CI:-</w:t>
      </w:r>
      <w:proofErr w:type="gramEnd"/>
      <w:r w:rsidRPr="00D20C0E">
        <w:rPr>
          <w:lang w:val="en-GB"/>
        </w:rPr>
        <w:t xml:space="preserve">4.3; 2.9) for GEMINI-2 with a prespecified non-inferiority margin of 10%. </w:t>
      </w:r>
      <w:r w:rsidRPr="00D20C0E">
        <w:rPr>
          <w:bCs/>
          <w:lang w:val="en-GB"/>
        </w:rPr>
        <w:t xml:space="preserve">Through 48 weeks in the GEMINI-1 and GEMINI-2 studies, no cases of emergent resistance to the integrase- or NRTI-class were seen in either the </w:t>
      </w:r>
      <w:r w:rsidR="008B6160" w:rsidRPr="00D20C0E">
        <w:rPr>
          <w:lang w:val="en-GB"/>
        </w:rPr>
        <w:t xml:space="preserve">dolutegravir plus lamivudine </w:t>
      </w:r>
      <w:r w:rsidRPr="00D20C0E">
        <w:rPr>
          <w:bCs/>
          <w:lang w:val="en-GB"/>
        </w:rPr>
        <w:t xml:space="preserve">or comparator </w:t>
      </w:r>
      <w:r w:rsidR="008B6160">
        <w:rPr>
          <w:bCs/>
          <w:lang w:val="en-GB"/>
        </w:rPr>
        <w:t xml:space="preserve">dolutegravir </w:t>
      </w:r>
      <w:r w:rsidRPr="00D20C0E">
        <w:rPr>
          <w:bCs/>
          <w:lang w:val="en-GB"/>
        </w:rPr>
        <w:t>+ TDF/FTC arms.</w:t>
      </w:r>
      <w:r w:rsidR="00C265B2">
        <w:rPr>
          <w:bCs/>
          <w:lang w:val="en-GB"/>
        </w:rPr>
        <w:t xml:space="preserve"> </w:t>
      </w:r>
      <w:r w:rsidR="00C265B2" w:rsidRPr="00C265B2">
        <w:rPr>
          <w:bCs/>
          <w:lang w:val="en-GB"/>
        </w:rPr>
        <w:t>For both pooled treatment groups, the overall lipid profiles were generally improved from baseline, and the proportions of subjects showing favourable improvements in total cholesterol/HDL cholesterol ratio were similar between the 2 treatment groups.</w:t>
      </w:r>
    </w:p>
    <w:p w14:paraId="5E64BE36" w14:textId="6D53BC2C" w:rsidR="00CB7EAA" w:rsidRPr="009C2695" w:rsidRDefault="00CB7EAA" w:rsidP="00CB7EAA">
      <w:pPr>
        <w:keepNext/>
        <w:ind w:left="1134" w:hanging="1134"/>
        <w:rPr>
          <w:b/>
        </w:rPr>
      </w:pPr>
      <w:r w:rsidRPr="009C2695">
        <w:rPr>
          <w:b/>
        </w:rPr>
        <w:t xml:space="preserve">Table </w:t>
      </w:r>
      <w:r w:rsidR="005D7F85">
        <w:rPr>
          <w:b/>
        </w:rPr>
        <w:t>6</w:t>
      </w:r>
      <w:r w:rsidRPr="009C2695">
        <w:rPr>
          <w:b/>
        </w:rPr>
        <w:t xml:space="preserve"> </w:t>
      </w:r>
      <w:r>
        <w:rPr>
          <w:b/>
        </w:rPr>
        <w:tab/>
      </w:r>
      <w:r w:rsidRPr="009C2695">
        <w:rPr>
          <w:b/>
        </w:rPr>
        <w:t xml:space="preserve">Mean Change from Baseline in Fasted Lipid Values in GEMINI-1 and GEMINI-2 (Week 48 Pooled </w:t>
      </w:r>
      <w:proofErr w:type="spellStart"/>
      <w:r w:rsidRPr="009C2695">
        <w:rPr>
          <w:b/>
        </w:rPr>
        <w:t>Analys</w:t>
      </w:r>
      <w:r>
        <w:rPr>
          <w:b/>
        </w:rPr>
        <w:t>i</w:t>
      </w:r>
      <w:r w:rsidRPr="009C2695">
        <w:rPr>
          <w:b/>
        </w:rPr>
        <w:t>s</w:t>
      </w:r>
      <w:r w:rsidRPr="009C2695">
        <w:rPr>
          <w:b/>
          <w:vertAlign w:val="superscript"/>
        </w:rPr>
        <w:t>a</w:t>
      </w:r>
      <w:proofErr w:type="spellEnd"/>
      <w:r w:rsidRPr="009C2695">
        <w:rPr>
          <w:b/>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2974"/>
        <w:gridCol w:w="2838"/>
      </w:tblGrid>
      <w:tr w:rsidR="00CB7EAA" w:rsidRPr="002169FD" w14:paraId="2783685C" w14:textId="77777777" w:rsidTr="00B858F4">
        <w:trPr>
          <w:trHeight w:val="647"/>
        </w:trPr>
        <w:tc>
          <w:tcPr>
            <w:tcW w:w="3681" w:type="dxa"/>
            <w:vAlign w:val="bottom"/>
          </w:tcPr>
          <w:p w14:paraId="59E209BD" w14:textId="77777777" w:rsidR="00CB7EAA" w:rsidRPr="002169FD" w:rsidRDefault="00CB7EAA" w:rsidP="00B858F4">
            <w:pPr>
              <w:pStyle w:val="tabletextNS"/>
              <w:keepNext/>
              <w:keepLines/>
              <w:spacing w:line="320" w:lineRule="atLeast"/>
              <w:jc w:val="center"/>
              <w:rPr>
                <w:b/>
                <w:sz w:val="22"/>
                <w:szCs w:val="22"/>
              </w:rPr>
            </w:pPr>
            <w:r w:rsidRPr="002169FD">
              <w:rPr>
                <w:b/>
                <w:sz w:val="22"/>
                <w:szCs w:val="22"/>
              </w:rPr>
              <w:t xml:space="preserve">Laboratory Parameter </w:t>
            </w:r>
          </w:p>
          <w:p w14:paraId="4F9C759F" w14:textId="77777777" w:rsidR="00CB7EAA" w:rsidRPr="002169FD" w:rsidRDefault="00CB7EAA" w:rsidP="00B858F4">
            <w:pPr>
              <w:pStyle w:val="tabletextNS"/>
              <w:keepNext/>
              <w:keepLines/>
              <w:spacing w:line="320" w:lineRule="atLeast"/>
              <w:jc w:val="center"/>
              <w:rPr>
                <w:b/>
                <w:bCs/>
                <w:sz w:val="22"/>
                <w:szCs w:val="22"/>
              </w:rPr>
            </w:pPr>
            <w:r w:rsidRPr="002169FD">
              <w:rPr>
                <w:b/>
                <w:sz w:val="22"/>
                <w:szCs w:val="22"/>
              </w:rPr>
              <w:t>Preferred Term</w:t>
            </w:r>
          </w:p>
        </w:tc>
        <w:tc>
          <w:tcPr>
            <w:tcW w:w="2974" w:type="dxa"/>
            <w:tcBorders>
              <w:right w:val="single" w:sz="4" w:space="0" w:color="auto"/>
            </w:tcBorders>
            <w:vAlign w:val="bottom"/>
          </w:tcPr>
          <w:p w14:paraId="4059260F" w14:textId="77777777" w:rsidR="00CB7EAA" w:rsidRPr="002169FD" w:rsidRDefault="00CB7EAA" w:rsidP="00B858F4">
            <w:pPr>
              <w:pStyle w:val="tabletextNS"/>
              <w:keepNext/>
              <w:keepLines/>
              <w:spacing w:line="320" w:lineRule="atLeast"/>
              <w:jc w:val="center"/>
              <w:rPr>
                <w:b/>
                <w:sz w:val="22"/>
                <w:szCs w:val="22"/>
                <w:lang w:val="en-US"/>
              </w:rPr>
            </w:pPr>
            <w:r w:rsidRPr="002169FD">
              <w:rPr>
                <w:b/>
                <w:sz w:val="22"/>
                <w:szCs w:val="22"/>
                <w:lang w:val="en-US"/>
              </w:rPr>
              <w:t>Dolutegravir plus lamivudine</w:t>
            </w:r>
          </w:p>
          <w:p w14:paraId="3715EA5C" w14:textId="77777777" w:rsidR="00CB7EAA" w:rsidRPr="002169FD" w:rsidRDefault="00CB7EAA" w:rsidP="00B858F4">
            <w:pPr>
              <w:pStyle w:val="tabletextNS"/>
              <w:keepNext/>
              <w:keepLines/>
              <w:spacing w:line="320" w:lineRule="atLeast"/>
              <w:jc w:val="center"/>
              <w:rPr>
                <w:b/>
                <w:sz w:val="22"/>
                <w:szCs w:val="22"/>
                <w:lang w:val="en-US"/>
              </w:rPr>
            </w:pPr>
            <w:r w:rsidRPr="002169FD">
              <w:rPr>
                <w:b/>
                <w:sz w:val="22"/>
                <w:szCs w:val="22"/>
              </w:rPr>
              <w:t>(n = 716)</w:t>
            </w:r>
          </w:p>
        </w:tc>
        <w:tc>
          <w:tcPr>
            <w:tcW w:w="2838" w:type="dxa"/>
            <w:tcBorders>
              <w:right w:val="single" w:sz="4" w:space="0" w:color="auto"/>
            </w:tcBorders>
            <w:vAlign w:val="bottom"/>
          </w:tcPr>
          <w:p w14:paraId="5ECCAE40" w14:textId="77777777" w:rsidR="00CB7EAA" w:rsidRDefault="00CB7EAA" w:rsidP="00B858F4">
            <w:pPr>
              <w:pStyle w:val="tabletextNS"/>
              <w:keepNext/>
              <w:keepLines/>
              <w:spacing w:line="320" w:lineRule="atLeast"/>
              <w:jc w:val="center"/>
              <w:rPr>
                <w:rFonts w:eastAsiaTheme="minorHAnsi" w:cstheme="minorBidi"/>
                <w:b/>
                <w:sz w:val="22"/>
                <w:szCs w:val="22"/>
                <w:lang w:val="en-AU"/>
              </w:rPr>
            </w:pPr>
            <w:r w:rsidRPr="002169FD">
              <w:rPr>
                <w:rFonts w:eastAsiaTheme="minorHAnsi" w:cstheme="minorBidi"/>
                <w:b/>
                <w:sz w:val="22"/>
                <w:szCs w:val="22"/>
                <w:lang w:val="en-AU"/>
              </w:rPr>
              <w:t xml:space="preserve">Dolutegravir plus </w:t>
            </w:r>
            <w:r>
              <w:rPr>
                <w:rFonts w:eastAsiaTheme="minorHAnsi" w:cstheme="minorBidi"/>
                <w:b/>
                <w:sz w:val="22"/>
                <w:szCs w:val="22"/>
                <w:lang w:val="en-AU"/>
              </w:rPr>
              <w:t>TDF*</w:t>
            </w:r>
            <w:r w:rsidRPr="002169FD">
              <w:rPr>
                <w:rFonts w:eastAsiaTheme="minorHAnsi" w:cstheme="minorBidi"/>
                <w:b/>
                <w:sz w:val="22"/>
                <w:szCs w:val="22"/>
                <w:lang w:val="en-AU"/>
              </w:rPr>
              <w:t xml:space="preserve">/emtricitabine </w:t>
            </w:r>
          </w:p>
          <w:p w14:paraId="6D45BD7D" w14:textId="77777777" w:rsidR="00CB7EAA" w:rsidRPr="002169FD" w:rsidRDefault="00CB7EAA" w:rsidP="00B858F4">
            <w:pPr>
              <w:pStyle w:val="tabletextNS"/>
              <w:keepNext/>
              <w:keepLines/>
              <w:spacing w:line="320" w:lineRule="atLeast"/>
              <w:jc w:val="center"/>
              <w:rPr>
                <w:b/>
                <w:sz w:val="22"/>
                <w:szCs w:val="22"/>
              </w:rPr>
            </w:pPr>
            <w:r w:rsidRPr="002169FD">
              <w:rPr>
                <w:b/>
                <w:sz w:val="22"/>
                <w:szCs w:val="22"/>
                <w:lang w:val="en-US"/>
              </w:rPr>
              <w:t>(n = 717)</w:t>
            </w:r>
          </w:p>
        </w:tc>
      </w:tr>
      <w:tr w:rsidR="00CB7EAA" w:rsidRPr="002169FD" w14:paraId="28EAFE87" w14:textId="77777777" w:rsidTr="00B858F4">
        <w:tc>
          <w:tcPr>
            <w:tcW w:w="3681" w:type="dxa"/>
            <w:tcBorders>
              <w:bottom w:val="nil"/>
            </w:tcBorders>
          </w:tcPr>
          <w:p w14:paraId="77476650" w14:textId="77777777" w:rsidR="00CB7EAA" w:rsidRPr="002169FD" w:rsidRDefault="00CB7EAA" w:rsidP="00B858F4">
            <w:pPr>
              <w:pStyle w:val="tabletextNS"/>
              <w:spacing w:line="320" w:lineRule="atLeast"/>
              <w:rPr>
                <w:bCs/>
                <w:sz w:val="22"/>
                <w:szCs w:val="22"/>
              </w:rPr>
            </w:pPr>
            <w:r w:rsidRPr="002169FD">
              <w:rPr>
                <w:bCs/>
                <w:sz w:val="22"/>
                <w:szCs w:val="22"/>
              </w:rPr>
              <w:t>Cholesterol (</w:t>
            </w:r>
            <w:r w:rsidRPr="00223876">
              <w:rPr>
                <w:bCs/>
                <w:sz w:val="22"/>
                <w:szCs w:val="22"/>
              </w:rPr>
              <w:t>mmol/L)</w:t>
            </w:r>
          </w:p>
        </w:tc>
        <w:tc>
          <w:tcPr>
            <w:tcW w:w="2974" w:type="dxa"/>
            <w:tcBorders>
              <w:bottom w:val="nil"/>
            </w:tcBorders>
          </w:tcPr>
          <w:p w14:paraId="092D038D" w14:textId="77777777" w:rsidR="00CB7EAA" w:rsidRPr="002169FD" w:rsidRDefault="00CB7EAA" w:rsidP="00B858F4">
            <w:pPr>
              <w:spacing w:after="0" w:line="320" w:lineRule="atLeast"/>
              <w:jc w:val="center"/>
              <w:rPr>
                <w:rFonts w:ascii="Arial Narrow" w:hAnsi="Arial Narrow"/>
                <w:snapToGrid w:val="0"/>
              </w:rPr>
            </w:pPr>
            <w:r>
              <w:rPr>
                <w:rFonts w:ascii="Arial Narrow" w:hAnsi="Arial Narrow"/>
                <w:snapToGrid w:val="0"/>
              </w:rPr>
              <w:t>0.35</w:t>
            </w:r>
          </w:p>
        </w:tc>
        <w:tc>
          <w:tcPr>
            <w:tcW w:w="2838" w:type="dxa"/>
            <w:tcBorders>
              <w:bottom w:val="nil"/>
              <w:right w:val="single" w:sz="4" w:space="0" w:color="auto"/>
            </w:tcBorders>
          </w:tcPr>
          <w:p w14:paraId="1EEDEEB3" w14:textId="77777777" w:rsidR="00CB7EAA" w:rsidRPr="002169FD" w:rsidRDefault="00CB7EAA" w:rsidP="00B858F4">
            <w:pPr>
              <w:spacing w:after="0" w:line="320" w:lineRule="atLeast"/>
              <w:jc w:val="center"/>
              <w:rPr>
                <w:rFonts w:ascii="Arial Narrow" w:hAnsi="Arial Narrow"/>
                <w:snapToGrid w:val="0"/>
              </w:rPr>
            </w:pPr>
            <w:r w:rsidRPr="002169FD">
              <w:rPr>
                <w:rFonts w:ascii="Arial Narrow" w:hAnsi="Arial Narrow"/>
                <w:snapToGrid w:val="0"/>
              </w:rPr>
              <w:t>-</w:t>
            </w:r>
            <w:r>
              <w:rPr>
                <w:rFonts w:ascii="Arial Narrow" w:hAnsi="Arial Narrow"/>
                <w:snapToGrid w:val="0"/>
              </w:rPr>
              <w:t>0.18</w:t>
            </w:r>
          </w:p>
        </w:tc>
      </w:tr>
      <w:tr w:rsidR="00CB7EAA" w:rsidRPr="002169FD" w14:paraId="2F5B120E" w14:textId="77777777" w:rsidTr="00B858F4">
        <w:tc>
          <w:tcPr>
            <w:tcW w:w="3681" w:type="dxa"/>
            <w:tcBorders>
              <w:bottom w:val="nil"/>
            </w:tcBorders>
          </w:tcPr>
          <w:p w14:paraId="5A334F0B" w14:textId="77777777" w:rsidR="00CB7EAA" w:rsidRPr="00223876" w:rsidRDefault="00CB7EAA" w:rsidP="00B858F4">
            <w:pPr>
              <w:pStyle w:val="tabletextNS"/>
              <w:spacing w:line="320" w:lineRule="atLeast"/>
              <w:rPr>
                <w:bCs/>
                <w:sz w:val="22"/>
                <w:szCs w:val="22"/>
              </w:rPr>
            </w:pPr>
            <w:r w:rsidRPr="00223876">
              <w:rPr>
                <w:bCs/>
                <w:sz w:val="22"/>
                <w:szCs w:val="22"/>
              </w:rPr>
              <w:lastRenderedPageBreak/>
              <w:t>HDL cholesterol (mmol/L)</w:t>
            </w:r>
          </w:p>
        </w:tc>
        <w:tc>
          <w:tcPr>
            <w:tcW w:w="2974" w:type="dxa"/>
            <w:tcBorders>
              <w:bottom w:val="nil"/>
            </w:tcBorders>
          </w:tcPr>
          <w:p w14:paraId="7D6C3634" w14:textId="77777777" w:rsidR="00CB7EAA" w:rsidRPr="002169FD" w:rsidRDefault="00CB7EAA" w:rsidP="00B858F4">
            <w:pPr>
              <w:spacing w:after="0" w:line="320" w:lineRule="atLeast"/>
              <w:jc w:val="center"/>
              <w:rPr>
                <w:rFonts w:ascii="Arial Narrow" w:hAnsi="Arial Narrow"/>
                <w:snapToGrid w:val="0"/>
              </w:rPr>
            </w:pPr>
            <w:r>
              <w:rPr>
                <w:rFonts w:ascii="Arial Narrow" w:hAnsi="Arial Narrow"/>
                <w:snapToGrid w:val="0"/>
              </w:rPr>
              <w:t>0.15</w:t>
            </w:r>
          </w:p>
        </w:tc>
        <w:tc>
          <w:tcPr>
            <w:tcW w:w="2838" w:type="dxa"/>
            <w:tcBorders>
              <w:bottom w:val="nil"/>
              <w:right w:val="single" w:sz="4" w:space="0" w:color="auto"/>
            </w:tcBorders>
          </w:tcPr>
          <w:p w14:paraId="3B686798" w14:textId="77777777" w:rsidR="00CB7EAA" w:rsidRPr="002169FD" w:rsidRDefault="00CB7EAA" w:rsidP="00B858F4">
            <w:pPr>
              <w:spacing w:after="0" w:line="320" w:lineRule="atLeast"/>
              <w:jc w:val="center"/>
              <w:rPr>
                <w:rFonts w:ascii="Arial Narrow" w:hAnsi="Arial Narrow"/>
                <w:snapToGrid w:val="0"/>
              </w:rPr>
            </w:pPr>
            <w:r>
              <w:rPr>
                <w:rFonts w:ascii="Arial Narrow" w:hAnsi="Arial Narrow"/>
                <w:snapToGrid w:val="0"/>
              </w:rPr>
              <w:t>0.02</w:t>
            </w:r>
          </w:p>
        </w:tc>
      </w:tr>
      <w:tr w:rsidR="00CB7EAA" w:rsidRPr="002169FD" w14:paraId="6F267D76" w14:textId="77777777" w:rsidTr="00B858F4">
        <w:tc>
          <w:tcPr>
            <w:tcW w:w="3681" w:type="dxa"/>
            <w:tcBorders>
              <w:bottom w:val="single" w:sz="4" w:space="0" w:color="auto"/>
            </w:tcBorders>
          </w:tcPr>
          <w:p w14:paraId="53D062C6" w14:textId="77777777" w:rsidR="00CB7EAA" w:rsidRPr="00223876" w:rsidRDefault="00CB7EAA" w:rsidP="00B858F4">
            <w:pPr>
              <w:pStyle w:val="tabletextNS"/>
              <w:spacing w:line="320" w:lineRule="atLeast"/>
              <w:rPr>
                <w:bCs/>
                <w:sz w:val="22"/>
                <w:szCs w:val="22"/>
              </w:rPr>
            </w:pPr>
            <w:r w:rsidRPr="00223876">
              <w:rPr>
                <w:bCs/>
                <w:sz w:val="22"/>
                <w:szCs w:val="22"/>
              </w:rPr>
              <w:t>LDL cholesterol (mmol/L)</w:t>
            </w:r>
          </w:p>
        </w:tc>
        <w:tc>
          <w:tcPr>
            <w:tcW w:w="2974" w:type="dxa"/>
            <w:tcBorders>
              <w:bottom w:val="single" w:sz="4" w:space="0" w:color="auto"/>
            </w:tcBorders>
          </w:tcPr>
          <w:p w14:paraId="7C6A2EE7" w14:textId="77777777" w:rsidR="00CB7EAA" w:rsidRPr="002169FD" w:rsidRDefault="00CB7EAA" w:rsidP="00B858F4">
            <w:pPr>
              <w:spacing w:after="0" w:line="320" w:lineRule="atLeast"/>
              <w:jc w:val="center"/>
              <w:rPr>
                <w:rFonts w:ascii="Arial Narrow" w:hAnsi="Arial Narrow"/>
                <w:snapToGrid w:val="0"/>
              </w:rPr>
            </w:pPr>
            <w:r>
              <w:rPr>
                <w:rFonts w:ascii="Arial Narrow" w:hAnsi="Arial Narrow"/>
                <w:snapToGrid w:val="0"/>
              </w:rPr>
              <w:t>0.19</w:t>
            </w:r>
          </w:p>
        </w:tc>
        <w:tc>
          <w:tcPr>
            <w:tcW w:w="2838" w:type="dxa"/>
            <w:tcBorders>
              <w:bottom w:val="single" w:sz="4" w:space="0" w:color="auto"/>
              <w:right w:val="single" w:sz="4" w:space="0" w:color="auto"/>
            </w:tcBorders>
          </w:tcPr>
          <w:p w14:paraId="1096401E" w14:textId="77777777" w:rsidR="00CB7EAA" w:rsidRPr="002169FD" w:rsidRDefault="00CB7EAA" w:rsidP="00B858F4">
            <w:pPr>
              <w:spacing w:after="0" w:line="320" w:lineRule="atLeast"/>
              <w:jc w:val="center"/>
              <w:rPr>
                <w:rFonts w:ascii="Arial Narrow" w:hAnsi="Arial Narrow"/>
                <w:snapToGrid w:val="0"/>
              </w:rPr>
            </w:pPr>
            <w:r w:rsidRPr="002169FD">
              <w:rPr>
                <w:rFonts w:ascii="Arial Narrow" w:hAnsi="Arial Narrow"/>
                <w:snapToGrid w:val="0"/>
              </w:rPr>
              <w:t>-</w:t>
            </w:r>
            <w:r>
              <w:rPr>
                <w:rFonts w:ascii="Arial Narrow" w:hAnsi="Arial Narrow"/>
                <w:snapToGrid w:val="0"/>
              </w:rPr>
              <w:t>0.16</w:t>
            </w:r>
          </w:p>
        </w:tc>
      </w:tr>
      <w:tr w:rsidR="00CB7EAA" w:rsidRPr="002169FD" w14:paraId="0445A59F" w14:textId="77777777" w:rsidTr="00B858F4">
        <w:tc>
          <w:tcPr>
            <w:tcW w:w="3681" w:type="dxa"/>
          </w:tcPr>
          <w:p w14:paraId="32A80B68" w14:textId="77777777" w:rsidR="00CB7EAA" w:rsidRPr="002169FD" w:rsidRDefault="00CB7EAA" w:rsidP="00B858F4">
            <w:pPr>
              <w:pStyle w:val="tabletextNS"/>
              <w:spacing w:line="320" w:lineRule="atLeast"/>
              <w:rPr>
                <w:bCs/>
                <w:sz w:val="22"/>
                <w:szCs w:val="22"/>
              </w:rPr>
            </w:pPr>
            <w:r w:rsidRPr="00223876">
              <w:rPr>
                <w:bCs/>
                <w:sz w:val="22"/>
                <w:szCs w:val="22"/>
              </w:rPr>
              <w:t>Triglycerides (mmol/L)</w:t>
            </w:r>
          </w:p>
        </w:tc>
        <w:tc>
          <w:tcPr>
            <w:tcW w:w="2974" w:type="dxa"/>
          </w:tcPr>
          <w:p w14:paraId="73CA7237" w14:textId="77777777" w:rsidR="00CB7EAA" w:rsidRPr="002169FD" w:rsidRDefault="00CB7EAA" w:rsidP="00B858F4">
            <w:pPr>
              <w:spacing w:after="0" w:line="320" w:lineRule="atLeast"/>
              <w:jc w:val="center"/>
              <w:rPr>
                <w:rFonts w:ascii="Arial Narrow" w:hAnsi="Arial Narrow"/>
                <w:snapToGrid w:val="0"/>
              </w:rPr>
            </w:pPr>
            <w:r>
              <w:rPr>
                <w:rFonts w:ascii="Arial Narrow" w:hAnsi="Arial Narrow"/>
                <w:snapToGrid w:val="0"/>
              </w:rPr>
              <w:t>0.04</w:t>
            </w:r>
          </w:p>
        </w:tc>
        <w:tc>
          <w:tcPr>
            <w:tcW w:w="2838" w:type="dxa"/>
            <w:tcBorders>
              <w:right w:val="single" w:sz="4" w:space="0" w:color="auto"/>
            </w:tcBorders>
          </w:tcPr>
          <w:p w14:paraId="388C953A" w14:textId="77777777" w:rsidR="00CB7EAA" w:rsidRPr="002169FD" w:rsidRDefault="00CB7EAA" w:rsidP="00B858F4">
            <w:pPr>
              <w:spacing w:after="0" w:line="320" w:lineRule="atLeast"/>
              <w:jc w:val="center"/>
              <w:rPr>
                <w:rFonts w:ascii="Arial Narrow" w:hAnsi="Arial Narrow"/>
                <w:snapToGrid w:val="0"/>
              </w:rPr>
            </w:pPr>
            <w:r w:rsidRPr="002169FD">
              <w:rPr>
                <w:rFonts w:ascii="Arial Narrow" w:hAnsi="Arial Narrow"/>
                <w:snapToGrid w:val="0"/>
              </w:rPr>
              <w:t>-</w:t>
            </w:r>
            <w:r>
              <w:rPr>
                <w:rFonts w:ascii="Arial Narrow" w:hAnsi="Arial Narrow"/>
                <w:snapToGrid w:val="0"/>
              </w:rPr>
              <w:t>0.08</w:t>
            </w:r>
          </w:p>
        </w:tc>
      </w:tr>
      <w:tr w:rsidR="00CB7EAA" w:rsidRPr="002169FD" w14:paraId="423C9BCC" w14:textId="77777777" w:rsidTr="00B858F4">
        <w:tc>
          <w:tcPr>
            <w:tcW w:w="3681" w:type="dxa"/>
            <w:tcBorders>
              <w:bottom w:val="single" w:sz="4" w:space="0" w:color="auto"/>
            </w:tcBorders>
          </w:tcPr>
          <w:p w14:paraId="7EEF662D" w14:textId="77777777" w:rsidR="00CB7EAA" w:rsidRPr="002169FD" w:rsidRDefault="00CB7EAA" w:rsidP="00B858F4">
            <w:pPr>
              <w:pStyle w:val="tabletextNS"/>
              <w:spacing w:line="320" w:lineRule="atLeast"/>
              <w:rPr>
                <w:bCs/>
                <w:sz w:val="22"/>
                <w:szCs w:val="22"/>
              </w:rPr>
            </w:pPr>
            <w:r w:rsidRPr="002169FD">
              <w:rPr>
                <w:bCs/>
                <w:sz w:val="22"/>
                <w:szCs w:val="22"/>
              </w:rPr>
              <w:t>Total cholesterol/HDL cholesterol ratio</w:t>
            </w:r>
            <w:r>
              <w:rPr>
                <w:bCs/>
                <w:sz w:val="22"/>
                <w:szCs w:val="22"/>
              </w:rPr>
              <w:t xml:space="preserve"> </w:t>
            </w:r>
          </w:p>
        </w:tc>
        <w:tc>
          <w:tcPr>
            <w:tcW w:w="2974" w:type="dxa"/>
            <w:tcBorders>
              <w:bottom w:val="single" w:sz="4" w:space="0" w:color="auto"/>
            </w:tcBorders>
          </w:tcPr>
          <w:p w14:paraId="412FCD00" w14:textId="77777777" w:rsidR="00CB7EAA" w:rsidRPr="002169FD" w:rsidRDefault="00CB7EAA" w:rsidP="00B858F4">
            <w:pPr>
              <w:spacing w:after="0" w:line="320" w:lineRule="atLeast"/>
              <w:jc w:val="center"/>
              <w:rPr>
                <w:rFonts w:ascii="Arial Narrow" w:hAnsi="Arial Narrow"/>
                <w:snapToGrid w:val="0"/>
              </w:rPr>
            </w:pPr>
            <w:r w:rsidRPr="002169FD">
              <w:rPr>
                <w:rFonts w:ascii="Arial Narrow" w:hAnsi="Arial Narrow"/>
                <w:snapToGrid w:val="0"/>
              </w:rPr>
              <w:t>-0.1</w:t>
            </w:r>
          </w:p>
        </w:tc>
        <w:tc>
          <w:tcPr>
            <w:tcW w:w="2838" w:type="dxa"/>
            <w:tcBorders>
              <w:bottom w:val="single" w:sz="4" w:space="0" w:color="auto"/>
              <w:right w:val="single" w:sz="4" w:space="0" w:color="auto"/>
            </w:tcBorders>
          </w:tcPr>
          <w:p w14:paraId="61D84E31" w14:textId="77777777" w:rsidR="00CB7EAA" w:rsidRPr="002169FD" w:rsidRDefault="00CB7EAA" w:rsidP="00B858F4">
            <w:pPr>
              <w:spacing w:after="0" w:line="320" w:lineRule="atLeast"/>
              <w:jc w:val="center"/>
              <w:rPr>
                <w:rFonts w:ascii="Arial Narrow" w:hAnsi="Arial Narrow"/>
                <w:snapToGrid w:val="0"/>
              </w:rPr>
            </w:pPr>
            <w:r w:rsidRPr="002169FD">
              <w:rPr>
                <w:rFonts w:ascii="Arial Narrow" w:hAnsi="Arial Narrow"/>
                <w:snapToGrid w:val="0"/>
              </w:rPr>
              <w:t>-0.3</w:t>
            </w:r>
          </w:p>
        </w:tc>
      </w:tr>
    </w:tbl>
    <w:p w14:paraId="085DF7F6" w14:textId="77777777" w:rsidR="007B622B" w:rsidRDefault="00CB7EAA" w:rsidP="00CB7EAA">
      <w:pPr>
        <w:widowControl w:val="0"/>
        <w:tabs>
          <w:tab w:val="left" w:pos="144"/>
        </w:tabs>
        <w:adjustRightInd w:val="0"/>
        <w:spacing w:after="0"/>
        <w:ind w:left="144" w:hanging="144"/>
        <w:textAlignment w:val="baseline"/>
        <w:rPr>
          <w:sz w:val="18"/>
          <w:szCs w:val="18"/>
        </w:rPr>
      </w:pPr>
      <w:r w:rsidRPr="002169FD">
        <w:rPr>
          <w:sz w:val="18"/>
          <w:szCs w:val="18"/>
          <w:vertAlign w:val="superscript"/>
        </w:rPr>
        <w:t>a</w:t>
      </w:r>
      <w:r w:rsidRPr="002169FD">
        <w:rPr>
          <w:sz w:val="18"/>
          <w:szCs w:val="18"/>
          <w:vertAlign w:val="superscript"/>
        </w:rPr>
        <w:tab/>
      </w:r>
      <w:r w:rsidRPr="002169FD">
        <w:rPr>
          <w:sz w:val="18"/>
          <w:szCs w:val="18"/>
        </w:rPr>
        <w:t xml:space="preserve">Subjects on lipid-lowering agents at baseline are excluded (dolutegravir plus lamivudine, n = 29; dolutegravir plus tenofovir/emtricitabine FDC, n = 23). Lipid last observation carried forward data were used such that the last available fasted, on-treatment lipid value prior to the initiation of a lipid-lowering agent is used in place of future observed values. A total of 23 and 13 subjects receiving dolutegravir plus lamivudine and dolutegravir plus tenofovir/emtricitabine FDC, respectively, initiated lipid-lowering </w:t>
      </w:r>
      <w:proofErr w:type="gramStart"/>
      <w:r w:rsidRPr="002169FD">
        <w:rPr>
          <w:sz w:val="18"/>
          <w:szCs w:val="18"/>
        </w:rPr>
        <w:t>agents</w:t>
      </w:r>
      <w:proofErr w:type="gramEnd"/>
      <w:r w:rsidRPr="002169FD">
        <w:rPr>
          <w:sz w:val="18"/>
          <w:szCs w:val="18"/>
        </w:rPr>
        <w:t xml:space="preserve"> post-baseline.</w:t>
      </w:r>
    </w:p>
    <w:p w14:paraId="2A31AD77" w14:textId="7474F01C" w:rsidR="00CB7EAA" w:rsidRDefault="0054756E" w:rsidP="00CB7EAA">
      <w:pPr>
        <w:widowControl w:val="0"/>
        <w:tabs>
          <w:tab w:val="left" w:pos="144"/>
        </w:tabs>
        <w:adjustRightInd w:val="0"/>
        <w:spacing w:after="0"/>
        <w:ind w:left="144" w:hanging="144"/>
        <w:textAlignment w:val="baseline"/>
        <w:rPr>
          <w:sz w:val="18"/>
          <w:szCs w:val="18"/>
        </w:rPr>
      </w:pPr>
      <w:r>
        <w:rPr>
          <w:sz w:val="18"/>
          <w:szCs w:val="18"/>
        </w:rPr>
        <w:t>* tenofovir disoproxil fumarate</w:t>
      </w:r>
    </w:p>
    <w:p w14:paraId="5497CB72" w14:textId="77777777" w:rsidR="00CB7EAA" w:rsidRPr="00D20C0E" w:rsidRDefault="00CB7EAA" w:rsidP="00DD3ACA">
      <w:pPr>
        <w:rPr>
          <w:lang w:val="en-GB"/>
        </w:rPr>
      </w:pPr>
    </w:p>
    <w:p w14:paraId="4D174E79" w14:textId="777F5C22" w:rsidR="007C6789" w:rsidRDefault="00D04C3D" w:rsidP="00DD3ACA">
      <w:pPr>
        <w:spacing w:after="160"/>
      </w:pPr>
      <w:r w:rsidRPr="00D4563C">
        <w:rPr>
          <w:b/>
          <w:bCs/>
        </w:rPr>
        <w:t xml:space="preserve">Antiretroviral </w:t>
      </w:r>
      <w:r w:rsidR="006F5B92" w:rsidRPr="00D4563C">
        <w:rPr>
          <w:b/>
          <w:bCs/>
        </w:rPr>
        <w:t>experienced (and integrase inhibitor naïve) patients</w:t>
      </w:r>
      <w:r w:rsidRPr="00D4563C">
        <w:br/>
        <w:t>In the international, multicentre, do</w:t>
      </w:r>
      <w:r w:rsidR="002F1371">
        <w:t>uble-</w:t>
      </w:r>
      <w:r w:rsidRPr="00D4563C">
        <w:t>blind SAILING study (ING1</w:t>
      </w:r>
      <w:r w:rsidR="002F1371">
        <w:t>11762), 719 HIV-1 infected, ART-</w:t>
      </w:r>
      <w:r w:rsidRPr="00D4563C">
        <w:t xml:space="preserve">experienced adults were randomised and received either </w:t>
      </w:r>
      <w:r w:rsidR="00FF0934" w:rsidRPr="00D4563C">
        <w:t>TIVICAY</w:t>
      </w:r>
      <w:r w:rsidRPr="00D4563C">
        <w:t xml:space="preserve"> 50 mg </w:t>
      </w:r>
      <w:r w:rsidR="000329AF">
        <w:t xml:space="preserve">film-coated tablets </w:t>
      </w:r>
      <w:r w:rsidRPr="00D4563C">
        <w:t xml:space="preserve">once daily or </w:t>
      </w:r>
      <w:proofErr w:type="spellStart"/>
      <w:r w:rsidRPr="00D4563C">
        <w:t>raltegravir</w:t>
      </w:r>
      <w:proofErr w:type="spellEnd"/>
      <w:r w:rsidRPr="00D4563C">
        <w:t xml:space="preserve"> 400 mg twice daily with investigator selected background regimen (BR) consisting of up to 2 agents (including at least one fully active agent). At baseline, median patient age was 43 years, 32% were female, 50% non</w:t>
      </w:r>
      <w:r w:rsidR="002F1371">
        <w:t>-</w:t>
      </w:r>
      <w:r w:rsidRPr="00D4563C">
        <w:t>white, 16% had hepatitis B and/or C co</w:t>
      </w:r>
      <w:r w:rsidR="002F1371">
        <w:t>-</w:t>
      </w:r>
      <w:r w:rsidRPr="00D4563C">
        <w:t>infection, and 46% were CDC class C. All patients had at least two class ART resistance, and 49% of patients had at least 3 cl</w:t>
      </w:r>
      <w:r w:rsidR="007C6789">
        <w:t>ass ART resistance at baseline.</w:t>
      </w:r>
    </w:p>
    <w:p w14:paraId="122A492F" w14:textId="77777777" w:rsidR="007C6789" w:rsidRDefault="00D04C3D" w:rsidP="00DD3ACA">
      <w:pPr>
        <w:spacing w:after="160"/>
      </w:pPr>
      <w:r w:rsidRPr="00D4563C">
        <w:t>In the SAILING study, virologic suppression (HIV-1 RNA &lt; 50 copies/mL) in the dolutegravir arm (71%) was statistically superior to</w:t>
      </w:r>
      <w:r w:rsidR="002F1371">
        <w:t xml:space="preserve"> the </w:t>
      </w:r>
      <w:proofErr w:type="spellStart"/>
      <w:r w:rsidR="002F1371">
        <w:t>raltegravir</w:t>
      </w:r>
      <w:proofErr w:type="spellEnd"/>
      <w:r w:rsidR="002F1371">
        <w:t xml:space="preserve"> arm (64%), at W</w:t>
      </w:r>
      <w:r w:rsidRPr="00D4563C">
        <w:t>eek 48 (p = 0.030). Virologic suppression (HIV-1 RNA &lt; 50 copies/mL) treatment differences were comparable across the baseline characteristics of gender, race, and HIV subtype. The mean changes in CD4+ T cell count from baseline based on observed data were 113 cells/mm</w:t>
      </w:r>
      <w:r w:rsidRPr="00D4563C">
        <w:rPr>
          <w:vertAlign w:val="superscript"/>
        </w:rPr>
        <w:t>3</w:t>
      </w:r>
      <w:r w:rsidRPr="00D4563C">
        <w:t xml:space="preserve"> (n = 326) at week 24 and 162 cells/mm</w:t>
      </w:r>
      <w:r w:rsidRPr="00D4563C">
        <w:rPr>
          <w:vertAlign w:val="superscript"/>
        </w:rPr>
        <w:t>3</w:t>
      </w:r>
      <w:r w:rsidRPr="00D4563C">
        <w:t xml:space="preserve"> (n = 294) at week 48 in the group receiving </w:t>
      </w:r>
      <w:r w:rsidR="00FF0934" w:rsidRPr="00D4563C">
        <w:t>TIVICAY</w:t>
      </w:r>
      <w:r w:rsidRPr="00D4563C">
        <w:t xml:space="preserve"> and 106 cells/mm</w:t>
      </w:r>
      <w:r w:rsidRPr="00D4563C">
        <w:rPr>
          <w:vertAlign w:val="superscript"/>
        </w:rPr>
        <w:t>3</w:t>
      </w:r>
      <w:r w:rsidRPr="00D4563C">
        <w:t xml:space="preserve"> (n = 326) at week 24 and 153 cells/mm</w:t>
      </w:r>
      <w:r w:rsidRPr="00D4563C">
        <w:rPr>
          <w:vertAlign w:val="superscript"/>
        </w:rPr>
        <w:t>3</w:t>
      </w:r>
      <w:r w:rsidRPr="00D4563C">
        <w:t xml:space="preserve"> (n = 283) at wee</w:t>
      </w:r>
      <w:r w:rsidR="007C6789">
        <w:t xml:space="preserve">k 48 for the </w:t>
      </w:r>
      <w:proofErr w:type="spellStart"/>
      <w:r w:rsidR="007C6789">
        <w:t>raltegravir</w:t>
      </w:r>
      <w:proofErr w:type="spellEnd"/>
      <w:r w:rsidR="007C6789">
        <w:t xml:space="preserve"> group.</w:t>
      </w:r>
    </w:p>
    <w:p w14:paraId="7B463FA7" w14:textId="77777777" w:rsidR="007C6789" w:rsidRDefault="00D04C3D" w:rsidP="00DD3ACA">
      <w:pPr>
        <w:spacing w:after="160"/>
      </w:pPr>
      <w:r w:rsidRPr="00D4563C">
        <w:t>At week 48, 21 (6%) DTG subjects and 45 (12%) RAL subjects experienced PDVF. Statistically fewer patient</w:t>
      </w:r>
      <w:r w:rsidR="002F1371">
        <w:t>s failed therapy with treatment-</w:t>
      </w:r>
      <w:r w:rsidRPr="00D4563C">
        <w:t xml:space="preserve">emergent resistance in the IN gene on </w:t>
      </w:r>
      <w:r w:rsidR="00FF0934" w:rsidRPr="00D4563C">
        <w:t>TIVICAY</w:t>
      </w:r>
      <w:r w:rsidRPr="00D4563C">
        <w:t xml:space="preserve"> (4/354, 1%) than on </w:t>
      </w:r>
      <w:proofErr w:type="spellStart"/>
      <w:r w:rsidRPr="00D4563C">
        <w:t>ralteg</w:t>
      </w:r>
      <w:r w:rsidR="007C6789">
        <w:t>ravir</w:t>
      </w:r>
      <w:proofErr w:type="spellEnd"/>
      <w:r w:rsidR="007C6789">
        <w:t xml:space="preserve"> (17/361, 5%) (p = 0.003).</w:t>
      </w:r>
    </w:p>
    <w:p w14:paraId="5104D09E" w14:textId="4066D713" w:rsidR="00F82573" w:rsidRDefault="00D04C3D" w:rsidP="00DD3ACA">
      <w:pPr>
        <w:spacing w:after="160"/>
      </w:pPr>
      <w:r w:rsidRPr="00D4563C">
        <w:t>Week 48 outcomes (including outcomes by key baseline covariates) for SA</w:t>
      </w:r>
      <w:r w:rsidR="007060EB" w:rsidRPr="00D4563C">
        <w:t xml:space="preserve">ILING are shown in Table </w:t>
      </w:r>
      <w:r w:rsidR="005D7F85">
        <w:t>7</w:t>
      </w:r>
      <w:r w:rsidR="00F82573">
        <w:t>.</w:t>
      </w:r>
      <w:bookmarkStart w:id="15" w:name="_Ref318205410"/>
    </w:p>
    <w:p w14:paraId="40C42D6B" w14:textId="2AC2C3B2" w:rsidR="0034449A" w:rsidRPr="00D4563C" w:rsidRDefault="00F82573" w:rsidP="005D7F85">
      <w:pPr>
        <w:spacing w:after="160"/>
        <w:ind w:left="1440" w:hanging="1440"/>
        <w:rPr>
          <w:rFonts w:eastAsia="MS Mincho"/>
          <w:b/>
          <w:bCs/>
          <w:lang w:val="en-GB"/>
        </w:rPr>
      </w:pPr>
      <w:r>
        <w:rPr>
          <w:rFonts w:eastAsia="MS Mincho"/>
          <w:b/>
          <w:bCs/>
          <w:lang w:val="en-GB"/>
        </w:rPr>
        <w:t>T</w:t>
      </w:r>
      <w:r w:rsidR="0034449A" w:rsidRPr="00D4563C">
        <w:rPr>
          <w:rFonts w:eastAsia="MS Mincho"/>
          <w:b/>
          <w:bCs/>
          <w:lang w:val="en-GB"/>
        </w:rPr>
        <w:t xml:space="preserve">able </w:t>
      </w:r>
      <w:bookmarkEnd w:id="15"/>
      <w:r w:rsidR="005D7F85">
        <w:rPr>
          <w:rFonts w:eastAsia="MS Mincho"/>
          <w:b/>
          <w:bCs/>
          <w:lang w:val="en-GB"/>
        </w:rPr>
        <w:t>7</w:t>
      </w:r>
      <w:r w:rsidR="005D7F85">
        <w:rPr>
          <w:rFonts w:eastAsia="MS Mincho"/>
          <w:b/>
          <w:bCs/>
          <w:lang w:val="en-GB"/>
        </w:rPr>
        <w:tab/>
      </w:r>
      <w:r w:rsidR="00F9575F">
        <w:rPr>
          <w:rFonts w:eastAsia="MS Mincho"/>
          <w:b/>
          <w:bCs/>
          <w:lang w:val="en-GB"/>
        </w:rPr>
        <w:t xml:space="preserve"> </w:t>
      </w:r>
      <w:r w:rsidR="0034449A" w:rsidRPr="00D4563C">
        <w:rPr>
          <w:rFonts w:eastAsia="MS Mincho"/>
          <w:b/>
          <w:bCs/>
          <w:lang w:val="en-GB"/>
        </w:rPr>
        <w:t>Virologic Outcomes of Randomised Treatment of SAILING a</w:t>
      </w:r>
      <w:r w:rsidR="002F1371">
        <w:rPr>
          <w:rFonts w:eastAsia="MS Mincho"/>
          <w:b/>
          <w:bCs/>
          <w:lang w:val="en-GB"/>
        </w:rPr>
        <w:t xml:space="preserve">t 48 Weeks (Snapshot </w:t>
      </w:r>
      <w:r w:rsidR="002F1371" w:rsidRPr="002F1371">
        <w:rPr>
          <w:rFonts w:eastAsia="MS Mincho"/>
          <w:b/>
          <w:bCs/>
          <w:lang w:val="en-GB"/>
        </w:rPr>
        <w:t>algorithm -</w:t>
      </w:r>
      <w:r w:rsidR="0034449A" w:rsidRPr="002F1371">
        <w:rPr>
          <w:rFonts w:eastAsia="MS Mincho"/>
          <w:b/>
          <w:bCs/>
          <w:lang w:val="en-GB"/>
        </w:rPr>
        <w:t xml:space="preserve"> </w:t>
      </w:r>
      <w:r w:rsidR="0034449A" w:rsidRPr="00530C29">
        <w:rPr>
          <w:b/>
        </w:rPr>
        <w:t>missing, switch or discontinuation =</w:t>
      </w:r>
      <w:r w:rsidR="00825890" w:rsidRPr="00530C29">
        <w:rPr>
          <w:b/>
        </w:rPr>
        <w:t xml:space="preserve"> </w:t>
      </w:r>
      <w:r w:rsidR="0034449A" w:rsidRPr="00530C29">
        <w:rPr>
          <w:b/>
        </w:rPr>
        <w:t>failure</w:t>
      </w:r>
      <w:r w:rsidR="0034449A" w:rsidRPr="00530C29">
        <w:rPr>
          <w:rFonts w:eastAsia="MS Mincho"/>
          <w:b/>
          <w:bCs/>
          <w:lang w:val="en-GB"/>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3600"/>
        <w:gridCol w:w="3362"/>
      </w:tblGrid>
      <w:tr w:rsidR="0034449A" w:rsidRPr="00D4563C" w14:paraId="1FAD13D0" w14:textId="77777777" w:rsidTr="002A49AC">
        <w:trPr>
          <w:tblHeader/>
        </w:trPr>
        <w:tc>
          <w:tcPr>
            <w:tcW w:w="2961" w:type="dxa"/>
          </w:tcPr>
          <w:p w14:paraId="410F2A8D" w14:textId="77777777" w:rsidR="0034449A" w:rsidRPr="00F9575F" w:rsidRDefault="0034449A" w:rsidP="009A2D47">
            <w:pPr>
              <w:spacing w:after="120" w:line="240" w:lineRule="auto"/>
              <w:rPr>
                <w:rFonts w:ascii="Arial Narrow" w:hAnsi="Arial Narrow"/>
                <w:sz w:val="20"/>
                <w:szCs w:val="20"/>
                <w:lang w:val="en-GB"/>
              </w:rPr>
            </w:pPr>
          </w:p>
        </w:tc>
        <w:tc>
          <w:tcPr>
            <w:tcW w:w="6962" w:type="dxa"/>
            <w:gridSpan w:val="2"/>
          </w:tcPr>
          <w:p w14:paraId="7DE04467" w14:textId="77777777" w:rsidR="0034449A" w:rsidRPr="00F9575F" w:rsidRDefault="0034449A" w:rsidP="009A2D47">
            <w:pPr>
              <w:spacing w:after="0" w:line="240" w:lineRule="auto"/>
              <w:jc w:val="center"/>
              <w:rPr>
                <w:rFonts w:ascii="Arial Narrow" w:hAnsi="Arial Narrow"/>
                <w:b/>
                <w:sz w:val="20"/>
                <w:szCs w:val="20"/>
                <w:lang w:val="en-GB"/>
              </w:rPr>
            </w:pPr>
            <w:r w:rsidRPr="00F9575F">
              <w:rPr>
                <w:rFonts w:ascii="Arial Narrow" w:hAnsi="Arial Narrow"/>
                <w:b/>
                <w:sz w:val="20"/>
                <w:szCs w:val="20"/>
                <w:lang w:val="en-GB"/>
              </w:rPr>
              <w:t>SAILING</w:t>
            </w:r>
          </w:p>
        </w:tc>
      </w:tr>
      <w:tr w:rsidR="0034449A" w:rsidRPr="009A2D47" w14:paraId="5AD1D9A6" w14:textId="77777777" w:rsidTr="002A49AC">
        <w:trPr>
          <w:trHeight w:val="274"/>
          <w:tblHeader/>
        </w:trPr>
        <w:tc>
          <w:tcPr>
            <w:tcW w:w="2961" w:type="dxa"/>
          </w:tcPr>
          <w:p w14:paraId="4DDDD7B9" w14:textId="77777777" w:rsidR="0034449A" w:rsidRPr="00F9575F" w:rsidRDefault="0034449A" w:rsidP="009A2D47">
            <w:pPr>
              <w:spacing w:after="120" w:line="240" w:lineRule="auto"/>
              <w:rPr>
                <w:rFonts w:ascii="Arial Narrow" w:hAnsi="Arial Narrow"/>
                <w:sz w:val="20"/>
                <w:szCs w:val="20"/>
                <w:lang w:val="en-GB"/>
              </w:rPr>
            </w:pPr>
          </w:p>
        </w:tc>
        <w:tc>
          <w:tcPr>
            <w:tcW w:w="3600" w:type="dxa"/>
          </w:tcPr>
          <w:p w14:paraId="52A9A0C8" w14:textId="77777777" w:rsidR="0034449A" w:rsidRPr="00F9575F" w:rsidRDefault="0034449A" w:rsidP="009A2D47">
            <w:pPr>
              <w:spacing w:after="120" w:line="240" w:lineRule="auto"/>
              <w:jc w:val="center"/>
              <w:rPr>
                <w:rFonts w:ascii="Arial Narrow" w:hAnsi="Arial Narrow"/>
                <w:b/>
                <w:sz w:val="20"/>
                <w:szCs w:val="20"/>
                <w:lang w:val="en-GB"/>
              </w:rPr>
            </w:pPr>
            <w:r w:rsidRPr="00F9575F">
              <w:rPr>
                <w:rFonts w:ascii="Arial Narrow" w:hAnsi="Arial Narrow"/>
                <w:b/>
                <w:sz w:val="20"/>
                <w:szCs w:val="20"/>
                <w:lang w:val="en-GB"/>
              </w:rPr>
              <w:t>TIVICAY 50 mg Once Daily + BR N=354§</w:t>
            </w:r>
          </w:p>
        </w:tc>
        <w:tc>
          <w:tcPr>
            <w:tcW w:w="3362" w:type="dxa"/>
          </w:tcPr>
          <w:p w14:paraId="508A0AEC" w14:textId="77777777" w:rsidR="0034449A" w:rsidRPr="00F9575F" w:rsidRDefault="0034449A" w:rsidP="009A2D47">
            <w:pPr>
              <w:spacing w:after="120" w:line="240" w:lineRule="auto"/>
              <w:jc w:val="center"/>
              <w:rPr>
                <w:rFonts w:ascii="Arial Narrow" w:hAnsi="Arial Narrow"/>
                <w:b/>
                <w:sz w:val="20"/>
                <w:szCs w:val="20"/>
                <w:lang w:val="en-GB"/>
              </w:rPr>
            </w:pPr>
            <w:r w:rsidRPr="00F9575F">
              <w:rPr>
                <w:rFonts w:ascii="Arial Narrow" w:hAnsi="Arial Narrow"/>
                <w:b/>
                <w:sz w:val="20"/>
                <w:szCs w:val="20"/>
                <w:lang w:val="en-GB"/>
              </w:rPr>
              <w:t>RAL 400 mg Twice Daily + BR N=361§</w:t>
            </w:r>
          </w:p>
        </w:tc>
      </w:tr>
      <w:tr w:rsidR="0034449A" w:rsidRPr="009A2D47" w14:paraId="7EB1EC13" w14:textId="77777777" w:rsidTr="009A2D47">
        <w:tc>
          <w:tcPr>
            <w:tcW w:w="2961" w:type="dxa"/>
            <w:vAlign w:val="center"/>
          </w:tcPr>
          <w:p w14:paraId="3F978DF2"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HIV-1 RNA &lt;50 copies/mL</w:t>
            </w:r>
          </w:p>
        </w:tc>
        <w:tc>
          <w:tcPr>
            <w:tcW w:w="3600" w:type="dxa"/>
          </w:tcPr>
          <w:p w14:paraId="342D522F"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71%</w:t>
            </w:r>
          </w:p>
        </w:tc>
        <w:tc>
          <w:tcPr>
            <w:tcW w:w="3362" w:type="dxa"/>
          </w:tcPr>
          <w:p w14:paraId="49B6A3AC"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64%</w:t>
            </w:r>
          </w:p>
        </w:tc>
      </w:tr>
      <w:tr w:rsidR="0034449A" w:rsidRPr="009A2D47" w14:paraId="2EDDF042" w14:textId="77777777" w:rsidTr="009A2D47">
        <w:tc>
          <w:tcPr>
            <w:tcW w:w="2961" w:type="dxa"/>
            <w:vAlign w:val="center"/>
          </w:tcPr>
          <w:p w14:paraId="0ABA9901"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Adjusted Treatment Difference‡</w:t>
            </w:r>
          </w:p>
        </w:tc>
        <w:tc>
          <w:tcPr>
            <w:tcW w:w="6962" w:type="dxa"/>
            <w:gridSpan w:val="2"/>
          </w:tcPr>
          <w:p w14:paraId="338C77D5"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7.4% (95% CI: 0.7%, 14.2%)</w:t>
            </w:r>
            <w:r w:rsidR="008F1F07" w:rsidRPr="00F9575F">
              <w:rPr>
                <w:rFonts w:ascii="Arial Narrow" w:hAnsi="Arial Narrow"/>
                <w:sz w:val="20"/>
                <w:szCs w:val="20"/>
                <w:lang w:val="en-GB"/>
              </w:rPr>
              <w:t xml:space="preserve"> </w:t>
            </w:r>
            <w:r w:rsidRPr="00F9575F">
              <w:rPr>
                <w:rFonts w:ascii="Arial Narrow" w:hAnsi="Arial Narrow"/>
                <w:sz w:val="20"/>
                <w:szCs w:val="20"/>
                <w:lang w:val="en-GB"/>
              </w:rPr>
              <w:t>P=0.003</w:t>
            </w:r>
          </w:p>
        </w:tc>
      </w:tr>
      <w:tr w:rsidR="0034449A" w:rsidRPr="009A2D47" w14:paraId="14D5D2D3" w14:textId="77777777" w:rsidTr="009A2D47">
        <w:tc>
          <w:tcPr>
            <w:tcW w:w="2961" w:type="dxa"/>
            <w:tcBorders>
              <w:bottom w:val="single" w:sz="4" w:space="0" w:color="auto"/>
            </w:tcBorders>
          </w:tcPr>
          <w:p w14:paraId="1356F191"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 xml:space="preserve">Virologic </w:t>
            </w:r>
            <w:proofErr w:type="gramStart"/>
            <w:r w:rsidRPr="00F9575F">
              <w:rPr>
                <w:rFonts w:ascii="Arial Narrow" w:hAnsi="Arial Narrow"/>
                <w:b/>
                <w:sz w:val="20"/>
                <w:szCs w:val="20"/>
                <w:lang w:val="en-GB"/>
              </w:rPr>
              <w:t>non response</w:t>
            </w:r>
            <w:proofErr w:type="gramEnd"/>
          </w:p>
        </w:tc>
        <w:tc>
          <w:tcPr>
            <w:tcW w:w="3600" w:type="dxa"/>
            <w:tcBorders>
              <w:bottom w:val="single" w:sz="4" w:space="0" w:color="auto"/>
            </w:tcBorders>
            <w:vAlign w:val="center"/>
          </w:tcPr>
          <w:p w14:paraId="097DF623"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20%</w:t>
            </w:r>
          </w:p>
        </w:tc>
        <w:tc>
          <w:tcPr>
            <w:tcW w:w="3362" w:type="dxa"/>
            <w:tcBorders>
              <w:bottom w:val="single" w:sz="4" w:space="0" w:color="auto"/>
            </w:tcBorders>
          </w:tcPr>
          <w:p w14:paraId="40584181"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28%</w:t>
            </w:r>
          </w:p>
        </w:tc>
      </w:tr>
      <w:tr w:rsidR="0034449A" w:rsidRPr="009A2D47" w14:paraId="1573EB12" w14:textId="77777777" w:rsidTr="009A2D47">
        <w:tc>
          <w:tcPr>
            <w:tcW w:w="2961" w:type="dxa"/>
            <w:tcBorders>
              <w:bottom w:val="nil"/>
            </w:tcBorders>
          </w:tcPr>
          <w:p w14:paraId="6A059DC6" w14:textId="77777777" w:rsidR="0034449A" w:rsidRPr="00F9575F" w:rsidRDefault="0034449A" w:rsidP="009A2D47">
            <w:pPr>
              <w:spacing w:after="0" w:line="240" w:lineRule="auto"/>
              <w:rPr>
                <w:rFonts w:ascii="Arial Narrow" w:hAnsi="Arial Narrow"/>
                <w:b/>
                <w:sz w:val="20"/>
                <w:szCs w:val="20"/>
                <w:lang w:val="en-GB"/>
              </w:rPr>
            </w:pPr>
            <w:r w:rsidRPr="00F9575F">
              <w:rPr>
                <w:rFonts w:ascii="Arial Narrow" w:hAnsi="Arial Narrow"/>
                <w:b/>
                <w:sz w:val="20"/>
                <w:szCs w:val="20"/>
                <w:lang w:val="en-GB"/>
              </w:rPr>
              <w:lastRenderedPageBreak/>
              <w:t xml:space="preserve">No virologic data at Week 48 </w:t>
            </w:r>
          </w:p>
          <w:p w14:paraId="7482ACD0" w14:textId="77777777" w:rsidR="0034449A" w:rsidRPr="00F9575F" w:rsidRDefault="0034449A" w:rsidP="009A2D47">
            <w:pPr>
              <w:spacing w:after="0" w:line="240" w:lineRule="auto"/>
              <w:rPr>
                <w:rFonts w:ascii="Arial Narrow" w:hAnsi="Arial Narrow"/>
                <w:sz w:val="20"/>
                <w:szCs w:val="20"/>
                <w:u w:val="single"/>
                <w:lang w:val="en-GB"/>
              </w:rPr>
            </w:pPr>
            <w:r w:rsidRPr="00F9575F">
              <w:rPr>
                <w:rFonts w:ascii="Arial Narrow" w:hAnsi="Arial Narrow"/>
                <w:sz w:val="20"/>
                <w:szCs w:val="20"/>
                <w:u w:val="single"/>
                <w:lang w:val="en-GB"/>
              </w:rPr>
              <w:t>Reasons</w:t>
            </w:r>
          </w:p>
        </w:tc>
        <w:tc>
          <w:tcPr>
            <w:tcW w:w="3600" w:type="dxa"/>
            <w:tcBorders>
              <w:bottom w:val="nil"/>
            </w:tcBorders>
            <w:vAlign w:val="center"/>
          </w:tcPr>
          <w:p w14:paraId="542C9961" w14:textId="77777777" w:rsidR="002F1371" w:rsidRPr="00F9575F" w:rsidRDefault="002F1371" w:rsidP="009A2D47">
            <w:pPr>
              <w:spacing w:after="0" w:line="240" w:lineRule="auto"/>
              <w:jc w:val="center"/>
              <w:rPr>
                <w:rFonts w:ascii="Arial Narrow" w:hAnsi="Arial Narrow"/>
                <w:sz w:val="20"/>
                <w:szCs w:val="20"/>
                <w:lang w:val="en-GB"/>
              </w:rPr>
            </w:pPr>
          </w:p>
          <w:p w14:paraId="4E04F4C8"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9%</w:t>
            </w:r>
          </w:p>
        </w:tc>
        <w:tc>
          <w:tcPr>
            <w:tcW w:w="3362" w:type="dxa"/>
            <w:tcBorders>
              <w:bottom w:val="nil"/>
            </w:tcBorders>
            <w:vAlign w:val="center"/>
          </w:tcPr>
          <w:p w14:paraId="2F2F6EA1" w14:textId="77777777" w:rsidR="002F1371" w:rsidRPr="00F9575F" w:rsidRDefault="002F1371" w:rsidP="009A2D47">
            <w:pPr>
              <w:spacing w:after="0" w:line="240" w:lineRule="auto"/>
              <w:jc w:val="center"/>
              <w:rPr>
                <w:rFonts w:ascii="Arial Narrow" w:hAnsi="Arial Narrow"/>
                <w:sz w:val="20"/>
                <w:szCs w:val="20"/>
                <w:lang w:val="en-GB"/>
              </w:rPr>
            </w:pPr>
          </w:p>
          <w:p w14:paraId="49B3E563"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9%</w:t>
            </w:r>
          </w:p>
        </w:tc>
      </w:tr>
      <w:tr w:rsidR="0034449A" w:rsidRPr="009A2D47" w14:paraId="2034FA82" w14:textId="77777777" w:rsidTr="009A2D47">
        <w:tc>
          <w:tcPr>
            <w:tcW w:w="2961" w:type="dxa"/>
            <w:tcBorders>
              <w:top w:val="nil"/>
              <w:bottom w:val="nil"/>
            </w:tcBorders>
          </w:tcPr>
          <w:p w14:paraId="1B0DDECB" w14:textId="77777777" w:rsidR="0034449A" w:rsidRPr="00F9575F" w:rsidRDefault="0034449A" w:rsidP="009A2D47">
            <w:pPr>
              <w:spacing w:after="0" w:line="240" w:lineRule="auto"/>
              <w:ind w:left="62"/>
              <w:rPr>
                <w:rFonts w:ascii="Arial Narrow" w:hAnsi="Arial Narrow"/>
                <w:sz w:val="20"/>
                <w:szCs w:val="20"/>
                <w:lang w:val="en-GB"/>
              </w:rPr>
            </w:pPr>
            <w:r w:rsidRPr="00F9575F">
              <w:rPr>
                <w:rFonts w:ascii="Arial Narrow" w:hAnsi="Arial Narrow"/>
                <w:sz w:val="20"/>
                <w:szCs w:val="20"/>
                <w:lang w:val="en-GB"/>
              </w:rPr>
              <w:t xml:space="preserve">Discontinued study/study drug due to adverse event or death‡ </w:t>
            </w:r>
          </w:p>
        </w:tc>
        <w:tc>
          <w:tcPr>
            <w:tcW w:w="3600" w:type="dxa"/>
            <w:tcBorders>
              <w:top w:val="nil"/>
              <w:bottom w:val="nil"/>
            </w:tcBorders>
            <w:vAlign w:val="center"/>
          </w:tcPr>
          <w:p w14:paraId="7E28CFA2"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3%</w:t>
            </w:r>
          </w:p>
        </w:tc>
        <w:tc>
          <w:tcPr>
            <w:tcW w:w="3362" w:type="dxa"/>
            <w:tcBorders>
              <w:top w:val="nil"/>
              <w:bottom w:val="nil"/>
            </w:tcBorders>
            <w:vAlign w:val="center"/>
          </w:tcPr>
          <w:p w14:paraId="7EB27B66"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4%</w:t>
            </w:r>
          </w:p>
        </w:tc>
      </w:tr>
      <w:tr w:rsidR="0034449A" w:rsidRPr="009A2D47" w14:paraId="5EDB17DA" w14:textId="77777777" w:rsidTr="009A2D47">
        <w:tc>
          <w:tcPr>
            <w:tcW w:w="2961" w:type="dxa"/>
            <w:tcBorders>
              <w:top w:val="nil"/>
              <w:bottom w:val="nil"/>
            </w:tcBorders>
            <w:vAlign w:val="center"/>
          </w:tcPr>
          <w:p w14:paraId="2B7B09D8" w14:textId="77777777" w:rsidR="0034449A" w:rsidRPr="00F9575F" w:rsidRDefault="0034449A" w:rsidP="009A2D47">
            <w:pPr>
              <w:spacing w:after="0" w:line="240" w:lineRule="auto"/>
              <w:ind w:left="62"/>
              <w:rPr>
                <w:rFonts w:ascii="Arial Narrow" w:hAnsi="Arial Narrow"/>
                <w:sz w:val="20"/>
                <w:szCs w:val="20"/>
                <w:lang w:val="en-GB"/>
              </w:rPr>
            </w:pPr>
            <w:r w:rsidRPr="00F9575F">
              <w:rPr>
                <w:rFonts w:ascii="Arial Narrow" w:hAnsi="Arial Narrow"/>
                <w:sz w:val="20"/>
                <w:szCs w:val="20"/>
                <w:lang w:val="en-GB"/>
              </w:rPr>
              <w:t>Discontinued study/study drug for other reason§</w:t>
            </w:r>
          </w:p>
        </w:tc>
        <w:tc>
          <w:tcPr>
            <w:tcW w:w="3600" w:type="dxa"/>
            <w:tcBorders>
              <w:top w:val="nil"/>
              <w:bottom w:val="nil"/>
            </w:tcBorders>
            <w:vAlign w:val="center"/>
          </w:tcPr>
          <w:p w14:paraId="2A357B49"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5%</w:t>
            </w:r>
          </w:p>
        </w:tc>
        <w:tc>
          <w:tcPr>
            <w:tcW w:w="3362" w:type="dxa"/>
            <w:tcBorders>
              <w:top w:val="nil"/>
              <w:bottom w:val="nil"/>
            </w:tcBorders>
            <w:vAlign w:val="center"/>
          </w:tcPr>
          <w:p w14:paraId="60C774DC"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4%</w:t>
            </w:r>
          </w:p>
        </w:tc>
      </w:tr>
      <w:tr w:rsidR="0034449A" w:rsidRPr="009A2D47" w14:paraId="53B730CA" w14:textId="77777777" w:rsidTr="009A2D47">
        <w:tc>
          <w:tcPr>
            <w:tcW w:w="2961" w:type="dxa"/>
            <w:tcBorders>
              <w:top w:val="nil"/>
            </w:tcBorders>
          </w:tcPr>
          <w:p w14:paraId="162EF0AC" w14:textId="77777777" w:rsidR="0034449A" w:rsidRPr="00F9575F" w:rsidRDefault="0034449A" w:rsidP="009A2D47">
            <w:pPr>
              <w:spacing w:after="0" w:line="240" w:lineRule="auto"/>
              <w:ind w:left="62"/>
              <w:rPr>
                <w:rFonts w:ascii="Arial Narrow" w:hAnsi="Arial Narrow"/>
                <w:sz w:val="20"/>
                <w:szCs w:val="20"/>
                <w:lang w:val="en-GB"/>
              </w:rPr>
            </w:pPr>
            <w:r w:rsidRPr="00F9575F">
              <w:rPr>
                <w:rFonts w:ascii="Arial Narrow" w:hAnsi="Arial Narrow"/>
                <w:sz w:val="20"/>
                <w:szCs w:val="20"/>
                <w:lang w:val="en-GB"/>
              </w:rPr>
              <w:t>Missing data during window but on study</w:t>
            </w:r>
          </w:p>
        </w:tc>
        <w:tc>
          <w:tcPr>
            <w:tcW w:w="3600" w:type="dxa"/>
            <w:tcBorders>
              <w:top w:val="nil"/>
            </w:tcBorders>
            <w:vAlign w:val="center"/>
          </w:tcPr>
          <w:p w14:paraId="21D3AE3C"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2%</w:t>
            </w:r>
          </w:p>
        </w:tc>
        <w:tc>
          <w:tcPr>
            <w:tcW w:w="3362" w:type="dxa"/>
            <w:tcBorders>
              <w:top w:val="nil"/>
            </w:tcBorders>
            <w:vAlign w:val="center"/>
          </w:tcPr>
          <w:p w14:paraId="50CFECAB"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w:t>
            </w:r>
          </w:p>
        </w:tc>
      </w:tr>
      <w:tr w:rsidR="0034449A" w:rsidRPr="009A2D47" w14:paraId="2B13FE91" w14:textId="77777777" w:rsidTr="0034449A">
        <w:tc>
          <w:tcPr>
            <w:tcW w:w="9923" w:type="dxa"/>
            <w:gridSpan w:val="3"/>
            <w:tcBorders>
              <w:top w:val="nil"/>
            </w:tcBorders>
          </w:tcPr>
          <w:p w14:paraId="35D798F7" w14:textId="77777777" w:rsidR="0034449A" w:rsidRPr="00F9575F" w:rsidDel="00967B9F" w:rsidRDefault="0034449A" w:rsidP="009A2D47">
            <w:pPr>
              <w:spacing w:after="120" w:line="240" w:lineRule="auto"/>
              <w:jc w:val="center"/>
              <w:rPr>
                <w:rFonts w:ascii="Arial Narrow" w:hAnsi="Arial Narrow"/>
                <w:b/>
                <w:sz w:val="20"/>
                <w:szCs w:val="20"/>
                <w:lang w:val="en-GB"/>
              </w:rPr>
            </w:pPr>
            <w:r w:rsidRPr="00F9575F">
              <w:rPr>
                <w:rFonts w:ascii="Arial Narrow" w:hAnsi="Arial Narrow"/>
                <w:b/>
                <w:sz w:val="20"/>
                <w:szCs w:val="20"/>
                <w:lang w:val="en-GB"/>
              </w:rPr>
              <w:t>HIV-1 RNA &lt;</w:t>
            </w:r>
            <w:r w:rsidR="00AA42B1" w:rsidRPr="00F9575F">
              <w:rPr>
                <w:rFonts w:ascii="Arial Narrow" w:hAnsi="Arial Narrow"/>
                <w:b/>
                <w:sz w:val="20"/>
                <w:szCs w:val="20"/>
                <w:lang w:val="en-GB"/>
              </w:rPr>
              <w:t xml:space="preserve"> </w:t>
            </w:r>
            <w:r w:rsidRPr="00F9575F">
              <w:rPr>
                <w:rFonts w:ascii="Arial Narrow" w:hAnsi="Arial Narrow"/>
                <w:b/>
                <w:sz w:val="20"/>
                <w:szCs w:val="20"/>
                <w:lang w:val="en-GB"/>
              </w:rPr>
              <w:t>50 copies/mL by baseline covariates</w:t>
            </w:r>
          </w:p>
        </w:tc>
      </w:tr>
      <w:tr w:rsidR="0034449A" w:rsidRPr="009A2D47" w14:paraId="18C5629D" w14:textId="77777777" w:rsidTr="009A2D47">
        <w:tc>
          <w:tcPr>
            <w:tcW w:w="2961" w:type="dxa"/>
            <w:tcBorders>
              <w:bottom w:val="single" w:sz="4" w:space="0" w:color="auto"/>
            </w:tcBorders>
          </w:tcPr>
          <w:p w14:paraId="3919DB6A"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Baseline Plasma Viral Load (copies/mL)</w:t>
            </w:r>
          </w:p>
        </w:tc>
        <w:tc>
          <w:tcPr>
            <w:tcW w:w="3600" w:type="dxa"/>
            <w:tcBorders>
              <w:bottom w:val="single" w:sz="4" w:space="0" w:color="auto"/>
            </w:tcBorders>
            <w:vAlign w:val="center"/>
          </w:tcPr>
          <w:p w14:paraId="30034A13" w14:textId="77777777" w:rsidR="0034449A" w:rsidRPr="00F9575F" w:rsidRDefault="0034449A" w:rsidP="009A2D47">
            <w:pPr>
              <w:spacing w:after="120" w:line="240" w:lineRule="auto"/>
              <w:jc w:val="center"/>
              <w:rPr>
                <w:rFonts w:ascii="Arial Narrow" w:hAnsi="Arial Narrow"/>
                <w:b/>
                <w:sz w:val="20"/>
                <w:szCs w:val="20"/>
                <w:lang w:val="en-GB"/>
              </w:rPr>
            </w:pPr>
            <w:r w:rsidRPr="00F9575F">
              <w:rPr>
                <w:rFonts w:ascii="Arial Narrow" w:hAnsi="Arial Narrow"/>
                <w:sz w:val="20"/>
                <w:szCs w:val="20"/>
                <w:lang w:val="en-GB"/>
              </w:rPr>
              <w:t>n / N (%)</w:t>
            </w:r>
          </w:p>
        </w:tc>
        <w:tc>
          <w:tcPr>
            <w:tcW w:w="3362" w:type="dxa"/>
            <w:tcBorders>
              <w:bottom w:val="single" w:sz="4" w:space="0" w:color="auto"/>
            </w:tcBorders>
            <w:vAlign w:val="center"/>
          </w:tcPr>
          <w:p w14:paraId="093D8935" w14:textId="77777777" w:rsidR="0034449A" w:rsidRPr="00F9575F" w:rsidRDefault="0034449A" w:rsidP="009A2D47">
            <w:pPr>
              <w:spacing w:after="120" w:line="240" w:lineRule="auto"/>
              <w:jc w:val="center"/>
              <w:rPr>
                <w:rFonts w:ascii="Arial Narrow" w:hAnsi="Arial Narrow"/>
                <w:b/>
                <w:sz w:val="20"/>
                <w:szCs w:val="20"/>
                <w:lang w:val="en-GB"/>
              </w:rPr>
            </w:pPr>
            <w:r w:rsidRPr="00F9575F">
              <w:rPr>
                <w:rFonts w:ascii="Arial Narrow" w:hAnsi="Arial Narrow"/>
                <w:sz w:val="20"/>
                <w:szCs w:val="20"/>
                <w:lang w:val="en-GB"/>
              </w:rPr>
              <w:t>n / N (%)</w:t>
            </w:r>
          </w:p>
        </w:tc>
      </w:tr>
      <w:tr w:rsidR="0034449A" w:rsidRPr="009A2D47" w14:paraId="6E39F14F" w14:textId="77777777" w:rsidTr="009A2D47">
        <w:tc>
          <w:tcPr>
            <w:tcW w:w="2961" w:type="dxa"/>
            <w:tcBorders>
              <w:top w:val="single" w:sz="4" w:space="0" w:color="auto"/>
              <w:left w:val="single" w:sz="4" w:space="0" w:color="auto"/>
              <w:bottom w:val="nil"/>
              <w:right w:val="single" w:sz="4" w:space="0" w:color="auto"/>
            </w:tcBorders>
          </w:tcPr>
          <w:p w14:paraId="6764E8E4" w14:textId="77777777" w:rsidR="0034449A" w:rsidRPr="00F9575F" w:rsidRDefault="00825890" w:rsidP="009A2D47">
            <w:pPr>
              <w:spacing w:after="12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sym w:font="Symbol" w:char="F0A3"/>
            </w:r>
            <w:r w:rsidR="0034449A" w:rsidRPr="00F9575F">
              <w:rPr>
                <w:rFonts w:ascii="Arial Narrow" w:hAnsi="Arial Narrow"/>
                <w:sz w:val="20"/>
                <w:szCs w:val="20"/>
                <w:lang w:val="en-GB"/>
              </w:rPr>
              <w:t>50,000 copies/mL</w:t>
            </w:r>
          </w:p>
        </w:tc>
        <w:tc>
          <w:tcPr>
            <w:tcW w:w="3600" w:type="dxa"/>
            <w:tcBorders>
              <w:top w:val="single" w:sz="4" w:space="0" w:color="auto"/>
              <w:left w:val="single" w:sz="4" w:space="0" w:color="auto"/>
              <w:bottom w:val="nil"/>
              <w:right w:val="single" w:sz="4" w:space="0" w:color="auto"/>
            </w:tcBorders>
            <w:vAlign w:val="center"/>
          </w:tcPr>
          <w:p w14:paraId="25475416"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186 / 249 (75%)</w:t>
            </w:r>
          </w:p>
        </w:tc>
        <w:tc>
          <w:tcPr>
            <w:tcW w:w="3362" w:type="dxa"/>
            <w:tcBorders>
              <w:top w:val="single" w:sz="4" w:space="0" w:color="auto"/>
              <w:left w:val="single" w:sz="4" w:space="0" w:color="auto"/>
              <w:bottom w:val="nil"/>
              <w:right w:val="single" w:sz="4" w:space="0" w:color="auto"/>
            </w:tcBorders>
            <w:vAlign w:val="center"/>
          </w:tcPr>
          <w:p w14:paraId="3C71A0FD"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180 / 254 (71%)</w:t>
            </w:r>
          </w:p>
        </w:tc>
      </w:tr>
      <w:tr w:rsidR="0034449A" w:rsidRPr="009A2D47" w14:paraId="437442EC" w14:textId="77777777" w:rsidTr="009A2D47">
        <w:tc>
          <w:tcPr>
            <w:tcW w:w="2961" w:type="dxa"/>
            <w:tcBorders>
              <w:top w:val="single" w:sz="4" w:space="0" w:color="auto"/>
              <w:left w:val="single" w:sz="4" w:space="0" w:color="auto"/>
              <w:bottom w:val="nil"/>
              <w:right w:val="single" w:sz="4" w:space="0" w:color="auto"/>
            </w:tcBorders>
          </w:tcPr>
          <w:p w14:paraId="3FEB5704"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Treatment difference</w:t>
            </w:r>
          </w:p>
        </w:tc>
        <w:tc>
          <w:tcPr>
            <w:tcW w:w="6962" w:type="dxa"/>
            <w:gridSpan w:val="2"/>
            <w:tcBorders>
              <w:top w:val="single" w:sz="4" w:space="0" w:color="auto"/>
              <w:left w:val="single" w:sz="4" w:space="0" w:color="auto"/>
              <w:bottom w:val="nil"/>
              <w:right w:val="single" w:sz="4" w:space="0" w:color="auto"/>
            </w:tcBorders>
            <w:vAlign w:val="center"/>
          </w:tcPr>
          <w:p w14:paraId="4275FCE9"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3.8% (95% CI: -3.9%, 11.6%)</w:t>
            </w:r>
          </w:p>
        </w:tc>
      </w:tr>
      <w:tr w:rsidR="0034449A" w:rsidRPr="009A2D47" w14:paraId="3C73A225" w14:textId="77777777" w:rsidTr="009A2D47">
        <w:tc>
          <w:tcPr>
            <w:tcW w:w="2961" w:type="dxa"/>
            <w:tcBorders>
              <w:top w:val="nil"/>
              <w:left w:val="single" w:sz="4" w:space="0" w:color="auto"/>
              <w:bottom w:val="single" w:sz="4" w:space="0" w:color="auto"/>
              <w:right w:val="single" w:sz="4" w:space="0" w:color="auto"/>
            </w:tcBorders>
            <w:vAlign w:val="center"/>
          </w:tcPr>
          <w:p w14:paraId="5E382E20"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&gt;50,000 copies/mL</w:t>
            </w:r>
          </w:p>
        </w:tc>
        <w:tc>
          <w:tcPr>
            <w:tcW w:w="3600" w:type="dxa"/>
            <w:tcBorders>
              <w:top w:val="nil"/>
              <w:left w:val="single" w:sz="4" w:space="0" w:color="auto"/>
              <w:bottom w:val="single" w:sz="4" w:space="0" w:color="auto"/>
              <w:right w:val="single" w:sz="4" w:space="0" w:color="auto"/>
            </w:tcBorders>
            <w:vAlign w:val="center"/>
          </w:tcPr>
          <w:p w14:paraId="2C4E6C06"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65 / 105 (62%)</w:t>
            </w:r>
          </w:p>
        </w:tc>
        <w:tc>
          <w:tcPr>
            <w:tcW w:w="3362" w:type="dxa"/>
            <w:tcBorders>
              <w:top w:val="nil"/>
              <w:left w:val="single" w:sz="4" w:space="0" w:color="auto"/>
              <w:bottom w:val="single" w:sz="4" w:space="0" w:color="auto"/>
              <w:right w:val="single" w:sz="4" w:space="0" w:color="auto"/>
            </w:tcBorders>
            <w:vAlign w:val="center"/>
          </w:tcPr>
          <w:p w14:paraId="5792F952"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50 / 107 (47%)</w:t>
            </w:r>
          </w:p>
        </w:tc>
      </w:tr>
      <w:tr w:rsidR="0034449A" w:rsidRPr="009A2D47" w14:paraId="4F3BC87F" w14:textId="77777777" w:rsidTr="009A2D47">
        <w:tc>
          <w:tcPr>
            <w:tcW w:w="2961" w:type="dxa"/>
            <w:tcBorders>
              <w:top w:val="nil"/>
              <w:left w:val="single" w:sz="4" w:space="0" w:color="auto"/>
              <w:bottom w:val="single" w:sz="4" w:space="0" w:color="auto"/>
              <w:right w:val="single" w:sz="4" w:space="0" w:color="auto"/>
            </w:tcBorders>
            <w:vAlign w:val="center"/>
          </w:tcPr>
          <w:p w14:paraId="3B2039BD" w14:textId="77777777" w:rsidR="0034449A" w:rsidRPr="00F9575F" w:rsidRDefault="00825890" w:rsidP="009A2D47">
            <w:pPr>
              <w:spacing w:after="12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Treatment difference</w:t>
            </w:r>
          </w:p>
        </w:tc>
        <w:tc>
          <w:tcPr>
            <w:tcW w:w="6962" w:type="dxa"/>
            <w:gridSpan w:val="2"/>
            <w:tcBorders>
              <w:top w:val="nil"/>
              <w:left w:val="single" w:sz="4" w:space="0" w:color="auto"/>
              <w:bottom w:val="single" w:sz="4" w:space="0" w:color="auto"/>
              <w:right w:val="single" w:sz="4" w:space="0" w:color="auto"/>
            </w:tcBorders>
            <w:vAlign w:val="center"/>
          </w:tcPr>
          <w:p w14:paraId="5E53C866"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15.2% (95% CI: 1.9%, 28.4%)</w:t>
            </w:r>
          </w:p>
        </w:tc>
      </w:tr>
      <w:tr w:rsidR="0034449A" w:rsidRPr="009A2D47" w14:paraId="51CC2AD9" w14:textId="77777777" w:rsidTr="009A2D47">
        <w:tc>
          <w:tcPr>
            <w:tcW w:w="2961" w:type="dxa"/>
            <w:tcBorders>
              <w:top w:val="single" w:sz="4" w:space="0" w:color="auto"/>
              <w:bottom w:val="single" w:sz="4" w:space="0" w:color="auto"/>
            </w:tcBorders>
          </w:tcPr>
          <w:p w14:paraId="43878900"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Baseline CD4+ (cells/</w:t>
            </w:r>
            <w:r w:rsidRPr="00F9575F">
              <w:rPr>
                <w:rFonts w:ascii="Arial Narrow" w:hAnsi="Arial Narrow"/>
                <w:b/>
                <w:bCs/>
                <w:sz w:val="20"/>
                <w:szCs w:val="20"/>
                <w:lang w:val="en-GB"/>
              </w:rPr>
              <w:t>mm</w:t>
            </w:r>
            <w:r w:rsidRPr="00F9575F">
              <w:rPr>
                <w:rFonts w:ascii="Arial Narrow" w:hAnsi="Arial Narrow"/>
                <w:b/>
                <w:bCs/>
                <w:sz w:val="20"/>
                <w:szCs w:val="20"/>
                <w:vertAlign w:val="superscript"/>
                <w:lang w:val="en-GB"/>
              </w:rPr>
              <w:t>3</w:t>
            </w:r>
            <w:r w:rsidRPr="00F9575F">
              <w:rPr>
                <w:rFonts w:ascii="Arial Narrow" w:hAnsi="Arial Narrow"/>
                <w:b/>
                <w:sz w:val="20"/>
                <w:szCs w:val="20"/>
                <w:lang w:val="en-GB"/>
              </w:rPr>
              <w:t>)</w:t>
            </w:r>
          </w:p>
        </w:tc>
        <w:tc>
          <w:tcPr>
            <w:tcW w:w="3600" w:type="dxa"/>
            <w:tcBorders>
              <w:top w:val="single" w:sz="4" w:space="0" w:color="auto"/>
              <w:bottom w:val="single" w:sz="4" w:space="0" w:color="auto"/>
            </w:tcBorders>
            <w:vAlign w:val="center"/>
          </w:tcPr>
          <w:p w14:paraId="419FAF2C" w14:textId="77777777" w:rsidR="0034449A" w:rsidRPr="00F9575F" w:rsidRDefault="0034449A" w:rsidP="009A2D47">
            <w:pPr>
              <w:spacing w:after="120" w:line="240" w:lineRule="auto"/>
              <w:jc w:val="center"/>
              <w:rPr>
                <w:rFonts w:ascii="Arial Narrow" w:hAnsi="Arial Narrow"/>
                <w:sz w:val="20"/>
                <w:szCs w:val="20"/>
                <w:lang w:val="en-GB"/>
              </w:rPr>
            </w:pPr>
          </w:p>
        </w:tc>
        <w:tc>
          <w:tcPr>
            <w:tcW w:w="3362" w:type="dxa"/>
            <w:tcBorders>
              <w:top w:val="single" w:sz="4" w:space="0" w:color="auto"/>
              <w:bottom w:val="single" w:sz="4" w:space="0" w:color="auto"/>
            </w:tcBorders>
            <w:vAlign w:val="center"/>
          </w:tcPr>
          <w:p w14:paraId="26101396" w14:textId="77777777" w:rsidR="0034449A" w:rsidRPr="00F9575F" w:rsidRDefault="0034449A" w:rsidP="009A2D47">
            <w:pPr>
              <w:spacing w:after="120" w:line="240" w:lineRule="auto"/>
              <w:jc w:val="center"/>
              <w:rPr>
                <w:rFonts w:ascii="Arial Narrow" w:hAnsi="Arial Narrow"/>
                <w:sz w:val="20"/>
                <w:szCs w:val="20"/>
                <w:lang w:val="en-GB"/>
              </w:rPr>
            </w:pPr>
          </w:p>
        </w:tc>
      </w:tr>
      <w:tr w:rsidR="0034449A" w:rsidRPr="009A2D47" w14:paraId="6ED6DCE9" w14:textId="77777777" w:rsidTr="009A2D47">
        <w:tc>
          <w:tcPr>
            <w:tcW w:w="2961" w:type="dxa"/>
            <w:tcBorders>
              <w:top w:val="nil"/>
              <w:left w:val="single" w:sz="4" w:space="0" w:color="auto"/>
              <w:bottom w:val="nil"/>
              <w:right w:val="single" w:sz="4" w:space="0" w:color="auto"/>
            </w:tcBorders>
          </w:tcPr>
          <w:p w14:paraId="20949A01"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&lt;50</w:t>
            </w:r>
          </w:p>
        </w:tc>
        <w:tc>
          <w:tcPr>
            <w:tcW w:w="3600" w:type="dxa"/>
            <w:tcBorders>
              <w:top w:val="nil"/>
              <w:left w:val="single" w:sz="4" w:space="0" w:color="auto"/>
              <w:bottom w:val="nil"/>
              <w:right w:val="single" w:sz="4" w:space="0" w:color="auto"/>
            </w:tcBorders>
            <w:vAlign w:val="center"/>
          </w:tcPr>
          <w:p w14:paraId="7FE4E3AA"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33 / 62 (53%)</w:t>
            </w:r>
          </w:p>
        </w:tc>
        <w:tc>
          <w:tcPr>
            <w:tcW w:w="3362" w:type="dxa"/>
            <w:tcBorders>
              <w:top w:val="nil"/>
              <w:left w:val="single" w:sz="4" w:space="0" w:color="auto"/>
              <w:bottom w:val="nil"/>
              <w:right w:val="single" w:sz="4" w:space="0" w:color="auto"/>
            </w:tcBorders>
            <w:vAlign w:val="center"/>
          </w:tcPr>
          <w:p w14:paraId="0AFEDFA8"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30 / 59 (51%)</w:t>
            </w:r>
          </w:p>
        </w:tc>
      </w:tr>
      <w:tr w:rsidR="0034449A" w:rsidRPr="009A2D47" w14:paraId="09D02525" w14:textId="77777777" w:rsidTr="009A2D47">
        <w:tc>
          <w:tcPr>
            <w:tcW w:w="2961" w:type="dxa"/>
            <w:tcBorders>
              <w:top w:val="nil"/>
              <w:left w:val="single" w:sz="4" w:space="0" w:color="auto"/>
              <w:bottom w:val="nil"/>
              <w:right w:val="single" w:sz="4" w:space="0" w:color="auto"/>
            </w:tcBorders>
          </w:tcPr>
          <w:p w14:paraId="43E5CF47"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50 to &lt;200</w:t>
            </w:r>
            <w:r w:rsidR="0034449A" w:rsidRPr="00F9575F">
              <w:rPr>
                <w:rFonts w:ascii="Arial Narrow" w:hAnsi="Arial Narrow"/>
                <w:bCs/>
                <w:sz w:val="20"/>
                <w:szCs w:val="20"/>
                <w:lang w:val="en-GB"/>
              </w:rPr>
              <w:t xml:space="preserve"> </w:t>
            </w:r>
          </w:p>
        </w:tc>
        <w:tc>
          <w:tcPr>
            <w:tcW w:w="3600" w:type="dxa"/>
            <w:tcBorders>
              <w:top w:val="nil"/>
              <w:left w:val="single" w:sz="4" w:space="0" w:color="auto"/>
              <w:bottom w:val="nil"/>
              <w:right w:val="single" w:sz="4" w:space="0" w:color="auto"/>
            </w:tcBorders>
            <w:vAlign w:val="center"/>
          </w:tcPr>
          <w:p w14:paraId="624DC1B7"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77 / 111 (69%)</w:t>
            </w:r>
          </w:p>
        </w:tc>
        <w:tc>
          <w:tcPr>
            <w:tcW w:w="3362" w:type="dxa"/>
            <w:tcBorders>
              <w:top w:val="nil"/>
              <w:left w:val="single" w:sz="4" w:space="0" w:color="auto"/>
              <w:bottom w:val="nil"/>
              <w:right w:val="single" w:sz="4" w:space="0" w:color="auto"/>
            </w:tcBorders>
            <w:vAlign w:val="center"/>
          </w:tcPr>
          <w:p w14:paraId="5C0D6B09"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76 / 125 (61%)</w:t>
            </w:r>
          </w:p>
        </w:tc>
      </w:tr>
      <w:tr w:rsidR="0034449A" w:rsidRPr="009A2D47" w14:paraId="5F920B48" w14:textId="77777777" w:rsidTr="009A2D47">
        <w:tc>
          <w:tcPr>
            <w:tcW w:w="2961" w:type="dxa"/>
            <w:tcBorders>
              <w:top w:val="nil"/>
              <w:left w:val="single" w:sz="4" w:space="0" w:color="auto"/>
              <w:bottom w:val="nil"/>
              <w:right w:val="single" w:sz="4" w:space="0" w:color="auto"/>
            </w:tcBorders>
          </w:tcPr>
          <w:p w14:paraId="112DAD00"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200 to &lt;350</w:t>
            </w:r>
            <w:r w:rsidR="0034449A" w:rsidRPr="00F9575F">
              <w:rPr>
                <w:rFonts w:ascii="Arial Narrow" w:hAnsi="Arial Narrow"/>
                <w:bCs/>
                <w:sz w:val="20"/>
                <w:szCs w:val="20"/>
                <w:lang w:val="en-GB"/>
              </w:rPr>
              <w:t xml:space="preserve"> </w:t>
            </w:r>
          </w:p>
        </w:tc>
        <w:tc>
          <w:tcPr>
            <w:tcW w:w="3600" w:type="dxa"/>
            <w:tcBorders>
              <w:top w:val="nil"/>
              <w:left w:val="single" w:sz="4" w:space="0" w:color="auto"/>
              <w:bottom w:val="nil"/>
              <w:right w:val="single" w:sz="4" w:space="0" w:color="auto"/>
            </w:tcBorders>
            <w:vAlign w:val="center"/>
          </w:tcPr>
          <w:p w14:paraId="20528117"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64 / 82 (78%)</w:t>
            </w:r>
          </w:p>
        </w:tc>
        <w:tc>
          <w:tcPr>
            <w:tcW w:w="3362" w:type="dxa"/>
            <w:tcBorders>
              <w:top w:val="nil"/>
              <w:left w:val="single" w:sz="4" w:space="0" w:color="auto"/>
              <w:bottom w:val="nil"/>
              <w:right w:val="single" w:sz="4" w:space="0" w:color="auto"/>
            </w:tcBorders>
            <w:vAlign w:val="center"/>
          </w:tcPr>
          <w:p w14:paraId="182F09A7"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53 / 79 (67%)</w:t>
            </w:r>
          </w:p>
        </w:tc>
      </w:tr>
      <w:tr w:rsidR="0034449A" w:rsidRPr="009A2D47" w14:paraId="0515D430" w14:textId="77777777" w:rsidTr="009A2D47">
        <w:tc>
          <w:tcPr>
            <w:tcW w:w="2961" w:type="dxa"/>
            <w:tcBorders>
              <w:top w:val="nil"/>
              <w:left w:val="single" w:sz="4" w:space="0" w:color="auto"/>
              <w:bottom w:val="single" w:sz="4" w:space="0" w:color="auto"/>
              <w:right w:val="single" w:sz="4" w:space="0" w:color="auto"/>
            </w:tcBorders>
          </w:tcPr>
          <w:p w14:paraId="00C7AB2B"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sym w:font="Symbol" w:char="F0B3"/>
            </w:r>
            <w:r w:rsidR="0034449A" w:rsidRPr="00F9575F">
              <w:rPr>
                <w:rFonts w:ascii="Arial Narrow" w:hAnsi="Arial Narrow"/>
                <w:sz w:val="20"/>
                <w:szCs w:val="20"/>
                <w:lang w:val="en-GB"/>
              </w:rPr>
              <w:t>3</w:t>
            </w:r>
            <w:r w:rsidR="0034449A" w:rsidRPr="00F9575F">
              <w:rPr>
                <w:rFonts w:ascii="Arial Narrow" w:hAnsi="Arial Narrow"/>
                <w:bCs/>
                <w:sz w:val="20"/>
                <w:szCs w:val="20"/>
                <w:lang w:val="en-GB"/>
              </w:rPr>
              <w:t xml:space="preserve">50 </w:t>
            </w:r>
          </w:p>
        </w:tc>
        <w:tc>
          <w:tcPr>
            <w:tcW w:w="3600" w:type="dxa"/>
            <w:tcBorders>
              <w:top w:val="nil"/>
              <w:left w:val="single" w:sz="4" w:space="0" w:color="auto"/>
              <w:bottom w:val="single" w:sz="4" w:space="0" w:color="auto"/>
              <w:right w:val="single" w:sz="4" w:space="0" w:color="auto"/>
            </w:tcBorders>
            <w:vAlign w:val="center"/>
          </w:tcPr>
          <w:p w14:paraId="06FE3437"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77 / 99 (78%)</w:t>
            </w:r>
          </w:p>
        </w:tc>
        <w:tc>
          <w:tcPr>
            <w:tcW w:w="3362" w:type="dxa"/>
            <w:tcBorders>
              <w:top w:val="nil"/>
              <w:left w:val="single" w:sz="4" w:space="0" w:color="auto"/>
              <w:bottom w:val="single" w:sz="4" w:space="0" w:color="auto"/>
              <w:right w:val="single" w:sz="4" w:space="0" w:color="auto"/>
            </w:tcBorders>
            <w:vAlign w:val="center"/>
          </w:tcPr>
          <w:p w14:paraId="6125E02C"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71 / 98 (72%)</w:t>
            </w:r>
          </w:p>
        </w:tc>
      </w:tr>
      <w:tr w:rsidR="0034449A" w:rsidRPr="009A2D47" w14:paraId="0CE12930" w14:textId="77777777" w:rsidTr="009A2D47">
        <w:tc>
          <w:tcPr>
            <w:tcW w:w="2961" w:type="dxa"/>
            <w:tcBorders>
              <w:top w:val="single" w:sz="4" w:space="0" w:color="auto"/>
              <w:bottom w:val="single" w:sz="4" w:space="0" w:color="auto"/>
            </w:tcBorders>
          </w:tcPr>
          <w:p w14:paraId="3179E94A"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Background Regimen</w:t>
            </w:r>
          </w:p>
        </w:tc>
        <w:tc>
          <w:tcPr>
            <w:tcW w:w="3600" w:type="dxa"/>
            <w:tcBorders>
              <w:top w:val="single" w:sz="4" w:space="0" w:color="auto"/>
              <w:bottom w:val="single" w:sz="4" w:space="0" w:color="auto"/>
            </w:tcBorders>
            <w:vAlign w:val="center"/>
          </w:tcPr>
          <w:p w14:paraId="2CF78A09" w14:textId="77777777" w:rsidR="0034449A" w:rsidRPr="00F9575F" w:rsidRDefault="0034449A" w:rsidP="009A2D47">
            <w:pPr>
              <w:spacing w:after="120" w:line="240" w:lineRule="auto"/>
              <w:jc w:val="center"/>
              <w:rPr>
                <w:rFonts w:ascii="Arial Narrow" w:hAnsi="Arial Narrow"/>
                <w:sz w:val="20"/>
                <w:szCs w:val="20"/>
                <w:lang w:val="en-GB"/>
              </w:rPr>
            </w:pPr>
          </w:p>
        </w:tc>
        <w:tc>
          <w:tcPr>
            <w:tcW w:w="3362" w:type="dxa"/>
            <w:tcBorders>
              <w:top w:val="single" w:sz="4" w:space="0" w:color="auto"/>
              <w:bottom w:val="single" w:sz="4" w:space="0" w:color="auto"/>
            </w:tcBorders>
            <w:vAlign w:val="center"/>
          </w:tcPr>
          <w:p w14:paraId="2F77400E" w14:textId="77777777" w:rsidR="0034449A" w:rsidRPr="00F9575F" w:rsidRDefault="0034449A" w:rsidP="009A2D47">
            <w:pPr>
              <w:spacing w:after="120" w:line="240" w:lineRule="auto"/>
              <w:jc w:val="center"/>
              <w:rPr>
                <w:rFonts w:ascii="Arial Narrow" w:hAnsi="Arial Narrow"/>
                <w:sz w:val="20"/>
                <w:szCs w:val="20"/>
                <w:lang w:val="en-GB"/>
              </w:rPr>
            </w:pPr>
          </w:p>
        </w:tc>
      </w:tr>
      <w:tr w:rsidR="0034449A" w:rsidRPr="009A2D47" w14:paraId="6E1EDF37" w14:textId="77777777" w:rsidTr="009A2D47">
        <w:tc>
          <w:tcPr>
            <w:tcW w:w="2961" w:type="dxa"/>
            <w:tcBorders>
              <w:top w:val="single" w:sz="4" w:space="0" w:color="auto"/>
              <w:left w:val="single" w:sz="4" w:space="0" w:color="auto"/>
              <w:bottom w:val="nil"/>
              <w:right w:val="single" w:sz="4" w:space="0" w:color="auto"/>
            </w:tcBorders>
          </w:tcPr>
          <w:p w14:paraId="34F5D095" w14:textId="77777777" w:rsidR="0034449A" w:rsidRPr="00F9575F" w:rsidRDefault="00825890" w:rsidP="009A2D47">
            <w:pPr>
              <w:spacing w:after="12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Phenotypic Susceptibility Score* &lt;2</w:t>
            </w:r>
          </w:p>
        </w:tc>
        <w:tc>
          <w:tcPr>
            <w:tcW w:w="3600" w:type="dxa"/>
            <w:tcBorders>
              <w:top w:val="single" w:sz="4" w:space="0" w:color="auto"/>
              <w:left w:val="single" w:sz="4" w:space="0" w:color="auto"/>
              <w:bottom w:val="nil"/>
              <w:right w:val="single" w:sz="4" w:space="0" w:color="auto"/>
            </w:tcBorders>
            <w:vAlign w:val="center"/>
          </w:tcPr>
          <w:p w14:paraId="554FBC2B"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70 / 104 (67%)</w:t>
            </w:r>
          </w:p>
        </w:tc>
        <w:tc>
          <w:tcPr>
            <w:tcW w:w="3362" w:type="dxa"/>
            <w:tcBorders>
              <w:top w:val="single" w:sz="4" w:space="0" w:color="auto"/>
              <w:left w:val="single" w:sz="4" w:space="0" w:color="auto"/>
              <w:bottom w:val="nil"/>
              <w:right w:val="single" w:sz="4" w:space="0" w:color="auto"/>
            </w:tcBorders>
            <w:vAlign w:val="center"/>
          </w:tcPr>
          <w:p w14:paraId="6EF2A7DE"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61 / 94 (65%)</w:t>
            </w:r>
          </w:p>
        </w:tc>
      </w:tr>
      <w:tr w:rsidR="0034449A" w:rsidRPr="009A2D47" w14:paraId="22F3F79B" w14:textId="77777777" w:rsidTr="009A2D47">
        <w:tc>
          <w:tcPr>
            <w:tcW w:w="2961" w:type="dxa"/>
            <w:tcBorders>
              <w:top w:val="single" w:sz="4" w:space="0" w:color="auto"/>
              <w:left w:val="single" w:sz="4" w:space="0" w:color="auto"/>
              <w:bottom w:val="nil"/>
              <w:right w:val="single" w:sz="4" w:space="0" w:color="auto"/>
            </w:tcBorders>
          </w:tcPr>
          <w:p w14:paraId="31662CA7"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Treatment Difference</w:t>
            </w:r>
          </w:p>
        </w:tc>
        <w:tc>
          <w:tcPr>
            <w:tcW w:w="6962" w:type="dxa"/>
            <w:gridSpan w:val="2"/>
            <w:tcBorders>
              <w:top w:val="single" w:sz="4" w:space="0" w:color="auto"/>
              <w:left w:val="single" w:sz="4" w:space="0" w:color="auto"/>
              <w:bottom w:val="nil"/>
              <w:right w:val="single" w:sz="4" w:space="0" w:color="auto"/>
            </w:tcBorders>
            <w:vAlign w:val="center"/>
          </w:tcPr>
          <w:p w14:paraId="37CBDD42" w14:textId="77777777" w:rsidR="0034449A" w:rsidRPr="00F9575F" w:rsidDel="00967B9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2.4% (95% CI: -10.8%, 15.6%)</w:t>
            </w:r>
          </w:p>
        </w:tc>
      </w:tr>
      <w:tr w:rsidR="0034449A" w:rsidRPr="009A2D47" w14:paraId="71612E6B" w14:textId="77777777" w:rsidTr="009A2D47">
        <w:tc>
          <w:tcPr>
            <w:tcW w:w="2961" w:type="dxa"/>
            <w:tcBorders>
              <w:top w:val="nil"/>
              <w:left w:val="single" w:sz="4" w:space="0" w:color="auto"/>
              <w:bottom w:val="nil"/>
              <w:right w:val="single" w:sz="4" w:space="0" w:color="auto"/>
            </w:tcBorders>
          </w:tcPr>
          <w:p w14:paraId="046ECBDB"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Phenotypic Susceptibility Score* =2</w:t>
            </w:r>
          </w:p>
        </w:tc>
        <w:tc>
          <w:tcPr>
            <w:tcW w:w="3600" w:type="dxa"/>
            <w:tcBorders>
              <w:top w:val="nil"/>
              <w:left w:val="single" w:sz="4" w:space="0" w:color="auto"/>
              <w:bottom w:val="nil"/>
              <w:right w:val="single" w:sz="4" w:space="0" w:color="auto"/>
            </w:tcBorders>
            <w:vAlign w:val="center"/>
          </w:tcPr>
          <w:p w14:paraId="298F3C2B"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181 / 250 (72%)</w:t>
            </w:r>
          </w:p>
        </w:tc>
        <w:tc>
          <w:tcPr>
            <w:tcW w:w="3362" w:type="dxa"/>
            <w:tcBorders>
              <w:top w:val="nil"/>
              <w:left w:val="single" w:sz="4" w:space="0" w:color="auto"/>
              <w:bottom w:val="nil"/>
              <w:right w:val="single" w:sz="4" w:space="0" w:color="auto"/>
            </w:tcBorders>
            <w:vAlign w:val="center"/>
          </w:tcPr>
          <w:p w14:paraId="77040C84"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169/ 267 (63%)</w:t>
            </w:r>
          </w:p>
        </w:tc>
      </w:tr>
      <w:tr w:rsidR="0034449A" w:rsidRPr="009A2D47" w14:paraId="6223FC08" w14:textId="77777777" w:rsidTr="009A2D47">
        <w:tc>
          <w:tcPr>
            <w:tcW w:w="2961" w:type="dxa"/>
            <w:tcBorders>
              <w:top w:val="nil"/>
              <w:left w:val="single" w:sz="4" w:space="0" w:color="auto"/>
              <w:bottom w:val="nil"/>
              <w:right w:val="single" w:sz="4" w:space="0" w:color="auto"/>
            </w:tcBorders>
          </w:tcPr>
          <w:p w14:paraId="383EB27C"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Treatment Difference</w:t>
            </w:r>
          </w:p>
        </w:tc>
        <w:tc>
          <w:tcPr>
            <w:tcW w:w="6962" w:type="dxa"/>
            <w:gridSpan w:val="2"/>
            <w:tcBorders>
              <w:top w:val="nil"/>
              <w:left w:val="single" w:sz="4" w:space="0" w:color="auto"/>
              <w:bottom w:val="nil"/>
              <w:right w:val="single" w:sz="4" w:space="0" w:color="auto"/>
            </w:tcBorders>
            <w:vAlign w:val="center"/>
          </w:tcPr>
          <w:p w14:paraId="58522360" w14:textId="77777777" w:rsidR="0034449A" w:rsidRPr="00F9575F" w:rsidDel="00967B9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9.1% (95% CI: 1.1%, 17.1%)</w:t>
            </w:r>
          </w:p>
        </w:tc>
      </w:tr>
      <w:tr w:rsidR="0034449A" w:rsidRPr="009A2D47" w14:paraId="10DA4A10" w14:textId="77777777" w:rsidTr="009A2D47">
        <w:tc>
          <w:tcPr>
            <w:tcW w:w="2961" w:type="dxa"/>
            <w:tcBorders>
              <w:top w:val="nil"/>
              <w:left w:val="single" w:sz="4" w:space="0" w:color="auto"/>
              <w:bottom w:val="nil"/>
              <w:right w:val="single" w:sz="4" w:space="0" w:color="auto"/>
            </w:tcBorders>
          </w:tcPr>
          <w:p w14:paraId="198896CD"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Genotypic Susceptibility Score* &lt;2</w:t>
            </w:r>
          </w:p>
        </w:tc>
        <w:tc>
          <w:tcPr>
            <w:tcW w:w="3600" w:type="dxa"/>
            <w:tcBorders>
              <w:top w:val="nil"/>
              <w:left w:val="single" w:sz="4" w:space="0" w:color="auto"/>
              <w:bottom w:val="nil"/>
              <w:right w:val="single" w:sz="4" w:space="0" w:color="auto"/>
            </w:tcBorders>
            <w:vAlign w:val="center"/>
          </w:tcPr>
          <w:p w14:paraId="280DEC6C"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155 / 216 (72%)</w:t>
            </w:r>
          </w:p>
        </w:tc>
        <w:tc>
          <w:tcPr>
            <w:tcW w:w="3362" w:type="dxa"/>
            <w:tcBorders>
              <w:top w:val="nil"/>
              <w:left w:val="single" w:sz="4" w:space="0" w:color="auto"/>
              <w:bottom w:val="nil"/>
              <w:right w:val="single" w:sz="4" w:space="0" w:color="auto"/>
            </w:tcBorders>
            <w:vAlign w:val="center"/>
          </w:tcPr>
          <w:p w14:paraId="3933BCAF"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129 / 192 (67%)</w:t>
            </w:r>
          </w:p>
        </w:tc>
      </w:tr>
      <w:tr w:rsidR="0034449A" w:rsidRPr="009A2D47" w14:paraId="70301612" w14:textId="77777777" w:rsidTr="009A2D47">
        <w:tc>
          <w:tcPr>
            <w:tcW w:w="2961" w:type="dxa"/>
            <w:tcBorders>
              <w:top w:val="nil"/>
              <w:left w:val="single" w:sz="4" w:space="0" w:color="auto"/>
              <w:bottom w:val="nil"/>
              <w:right w:val="single" w:sz="4" w:space="0" w:color="auto"/>
            </w:tcBorders>
          </w:tcPr>
          <w:p w14:paraId="2157FC0A" w14:textId="77777777" w:rsidR="0034449A" w:rsidRPr="00F9575F" w:rsidRDefault="00825890" w:rsidP="009A2D47">
            <w:pPr>
              <w:spacing w:after="0" w:line="240" w:lineRule="auto"/>
              <w:ind w:firstLine="6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Genotypic Susceptibility Score* =2</w:t>
            </w:r>
          </w:p>
        </w:tc>
        <w:tc>
          <w:tcPr>
            <w:tcW w:w="3600" w:type="dxa"/>
            <w:tcBorders>
              <w:top w:val="nil"/>
              <w:left w:val="single" w:sz="4" w:space="0" w:color="auto"/>
              <w:bottom w:val="nil"/>
              <w:right w:val="single" w:sz="4" w:space="0" w:color="auto"/>
            </w:tcBorders>
            <w:vAlign w:val="center"/>
          </w:tcPr>
          <w:p w14:paraId="476CD643"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96 / 138 (70%)</w:t>
            </w:r>
          </w:p>
        </w:tc>
        <w:tc>
          <w:tcPr>
            <w:tcW w:w="3362" w:type="dxa"/>
            <w:tcBorders>
              <w:top w:val="nil"/>
              <w:left w:val="single" w:sz="4" w:space="0" w:color="auto"/>
              <w:bottom w:val="nil"/>
              <w:right w:val="single" w:sz="4" w:space="0" w:color="auto"/>
            </w:tcBorders>
            <w:vAlign w:val="center"/>
          </w:tcPr>
          <w:p w14:paraId="35649EE2"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101 / 169 (60%)</w:t>
            </w:r>
          </w:p>
        </w:tc>
      </w:tr>
      <w:tr w:rsidR="0034449A" w:rsidRPr="009A2D47" w14:paraId="64A226CB" w14:textId="77777777" w:rsidTr="009A2D47">
        <w:trPr>
          <w:trHeight w:val="852"/>
        </w:trPr>
        <w:tc>
          <w:tcPr>
            <w:tcW w:w="2961" w:type="dxa"/>
            <w:tcBorders>
              <w:top w:val="nil"/>
              <w:left w:val="single" w:sz="4" w:space="0" w:color="auto"/>
              <w:bottom w:val="single" w:sz="4" w:space="0" w:color="auto"/>
              <w:right w:val="single" w:sz="4" w:space="0" w:color="auto"/>
            </w:tcBorders>
          </w:tcPr>
          <w:p w14:paraId="7FCBA5CC" w14:textId="77777777" w:rsidR="0034449A" w:rsidRPr="00F9575F" w:rsidRDefault="0034449A" w:rsidP="009A2D47">
            <w:pPr>
              <w:spacing w:after="0" w:line="240" w:lineRule="auto"/>
              <w:rPr>
                <w:rFonts w:ascii="Arial Narrow" w:hAnsi="Arial Narrow"/>
                <w:sz w:val="20"/>
                <w:szCs w:val="20"/>
                <w:lang w:val="en-GB"/>
              </w:rPr>
            </w:pPr>
            <w:r w:rsidRPr="00F9575F">
              <w:rPr>
                <w:rFonts w:ascii="Arial Narrow" w:hAnsi="Arial Narrow"/>
                <w:sz w:val="20"/>
                <w:szCs w:val="20"/>
                <w:lang w:val="en-GB"/>
              </w:rPr>
              <w:t xml:space="preserve"> DRV/r in BR¶</w:t>
            </w:r>
          </w:p>
          <w:p w14:paraId="42A48DA7" w14:textId="77777777" w:rsidR="0034449A" w:rsidRPr="00F9575F" w:rsidRDefault="00825890" w:rsidP="009A2D47">
            <w:pPr>
              <w:pStyle w:val="tabletextNS"/>
              <w:spacing w:after="0" w:line="240" w:lineRule="auto"/>
              <w:ind w:left="62" w:firstLine="90"/>
              <w:rPr>
                <w:rFonts w:eastAsia="MS Mincho" w:cs="Arial"/>
                <w:sz w:val="20"/>
              </w:rPr>
            </w:pPr>
            <w:r w:rsidRPr="00F9575F">
              <w:rPr>
                <w:rFonts w:eastAsia="MS Mincho" w:cs="Arial"/>
                <w:sz w:val="20"/>
              </w:rPr>
              <w:t xml:space="preserve">  </w:t>
            </w:r>
            <w:r w:rsidR="0034449A" w:rsidRPr="00F9575F">
              <w:rPr>
                <w:rFonts w:eastAsia="MS Mincho" w:cs="Arial"/>
                <w:sz w:val="20"/>
              </w:rPr>
              <w:t xml:space="preserve">No DRV/r use </w:t>
            </w:r>
          </w:p>
          <w:p w14:paraId="3DDB13F6" w14:textId="77777777" w:rsidR="0034449A" w:rsidRPr="00F9575F" w:rsidRDefault="00825890" w:rsidP="009A2D47">
            <w:pPr>
              <w:pStyle w:val="tabletextNS"/>
              <w:spacing w:after="0" w:line="240" w:lineRule="auto"/>
              <w:ind w:left="62" w:firstLine="90"/>
              <w:rPr>
                <w:rFonts w:eastAsia="MS Mincho" w:cs="Arial"/>
                <w:sz w:val="20"/>
              </w:rPr>
            </w:pPr>
            <w:r w:rsidRPr="00F9575F">
              <w:rPr>
                <w:rFonts w:eastAsia="MS Mincho" w:cs="Arial"/>
                <w:sz w:val="20"/>
              </w:rPr>
              <w:t xml:space="preserve">  </w:t>
            </w:r>
            <w:r w:rsidR="0034449A" w:rsidRPr="00F9575F">
              <w:rPr>
                <w:rFonts w:eastAsia="MS Mincho" w:cs="Arial"/>
                <w:sz w:val="20"/>
              </w:rPr>
              <w:t xml:space="preserve">DRV/r use with Primary PI mutations </w:t>
            </w:r>
          </w:p>
          <w:p w14:paraId="1899AB79" w14:textId="77777777" w:rsidR="0034449A" w:rsidRPr="00F9575F" w:rsidRDefault="00825890" w:rsidP="009A2D47">
            <w:pPr>
              <w:spacing w:after="0" w:line="240" w:lineRule="auto"/>
              <w:ind w:left="62" w:firstLine="90"/>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 xml:space="preserve"> DRV/r use without Primary PI</w:t>
            </w:r>
          </w:p>
        </w:tc>
        <w:tc>
          <w:tcPr>
            <w:tcW w:w="3600" w:type="dxa"/>
            <w:tcBorders>
              <w:top w:val="nil"/>
              <w:left w:val="single" w:sz="4" w:space="0" w:color="auto"/>
              <w:bottom w:val="single" w:sz="4" w:space="0" w:color="auto"/>
              <w:right w:val="single" w:sz="4" w:space="0" w:color="auto"/>
            </w:tcBorders>
            <w:vAlign w:val="center"/>
          </w:tcPr>
          <w:p w14:paraId="5A53F209" w14:textId="77777777" w:rsidR="0034449A" w:rsidRPr="00F9575F" w:rsidRDefault="0034449A" w:rsidP="009A2D47">
            <w:pPr>
              <w:spacing w:after="0" w:line="240" w:lineRule="auto"/>
              <w:jc w:val="center"/>
              <w:rPr>
                <w:rFonts w:ascii="Arial Narrow" w:hAnsi="Arial Narrow"/>
                <w:sz w:val="20"/>
                <w:szCs w:val="20"/>
                <w:lang w:val="en-GB"/>
              </w:rPr>
            </w:pPr>
          </w:p>
          <w:p w14:paraId="61791C22"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143</w:t>
            </w:r>
            <w:r w:rsidR="008F1F07" w:rsidRPr="00F9575F">
              <w:rPr>
                <w:rFonts w:ascii="Arial Narrow" w:hAnsi="Arial Narrow"/>
                <w:sz w:val="20"/>
                <w:szCs w:val="20"/>
                <w:lang w:val="en-GB"/>
              </w:rPr>
              <w:t xml:space="preserve"> </w:t>
            </w:r>
            <w:r w:rsidRPr="00F9575F">
              <w:rPr>
                <w:rFonts w:ascii="Arial Narrow" w:hAnsi="Arial Narrow"/>
                <w:sz w:val="20"/>
                <w:szCs w:val="20"/>
                <w:lang w:val="en-GB"/>
              </w:rPr>
              <w:t>/</w:t>
            </w:r>
            <w:r w:rsidR="008F1F07" w:rsidRPr="00F9575F">
              <w:rPr>
                <w:rFonts w:ascii="Arial Narrow" w:hAnsi="Arial Narrow"/>
                <w:sz w:val="20"/>
                <w:szCs w:val="20"/>
                <w:lang w:val="en-GB"/>
              </w:rPr>
              <w:t xml:space="preserve"> </w:t>
            </w:r>
            <w:r w:rsidRPr="00F9575F">
              <w:rPr>
                <w:rFonts w:ascii="Arial Narrow" w:hAnsi="Arial Narrow"/>
                <w:sz w:val="20"/>
                <w:szCs w:val="20"/>
                <w:lang w:val="en-GB"/>
              </w:rPr>
              <w:t>214 (67%)</w:t>
            </w:r>
          </w:p>
          <w:p w14:paraId="7E392E85"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58</w:t>
            </w:r>
            <w:r w:rsidR="008F1F07" w:rsidRPr="00F9575F">
              <w:rPr>
                <w:rFonts w:ascii="Arial Narrow" w:hAnsi="Arial Narrow"/>
                <w:sz w:val="20"/>
                <w:szCs w:val="20"/>
                <w:lang w:val="en-GB"/>
              </w:rPr>
              <w:t xml:space="preserve"> </w:t>
            </w:r>
            <w:r w:rsidRPr="00F9575F">
              <w:rPr>
                <w:rFonts w:ascii="Arial Narrow" w:hAnsi="Arial Narrow"/>
                <w:sz w:val="20"/>
                <w:szCs w:val="20"/>
                <w:lang w:val="en-GB"/>
              </w:rPr>
              <w:t>/</w:t>
            </w:r>
            <w:r w:rsidR="008F1F07" w:rsidRPr="00F9575F">
              <w:rPr>
                <w:rFonts w:ascii="Arial Narrow" w:hAnsi="Arial Narrow"/>
                <w:sz w:val="20"/>
                <w:szCs w:val="20"/>
                <w:lang w:val="en-GB"/>
              </w:rPr>
              <w:t xml:space="preserve"> </w:t>
            </w:r>
            <w:r w:rsidRPr="00F9575F">
              <w:rPr>
                <w:rFonts w:ascii="Arial Narrow" w:hAnsi="Arial Narrow"/>
                <w:sz w:val="20"/>
                <w:szCs w:val="20"/>
                <w:lang w:val="en-GB"/>
              </w:rPr>
              <w:t>68 (85%)</w:t>
            </w:r>
          </w:p>
          <w:p w14:paraId="72BAB347"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50</w:t>
            </w:r>
            <w:r w:rsidR="008F1F07" w:rsidRPr="00F9575F">
              <w:rPr>
                <w:rFonts w:ascii="Arial Narrow" w:hAnsi="Arial Narrow"/>
                <w:sz w:val="20"/>
                <w:szCs w:val="20"/>
                <w:lang w:val="en-GB"/>
              </w:rPr>
              <w:t xml:space="preserve"> </w:t>
            </w:r>
            <w:r w:rsidRPr="00F9575F">
              <w:rPr>
                <w:rFonts w:ascii="Arial Narrow" w:hAnsi="Arial Narrow"/>
                <w:sz w:val="20"/>
                <w:szCs w:val="20"/>
                <w:lang w:val="en-GB"/>
              </w:rPr>
              <w:t>/</w:t>
            </w:r>
            <w:r w:rsidR="008F1F07" w:rsidRPr="00F9575F">
              <w:rPr>
                <w:rFonts w:ascii="Arial Narrow" w:hAnsi="Arial Narrow"/>
                <w:sz w:val="20"/>
                <w:szCs w:val="20"/>
                <w:lang w:val="en-GB"/>
              </w:rPr>
              <w:t xml:space="preserve"> </w:t>
            </w:r>
            <w:r w:rsidRPr="00F9575F">
              <w:rPr>
                <w:rFonts w:ascii="Arial Narrow" w:hAnsi="Arial Narrow"/>
                <w:sz w:val="20"/>
                <w:szCs w:val="20"/>
                <w:lang w:val="en-GB"/>
              </w:rPr>
              <w:t>72 (69%)</w:t>
            </w:r>
          </w:p>
        </w:tc>
        <w:tc>
          <w:tcPr>
            <w:tcW w:w="3362" w:type="dxa"/>
            <w:tcBorders>
              <w:top w:val="nil"/>
              <w:left w:val="single" w:sz="4" w:space="0" w:color="auto"/>
              <w:bottom w:val="single" w:sz="4" w:space="0" w:color="auto"/>
              <w:right w:val="single" w:sz="4" w:space="0" w:color="auto"/>
            </w:tcBorders>
            <w:vAlign w:val="center"/>
          </w:tcPr>
          <w:p w14:paraId="7F7C9A82" w14:textId="77777777" w:rsidR="0034449A" w:rsidRPr="00F9575F" w:rsidRDefault="0034449A" w:rsidP="009A2D47">
            <w:pPr>
              <w:spacing w:after="0" w:line="240" w:lineRule="auto"/>
              <w:jc w:val="center"/>
              <w:rPr>
                <w:rFonts w:ascii="Arial Narrow" w:hAnsi="Arial Narrow"/>
                <w:sz w:val="20"/>
                <w:szCs w:val="20"/>
                <w:lang w:val="en-GB"/>
              </w:rPr>
            </w:pPr>
          </w:p>
          <w:p w14:paraId="6A4066D5"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126/</w:t>
            </w:r>
            <w:r w:rsidR="008F1F07" w:rsidRPr="00F9575F">
              <w:rPr>
                <w:rFonts w:ascii="Arial Narrow" w:hAnsi="Arial Narrow"/>
                <w:sz w:val="20"/>
                <w:szCs w:val="20"/>
                <w:lang w:val="en-GB"/>
              </w:rPr>
              <w:t xml:space="preserve"> </w:t>
            </w:r>
            <w:r w:rsidRPr="00F9575F">
              <w:rPr>
                <w:rFonts w:ascii="Arial Narrow" w:hAnsi="Arial Narrow"/>
                <w:sz w:val="20"/>
                <w:szCs w:val="20"/>
                <w:lang w:val="en-GB"/>
              </w:rPr>
              <w:t>209 (60%)</w:t>
            </w:r>
          </w:p>
          <w:p w14:paraId="43B5F217"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50</w:t>
            </w:r>
            <w:r w:rsidR="008F1F07" w:rsidRPr="00F9575F">
              <w:rPr>
                <w:rFonts w:ascii="Arial Narrow" w:hAnsi="Arial Narrow"/>
                <w:sz w:val="20"/>
                <w:szCs w:val="20"/>
                <w:lang w:val="en-GB"/>
              </w:rPr>
              <w:t xml:space="preserve"> </w:t>
            </w:r>
            <w:r w:rsidRPr="00F9575F">
              <w:rPr>
                <w:rFonts w:ascii="Arial Narrow" w:hAnsi="Arial Narrow"/>
                <w:sz w:val="20"/>
                <w:szCs w:val="20"/>
                <w:lang w:val="en-GB"/>
              </w:rPr>
              <w:t>/</w:t>
            </w:r>
            <w:r w:rsidR="008F1F07" w:rsidRPr="00F9575F">
              <w:rPr>
                <w:rFonts w:ascii="Arial Narrow" w:hAnsi="Arial Narrow"/>
                <w:sz w:val="20"/>
                <w:szCs w:val="20"/>
                <w:lang w:val="en-GB"/>
              </w:rPr>
              <w:t xml:space="preserve"> </w:t>
            </w:r>
            <w:r w:rsidRPr="00F9575F">
              <w:rPr>
                <w:rFonts w:ascii="Arial Narrow" w:hAnsi="Arial Narrow"/>
                <w:sz w:val="20"/>
                <w:szCs w:val="20"/>
                <w:lang w:val="en-GB"/>
              </w:rPr>
              <w:t>75 (67%)</w:t>
            </w:r>
          </w:p>
          <w:p w14:paraId="361527BC"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54</w:t>
            </w:r>
            <w:r w:rsidR="008F1F07" w:rsidRPr="00F9575F">
              <w:rPr>
                <w:rFonts w:ascii="Arial Narrow" w:hAnsi="Arial Narrow"/>
                <w:sz w:val="20"/>
                <w:szCs w:val="20"/>
                <w:lang w:val="en-GB"/>
              </w:rPr>
              <w:t xml:space="preserve"> </w:t>
            </w:r>
            <w:r w:rsidRPr="00F9575F">
              <w:rPr>
                <w:rFonts w:ascii="Arial Narrow" w:hAnsi="Arial Narrow"/>
                <w:sz w:val="20"/>
                <w:szCs w:val="20"/>
                <w:lang w:val="en-GB"/>
              </w:rPr>
              <w:t>/</w:t>
            </w:r>
            <w:r w:rsidR="008F1F07" w:rsidRPr="00F9575F">
              <w:rPr>
                <w:rFonts w:ascii="Arial Narrow" w:hAnsi="Arial Narrow"/>
                <w:sz w:val="20"/>
                <w:szCs w:val="20"/>
                <w:lang w:val="en-GB"/>
              </w:rPr>
              <w:t xml:space="preserve"> </w:t>
            </w:r>
            <w:r w:rsidRPr="00F9575F">
              <w:rPr>
                <w:rFonts w:ascii="Arial Narrow" w:hAnsi="Arial Narrow"/>
                <w:sz w:val="20"/>
                <w:szCs w:val="20"/>
                <w:lang w:val="en-GB"/>
              </w:rPr>
              <w:t>77 (70%)</w:t>
            </w:r>
          </w:p>
        </w:tc>
      </w:tr>
      <w:tr w:rsidR="0034449A" w:rsidRPr="009A2D47" w14:paraId="75AF687F" w14:textId="77777777" w:rsidTr="009A2D47">
        <w:tc>
          <w:tcPr>
            <w:tcW w:w="2961" w:type="dxa"/>
            <w:tcBorders>
              <w:top w:val="nil"/>
              <w:left w:val="single" w:sz="4" w:space="0" w:color="auto"/>
              <w:bottom w:val="single" w:sz="4" w:space="0" w:color="auto"/>
              <w:right w:val="single" w:sz="4" w:space="0" w:color="auto"/>
            </w:tcBorders>
            <w:vAlign w:val="center"/>
          </w:tcPr>
          <w:p w14:paraId="3BB72F3C"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Gender</w:t>
            </w:r>
          </w:p>
        </w:tc>
        <w:tc>
          <w:tcPr>
            <w:tcW w:w="3600" w:type="dxa"/>
            <w:tcBorders>
              <w:top w:val="nil"/>
              <w:left w:val="single" w:sz="4" w:space="0" w:color="auto"/>
              <w:bottom w:val="single" w:sz="4" w:space="0" w:color="auto"/>
              <w:right w:val="single" w:sz="4" w:space="0" w:color="auto"/>
            </w:tcBorders>
            <w:vAlign w:val="center"/>
          </w:tcPr>
          <w:p w14:paraId="7D9BE370" w14:textId="77777777" w:rsidR="0034449A" w:rsidRPr="00F9575F" w:rsidRDefault="0034449A" w:rsidP="009A2D47">
            <w:pPr>
              <w:spacing w:after="120" w:line="240" w:lineRule="auto"/>
              <w:jc w:val="center"/>
              <w:rPr>
                <w:rFonts w:ascii="Arial Narrow" w:hAnsi="Arial Narrow"/>
                <w:sz w:val="20"/>
                <w:szCs w:val="20"/>
                <w:lang w:val="en-GB"/>
              </w:rPr>
            </w:pPr>
          </w:p>
        </w:tc>
        <w:tc>
          <w:tcPr>
            <w:tcW w:w="3362" w:type="dxa"/>
            <w:tcBorders>
              <w:top w:val="nil"/>
              <w:left w:val="single" w:sz="4" w:space="0" w:color="auto"/>
              <w:bottom w:val="single" w:sz="4" w:space="0" w:color="auto"/>
              <w:right w:val="single" w:sz="4" w:space="0" w:color="auto"/>
            </w:tcBorders>
            <w:vAlign w:val="center"/>
          </w:tcPr>
          <w:p w14:paraId="60714D4D" w14:textId="77777777" w:rsidR="0034449A" w:rsidRPr="00F9575F" w:rsidRDefault="0034449A" w:rsidP="009A2D47">
            <w:pPr>
              <w:spacing w:after="120" w:line="240" w:lineRule="auto"/>
              <w:jc w:val="center"/>
              <w:rPr>
                <w:rFonts w:ascii="Arial Narrow" w:hAnsi="Arial Narrow"/>
                <w:sz w:val="20"/>
                <w:szCs w:val="20"/>
                <w:lang w:val="en-GB"/>
              </w:rPr>
            </w:pPr>
          </w:p>
        </w:tc>
      </w:tr>
      <w:tr w:rsidR="0034449A" w:rsidRPr="009A2D47" w14:paraId="2B66D5DB" w14:textId="77777777" w:rsidTr="009A2D47">
        <w:tc>
          <w:tcPr>
            <w:tcW w:w="2961" w:type="dxa"/>
            <w:tcBorders>
              <w:top w:val="nil"/>
              <w:left w:val="single" w:sz="4" w:space="0" w:color="auto"/>
              <w:bottom w:val="single" w:sz="4" w:space="0" w:color="auto"/>
              <w:right w:val="single" w:sz="4" w:space="0" w:color="auto"/>
            </w:tcBorders>
            <w:vAlign w:val="center"/>
          </w:tcPr>
          <w:p w14:paraId="6548D50F" w14:textId="77777777" w:rsidR="0034449A" w:rsidRPr="00F9575F" w:rsidRDefault="00825890" w:rsidP="009A2D47">
            <w:pPr>
              <w:spacing w:after="120" w:line="240" w:lineRule="auto"/>
              <w:ind w:left="15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 xml:space="preserve">Male </w:t>
            </w:r>
          </w:p>
        </w:tc>
        <w:tc>
          <w:tcPr>
            <w:tcW w:w="3600" w:type="dxa"/>
            <w:tcBorders>
              <w:top w:val="nil"/>
              <w:left w:val="single" w:sz="4" w:space="0" w:color="auto"/>
              <w:bottom w:val="single" w:sz="4" w:space="0" w:color="auto"/>
              <w:right w:val="single" w:sz="4" w:space="0" w:color="auto"/>
            </w:tcBorders>
            <w:vAlign w:val="center"/>
          </w:tcPr>
          <w:p w14:paraId="36228348"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172 / 247 (70%)</w:t>
            </w:r>
          </w:p>
        </w:tc>
        <w:tc>
          <w:tcPr>
            <w:tcW w:w="3362" w:type="dxa"/>
            <w:tcBorders>
              <w:top w:val="nil"/>
              <w:left w:val="single" w:sz="4" w:space="0" w:color="auto"/>
              <w:bottom w:val="single" w:sz="4" w:space="0" w:color="auto"/>
              <w:right w:val="single" w:sz="4" w:space="0" w:color="auto"/>
            </w:tcBorders>
            <w:vAlign w:val="center"/>
          </w:tcPr>
          <w:p w14:paraId="65132B09"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156 / 238 (66%)</w:t>
            </w:r>
          </w:p>
        </w:tc>
      </w:tr>
      <w:tr w:rsidR="0034449A" w:rsidRPr="009A2D47" w14:paraId="2AB92C02" w14:textId="77777777" w:rsidTr="009A2D47">
        <w:tc>
          <w:tcPr>
            <w:tcW w:w="2961" w:type="dxa"/>
            <w:tcBorders>
              <w:top w:val="nil"/>
              <w:left w:val="single" w:sz="4" w:space="0" w:color="auto"/>
              <w:bottom w:val="single" w:sz="4" w:space="0" w:color="auto"/>
              <w:right w:val="single" w:sz="4" w:space="0" w:color="auto"/>
            </w:tcBorders>
            <w:vAlign w:val="center"/>
          </w:tcPr>
          <w:p w14:paraId="23270761" w14:textId="77777777" w:rsidR="0034449A" w:rsidRPr="00F9575F" w:rsidRDefault="00825890" w:rsidP="009A2D47">
            <w:pPr>
              <w:spacing w:after="120" w:line="240" w:lineRule="auto"/>
              <w:ind w:left="152"/>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 xml:space="preserve">Female </w:t>
            </w:r>
          </w:p>
        </w:tc>
        <w:tc>
          <w:tcPr>
            <w:tcW w:w="3600" w:type="dxa"/>
            <w:tcBorders>
              <w:top w:val="nil"/>
              <w:left w:val="single" w:sz="4" w:space="0" w:color="auto"/>
              <w:bottom w:val="single" w:sz="4" w:space="0" w:color="auto"/>
              <w:right w:val="single" w:sz="4" w:space="0" w:color="auto"/>
            </w:tcBorders>
            <w:vAlign w:val="center"/>
          </w:tcPr>
          <w:p w14:paraId="2B52DF65"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79 / 107 (74%)</w:t>
            </w:r>
          </w:p>
        </w:tc>
        <w:tc>
          <w:tcPr>
            <w:tcW w:w="3362" w:type="dxa"/>
            <w:tcBorders>
              <w:top w:val="nil"/>
              <w:left w:val="single" w:sz="4" w:space="0" w:color="auto"/>
              <w:bottom w:val="single" w:sz="4" w:space="0" w:color="auto"/>
              <w:right w:val="single" w:sz="4" w:space="0" w:color="auto"/>
            </w:tcBorders>
            <w:vAlign w:val="center"/>
          </w:tcPr>
          <w:p w14:paraId="2550E04A" w14:textId="77777777" w:rsidR="0034449A" w:rsidRPr="00F9575F" w:rsidRDefault="0034449A" w:rsidP="009A2D47">
            <w:pPr>
              <w:spacing w:after="120" w:line="240" w:lineRule="auto"/>
              <w:jc w:val="center"/>
              <w:rPr>
                <w:rFonts w:ascii="Arial Narrow" w:hAnsi="Arial Narrow"/>
                <w:sz w:val="20"/>
                <w:szCs w:val="20"/>
                <w:lang w:val="en-GB"/>
              </w:rPr>
            </w:pPr>
            <w:r w:rsidRPr="00F9575F">
              <w:rPr>
                <w:rFonts w:ascii="Arial Narrow" w:hAnsi="Arial Narrow"/>
                <w:sz w:val="20"/>
                <w:szCs w:val="20"/>
                <w:lang w:val="en-GB"/>
              </w:rPr>
              <w:t>74 / 123 (60%)</w:t>
            </w:r>
          </w:p>
        </w:tc>
      </w:tr>
      <w:tr w:rsidR="0034449A" w:rsidRPr="009A2D47" w14:paraId="2CDD6A14" w14:textId="77777777" w:rsidTr="009A2D47">
        <w:tc>
          <w:tcPr>
            <w:tcW w:w="2961" w:type="dxa"/>
            <w:tcBorders>
              <w:top w:val="nil"/>
              <w:left w:val="single" w:sz="4" w:space="0" w:color="auto"/>
              <w:bottom w:val="single" w:sz="4" w:space="0" w:color="auto"/>
              <w:right w:val="single" w:sz="4" w:space="0" w:color="auto"/>
            </w:tcBorders>
            <w:vAlign w:val="center"/>
          </w:tcPr>
          <w:p w14:paraId="1CDA1A40"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 xml:space="preserve">Race </w:t>
            </w:r>
          </w:p>
        </w:tc>
        <w:tc>
          <w:tcPr>
            <w:tcW w:w="3600" w:type="dxa"/>
            <w:tcBorders>
              <w:top w:val="nil"/>
              <w:left w:val="single" w:sz="4" w:space="0" w:color="auto"/>
              <w:bottom w:val="single" w:sz="4" w:space="0" w:color="auto"/>
              <w:right w:val="single" w:sz="4" w:space="0" w:color="auto"/>
            </w:tcBorders>
            <w:vAlign w:val="center"/>
          </w:tcPr>
          <w:p w14:paraId="762DD4B3" w14:textId="77777777" w:rsidR="0034449A" w:rsidRPr="00F9575F" w:rsidRDefault="0034449A" w:rsidP="009A2D47">
            <w:pPr>
              <w:spacing w:after="120" w:line="240" w:lineRule="auto"/>
              <w:jc w:val="center"/>
              <w:rPr>
                <w:rFonts w:ascii="Arial Narrow" w:hAnsi="Arial Narrow"/>
                <w:sz w:val="20"/>
                <w:szCs w:val="20"/>
                <w:lang w:val="en-GB"/>
              </w:rPr>
            </w:pPr>
          </w:p>
        </w:tc>
        <w:tc>
          <w:tcPr>
            <w:tcW w:w="3362" w:type="dxa"/>
            <w:tcBorders>
              <w:top w:val="nil"/>
              <w:left w:val="single" w:sz="4" w:space="0" w:color="auto"/>
              <w:bottom w:val="single" w:sz="4" w:space="0" w:color="auto"/>
              <w:right w:val="single" w:sz="4" w:space="0" w:color="auto"/>
            </w:tcBorders>
            <w:vAlign w:val="center"/>
          </w:tcPr>
          <w:p w14:paraId="5745D3DB" w14:textId="77777777" w:rsidR="0034449A" w:rsidRPr="00F9575F" w:rsidRDefault="0034449A" w:rsidP="009A2D47">
            <w:pPr>
              <w:spacing w:after="120" w:line="240" w:lineRule="auto"/>
              <w:jc w:val="center"/>
              <w:rPr>
                <w:rFonts w:ascii="Arial Narrow" w:hAnsi="Arial Narrow"/>
                <w:sz w:val="20"/>
                <w:szCs w:val="20"/>
                <w:lang w:val="en-GB"/>
              </w:rPr>
            </w:pPr>
          </w:p>
        </w:tc>
      </w:tr>
      <w:tr w:rsidR="0034449A" w:rsidRPr="009A2D47" w14:paraId="0B757694" w14:textId="77777777" w:rsidTr="009A2D47">
        <w:tc>
          <w:tcPr>
            <w:tcW w:w="2961" w:type="dxa"/>
            <w:tcBorders>
              <w:top w:val="single" w:sz="4" w:space="0" w:color="auto"/>
              <w:left w:val="single" w:sz="4" w:space="0" w:color="auto"/>
              <w:bottom w:val="nil"/>
              <w:right w:val="single" w:sz="4" w:space="0" w:color="auto"/>
            </w:tcBorders>
            <w:vAlign w:val="center"/>
          </w:tcPr>
          <w:p w14:paraId="453B3BDC" w14:textId="77777777" w:rsidR="0034449A" w:rsidRPr="00F9575F" w:rsidRDefault="00825890" w:rsidP="009A2D47">
            <w:pPr>
              <w:spacing w:after="0" w:line="240" w:lineRule="auto"/>
              <w:ind w:left="158"/>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 xml:space="preserve">White </w:t>
            </w:r>
          </w:p>
        </w:tc>
        <w:tc>
          <w:tcPr>
            <w:tcW w:w="3600" w:type="dxa"/>
            <w:tcBorders>
              <w:top w:val="single" w:sz="4" w:space="0" w:color="auto"/>
              <w:left w:val="single" w:sz="4" w:space="0" w:color="auto"/>
              <w:bottom w:val="nil"/>
              <w:right w:val="single" w:sz="4" w:space="0" w:color="auto"/>
            </w:tcBorders>
            <w:vAlign w:val="center"/>
          </w:tcPr>
          <w:p w14:paraId="0C74426A"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133 / 178 (75%)</w:t>
            </w:r>
          </w:p>
        </w:tc>
        <w:tc>
          <w:tcPr>
            <w:tcW w:w="3362" w:type="dxa"/>
            <w:tcBorders>
              <w:top w:val="single" w:sz="4" w:space="0" w:color="auto"/>
              <w:left w:val="single" w:sz="4" w:space="0" w:color="auto"/>
              <w:bottom w:val="nil"/>
              <w:right w:val="single" w:sz="4" w:space="0" w:color="auto"/>
            </w:tcBorders>
            <w:vAlign w:val="center"/>
          </w:tcPr>
          <w:p w14:paraId="632487AA"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125 / 175 (71%)</w:t>
            </w:r>
          </w:p>
        </w:tc>
      </w:tr>
      <w:tr w:rsidR="0034449A" w:rsidRPr="009A2D47" w14:paraId="74E34EAF" w14:textId="77777777" w:rsidTr="009A2D47">
        <w:tc>
          <w:tcPr>
            <w:tcW w:w="2961" w:type="dxa"/>
            <w:tcBorders>
              <w:top w:val="nil"/>
              <w:left w:val="single" w:sz="4" w:space="0" w:color="auto"/>
              <w:bottom w:val="single" w:sz="4" w:space="0" w:color="auto"/>
              <w:right w:val="single" w:sz="4" w:space="0" w:color="auto"/>
            </w:tcBorders>
            <w:vAlign w:val="center"/>
          </w:tcPr>
          <w:p w14:paraId="3452BBDF" w14:textId="77777777" w:rsidR="0034449A" w:rsidRPr="00F9575F" w:rsidRDefault="0034449A" w:rsidP="009A2D47">
            <w:pPr>
              <w:spacing w:after="0" w:line="240" w:lineRule="auto"/>
              <w:ind w:left="158"/>
              <w:rPr>
                <w:rFonts w:ascii="Arial Narrow" w:hAnsi="Arial Narrow"/>
                <w:sz w:val="20"/>
                <w:szCs w:val="20"/>
                <w:lang w:val="en-GB"/>
              </w:rPr>
            </w:pPr>
            <w:r w:rsidRPr="00F9575F">
              <w:rPr>
                <w:rFonts w:ascii="Arial Narrow" w:hAnsi="Arial Narrow"/>
                <w:sz w:val="20"/>
                <w:szCs w:val="20"/>
                <w:lang w:val="en-GB"/>
              </w:rPr>
              <w:t>African-America/African Heritage/Other</w:t>
            </w:r>
          </w:p>
        </w:tc>
        <w:tc>
          <w:tcPr>
            <w:tcW w:w="3600" w:type="dxa"/>
            <w:tcBorders>
              <w:top w:val="nil"/>
              <w:left w:val="single" w:sz="4" w:space="0" w:color="auto"/>
              <w:bottom w:val="single" w:sz="4" w:space="0" w:color="auto"/>
              <w:right w:val="single" w:sz="4" w:space="0" w:color="auto"/>
            </w:tcBorders>
            <w:vAlign w:val="center"/>
          </w:tcPr>
          <w:p w14:paraId="64FE2503"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118 / 175 (67%)</w:t>
            </w:r>
          </w:p>
        </w:tc>
        <w:tc>
          <w:tcPr>
            <w:tcW w:w="3362" w:type="dxa"/>
            <w:tcBorders>
              <w:top w:val="nil"/>
              <w:left w:val="single" w:sz="4" w:space="0" w:color="auto"/>
              <w:bottom w:val="single" w:sz="4" w:space="0" w:color="auto"/>
              <w:right w:val="single" w:sz="4" w:space="0" w:color="auto"/>
            </w:tcBorders>
            <w:vAlign w:val="center"/>
          </w:tcPr>
          <w:p w14:paraId="04DEDD7A"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105 / 185 (57%)</w:t>
            </w:r>
          </w:p>
        </w:tc>
      </w:tr>
      <w:tr w:rsidR="0034449A" w:rsidRPr="009A2D47" w14:paraId="65896DBB" w14:textId="77777777" w:rsidTr="009A2D47">
        <w:tc>
          <w:tcPr>
            <w:tcW w:w="2961" w:type="dxa"/>
            <w:tcBorders>
              <w:top w:val="single" w:sz="4" w:space="0" w:color="auto"/>
              <w:left w:val="single" w:sz="4" w:space="0" w:color="auto"/>
              <w:bottom w:val="single" w:sz="4" w:space="0" w:color="auto"/>
              <w:right w:val="single" w:sz="4" w:space="0" w:color="auto"/>
            </w:tcBorders>
            <w:vAlign w:val="center"/>
          </w:tcPr>
          <w:p w14:paraId="4F4E86B6"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Age (years)</w:t>
            </w:r>
          </w:p>
        </w:tc>
        <w:tc>
          <w:tcPr>
            <w:tcW w:w="3600" w:type="dxa"/>
            <w:tcBorders>
              <w:top w:val="single" w:sz="4" w:space="0" w:color="auto"/>
              <w:left w:val="single" w:sz="4" w:space="0" w:color="auto"/>
              <w:bottom w:val="single" w:sz="4" w:space="0" w:color="auto"/>
              <w:right w:val="single" w:sz="4" w:space="0" w:color="auto"/>
            </w:tcBorders>
            <w:vAlign w:val="center"/>
          </w:tcPr>
          <w:p w14:paraId="1292C6C4" w14:textId="77777777" w:rsidR="0034449A" w:rsidRPr="00F9575F" w:rsidRDefault="0034449A" w:rsidP="009A2D47">
            <w:pPr>
              <w:spacing w:after="120" w:line="240" w:lineRule="auto"/>
              <w:jc w:val="center"/>
              <w:rPr>
                <w:rFonts w:ascii="Arial Narrow" w:hAnsi="Arial Narrow"/>
                <w:sz w:val="20"/>
                <w:szCs w:val="20"/>
                <w:lang w:val="en-GB"/>
              </w:rPr>
            </w:pPr>
          </w:p>
        </w:tc>
        <w:tc>
          <w:tcPr>
            <w:tcW w:w="3362" w:type="dxa"/>
            <w:tcBorders>
              <w:top w:val="single" w:sz="4" w:space="0" w:color="auto"/>
              <w:left w:val="single" w:sz="4" w:space="0" w:color="auto"/>
              <w:bottom w:val="single" w:sz="4" w:space="0" w:color="auto"/>
              <w:right w:val="single" w:sz="4" w:space="0" w:color="auto"/>
            </w:tcBorders>
            <w:vAlign w:val="center"/>
          </w:tcPr>
          <w:p w14:paraId="23E00E18" w14:textId="77777777" w:rsidR="0034449A" w:rsidRPr="00F9575F" w:rsidRDefault="0034449A" w:rsidP="009A2D47">
            <w:pPr>
              <w:spacing w:after="120" w:line="240" w:lineRule="auto"/>
              <w:jc w:val="center"/>
              <w:rPr>
                <w:rFonts w:ascii="Arial Narrow" w:hAnsi="Arial Narrow"/>
                <w:sz w:val="20"/>
                <w:szCs w:val="20"/>
                <w:lang w:val="en-GB"/>
              </w:rPr>
            </w:pPr>
          </w:p>
        </w:tc>
      </w:tr>
      <w:tr w:rsidR="0034449A" w:rsidRPr="009A2D47" w14:paraId="58012658" w14:textId="77777777" w:rsidTr="009A2D47">
        <w:tc>
          <w:tcPr>
            <w:tcW w:w="2961" w:type="dxa"/>
            <w:tcBorders>
              <w:top w:val="single" w:sz="4" w:space="0" w:color="auto"/>
              <w:left w:val="single" w:sz="4" w:space="0" w:color="auto"/>
              <w:bottom w:val="nil"/>
              <w:right w:val="single" w:sz="4" w:space="0" w:color="auto"/>
            </w:tcBorders>
            <w:vAlign w:val="center"/>
          </w:tcPr>
          <w:p w14:paraId="644395EB" w14:textId="77777777" w:rsidR="0034449A" w:rsidRPr="00F9575F" w:rsidRDefault="00825890" w:rsidP="009A2D47">
            <w:pPr>
              <w:spacing w:after="0" w:line="240" w:lineRule="auto"/>
              <w:ind w:left="158"/>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&lt;50</w:t>
            </w:r>
          </w:p>
        </w:tc>
        <w:tc>
          <w:tcPr>
            <w:tcW w:w="3600" w:type="dxa"/>
            <w:tcBorders>
              <w:top w:val="single" w:sz="4" w:space="0" w:color="auto"/>
              <w:left w:val="single" w:sz="4" w:space="0" w:color="auto"/>
              <w:bottom w:val="nil"/>
              <w:right w:val="single" w:sz="4" w:space="0" w:color="auto"/>
            </w:tcBorders>
            <w:vAlign w:val="center"/>
          </w:tcPr>
          <w:p w14:paraId="0FDB434C"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196 / 269 (73%)</w:t>
            </w:r>
          </w:p>
        </w:tc>
        <w:tc>
          <w:tcPr>
            <w:tcW w:w="3362" w:type="dxa"/>
            <w:tcBorders>
              <w:top w:val="single" w:sz="4" w:space="0" w:color="auto"/>
              <w:left w:val="single" w:sz="4" w:space="0" w:color="auto"/>
              <w:bottom w:val="nil"/>
              <w:right w:val="single" w:sz="4" w:space="0" w:color="auto"/>
            </w:tcBorders>
            <w:vAlign w:val="center"/>
          </w:tcPr>
          <w:p w14:paraId="69B175CD"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172 / 277 (62%)</w:t>
            </w:r>
          </w:p>
        </w:tc>
      </w:tr>
      <w:tr w:rsidR="0034449A" w:rsidRPr="009A2D47" w14:paraId="0D8FF2BD" w14:textId="77777777" w:rsidTr="009A2D47">
        <w:tc>
          <w:tcPr>
            <w:tcW w:w="2961" w:type="dxa"/>
            <w:tcBorders>
              <w:top w:val="nil"/>
              <w:left w:val="single" w:sz="4" w:space="0" w:color="auto"/>
              <w:bottom w:val="single" w:sz="4" w:space="0" w:color="auto"/>
              <w:right w:val="single" w:sz="4" w:space="0" w:color="auto"/>
            </w:tcBorders>
            <w:vAlign w:val="center"/>
          </w:tcPr>
          <w:p w14:paraId="3F28D4E3" w14:textId="77777777" w:rsidR="0034449A" w:rsidRPr="00F9575F" w:rsidRDefault="00825890" w:rsidP="009A2D47">
            <w:pPr>
              <w:spacing w:after="0" w:line="240" w:lineRule="auto"/>
              <w:ind w:left="158"/>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sym w:font="Symbol" w:char="F0B3"/>
            </w:r>
            <w:r w:rsidR="0034449A" w:rsidRPr="00F9575F">
              <w:rPr>
                <w:rFonts w:ascii="Arial Narrow" w:hAnsi="Arial Narrow"/>
                <w:sz w:val="20"/>
                <w:szCs w:val="20"/>
                <w:lang w:val="en-GB"/>
              </w:rPr>
              <w:t>50</w:t>
            </w:r>
          </w:p>
        </w:tc>
        <w:tc>
          <w:tcPr>
            <w:tcW w:w="3600" w:type="dxa"/>
            <w:tcBorders>
              <w:top w:val="nil"/>
              <w:left w:val="single" w:sz="4" w:space="0" w:color="auto"/>
              <w:bottom w:val="single" w:sz="4" w:space="0" w:color="auto"/>
              <w:right w:val="single" w:sz="4" w:space="0" w:color="auto"/>
            </w:tcBorders>
            <w:vAlign w:val="center"/>
          </w:tcPr>
          <w:p w14:paraId="1C7BD6EB"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55 / 85 (65%)</w:t>
            </w:r>
          </w:p>
        </w:tc>
        <w:tc>
          <w:tcPr>
            <w:tcW w:w="3362" w:type="dxa"/>
            <w:tcBorders>
              <w:top w:val="nil"/>
              <w:left w:val="single" w:sz="4" w:space="0" w:color="auto"/>
              <w:bottom w:val="single" w:sz="4" w:space="0" w:color="auto"/>
              <w:right w:val="single" w:sz="4" w:space="0" w:color="auto"/>
            </w:tcBorders>
            <w:vAlign w:val="center"/>
          </w:tcPr>
          <w:p w14:paraId="55F0AFAA"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58 / 84 (69%)</w:t>
            </w:r>
          </w:p>
        </w:tc>
      </w:tr>
      <w:tr w:rsidR="0034449A" w:rsidRPr="009A2D47" w14:paraId="41FF6A63" w14:textId="77777777" w:rsidTr="009A2D47">
        <w:trPr>
          <w:trHeight w:val="103"/>
        </w:trPr>
        <w:tc>
          <w:tcPr>
            <w:tcW w:w="2961" w:type="dxa"/>
            <w:tcBorders>
              <w:top w:val="single" w:sz="4" w:space="0" w:color="auto"/>
              <w:left w:val="single" w:sz="4" w:space="0" w:color="auto"/>
              <w:bottom w:val="single" w:sz="4" w:space="0" w:color="auto"/>
              <w:right w:val="single" w:sz="4" w:space="0" w:color="auto"/>
            </w:tcBorders>
            <w:vAlign w:val="center"/>
          </w:tcPr>
          <w:p w14:paraId="665FF84D" w14:textId="77777777" w:rsidR="0034449A" w:rsidRPr="00F9575F" w:rsidRDefault="0034449A" w:rsidP="009A2D47">
            <w:pPr>
              <w:spacing w:after="120" w:line="240" w:lineRule="auto"/>
              <w:rPr>
                <w:rFonts w:ascii="Arial Narrow" w:hAnsi="Arial Narrow"/>
                <w:b/>
                <w:sz w:val="20"/>
                <w:szCs w:val="20"/>
                <w:lang w:val="en-GB"/>
              </w:rPr>
            </w:pPr>
            <w:r w:rsidRPr="00F9575F">
              <w:rPr>
                <w:rFonts w:ascii="Arial Narrow" w:hAnsi="Arial Narrow"/>
                <w:b/>
                <w:sz w:val="20"/>
                <w:szCs w:val="20"/>
                <w:lang w:val="en-GB"/>
              </w:rPr>
              <w:t xml:space="preserve">HIV sub type </w:t>
            </w:r>
          </w:p>
        </w:tc>
        <w:tc>
          <w:tcPr>
            <w:tcW w:w="3600" w:type="dxa"/>
            <w:tcBorders>
              <w:top w:val="single" w:sz="4" w:space="0" w:color="auto"/>
              <w:left w:val="single" w:sz="4" w:space="0" w:color="auto"/>
              <w:bottom w:val="single" w:sz="4" w:space="0" w:color="auto"/>
              <w:right w:val="single" w:sz="4" w:space="0" w:color="auto"/>
            </w:tcBorders>
            <w:vAlign w:val="center"/>
          </w:tcPr>
          <w:p w14:paraId="0AC5924B" w14:textId="77777777" w:rsidR="0034449A" w:rsidRPr="00F9575F" w:rsidRDefault="0034449A" w:rsidP="009A2D47">
            <w:pPr>
              <w:spacing w:after="120" w:line="240" w:lineRule="auto"/>
              <w:jc w:val="center"/>
              <w:rPr>
                <w:rFonts w:ascii="Arial Narrow" w:hAnsi="Arial Narrow"/>
                <w:sz w:val="20"/>
                <w:szCs w:val="20"/>
                <w:lang w:val="en-GB"/>
              </w:rPr>
            </w:pPr>
          </w:p>
        </w:tc>
        <w:tc>
          <w:tcPr>
            <w:tcW w:w="3362" w:type="dxa"/>
            <w:tcBorders>
              <w:top w:val="single" w:sz="4" w:space="0" w:color="auto"/>
              <w:left w:val="single" w:sz="4" w:space="0" w:color="auto"/>
              <w:bottom w:val="single" w:sz="4" w:space="0" w:color="auto"/>
              <w:right w:val="single" w:sz="4" w:space="0" w:color="auto"/>
            </w:tcBorders>
            <w:vAlign w:val="center"/>
          </w:tcPr>
          <w:p w14:paraId="588A056F" w14:textId="77777777" w:rsidR="0034449A" w:rsidRPr="00F9575F" w:rsidRDefault="0034449A" w:rsidP="009A2D47">
            <w:pPr>
              <w:spacing w:after="120" w:line="240" w:lineRule="auto"/>
              <w:jc w:val="center"/>
              <w:rPr>
                <w:rFonts w:ascii="Arial Narrow" w:hAnsi="Arial Narrow"/>
                <w:sz w:val="20"/>
                <w:szCs w:val="20"/>
                <w:lang w:val="en-GB"/>
              </w:rPr>
            </w:pPr>
          </w:p>
        </w:tc>
      </w:tr>
      <w:tr w:rsidR="0034449A" w:rsidRPr="009A2D47" w14:paraId="7D192DC3" w14:textId="77777777" w:rsidTr="009A2D47">
        <w:tc>
          <w:tcPr>
            <w:tcW w:w="2961" w:type="dxa"/>
            <w:tcBorders>
              <w:top w:val="single" w:sz="4" w:space="0" w:color="auto"/>
              <w:left w:val="single" w:sz="4" w:space="0" w:color="auto"/>
              <w:bottom w:val="nil"/>
              <w:right w:val="single" w:sz="4" w:space="0" w:color="auto"/>
            </w:tcBorders>
            <w:vAlign w:val="center"/>
          </w:tcPr>
          <w:p w14:paraId="7EA1237D" w14:textId="77777777" w:rsidR="0034449A" w:rsidRPr="00F9575F" w:rsidRDefault="00825890" w:rsidP="009A2D47">
            <w:pPr>
              <w:spacing w:after="0" w:line="240" w:lineRule="auto"/>
              <w:ind w:left="158"/>
              <w:rPr>
                <w:rFonts w:ascii="Arial Narrow" w:hAnsi="Arial Narrow"/>
                <w:b/>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Clade B</w:t>
            </w:r>
          </w:p>
        </w:tc>
        <w:tc>
          <w:tcPr>
            <w:tcW w:w="3600" w:type="dxa"/>
            <w:tcBorders>
              <w:top w:val="single" w:sz="4" w:space="0" w:color="auto"/>
              <w:left w:val="single" w:sz="4" w:space="0" w:color="auto"/>
              <w:bottom w:val="nil"/>
              <w:right w:val="single" w:sz="4" w:space="0" w:color="auto"/>
            </w:tcBorders>
            <w:vAlign w:val="center"/>
          </w:tcPr>
          <w:p w14:paraId="06DB7636"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173 / 241 (72%)</w:t>
            </w:r>
          </w:p>
        </w:tc>
        <w:tc>
          <w:tcPr>
            <w:tcW w:w="3362" w:type="dxa"/>
            <w:tcBorders>
              <w:top w:val="single" w:sz="4" w:space="0" w:color="auto"/>
              <w:left w:val="single" w:sz="4" w:space="0" w:color="auto"/>
              <w:bottom w:val="nil"/>
              <w:right w:val="single" w:sz="4" w:space="0" w:color="auto"/>
            </w:tcBorders>
            <w:vAlign w:val="center"/>
          </w:tcPr>
          <w:p w14:paraId="2C52BC93"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159 / 246 (65%)</w:t>
            </w:r>
          </w:p>
        </w:tc>
      </w:tr>
      <w:tr w:rsidR="0034449A" w:rsidRPr="009A2D47" w14:paraId="16827DCB" w14:textId="77777777" w:rsidTr="009A2D47">
        <w:tc>
          <w:tcPr>
            <w:tcW w:w="2961" w:type="dxa"/>
            <w:tcBorders>
              <w:top w:val="nil"/>
              <w:left w:val="single" w:sz="4" w:space="0" w:color="auto"/>
              <w:bottom w:val="nil"/>
              <w:right w:val="single" w:sz="4" w:space="0" w:color="auto"/>
            </w:tcBorders>
            <w:vAlign w:val="center"/>
          </w:tcPr>
          <w:p w14:paraId="49FD944A" w14:textId="77777777" w:rsidR="0034449A" w:rsidRPr="00F9575F" w:rsidRDefault="00825890" w:rsidP="009A2D47">
            <w:pPr>
              <w:spacing w:after="0" w:line="240" w:lineRule="auto"/>
              <w:ind w:left="158"/>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Clade C</w:t>
            </w:r>
          </w:p>
        </w:tc>
        <w:tc>
          <w:tcPr>
            <w:tcW w:w="3600" w:type="dxa"/>
            <w:tcBorders>
              <w:top w:val="nil"/>
              <w:left w:val="single" w:sz="4" w:space="0" w:color="auto"/>
              <w:bottom w:val="nil"/>
              <w:right w:val="single" w:sz="4" w:space="0" w:color="auto"/>
            </w:tcBorders>
            <w:vAlign w:val="center"/>
          </w:tcPr>
          <w:p w14:paraId="202EBDDE"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34 / 55 (62%)</w:t>
            </w:r>
          </w:p>
        </w:tc>
        <w:tc>
          <w:tcPr>
            <w:tcW w:w="3362" w:type="dxa"/>
            <w:tcBorders>
              <w:top w:val="nil"/>
              <w:left w:val="single" w:sz="4" w:space="0" w:color="auto"/>
              <w:bottom w:val="nil"/>
              <w:right w:val="single" w:sz="4" w:space="0" w:color="auto"/>
            </w:tcBorders>
            <w:vAlign w:val="center"/>
          </w:tcPr>
          <w:p w14:paraId="3C369F1A"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29 / 48 (60%)</w:t>
            </w:r>
          </w:p>
        </w:tc>
      </w:tr>
      <w:tr w:rsidR="0034449A" w:rsidRPr="009A2D47" w14:paraId="3B399128" w14:textId="77777777" w:rsidTr="009A2D47">
        <w:tc>
          <w:tcPr>
            <w:tcW w:w="2961" w:type="dxa"/>
            <w:tcBorders>
              <w:top w:val="nil"/>
              <w:left w:val="single" w:sz="4" w:space="0" w:color="auto"/>
              <w:bottom w:val="single" w:sz="4" w:space="0" w:color="auto"/>
              <w:right w:val="single" w:sz="4" w:space="0" w:color="auto"/>
            </w:tcBorders>
            <w:vAlign w:val="center"/>
          </w:tcPr>
          <w:p w14:paraId="272083F4" w14:textId="77777777" w:rsidR="0034449A" w:rsidRPr="00F9575F" w:rsidRDefault="00825890" w:rsidP="009A2D47">
            <w:pPr>
              <w:spacing w:after="0" w:line="240" w:lineRule="auto"/>
              <w:ind w:left="158"/>
              <w:rPr>
                <w:rFonts w:ascii="Arial Narrow" w:hAnsi="Arial Narrow"/>
                <w:sz w:val="20"/>
                <w:szCs w:val="20"/>
                <w:lang w:val="en-GB"/>
              </w:rPr>
            </w:pPr>
            <w:r w:rsidRPr="00F9575F">
              <w:rPr>
                <w:rFonts w:ascii="Arial Narrow" w:hAnsi="Arial Narrow"/>
                <w:sz w:val="20"/>
                <w:szCs w:val="20"/>
                <w:lang w:val="en-GB"/>
              </w:rPr>
              <w:t xml:space="preserve"> </w:t>
            </w:r>
            <w:r w:rsidR="0034449A" w:rsidRPr="00F9575F">
              <w:rPr>
                <w:rFonts w:ascii="Arial Narrow" w:hAnsi="Arial Narrow"/>
                <w:sz w:val="20"/>
                <w:szCs w:val="20"/>
                <w:lang w:val="en-GB"/>
              </w:rPr>
              <w:t>Other†</w:t>
            </w:r>
          </w:p>
        </w:tc>
        <w:tc>
          <w:tcPr>
            <w:tcW w:w="3600" w:type="dxa"/>
            <w:tcBorders>
              <w:top w:val="nil"/>
              <w:left w:val="single" w:sz="4" w:space="0" w:color="auto"/>
              <w:bottom w:val="single" w:sz="4" w:space="0" w:color="auto"/>
              <w:right w:val="single" w:sz="4" w:space="0" w:color="auto"/>
            </w:tcBorders>
            <w:vAlign w:val="center"/>
          </w:tcPr>
          <w:p w14:paraId="2572EBC1"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43 / 57 (75%)</w:t>
            </w:r>
          </w:p>
        </w:tc>
        <w:tc>
          <w:tcPr>
            <w:tcW w:w="3362" w:type="dxa"/>
            <w:tcBorders>
              <w:top w:val="nil"/>
              <w:left w:val="single" w:sz="4" w:space="0" w:color="auto"/>
              <w:bottom w:val="single" w:sz="4" w:space="0" w:color="auto"/>
              <w:right w:val="single" w:sz="4" w:space="0" w:color="auto"/>
            </w:tcBorders>
            <w:vAlign w:val="center"/>
          </w:tcPr>
          <w:p w14:paraId="44CB02DC" w14:textId="77777777" w:rsidR="0034449A" w:rsidRPr="00F9575F" w:rsidRDefault="0034449A" w:rsidP="009A2D47">
            <w:pPr>
              <w:spacing w:after="0" w:line="240" w:lineRule="auto"/>
              <w:jc w:val="center"/>
              <w:rPr>
                <w:rFonts w:ascii="Arial Narrow" w:hAnsi="Arial Narrow"/>
                <w:sz w:val="20"/>
                <w:szCs w:val="20"/>
                <w:lang w:val="en-GB"/>
              </w:rPr>
            </w:pPr>
            <w:r w:rsidRPr="00F9575F">
              <w:rPr>
                <w:rFonts w:ascii="Arial Narrow" w:hAnsi="Arial Narrow"/>
                <w:sz w:val="20"/>
                <w:szCs w:val="20"/>
                <w:lang w:val="en-GB"/>
              </w:rPr>
              <w:t>42 / 67 (63%)</w:t>
            </w:r>
          </w:p>
        </w:tc>
      </w:tr>
      <w:tr w:rsidR="0034449A" w:rsidRPr="00D4563C" w14:paraId="30B273DE" w14:textId="77777777" w:rsidTr="0034449A">
        <w:tc>
          <w:tcPr>
            <w:tcW w:w="9923" w:type="dxa"/>
            <w:gridSpan w:val="3"/>
            <w:tcBorders>
              <w:bottom w:val="single" w:sz="4" w:space="0" w:color="auto"/>
            </w:tcBorders>
          </w:tcPr>
          <w:p w14:paraId="2A828034" w14:textId="77777777" w:rsidR="0034449A" w:rsidRPr="009A2D47" w:rsidRDefault="0034449A" w:rsidP="009A2D47">
            <w:pPr>
              <w:spacing w:after="0" w:line="240" w:lineRule="auto"/>
              <w:rPr>
                <w:rFonts w:ascii="Arial Narrow" w:hAnsi="Arial Narrow"/>
                <w:sz w:val="20"/>
                <w:szCs w:val="20"/>
                <w:lang w:val="en-GB"/>
              </w:rPr>
            </w:pPr>
            <w:r w:rsidRPr="009A2D47">
              <w:rPr>
                <w:rFonts w:ascii="Arial Narrow" w:hAnsi="Arial Narrow"/>
                <w:sz w:val="20"/>
                <w:szCs w:val="20"/>
                <w:lang w:val="en-GB"/>
              </w:rPr>
              <w:t>‡ Adjusted for baseline stratification factors</w:t>
            </w:r>
            <w:r w:rsidR="00FE7127" w:rsidRPr="009A2D47">
              <w:rPr>
                <w:rFonts w:ascii="Arial Narrow" w:hAnsi="Arial Narrow"/>
                <w:sz w:val="20"/>
                <w:szCs w:val="20"/>
                <w:lang w:val="en-GB"/>
              </w:rPr>
              <w:t>.</w:t>
            </w:r>
          </w:p>
          <w:p w14:paraId="6B7D081B" w14:textId="77777777" w:rsidR="0034449A" w:rsidRPr="009A2D47" w:rsidRDefault="0034449A" w:rsidP="009A2D47">
            <w:pPr>
              <w:spacing w:after="0" w:line="240" w:lineRule="auto"/>
              <w:rPr>
                <w:rFonts w:ascii="Arial Narrow" w:hAnsi="Arial Narrow"/>
                <w:sz w:val="20"/>
                <w:szCs w:val="20"/>
                <w:lang w:val="en-GB"/>
              </w:rPr>
            </w:pPr>
            <w:r w:rsidRPr="009A2D47">
              <w:rPr>
                <w:rFonts w:ascii="Arial Narrow" w:hAnsi="Arial Narrow"/>
                <w:sz w:val="20"/>
                <w:szCs w:val="20"/>
                <w:lang w:val="en-GB"/>
              </w:rPr>
              <w:lastRenderedPageBreak/>
              <w:t>§ 4 patients were excluded from the efficacy analysis due to d</w:t>
            </w:r>
            <w:r w:rsidR="00FE7127" w:rsidRPr="009A2D47">
              <w:rPr>
                <w:rFonts w:ascii="Arial Narrow" w:hAnsi="Arial Narrow"/>
                <w:sz w:val="20"/>
                <w:szCs w:val="20"/>
                <w:lang w:val="en-GB"/>
              </w:rPr>
              <w:t>ata integrity at one study site.</w:t>
            </w:r>
          </w:p>
          <w:p w14:paraId="36ACDD02" w14:textId="77777777" w:rsidR="0034449A" w:rsidRPr="009A2D47" w:rsidRDefault="0034449A" w:rsidP="009A2D47">
            <w:pPr>
              <w:spacing w:after="0" w:line="240" w:lineRule="auto"/>
              <w:rPr>
                <w:rFonts w:ascii="Arial Narrow" w:hAnsi="Arial Narrow"/>
                <w:sz w:val="20"/>
                <w:szCs w:val="20"/>
                <w:lang w:val="en-GB"/>
              </w:rPr>
            </w:pPr>
            <w:r w:rsidRPr="009A2D47">
              <w:rPr>
                <w:rFonts w:ascii="Arial Narrow" w:hAnsi="Arial Narrow"/>
                <w:sz w:val="20"/>
                <w:szCs w:val="20"/>
                <w:lang w:val="en-GB"/>
              </w:rPr>
              <w:t>*The Phenotypic Susceptibility Score (PSS) and the Genotypic Susceptibility Score (GSS) were defined as the total number of ARTs in BR to which a patient’s viral isolate showed susceptibility at baseline based upon phenotypic or genotypic resistance tests.</w:t>
            </w:r>
            <w:r w:rsidR="00825890" w:rsidRPr="009A2D47">
              <w:rPr>
                <w:rFonts w:ascii="Arial Narrow" w:hAnsi="Arial Narrow"/>
                <w:sz w:val="20"/>
                <w:szCs w:val="20"/>
                <w:lang w:val="en-GB"/>
              </w:rPr>
              <w:t xml:space="preserve"> </w:t>
            </w:r>
            <w:r w:rsidRPr="009A2D47">
              <w:rPr>
                <w:rFonts w:ascii="Arial Narrow" w:hAnsi="Arial Narrow"/>
                <w:sz w:val="20"/>
                <w:szCs w:val="20"/>
                <w:lang w:val="en-GB"/>
              </w:rPr>
              <w:t xml:space="preserve">Background regimen was restricted to </w:t>
            </w:r>
            <w:r w:rsidRPr="009A2D47">
              <w:rPr>
                <w:rFonts w:ascii="Arial Narrow" w:hAnsi="Arial Narrow"/>
                <w:sz w:val="20"/>
                <w:szCs w:val="20"/>
                <w:lang w:val="en-GB"/>
              </w:rPr>
              <w:sym w:font="Symbol" w:char="F0A3"/>
            </w:r>
            <w:r w:rsidRPr="009A2D47">
              <w:rPr>
                <w:rFonts w:ascii="Arial Narrow" w:hAnsi="Arial Narrow"/>
                <w:sz w:val="20"/>
                <w:szCs w:val="20"/>
                <w:lang w:val="en-GB"/>
              </w:rPr>
              <w:t xml:space="preserve"> 2 ART with at least one fully active agent, however, n=11 PSS 0, n=2 PSS 3.</w:t>
            </w:r>
          </w:p>
          <w:p w14:paraId="20A77078" w14:textId="77777777" w:rsidR="0034449A" w:rsidRPr="009A2D47" w:rsidRDefault="0034449A" w:rsidP="009A2D47">
            <w:pPr>
              <w:spacing w:after="0" w:line="240" w:lineRule="auto"/>
              <w:rPr>
                <w:rFonts w:ascii="Arial Narrow" w:hAnsi="Arial Narrow"/>
                <w:sz w:val="20"/>
                <w:szCs w:val="20"/>
                <w:lang w:val="en-GB"/>
              </w:rPr>
            </w:pPr>
            <w:r w:rsidRPr="009A2D47">
              <w:rPr>
                <w:rFonts w:ascii="Arial Narrow" w:hAnsi="Arial Narrow"/>
                <w:sz w:val="20"/>
                <w:szCs w:val="20"/>
                <w:lang w:val="en-GB"/>
              </w:rPr>
              <w:t>¶ Treatment Differences (95% CIs) for stratification factor DRV/r use without primary PI mutations: for category “No”: 9.3% (1.6%, 17.0%), for category “Yes”: -0.7% (-15.4%, 14.1%)</w:t>
            </w:r>
            <w:r w:rsidR="00FE7127" w:rsidRPr="009A2D47">
              <w:rPr>
                <w:rFonts w:ascii="Arial Narrow" w:hAnsi="Arial Narrow"/>
                <w:sz w:val="20"/>
                <w:szCs w:val="20"/>
                <w:lang w:val="en-GB"/>
              </w:rPr>
              <w:t>.</w:t>
            </w:r>
          </w:p>
          <w:p w14:paraId="52925DCB" w14:textId="77777777" w:rsidR="0034449A" w:rsidRPr="009A2D47" w:rsidRDefault="0034449A" w:rsidP="009A2D47">
            <w:pPr>
              <w:spacing w:after="0" w:line="240" w:lineRule="auto"/>
              <w:rPr>
                <w:rFonts w:ascii="Arial Narrow" w:hAnsi="Arial Narrow"/>
                <w:sz w:val="20"/>
                <w:szCs w:val="20"/>
                <w:lang w:val="en-GB"/>
              </w:rPr>
            </w:pPr>
            <w:r w:rsidRPr="009A2D47">
              <w:rPr>
                <w:rFonts w:ascii="Arial Narrow" w:hAnsi="Arial Narrow"/>
                <w:sz w:val="20"/>
                <w:szCs w:val="20"/>
                <w:lang w:val="en-GB"/>
              </w:rPr>
              <w:t>†Other clades included: Complex (n=42), F1 (n=32), A1 (n=18), BF (n=14), all others n &lt;10.</w:t>
            </w:r>
          </w:p>
          <w:p w14:paraId="54252969" w14:textId="77777777" w:rsidR="0034449A" w:rsidRPr="009A2D47" w:rsidRDefault="0034449A" w:rsidP="009A2D47">
            <w:pPr>
              <w:spacing w:after="0" w:line="240" w:lineRule="auto"/>
              <w:rPr>
                <w:rFonts w:ascii="Arial Narrow" w:hAnsi="Arial Narrow"/>
                <w:lang w:val="en-GB"/>
              </w:rPr>
            </w:pPr>
            <w:r w:rsidRPr="009A2D47">
              <w:rPr>
                <w:rFonts w:ascii="Arial Narrow" w:hAnsi="Arial Narrow"/>
                <w:sz w:val="20"/>
                <w:szCs w:val="20"/>
                <w:lang w:val="en-GB"/>
              </w:rPr>
              <w:t xml:space="preserve">Notes: BR = background regimen, RAL = </w:t>
            </w:r>
            <w:proofErr w:type="spellStart"/>
            <w:r w:rsidRPr="009A2D47">
              <w:rPr>
                <w:rFonts w:ascii="Arial Narrow" w:hAnsi="Arial Narrow"/>
                <w:sz w:val="20"/>
                <w:szCs w:val="20"/>
                <w:lang w:val="en-GB"/>
              </w:rPr>
              <w:t>raltegravir</w:t>
            </w:r>
            <w:proofErr w:type="spellEnd"/>
            <w:r w:rsidRPr="009A2D47">
              <w:rPr>
                <w:rFonts w:ascii="Arial Narrow" w:hAnsi="Arial Narrow"/>
                <w:sz w:val="20"/>
                <w:szCs w:val="20"/>
                <w:lang w:val="en-GB"/>
              </w:rPr>
              <w:t>; N = Number of patients in each treatment group</w:t>
            </w:r>
            <w:r w:rsidR="00FE7127" w:rsidRPr="009A2D47">
              <w:rPr>
                <w:rFonts w:ascii="Arial Narrow" w:hAnsi="Arial Narrow"/>
                <w:sz w:val="20"/>
                <w:szCs w:val="20"/>
                <w:lang w:val="en-GB"/>
              </w:rPr>
              <w:t>.</w:t>
            </w:r>
          </w:p>
        </w:tc>
      </w:tr>
    </w:tbl>
    <w:p w14:paraId="3B22528A" w14:textId="77777777" w:rsidR="00E65116" w:rsidRDefault="00E65116" w:rsidP="00DD3ACA">
      <w:pPr>
        <w:rPr>
          <w:b/>
          <w:bCs/>
        </w:rPr>
      </w:pPr>
    </w:p>
    <w:p w14:paraId="18A5DD1F" w14:textId="6844D1FB" w:rsidR="00F82573" w:rsidRDefault="00D04C3D" w:rsidP="00DD3ACA">
      <w:r w:rsidRPr="008F1F07">
        <w:rPr>
          <w:b/>
          <w:bCs/>
        </w:rPr>
        <w:t xml:space="preserve">Integrase </w:t>
      </w:r>
      <w:r w:rsidR="006F5B92" w:rsidRPr="008F1F07">
        <w:rPr>
          <w:b/>
          <w:bCs/>
        </w:rPr>
        <w:t>inhibitor resistant patients</w:t>
      </w:r>
      <w:r w:rsidRPr="00D4563C">
        <w:br/>
        <w:t xml:space="preserve">In the phase IIb, </w:t>
      </w:r>
      <w:r w:rsidR="008F1F07">
        <w:t>international multicentre, open-</w:t>
      </w:r>
      <w:r w:rsidRPr="00D4563C">
        <w:t>label, sing</w:t>
      </w:r>
      <w:r w:rsidR="008F1F07">
        <w:t>le-</w:t>
      </w:r>
      <w:r w:rsidRPr="00D4563C">
        <w:t>arm, non</w:t>
      </w:r>
      <w:r w:rsidR="008F1F07">
        <w:t>-</w:t>
      </w:r>
      <w:r w:rsidRPr="00D4563C">
        <w:t xml:space="preserve">comparative sequential cohort VIKING pilot study (ING112961), two sequential cohorts of patients with multiclass resistance including resistance to HIV integrase inhibitors were enrolled to examine the antiviral activity of </w:t>
      </w:r>
      <w:r w:rsidR="000329AF">
        <w:t>a</w:t>
      </w:r>
      <w:r w:rsidR="000329AF" w:rsidRPr="00D4563C">
        <w:t xml:space="preserve"> </w:t>
      </w:r>
      <w:r w:rsidRPr="00D4563C">
        <w:t xml:space="preserve">50 mg </w:t>
      </w:r>
      <w:r w:rsidR="000329AF">
        <w:t xml:space="preserve">dose of film-coated tablets </w:t>
      </w:r>
      <w:r w:rsidRPr="00D4563C">
        <w:t>once daily (n = 27) vs.</w:t>
      </w:r>
      <w:r w:rsidR="000329AF">
        <w:t xml:space="preserve"> a</w:t>
      </w:r>
      <w:r w:rsidRPr="00D4563C">
        <w:t xml:space="preserve"> 50 mg </w:t>
      </w:r>
      <w:r w:rsidR="000329AF">
        <w:t xml:space="preserve">dose of dolutegravir film-coated tablets </w:t>
      </w:r>
      <w:r w:rsidRPr="00D4563C">
        <w:t xml:space="preserve">twice daily (n = 24) after 10 days of functional monotherapy. Responses were greater with twice daily (1.8 log10 change from baseline in HIV RNA) than with once daily dosing (1.5 log10 change from baseline, adjusted difference 0.3 log10, p = 0.017). Higher response rates with twice daily dosing were maintained with continued </w:t>
      </w:r>
      <w:r w:rsidR="00FF0934" w:rsidRPr="00D4563C">
        <w:t>TIVICAY</w:t>
      </w:r>
      <w:r w:rsidRPr="00D4563C">
        <w:t xml:space="preserve"> dosing and optimization of the background regimen through 48 weeks of therapy (33% vs. 71% &lt; 50 copies/mL, intent-to-treat exposed (ITT-E) population TLOVR analysis). A comparable safety profile was observed across doses. Subsequently, VIKING-3 examined the effect of </w:t>
      </w:r>
      <w:r w:rsidR="00FF0934" w:rsidRPr="00D4563C">
        <w:t>TIVICAY</w:t>
      </w:r>
      <w:r w:rsidRPr="00D4563C">
        <w:t xml:space="preserve"> 50 mg </w:t>
      </w:r>
      <w:r w:rsidR="000329AF">
        <w:t xml:space="preserve">film-coated tablets </w:t>
      </w:r>
      <w:r w:rsidRPr="00D4563C">
        <w:t xml:space="preserve">twice daily over 7 days of functional monotherapy, followed by optimised background therapy and continued </w:t>
      </w:r>
      <w:r w:rsidR="00FF0934" w:rsidRPr="00D4563C">
        <w:t>TIVICAY</w:t>
      </w:r>
      <w:r w:rsidRPr="00D4563C">
        <w:t xml:space="preserve"> twice daily treat</w:t>
      </w:r>
      <w:r w:rsidR="00F82573">
        <w:t>ment.</w:t>
      </w:r>
    </w:p>
    <w:p w14:paraId="2E20BF43" w14:textId="11E71486" w:rsidR="00F82573" w:rsidRDefault="008F1F07" w:rsidP="00DD3ACA">
      <w:r>
        <w:t>In the multicentre, open-label, single-</w:t>
      </w:r>
      <w:r w:rsidR="00D04C3D" w:rsidRPr="00D4563C">
        <w:t>arm, non</w:t>
      </w:r>
      <w:r>
        <w:t>-</w:t>
      </w:r>
      <w:r w:rsidR="00D04C3D" w:rsidRPr="00D4563C">
        <w:t>comparative VIKING-3 study (</w:t>
      </w:r>
      <w:r>
        <w:t>ING112574), HIV-1 infected, ART-</w:t>
      </w:r>
      <w:r w:rsidR="00D04C3D" w:rsidRPr="00D4563C">
        <w:t xml:space="preserve">experienced adults with virological failure and current or historical evidence of </w:t>
      </w:r>
      <w:proofErr w:type="spellStart"/>
      <w:r w:rsidR="00D04C3D" w:rsidRPr="00D4563C">
        <w:t>raltegravir</w:t>
      </w:r>
      <w:proofErr w:type="spellEnd"/>
      <w:r w:rsidR="00D04C3D" w:rsidRPr="00D4563C">
        <w:t xml:space="preserve"> and/or elvitegravir resistance received </w:t>
      </w:r>
      <w:r w:rsidR="00FF0934" w:rsidRPr="00D4563C">
        <w:t>TIVICAY</w:t>
      </w:r>
      <w:r w:rsidR="00D04C3D" w:rsidRPr="00D4563C">
        <w:t xml:space="preserve"> 50 mg twice daily with the current failing background regimen for 7 days but with optimised background ART fro</w:t>
      </w:r>
      <w:r>
        <w:t>m day 8. One hundred and eighty-</w:t>
      </w:r>
      <w:r w:rsidR="00D04C3D" w:rsidRPr="00D4563C">
        <w:t xml:space="preserve">three </w:t>
      </w:r>
      <w:r>
        <w:t>patients enrolled, 133 with INI-</w:t>
      </w:r>
      <w:r w:rsidR="00D04C3D" w:rsidRPr="00D4563C">
        <w:t>resistance at screening and 50 with only historical evidence of resistanc</w:t>
      </w:r>
      <w:r>
        <w:t>e (and not at s</w:t>
      </w:r>
      <w:r w:rsidR="00D04C3D" w:rsidRPr="00D4563C">
        <w:t>creening). At baseline, median patient age was 48 years, 23% were female, 29% non</w:t>
      </w:r>
      <w:r w:rsidR="00FE7127">
        <w:t>-</w:t>
      </w:r>
      <w:r w:rsidR="00D04C3D" w:rsidRPr="00D4563C">
        <w:t>white, and 20% had hepatitis B and/or C co</w:t>
      </w:r>
      <w:r>
        <w:t>-</w:t>
      </w:r>
      <w:r w:rsidR="00D04C3D" w:rsidRPr="00D4563C">
        <w:t>infection. Median baseline CD4</w:t>
      </w:r>
      <w:r w:rsidR="005D7F85">
        <w:t>+</w:t>
      </w:r>
      <w:r w:rsidR="00D04C3D" w:rsidRPr="00D4563C">
        <w:t xml:space="preserve"> was 140 cells/mm</w:t>
      </w:r>
      <w:r w:rsidR="00D04C3D" w:rsidRPr="00D4563C">
        <w:rPr>
          <w:vertAlign w:val="superscript"/>
        </w:rPr>
        <w:t>3</w:t>
      </w:r>
      <w:r w:rsidR="00D04C3D" w:rsidRPr="00D4563C">
        <w:t xml:space="preserve">, median duration of prior ART </w:t>
      </w:r>
      <w:r>
        <w:t>was 14 years, and 56% were CDC C</w:t>
      </w:r>
      <w:r w:rsidR="00D04C3D" w:rsidRPr="00D4563C">
        <w:t xml:space="preserve">lass C. Patients showed multiple class ART resistance at baseline: 79% had ≥ 2 NRTI, 75% ≥ 1 NNRTI, and 71% ≥ 2 PI major mutations; 62% had non-R5 virus. The Virological Outcome (VO) population excluded patients who stopped therapy for non-efficacy reasons, and those with major protocol deviations (incorrect dolutegravir dosing, intake of prohibited co-medication). The VO population is a </w:t>
      </w:r>
      <w:r w:rsidR="00F82573">
        <w:t>subset of the ITT-E population.</w:t>
      </w:r>
    </w:p>
    <w:p w14:paraId="39562E61" w14:textId="0CDA5D0F" w:rsidR="00DD3ACA" w:rsidRDefault="00D04C3D" w:rsidP="00DD3ACA">
      <w:r w:rsidRPr="00D4563C">
        <w:t>Mean change from baseline in HIV RNA at day 8 (primary endpoint) was -1.</w:t>
      </w:r>
      <w:r w:rsidR="00FE7127">
        <w:t>4 log10 (95% CI -1.3 to</w:t>
      </w:r>
      <w:r w:rsidRPr="00D4563C">
        <w:t xml:space="preserve"> -1.5 log10, p &lt; 0.001). Response was associated with baseline INI mutat</w:t>
      </w:r>
      <w:r w:rsidR="007060EB" w:rsidRPr="00D4563C">
        <w:t xml:space="preserve">ion pathway, as shown in Table </w:t>
      </w:r>
      <w:r w:rsidR="005D7F85">
        <w:t>8</w:t>
      </w:r>
      <w:r w:rsidRPr="00D4563C">
        <w:t>.</w:t>
      </w:r>
    </w:p>
    <w:p w14:paraId="3A3E0C31" w14:textId="56E8B8D0" w:rsidR="007F4039" w:rsidRPr="008F1F07" w:rsidRDefault="007F4039" w:rsidP="00FD77CB">
      <w:pPr>
        <w:keepNext/>
        <w:keepLines/>
        <w:ind w:left="1440" w:hanging="1440"/>
        <w:rPr>
          <w:b/>
        </w:rPr>
      </w:pPr>
      <w:r w:rsidRPr="008F1F07">
        <w:rPr>
          <w:b/>
        </w:rPr>
        <w:lastRenderedPageBreak/>
        <w:t xml:space="preserve">Table </w:t>
      </w:r>
      <w:r w:rsidR="005D7F85">
        <w:rPr>
          <w:b/>
        </w:rPr>
        <w:t>8</w:t>
      </w:r>
      <w:r w:rsidR="005D7F85">
        <w:rPr>
          <w:b/>
        </w:rPr>
        <w:tab/>
      </w:r>
      <w:r w:rsidR="00F9575F">
        <w:rPr>
          <w:b/>
        </w:rPr>
        <w:t xml:space="preserve"> </w:t>
      </w:r>
      <w:r w:rsidRPr="008F1F07">
        <w:rPr>
          <w:b/>
        </w:rPr>
        <w:t>Virologic Response (Plasma HIV-1 RNA) at Day 8 by Derived baseline IN Resistance Mutation Group [Day 8 Virologic Outcome (VO)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890"/>
        <w:gridCol w:w="1814"/>
        <w:gridCol w:w="2268"/>
      </w:tblGrid>
      <w:tr w:rsidR="007F4039" w:rsidRPr="00D4563C" w14:paraId="4C703260" w14:textId="77777777" w:rsidTr="008A7F50">
        <w:tc>
          <w:tcPr>
            <w:tcW w:w="2358" w:type="dxa"/>
          </w:tcPr>
          <w:p w14:paraId="79667C2E" w14:textId="77777777" w:rsidR="007F4039" w:rsidRPr="00BF7578" w:rsidRDefault="007F4039" w:rsidP="00FD77CB">
            <w:pPr>
              <w:pStyle w:val="tabletextNS"/>
              <w:keepNext/>
              <w:keepLines/>
              <w:spacing w:line="240" w:lineRule="auto"/>
              <w:jc w:val="center"/>
              <w:rPr>
                <w:b/>
                <w:sz w:val="20"/>
              </w:rPr>
            </w:pPr>
            <w:r w:rsidRPr="00BF7578">
              <w:rPr>
                <w:b/>
                <w:sz w:val="20"/>
              </w:rPr>
              <w:t>Derived IN Mutation Group</w:t>
            </w:r>
          </w:p>
        </w:tc>
        <w:tc>
          <w:tcPr>
            <w:tcW w:w="1890" w:type="dxa"/>
          </w:tcPr>
          <w:p w14:paraId="6BB6DC61" w14:textId="77777777" w:rsidR="007F4039" w:rsidRPr="00BF7578" w:rsidRDefault="007F4039" w:rsidP="00FD77CB">
            <w:pPr>
              <w:pStyle w:val="tabletextNS"/>
              <w:keepNext/>
              <w:keepLines/>
              <w:spacing w:line="240" w:lineRule="auto"/>
              <w:jc w:val="center"/>
              <w:rPr>
                <w:b/>
                <w:sz w:val="20"/>
              </w:rPr>
            </w:pPr>
            <w:r w:rsidRPr="00BF7578">
              <w:rPr>
                <w:b/>
                <w:sz w:val="20"/>
              </w:rPr>
              <w:t>Number of patients (VO population)</w:t>
            </w:r>
          </w:p>
        </w:tc>
        <w:tc>
          <w:tcPr>
            <w:tcW w:w="1814" w:type="dxa"/>
          </w:tcPr>
          <w:p w14:paraId="61317630" w14:textId="77777777" w:rsidR="007F4039" w:rsidRPr="00BF7578" w:rsidRDefault="007F4039" w:rsidP="00FD77CB">
            <w:pPr>
              <w:pStyle w:val="tabletextNS"/>
              <w:keepNext/>
              <w:keepLines/>
              <w:spacing w:line="240" w:lineRule="auto"/>
              <w:jc w:val="center"/>
              <w:rPr>
                <w:b/>
                <w:sz w:val="20"/>
              </w:rPr>
            </w:pPr>
            <w:r w:rsidRPr="00BF7578">
              <w:rPr>
                <w:b/>
                <w:sz w:val="20"/>
              </w:rPr>
              <w:t>Mean Change from baseline (SD) at Day 8</w:t>
            </w:r>
          </w:p>
        </w:tc>
        <w:tc>
          <w:tcPr>
            <w:tcW w:w="2268" w:type="dxa"/>
          </w:tcPr>
          <w:p w14:paraId="41900081" w14:textId="77777777" w:rsidR="007F4039" w:rsidRPr="00BF7578" w:rsidRDefault="007F4039" w:rsidP="00FD77CB">
            <w:pPr>
              <w:pStyle w:val="tabletextNS"/>
              <w:keepNext/>
              <w:keepLines/>
              <w:spacing w:line="240" w:lineRule="auto"/>
              <w:jc w:val="center"/>
              <w:rPr>
                <w:b/>
                <w:sz w:val="20"/>
              </w:rPr>
            </w:pPr>
            <w:r w:rsidRPr="00BF7578">
              <w:rPr>
                <w:b/>
                <w:sz w:val="20"/>
              </w:rPr>
              <w:t>%</w:t>
            </w:r>
            <w:r w:rsidR="008F1F07" w:rsidRPr="00BF7578">
              <w:rPr>
                <w:b/>
                <w:sz w:val="20"/>
              </w:rPr>
              <w:t xml:space="preserve"> </w:t>
            </w:r>
            <w:r w:rsidRPr="00BF7578">
              <w:rPr>
                <w:b/>
                <w:sz w:val="20"/>
              </w:rPr>
              <w:t>&gt;</w:t>
            </w:r>
            <w:r w:rsidR="008F1F07" w:rsidRPr="00BF7578">
              <w:rPr>
                <w:b/>
                <w:sz w:val="20"/>
              </w:rPr>
              <w:t xml:space="preserve"> </w:t>
            </w:r>
            <w:r w:rsidRPr="00BF7578">
              <w:rPr>
                <w:b/>
                <w:sz w:val="20"/>
              </w:rPr>
              <w:t>1</w:t>
            </w:r>
            <w:r w:rsidR="00577D74" w:rsidRPr="00BF7578">
              <w:rPr>
                <w:b/>
                <w:sz w:val="20"/>
              </w:rPr>
              <w:t xml:space="preserve"> </w:t>
            </w:r>
            <w:r w:rsidRPr="00BF7578">
              <w:rPr>
                <w:b/>
                <w:sz w:val="20"/>
              </w:rPr>
              <w:t>log10 decline at Day 8*</w:t>
            </w:r>
          </w:p>
        </w:tc>
      </w:tr>
      <w:tr w:rsidR="007F4039" w:rsidRPr="00D4563C" w14:paraId="516E300F" w14:textId="77777777" w:rsidTr="008A7F50">
        <w:tc>
          <w:tcPr>
            <w:tcW w:w="2358" w:type="dxa"/>
          </w:tcPr>
          <w:p w14:paraId="07495ABB" w14:textId="77777777" w:rsidR="007F4039" w:rsidRPr="00BF7578" w:rsidRDefault="007F4039" w:rsidP="00FD77CB">
            <w:pPr>
              <w:pStyle w:val="tabletextNS"/>
              <w:keepNext/>
              <w:keepLines/>
              <w:spacing w:after="0" w:line="240" w:lineRule="auto"/>
              <w:rPr>
                <w:sz w:val="20"/>
              </w:rPr>
            </w:pPr>
            <w:r w:rsidRPr="00BF7578">
              <w:rPr>
                <w:sz w:val="20"/>
              </w:rPr>
              <w:t>No Q148H/K/R mutations</w:t>
            </w:r>
            <w:r w:rsidRPr="00BF7578">
              <w:rPr>
                <w:sz w:val="20"/>
                <w:vertAlign w:val="superscript"/>
              </w:rPr>
              <w:t>#</w:t>
            </w:r>
            <w:r w:rsidRPr="00BF7578">
              <w:rPr>
                <w:sz w:val="20"/>
              </w:rPr>
              <w:t xml:space="preserve"> </w:t>
            </w:r>
          </w:p>
        </w:tc>
        <w:tc>
          <w:tcPr>
            <w:tcW w:w="1890" w:type="dxa"/>
          </w:tcPr>
          <w:p w14:paraId="242A60D9" w14:textId="77777777" w:rsidR="007F4039" w:rsidRPr="00BF7578" w:rsidRDefault="007F4039" w:rsidP="00FD77CB">
            <w:pPr>
              <w:pStyle w:val="tabletextNS"/>
              <w:keepNext/>
              <w:keepLines/>
              <w:spacing w:after="0" w:line="240" w:lineRule="auto"/>
              <w:jc w:val="center"/>
              <w:rPr>
                <w:sz w:val="20"/>
              </w:rPr>
            </w:pPr>
            <w:r w:rsidRPr="00BF7578">
              <w:rPr>
                <w:sz w:val="20"/>
              </w:rPr>
              <w:t>122</w:t>
            </w:r>
          </w:p>
        </w:tc>
        <w:tc>
          <w:tcPr>
            <w:tcW w:w="1814" w:type="dxa"/>
          </w:tcPr>
          <w:p w14:paraId="08D21F0E" w14:textId="77777777" w:rsidR="007F4039" w:rsidRPr="00BF7578" w:rsidRDefault="007F4039" w:rsidP="00FD77CB">
            <w:pPr>
              <w:pStyle w:val="tabletextNS"/>
              <w:keepNext/>
              <w:keepLines/>
              <w:spacing w:after="0" w:line="240" w:lineRule="auto"/>
              <w:jc w:val="center"/>
              <w:rPr>
                <w:sz w:val="20"/>
              </w:rPr>
            </w:pPr>
            <w:r w:rsidRPr="00BF7578">
              <w:rPr>
                <w:sz w:val="20"/>
              </w:rPr>
              <w:t>-1.60 (0.52)</w:t>
            </w:r>
          </w:p>
        </w:tc>
        <w:tc>
          <w:tcPr>
            <w:tcW w:w="2268" w:type="dxa"/>
          </w:tcPr>
          <w:p w14:paraId="7FFE14BA" w14:textId="77777777" w:rsidR="007F4039" w:rsidRPr="00BF7578" w:rsidRDefault="007F4039" w:rsidP="00FD77CB">
            <w:pPr>
              <w:pStyle w:val="tabletextNS"/>
              <w:keepNext/>
              <w:keepLines/>
              <w:spacing w:after="0" w:line="240" w:lineRule="auto"/>
              <w:jc w:val="center"/>
              <w:rPr>
                <w:sz w:val="20"/>
              </w:rPr>
            </w:pPr>
            <w:r w:rsidRPr="00BF7578">
              <w:rPr>
                <w:sz w:val="20"/>
              </w:rPr>
              <w:t>92%</w:t>
            </w:r>
          </w:p>
        </w:tc>
      </w:tr>
      <w:tr w:rsidR="007F4039" w:rsidRPr="00D4563C" w14:paraId="21502F56" w14:textId="77777777" w:rsidTr="008A7F50">
        <w:tc>
          <w:tcPr>
            <w:tcW w:w="2358" w:type="dxa"/>
          </w:tcPr>
          <w:p w14:paraId="0B369F78" w14:textId="77777777" w:rsidR="007F4039" w:rsidRPr="00BF7578" w:rsidRDefault="007F4039" w:rsidP="00FD77CB">
            <w:pPr>
              <w:pStyle w:val="tabletextNS"/>
              <w:keepNext/>
              <w:keepLines/>
              <w:spacing w:after="0" w:line="240" w:lineRule="auto"/>
              <w:rPr>
                <w:b/>
                <w:sz w:val="20"/>
              </w:rPr>
            </w:pPr>
            <w:r w:rsidRPr="00BF7578">
              <w:rPr>
                <w:sz w:val="20"/>
              </w:rPr>
              <w:t>Q148 + 1 secondary mutation^</w:t>
            </w:r>
          </w:p>
        </w:tc>
        <w:tc>
          <w:tcPr>
            <w:tcW w:w="1890" w:type="dxa"/>
          </w:tcPr>
          <w:p w14:paraId="49908746" w14:textId="77777777" w:rsidR="007F4039" w:rsidRPr="00BF7578" w:rsidRDefault="007F4039" w:rsidP="00FD77CB">
            <w:pPr>
              <w:pStyle w:val="tabletextNS"/>
              <w:keepNext/>
              <w:keepLines/>
              <w:spacing w:after="0" w:line="240" w:lineRule="auto"/>
              <w:jc w:val="center"/>
              <w:rPr>
                <w:sz w:val="20"/>
              </w:rPr>
            </w:pPr>
            <w:r w:rsidRPr="00BF7578">
              <w:rPr>
                <w:sz w:val="20"/>
              </w:rPr>
              <w:t>35</w:t>
            </w:r>
          </w:p>
        </w:tc>
        <w:tc>
          <w:tcPr>
            <w:tcW w:w="1814" w:type="dxa"/>
          </w:tcPr>
          <w:p w14:paraId="48A2699D" w14:textId="77777777" w:rsidR="007F4039" w:rsidRPr="00BF7578" w:rsidRDefault="007F4039" w:rsidP="00FD77CB">
            <w:pPr>
              <w:pStyle w:val="tabletextNS"/>
              <w:keepNext/>
              <w:keepLines/>
              <w:spacing w:after="0" w:line="240" w:lineRule="auto"/>
              <w:jc w:val="center"/>
              <w:rPr>
                <w:sz w:val="20"/>
              </w:rPr>
            </w:pPr>
            <w:r w:rsidRPr="00BF7578">
              <w:rPr>
                <w:sz w:val="20"/>
              </w:rPr>
              <w:t>-1.18 (0.52)</w:t>
            </w:r>
          </w:p>
        </w:tc>
        <w:tc>
          <w:tcPr>
            <w:tcW w:w="2268" w:type="dxa"/>
          </w:tcPr>
          <w:p w14:paraId="19BA7611" w14:textId="77777777" w:rsidR="007F4039" w:rsidRPr="00BF7578" w:rsidRDefault="007F4039" w:rsidP="00FD77CB">
            <w:pPr>
              <w:pStyle w:val="tabletextNS"/>
              <w:keepNext/>
              <w:keepLines/>
              <w:spacing w:after="0" w:line="240" w:lineRule="auto"/>
              <w:jc w:val="center"/>
              <w:rPr>
                <w:sz w:val="20"/>
              </w:rPr>
            </w:pPr>
            <w:r w:rsidRPr="00BF7578">
              <w:rPr>
                <w:sz w:val="20"/>
              </w:rPr>
              <w:t>71%</w:t>
            </w:r>
          </w:p>
        </w:tc>
      </w:tr>
      <w:tr w:rsidR="007F4039" w:rsidRPr="00D4563C" w14:paraId="5715BA87" w14:textId="77777777" w:rsidTr="008A7F50">
        <w:tc>
          <w:tcPr>
            <w:tcW w:w="2358" w:type="dxa"/>
          </w:tcPr>
          <w:p w14:paraId="1C34C2D2" w14:textId="77777777" w:rsidR="007F4039" w:rsidRPr="00BF7578" w:rsidRDefault="007F4039" w:rsidP="00FD77CB">
            <w:pPr>
              <w:pStyle w:val="tabletextNS"/>
              <w:keepNext/>
              <w:keepLines/>
              <w:spacing w:after="0" w:line="240" w:lineRule="auto"/>
              <w:rPr>
                <w:b/>
                <w:sz w:val="20"/>
              </w:rPr>
            </w:pPr>
            <w:r w:rsidRPr="00BF7578">
              <w:rPr>
                <w:sz w:val="20"/>
              </w:rPr>
              <w:t xml:space="preserve">Q148 + </w:t>
            </w:r>
            <w:r w:rsidRPr="00BF7578">
              <w:rPr>
                <w:sz w:val="20"/>
              </w:rPr>
              <w:sym w:font="Symbol" w:char="F0B3"/>
            </w:r>
            <w:r w:rsidR="008F1F07" w:rsidRPr="00BF7578">
              <w:rPr>
                <w:sz w:val="20"/>
              </w:rPr>
              <w:t xml:space="preserve"> </w:t>
            </w:r>
            <w:r w:rsidRPr="00BF7578">
              <w:rPr>
                <w:sz w:val="20"/>
              </w:rPr>
              <w:t>2 secondary mutations^</w:t>
            </w:r>
          </w:p>
        </w:tc>
        <w:tc>
          <w:tcPr>
            <w:tcW w:w="1890" w:type="dxa"/>
          </w:tcPr>
          <w:p w14:paraId="2F22BE31" w14:textId="77777777" w:rsidR="007F4039" w:rsidRPr="00BF7578" w:rsidRDefault="007F4039" w:rsidP="00FD77CB">
            <w:pPr>
              <w:pStyle w:val="tabletextNS"/>
              <w:keepNext/>
              <w:keepLines/>
              <w:spacing w:after="0" w:line="240" w:lineRule="auto"/>
              <w:jc w:val="center"/>
              <w:rPr>
                <w:sz w:val="20"/>
              </w:rPr>
            </w:pPr>
            <w:r w:rsidRPr="00BF7578">
              <w:rPr>
                <w:sz w:val="20"/>
              </w:rPr>
              <w:t>20</w:t>
            </w:r>
          </w:p>
        </w:tc>
        <w:tc>
          <w:tcPr>
            <w:tcW w:w="1814" w:type="dxa"/>
          </w:tcPr>
          <w:p w14:paraId="62E737B7" w14:textId="77777777" w:rsidR="007F4039" w:rsidRPr="00BF7578" w:rsidRDefault="007F4039" w:rsidP="00FD77CB">
            <w:pPr>
              <w:pStyle w:val="tabletextNS"/>
              <w:keepNext/>
              <w:keepLines/>
              <w:spacing w:after="0" w:line="240" w:lineRule="auto"/>
              <w:jc w:val="center"/>
              <w:rPr>
                <w:sz w:val="20"/>
              </w:rPr>
            </w:pPr>
            <w:r w:rsidRPr="00BF7578">
              <w:rPr>
                <w:sz w:val="20"/>
              </w:rPr>
              <w:t>-0.92 (0.81)</w:t>
            </w:r>
          </w:p>
        </w:tc>
        <w:tc>
          <w:tcPr>
            <w:tcW w:w="2268" w:type="dxa"/>
          </w:tcPr>
          <w:p w14:paraId="5B51401F" w14:textId="77777777" w:rsidR="007F4039" w:rsidRPr="00BF7578" w:rsidRDefault="007F4039" w:rsidP="00FD77CB">
            <w:pPr>
              <w:pStyle w:val="tabletextNS"/>
              <w:keepNext/>
              <w:keepLines/>
              <w:spacing w:after="0" w:line="240" w:lineRule="auto"/>
              <w:jc w:val="center"/>
              <w:rPr>
                <w:sz w:val="20"/>
              </w:rPr>
            </w:pPr>
            <w:r w:rsidRPr="00BF7578">
              <w:rPr>
                <w:sz w:val="20"/>
              </w:rPr>
              <w:t>45%</w:t>
            </w:r>
          </w:p>
        </w:tc>
      </w:tr>
      <w:tr w:rsidR="007F4039" w:rsidRPr="00D4563C" w14:paraId="322306EF" w14:textId="77777777" w:rsidTr="008A7F50">
        <w:tc>
          <w:tcPr>
            <w:tcW w:w="8330" w:type="dxa"/>
            <w:gridSpan w:val="4"/>
            <w:tcBorders>
              <w:bottom w:val="single" w:sz="4" w:space="0" w:color="auto"/>
            </w:tcBorders>
          </w:tcPr>
          <w:p w14:paraId="77A1C201" w14:textId="77777777" w:rsidR="007F4039" w:rsidRPr="008F1F07" w:rsidRDefault="007F4039" w:rsidP="00FD77CB">
            <w:pPr>
              <w:pStyle w:val="tabletextNS"/>
              <w:keepNext/>
              <w:keepLines/>
              <w:spacing w:after="0" w:line="240" w:lineRule="auto"/>
              <w:rPr>
                <w:rFonts w:ascii="Arial" w:hAnsi="Arial" w:cs="Arial"/>
                <w:sz w:val="18"/>
                <w:szCs w:val="18"/>
              </w:rPr>
            </w:pPr>
            <w:r w:rsidRPr="008F1F07">
              <w:rPr>
                <w:rFonts w:ascii="Arial" w:hAnsi="Arial" w:cs="Arial"/>
                <w:sz w:val="18"/>
                <w:szCs w:val="18"/>
              </w:rPr>
              <w:t>VO Population: The Virological Outcome (VO) population excluded patients who stopped therapy for non-efficacy reasons, and those with major protocol deviations (incorrect dolutegravir dosing, intake of prohibited co-medication).</w:t>
            </w:r>
            <w:r w:rsidR="00825890" w:rsidRPr="008F1F07">
              <w:rPr>
                <w:rFonts w:ascii="Arial" w:hAnsi="Arial" w:cs="Arial"/>
                <w:sz w:val="18"/>
                <w:szCs w:val="18"/>
              </w:rPr>
              <w:t xml:space="preserve"> </w:t>
            </w:r>
            <w:r w:rsidRPr="008F1F07">
              <w:rPr>
                <w:rFonts w:ascii="Arial" w:hAnsi="Arial" w:cs="Arial"/>
                <w:sz w:val="18"/>
                <w:szCs w:val="18"/>
              </w:rPr>
              <w:t>The VO population is a subset of the ITT-E population.</w:t>
            </w:r>
          </w:p>
          <w:p w14:paraId="139C8EF6" w14:textId="28676737" w:rsidR="007F4039" w:rsidRPr="008F1F07" w:rsidRDefault="007F4039" w:rsidP="00FD77CB">
            <w:pPr>
              <w:pStyle w:val="tabletextNS"/>
              <w:keepNext/>
              <w:keepLines/>
              <w:spacing w:after="0" w:line="240" w:lineRule="auto"/>
              <w:rPr>
                <w:rFonts w:ascii="Arial" w:hAnsi="Arial" w:cs="Arial"/>
                <w:sz w:val="18"/>
                <w:szCs w:val="18"/>
              </w:rPr>
            </w:pPr>
            <w:r w:rsidRPr="008F1F07">
              <w:rPr>
                <w:rFonts w:ascii="Arial" w:hAnsi="Arial" w:cs="Arial"/>
                <w:sz w:val="18"/>
                <w:szCs w:val="18"/>
                <w:vertAlign w:val="superscript"/>
              </w:rPr>
              <w:t>#</w:t>
            </w:r>
            <w:r w:rsidRPr="008F1F07">
              <w:rPr>
                <w:rFonts w:ascii="Arial" w:hAnsi="Arial" w:cs="Arial"/>
                <w:sz w:val="18"/>
                <w:szCs w:val="18"/>
              </w:rPr>
              <w:t xml:space="preserve"> Includes primary INI resistance mutations N155H, Y143C/H/R, T66A, E92Q</w:t>
            </w:r>
            <w:r w:rsidR="00A261C0">
              <w:rPr>
                <w:rFonts w:ascii="Arial" w:hAnsi="Arial" w:cs="Arial"/>
                <w:sz w:val="18"/>
                <w:szCs w:val="18"/>
              </w:rPr>
              <w:t>, or historical evidence of INI-</w:t>
            </w:r>
            <w:r w:rsidRPr="008F1F07">
              <w:rPr>
                <w:rFonts w:ascii="Arial" w:hAnsi="Arial" w:cs="Arial"/>
                <w:sz w:val="18"/>
                <w:szCs w:val="18"/>
              </w:rPr>
              <w:t>resistance only</w:t>
            </w:r>
          </w:p>
          <w:p w14:paraId="78252ABC" w14:textId="14607D1C" w:rsidR="007F4039" w:rsidRPr="008F1F07" w:rsidRDefault="007F4039" w:rsidP="00FD77CB">
            <w:pPr>
              <w:pStyle w:val="tabletextNS"/>
              <w:keepNext/>
              <w:keepLines/>
              <w:spacing w:after="0" w:line="240" w:lineRule="auto"/>
              <w:rPr>
                <w:rFonts w:ascii="Arial" w:hAnsi="Arial" w:cs="Arial"/>
                <w:sz w:val="18"/>
                <w:szCs w:val="18"/>
              </w:rPr>
            </w:pPr>
            <w:r w:rsidRPr="008F1F07">
              <w:rPr>
                <w:rFonts w:ascii="Arial" w:hAnsi="Arial" w:cs="Arial"/>
                <w:sz w:val="18"/>
                <w:szCs w:val="18"/>
              </w:rPr>
              <w:t>* Includes patients with HIV RNA &lt;50 copies/mL at Day 8</w:t>
            </w:r>
          </w:p>
          <w:p w14:paraId="44E5776A" w14:textId="23C22B04" w:rsidR="007F4039" w:rsidRPr="00D4563C" w:rsidRDefault="007F4039" w:rsidP="00FD77CB">
            <w:pPr>
              <w:pStyle w:val="tabletextNS"/>
              <w:keepNext/>
              <w:keepLines/>
              <w:spacing w:after="0" w:line="240" w:lineRule="auto"/>
              <w:rPr>
                <w:szCs w:val="24"/>
              </w:rPr>
            </w:pPr>
            <w:r w:rsidRPr="008F1F07">
              <w:rPr>
                <w:rFonts w:ascii="Arial" w:hAnsi="Arial" w:cs="Arial"/>
                <w:sz w:val="18"/>
                <w:szCs w:val="18"/>
              </w:rPr>
              <w:t>^ G140A/C/S, E138A/K/T, L74I</w:t>
            </w:r>
          </w:p>
        </w:tc>
      </w:tr>
    </w:tbl>
    <w:p w14:paraId="04CDC81C" w14:textId="2BDBC691" w:rsidR="00F82573" w:rsidRDefault="00D04C3D" w:rsidP="00DD3ACA">
      <w:pPr>
        <w:spacing w:after="160"/>
      </w:pPr>
      <w:r w:rsidRPr="00D4563C">
        <w:t>After the monotherapy phase, patients had the opportunity to re-optimise their ba</w:t>
      </w:r>
      <w:r w:rsidR="00F82573">
        <w:t>ckground regimen when possible.</w:t>
      </w:r>
    </w:p>
    <w:p w14:paraId="65828002" w14:textId="3906F5E7" w:rsidR="00F82573" w:rsidRDefault="00D04C3D" w:rsidP="00DD3ACA">
      <w:pPr>
        <w:spacing w:after="160"/>
      </w:pPr>
      <w:r w:rsidRPr="00D4563C">
        <w:t xml:space="preserve">Of the 183 patients who completed 24 weeks on study </w:t>
      </w:r>
      <w:r w:rsidR="005C4923">
        <w:t>or discontinued before data cut-</w:t>
      </w:r>
      <w:r w:rsidRPr="00D4563C">
        <w:t xml:space="preserve">off, 126 (69% [95% CI: 62%, 76%]) had &lt; 50 copies/mL RNA at </w:t>
      </w:r>
      <w:r w:rsidR="008F1F07">
        <w:t>week 24 (ITT-E, S</w:t>
      </w:r>
      <w:r w:rsidRPr="00D4563C">
        <w:t>napshot algorithm). Patients harbouring virus</w:t>
      </w:r>
      <w:r w:rsidR="008F1F07">
        <w:t xml:space="preserve"> with Q148 with additional Q148-</w:t>
      </w:r>
      <w:r w:rsidRPr="00D4563C">
        <w:t>associated secondary mutations had lower response at week 24 (Table</w:t>
      </w:r>
      <w:r w:rsidR="007060EB" w:rsidRPr="00D4563C">
        <w:t xml:space="preserve"> </w:t>
      </w:r>
      <w:r w:rsidR="005D7F85">
        <w:t>9</w:t>
      </w:r>
      <w:r w:rsidRPr="00D4563C">
        <w:t>). Background overall susceptibility score</w:t>
      </w:r>
      <w:r w:rsidR="008F1F07">
        <w:t xml:space="preserve"> (OSS) was not associated with W</w:t>
      </w:r>
      <w:r w:rsidR="00F82573">
        <w:t>eek 24 response.</w:t>
      </w:r>
    </w:p>
    <w:p w14:paraId="5A75C283" w14:textId="3C77AFFE" w:rsidR="007F4039" w:rsidRPr="00D4563C" w:rsidRDefault="007F4039" w:rsidP="005D7F85">
      <w:pPr>
        <w:spacing w:after="160"/>
        <w:ind w:left="1440" w:hanging="1440"/>
      </w:pPr>
      <w:r w:rsidRPr="008F1F07">
        <w:rPr>
          <w:b/>
        </w:rPr>
        <w:t xml:space="preserve">Table </w:t>
      </w:r>
      <w:r w:rsidR="005D7F85">
        <w:rPr>
          <w:b/>
        </w:rPr>
        <w:t>9</w:t>
      </w:r>
      <w:r w:rsidR="005D7F85">
        <w:rPr>
          <w:b/>
        </w:rPr>
        <w:tab/>
      </w:r>
      <w:r w:rsidR="00514196">
        <w:rPr>
          <w:b/>
        </w:rPr>
        <w:t xml:space="preserve"> </w:t>
      </w:r>
      <w:r w:rsidRPr="008F1F07">
        <w:rPr>
          <w:b/>
        </w:rPr>
        <w:t xml:space="preserve">Week 24 Virologic Response by Derived baseline IN Resistance </w:t>
      </w:r>
      <w:r w:rsidR="00DD3ACA">
        <w:rPr>
          <w:b/>
        </w:rPr>
        <w:t>m</w:t>
      </w:r>
      <w:r w:rsidRPr="008F1F07">
        <w:rPr>
          <w:b/>
        </w:rPr>
        <w:t xml:space="preserve">utation Group and OSS of </w:t>
      </w:r>
      <w:r w:rsidR="005D7F85">
        <w:rPr>
          <w:b/>
        </w:rPr>
        <w:t>Optimised Background Regimen (</w:t>
      </w:r>
      <w:r w:rsidRPr="008F1F07">
        <w:rPr>
          <w:b/>
        </w:rPr>
        <w:t>OBR</w:t>
      </w:r>
      <w:r w:rsidR="005D7F85">
        <w:rPr>
          <w:b/>
        </w:rPr>
        <w:t>)</w:t>
      </w:r>
      <w:r w:rsidRPr="008F1F07">
        <w:rPr>
          <w:b/>
        </w:rPr>
        <w:t xml:space="preserve"> (HIV-1 RNA &lt;</w:t>
      </w:r>
      <w:r w:rsidR="008F1F07">
        <w:rPr>
          <w:b/>
        </w:rPr>
        <w:t xml:space="preserve"> </w:t>
      </w:r>
      <w:r w:rsidRPr="008F1F07">
        <w:rPr>
          <w:b/>
        </w:rPr>
        <w:t>50 c/mL, Snapshot algorithm), Week 24 VO Population</w:t>
      </w:r>
    </w:p>
    <w:tbl>
      <w:tblPr>
        <w:tblW w:w="5088" w:type="pct"/>
        <w:tblCellMar>
          <w:left w:w="0" w:type="dxa"/>
          <w:right w:w="0" w:type="dxa"/>
        </w:tblCellMar>
        <w:tblLook w:val="04A0" w:firstRow="1" w:lastRow="0" w:firstColumn="1" w:lastColumn="0" w:noHBand="0" w:noVBand="1"/>
      </w:tblPr>
      <w:tblGrid>
        <w:gridCol w:w="2332"/>
        <w:gridCol w:w="1259"/>
        <w:gridCol w:w="1351"/>
        <w:gridCol w:w="1440"/>
        <w:gridCol w:w="1351"/>
        <w:gridCol w:w="1442"/>
      </w:tblGrid>
      <w:tr w:rsidR="007F4039" w:rsidRPr="00D4563C" w14:paraId="03E28990" w14:textId="77777777" w:rsidTr="008F1F07">
        <w:trPr>
          <w:trHeight w:val="374"/>
        </w:trPr>
        <w:tc>
          <w:tcPr>
            <w:tcW w:w="127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72B40A1B" w14:textId="77777777" w:rsidR="007F4039" w:rsidRPr="00BF7578" w:rsidRDefault="007F4039" w:rsidP="00BF7578">
            <w:pPr>
              <w:spacing w:after="120" w:line="240" w:lineRule="auto"/>
              <w:jc w:val="center"/>
              <w:rPr>
                <w:rFonts w:ascii="Arial Narrow" w:hAnsi="Arial Narrow"/>
                <w:b/>
                <w:sz w:val="20"/>
                <w:szCs w:val="20"/>
              </w:rPr>
            </w:pPr>
            <w:r w:rsidRPr="00BF7578">
              <w:rPr>
                <w:rFonts w:ascii="Arial Narrow" w:hAnsi="Arial Narrow"/>
                <w:b/>
                <w:sz w:val="20"/>
                <w:szCs w:val="20"/>
              </w:rPr>
              <w:t>Derived IN Mutation Group</w:t>
            </w:r>
          </w:p>
        </w:tc>
        <w:tc>
          <w:tcPr>
            <w:tcW w:w="68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7FF4AAEF" w14:textId="77777777" w:rsidR="007F4039" w:rsidRPr="00BF7578" w:rsidRDefault="007F4039" w:rsidP="00BF7578">
            <w:pPr>
              <w:spacing w:after="120" w:line="240" w:lineRule="auto"/>
              <w:jc w:val="center"/>
              <w:rPr>
                <w:rFonts w:ascii="Arial Narrow" w:hAnsi="Arial Narrow"/>
                <w:b/>
                <w:sz w:val="20"/>
                <w:szCs w:val="20"/>
              </w:rPr>
            </w:pPr>
            <w:r w:rsidRPr="00BF7578">
              <w:rPr>
                <w:rFonts w:ascii="Arial Narrow" w:hAnsi="Arial Narrow"/>
                <w:b/>
                <w:sz w:val="20"/>
                <w:szCs w:val="20"/>
              </w:rPr>
              <w:t>OSS=0</w:t>
            </w:r>
          </w:p>
        </w:tc>
        <w:tc>
          <w:tcPr>
            <w:tcW w:w="73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684EA036" w14:textId="77777777" w:rsidR="007F4039" w:rsidRPr="00BF7578" w:rsidRDefault="007F4039" w:rsidP="00BF7578">
            <w:pPr>
              <w:spacing w:after="120" w:line="240" w:lineRule="auto"/>
              <w:jc w:val="center"/>
              <w:rPr>
                <w:rFonts w:ascii="Arial Narrow" w:hAnsi="Arial Narrow"/>
                <w:b/>
                <w:sz w:val="20"/>
                <w:szCs w:val="20"/>
              </w:rPr>
            </w:pPr>
            <w:r w:rsidRPr="00BF7578">
              <w:rPr>
                <w:rFonts w:ascii="Arial Narrow" w:hAnsi="Arial Narrow"/>
                <w:b/>
                <w:sz w:val="20"/>
                <w:szCs w:val="20"/>
              </w:rPr>
              <w:t>OSS=1</w:t>
            </w:r>
          </w:p>
        </w:tc>
        <w:tc>
          <w:tcPr>
            <w:tcW w:w="7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2B652E88" w14:textId="77777777" w:rsidR="007F4039" w:rsidRPr="00BF7578" w:rsidRDefault="007F4039" w:rsidP="00BF7578">
            <w:pPr>
              <w:spacing w:after="120" w:line="240" w:lineRule="auto"/>
              <w:jc w:val="center"/>
              <w:rPr>
                <w:rFonts w:ascii="Arial Narrow" w:hAnsi="Arial Narrow"/>
                <w:b/>
                <w:sz w:val="20"/>
                <w:szCs w:val="20"/>
              </w:rPr>
            </w:pPr>
            <w:r w:rsidRPr="00BF7578">
              <w:rPr>
                <w:rFonts w:ascii="Arial Narrow" w:hAnsi="Arial Narrow"/>
                <w:b/>
                <w:sz w:val="20"/>
                <w:szCs w:val="20"/>
              </w:rPr>
              <w:t>OSS=2</w:t>
            </w:r>
          </w:p>
        </w:tc>
        <w:tc>
          <w:tcPr>
            <w:tcW w:w="73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63B6D4FF" w14:textId="77777777" w:rsidR="007F4039" w:rsidRPr="00BF7578" w:rsidRDefault="007F4039" w:rsidP="00BF7578">
            <w:pPr>
              <w:spacing w:after="120" w:line="240" w:lineRule="auto"/>
              <w:jc w:val="center"/>
              <w:rPr>
                <w:rFonts w:ascii="Arial Narrow" w:hAnsi="Arial Narrow"/>
                <w:b/>
                <w:sz w:val="20"/>
                <w:szCs w:val="20"/>
              </w:rPr>
            </w:pPr>
            <w:r w:rsidRPr="00BF7578">
              <w:rPr>
                <w:rFonts w:ascii="Arial Narrow" w:hAnsi="Arial Narrow"/>
                <w:b/>
                <w:sz w:val="20"/>
                <w:szCs w:val="20"/>
              </w:rPr>
              <w:t>OSS&gt;2</w:t>
            </w:r>
          </w:p>
        </w:tc>
        <w:tc>
          <w:tcPr>
            <w:tcW w:w="7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78162050" w14:textId="77777777" w:rsidR="007F4039" w:rsidRPr="00BF7578" w:rsidRDefault="007F4039" w:rsidP="00BF7578">
            <w:pPr>
              <w:spacing w:after="120" w:line="240" w:lineRule="auto"/>
              <w:jc w:val="center"/>
              <w:rPr>
                <w:rFonts w:ascii="Arial Narrow" w:hAnsi="Arial Narrow"/>
                <w:b/>
                <w:sz w:val="20"/>
                <w:szCs w:val="20"/>
              </w:rPr>
            </w:pPr>
            <w:r w:rsidRPr="00BF7578">
              <w:rPr>
                <w:rFonts w:ascii="Arial Narrow" w:hAnsi="Arial Narrow"/>
                <w:b/>
                <w:sz w:val="20"/>
                <w:szCs w:val="20"/>
              </w:rPr>
              <w:t>Total</w:t>
            </w:r>
          </w:p>
        </w:tc>
      </w:tr>
      <w:tr w:rsidR="007F4039" w:rsidRPr="00D4563C" w14:paraId="02F46936" w14:textId="77777777" w:rsidTr="008F1F07">
        <w:trPr>
          <w:trHeight w:val="123"/>
        </w:trPr>
        <w:tc>
          <w:tcPr>
            <w:tcW w:w="127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4C40D64" w14:textId="77777777" w:rsidR="007F4039" w:rsidRPr="00BF7578" w:rsidRDefault="007F4039" w:rsidP="00BF7578">
            <w:pPr>
              <w:spacing w:after="0" w:line="240" w:lineRule="auto"/>
              <w:rPr>
                <w:rFonts w:ascii="Arial Narrow" w:hAnsi="Arial Narrow"/>
                <w:sz w:val="20"/>
                <w:szCs w:val="20"/>
              </w:rPr>
            </w:pPr>
            <w:r w:rsidRPr="00BF7578">
              <w:rPr>
                <w:rFonts w:ascii="Arial Narrow" w:hAnsi="Arial Narrow"/>
                <w:sz w:val="20"/>
                <w:szCs w:val="20"/>
              </w:rPr>
              <w:t>No Q148H/K/R mutations</w:t>
            </w:r>
            <w:r w:rsidRPr="00BF7578">
              <w:rPr>
                <w:rFonts w:ascii="Arial Narrow" w:hAnsi="Arial Narrow"/>
                <w:sz w:val="20"/>
                <w:szCs w:val="20"/>
                <w:vertAlign w:val="superscript"/>
              </w:rPr>
              <w:t>1</w:t>
            </w:r>
          </w:p>
        </w:tc>
        <w:tc>
          <w:tcPr>
            <w:tcW w:w="68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10427206"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4/4 (100%)</w:t>
            </w:r>
          </w:p>
        </w:tc>
        <w:tc>
          <w:tcPr>
            <w:tcW w:w="73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601D0899"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35/40 (88%)</w:t>
            </w:r>
          </w:p>
        </w:tc>
        <w:tc>
          <w:tcPr>
            <w:tcW w:w="7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54DFCD2B"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40/48 (83%)</w:t>
            </w:r>
          </w:p>
        </w:tc>
        <w:tc>
          <w:tcPr>
            <w:tcW w:w="73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28CEC091"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17/22 (77%)</w:t>
            </w:r>
          </w:p>
        </w:tc>
        <w:tc>
          <w:tcPr>
            <w:tcW w:w="785"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hideMark/>
          </w:tcPr>
          <w:p w14:paraId="1EBE3B44"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96/114 (84%)</w:t>
            </w:r>
          </w:p>
        </w:tc>
      </w:tr>
      <w:tr w:rsidR="007F4039" w:rsidRPr="00D4563C" w14:paraId="19890FDB" w14:textId="77777777" w:rsidTr="008F1F07">
        <w:trPr>
          <w:trHeight w:val="248"/>
        </w:trPr>
        <w:tc>
          <w:tcPr>
            <w:tcW w:w="127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574F75C" w14:textId="77777777" w:rsidR="007F4039" w:rsidRPr="00BF7578" w:rsidRDefault="007F4039" w:rsidP="00BF7578">
            <w:pPr>
              <w:spacing w:after="0" w:line="240" w:lineRule="auto"/>
              <w:rPr>
                <w:rFonts w:ascii="Arial Narrow" w:hAnsi="Arial Narrow"/>
                <w:sz w:val="20"/>
                <w:szCs w:val="20"/>
              </w:rPr>
            </w:pPr>
            <w:r w:rsidRPr="00BF7578">
              <w:rPr>
                <w:rFonts w:ascii="Arial Narrow" w:hAnsi="Arial Narrow"/>
                <w:sz w:val="20"/>
                <w:szCs w:val="20"/>
              </w:rPr>
              <w:t>Q148 + 1 secondary mutation</w:t>
            </w:r>
            <w:r w:rsidRPr="00BF7578">
              <w:rPr>
                <w:rFonts w:ascii="Arial Narrow" w:hAnsi="Arial Narrow"/>
                <w:sz w:val="20"/>
                <w:szCs w:val="20"/>
                <w:vertAlign w:val="superscript"/>
              </w:rPr>
              <w:t>2</w:t>
            </w:r>
          </w:p>
        </w:tc>
        <w:tc>
          <w:tcPr>
            <w:tcW w:w="68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23426DDA"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2/2 (100%)</w:t>
            </w:r>
          </w:p>
        </w:tc>
        <w:tc>
          <w:tcPr>
            <w:tcW w:w="73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467CFE1D"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8/12 (67%)</w:t>
            </w:r>
          </w:p>
        </w:tc>
        <w:tc>
          <w:tcPr>
            <w:tcW w:w="7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442D8809"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10/17 (59%)</w:t>
            </w:r>
          </w:p>
        </w:tc>
        <w:tc>
          <w:tcPr>
            <w:tcW w:w="73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21C89185"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w:t>
            </w:r>
          </w:p>
        </w:tc>
        <w:tc>
          <w:tcPr>
            <w:tcW w:w="785"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hideMark/>
          </w:tcPr>
          <w:p w14:paraId="26836366"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20/31 (65%)</w:t>
            </w:r>
          </w:p>
        </w:tc>
      </w:tr>
      <w:tr w:rsidR="007F4039" w:rsidRPr="00D4563C" w14:paraId="1678747F" w14:textId="77777777" w:rsidTr="008F1F07">
        <w:trPr>
          <w:trHeight w:val="221"/>
        </w:trPr>
        <w:tc>
          <w:tcPr>
            <w:tcW w:w="127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A320932" w14:textId="77777777" w:rsidR="007F4039" w:rsidRPr="00BF7578" w:rsidRDefault="007F4039" w:rsidP="00BF7578">
            <w:pPr>
              <w:spacing w:after="0" w:line="240" w:lineRule="auto"/>
              <w:rPr>
                <w:rFonts w:ascii="Arial Narrow" w:hAnsi="Arial Narrow"/>
                <w:sz w:val="20"/>
                <w:szCs w:val="20"/>
              </w:rPr>
            </w:pPr>
            <w:r w:rsidRPr="00BF7578">
              <w:rPr>
                <w:rFonts w:ascii="Arial Narrow" w:hAnsi="Arial Narrow"/>
                <w:sz w:val="20"/>
                <w:szCs w:val="20"/>
              </w:rPr>
              <w:t>Q148 +</w:t>
            </w:r>
            <w:r w:rsidR="00EA1AC0" w:rsidRPr="00BF7578">
              <w:rPr>
                <w:rFonts w:ascii="Arial Narrow" w:hAnsi="Arial Narrow"/>
                <w:sz w:val="20"/>
                <w:szCs w:val="20"/>
              </w:rPr>
              <w:t xml:space="preserve"> </w:t>
            </w:r>
            <w:r w:rsidRPr="00BF7578">
              <w:rPr>
                <w:rFonts w:ascii="Arial Narrow" w:hAnsi="Arial Narrow"/>
                <w:sz w:val="20"/>
                <w:szCs w:val="20"/>
              </w:rPr>
              <w:t>≥</w:t>
            </w:r>
            <w:r w:rsidR="008F1F07" w:rsidRPr="00BF7578">
              <w:rPr>
                <w:rFonts w:ascii="Arial Narrow" w:hAnsi="Arial Narrow"/>
                <w:sz w:val="20"/>
                <w:szCs w:val="20"/>
              </w:rPr>
              <w:t xml:space="preserve"> </w:t>
            </w:r>
            <w:r w:rsidRPr="00BF7578">
              <w:rPr>
                <w:rFonts w:ascii="Arial Narrow" w:hAnsi="Arial Narrow"/>
                <w:sz w:val="20"/>
                <w:szCs w:val="20"/>
              </w:rPr>
              <w:t>2 secondary mutations</w:t>
            </w:r>
            <w:r w:rsidRPr="00BF7578">
              <w:rPr>
                <w:rFonts w:ascii="Arial Narrow" w:hAnsi="Arial Narrow"/>
                <w:sz w:val="20"/>
                <w:szCs w:val="20"/>
                <w:vertAlign w:val="superscript"/>
              </w:rPr>
              <w:t>2</w:t>
            </w:r>
          </w:p>
        </w:tc>
        <w:tc>
          <w:tcPr>
            <w:tcW w:w="68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2C978554"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1/2 (50%)</w:t>
            </w:r>
          </w:p>
        </w:tc>
        <w:tc>
          <w:tcPr>
            <w:tcW w:w="73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4BE2A9E7"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2/11 (18%)</w:t>
            </w:r>
          </w:p>
        </w:tc>
        <w:tc>
          <w:tcPr>
            <w:tcW w:w="78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519CDA35"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1/3 (33%)</w:t>
            </w:r>
          </w:p>
        </w:tc>
        <w:tc>
          <w:tcPr>
            <w:tcW w:w="73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096C148D"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w:t>
            </w:r>
          </w:p>
        </w:tc>
        <w:tc>
          <w:tcPr>
            <w:tcW w:w="785"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hideMark/>
          </w:tcPr>
          <w:p w14:paraId="125D0AEA" w14:textId="77777777" w:rsidR="007F4039" w:rsidRPr="00BF7578" w:rsidRDefault="007F4039" w:rsidP="00BF7578">
            <w:pPr>
              <w:spacing w:after="0" w:line="240" w:lineRule="auto"/>
              <w:jc w:val="center"/>
              <w:rPr>
                <w:rFonts w:ascii="Arial Narrow" w:hAnsi="Arial Narrow"/>
                <w:sz w:val="20"/>
                <w:szCs w:val="20"/>
              </w:rPr>
            </w:pPr>
            <w:r w:rsidRPr="00BF7578">
              <w:rPr>
                <w:rFonts w:ascii="Arial Narrow" w:hAnsi="Arial Narrow"/>
                <w:sz w:val="20"/>
                <w:szCs w:val="20"/>
              </w:rPr>
              <w:t>4/16 (25%)</w:t>
            </w:r>
          </w:p>
        </w:tc>
      </w:tr>
      <w:tr w:rsidR="007F4039" w:rsidRPr="00D4563C" w14:paraId="6ED92FEF" w14:textId="77777777" w:rsidTr="008F1F07">
        <w:trPr>
          <w:trHeight w:val="221"/>
        </w:trPr>
        <w:tc>
          <w:tcPr>
            <w:tcW w:w="5000" w:type="pct"/>
            <w:gridSpan w:val="6"/>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619FC89" w14:textId="77777777" w:rsidR="007F4039" w:rsidRPr="00BF7578" w:rsidRDefault="007F4039" w:rsidP="00BF7578">
            <w:pPr>
              <w:spacing w:after="0" w:line="240" w:lineRule="auto"/>
              <w:rPr>
                <w:rFonts w:ascii="Arial Narrow" w:hAnsi="Arial Narrow"/>
                <w:sz w:val="20"/>
                <w:szCs w:val="20"/>
              </w:rPr>
            </w:pPr>
            <w:r w:rsidRPr="00BF7578">
              <w:rPr>
                <w:rFonts w:ascii="Arial Narrow" w:hAnsi="Arial Narrow"/>
                <w:sz w:val="20"/>
                <w:szCs w:val="20"/>
                <w:vertAlign w:val="superscript"/>
              </w:rPr>
              <w:t>1</w:t>
            </w:r>
            <w:r w:rsidRPr="00BF7578">
              <w:rPr>
                <w:rFonts w:ascii="Arial Narrow" w:hAnsi="Arial Narrow"/>
                <w:sz w:val="20"/>
                <w:szCs w:val="20"/>
              </w:rPr>
              <w:t xml:space="preserve"> N155H, Y143C/H/R, T66A, E92Q, or historical evidence of INI resistance only. </w:t>
            </w:r>
          </w:p>
          <w:p w14:paraId="4DF9E9C9" w14:textId="77777777" w:rsidR="007F4039" w:rsidRPr="00BF7578" w:rsidRDefault="007F4039" w:rsidP="00BF7578">
            <w:pPr>
              <w:spacing w:after="0" w:line="240" w:lineRule="auto"/>
              <w:rPr>
                <w:rFonts w:ascii="Arial Narrow" w:hAnsi="Arial Narrow"/>
                <w:sz w:val="20"/>
                <w:szCs w:val="20"/>
              </w:rPr>
            </w:pPr>
            <w:r w:rsidRPr="00BF7578">
              <w:rPr>
                <w:rFonts w:ascii="Arial Narrow" w:hAnsi="Arial Narrow"/>
                <w:sz w:val="20"/>
                <w:szCs w:val="20"/>
                <w:vertAlign w:val="superscript"/>
              </w:rPr>
              <w:t>2</w:t>
            </w:r>
            <w:r w:rsidRPr="00BF7578">
              <w:rPr>
                <w:rFonts w:ascii="Arial Narrow" w:hAnsi="Arial Narrow"/>
                <w:sz w:val="20"/>
                <w:szCs w:val="20"/>
              </w:rPr>
              <w:t xml:space="preserve"> G140A/C/S, E138A/K/T, L74I</w:t>
            </w:r>
            <w:r w:rsidR="005C4923" w:rsidRPr="00BF7578">
              <w:rPr>
                <w:rFonts w:ascii="Arial Narrow" w:hAnsi="Arial Narrow"/>
                <w:sz w:val="20"/>
                <w:szCs w:val="20"/>
              </w:rPr>
              <w:t>.</w:t>
            </w:r>
          </w:p>
          <w:p w14:paraId="078AB1F1" w14:textId="77777777" w:rsidR="007F4039" w:rsidRPr="00BF7578" w:rsidRDefault="007F4039" w:rsidP="00BF7578">
            <w:pPr>
              <w:spacing w:after="0" w:line="240" w:lineRule="auto"/>
              <w:rPr>
                <w:rFonts w:ascii="Arial Narrow" w:hAnsi="Arial Narrow"/>
                <w:sz w:val="20"/>
                <w:szCs w:val="20"/>
              </w:rPr>
            </w:pPr>
            <w:r w:rsidRPr="00BF7578">
              <w:rPr>
                <w:rFonts w:ascii="Arial Narrow" w:hAnsi="Arial Narrow"/>
                <w:sz w:val="20"/>
                <w:szCs w:val="20"/>
              </w:rPr>
              <w:t>OSS: Overall susceptibility score [combined genotypic and phenotypic resistance (Monogram Biosciences Net Assessment)]</w:t>
            </w:r>
            <w:r w:rsidR="005C4923" w:rsidRPr="00BF7578">
              <w:rPr>
                <w:rFonts w:ascii="Arial Narrow" w:hAnsi="Arial Narrow"/>
                <w:sz w:val="20"/>
                <w:szCs w:val="20"/>
              </w:rPr>
              <w:t>.</w:t>
            </w:r>
          </w:p>
        </w:tc>
      </w:tr>
    </w:tbl>
    <w:p w14:paraId="1D10C54F" w14:textId="295D83CA" w:rsidR="00F82573" w:rsidRDefault="00D04C3D" w:rsidP="00D4563C">
      <w:r w:rsidRPr="00D4563C">
        <w:t>The response rate at week 48 was sustained with 116/183 (63% [95% CI: 56%, 70%]) subjects having HIV-1 RNA &lt; 50 copies/mL (ITT-E, snapshot algorithm). Response was also sustained through week 48 in subjects harbouring virus</w:t>
      </w:r>
      <w:r w:rsidR="00F54D2D">
        <w:t xml:space="preserve"> with Q148 with additional Q148-</w:t>
      </w:r>
      <w:r w:rsidRPr="00D4563C">
        <w:t>associated secondary mutations. The propor</w:t>
      </w:r>
      <w:r w:rsidR="00DB7A97">
        <w:t>tion of subjects with HIV RNA &lt;</w:t>
      </w:r>
      <w:r w:rsidR="00AA42B1">
        <w:t xml:space="preserve"> </w:t>
      </w:r>
      <w:r w:rsidRPr="00D4563C">
        <w:t>50 copies/mL at week 48 was 88/113 (78%) for no Q148 mutations, 19/31 (61%) for Q148 + 1 and 4/16 (25%) for Q148 + ≥ 2 secondary mutations (VO p</w:t>
      </w:r>
      <w:r w:rsidR="00F82573">
        <w:t>opulation, snapshot algorithm).</w:t>
      </w:r>
    </w:p>
    <w:p w14:paraId="276E2751" w14:textId="77777777" w:rsidR="00F82573" w:rsidRDefault="00D04C3D" w:rsidP="00D4563C">
      <w:r w:rsidRPr="00D4563C">
        <w:t xml:space="preserve">Virologic suppression (HIV-1 RNA </w:t>
      </w:r>
      <w:r w:rsidR="00DB7A97">
        <w:t>&lt;</w:t>
      </w:r>
      <w:r w:rsidR="00AA42B1">
        <w:t xml:space="preserve"> </w:t>
      </w:r>
      <w:r w:rsidRPr="00D4563C">
        <w:t>50 copies/mL) was comparable across baseline characteristics (gender, race and age). The median change in CD4+ T cell count from baseline for VIKING-3 based on observed data was 61 cells/mm</w:t>
      </w:r>
      <w:r w:rsidRPr="00D4563C">
        <w:rPr>
          <w:vertAlign w:val="superscript"/>
        </w:rPr>
        <w:t>3</w:t>
      </w:r>
      <w:r w:rsidRPr="00D4563C">
        <w:t xml:space="preserve"> at week 24 (n = 163) and 110 cells/mm</w:t>
      </w:r>
      <w:r w:rsidRPr="00D4563C">
        <w:rPr>
          <w:vertAlign w:val="superscript"/>
        </w:rPr>
        <w:t>3</w:t>
      </w:r>
      <w:r w:rsidRPr="00D4563C">
        <w:t xml:space="preserve"> at week 48 (n = 14</w:t>
      </w:r>
      <w:r w:rsidR="00F82573">
        <w:t>5).</w:t>
      </w:r>
    </w:p>
    <w:p w14:paraId="47E70A12" w14:textId="33386FDD" w:rsidR="00F82573" w:rsidRDefault="008F1F07" w:rsidP="00D4563C">
      <w:r>
        <w:lastRenderedPageBreak/>
        <w:t>In the multicentre, double-blind, placebo-</w:t>
      </w:r>
      <w:r w:rsidR="00D04C3D" w:rsidRPr="00D4563C">
        <w:t>controlled VIKING-4 study (ING</w:t>
      </w:r>
      <w:r>
        <w:t>116529), 30 HIV-1 infected, ART-</w:t>
      </w:r>
      <w:r w:rsidR="00D04C3D" w:rsidRPr="00D4563C">
        <w:t xml:space="preserve">experienced adults with current virological failure on an integrase inhibitor containing regimen and primary genotypic resistance to INIs at screening, were randomised to receive either dolutegravir 50 mg </w:t>
      </w:r>
      <w:r w:rsidR="000329AF">
        <w:t xml:space="preserve">film-coated tablets </w:t>
      </w:r>
      <w:r w:rsidR="00D04C3D" w:rsidRPr="00D4563C">
        <w:t>twice daily or placebo with the current failing regimen for 7 days w</w:t>
      </w:r>
      <w:r>
        <w:t>ith all subjects receiving open-</w:t>
      </w:r>
      <w:r w:rsidR="00D04C3D" w:rsidRPr="00D4563C">
        <w:t>label dolutegravir plus optimised background regimen from day 8. At baseline, median patient age was 49 years, 20% were female, 58% non-white, and 23% had hepatitis B and/or C co-infection. Median baseline CD4+ was 160 cells/mm</w:t>
      </w:r>
      <w:r w:rsidR="00D04C3D" w:rsidRPr="00D4563C">
        <w:rPr>
          <w:vertAlign w:val="superscript"/>
        </w:rPr>
        <w:t>3</w:t>
      </w:r>
      <w:r w:rsidR="00D04C3D" w:rsidRPr="00D4563C">
        <w:t>, median duration of prior ART was 13 years, and 63% were CDC Class C. Subjects showed multiple class ART resistance at baseline: 80% had ≥2 NRTI, 73% ≥1 NNRTI, and 67% ≥2 PI major mutations; 83% had non-R5 virus. Sixteen of 30 subjects (53%) harboured Q148 virus at baseline. The primary en</w:t>
      </w:r>
      <w:r>
        <w:t>dpoint treatment comparison at D</w:t>
      </w:r>
      <w:r w:rsidR="00D04C3D" w:rsidRPr="00D4563C">
        <w:t>ay 8, showed that dolutegravir was superior to placebo, with an adjusted mean treatment difference fo</w:t>
      </w:r>
      <w:r>
        <w:t>r the change from baseline in Plasma HIV-1 RNA at D</w:t>
      </w:r>
      <w:r w:rsidR="00D04C3D" w:rsidRPr="00D4563C">
        <w:t>ay 8 of -1.2 log10 copies/mL (95% CI -1.5, -0.8 log10 copies/mL, p &lt; 0.001). At week 48, 12/30 (40%) subjects had HIV-1 RNA &lt;</w:t>
      </w:r>
      <w:r w:rsidR="00AA42B1">
        <w:t xml:space="preserve"> </w:t>
      </w:r>
      <w:r w:rsidR="00D04C3D" w:rsidRPr="00D4563C">
        <w:t>50 copies/mL (ITT-E, Sn</w:t>
      </w:r>
      <w:r w:rsidR="00F82573">
        <w:t>apshot algorithm).</w:t>
      </w:r>
    </w:p>
    <w:p w14:paraId="057A1E7F" w14:textId="7A03FEC2" w:rsidR="00ED65A6" w:rsidRDefault="00D04C3D" w:rsidP="00D4563C">
      <w:r w:rsidRPr="00D4563C">
        <w:t>In a combined analysis of VIKING-3 and VIKING-4 (n</w:t>
      </w:r>
      <w:r w:rsidR="007C09DE">
        <w:t xml:space="preserve"> </w:t>
      </w:r>
      <w:r w:rsidRPr="00D4563C">
        <w:t>=</w:t>
      </w:r>
      <w:r w:rsidR="007C09DE">
        <w:t xml:space="preserve"> </w:t>
      </w:r>
      <w:r w:rsidRPr="00D4563C">
        <w:t>186, VO population), the proportion of subjects with HIV RNA &lt;</w:t>
      </w:r>
      <w:r w:rsidR="007C09DE">
        <w:t xml:space="preserve"> </w:t>
      </w:r>
      <w:r w:rsidRPr="00D4563C">
        <w:t>50 copies/mL at Week 48 was 123/186 (66%). The proportion of subjects with HIV RNA &lt;</w:t>
      </w:r>
      <w:r w:rsidR="00AA42B1">
        <w:t xml:space="preserve"> </w:t>
      </w:r>
      <w:r w:rsidRPr="00D4563C">
        <w:t>50 copies/mL was 96/126 (76%) for No Q148 mutations, 22/41 (54%) for Q148+1 and 5/19 (26%) for Q148+≥</w:t>
      </w:r>
      <w:r w:rsidR="007C09DE">
        <w:t xml:space="preserve"> </w:t>
      </w:r>
      <w:r w:rsidRPr="00D4563C">
        <w:t xml:space="preserve">2 secondary mutations. </w:t>
      </w:r>
    </w:p>
    <w:p w14:paraId="476E67A3" w14:textId="77777777" w:rsidR="00EB01CD" w:rsidRPr="0027069C" w:rsidRDefault="00EB01CD" w:rsidP="00EB01CD">
      <w:pPr>
        <w:rPr>
          <w:b/>
          <w:u w:val="single"/>
        </w:rPr>
      </w:pPr>
      <w:r w:rsidRPr="0027069C">
        <w:rPr>
          <w:b/>
          <w:u w:val="single"/>
        </w:rPr>
        <w:t>Virologically suppressed patients</w:t>
      </w:r>
    </w:p>
    <w:p w14:paraId="718AB978" w14:textId="77777777" w:rsidR="00EB01CD" w:rsidRPr="0027069C" w:rsidRDefault="00EB01CD" w:rsidP="00EB01CD">
      <w:pPr>
        <w:spacing w:before="120"/>
      </w:pPr>
      <w:r w:rsidRPr="0027069C">
        <w:t>The efficacy of dolutegravir plus rilpivirine is supported by data from 2 randomised, open-label, controlled trials (SWORD-1 [201636] and SWORD-2 [201637]) in virologically suppressed patients switching from their current antiretroviral regimen (CAR).</w:t>
      </w:r>
    </w:p>
    <w:p w14:paraId="71FA27F4" w14:textId="73D49038" w:rsidR="00EB01CD" w:rsidRPr="0027069C" w:rsidRDefault="00EB01CD" w:rsidP="00A13DA0">
      <w:pPr>
        <w:spacing w:after="120" w:line="240" w:lineRule="auto"/>
      </w:pPr>
      <w:r w:rsidRPr="0027069C">
        <w:t xml:space="preserve">SWORD-1 and SWORD-2 are identical 148-week, Phase III, randomised, </w:t>
      </w:r>
      <w:proofErr w:type="spellStart"/>
      <w:r w:rsidRPr="0027069C">
        <w:t>multicenter</w:t>
      </w:r>
      <w:proofErr w:type="spellEnd"/>
      <w:r w:rsidRPr="0027069C">
        <w:t>, parallel-group, non-inferiority studies. A total of 1,024 adult HIV-1 infected subjects who were on a stable suppressive antiretroviral regimen (containing 2 NRTIs plus either an INI, an NNRTI, or a PI) received treatment in the studies. Subjects were randomised 1:1 to continue their CAR or be switched to a two-drug regimen dolutegravir plus rilpivirine administered once daily. At Week 52, subjects who were originally assigned to continue their CAR and remained virologically suppressed switched to dolutegravir plus rilpivirine and are planned to be followed to Week 148. The primary efficacy endpoint for the SWORD studies was the proportion of subjects with plasma HIV-1 RNA &lt;50 copies/mL at Week 48 (Snapshot algorithm for the ITT-E population).</w:t>
      </w:r>
    </w:p>
    <w:p w14:paraId="24DBA31E" w14:textId="77777777" w:rsidR="00EB01CD" w:rsidRPr="0027069C" w:rsidRDefault="00EB01CD" w:rsidP="00A13DA0">
      <w:pPr>
        <w:spacing w:after="120" w:line="240" w:lineRule="auto"/>
      </w:pPr>
      <w:r w:rsidRPr="0027069C">
        <w:t>At baseline, in the pooled analysis, the median age of subjects was 43 years, 22% female, 20% non-white, 11% were CDC Class C (AIDS), and 11% had CD4+ cell count less than 350 cells per mm3; these characteristics were similar between treatment arms. In the pooled analysis, 54%, 26%, and 20% of subjects were receiving an NNRTI, PI, or INI (respectively) as their baseline third treatment agent class prior to randomisation and was similar between treatment arms.</w:t>
      </w:r>
    </w:p>
    <w:p w14:paraId="190D89E5" w14:textId="56A778EA" w:rsidR="00EB01CD" w:rsidRPr="0027069C" w:rsidRDefault="00EB01CD" w:rsidP="00A13DA0">
      <w:pPr>
        <w:spacing w:after="120" w:line="240" w:lineRule="auto"/>
        <w:rPr>
          <w:lang w:val="en-US"/>
        </w:rPr>
      </w:pPr>
      <w:r w:rsidRPr="0027069C">
        <w:rPr>
          <w:lang w:val="en-US"/>
        </w:rPr>
        <w:t xml:space="preserve">The pooled primary analysis demonstrated that dolutegravir plus rilpivirine is non-inferior to CAR, with 95% of subjects in both arms achieving the primary endpoint of &lt;50 copies/mL plasma HIV-1 RNA at Week 48 based on the Snapshot algorithm (Table </w:t>
      </w:r>
      <w:r w:rsidR="005D7F85">
        <w:rPr>
          <w:lang w:val="en-US"/>
        </w:rPr>
        <w:t>10</w:t>
      </w:r>
      <w:r w:rsidRPr="0027069C">
        <w:rPr>
          <w:lang w:val="en-US"/>
        </w:rPr>
        <w:t>).</w:t>
      </w:r>
    </w:p>
    <w:p w14:paraId="376FE16C" w14:textId="71D69A72" w:rsidR="00EB01CD" w:rsidRPr="0027069C" w:rsidRDefault="00EB01CD" w:rsidP="00A13DA0">
      <w:pPr>
        <w:spacing w:after="120" w:line="240" w:lineRule="auto"/>
      </w:pPr>
      <w:r w:rsidRPr="0027069C">
        <w:t xml:space="preserve">The primary endpoint and other outcomes (including outcomes by key baseline covariates) for the pooled </w:t>
      </w:r>
      <w:r w:rsidRPr="0027069C">
        <w:rPr>
          <w:rFonts w:eastAsia="MS Mincho"/>
        </w:rPr>
        <w:t xml:space="preserve">SWORD-1 and SWORD-2 studies </w:t>
      </w:r>
      <w:r w:rsidRPr="0027069C">
        <w:t xml:space="preserve">are shown in Table </w:t>
      </w:r>
      <w:r w:rsidR="005D7F85">
        <w:t>10</w:t>
      </w:r>
      <w:r w:rsidRPr="0027069C">
        <w:t>.</w:t>
      </w:r>
    </w:p>
    <w:p w14:paraId="55918C15" w14:textId="50F007C4" w:rsidR="00EB01CD" w:rsidRPr="005B123A" w:rsidRDefault="00EB01CD" w:rsidP="00EB01CD">
      <w:pPr>
        <w:keepNext/>
        <w:ind w:left="1440" w:hanging="1440"/>
        <w:rPr>
          <w:b/>
          <w:bCs/>
        </w:rPr>
      </w:pPr>
      <w:r w:rsidRPr="005B123A">
        <w:rPr>
          <w:b/>
          <w:bCs/>
        </w:rPr>
        <w:lastRenderedPageBreak/>
        <w:t xml:space="preserve">Table </w:t>
      </w:r>
      <w:r w:rsidR="005D7F85">
        <w:rPr>
          <w:b/>
          <w:bCs/>
        </w:rPr>
        <w:t>10</w:t>
      </w:r>
      <w:r w:rsidRPr="005B123A">
        <w:rPr>
          <w:b/>
          <w:bCs/>
        </w:rPr>
        <w:tab/>
        <w:t>Virologic Outcomes of Randomised Treatment for Virologically Suppressed Subjects at Week 48 (Snapshot algorithm)</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1890"/>
        <w:gridCol w:w="1890"/>
      </w:tblGrid>
      <w:tr w:rsidR="00EB01CD" w:rsidRPr="005B123A" w14:paraId="445DC1C2" w14:textId="77777777" w:rsidTr="00B803AC">
        <w:tc>
          <w:tcPr>
            <w:tcW w:w="4878" w:type="dxa"/>
            <w:vMerge w:val="restart"/>
            <w:tcBorders>
              <w:top w:val="single" w:sz="4" w:space="0" w:color="auto"/>
              <w:left w:val="single" w:sz="4" w:space="0" w:color="auto"/>
              <w:bottom w:val="single" w:sz="4" w:space="0" w:color="auto"/>
              <w:right w:val="single" w:sz="4" w:space="0" w:color="auto"/>
            </w:tcBorders>
          </w:tcPr>
          <w:p w14:paraId="4BB7D21A" w14:textId="77777777" w:rsidR="00EB01CD" w:rsidRPr="005B123A" w:rsidRDefault="00EB01CD" w:rsidP="00B803AC">
            <w:pPr>
              <w:keepNext/>
              <w:spacing w:after="0"/>
              <w:rPr>
                <w:rFonts w:ascii="Arial Narrow" w:hAnsi="Arial Narrow" w:cs="Arial Narrow"/>
                <w:lang w:val="en-US"/>
              </w:rPr>
            </w:pPr>
          </w:p>
        </w:tc>
        <w:tc>
          <w:tcPr>
            <w:tcW w:w="3780" w:type="dxa"/>
            <w:gridSpan w:val="2"/>
            <w:tcBorders>
              <w:top w:val="single" w:sz="4" w:space="0" w:color="auto"/>
              <w:left w:val="single" w:sz="4" w:space="0" w:color="auto"/>
              <w:bottom w:val="single" w:sz="4" w:space="0" w:color="auto"/>
              <w:right w:val="single" w:sz="4" w:space="0" w:color="auto"/>
            </w:tcBorders>
            <w:hideMark/>
          </w:tcPr>
          <w:p w14:paraId="66040C6E" w14:textId="77777777" w:rsidR="00EB01CD" w:rsidRPr="005B123A" w:rsidRDefault="00EB01CD" w:rsidP="00B803AC">
            <w:pPr>
              <w:keepNext/>
              <w:spacing w:after="0"/>
              <w:jc w:val="center"/>
              <w:rPr>
                <w:rFonts w:ascii="Arial Narrow" w:hAnsi="Arial Narrow" w:cs="Arial Narrow"/>
                <w:b/>
                <w:lang w:val="en-US"/>
              </w:rPr>
            </w:pPr>
            <w:r w:rsidRPr="005B123A">
              <w:rPr>
                <w:rFonts w:ascii="Arial Narrow" w:hAnsi="Arial Narrow" w:cs="Arial Narrow"/>
                <w:b/>
                <w:lang w:val="en-US"/>
              </w:rPr>
              <w:t>SWORD-1 and SWORD-2 Pooled Data</w:t>
            </w:r>
          </w:p>
        </w:tc>
      </w:tr>
      <w:tr w:rsidR="00EB01CD" w:rsidRPr="005B123A" w14:paraId="1D34D63E" w14:textId="77777777" w:rsidTr="00B803AC">
        <w:tc>
          <w:tcPr>
            <w:tcW w:w="0" w:type="auto"/>
            <w:vMerge/>
            <w:tcBorders>
              <w:top w:val="single" w:sz="4" w:space="0" w:color="auto"/>
              <w:left w:val="single" w:sz="4" w:space="0" w:color="auto"/>
              <w:bottom w:val="single" w:sz="4" w:space="0" w:color="auto"/>
              <w:right w:val="single" w:sz="4" w:space="0" w:color="auto"/>
            </w:tcBorders>
            <w:vAlign w:val="center"/>
            <w:hideMark/>
          </w:tcPr>
          <w:p w14:paraId="5BDF1B99" w14:textId="77777777" w:rsidR="00EB01CD" w:rsidRPr="005B123A" w:rsidRDefault="00EB01CD" w:rsidP="00B803AC">
            <w:pPr>
              <w:spacing w:after="0"/>
              <w:rPr>
                <w:rFonts w:ascii="Arial Narrow" w:hAnsi="Arial Narrow" w:cs="Arial Narrow"/>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19329A8B" w14:textId="77777777" w:rsidR="00EB01CD" w:rsidRPr="005B123A" w:rsidRDefault="00EB01CD" w:rsidP="00B803AC">
            <w:pPr>
              <w:keepNext/>
              <w:spacing w:after="0"/>
              <w:jc w:val="center"/>
              <w:rPr>
                <w:rFonts w:ascii="Arial Narrow" w:hAnsi="Arial Narrow" w:cs="Arial Narrow"/>
                <w:b/>
                <w:lang w:val="en-US"/>
              </w:rPr>
            </w:pPr>
            <w:r w:rsidRPr="005B123A">
              <w:rPr>
                <w:rFonts w:ascii="Arial Narrow" w:hAnsi="Arial Narrow" w:cs="Arial Narrow"/>
                <w:b/>
                <w:lang w:val="en-US"/>
              </w:rPr>
              <w:t>DTG + RPV</w:t>
            </w:r>
          </w:p>
          <w:p w14:paraId="455F97CB" w14:textId="77777777" w:rsidR="00EB01CD" w:rsidRPr="005B123A" w:rsidRDefault="00EB01CD" w:rsidP="00B803AC">
            <w:pPr>
              <w:keepNext/>
              <w:spacing w:after="0"/>
              <w:jc w:val="center"/>
              <w:rPr>
                <w:rFonts w:ascii="Arial Narrow" w:hAnsi="Arial Narrow" w:cs="Arial Narrow"/>
                <w:b/>
                <w:lang w:val="en-US"/>
              </w:rPr>
            </w:pPr>
            <w:r w:rsidRPr="005B123A">
              <w:rPr>
                <w:rFonts w:ascii="Arial Narrow" w:hAnsi="Arial Narrow" w:cs="Arial Narrow"/>
                <w:b/>
                <w:lang w:val="en-US"/>
              </w:rPr>
              <w:t>N=513</w:t>
            </w:r>
          </w:p>
        </w:tc>
        <w:tc>
          <w:tcPr>
            <w:tcW w:w="1890" w:type="dxa"/>
            <w:tcBorders>
              <w:top w:val="single" w:sz="4" w:space="0" w:color="auto"/>
              <w:left w:val="single" w:sz="4" w:space="0" w:color="auto"/>
              <w:bottom w:val="single" w:sz="4" w:space="0" w:color="auto"/>
              <w:right w:val="single" w:sz="4" w:space="0" w:color="auto"/>
            </w:tcBorders>
            <w:hideMark/>
          </w:tcPr>
          <w:p w14:paraId="7F4F23A7" w14:textId="77777777" w:rsidR="00EB01CD" w:rsidRPr="005B123A" w:rsidRDefault="00EB01CD" w:rsidP="00B803AC">
            <w:pPr>
              <w:keepNext/>
              <w:spacing w:after="0"/>
              <w:jc w:val="center"/>
              <w:rPr>
                <w:rFonts w:ascii="Arial Narrow" w:hAnsi="Arial Narrow" w:cs="Arial Narrow"/>
                <w:b/>
                <w:lang w:val="en-US"/>
              </w:rPr>
            </w:pPr>
            <w:r w:rsidRPr="005B123A">
              <w:rPr>
                <w:rFonts w:ascii="Arial Narrow" w:hAnsi="Arial Narrow" w:cs="Arial Narrow"/>
                <w:b/>
                <w:lang w:val="en-US"/>
              </w:rPr>
              <w:t>CAR</w:t>
            </w:r>
          </w:p>
          <w:p w14:paraId="1A17C6DD" w14:textId="77777777" w:rsidR="00EB01CD" w:rsidRPr="005B123A" w:rsidRDefault="00EB01CD" w:rsidP="00B803AC">
            <w:pPr>
              <w:keepNext/>
              <w:spacing w:after="0"/>
              <w:jc w:val="center"/>
              <w:rPr>
                <w:rFonts w:ascii="Arial Narrow" w:hAnsi="Arial Narrow" w:cs="Arial Narrow"/>
                <w:b/>
                <w:lang w:val="en-US"/>
              </w:rPr>
            </w:pPr>
            <w:r w:rsidRPr="005B123A">
              <w:rPr>
                <w:rFonts w:ascii="Arial Narrow" w:hAnsi="Arial Narrow" w:cs="Arial Narrow"/>
                <w:b/>
                <w:lang w:val="en-US"/>
              </w:rPr>
              <w:t>N=511</w:t>
            </w:r>
          </w:p>
        </w:tc>
      </w:tr>
      <w:tr w:rsidR="00EB01CD" w:rsidRPr="005B123A" w14:paraId="17E8B499" w14:textId="77777777" w:rsidTr="00B803AC">
        <w:tc>
          <w:tcPr>
            <w:tcW w:w="4878" w:type="dxa"/>
            <w:tcBorders>
              <w:top w:val="single" w:sz="4" w:space="0" w:color="auto"/>
              <w:left w:val="single" w:sz="4" w:space="0" w:color="auto"/>
              <w:bottom w:val="single" w:sz="4" w:space="0" w:color="auto"/>
              <w:right w:val="single" w:sz="4" w:space="0" w:color="auto"/>
            </w:tcBorders>
            <w:vAlign w:val="center"/>
            <w:hideMark/>
          </w:tcPr>
          <w:p w14:paraId="0F0BC6B8" w14:textId="77777777" w:rsidR="00EB01CD" w:rsidRPr="005B123A" w:rsidRDefault="00EB01CD" w:rsidP="00A13DA0">
            <w:pPr>
              <w:spacing w:after="0"/>
              <w:rPr>
                <w:rFonts w:ascii="Arial Narrow" w:hAnsi="Arial Narrow" w:cs="Arial Narrow"/>
                <w:b/>
                <w:lang w:val="en-US"/>
              </w:rPr>
            </w:pPr>
            <w:r w:rsidRPr="005B123A">
              <w:rPr>
                <w:rFonts w:ascii="Arial Narrow" w:hAnsi="Arial Narrow" w:cs="Arial Narrow"/>
                <w:b/>
                <w:lang w:val="en-US"/>
              </w:rPr>
              <w:t>HIV-1 RNA &lt;50 copies/mL</w:t>
            </w:r>
          </w:p>
        </w:tc>
        <w:tc>
          <w:tcPr>
            <w:tcW w:w="1890" w:type="dxa"/>
            <w:tcBorders>
              <w:top w:val="single" w:sz="4" w:space="0" w:color="auto"/>
              <w:left w:val="single" w:sz="4" w:space="0" w:color="auto"/>
              <w:bottom w:val="single" w:sz="4" w:space="0" w:color="auto"/>
              <w:right w:val="single" w:sz="4" w:space="0" w:color="auto"/>
            </w:tcBorders>
            <w:hideMark/>
          </w:tcPr>
          <w:p w14:paraId="51D32B2D" w14:textId="77777777" w:rsidR="00EB01CD" w:rsidRPr="005B123A" w:rsidRDefault="00EB01CD" w:rsidP="00B803AC">
            <w:pPr>
              <w:keepNext/>
              <w:spacing w:after="0"/>
              <w:jc w:val="center"/>
              <w:rPr>
                <w:rFonts w:ascii="Arial Narrow" w:hAnsi="Arial Narrow" w:cs="Arial Narrow"/>
                <w:lang w:val="en-US"/>
              </w:rPr>
            </w:pPr>
            <w:r w:rsidRPr="005B123A">
              <w:rPr>
                <w:rFonts w:ascii="Arial Narrow" w:hAnsi="Arial Narrow" w:cs="Arial Narrow"/>
                <w:lang w:val="en-US"/>
              </w:rPr>
              <w:t>95%</w:t>
            </w:r>
          </w:p>
        </w:tc>
        <w:tc>
          <w:tcPr>
            <w:tcW w:w="1890" w:type="dxa"/>
            <w:tcBorders>
              <w:top w:val="single" w:sz="4" w:space="0" w:color="auto"/>
              <w:left w:val="single" w:sz="4" w:space="0" w:color="auto"/>
              <w:bottom w:val="single" w:sz="4" w:space="0" w:color="auto"/>
              <w:right w:val="single" w:sz="4" w:space="0" w:color="auto"/>
            </w:tcBorders>
            <w:hideMark/>
          </w:tcPr>
          <w:p w14:paraId="2D2C4F3D" w14:textId="77777777" w:rsidR="00EB01CD" w:rsidRPr="005B123A" w:rsidRDefault="00EB01CD" w:rsidP="00B803AC">
            <w:pPr>
              <w:keepNext/>
              <w:spacing w:after="0"/>
              <w:jc w:val="center"/>
              <w:rPr>
                <w:rFonts w:ascii="Arial Narrow" w:hAnsi="Arial Narrow" w:cs="Arial Narrow"/>
                <w:lang w:val="en-US"/>
              </w:rPr>
            </w:pPr>
            <w:r w:rsidRPr="005B123A">
              <w:rPr>
                <w:rFonts w:ascii="Arial Narrow" w:hAnsi="Arial Narrow" w:cs="Arial Narrow"/>
                <w:lang w:val="en-US"/>
              </w:rPr>
              <w:t>95%</w:t>
            </w:r>
          </w:p>
        </w:tc>
      </w:tr>
      <w:tr w:rsidR="00EB01CD" w:rsidRPr="005B123A" w14:paraId="194FBA56" w14:textId="77777777" w:rsidTr="00B803AC">
        <w:tc>
          <w:tcPr>
            <w:tcW w:w="4878" w:type="dxa"/>
            <w:tcBorders>
              <w:top w:val="single" w:sz="4" w:space="0" w:color="auto"/>
              <w:left w:val="single" w:sz="4" w:space="0" w:color="auto"/>
              <w:bottom w:val="single" w:sz="4" w:space="0" w:color="auto"/>
              <w:right w:val="single" w:sz="4" w:space="0" w:color="auto"/>
            </w:tcBorders>
            <w:vAlign w:val="center"/>
            <w:hideMark/>
          </w:tcPr>
          <w:p w14:paraId="55651877" w14:textId="77777777" w:rsidR="00EB01CD" w:rsidRPr="005B123A" w:rsidRDefault="00EB01CD" w:rsidP="00A13DA0">
            <w:pPr>
              <w:spacing w:after="0"/>
              <w:rPr>
                <w:rFonts w:ascii="Arial Narrow" w:hAnsi="Arial Narrow" w:cs="Arial Narrow"/>
                <w:b/>
                <w:lang w:val="en-US"/>
              </w:rPr>
            </w:pPr>
            <w:r w:rsidRPr="005B123A">
              <w:rPr>
                <w:rFonts w:ascii="Arial Narrow" w:hAnsi="Arial Narrow" w:cs="Arial Narrow"/>
                <w:b/>
                <w:lang w:val="en-US"/>
              </w:rPr>
              <w:t xml:space="preserve"> Treatment Difference*</w:t>
            </w:r>
          </w:p>
        </w:tc>
        <w:tc>
          <w:tcPr>
            <w:tcW w:w="3780" w:type="dxa"/>
            <w:gridSpan w:val="2"/>
            <w:tcBorders>
              <w:top w:val="single" w:sz="4" w:space="0" w:color="auto"/>
              <w:left w:val="single" w:sz="4" w:space="0" w:color="auto"/>
              <w:bottom w:val="single" w:sz="4" w:space="0" w:color="auto"/>
              <w:right w:val="single" w:sz="4" w:space="0" w:color="auto"/>
            </w:tcBorders>
            <w:hideMark/>
          </w:tcPr>
          <w:p w14:paraId="226860A1"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-0.2 (-3.0, 2.5)</w:t>
            </w:r>
          </w:p>
        </w:tc>
      </w:tr>
      <w:tr w:rsidR="00EB01CD" w:rsidRPr="005B123A" w14:paraId="31961EB7" w14:textId="77777777" w:rsidTr="00B803AC">
        <w:tc>
          <w:tcPr>
            <w:tcW w:w="4878" w:type="dxa"/>
            <w:tcBorders>
              <w:top w:val="single" w:sz="4" w:space="0" w:color="auto"/>
              <w:left w:val="single" w:sz="4" w:space="0" w:color="auto"/>
              <w:bottom w:val="single" w:sz="4" w:space="0" w:color="auto"/>
              <w:right w:val="single" w:sz="4" w:space="0" w:color="auto"/>
            </w:tcBorders>
            <w:hideMark/>
          </w:tcPr>
          <w:p w14:paraId="22AC3169" w14:textId="77777777" w:rsidR="00EB01CD" w:rsidRPr="005B123A" w:rsidRDefault="00EB01CD" w:rsidP="00A13DA0">
            <w:pPr>
              <w:spacing w:after="0"/>
              <w:rPr>
                <w:rFonts w:ascii="Arial Narrow" w:hAnsi="Arial Narrow" w:cs="Arial Narrow"/>
                <w:b/>
                <w:lang w:val="en-US"/>
              </w:rPr>
            </w:pPr>
            <w:r w:rsidRPr="005B123A">
              <w:rPr>
                <w:rFonts w:ascii="Arial Narrow" w:hAnsi="Arial Narrow" w:cs="Arial Narrow"/>
                <w:b/>
                <w:lang w:val="en-US"/>
              </w:rPr>
              <w:t xml:space="preserve">Virologic </w:t>
            </w:r>
            <w:proofErr w:type="gramStart"/>
            <w:r w:rsidRPr="005B123A">
              <w:rPr>
                <w:rFonts w:ascii="Arial Narrow" w:hAnsi="Arial Narrow" w:cs="Arial Narrow"/>
                <w:b/>
                <w:lang w:val="en-US"/>
              </w:rPr>
              <w:t>non response</w:t>
            </w:r>
            <w:proofErr w:type="gramEnd"/>
            <w:r w:rsidRPr="005B123A">
              <w:rPr>
                <w:rFonts w:ascii="Arial Narrow" w:hAnsi="Arial Narrow" w:cs="Arial Narrow"/>
                <w:b/>
                <w:vertAlign w:val="superscript"/>
                <w:lang w:val="en-US"/>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2F05D84"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&lt;1%</w:t>
            </w:r>
          </w:p>
        </w:tc>
        <w:tc>
          <w:tcPr>
            <w:tcW w:w="1890" w:type="dxa"/>
            <w:tcBorders>
              <w:top w:val="single" w:sz="4" w:space="0" w:color="auto"/>
              <w:left w:val="single" w:sz="4" w:space="0" w:color="auto"/>
              <w:bottom w:val="single" w:sz="4" w:space="0" w:color="auto"/>
              <w:right w:val="single" w:sz="4" w:space="0" w:color="auto"/>
            </w:tcBorders>
            <w:hideMark/>
          </w:tcPr>
          <w:p w14:paraId="1A4058AA"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1%</w:t>
            </w:r>
          </w:p>
        </w:tc>
      </w:tr>
      <w:tr w:rsidR="00EB01CD" w:rsidRPr="005B123A" w14:paraId="29BAA795" w14:textId="77777777" w:rsidTr="00B803AC">
        <w:tc>
          <w:tcPr>
            <w:tcW w:w="4878" w:type="dxa"/>
            <w:tcBorders>
              <w:top w:val="single" w:sz="4" w:space="0" w:color="auto"/>
              <w:left w:val="single" w:sz="4" w:space="0" w:color="auto"/>
              <w:bottom w:val="nil"/>
              <w:right w:val="single" w:sz="4" w:space="0" w:color="auto"/>
            </w:tcBorders>
            <w:hideMark/>
          </w:tcPr>
          <w:p w14:paraId="67252BB8"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u w:val="single"/>
                <w:lang w:val="en-US"/>
              </w:rPr>
              <w:t>Reasons</w:t>
            </w:r>
          </w:p>
        </w:tc>
        <w:tc>
          <w:tcPr>
            <w:tcW w:w="1890" w:type="dxa"/>
            <w:tcBorders>
              <w:top w:val="single" w:sz="4" w:space="0" w:color="auto"/>
              <w:left w:val="single" w:sz="4" w:space="0" w:color="auto"/>
              <w:bottom w:val="nil"/>
              <w:right w:val="single" w:sz="4" w:space="0" w:color="auto"/>
            </w:tcBorders>
            <w:vAlign w:val="center"/>
          </w:tcPr>
          <w:p w14:paraId="180B1880" w14:textId="77777777" w:rsidR="00EB01CD" w:rsidRPr="005B123A" w:rsidRDefault="00EB01CD" w:rsidP="00A13DA0">
            <w:pPr>
              <w:spacing w:after="0"/>
              <w:jc w:val="center"/>
              <w:rPr>
                <w:rFonts w:ascii="Arial Narrow" w:hAnsi="Arial Narrow" w:cs="Arial Narrow"/>
                <w:lang w:val="en-US"/>
              </w:rPr>
            </w:pPr>
          </w:p>
        </w:tc>
        <w:tc>
          <w:tcPr>
            <w:tcW w:w="1890" w:type="dxa"/>
            <w:tcBorders>
              <w:top w:val="single" w:sz="4" w:space="0" w:color="auto"/>
              <w:left w:val="single" w:sz="4" w:space="0" w:color="auto"/>
              <w:bottom w:val="nil"/>
              <w:right w:val="single" w:sz="4" w:space="0" w:color="auto"/>
            </w:tcBorders>
            <w:vAlign w:val="center"/>
          </w:tcPr>
          <w:p w14:paraId="7CB79421" w14:textId="77777777" w:rsidR="00EB01CD" w:rsidRPr="005B123A" w:rsidRDefault="00EB01CD" w:rsidP="00A13DA0">
            <w:pPr>
              <w:spacing w:after="0"/>
              <w:jc w:val="center"/>
              <w:rPr>
                <w:rFonts w:ascii="Arial Narrow" w:hAnsi="Arial Narrow" w:cs="Arial Narrow"/>
                <w:lang w:val="en-US"/>
              </w:rPr>
            </w:pPr>
          </w:p>
        </w:tc>
      </w:tr>
      <w:tr w:rsidR="00EB01CD" w:rsidRPr="005B123A" w14:paraId="3B32767D" w14:textId="77777777" w:rsidTr="00B803AC">
        <w:tc>
          <w:tcPr>
            <w:tcW w:w="4878" w:type="dxa"/>
            <w:tcBorders>
              <w:top w:val="nil"/>
              <w:left w:val="single" w:sz="4" w:space="0" w:color="auto"/>
              <w:bottom w:val="nil"/>
              <w:right w:val="single" w:sz="4" w:space="0" w:color="auto"/>
            </w:tcBorders>
            <w:hideMark/>
          </w:tcPr>
          <w:p w14:paraId="78BBC0B0" w14:textId="77777777" w:rsidR="00EB01CD" w:rsidRPr="005B123A" w:rsidRDefault="00EB01CD" w:rsidP="00A13DA0">
            <w:pPr>
              <w:spacing w:after="0"/>
              <w:ind w:left="144"/>
              <w:rPr>
                <w:rFonts w:ascii="Arial Narrow" w:hAnsi="Arial Narrow" w:cs="Arial Narrow"/>
                <w:lang w:val="en-US"/>
              </w:rPr>
            </w:pPr>
            <w:r w:rsidRPr="005B123A">
              <w:rPr>
                <w:rFonts w:ascii="Arial Narrow" w:hAnsi="Arial Narrow" w:cs="Arial Narrow"/>
                <w:lang w:val="en-US"/>
              </w:rPr>
              <w:t xml:space="preserve">Data in window not &lt;50 copies/mL </w:t>
            </w:r>
          </w:p>
        </w:tc>
        <w:tc>
          <w:tcPr>
            <w:tcW w:w="1890" w:type="dxa"/>
            <w:tcBorders>
              <w:top w:val="nil"/>
              <w:left w:val="single" w:sz="4" w:space="0" w:color="auto"/>
              <w:bottom w:val="nil"/>
              <w:right w:val="single" w:sz="4" w:space="0" w:color="auto"/>
            </w:tcBorders>
            <w:vAlign w:val="center"/>
            <w:hideMark/>
          </w:tcPr>
          <w:p w14:paraId="55DC1DAB"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0</w:t>
            </w:r>
          </w:p>
        </w:tc>
        <w:tc>
          <w:tcPr>
            <w:tcW w:w="1890" w:type="dxa"/>
            <w:tcBorders>
              <w:top w:val="nil"/>
              <w:left w:val="single" w:sz="4" w:space="0" w:color="auto"/>
              <w:bottom w:val="nil"/>
              <w:right w:val="single" w:sz="4" w:space="0" w:color="auto"/>
            </w:tcBorders>
            <w:vAlign w:val="center"/>
            <w:hideMark/>
          </w:tcPr>
          <w:p w14:paraId="786AFB2A"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&lt;1%</w:t>
            </w:r>
          </w:p>
        </w:tc>
      </w:tr>
      <w:tr w:rsidR="00EB01CD" w:rsidRPr="005B123A" w14:paraId="04DBCCF6" w14:textId="77777777" w:rsidTr="00B803AC">
        <w:tc>
          <w:tcPr>
            <w:tcW w:w="4878" w:type="dxa"/>
            <w:tcBorders>
              <w:top w:val="nil"/>
              <w:left w:val="single" w:sz="4" w:space="0" w:color="auto"/>
              <w:bottom w:val="nil"/>
              <w:right w:val="single" w:sz="4" w:space="0" w:color="auto"/>
            </w:tcBorders>
            <w:vAlign w:val="center"/>
            <w:hideMark/>
          </w:tcPr>
          <w:p w14:paraId="19F8798C" w14:textId="77777777" w:rsidR="00EB01CD" w:rsidRPr="005B123A" w:rsidRDefault="00EB01CD" w:rsidP="00A13DA0">
            <w:pPr>
              <w:spacing w:after="0"/>
              <w:ind w:left="144"/>
              <w:rPr>
                <w:rFonts w:ascii="Arial Narrow" w:hAnsi="Arial Narrow" w:cs="Arial Narrow"/>
                <w:lang w:val="en-US"/>
              </w:rPr>
            </w:pPr>
            <w:r w:rsidRPr="005B123A">
              <w:rPr>
                <w:rFonts w:ascii="Arial Narrow" w:hAnsi="Arial Narrow" w:cs="Arial Narrow"/>
                <w:lang w:val="en-US"/>
              </w:rPr>
              <w:t>Discontinued for lack of efficacy</w:t>
            </w:r>
          </w:p>
        </w:tc>
        <w:tc>
          <w:tcPr>
            <w:tcW w:w="1890" w:type="dxa"/>
            <w:tcBorders>
              <w:top w:val="nil"/>
              <w:left w:val="single" w:sz="4" w:space="0" w:color="auto"/>
              <w:bottom w:val="nil"/>
              <w:right w:val="single" w:sz="4" w:space="0" w:color="auto"/>
            </w:tcBorders>
            <w:vAlign w:val="center"/>
            <w:hideMark/>
          </w:tcPr>
          <w:p w14:paraId="6C5BA50E"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 xml:space="preserve">&lt;1% </w:t>
            </w:r>
          </w:p>
        </w:tc>
        <w:tc>
          <w:tcPr>
            <w:tcW w:w="1890" w:type="dxa"/>
            <w:tcBorders>
              <w:top w:val="nil"/>
              <w:left w:val="single" w:sz="4" w:space="0" w:color="auto"/>
              <w:bottom w:val="nil"/>
              <w:right w:val="single" w:sz="4" w:space="0" w:color="auto"/>
            </w:tcBorders>
            <w:vAlign w:val="center"/>
            <w:hideMark/>
          </w:tcPr>
          <w:p w14:paraId="12D808F1"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&lt;1%</w:t>
            </w:r>
          </w:p>
        </w:tc>
      </w:tr>
      <w:tr w:rsidR="00EB01CD" w:rsidRPr="005B123A" w14:paraId="2EAAD670" w14:textId="77777777" w:rsidTr="00B803AC">
        <w:tc>
          <w:tcPr>
            <w:tcW w:w="4878" w:type="dxa"/>
            <w:tcBorders>
              <w:top w:val="nil"/>
              <w:left w:val="single" w:sz="4" w:space="0" w:color="auto"/>
              <w:bottom w:val="nil"/>
              <w:right w:val="single" w:sz="4" w:space="0" w:color="auto"/>
            </w:tcBorders>
            <w:hideMark/>
          </w:tcPr>
          <w:p w14:paraId="7F52B0D0" w14:textId="77777777" w:rsidR="00EB01CD" w:rsidRPr="005B123A" w:rsidRDefault="00EB01CD" w:rsidP="00A13DA0">
            <w:pPr>
              <w:spacing w:after="0"/>
              <w:ind w:left="144"/>
              <w:rPr>
                <w:rFonts w:ascii="Arial Narrow" w:hAnsi="Arial Narrow" w:cs="Arial Narrow"/>
                <w:lang w:val="en-US"/>
              </w:rPr>
            </w:pPr>
            <w:r w:rsidRPr="005B123A">
              <w:rPr>
                <w:rFonts w:ascii="Arial Narrow" w:hAnsi="Arial Narrow" w:cs="Arial Narrow"/>
                <w:lang w:val="en-US"/>
              </w:rPr>
              <w:t>Discontinued for other reasons while not &lt;50 copies/mL</w:t>
            </w:r>
          </w:p>
        </w:tc>
        <w:tc>
          <w:tcPr>
            <w:tcW w:w="1890" w:type="dxa"/>
            <w:tcBorders>
              <w:top w:val="nil"/>
              <w:left w:val="single" w:sz="4" w:space="0" w:color="auto"/>
              <w:bottom w:val="nil"/>
              <w:right w:val="single" w:sz="4" w:space="0" w:color="auto"/>
            </w:tcBorders>
            <w:vAlign w:val="center"/>
            <w:hideMark/>
          </w:tcPr>
          <w:p w14:paraId="2256054A"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 xml:space="preserve">&lt;1% </w:t>
            </w:r>
          </w:p>
        </w:tc>
        <w:tc>
          <w:tcPr>
            <w:tcW w:w="1890" w:type="dxa"/>
            <w:tcBorders>
              <w:top w:val="nil"/>
              <w:left w:val="single" w:sz="4" w:space="0" w:color="auto"/>
              <w:bottom w:val="nil"/>
              <w:right w:val="single" w:sz="4" w:space="0" w:color="auto"/>
            </w:tcBorders>
            <w:vAlign w:val="center"/>
            <w:hideMark/>
          </w:tcPr>
          <w:p w14:paraId="5915A6BF"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 xml:space="preserve">&lt;1% </w:t>
            </w:r>
          </w:p>
        </w:tc>
      </w:tr>
      <w:tr w:rsidR="00EB01CD" w:rsidRPr="005B123A" w14:paraId="25B412F5" w14:textId="77777777" w:rsidTr="00B803AC">
        <w:tc>
          <w:tcPr>
            <w:tcW w:w="4878" w:type="dxa"/>
            <w:tcBorders>
              <w:top w:val="nil"/>
              <w:left w:val="single" w:sz="4" w:space="0" w:color="auto"/>
              <w:bottom w:val="single" w:sz="4" w:space="0" w:color="auto"/>
              <w:right w:val="single" w:sz="4" w:space="0" w:color="auto"/>
            </w:tcBorders>
            <w:hideMark/>
          </w:tcPr>
          <w:p w14:paraId="6AF1537D" w14:textId="77777777" w:rsidR="00EB01CD" w:rsidRPr="005B123A" w:rsidRDefault="00EB01CD" w:rsidP="00A13DA0">
            <w:pPr>
              <w:spacing w:after="0"/>
              <w:ind w:left="144"/>
              <w:rPr>
                <w:rFonts w:ascii="Arial Narrow" w:hAnsi="Arial Narrow" w:cs="Arial Narrow"/>
                <w:lang w:val="en-US"/>
              </w:rPr>
            </w:pPr>
            <w:r w:rsidRPr="005B123A">
              <w:rPr>
                <w:rFonts w:ascii="Arial Narrow" w:hAnsi="Arial Narrow" w:cs="Arial Narrow"/>
                <w:lang w:val="en-US"/>
              </w:rPr>
              <w:t>Change in ART</w:t>
            </w:r>
          </w:p>
        </w:tc>
        <w:tc>
          <w:tcPr>
            <w:tcW w:w="1890" w:type="dxa"/>
            <w:tcBorders>
              <w:top w:val="nil"/>
              <w:left w:val="single" w:sz="4" w:space="0" w:color="auto"/>
              <w:bottom w:val="single" w:sz="4" w:space="0" w:color="auto"/>
              <w:right w:val="single" w:sz="4" w:space="0" w:color="auto"/>
            </w:tcBorders>
            <w:vAlign w:val="center"/>
            <w:hideMark/>
          </w:tcPr>
          <w:p w14:paraId="471CC338"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0</w:t>
            </w:r>
          </w:p>
        </w:tc>
        <w:tc>
          <w:tcPr>
            <w:tcW w:w="1890" w:type="dxa"/>
            <w:tcBorders>
              <w:top w:val="nil"/>
              <w:left w:val="single" w:sz="4" w:space="0" w:color="auto"/>
              <w:bottom w:val="single" w:sz="4" w:space="0" w:color="auto"/>
              <w:right w:val="single" w:sz="4" w:space="0" w:color="auto"/>
            </w:tcBorders>
            <w:vAlign w:val="center"/>
            <w:hideMark/>
          </w:tcPr>
          <w:p w14:paraId="357A08E5"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 xml:space="preserve">&lt;1% </w:t>
            </w:r>
          </w:p>
        </w:tc>
      </w:tr>
      <w:tr w:rsidR="00EB01CD" w:rsidRPr="005B123A" w14:paraId="7A5F38DB" w14:textId="77777777" w:rsidTr="00B803AC">
        <w:tc>
          <w:tcPr>
            <w:tcW w:w="4878" w:type="dxa"/>
            <w:tcBorders>
              <w:top w:val="single" w:sz="4" w:space="0" w:color="auto"/>
              <w:left w:val="single" w:sz="4" w:space="0" w:color="auto"/>
              <w:bottom w:val="single" w:sz="4" w:space="0" w:color="auto"/>
              <w:right w:val="single" w:sz="4" w:space="0" w:color="auto"/>
            </w:tcBorders>
            <w:hideMark/>
          </w:tcPr>
          <w:p w14:paraId="08480BB6" w14:textId="77777777" w:rsidR="00EB01CD" w:rsidRPr="005B123A" w:rsidRDefault="00EB01CD" w:rsidP="00A13DA0">
            <w:pPr>
              <w:spacing w:after="0"/>
              <w:rPr>
                <w:rFonts w:ascii="Arial Narrow" w:hAnsi="Arial Narrow" w:cs="Arial Narrow"/>
                <w:b/>
                <w:lang w:val="en-US"/>
              </w:rPr>
            </w:pPr>
            <w:r w:rsidRPr="005B123A">
              <w:rPr>
                <w:rFonts w:ascii="Arial Narrow" w:hAnsi="Arial Narrow" w:cs="Arial Narrow"/>
                <w:b/>
                <w:lang w:val="en-US"/>
              </w:rPr>
              <w:t>No virologic data at Week 48 window</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EF5FC44"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DDB8A8E"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 xml:space="preserve">4% </w:t>
            </w:r>
          </w:p>
        </w:tc>
      </w:tr>
      <w:tr w:rsidR="00EB01CD" w:rsidRPr="005B123A" w14:paraId="000B008D" w14:textId="77777777" w:rsidTr="00B803AC">
        <w:tc>
          <w:tcPr>
            <w:tcW w:w="4878" w:type="dxa"/>
            <w:tcBorders>
              <w:top w:val="single" w:sz="4" w:space="0" w:color="auto"/>
              <w:left w:val="single" w:sz="4" w:space="0" w:color="auto"/>
              <w:bottom w:val="nil"/>
              <w:right w:val="single" w:sz="4" w:space="0" w:color="auto"/>
            </w:tcBorders>
            <w:hideMark/>
          </w:tcPr>
          <w:p w14:paraId="32153081" w14:textId="77777777" w:rsidR="00EB01CD" w:rsidRPr="005B123A" w:rsidRDefault="00EB01CD" w:rsidP="00A13DA0">
            <w:pPr>
              <w:spacing w:after="0"/>
              <w:rPr>
                <w:rFonts w:ascii="Arial Narrow" w:hAnsi="Arial Narrow" w:cs="Arial Narrow"/>
                <w:u w:val="single"/>
                <w:lang w:val="en-US"/>
              </w:rPr>
            </w:pPr>
            <w:r w:rsidRPr="005B123A">
              <w:rPr>
                <w:rFonts w:ascii="Arial Narrow" w:hAnsi="Arial Narrow" w:cs="Arial Narrow"/>
                <w:u w:val="single"/>
                <w:lang w:val="en-US"/>
              </w:rPr>
              <w:t>Reasons</w:t>
            </w:r>
          </w:p>
        </w:tc>
        <w:tc>
          <w:tcPr>
            <w:tcW w:w="1890" w:type="dxa"/>
            <w:tcBorders>
              <w:top w:val="single" w:sz="4" w:space="0" w:color="auto"/>
              <w:left w:val="single" w:sz="4" w:space="0" w:color="auto"/>
              <w:bottom w:val="nil"/>
              <w:right w:val="single" w:sz="4" w:space="0" w:color="auto"/>
            </w:tcBorders>
            <w:vAlign w:val="center"/>
          </w:tcPr>
          <w:p w14:paraId="71F2A3F2" w14:textId="77777777" w:rsidR="00EB01CD" w:rsidRPr="005B123A" w:rsidRDefault="00EB01CD" w:rsidP="00A13DA0">
            <w:pPr>
              <w:spacing w:after="0"/>
              <w:jc w:val="center"/>
              <w:rPr>
                <w:rFonts w:ascii="Arial Narrow" w:hAnsi="Arial Narrow" w:cs="Arial Narrow"/>
                <w:lang w:val="en-US"/>
              </w:rPr>
            </w:pPr>
          </w:p>
        </w:tc>
        <w:tc>
          <w:tcPr>
            <w:tcW w:w="1890" w:type="dxa"/>
            <w:tcBorders>
              <w:top w:val="single" w:sz="4" w:space="0" w:color="auto"/>
              <w:left w:val="single" w:sz="4" w:space="0" w:color="auto"/>
              <w:bottom w:val="nil"/>
              <w:right w:val="single" w:sz="4" w:space="0" w:color="auto"/>
            </w:tcBorders>
            <w:vAlign w:val="center"/>
          </w:tcPr>
          <w:p w14:paraId="04886803" w14:textId="77777777" w:rsidR="00EB01CD" w:rsidRPr="005B123A" w:rsidRDefault="00EB01CD" w:rsidP="00A13DA0">
            <w:pPr>
              <w:spacing w:after="0"/>
              <w:jc w:val="center"/>
              <w:rPr>
                <w:rFonts w:ascii="Arial Narrow" w:hAnsi="Arial Narrow" w:cs="Arial Narrow"/>
                <w:lang w:val="en-US"/>
              </w:rPr>
            </w:pPr>
          </w:p>
        </w:tc>
      </w:tr>
      <w:tr w:rsidR="00EB01CD" w:rsidRPr="005B123A" w14:paraId="7AB27B18" w14:textId="77777777" w:rsidTr="00B803AC">
        <w:tc>
          <w:tcPr>
            <w:tcW w:w="4878" w:type="dxa"/>
            <w:tcBorders>
              <w:top w:val="nil"/>
              <w:left w:val="single" w:sz="4" w:space="0" w:color="auto"/>
              <w:bottom w:val="nil"/>
              <w:right w:val="single" w:sz="4" w:space="0" w:color="auto"/>
            </w:tcBorders>
            <w:hideMark/>
          </w:tcPr>
          <w:p w14:paraId="4120E34F" w14:textId="77777777" w:rsidR="00EB01CD" w:rsidRPr="005B123A" w:rsidRDefault="00EB01CD" w:rsidP="00A13DA0">
            <w:pPr>
              <w:spacing w:after="0"/>
              <w:ind w:left="180"/>
              <w:rPr>
                <w:rFonts w:ascii="Arial Narrow" w:hAnsi="Arial Narrow" w:cs="Arial Narrow"/>
                <w:lang w:val="en-US"/>
              </w:rPr>
            </w:pPr>
            <w:r w:rsidRPr="005B123A">
              <w:rPr>
                <w:rFonts w:ascii="Arial Narrow" w:hAnsi="Arial Narrow" w:cs="Arial Narrow"/>
                <w:lang w:val="en-US"/>
              </w:rPr>
              <w:t xml:space="preserve">Discontinued study/study drug due to adverse event or death </w:t>
            </w:r>
          </w:p>
        </w:tc>
        <w:tc>
          <w:tcPr>
            <w:tcW w:w="1890" w:type="dxa"/>
            <w:tcBorders>
              <w:top w:val="nil"/>
              <w:left w:val="single" w:sz="4" w:space="0" w:color="auto"/>
              <w:bottom w:val="nil"/>
              <w:right w:val="single" w:sz="4" w:space="0" w:color="auto"/>
            </w:tcBorders>
            <w:vAlign w:val="center"/>
            <w:hideMark/>
          </w:tcPr>
          <w:p w14:paraId="25BD2F7C"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3%</w:t>
            </w:r>
          </w:p>
        </w:tc>
        <w:tc>
          <w:tcPr>
            <w:tcW w:w="1890" w:type="dxa"/>
            <w:tcBorders>
              <w:top w:val="nil"/>
              <w:left w:val="single" w:sz="4" w:space="0" w:color="auto"/>
              <w:bottom w:val="nil"/>
              <w:right w:val="single" w:sz="4" w:space="0" w:color="auto"/>
            </w:tcBorders>
            <w:vAlign w:val="center"/>
            <w:hideMark/>
          </w:tcPr>
          <w:p w14:paraId="65D36ABB"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 xml:space="preserve">&lt;1% </w:t>
            </w:r>
          </w:p>
        </w:tc>
      </w:tr>
      <w:tr w:rsidR="00EB01CD" w:rsidRPr="005B123A" w14:paraId="7D692610" w14:textId="77777777" w:rsidTr="00B803AC">
        <w:tc>
          <w:tcPr>
            <w:tcW w:w="4878" w:type="dxa"/>
            <w:tcBorders>
              <w:top w:val="nil"/>
              <w:left w:val="single" w:sz="4" w:space="0" w:color="auto"/>
              <w:bottom w:val="nil"/>
              <w:right w:val="single" w:sz="4" w:space="0" w:color="auto"/>
            </w:tcBorders>
            <w:vAlign w:val="center"/>
            <w:hideMark/>
          </w:tcPr>
          <w:p w14:paraId="2C294EE4" w14:textId="77777777" w:rsidR="00EB01CD" w:rsidRPr="005B123A" w:rsidRDefault="00EB01CD" w:rsidP="00A13DA0">
            <w:pPr>
              <w:spacing w:after="0"/>
              <w:ind w:left="180"/>
              <w:rPr>
                <w:rFonts w:ascii="Arial Narrow" w:hAnsi="Arial Narrow" w:cs="Arial Narrow"/>
                <w:lang w:val="en-US"/>
              </w:rPr>
            </w:pPr>
            <w:r w:rsidRPr="005B123A">
              <w:rPr>
                <w:rFonts w:ascii="Arial Narrow" w:hAnsi="Arial Narrow" w:cs="Arial Narrow"/>
                <w:lang w:val="en-US"/>
              </w:rPr>
              <w:t>Discontinued study/study drug for other reasons</w:t>
            </w:r>
          </w:p>
        </w:tc>
        <w:tc>
          <w:tcPr>
            <w:tcW w:w="1890" w:type="dxa"/>
            <w:tcBorders>
              <w:top w:val="nil"/>
              <w:left w:val="single" w:sz="4" w:space="0" w:color="auto"/>
              <w:bottom w:val="nil"/>
              <w:right w:val="single" w:sz="4" w:space="0" w:color="auto"/>
            </w:tcBorders>
            <w:vAlign w:val="center"/>
            <w:hideMark/>
          </w:tcPr>
          <w:p w14:paraId="47C44E61"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 xml:space="preserve">1% </w:t>
            </w:r>
          </w:p>
        </w:tc>
        <w:tc>
          <w:tcPr>
            <w:tcW w:w="1890" w:type="dxa"/>
            <w:tcBorders>
              <w:top w:val="nil"/>
              <w:left w:val="single" w:sz="4" w:space="0" w:color="auto"/>
              <w:bottom w:val="nil"/>
              <w:right w:val="single" w:sz="4" w:space="0" w:color="auto"/>
            </w:tcBorders>
            <w:vAlign w:val="center"/>
            <w:hideMark/>
          </w:tcPr>
          <w:p w14:paraId="50FFB900"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 xml:space="preserve">3% </w:t>
            </w:r>
          </w:p>
        </w:tc>
      </w:tr>
      <w:tr w:rsidR="00EB01CD" w:rsidRPr="005B123A" w14:paraId="3D36B99D" w14:textId="77777777" w:rsidTr="00B803AC">
        <w:tc>
          <w:tcPr>
            <w:tcW w:w="4878" w:type="dxa"/>
            <w:tcBorders>
              <w:top w:val="nil"/>
              <w:left w:val="single" w:sz="4" w:space="0" w:color="auto"/>
              <w:bottom w:val="single" w:sz="4" w:space="0" w:color="auto"/>
              <w:right w:val="single" w:sz="4" w:space="0" w:color="auto"/>
            </w:tcBorders>
            <w:hideMark/>
          </w:tcPr>
          <w:p w14:paraId="45E637B0" w14:textId="77777777" w:rsidR="00EB01CD" w:rsidRPr="005B123A" w:rsidRDefault="00EB01CD" w:rsidP="00A13DA0">
            <w:pPr>
              <w:spacing w:after="0"/>
              <w:ind w:left="180"/>
              <w:rPr>
                <w:rFonts w:ascii="Arial Narrow" w:hAnsi="Arial Narrow" w:cs="Arial Narrow"/>
                <w:lang w:val="en-US"/>
              </w:rPr>
            </w:pPr>
            <w:r w:rsidRPr="005B123A">
              <w:rPr>
                <w:rFonts w:ascii="Arial Narrow" w:hAnsi="Arial Narrow" w:cs="Arial Narrow"/>
                <w:lang w:val="en-US"/>
              </w:rPr>
              <w:t>Missing data during window but on study</w:t>
            </w:r>
          </w:p>
        </w:tc>
        <w:tc>
          <w:tcPr>
            <w:tcW w:w="1890" w:type="dxa"/>
            <w:tcBorders>
              <w:top w:val="nil"/>
              <w:left w:val="single" w:sz="4" w:space="0" w:color="auto"/>
              <w:bottom w:val="single" w:sz="4" w:space="0" w:color="auto"/>
              <w:right w:val="single" w:sz="4" w:space="0" w:color="auto"/>
            </w:tcBorders>
            <w:vAlign w:val="center"/>
            <w:hideMark/>
          </w:tcPr>
          <w:p w14:paraId="2BF328CA"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0</w:t>
            </w:r>
          </w:p>
        </w:tc>
        <w:tc>
          <w:tcPr>
            <w:tcW w:w="1890" w:type="dxa"/>
            <w:tcBorders>
              <w:top w:val="nil"/>
              <w:left w:val="single" w:sz="4" w:space="0" w:color="auto"/>
              <w:bottom w:val="single" w:sz="4" w:space="0" w:color="auto"/>
              <w:right w:val="single" w:sz="4" w:space="0" w:color="auto"/>
            </w:tcBorders>
            <w:vAlign w:val="center"/>
            <w:hideMark/>
          </w:tcPr>
          <w:p w14:paraId="2A709CA9"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 xml:space="preserve">&lt;1% </w:t>
            </w:r>
          </w:p>
        </w:tc>
      </w:tr>
      <w:tr w:rsidR="00EB01CD" w:rsidRPr="005B123A" w14:paraId="5BF7DB1F" w14:textId="77777777" w:rsidTr="00B803AC">
        <w:trPr>
          <w:trHeight w:val="210"/>
        </w:trPr>
        <w:tc>
          <w:tcPr>
            <w:tcW w:w="8658" w:type="dxa"/>
            <w:gridSpan w:val="3"/>
            <w:tcBorders>
              <w:top w:val="single" w:sz="4" w:space="0" w:color="auto"/>
              <w:left w:val="single" w:sz="4" w:space="0" w:color="auto"/>
              <w:bottom w:val="single" w:sz="4" w:space="0" w:color="auto"/>
              <w:right w:val="single" w:sz="4" w:space="0" w:color="auto"/>
            </w:tcBorders>
            <w:vAlign w:val="center"/>
            <w:hideMark/>
          </w:tcPr>
          <w:p w14:paraId="777B9B0B" w14:textId="77777777" w:rsidR="00EB01CD" w:rsidRPr="005B123A" w:rsidRDefault="00EB01CD" w:rsidP="00A13DA0">
            <w:pPr>
              <w:spacing w:after="0"/>
              <w:jc w:val="center"/>
              <w:rPr>
                <w:rFonts w:ascii="Arial Narrow" w:hAnsi="Arial Narrow" w:cs="Arial Narrow"/>
                <w:b/>
                <w:lang w:val="en-US"/>
              </w:rPr>
            </w:pPr>
            <w:r w:rsidRPr="005B123A">
              <w:rPr>
                <w:rFonts w:ascii="Arial Narrow" w:hAnsi="Arial Narrow" w:cs="Arial Narrow"/>
                <w:b/>
                <w:lang w:val="en-US"/>
              </w:rPr>
              <w:t>HIV-1 RNA &lt;50 copies/mL by baseline covariates</w:t>
            </w:r>
          </w:p>
        </w:tc>
      </w:tr>
      <w:tr w:rsidR="00EB01CD" w:rsidRPr="005B123A" w14:paraId="01F28E22" w14:textId="77777777" w:rsidTr="00B803AC">
        <w:trPr>
          <w:trHeight w:val="210"/>
        </w:trPr>
        <w:tc>
          <w:tcPr>
            <w:tcW w:w="4878" w:type="dxa"/>
            <w:tcBorders>
              <w:top w:val="single" w:sz="4" w:space="0" w:color="auto"/>
              <w:left w:val="single" w:sz="4" w:space="0" w:color="auto"/>
              <w:bottom w:val="single" w:sz="4" w:space="0" w:color="auto"/>
              <w:right w:val="single" w:sz="4" w:space="0" w:color="auto"/>
            </w:tcBorders>
            <w:vAlign w:val="center"/>
          </w:tcPr>
          <w:p w14:paraId="4E9E2447" w14:textId="77777777" w:rsidR="00EB01CD" w:rsidRPr="005B123A" w:rsidRDefault="00EB01CD" w:rsidP="00A13DA0">
            <w:pPr>
              <w:spacing w:after="0"/>
              <w:rPr>
                <w:rFonts w:ascii="Arial Narrow" w:hAnsi="Arial Narrow" w:cs="Arial Narrow"/>
                <w:b/>
                <w:lang w:val="en-US"/>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23E2A6D7" w14:textId="77777777" w:rsidR="00EB01CD" w:rsidRPr="005B123A" w:rsidRDefault="00EB01CD" w:rsidP="00A13DA0">
            <w:pPr>
              <w:spacing w:after="0"/>
              <w:jc w:val="center"/>
              <w:rPr>
                <w:rFonts w:ascii="Arial Narrow" w:hAnsi="Arial Narrow" w:cs="Arial Narrow"/>
                <w:b/>
                <w:lang w:val="en-US"/>
              </w:rPr>
            </w:pPr>
            <w:r w:rsidRPr="005B123A">
              <w:rPr>
                <w:rFonts w:ascii="Arial Narrow" w:hAnsi="Arial Narrow" w:cs="Arial Narrow"/>
                <w:b/>
                <w:lang w:val="en-US"/>
              </w:rPr>
              <w:t>n/N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92740ED" w14:textId="77777777" w:rsidR="00EB01CD" w:rsidRPr="005B123A" w:rsidRDefault="00EB01CD" w:rsidP="00A13DA0">
            <w:pPr>
              <w:spacing w:after="0"/>
              <w:jc w:val="center"/>
              <w:rPr>
                <w:rFonts w:ascii="Arial Narrow" w:hAnsi="Arial Narrow" w:cs="Arial Narrow"/>
                <w:b/>
                <w:lang w:val="en-US"/>
              </w:rPr>
            </w:pPr>
            <w:r w:rsidRPr="005B123A">
              <w:rPr>
                <w:rFonts w:ascii="Arial Narrow" w:hAnsi="Arial Narrow" w:cs="Arial Narrow"/>
                <w:b/>
                <w:lang w:val="en-US"/>
              </w:rPr>
              <w:t>n/N (%)</w:t>
            </w:r>
          </w:p>
        </w:tc>
      </w:tr>
      <w:tr w:rsidR="00EB01CD" w:rsidRPr="005B123A" w14:paraId="17D3C514" w14:textId="77777777" w:rsidTr="00B803AC">
        <w:trPr>
          <w:trHeight w:val="210"/>
        </w:trPr>
        <w:tc>
          <w:tcPr>
            <w:tcW w:w="4878" w:type="dxa"/>
            <w:tcBorders>
              <w:top w:val="single" w:sz="4" w:space="0" w:color="auto"/>
              <w:left w:val="single" w:sz="4" w:space="0" w:color="auto"/>
              <w:bottom w:val="single" w:sz="4" w:space="0" w:color="auto"/>
              <w:right w:val="single" w:sz="4" w:space="0" w:color="auto"/>
            </w:tcBorders>
            <w:vAlign w:val="center"/>
            <w:hideMark/>
          </w:tcPr>
          <w:p w14:paraId="51434D25" w14:textId="77777777" w:rsidR="00EB01CD" w:rsidRPr="005B123A" w:rsidRDefault="00EB01CD" w:rsidP="00A13DA0">
            <w:pPr>
              <w:spacing w:after="0"/>
              <w:rPr>
                <w:rFonts w:ascii="Arial Narrow" w:hAnsi="Arial Narrow" w:cs="Arial Narrow"/>
                <w:b/>
                <w:lang w:val="en-US"/>
              </w:rPr>
            </w:pPr>
            <w:r w:rsidRPr="005B123A">
              <w:rPr>
                <w:rFonts w:ascii="Arial Narrow" w:hAnsi="Arial Narrow" w:cs="Arial Narrow"/>
                <w:b/>
                <w:lang w:val="en-US"/>
              </w:rPr>
              <w:t>Baseline CD4+ (cells/</w:t>
            </w:r>
            <w:r w:rsidRPr="005B123A">
              <w:rPr>
                <w:rFonts w:ascii="Arial Narrow" w:hAnsi="Arial Narrow" w:cs="Arial Narrow"/>
                <w:b/>
                <w:bCs/>
                <w:lang w:val="en-US"/>
              </w:rPr>
              <w:t xml:space="preserve"> mm</w:t>
            </w:r>
            <w:r w:rsidRPr="005B123A">
              <w:rPr>
                <w:rFonts w:ascii="Arial Narrow" w:hAnsi="Arial Narrow" w:cs="Arial Narrow"/>
                <w:b/>
                <w:bCs/>
                <w:vertAlign w:val="superscript"/>
                <w:lang w:val="en-US"/>
              </w:rPr>
              <w:t>3</w:t>
            </w:r>
            <w:r w:rsidRPr="005B123A">
              <w:rPr>
                <w:rFonts w:ascii="Arial Narrow" w:hAnsi="Arial Narrow" w:cs="Arial Narrow"/>
                <w:b/>
                <w:lang w:val="en-US"/>
              </w:rPr>
              <w:t>)</w:t>
            </w:r>
          </w:p>
        </w:tc>
        <w:tc>
          <w:tcPr>
            <w:tcW w:w="1890" w:type="dxa"/>
            <w:tcBorders>
              <w:top w:val="single" w:sz="4" w:space="0" w:color="auto"/>
              <w:left w:val="single" w:sz="4" w:space="0" w:color="auto"/>
              <w:bottom w:val="single" w:sz="4" w:space="0" w:color="auto"/>
              <w:right w:val="single" w:sz="4" w:space="0" w:color="auto"/>
            </w:tcBorders>
            <w:vAlign w:val="center"/>
          </w:tcPr>
          <w:p w14:paraId="1DF37763" w14:textId="77777777" w:rsidR="00EB01CD" w:rsidRPr="005B123A" w:rsidRDefault="00EB01CD" w:rsidP="00A13DA0">
            <w:pPr>
              <w:spacing w:after="0"/>
              <w:jc w:val="center"/>
              <w:rPr>
                <w:rFonts w:ascii="Arial Narrow" w:hAnsi="Arial Narrow" w:cs="Arial Narrow"/>
                <w:lang w:val="en-US"/>
              </w:rPr>
            </w:pPr>
          </w:p>
        </w:tc>
        <w:tc>
          <w:tcPr>
            <w:tcW w:w="1890" w:type="dxa"/>
            <w:tcBorders>
              <w:top w:val="single" w:sz="4" w:space="0" w:color="auto"/>
              <w:left w:val="single" w:sz="4" w:space="0" w:color="auto"/>
              <w:bottom w:val="single" w:sz="4" w:space="0" w:color="auto"/>
              <w:right w:val="single" w:sz="4" w:space="0" w:color="auto"/>
            </w:tcBorders>
            <w:vAlign w:val="center"/>
          </w:tcPr>
          <w:p w14:paraId="2037CD82" w14:textId="77777777" w:rsidR="00EB01CD" w:rsidRPr="005B123A" w:rsidRDefault="00EB01CD" w:rsidP="00A13DA0">
            <w:pPr>
              <w:spacing w:after="0"/>
              <w:jc w:val="center"/>
              <w:rPr>
                <w:rFonts w:ascii="Arial Narrow" w:hAnsi="Arial Narrow" w:cs="Arial Narrow"/>
                <w:lang w:val="en-US"/>
              </w:rPr>
            </w:pPr>
          </w:p>
        </w:tc>
      </w:tr>
      <w:tr w:rsidR="00EB01CD" w:rsidRPr="005B123A" w14:paraId="13636D4D" w14:textId="77777777" w:rsidTr="00B803AC">
        <w:trPr>
          <w:trHeight w:val="210"/>
        </w:trPr>
        <w:tc>
          <w:tcPr>
            <w:tcW w:w="4878" w:type="dxa"/>
            <w:tcBorders>
              <w:top w:val="single" w:sz="4" w:space="0" w:color="auto"/>
              <w:left w:val="single" w:sz="4" w:space="0" w:color="auto"/>
              <w:bottom w:val="nil"/>
              <w:right w:val="single" w:sz="4" w:space="0" w:color="auto"/>
            </w:tcBorders>
            <w:vAlign w:val="center"/>
            <w:hideMark/>
          </w:tcPr>
          <w:p w14:paraId="323C435E"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&lt;350</w:t>
            </w:r>
            <w:r w:rsidRPr="005B123A">
              <w:rPr>
                <w:rFonts w:ascii="Arial Narrow" w:hAnsi="Arial Narrow" w:cs="Arial Narrow"/>
                <w:bCs/>
                <w:lang w:val="en-US"/>
              </w:rPr>
              <w:t xml:space="preserve"> </w:t>
            </w:r>
          </w:p>
        </w:tc>
        <w:tc>
          <w:tcPr>
            <w:tcW w:w="1890" w:type="dxa"/>
            <w:tcBorders>
              <w:top w:val="single" w:sz="4" w:space="0" w:color="auto"/>
              <w:left w:val="single" w:sz="4" w:space="0" w:color="auto"/>
              <w:bottom w:val="nil"/>
              <w:right w:val="single" w:sz="4" w:space="0" w:color="auto"/>
            </w:tcBorders>
            <w:vAlign w:val="center"/>
            <w:hideMark/>
          </w:tcPr>
          <w:p w14:paraId="4CF14257"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51 / 58 (88%)</w:t>
            </w:r>
          </w:p>
        </w:tc>
        <w:tc>
          <w:tcPr>
            <w:tcW w:w="1890" w:type="dxa"/>
            <w:tcBorders>
              <w:top w:val="single" w:sz="4" w:space="0" w:color="auto"/>
              <w:left w:val="single" w:sz="4" w:space="0" w:color="auto"/>
              <w:bottom w:val="nil"/>
              <w:right w:val="single" w:sz="4" w:space="0" w:color="auto"/>
            </w:tcBorders>
            <w:vAlign w:val="center"/>
            <w:hideMark/>
          </w:tcPr>
          <w:p w14:paraId="5E8AF199"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46 / 52 (88%)</w:t>
            </w:r>
          </w:p>
        </w:tc>
      </w:tr>
      <w:tr w:rsidR="00EB01CD" w:rsidRPr="005B123A" w14:paraId="677AFD60" w14:textId="77777777" w:rsidTr="00B803AC">
        <w:trPr>
          <w:trHeight w:val="210"/>
        </w:trPr>
        <w:tc>
          <w:tcPr>
            <w:tcW w:w="4878" w:type="dxa"/>
            <w:tcBorders>
              <w:top w:val="nil"/>
              <w:left w:val="single" w:sz="4" w:space="0" w:color="auto"/>
              <w:bottom w:val="single" w:sz="4" w:space="0" w:color="auto"/>
              <w:right w:val="single" w:sz="4" w:space="0" w:color="auto"/>
            </w:tcBorders>
            <w:vAlign w:val="center"/>
            <w:hideMark/>
          </w:tcPr>
          <w:p w14:paraId="6864D9F8"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 xml:space="preserve"> </w:t>
            </w:r>
            <w:r w:rsidRPr="005B123A">
              <w:rPr>
                <w:rFonts w:ascii="Arial Narrow" w:hAnsi="Arial Narrow" w:cs="Arial Narrow"/>
                <w:lang w:val="en-US"/>
              </w:rPr>
              <w:sym w:font="Symbol" w:char="F0B3"/>
            </w:r>
            <w:r w:rsidRPr="005B123A">
              <w:rPr>
                <w:rFonts w:ascii="Arial Narrow" w:hAnsi="Arial Narrow" w:cs="Arial Narrow"/>
                <w:lang w:val="en-US"/>
              </w:rPr>
              <w:t>350</w:t>
            </w:r>
          </w:p>
        </w:tc>
        <w:tc>
          <w:tcPr>
            <w:tcW w:w="1890" w:type="dxa"/>
            <w:tcBorders>
              <w:top w:val="nil"/>
              <w:left w:val="single" w:sz="4" w:space="0" w:color="auto"/>
              <w:bottom w:val="single" w:sz="4" w:space="0" w:color="auto"/>
              <w:right w:val="single" w:sz="4" w:space="0" w:color="auto"/>
            </w:tcBorders>
            <w:vAlign w:val="center"/>
            <w:hideMark/>
          </w:tcPr>
          <w:p w14:paraId="000AE560"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435 / 455 (96%)</w:t>
            </w:r>
          </w:p>
        </w:tc>
        <w:tc>
          <w:tcPr>
            <w:tcW w:w="1890" w:type="dxa"/>
            <w:tcBorders>
              <w:top w:val="nil"/>
              <w:left w:val="single" w:sz="4" w:space="0" w:color="auto"/>
              <w:bottom w:val="single" w:sz="4" w:space="0" w:color="auto"/>
              <w:right w:val="single" w:sz="4" w:space="0" w:color="auto"/>
            </w:tcBorders>
            <w:vAlign w:val="center"/>
            <w:hideMark/>
          </w:tcPr>
          <w:p w14:paraId="3D0E4507"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439 / 459 (96%)</w:t>
            </w:r>
          </w:p>
        </w:tc>
      </w:tr>
      <w:tr w:rsidR="00EB01CD" w:rsidRPr="005B123A" w14:paraId="4D07E600" w14:textId="77777777" w:rsidTr="00B803AC">
        <w:trPr>
          <w:trHeight w:val="210"/>
        </w:trPr>
        <w:tc>
          <w:tcPr>
            <w:tcW w:w="4878" w:type="dxa"/>
            <w:tcBorders>
              <w:top w:val="single" w:sz="4" w:space="0" w:color="auto"/>
              <w:left w:val="single" w:sz="4" w:space="0" w:color="auto"/>
              <w:bottom w:val="single" w:sz="4" w:space="0" w:color="auto"/>
              <w:right w:val="single" w:sz="4" w:space="0" w:color="auto"/>
            </w:tcBorders>
            <w:vAlign w:val="center"/>
            <w:hideMark/>
          </w:tcPr>
          <w:p w14:paraId="74573F90" w14:textId="77777777" w:rsidR="00EB01CD" w:rsidRPr="005B123A" w:rsidRDefault="00EB01CD" w:rsidP="00A13DA0">
            <w:pPr>
              <w:spacing w:after="0"/>
              <w:rPr>
                <w:rFonts w:ascii="Arial Narrow" w:hAnsi="Arial Narrow" w:cs="Arial Narrow"/>
                <w:b/>
                <w:lang w:val="en-US"/>
              </w:rPr>
            </w:pPr>
            <w:r w:rsidRPr="005B123A">
              <w:rPr>
                <w:rFonts w:ascii="Arial Narrow" w:hAnsi="Arial Narrow" w:cs="Arial Narrow"/>
                <w:b/>
                <w:lang w:val="en-US"/>
              </w:rPr>
              <w:t>Baseline Third Treatment Agent Class</w:t>
            </w:r>
          </w:p>
        </w:tc>
        <w:tc>
          <w:tcPr>
            <w:tcW w:w="1890" w:type="dxa"/>
            <w:tcBorders>
              <w:top w:val="single" w:sz="4" w:space="0" w:color="auto"/>
              <w:left w:val="single" w:sz="4" w:space="0" w:color="auto"/>
              <w:bottom w:val="single" w:sz="4" w:space="0" w:color="auto"/>
              <w:right w:val="single" w:sz="4" w:space="0" w:color="auto"/>
            </w:tcBorders>
            <w:vAlign w:val="center"/>
          </w:tcPr>
          <w:p w14:paraId="522E6289" w14:textId="77777777" w:rsidR="00EB01CD" w:rsidRPr="005B123A" w:rsidRDefault="00EB01CD" w:rsidP="00A13DA0">
            <w:pPr>
              <w:spacing w:after="0"/>
              <w:jc w:val="center"/>
              <w:rPr>
                <w:rFonts w:ascii="Arial Narrow" w:hAnsi="Arial Narrow" w:cs="Arial Narrow"/>
                <w:lang w:val="en-US"/>
              </w:rPr>
            </w:pPr>
          </w:p>
        </w:tc>
        <w:tc>
          <w:tcPr>
            <w:tcW w:w="1890" w:type="dxa"/>
            <w:tcBorders>
              <w:top w:val="single" w:sz="4" w:space="0" w:color="auto"/>
              <w:left w:val="single" w:sz="4" w:space="0" w:color="auto"/>
              <w:bottom w:val="single" w:sz="4" w:space="0" w:color="auto"/>
              <w:right w:val="single" w:sz="4" w:space="0" w:color="auto"/>
            </w:tcBorders>
            <w:vAlign w:val="center"/>
          </w:tcPr>
          <w:p w14:paraId="5886F8E9" w14:textId="77777777" w:rsidR="00EB01CD" w:rsidRPr="005B123A" w:rsidRDefault="00EB01CD" w:rsidP="00A13DA0">
            <w:pPr>
              <w:spacing w:after="0"/>
              <w:jc w:val="center"/>
              <w:rPr>
                <w:rFonts w:ascii="Arial Narrow" w:hAnsi="Arial Narrow" w:cs="Arial Narrow"/>
                <w:lang w:val="en-US"/>
              </w:rPr>
            </w:pPr>
          </w:p>
        </w:tc>
      </w:tr>
      <w:tr w:rsidR="00EB01CD" w:rsidRPr="005B123A" w14:paraId="64C00BCB" w14:textId="77777777" w:rsidTr="00B803AC">
        <w:trPr>
          <w:trHeight w:val="210"/>
        </w:trPr>
        <w:tc>
          <w:tcPr>
            <w:tcW w:w="4878" w:type="dxa"/>
            <w:tcBorders>
              <w:top w:val="single" w:sz="4" w:space="0" w:color="auto"/>
              <w:left w:val="single" w:sz="4" w:space="0" w:color="auto"/>
              <w:bottom w:val="nil"/>
              <w:right w:val="single" w:sz="4" w:space="0" w:color="auto"/>
            </w:tcBorders>
            <w:hideMark/>
          </w:tcPr>
          <w:p w14:paraId="430F624B"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 xml:space="preserve">INSTI </w:t>
            </w:r>
          </w:p>
        </w:tc>
        <w:tc>
          <w:tcPr>
            <w:tcW w:w="1890" w:type="dxa"/>
            <w:tcBorders>
              <w:top w:val="single" w:sz="4" w:space="0" w:color="auto"/>
              <w:left w:val="single" w:sz="4" w:space="0" w:color="auto"/>
              <w:bottom w:val="nil"/>
              <w:right w:val="single" w:sz="4" w:space="0" w:color="auto"/>
            </w:tcBorders>
            <w:vAlign w:val="center"/>
            <w:hideMark/>
          </w:tcPr>
          <w:p w14:paraId="403ABE59"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99 / 105 (94%)</w:t>
            </w:r>
          </w:p>
        </w:tc>
        <w:tc>
          <w:tcPr>
            <w:tcW w:w="1890" w:type="dxa"/>
            <w:tcBorders>
              <w:top w:val="single" w:sz="4" w:space="0" w:color="auto"/>
              <w:left w:val="single" w:sz="4" w:space="0" w:color="auto"/>
              <w:bottom w:val="nil"/>
              <w:right w:val="single" w:sz="4" w:space="0" w:color="auto"/>
            </w:tcBorders>
            <w:vAlign w:val="center"/>
            <w:hideMark/>
          </w:tcPr>
          <w:p w14:paraId="28A533C6"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92 / 97 (95%)</w:t>
            </w:r>
          </w:p>
        </w:tc>
      </w:tr>
      <w:tr w:rsidR="00EB01CD" w:rsidRPr="005B123A" w14:paraId="43370EBC" w14:textId="77777777" w:rsidTr="00B803AC">
        <w:trPr>
          <w:trHeight w:val="210"/>
        </w:trPr>
        <w:tc>
          <w:tcPr>
            <w:tcW w:w="4878" w:type="dxa"/>
            <w:tcBorders>
              <w:top w:val="nil"/>
              <w:left w:val="single" w:sz="4" w:space="0" w:color="auto"/>
              <w:bottom w:val="nil"/>
              <w:right w:val="single" w:sz="4" w:space="0" w:color="auto"/>
            </w:tcBorders>
            <w:hideMark/>
          </w:tcPr>
          <w:p w14:paraId="369154EC"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NNRTI</w:t>
            </w:r>
          </w:p>
        </w:tc>
        <w:tc>
          <w:tcPr>
            <w:tcW w:w="1890" w:type="dxa"/>
            <w:tcBorders>
              <w:top w:val="nil"/>
              <w:left w:val="single" w:sz="4" w:space="0" w:color="auto"/>
              <w:bottom w:val="nil"/>
              <w:right w:val="single" w:sz="4" w:space="0" w:color="auto"/>
            </w:tcBorders>
            <w:vAlign w:val="center"/>
            <w:hideMark/>
          </w:tcPr>
          <w:p w14:paraId="0073A3FA"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263 / 275 (96%)</w:t>
            </w:r>
          </w:p>
        </w:tc>
        <w:tc>
          <w:tcPr>
            <w:tcW w:w="1890" w:type="dxa"/>
            <w:tcBorders>
              <w:top w:val="nil"/>
              <w:left w:val="single" w:sz="4" w:space="0" w:color="auto"/>
              <w:bottom w:val="nil"/>
              <w:right w:val="single" w:sz="4" w:space="0" w:color="auto"/>
            </w:tcBorders>
            <w:vAlign w:val="center"/>
            <w:hideMark/>
          </w:tcPr>
          <w:p w14:paraId="6F6650CF"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265 / 278 (95%)</w:t>
            </w:r>
          </w:p>
        </w:tc>
      </w:tr>
      <w:tr w:rsidR="00EB01CD" w:rsidRPr="005B123A" w14:paraId="6046983F" w14:textId="77777777" w:rsidTr="00B803AC">
        <w:trPr>
          <w:trHeight w:val="210"/>
        </w:trPr>
        <w:tc>
          <w:tcPr>
            <w:tcW w:w="4878" w:type="dxa"/>
            <w:tcBorders>
              <w:top w:val="nil"/>
              <w:left w:val="single" w:sz="4" w:space="0" w:color="auto"/>
              <w:bottom w:val="single" w:sz="4" w:space="0" w:color="auto"/>
              <w:right w:val="single" w:sz="4" w:space="0" w:color="auto"/>
            </w:tcBorders>
            <w:hideMark/>
          </w:tcPr>
          <w:p w14:paraId="323D1924"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 xml:space="preserve">PI </w:t>
            </w:r>
          </w:p>
        </w:tc>
        <w:tc>
          <w:tcPr>
            <w:tcW w:w="1890" w:type="dxa"/>
            <w:tcBorders>
              <w:top w:val="nil"/>
              <w:left w:val="single" w:sz="4" w:space="0" w:color="auto"/>
              <w:bottom w:val="single" w:sz="4" w:space="0" w:color="auto"/>
              <w:right w:val="single" w:sz="4" w:space="0" w:color="auto"/>
            </w:tcBorders>
            <w:vAlign w:val="center"/>
            <w:hideMark/>
          </w:tcPr>
          <w:p w14:paraId="6CFA418F"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124 / 133 (93%)</w:t>
            </w:r>
          </w:p>
        </w:tc>
        <w:tc>
          <w:tcPr>
            <w:tcW w:w="1890" w:type="dxa"/>
            <w:tcBorders>
              <w:top w:val="nil"/>
              <w:left w:val="single" w:sz="4" w:space="0" w:color="auto"/>
              <w:bottom w:val="single" w:sz="4" w:space="0" w:color="auto"/>
              <w:right w:val="single" w:sz="4" w:space="0" w:color="auto"/>
            </w:tcBorders>
            <w:vAlign w:val="center"/>
            <w:hideMark/>
          </w:tcPr>
          <w:p w14:paraId="57B1EFBA"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128 / 136 (94%)</w:t>
            </w:r>
          </w:p>
        </w:tc>
      </w:tr>
      <w:tr w:rsidR="00EB01CD" w:rsidRPr="005B123A" w14:paraId="4D501BB9" w14:textId="77777777" w:rsidTr="00B803AC">
        <w:trPr>
          <w:trHeight w:val="210"/>
        </w:trPr>
        <w:tc>
          <w:tcPr>
            <w:tcW w:w="4878" w:type="dxa"/>
            <w:tcBorders>
              <w:top w:val="single" w:sz="4" w:space="0" w:color="auto"/>
              <w:left w:val="single" w:sz="4" w:space="0" w:color="auto"/>
              <w:bottom w:val="single" w:sz="4" w:space="0" w:color="auto"/>
              <w:right w:val="single" w:sz="4" w:space="0" w:color="auto"/>
            </w:tcBorders>
            <w:vAlign w:val="center"/>
            <w:hideMark/>
          </w:tcPr>
          <w:p w14:paraId="0F4B9563" w14:textId="77777777" w:rsidR="00EB01CD" w:rsidRPr="005B123A" w:rsidRDefault="00EB01CD" w:rsidP="00A13DA0">
            <w:pPr>
              <w:spacing w:after="0"/>
              <w:rPr>
                <w:rFonts w:ascii="Arial Narrow" w:hAnsi="Arial Narrow" w:cs="Arial Narrow"/>
                <w:b/>
                <w:lang w:val="en-US"/>
              </w:rPr>
            </w:pPr>
            <w:r w:rsidRPr="005B123A">
              <w:rPr>
                <w:rFonts w:ascii="Arial Narrow" w:hAnsi="Arial Narrow" w:cs="Arial Narrow"/>
                <w:b/>
                <w:lang w:val="en-US"/>
              </w:rPr>
              <w:t>Gender</w:t>
            </w:r>
          </w:p>
        </w:tc>
        <w:tc>
          <w:tcPr>
            <w:tcW w:w="1890" w:type="dxa"/>
            <w:tcBorders>
              <w:top w:val="single" w:sz="4" w:space="0" w:color="auto"/>
              <w:left w:val="single" w:sz="4" w:space="0" w:color="auto"/>
              <w:bottom w:val="single" w:sz="4" w:space="0" w:color="auto"/>
              <w:right w:val="single" w:sz="4" w:space="0" w:color="auto"/>
            </w:tcBorders>
            <w:vAlign w:val="center"/>
          </w:tcPr>
          <w:p w14:paraId="61AEAB0A" w14:textId="77777777" w:rsidR="00EB01CD" w:rsidRPr="005B123A" w:rsidRDefault="00EB01CD" w:rsidP="00A13DA0">
            <w:pPr>
              <w:spacing w:after="0"/>
              <w:jc w:val="center"/>
              <w:rPr>
                <w:rFonts w:ascii="Arial Narrow" w:hAnsi="Arial Narrow" w:cs="Arial Narrow"/>
                <w:lang w:val="en-US"/>
              </w:rPr>
            </w:pPr>
          </w:p>
        </w:tc>
        <w:tc>
          <w:tcPr>
            <w:tcW w:w="1890" w:type="dxa"/>
            <w:tcBorders>
              <w:top w:val="single" w:sz="4" w:space="0" w:color="auto"/>
              <w:left w:val="single" w:sz="4" w:space="0" w:color="auto"/>
              <w:bottom w:val="single" w:sz="4" w:space="0" w:color="auto"/>
              <w:right w:val="single" w:sz="4" w:space="0" w:color="auto"/>
            </w:tcBorders>
            <w:vAlign w:val="center"/>
          </w:tcPr>
          <w:p w14:paraId="04E481B1" w14:textId="77777777" w:rsidR="00EB01CD" w:rsidRPr="005B123A" w:rsidRDefault="00EB01CD" w:rsidP="00A13DA0">
            <w:pPr>
              <w:spacing w:after="0"/>
              <w:rPr>
                <w:rFonts w:ascii="Arial Narrow" w:hAnsi="Arial Narrow" w:cs="Arial Narrow"/>
                <w:lang w:val="en-US"/>
              </w:rPr>
            </w:pPr>
          </w:p>
        </w:tc>
      </w:tr>
      <w:tr w:rsidR="00EB01CD" w:rsidRPr="005B123A" w14:paraId="11B87EAB" w14:textId="77777777" w:rsidTr="00B803AC">
        <w:trPr>
          <w:trHeight w:val="210"/>
        </w:trPr>
        <w:tc>
          <w:tcPr>
            <w:tcW w:w="4878" w:type="dxa"/>
            <w:tcBorders>
              <w:top w:val="single" w:sz="4" w:space="0" w:color="auto"/>
              <w:left w:val="single" w:sz="4" w:space="0" w:color="auto"/>
              <w:bottom w:val="nil"/>
              <w:right w:val="single" w:sz="4" w:space="0" w:color="auto"/>
            </w:tcBorders>
            <w:vAlign w:val="center"/>
            <w:hideMark/>
          </w:tcPr>
          <w:p w14:paraId="1544596F"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 xml:space="preserve"> Male </w:t>
            </w:r>
          </w:p>
        </w:tc>
        <w:tc>
          <w:tcPr>
            <w:tcW w:w="1890" w:type="dxa"/>
            <w:tcBorders>
              <w:top w:val="single" w:sz="4" w:space="0" w:color="auto"/>
              <w:left w:val="single" w:sz="4" w:space="0" w:color="auto"/>
              <w:bottom w:val="nil"/>
              <w:right w:val="single" w:sz="4" w:space="0" w:color="auto"/>
            </w:tcBorders>
            <w:vAlign w:val="center"/>
            <w:hideMark/>
          </w:tcPr>
          <w:p w14:paraId="7A27A6E7"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375 / 393 (95%)</w:t>
            </w:r>
          </w:p>
        </w:tc>
        <w:tc>
          <w:tcPr>
            <w:tcW w:w="1890" w:type="dxa"/>
            <w:tcBorders>
              <w:top w:val="single" w:sz="4" w:space="0" w:color="auto"/>
              <w:left w:val="single" w:sz="4" w:space="0" w:color="auto"/>
              <w:bottom w:val="nil"/>
              <w:right w:val="single" w:sz="4" w:space="0" w:color="auto"/>
            </w:tcBorders>
            <w:vAlign w:val="center"/>
            <w:hideMark/>
          </w:tcPr>
          <w:p w14:paraId="5E3AD2DE"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387 / 403 (96%)</w:t>
            </w:r>
          </w:p>
        </w:tc>
      </w:tr>
      <w:tr w:rsidR="00EB01CD" w:rsidRPr="005B123A" w14:paraId="7A07CCD7" w14:textId="77777777" w:rsidTr="00B803AC">
        <w:trPr>
          <w:trHeight w:val="210"/>
        </w:trPr>
        <w:tc>
          <w:tcPr>
            <w:tcW w:w="4878" w:type="dxa"/>
            <w:tcBorders>
              <w:top w:val="nil"/>
              <w:left w:val="single" w:sz="4" w:space="0" w:color="auto"/>
              <w:bottom w:val="single" w:sz="4" w:space="0" w:color="auto"/>
              <w:right w:val="single" w:sz="4" w:space="0" w:color="auto"/>
            </w:tcBorders>
            <w:vAlign w:val="center"/>
            <w:hideMark/>
          </w:tcPr>
          <w:p w14:paraId="6DE02ECD"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 xml:space="preserve"> Female </w:t>
            </w:r>
          </w:p>
        </w:tc>
        <w:tc>
          <w:tcPr>
            <w:tcW w:w="1890" w:type="dxa"/>
            <w:tcBorders>
              <w:top w:val="nil"/>
              <w:left w:val="single" w:sz="4" w:space="0" w:color="auto"/>
              <w:bottom w:val="single" w:sz="4" w:space="0" w:color="auto"/>
              <w:right w:val="single" w:sz="4" w:space="0" w:color="auto"/>
            </w:tcBorders>
            <w:vAlign w:val="center"/>
            <w:hideMark/>
          </w:tcPr>
          <w:p w14:paraId="4C704FA7"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111 / 120 (93%)</w:t>
            </w:r>
          </w:p>
        </w:tc>
        <w:tc>
          <w:tcPr>
            <w:tcW w:w="1890" w:type="dxa"/>
            <w:tcBorders>
              <w:top w:val="nil"/>
              <w:left w:val="single" w:sz="4" w:space="0" w:color="auto"/>
              <w:bottom w:val="single" w:sz="4" w:space="0" w:color="auto"/>
              <w:right w:val="single" w:sz="4" w:space="0" w:color="auto"/>
            </w:tcBorders>
            <w:vAlign w:val="center"/>
            <w:hideMark/>
          </w:tcPr>
          <w:p w14:paraId="0BACAA24"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98 / 108 (91%)</w:t>
            </w:r>
          </w:p>
        </w:tc>
      </w:tr>
      <w:tr w:rsidR="00EB01CD" w:rsidRPr="005B123A" w14:paraId="03B95425" w14:textId="77777777" w:rsidTr="00B803AC">
        <w:trPr>
          <w:trHeight w:val="210"/>
        </w:trPr>
        <w:tc>
          <w:tcPr>
            <w:tcW w:w="4878" w:type="dxa"/>
            <w:tcBorders>
              <w:top w:val="single" w:sz="4" w:space="0" w:color="auto"/>
              <w:left w:val="single" w:sz="4" w:space="0" w:color="auto"/>
              <w:bottom w:val="single" w:sz="4" w:space="0" w:color="auto"/>
              <w:right w:val="single" w:sz="4" w:space="0" w:color="auto"/>
            </w:tcBorders>
            <w:vAlign w:val="center"/>
            <w:hideMark/>
          </w:tcPr>
          <w:p w14:paraId="184A42ED" w14:textId="77777777" w:rsidR="00EB01CD" w:rsidRPr="005B123A" w:rsidRDefault="00EB01CD" w:rsidP="00A13DA0">
            <w:pPr>
              <w:spacing w:after="0"/>
              <w:rPr>
                <w:rFonts w:ascii="Arial Narrow" w:hAnsi="Arial Narrow" w:cs="Arial Narrow"/>
                <w:b/>
                <w:lang w:val="en-US"/>
              </w:rPr>
            </w:pPr>
            <w:r w:rsidRPr="005B123A">
              <w:rPr>
                <w:rFonts w:ascii="Arial Narrow" w:hAnsi="Arial Narrow" w:cs="Arial Narrow"/>
                <w:b/>
                <w:lang w:val="en-US"/>
              </w:rPr>
              <w:t xml:space="preserve">Race </w:t>
            </w:r>
          </w:p>
        </w:tc>
        <w:tc>
          <w:tcPr>
            <w:tcW w:w="1890" w:type="dxa"/>
            <w:tcBorders>
              <w:top w:val="single" w:sz="4" w:space="0" w:color="auto"/>
              <w:left w:val="single" w:sz="4" w:space="0" w:color="auto"/>
              <w:bottom w:val="single" w:sz="4" w:space="0" w:color="auto"/>
              <w:right w:val="single" w:sz="4" w:space="0" w:color="auto"/>
            </w:tcBorders>
            <w:vAlign w:val="center"/>
          </w:tcPr>
          <w:p w14:paraId="73F64A72" w14:textId="77777777" w:rsidR="00EB01CD" w:rsidRPr="005B123A" w:rsidRDefault="00EB01CD" w:rsidP="00A13DA0">
            <w:pPr>
              <w:spacing w:after="0"/>
              <w:jc w:val="center"/>
              <w:rPr>
                <w:rFonts w:ascii="Arial Narrow" w:hAnsi="Arial Narrow" w:cs="Arial Narrow"/>
                <w:lang w:val="en-US"/>
              </w:rPr>
            </w:pPr>
          </w:p>
        </w:tc>
        <w:tc>
          <w:tcPr>
            <w:tcW w:w="1890" w:type="dxa"/>
            <w:tcBorders>
              <w:top w:val="single" w:sz="4" w:space="0" w:color="auto"/>
              <w:left w:val="single" w:sz="4" w:space="0" w:color="auto"/>
              <w:bottom w:val="single" w:sz="4" w:space="0" w:color="auto"/>
              <w:right w:val="single" w:sz="4" w:space="0" w:color="auto"/>
            </w:tcBorders>
            <w:vAlign w:val="center"/>
          </w:tcPr>
          <w:p w14:paraId="4A92FB23" w14:textId="77777777" w:rsidR="00EB01CD" w:rsidRPr="005B123A" w:rsidRDefault="00EB01CD" w:rsidP="00A13DA0">
            <w:pPr>
              <w:spacing w:after="0"/>
              <w:jc w:val="center"/>
              <w:rPr>
                <w:rFonts w:ascii="Arial Narrow" w:hAnsi="Arial Narrow" w:cs="Arial Narrow"/>
                <w:lang w:val="en-US"/>
              </w:rPr>
            </w:pPr>
          </w:p>
        </w:tc>
      </w:tr>
      <w:tr w:rsidR="00EB01CD" w:rsidRPr="005B123A" w14:paraId="18B2117E" w14:textId="77777777" w:rsidTr="00B803AC">
        <w:trPr>
          <w:trHeight w:val="210"/>
        </w:trPr>
        <w:tc>
          <w:tcPr>
            <w:tcW w:w="4878" w:type="dxa"/>
            <w:tcBorders>
              <w:top w:val="single" w:sz="4" w:space="0" w:color="auto"/>
              <w:left w:val="single" w:sz="4" w:space="0" w:color="auto"/>
              <w:bottom w:val="nil"/>
              <w:right w:val="single" w:sz="4" w:space="0" w:color="auto"/>
            </w:tcBorders>
            <w:vAlign w:val="center"/>
            <w:hideMark/>
          </w:tcPr>
          <w:p w14:paraId="77DDCE87"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 xml:space="preserve"> White </w:t>
            </w:r>
          </w:p>
        </w:tc>
        <w:tc>
          <w:tcPr>
            <w:tcW w:w="1890" w:type="dxa"/>
            <w:tcBorders>
              <w:top w:val="single" w:sz="4" w:space="0" w:color="auto"/>
              <w:left w:val="single" w:sz="4" w:space="0" w:color="auto"/>
              <w:bottom w:val="nil"/>
              <w:right w:val="single" w:sz="4" w:space="0" w:color="auto"/>
            </w:tcBorders>
            <w:vAlign w:val="center"/>
            <w:hideMark/>
          </w:tcPr>
          <w:p w14:paraId="13490F00"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395 / 421 (94%)</w:t>
            </w:r>
          </w:p>
        </w:tc>
        <w:tc>
          <w:tcPr>
            <w:tcW w:w="1890" w:type="dxa"/>
            <w:tcBorders>
              <w:top w:val="single" w:sz="4" w:space="0" w:color="auto"/>
              <w:left w:val="single" w:sz="4" w:space="0" w:color="auto"/>
              <w:bottom w:val="nil"/>
              <w:right w:val="single" w:sz="4" w:space="0" w:color="auto"/>
            </w:tcBorders>
            <w:vAlign w:val="center"/>
            <w:hideMark/>
          </w:tcPr>
          <w:p w14:paraId="74D13383"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380 / 400 (95%)</w:t>
            </w:r>
          </w:p>
        </w:tc>
      </w:tr>
      <w:tr w:rsidR="00EB01CD" w:rsidRPr="005B123A" w14:paraId="71ABBCAC" w14:textId="77777777" w:rsidTr="00B803AC">
        <w:trPr>
          <w:trHeight w:val="210"/>
        </w:trPr>
        <w:tc>
          <w:tcPr>
            <w:tcW w:w="4878" w:type="dxa"/>
            <w:tcBorders>
              <w:top w:val="nil"/>
              <w:left w:val="single" w:sz="4" w:space="0" w:color="auto"/>
              <w:bottom w:val="single" w:sz="4" w:space="0" w:color="auto"/>
              <w:right w:val="single" w:sz="4" w:space="0" w:color="auto"/>
            </w:tcBorders>
            <w:vAlign w:val="center"/>
            <w:hideMark/>
          </w:tcPr>
          <w:p w14:paraId="0255CDA4" w14:textId="03239D99" w:rsidR="00EB01CD" w:rsidRPr="005B123A" w:rsidRDefault="00E652B9" w:rsidP="00A13DA0">
            <w:pPr>
              <w:spacing w:after="0"/>
              <w:rPr>
                <w:rFonts w:ascii="Arial Narrow" w:hAnsi="Arial Narrow" w:cs="Arial Narrow"/>
                <w:lang w:val="en-US"/>
              </w:rPr>
            </w:pPr>
            <w:r>
              <w:rPr>
                <w:rFonts w:ascii="Arial Narrow" w:hAnsi="Arial Narrow" w:cs="Arial Narrow"/>
                <w:lang w:val="en-US"/>
              </w:rPr>
              <w:t>Non-White</w:t>
            </w:r>
          </w:p>
        </w:tc>
        <w:tc>
          <w:tcPr>
            <w:tcW w:w="1890" w:type="dxa"/>
            <w:tcBorders>
              <w:top w:val="nil"/>
              <w:left w:val="single" w:sz="4" w:space="0" w:color="auto"/>
              <w:bottom w:val="single" w:sz="4" w:space="0" w:color="auto"/>
              <w:right w:val="single" w:sz="4" w:space="0" w:color="auto"/>
            </w:tcBorders>
            <w:vAlign w:val="center"/>
            <w:hideMark/>
          </w:tcPr>
          <w:p w14:paraId="30BECF44"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91/92 (99%)</w:t>
            </w:r>
          </w:p>
        </w:tc>
        <w:tc>
          <w:tcPr>
            <w:tcW w:w="1890" w:type="dxa"/>
            <w:tcBorders>
              <w:top w:val="nil"/>
              <w:left w:val="single" w:sz="4" w:space="0" w:color="auto"/>
              <w:bottom w:val="single" w:sz="4" w:space="0" w:color="auto"/>
              <w:right w:val="single" w:sz="4" w:space="0" w:color="auto"/>
            </w:tcBorders>
            <w:vAlign w:val="center"/>
            <w:hideMark/>
          </w:tcPr>
          <w:p w14:paraId="23223082"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105 / 111 (95%)</w:t>
            </w:r>
          </w:p>
        </w:tc>
      </w:tr>
      <w:tr w:rsidR="00EB01CD" w:rsidRPr="005B123A" w14:paraId="42A8A308" w14:textId="77777777" w:rsidTr="00B803AC">
        <w:trPr>
          <w:trHeight w:val="210"/>
        </w:trPr>
        <w:tc>
          <w:tcPr>
            <w:tcW w:w="4878" w:type="dxa"/>
            <w:tcBorders>
              <w:top w:val="single" w:sz="4" w:space="0" w:color="auto"/>
              <w:left w:val="single" w:sz="4" w:space="0" w:color="auto"/>
              <w:bottom w:val="single" w:sz="4" w:space="0" w:color="auto"/>
              <w:right w:val="single" w:sz="4" w:space="0" w:color="auto"/>
            </w:tcBorders>
            <w:vAlign w:val="center"/>
            <w:hideMark/>
          </w:tcPr>
          <w:p w14:paraId="6471FD55" w14:textId="77777777" w:rsidR="00EB01CD" w:rsidRPr="005B123A" w:rsidRDefault="00EB01CD" w:rsidP="00A13DA0">
            <w:pPr>
              <w:spacing w:after="0"/>
              <w:rPr>
                <w:rFonts w:ascii="Arial Narrow" w:hAnsi="Arial Narrow" w:cs="Arial Narrow"/>
                <w:b/>
                <w:lang w:val="en-US"/>
              </w:rPr>
            </w:pPr>
            <w:r w:rsidRPr="005B123A">
              <w:rPr>
                <w:rFonts w:ascii="Arial Narrow" w:hAnsi="Arial Narrow" w:cs="Arial Narrow"/>
                <w:b/>
                <w:lang w:val="en-US"/>
              </w:rPr>
              <w:t>Age (years)</w:t>
            </w:r>
          </w:p>
        </w:tc>
        <w:tc>
          <w:tcPr>
            <w:tcW w:w="1890" w:type="dxa"/>
            <w:tcBorders>
              <w:top w:val="single" w:sz="4" w:space="0" w:color="auto"/>
              <w:left w:val="single" w:sz="4" w:space="0" w:color="auto"/>
              <w:bottom w:val="single" w:sz="4" w:space="0" w:color="auto"/>
              <w:right w:val="single" w:sz="4" w:space="0" w:color="auto"/>
            </w:tcBorders>
            <w:vAlign w:val="center"/>
          </w:tcPr>
          <w:p w14:paraId="0410809F" w14:textId="77777777" w:rsidR="00EB01CD" w:rsidRPr="005B123A" w:rsidRDefault="00EB01CD" w:rsidP="00A13DA0">
            <w:pPr>
              <w:spacing w:after="0"/>
              <w:jc w:val="center"/>
              <w:rPr>
                <w:rFonts w:ascii="Arial Narrow" w:hAnsi="Arial Narrow" w:cs="Arial Narrow"/>
                <w:lang w:val="en-US"/>
              </w:rPr>
            </w:pPr>
          </w:p>
        </w:tc>
        <w:tc>
          <w:tcPr>
            <w:tcW w:w="1890" w:type="dxa"/>
            <w:tcBorders>
              <w:top w:val="single" w:sz="4" w:space="0" w:color="auto"/>
              <w:left w:val="single" w:sz="4" w:space="0" w:color="auto"/>
              <w:bottom w:val="single" w:sz="4" w:space="0" w:color="auto"/>
              <w:right w:val="single" w:sz="4" w:space="0" w:color="auto"/>
            </w:tcBorders>
            <w:vAlign w:val="center"/>
          </w:tcPr>
          <w:p w14:paraId="082305F8" w14:textId="77777777" w:rsidR="00EB01CD" w:rsidRPr="005B123A" w:rsidRDefault="00EB01CD" w:rsidP="00A13DA0">
            <w:pPr>
              <w:spacing w:after="0"/>
              <w:jc w:val="center"/>
              <w:rPr>
                <w:rFonts w:ascii="Arial Narrow" w:hAnsi="Arial Narrow" w:cs="Arial Narrow"/>
                <w:lang w:val="en-US"/>
              </w:rPr>
            </w:pPr>
          </w:p>
        </w:tc>
      </w:tr>
      <w:tr w:rsidR="00EB01CD" w:rsidRPr="005B123A" w14:paraId="38C60338" w14:textId="77777777" w:rsidTr="00B803AC">
        <w:trPr>
          <w:trHeight w:val="210"/>
        </w:trPr>
        <w:tc>
          <w:tcPr>
            <w:tcW w:w="4878" w:type="dxa"/>
            <w:tcBorders>
              <w:top w:val="single" w:sz="4" w:space="0" w:color="auto"/>
              <w:left w:val="single" w:sz="4" w:space="0" w:color="auto"/>
              <w:bottom w:val="nil"/>
              <w:right w:val="single" w:sz="4" w:space="0" w:color="auto"/>
            </w:tcBorders>
            <w:vAlign w:val="center"/>
            <w:hideMark/>
          </w:tcPr>
          <w:p w14:paraId="5A833CA0"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 xml:space="preserve"> &lt;50</w:t>
            </w:r>
          </w:p>
        </w:tc>
        <w:tc>
          <w:tcPr>
            <w:tcW w:w="1890" w:type="dxa"/>
            <w:tcBorders>
              <w:top w:val="single" w:sz="4" w:space="0" w:color="auto"/>
              <w:left w:val="single" w:sz="4" w:space="0" w:color="auto"/>
              <w:bottom w:val="nil"/>
              <w:right w:val="single" w:sz="4" w:space="0" w:color="auto"/>
            </w:tcBorders>
            <w:vAlign w:val="center"/>
            <w:hideMark/>
          </w:tcPr>
          <w:p w14:paraId="77B9B457"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350 / 366 (96%)</w:t>
            </w:r>
          </w:p>
        </w:tc>
        <w:tc>
          <w:tcPr>
            <w:tcW w:w="1890" w:type="dxa"/>
            <w:tcBorders>
              <w:top w:val="single" w:sz="4" w:space="0" w:color="auto"/>
              <w:left w:val="single" w:sz="4" w:space="0" w:color="auto"/>
              <w:bottom w:val="nil"/>
              <w:right w:val="single" w:sz="4" w:space="0" w:color="auto"/>
            </w:tcBorders>
            <w:vAlign w:val="center"/>
            <w:hideMark/>
          </w:tcPr>
          <w:p w14:paraId="2A48753A"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348 / 369 (94%)</w:t>
            </w:r>
          </w:p>
        </w:tc>
      </w:tr>
      <w:tr w:rsidR="00EB01CD" w:rsidRPr="005B123A" w14:paraId="718D301D" w14:textId="77777777" w:rsidTr="00B803AC">
        <w:trPr>
          <w:trHeight w:val="210"/>
        </w:trPr>
        <w:tc>
          <w:tcPr>
            <w:tcW w:w="4878" w:type="dxa"/>
            <w:tcBorders>
              <w:top w:val="nil"/>
              <w:left w:val="single" w:sz="4" w:space="0" w:color="auto"/>
              <w:bottom w:val="single" w:sz="4" w:space="0" w:color="auto"/>
              <w:right w:val="single" w:sz="4" w:space="0" w:color="auto"/>
            </w:tcBorders>
            <w:vAlign w:val="center"/>
            <w:hideMark/>
          </w:tcPr>
          <w:p w14:paraId="1F764A52" w14:textId="77777777" w:rsidR="00EB01CD" w:rsidRPr="005B123A" w:rsidRDefault="00EB01CD" w:rsidP="00A13DA0">
            <w:pPr>
              <w:spacing w:after="0"/>
              <w:rPr>
                <w:rFonts w:ascii="Arial Narrow" w:hAnsi="Arial Narrow" w:cs="Arial Narrow"/>
                <w:lang w:val="en-US"/>
              </w:rPr>
            </w:pPr>
            <w:r w:rsidRPr="005B123A">
              <w:rPr>
                <w:rFonts w:ascii="Arial Narrow" w:hAnsi="Arial Narrow" w:cs="Arial Narrow"/>
                <w:lang w:val="en-US"/>
              </w:rPr>
              <w:t xml:space="preserve"> </w:t>
            </w:r>
            <w:r w:rsidRPr="005B123A">
              <w:rPr>
                <w:rFonts w:ascii="Arial Narrow" w:hAnsi="Arial Narrow" w:cs="Arial Narrow"/>
                <w:lang w:val="en-US"/>
              </w:rPr>
              <w:sym w:font="Symbol" w:char="F0B3"/>
            </w:r>
            <w:r w:rsidRPr="005B123A">
              <w:rPr>
                <w:rFonts w:ascii="Arial Narrow" w:hAnsi="Arial Narrow" w:cs="Arial Narrow"/>
                <w:lang w:val="en-US"/>
              </w:rPr>
              <w:t>50</w:t>
            </w:r>
          </w:p>
        </w:tc>
        <w:tc>
          <w:tcPr>
            <w:tcW w:w="1890" w:type="dxa"/>
            <w:tcBorders>
              <w:top w:val="nil"/>
              <w:left w:val="single" w:sz="4" w:space="0" w:color="auto"/>
              <w:bottom w:val="single" w:sz="4" w:space="0" w:color="auto"/>
              <w:right w:val="single" w:sz="4" w:space="0" w:color="auto"/>
            </w:tcBorders>
            <w:vAlign w:val="center"/>
            <w:hideMark/>
          </w:tcPr>
          <w:p w14:paraId="180DF080"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136 / 147 (93%)</w:t>
            </w:r>
          </w:p>
        </w:tc>
        <w:tc>
          <w:tcPr>
            <w:tcW w:w="1890" w:type="dxa"/>
            <w:tcBorders>
              <w:top w:val="nil"/>
              <w:left w:val="single" w:sz="4" w:space="0" w:color="auto"/>
              <w:bottom w:val="single" w:sz="4" w:space="0" w:color="auto"/>
              <w:right w:val="single" w:sz="4" w:space="0" w:color="auto"/>
            </w:tcBorders>
            <w:vAlign w:val="center"/>
            <w:hideMark/>
          </w:tcPr>
          <w:p w14:paraId="69D027A1" w14:textId="77777777" w:rsidR="00EB01CD" w:rsidRPr="005B123A" w:rsidRDefault="00EB01CD" w:rsidP="00A13DA0">
            <w:pPr>
              <w:spacing w:after="0"/>
              <w:jc w:val="center"/>
              <w:rPr>
                <w:rFonts w:ascii="Arial Narrow" w:hAnsi="Arial Narrow" w:cs="Arial Narrow"/>
                <w:lang w:val="en-US"/>
              </w:rPr>
            </w:pPr>
            <w:r w:rsidRPr="005B123A">
              <w:rPr>
                <w:rFonts w:ascii="Arial Narrow" w:hAnsi="Arial Narrow" w:cs="Arial Narrow"/>
                <w:lang w:val="en-US"/>
              </w:rPr>
              <w:t>137 / 142 (96%)</w:t>
            </w:r>
          </w:p>
        </w:tc>
      </w:tr>
      <w:tr w:rsidR="00EB01CD" w:rsidRPr="005B123A" w14:paraId="0E81B26F" w14:textId="77777777" w:rsidTr="00B803AC">
        <w:tc>
          <w:tcPr>
            <w:tcW w:w="8658" w:type="dxa"/>
            <w:gridSpan w:val="3"/>
            <w:tcBorders>
              <w:top w:val="single" w:sz="4" w:space="0" w:color="auto"/>
              <w:left w:val="single" w:sz="4" w:space="0" w:color="auto"/>
              <w:bottom w:val="single" w:sz="4" w:space="0" w:color="auto"/>
              <w:right w:val="single" w:sz="4" w:space="0" w:color="auto"/>
            </w:tcBorders>
            <w:hideMark/>
          </w:tcPr>
          <w:p w14:paraId="507BC690" w14:textId="77777777" w:rsidR="00EB01CD" w:rsidRPr="005B123A" w:rsidRDefault="00EB01CD" w:rsidP="00A13DA0">
            <w:pPr>
              <w:spacing w:after="0"/>
              <w:rPr>
                <w:rFonts w:ascii="Arial Narrow" w:hAnsi="Arial Narrow" w:cs="Arial Narrow"/>
                <w:sz w:val="20"/>
                <w:lang w:val="en-US"/>
              </w:rPr>
            </w:pPr>
            <w:r w:rsidRPr="005B123A">
              <w:rPr>
                <w:rFonts w:ascii="Arial Narrow" w:hAnsi="Arial Narrow" w:cs="Arial Narrow"/>
                <w:sz w:val="20"/>
                <w:lang w:val="en-US"/>
              </w:rPr>
              <w:t>* Adjusted for baseline stratification factors and assessed using a non-inferiority margin of -8%.</w:t>
            </w:r>
          </w:p>
          <w:p w14:paraId="377D703C" w14:textId="77777777" w:rsidR="00EB01CD" w:rsidRPr="005B123A" w:rsidRDefault="00EB01CD" w:rsidP="00A13DA0">
            <w:pPr>
              <w:spacing w:after="0"/>
              <w:rPr>
                <w:rFonts w:ascii="Arial Narrow" w:hAnsi="Arial Narrow" w:cs="Arial Narrow"/>
                <w:sz w:val="20"/>
                <w:lang w:val="en-US"/>
              </w:rPr>
            </w:pPr>
            <w:r w:rsidRPr="005B123A">
              <w:rPr>
                <w:rFonts w:ascii="Arial Narrow" w:hAnsi="Arial Narrow" w:cs="Arial Narrow"/>
                <w:sz w:val="20"/>
                <w:lang w:val="en-US"/>
              </w:rPr>
              <w:t xml:space="preserve">† Non-inferiority of DTG + RPV to CAR in the proportion of subjects classified as virologic non-responders was demonstrated using a non-inferiority margin of 4%. Adjusted difference (95% CI) </w:t>
            </w:r>
            <w:r>
              <w:rPr>
                <w:rFonts w:ascii="Arial Narrow" w:hAnsi="Arial Narrow" w:cs="Arial Narrow"/>
                <w:sz w:val="20"/>
                <w:lang w:val="en-US"/>
              </w:rPr>
              <w:t>-</w:t>
            </w:r>
            <w:r w:rsidRPr="005B123A">
              <w:rPr>
                <w:rFonts w:ascii="Arial Narrow" w:hAnsi="Arial Narrow" w:cs="Arial Narrow"/>
                <w:sz w:val="20"/>
                <w:lang w:val="en-US"/>
              </w:rPr>
              <w:t>0.</w:t>
            </w:r>
            <w:r>
              <w:rPr>
                <w:rFonts w:ascii="Arial Narrow" w:hAnsi="Arial Narrow" w:cs="Arial Narrow"/>
                <w:sz w:val="20"/>
                <w:lang w:val="en-US"/>
              </w:rPr>
              <w:t>6</w:t>
            </w:r>
            <w:r w:rsidRPr="005B123A">
              <w:rPr>
                <w:rFonts w:ascii="Arial Narrow" w:hAnsi="Arial Narrow" w:cs="Arial Narrow"/>
                <w:sz w:val="20"/>
                <w:lang w:val="en-US"/>
              </w:rPr>
              <w:t xml:space="preserve"> (-1.</w:t>
            </w:r>
            <w:r>
              <w:rPr>
                <w:rFonts w:ascii="Arial Narrow" w:hAnsi="Arial Narrow" w:cs="Arial Narrow"/>
                <w:sz w:val="20"/>
                <w:lang w:val="en-US"/>
              </w:rPr>
              <w:t>7</w:t>
            </w:r>
            <w:r w:rsidRPr="005B123A">
              <w:rPr>
                <w:rFonts w:ascii="Arial Narrow" w:hAnsi="Arial Narrow" w:cs="Arial Narrow"/>
                <w:sz w:val="20"/>
                <w:lang w:val="en-US"/>
              </w:rPr>
              <w:t xml:space="preserve">, </w:t>
            </w:r>
            <w:r>
              <w:rPr>
                <w:rFonts w:ascii="Arial Narrow" w:hAnsi="Arial Narrow" w:cs="Arial Narrow"/>
                <w:sz w:val="20"/>
                <w:lang w:val="en-US"/>
              </w:rPr>
              <w:t>0.6</w:t>
            </w:r>
            <w:r w:rsidRPr="005B123A">
              <w:rPr>
                <w:rFonts w:ascii="Arial Narrow" w:hAnsi="Arial Narrow" w:cs="Arial Narrow"/>
                <w:sz w:val="20"/>
                <w:lang w:val="en-US"/>
              </w:rPr>
              <w:t>).</w:t>
            </w:r>
          </w:p>
          <w:p w14:paraId="6247732E" w14:textId="77777777" w:rsidR="00EB01CD" w:rsidRPr="005B123A" w:rsidRDefault="00EB01CD" w:rsidP="00A13DA0">
            <w:pPr>
              <w:spacing w:after="0"/>
              <w:rPr>
                <w:rFonts w:ascii="Arial Narrow" w:hAnsi="Arial Narrow" w:cs="Arial Narrow"/>
                <w:sz w:val="20"/>
                <w:lang w:val="en-US"/>
              </w:rPr>
            </w:pPr>
            <w:r w:rsidRPr="005B123A">
              <w:rPr>
                <w:rFonts w:ascii="Arial Narrow" w:hAnsi="Arial Narrow" w:cs="Arial Narrow"/>
                <w:sz w:val="20"/>
                <w:lang w:val="en-US"/>
              </w:rPr>
              <w:t>N = Number of subjects in each treatment group</w:t>
            </w:r>
          </w:p>
          <w:p w14:paraId="6A1A8D31" w14:textId="77777777" w:rsidR="00EB01CD" w:rsidRPr="005B123A" w:rsidRDefault="00EB01CD" w:rsidP="00A13DA0">
            <w:pPr>
              <w:spacing w:after="0"/>
              <w:rPr>
                <w:rFonts w:ascii="Arial Narrow" w:hAnsi="Arial Narrow" w:cs="Arial Narrow"/>
                <w:sz w:val="20"/>
                <w:lang w:val="en-US"/>
              </w:rPr>
            </w:pPr>
            <w:r w:rsidRPr="005B123A">
              <w:rPr>
                <w:rFonts w:ascii="Arial Narrow" w:hAnsi="Arial Narrow" w:cs="Arial Narrow"/>
                <w:sz w:val="20"/>
                <w:lang w:val="en-US"/>
              </w:rPr>
              <w:t>INSTI = Integrase inhibitor; NNRTI = Non-nucleoside reverse transcriptase inhibitor; PI = Protease Inhibitor</w:t>
            </w:r>
          </w:p>
          <w:p w14:paraId="17A776B5" w14:textId="77777777" w:rsidR="00EB01CD" w:rsidRPr="005B123A" w:rsidRDefault="00EB01CD" w:rsidP="00A13DA0">
            <w:r w:rsidRPr="005B123A">
              <w:rPr>
                <w:rFonts w:ascii="Arial Narrow" w:hAnsi="Arial Narrow"/>
                <w:sz w:val="20"/>
              </w:rPr>
              <w:t>DTG+RPV = dolutegravir plus rilpivirine</w:t>
            </w:r>
            <w:r w:rsidRPr="005B123A">
              <w:rPr>
                <w:rFonts w:ascii="Arial Narrow" w:hAnsi="Arial Narrow"/>
                <w:sz w:val="20"/>
              </w:rPr>
              <w:br/>
              <w:t xml:space="preserve">CAR = current antiretroviral regimen </w:t>
            </w:r>
            <w:r w:rsidRPr="005B123A">
              <w:t xml:space="preserve"> </w:t>
            </w:r>
          </w:p>
        </w:tc>
      </w:tr>
    </w:tbl>
    <w:p w14:paraId="6D9BFC74" w14:textId="77777777" w:rsidR="00D541FE" w:rsidRPr="00D03AD1" w:rsidRDefault="00D541FE" w:rsidP="00D541FE">
      <w:pPr>
        <w:spacing w:after="0"/>
        <w:rPr>
          <w:b/>
          <w:bCs/>
        </w:rPr>
      </w:pPr>
      <w:bookmarkStart w:id="16" w:name="_Hlk50039588"/>
      <w:r w:rsidRPr="00C05AB5">
        <w:rPr>
          <w:b/>
          <w:bCs/>
        </w:rPr>
        <w:lastRenderedPageBreak/>
        <w:t>Antiretroviral Pregnancy Registry</w:t>
      </w:r>
    </w:p>
    <w:bookmarkEnd w:id="16"/>
    <w:p w14:paraId="1430F1CB" w14:textId="77777777" w:rsidR="00D541FE" w:rsidRPr="00D03AD1" w:rsidRDefault="00D541FE" w:rsidP="00D541FE">
      <w:r w:rsidRPr="00D03AD1">
        <w:t>The APR has received reports of over 600 exposures to dolutegravir during pregnancy resulting in live births, as of July 2019. These consist of over 370 exposures during the first trimester, over 230 exposures during the second/third trimester and included 12 and 9 birth defects, respectively. The prevalence (95% CI) of defects among live births exposed to dolutegravir in the first trimester was 3.2% (1.7%, 5.5%) and in the second/third trimester, 3.8% (1.7%, 7.0%).</w:t>
      </w:r>
    </w:p>
    <w:p w14:paraId="34B8B1C4" w14:textId="77777777" w:rsidR="00D541FE" w:rsidRPr="00D03AD1" w:rsidRDefault="00D541FE" w:rsidP="00D541FE">
      <w:r w:rsidRPr="00D03AD1">
        <w:t xml:space="preserve">The available data from the APR </w:t>
      </w:r>
      <w:r>
        <w:t xml:space="preserve">do not indicate </w:t>
      </w:r>
      <w:proofErr w:type="spellStart"/>
      <w:r>
        <w:t>a</w:t>
      </w:r>
      <w:r w:rsidRPr="00D03AD1">
        <w:t>significant</w:t>
      </w:r>
      <w:proofErr w:type="spellEnd"/>
      <w:r w:rsidRPr="00D03AD1">
        <w:t xml:space="preserve"> increase in risk of major birth defects for dolutegravir compared to the background rates in two population based surveillance systems (Metropolitan Atlanta Congenital Defects Program with defects of 2.72 per 100 live births and the Texas Birth Defects Registry with 4.17 per 100 live births).</w:t>
      </w:r>
      <w:r>
        <w:t xml:space="preserve"> </w:t>
      </w:r>
      <w:r w:rsidRPr="00D03AD1">
        <w:t>However, the APR data are currently insufficient to provide evidence regarding the risk of neural tube defects.</w:t>
      </w:r>
    </w:p>
    <w:p w14:paraId="69503DD1" w14:textId="633C0184" w:rsidR="000329AF" w:rsidRDefault="00D04C3D" w:rsidP="000329AF">
      <w:r w:rsidRPr="00D4563C">
        <w:rPr>
          <w:b/>
          <w:bCs/>
        </w:rPr>
        <w:t>Children</w:t>
      </w:r>
      <w:r w:rsidRPr="00D4563C">
        <w:br/>
        <w:t>In a</w:t>
      </w:r>
      <w:r w:rsidR="000329AF">
        <w:t>n ongoing</w:t>
      </w:r>
      <w:r w:rsidRPr="00D4563C">
        <w:t xml:space="preserve"> </w:t>
      </w:r>
      <w:r w:rsidR="00797521" w:rsidRPr="00D4563C">
        <w:t>P</w:t>
      </w:r>
      <w:r w:rsidRPr="00D4563C">
        <w:t>hase</w:t>
      </w:r>
      <w:r w:rsidR="00797521" w:rsidRPr="00D4563C">
        <w:t xml:space="preserve"> I/II 48 week multicentre, open-</w:t>
      </w:r>
      <w:r w:rsidRPr="00D4563C">
        <w:t xml:space="preserve">label study (P1093/ING112578), the pharmacokinetic parameters, safety, </w:t>
      </w:r>
      <w:proofErr w:type="gramStart"/>
      <w:r w:rsidRPr="00D4563C">
        <w:t>tolerability</w:t>
      </w:r>
      <w:proofErr w:type="gramEnd"/>
      <w:r w:rsidRPr="00D4563C">
        <w:t xml:space="preserve"> and efficacy of </w:t>
      </w:r>
      <w:r w:rsidR="00FF0934" w:rsidRPr="00D4563C">
        <w:t>TIVICAY</w:t>
      </w:r>
      <w:r w:rsidRPr="00D4563C">
        <w:t xml:space="preserve"> w</w:t>
      </w:r>
      <w:r w:rsidR="000329AF">
        <w:t>ere</w:t>
      </w:r>
      <w:r w:rsidRPr="00D4563C">
        <w:t xml:space="preserve"> evaluated in combination regimens in HIV-1 infected inf</w:t>
      </w:r>
      <w:r w:rsidR="00F82573">
        <w:t>ants, children and adolescents</w:t>
      </w:r>
      <w:r w:rsidR="000329AF">
        <w:t xml:space="preserve"> aged ≥ 4 weeks to &lt; 18 years, the majority of whom were treatment-experienced. </w:t>
      </w:r>
    </w:p>
    <w:p w14:paraId="38F0AC54" w14:textId="57AF398D" w:rsidR="00F82573" w:rsidRDefault="000329AF" w:rsidP="000329AF">
      <w:r>
        <w:t xml:space="preserve">The efficacy results (Table 11) include participants who received either film-coated tablets or dispersible tablets as per the dosing recommendations (see Section </w:t>
      </w:r>
      <w:r w:rsidRPr="000329AF">
        <w:t>4.2</w:t>
      </w:r>
      <w:r>
        <w:t xml:space="preserve"> </w:t>
      </w:r>
      <w:r w:rsidRPr="000329AF">
        <w:t>DOSE AND METHOD OF ADMINISTRATION</w:t>
      </w:r>
      <w:r>
        <w:t>)</w:t>
      </w:r>
      <w:r w:rsidR="00F82573">
        <w:t>.</w:t>
      </w:r>
    </w:p>
    <w:p w14:paraId="393DC485" w14:textId="77777777" w:rsidR="000329AF" w:rsidRPr="00FD77CB" w:rsidRDefault="000329AF" w:rsidP="000329AF">
      <w:pPr>
        <w:pStyle w:val="captiontable"/>
        <w:spacing w:after="120"/>
      </w:pPr>
      <w:bookmarkStart w:id="17" w:name="_Ref17189353"/>
      <w:r w:rsidRPr="00FD77CB">
        <w:t>Table</w:t>
      </w:r>
      <w:bookmarkEnd w:id="17"/>
      <w:r w:rsidRPr="00FD77CB">
        <w:t xml:space="preserve"> 11</w:t>
      </w:r>
      <w:r w:rsidRPr="00FD77CB">
        <w:tab/>
        <w:t xml:space="preserve">Antiviral and Immunological Activity Through Week 24 and Week 48 in Paediatric Patients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448"/>
        <w:gridCol w:w="1448"/>
        <w:gridCol w:w="1448"/>
        <w:gridCol w:w="1446"/>
      </w:tblGrid>
      <w:tr w:rsidR="000329AF" w:rsidRPr="000329AF" w14:paraId="1C21347A" w14:textId="77777777" w:rsidTr="008A1052">
        <w:tc>
          <w:tcPr>
            <w:tcW w:w="1789" w:type="pct"/>
            <w:shd w:val="clear" w:color="auto" w:fill="auto"/>
          </w:tcPr>
          <w:p w14:paraId="11A8E8FA" w14:textId="77777777" w:rsidR="000329AF" w:rsidRPr="00FD77CB" w:rsidRDefault="000329AF" w:rsidP="00FD77CB">
            <w:pPr>
              <w:keepNext/>
              <w:spacing w:after="0"/>
              <w:jc w:val="both"/>
              <w:rPr>
                <w:rFonts w:ascii="Arial Narrow" w:hAnsi="Arial Narrow"/>
                <w:sz w:val="20"/>
                <w:szCs w:val="20"/>
              </w:rPr>
            </w:pPr>
            <w:bookmarkStart w:id="18" w:name="_Hlk16508000"/>
          </w:p>
        </w:tc>
        <w:tc>
          <w:tcPr>
            <w:tcW w:w="1606" w:type="pct"/>
            <w:gridSpan w:val="2"/>
            <w:shd w:val="clear" w:color="auto" w:fill="auto"/>
            <w:vAlign w:val="bottom"/>
          </w:tcPr>
          <w:p w14:paraId="17FE7D50" w14:textId="77777777" w:rsidR="000329AF" w:rsidRPr="00FD77CB" w:rsidRDefault="000329AF">
            <w:pPr>
              <w:pStyle w:val="tabletextNS"/>
              <w:keepNext/>
              <w:jc w:val="center"/>
              <w:rPr>
                <w:bCs/>
                <w:sz w:val="20"/>
              </w:rPr>
            </w:pPr>
            <w:r w:rsidRPr="00FD77CB">
              <w:rPr>
                <w:bCs/>
                <w:sz w:val="20"/>
              </w:rPr>
              <w:t>Week 24</w:t>
            </w:r>
            <w:r w:rsidRPr="00FD77CB">
              <w:rPr>
                <w:sz w:val="20"/>
              </w:rPr>
              <w:br w:type="textWrapping" w:clear="all"/>
            </w:r>
            <w:r w:rsidRPr="00FD77CB">
              <w:rPr>
                <w:bCs/>
                <w:sz w:val="20"/>
              </w:rPr>
              <w:t>N=58</w:t>
            </w:r>
          </w:p>
        </w:tc>
        <w:tc>
          <w:tcPr>
            <w:tcW w:w="1605" w:type="pct"/>
            <w:gridSpan w:val="2"/>
            <w:shd w:val="clear" w:color="auto" w:fill="auto"/>
          </w:tcPr>
          <w:p w14:paraId="191A2C46" w14:textId="77777777" w:rsidR="000329AF" w:rsidRPr="00FD77CB" w:rsidRDefault="000329AF">
            <w:pPr>
              <w:pStyle w:val="tabletextNS"/>
              <w:keepNext/>
              <w:jc w:val="center"/>
              <w:rPr>
                <w:bCs/>
                <w:sz w:val="20"/>
              </w:rPr>
            </w:pPr>
            <w:r w:rsidRPr="00FD77CB">
              <w:rPr>
                <w:bCs/>
                <w:sz w:val="20"/>
              </w:rPr>
              <w:t>Week 48</w:t>
            </w:r>
            <w:r w:rsidRPr="00FD77CB">
              <w:rPr>
                <w:sz w:val="20"/>
              </w:rPr>
              <w:br w:type="textWrapping" w:clear="all"/>
            </w:r>
            <w:r w:rsidRPr="00FD77CB">
              <w:rPr>
                <w:bCs/>
                <w:sz w:val="20"/>
              </w:rPr>
              <w:t>N=24</w:t>
            </w:r>
          </w:p>
        </w:tc>
      </w:tr>
      <w:tr w:rsidR="000329AF" w:rsidRPr="000329AF" w14:paraId="118E0444" w14:textId="77777777" w:rsidTr="008A1052">
        <w:tc>
          <w:tcPr>
            <w:tcW w:w="1789" w:type="pct"/>
            <w:shd w:val="clear" w:color="auto" w:fill="auto"/>
          </w:tcPr>
          <w:p w14:paraId="40E6E4E4" w14:textId="77777777" w:rsidR="000329AF" w:rsidRPr="00FD77CB" w:rsidRDefault="000329AF" w:rsidP="00FD77CB">
            <w:pPr>
              <w:pStyle w:val="tabletextNS"/>
              <w:keepNext/>
              <w:jc w:val="both"/>
              <w:rPr>
                <w:sz w:val="20"/>
              </w:rPr>
            </w:pPr>
          </w:p>
        </w:tc>
        <w:tc>
          <w:tcPr>
            <w:tcW w:w="803" w:type="pct"/>
            <w:shd w:val="clear" w:color="auto" w:fill="auto"/>
            <w:vAlign w:val="center"/>
          </w:tcPr>
          <w:p w14:paraId="74E7DDFC" w14:textId="77777777" w:rsidR="000329AF" w:rsidRPr="00FD77CB" w:rsidRDefault="000329AF">
            <w:pPr>
              <w:pStyle w:val="tabletextNS"/>
              <w:keepNext/>
              <w:jc w:val="center"/>
              <w:rPr>
                <w:sz w:val="20"/>
              </w:rPr>
            </w:pPr>
            <w:r w:rsidRPr="00FD77CB">
              <w:rPr>
                <w:sz w:val="20"/>
              </w:rPr>
              <w:t>n/N</w:t>
            </w:r>
          </w:p>
        </w:tc>
        <w:tc>
          <w:tcPr>
            <w:tcW w:w="803" w:type="pct"/>
            <w:shd w:val="clear" w:color="auto" w:fill="auto"/>
            <w:vAlign w:val="center"/>
          </w:tcPr>
          <w:p w14:paraId="7E3C009B" w14:textId="77777777" w:rsidR="000329AF" w:rsidRPr="00FD77CB" w:rsidRDefault="000329AF">
            <w:pPr>
              <w:pStyle w:val="tabletextNS"/>
              <w:keepNext/>
              <w:jc w:val="center"/>
              <w:rPr>
                <w:sz w:val="20"/>
              </w:rPr>
            </w:pPr>
            <w:r w:rsidRPr="00FD77CB">
              <w:rPr>
                <w:sz w:val="20"/>
              </w:rPr>
              <w:t>% (95% CI)</w:t>
            </w:r>
          </w:p>
        </w:tc>
        <w:tc>
          <w:tcPr>
            <w:tcW w:w="803" w:type="pct"/>
          </w:tcPr>
          <w:p w14:paraId="5EF04872" w14:textId="77777777" w:rsidR="000329AF" w:rsidRPr="00FD77CB" w:rsidRDefault="000329AF">
            <w:pPr>
              <w:pStyle w:val="tabletextNS"/>
              <w:keepNext/>
              <w:jc w:val="center"/>
              <w:rPr>
                <w:sz w:val="20"/>
              </w:rPr>
            </w:pPr>
            <w:r w:rsidRPr="00FD77CB">
              <w:rPr>
                <w:sz w:val="20"/>
              </w:rPr>
              <w:t>n/N</w:t>
            </w:r>
          </w:p>
        </w:tc>
        <w:tc>
          <w:tcPr>
            <w:tcW w:w="802" w:type="pct"/>
          </w:tcPr>
          <w:p w14:paraId="43182D48" w14:textId="77777777" w:rsidR="000329AF" w:rsidRPr="00FD77CB" w:rsidRDefault="000329AF">
            <w:pPr>
              <w:pStyle w:val="tabletextNS"/>
              <w:keepNext/>
              <w:jc w:val="center"/>
              <w:rPr>
                <w:sz w:val="20"/>
              </w:rPr>
            </w:pPr>
            <w:r w:rsidRPr="00FD77CB">
              <w:rPr>
                <w:sz w:val="20"/>
              </w:rPr>
              <w:t>% (95% CI)</w:t>
            </w:r>
          </w:p>
        </w:tc>
      </w:tr>
      <w:tr w:rsidR="000329AF" w:rsidRPr="000329AF" w14:paraId="75DE2605" w14:textId="77777777" w:rsidTr="008A1052">
        <w:tc>
          <w:tcPr>
            <w:tcW w:w="1789" w:type="pct"/>
            <w:shd w:val="clear" w:color="auto" w:fill="auto"/>
          </w:tcPr>
          <w:p w14:paraId="104667C4" w14:textId="77777777" w:rsidR="000329AF" w:rsidRPr="00FD77CB" w:rsidRDefault="000329AF" w:rsidP="00FD77CB">
            <w:pPr>
              <w:pStyle w:val="tabletextNS"/>
              <w:keepNext/>
              <w:jc w:val="both"/>
              <w:rPr>
                <w:sz w:val="20"/>
              </w:rPr>
            </w:pPr>
            <w:r w:rsidRPr="00FD77CB">
              <w:rPr>
                <w:sz w:val="20"/>
              </w:rPr>
              <w:t>Proportion of participants with HIV RNA &lt;50 c/</w:t>
            </w:r>
            <w:proofErr w:type="spellStart"/>
            <w:r w:rsidRPr="00FD77CB">
              <w:rPr>
                <w:sz w:val="20"/>
              </w:rPr>
              <w:t>mL</w:t>
            </w:r>
            <w:r w:rsidRPr="00FD77CB">
              <w:rPr>
                <w:sz w:val="20"/>
                <w:vertAlign w:val="superscript"/>
              </w:rPr>
              <w:t>a</w:t>
            </w:r>
            <w:proofErr w:type="spellEnd"/>
            <w:r w:rsidRPr="00FD77CB">
              <w:rPr>
                <w:sz w:val="20"/>
                <w:vertAlign w:val="superscript"/>
              </w:rPr>
              <w:t>, b</w:t>
            </w:r>
          </w:p>
        </w:tc>
        <w:tc>
          <w:tcPr>
            <w:tcW w:w="803" w:type="pct"/>
            <w:shd w:val="clear" w:color="auto" w:fill="auto"/>
            <w:vAlign w:val="center"/>
          </w:tcPr>
          <w:p w14:paraId="7807937B" w14:textId="77777777" w:rsidR="000329AF" w:rsidRPr="00FD77CB" w:rsidRDefault="000329AF">
            <w:pPr>
              <w:pStyle w:val="tabletextNS"/>
              <w:keepNext/>
              <w:jc w:val="center"/>
              <w:rPr>
                <w:sz w:val="20"/>
              </w:rPr>
            </w:pPr>
            <w:r w:rsidRPr="00FD77CB">
              <w:rPr>
                <w:sz w:val="20"/>
              </w:rPr>
              <w:t>36/58</w:t>
            </w:r>
          </w:p>
        </w:tc>
        <w:tc>
          <w:tcPr>
            <w:tcW w:w="803" w:type="pct"/>
            <w:shd w:val="clear" w:color="auto" w:fill="auto"/>
            <w:vAlign w:val="center"/>
          </w:tcPr>
          <w:p w14:paraId="55B1C83F" w14:textId="77777777" w:rsidR="000329AF" w:rsidRPr="00FD77CB" w:rsidRDefault="000329AF">
            <w:pPr>
              <w:pStyle w:val="tabletextNS"/>
              <w:keepNext/>
              <w:jc w:val="center"/>
              <w:rPr>
                <w:sz w:val="20"/>
              </w:rPr>
            </w:pPr>
            <w:r w:rsidRPr="00FD77CB">
              <w:rPr>
                <w:sz w:val="20"/>
              </w:rPr>
              <w:t xml:space="preserve">62.1 </w:t>
            </w:r>
            <w:r w:rsidRPr="00FD77CB">
              <w:rPr>
                <w:sz w:val="20"/>
              </w:rPr>
              <w:br/>
              <w:t>(48.4 - 74.5)</w:t>
            </w:r>
          </w:p>
        </w:tc>
        <w:tc>
          <w:tcPr>
            <w:tcW w:w="803" w:type="pct"/>
            <w:vAlign w:val="center"/>
          </w:tcPr>
          <w:p w14:paraId="205C0EC0" w14:textId="77777777" w:rsidR="000329AF" w:rsidRPr="00FD77CB" w:rsidRDefault="000329AF">
            <w:pPr>
              <w:pStyle w:val="tabletextNS"/>
              <w:keepNext/>
              <w:jc w:val="center"/>
              <w:rPr>
                <w:sz w:val="20"/>
              </w:rPr>
            </w:pPr>
            <w:r w:rsidRPr="00FD77CB">
              <w:rPr>
                <w:sz w:val="20"/>
              </w:rPr>
              <w:t>16/24</w:t>
            </w:r>
          </w:p>
        </w:tc>
        <w:tc>
          <w:tcPr>
            <w:tcW w:w="802" w:type="pct"/>
            <w:vAlign w:val="center"/>
          </w:tcPr>
          <w:p w14:paraId="06AEAAE1" w14:textId="77777777" w:rsidR="000329AF" w:rsidRPr="00FD77CB" w:rsidRDefault="000329AF">
            <w:pPr>
              <w:pStyle w:val="tabletextNS"/>
              <w:keepNext/>
              <w:jc w:val="center"/>
              <w:rPr>
                <w:sz w:val="20"/>
              </w:rPr>
            </w:pPr>
            <w:r w:rsidRPr="00FD77CB">
              <w:rPr>
                <w:sz w:val="20"/>
              </w:rPr>
              <w:t xml:space="preserve">66.7 </w:t>
            </w:r>
            <w:r w:rsidRPr="00FD77CB">
              <w:rPr>
                <w:sz w:val="20"/>
              </w:rPr>
              <w:br/>
              <w:t>(44.7 – 84.4)</w:t>
            </w:r>
          </w:p>
        </w:tc>
      </w:tr>
      <w:tr w:rsidR="000329AF" w:rsidRPr="000329AF" w14:paraId="6A4EC286" w14:textId="77777777" w:rsidTr="008A1052">
        <w:tc>
          <w:tcPr>
            <w:tcW w:w="1789" w:type="pct"/>
            <w:shd w:val="clear" w:color="auto" w:fill="auto"/>
          </w:tcPr>
          <w:p w14:paraId="66657511" w14:textId="77777777" w:rsidR="000329AF" w:rsidRPr="00FD77CB" w:rsidRDefault="000329AF" w:rsidP="00FD77CB">
            <w:pPr>
              <w:pStyle w:val="tabletextNS"/>
              <w:keepNext/>
              <w:jc w:val="both"/>
              <w:rPr>
                <w:sz w:val="20"/>
              </w:rPr>
            </w:pPr>
            <w:r w:rsidRPr="00FD77CB">
              <w:rPr>
                <w:sz w:val="20"/>
              </w:rPr>
              <w:t>Proportion of participants with HIV RNA &lt;400 c/</w:t>
            </w:r>
            <w:proofErr w:type="spellStart"/>
            <w:r w:rsidRPr="00FD77CB">
              <w:rPr>
                <w:sz w:val="20"/>
              </w:rPr>
              <w:t>mL</w:t>
            </w:r>
            <w:r w:rsidRPr="00FD77CB">
              <w:rPr>
                <w:sz w:val="20"/>
                <w:vertAlign w:val="superscript"/>
              </w:rPr>
              <w:t>b</w:t>
            </w:r>
            <w:proofErr w:type="spellEnd"/>
          </w:p>
        </w:tc>
        <w:tc>
          <w:tcPr>
            <w:tcW w:w="803" w:type="pct"/>
            <w:shd w:val="clear" w:color="auto" w:fill="auto"/>
            <w:vAlign w:val="center"/>
          </w:tcPr>
          <w:p w14:paraId="5D48F2B4" w14:textId="77777777" w:rsidR="000329AF" w:rsidRPr="00FD77CB" w:rsidRDefault="000329AF">
            <w:pPr>
              <w:pStyle w:val="tabletextNS"/>
              <w:keepNext/>
              <w:jc w:val="center"/>
              <w:rPr>
                <w:sz w:val="20"/>
              </w:rPr>
            </w:pPr>
            <w:r w:rsidRPr="00FD77CB">
              <w:rPr>
                <w:sz w:val="20"/>
              </w:rPr>
              <w:t>50/58</w:t>
            </w:r>
          </w:p>
        </w:tc>
        <w:tc>
          <w:tcPr>
            <w:tcW w:w="803" w:type="pct"/>
            <w:shd w:val="clear" w:color="auto" w:fill="auto"/>
            <w:vAlign w:val="center"/>
          </w:tcPr>
          <w:p w14:paraId="5293C1F3" w14:textId="77777777" w:rsidR="000329AF" w:rsidRPr="00FD77CB" w:rsidRDefault="000329AF">
            <w:pPr>
              <w:pStyle w:val="tabletextNS"/>
              <w:keepNext/>
              <w:jc w:val="center"/>
              <w:rPr>
                <w:sz w:val="20"/>
              </w:rPr>
            </w:pPr>
            <w:r w:rsidRPr="00FD77CB">
              <w:rPr>
                <w:sz w:val="20"/>
              </w:rPr>
              <w:t xml:space="preserve">86.2 </w:t>
            </w:r>
            <w:r w:rsidRPr="00FD77CB">
              <w:rPr>
                <w:sz w:val="20"/>
              </w:rPr>
              <w:br/>
              <w:t>(74.6 - 93.9)</w:t>
            </w:r>
          </w:p>
        </w:tc>
        <w:tc>
          <w:tcPr>
            <w:tcW w:w="803" w:type="pct"/>
            <w:vAlign w:val="center"/>
          </w:tcPr>
          <w:p w14:paraId="098469F6" w14:textId="77777777" w:rsidR="000329AF" w:rsidRPr="00FD77CB" w:rsidRDefault="000329AF">
            <w:pPr>
              <w:pStyle w:val="tabletextNS"/>
              <w:keepNext/>
              <w:jc w:val="center"/>
              <w:rPr>
                <w:sz w:val="20"/>
              </w:rPr>
            </w:pPr>
            <w:r w:rsidRPr="00FD77CB">
              <w:rPr>
                <w:sz w:val="20"/>
              </w:rPr>
              <w:t>18/24</w:t>
            </w:r>
          </w:p>
        </w:tc>
        <w:tc>
          <w:tcPr>
            <w:tcW w:w="802" w:type="pct"/>
            <w:vAlign w:val="center"/>
          </w:tcPr>
          <w:p w14:paraId="37E1BE50" w14:textId="77777777" w:rsidR="000329AF" w:rsidRPr="00FD77CB" w:rsidRDefault="000329AF">
            <w:pPr>
              <w:pStyle w:val="tabletextNS"/>
              <w:keepNext/>
              <w:jc w:val="center"/>
              <w:rPr>
                <w:sz w:val="20"/>
              </w:rPr>
            </w:pPr>
            <w:r w:rsidRPr="00FD77CB">
              <w:rPr>
                <w:sz w:val="20"/>
              </w:rPr>
              <w:t xml:space="preserve">75 </w:t>
            </w:r>
            <w:r w:rsidRPr="00FD77CB">
              <w:rPr>
                <w:sz w:val="20"/>
              </w:rPr>
              <w:br/>
              <w:t>(53.3 – 90.2)</w:t>
            </w:r>
          </w:p>
        </w:tc>
      </w:tr>
      <w:tr w:rsidR="000329AF" w:rsidRPr="000329AF" w14:paraId="3C7D1470" w14:textId="77777777" w:rsidTr="008A1052">
        <w:tc>
          <w:tcPr>
            <w:tcW w:w="1789" w:type="pct"/>
            <w:tcBorders>
              <w:bottom w:val="single" w:sz="4" w:space="0" w:color="auto"/>
            </w:tcBorders>
            <w:shd w:val="clear" w:color="auto" w:fill="auto"/>
          </w:tcPr>
          <w:p w14:paraId="6A89891C" w14:textId="77777777" w:rsidR="000329AF" w:rsidRPr="00FD77CB" w:rsidRDefault="000329AF" w:rsidP="00FD77CB">
            <w:pPr>
              <w:pStyle w:val="tabletextNS"/>
              <w:keepNext/>
              <w:jc w:val="both"/>
              <w:rPr>
                <w:sz w:val="20"/>
              </w:rPr>
            </w:pPr>
          </w:p>
        </w:tc>
        <w:tc>
          <w:tcPr>
            <w:tcW w:w="803" w:type="pct"/>
            <w:tcBorders>
              <w:bottom w:val="single" w:sz="4" w:space="0" w:color="auto"/>
            </w:tcBorders>
            <w:shd w:val="clear" w:color="auto" w:fill="auto"/>
            <w:vAlign w:val="center"/>
          </w:tcPr>
          <w:p w14:paraId="395DEFBB" w14:textId="77777777" w:rsidR="000329AF" w:rsidRPr="00FD77CB" w:rsidRDefault="000329AF">
            <w:pPr>
              <w:pStyle w:val="tabletextNS"/>
              <w:keepNext/>
              <w:jc w:val="center"/>
              <w:rPr>
                <w:bCs/>
                <w:sz w:val="20"/>
              </w:rPr>
            </w:pPr>
            <w:r w:rsidRPr="00FD77CB">
              <w:rPr>
                <w:bCs/>
                <w:sz w:val="20"/>
              </w:rPr>
              <w:t>Median (n)</w:t>
            </w:r>
          </w:p>
        </w:tc>
        <w:tc>
          <w:tcPr>
            <w:tcW w:w="803" w:type="pct"/>
            <w:tcBorders>
              <w:bottom w:val="single" w:sz="4" w:space="0" w:color="auto"/>
            </w:tcBorders>
            <w:shd w:val="clear" w:color="auto" w:fill="auto"/>
            <w:vAlign w:val="center"/>
          </w:tcPr>
          <w:p w14:paraId="63C2BCBC" w14:textId="77777777" w:rsidR="000329AF" w:rsidRPr="00FD77CB" w:rsidRDefault="000329AF">
            <w:pPr>
              <w:pStyle w:val="tabletextNS"/>
              <w:keepNext/>
              <w:jc w:val="center"/>
              <w:rPr>
                <w:bCs/>
                <w:sz w:val="20"/>
              </w:rPr>
            </w:pPr>
            <w:r w:rsidRPr="00FD77CB">
              <w:rPr>
                <w:bCs/>
                <w:sz w:val="20"/>
              </w:rPr>
              <w:t>(Q1, Q3)</w:t>
            </w:r>
          </w:p>
        </w:tc>
        <w:tc>
          <w:tcPr>
            <w:tcW w:w="803" w:type="pct"/>
            <w:tcBorders>
              <w:bottom w:val="single" w:sz="4" w:space="0" w:color="auto"/>
            </w:tcBorders>
          </w:tcPr>
          <w:p w14:paraId="40CF7667" w14:textId="77777777" w:rsidR="000329AF" w:rsidRPr="00FD77CB" w:rsidRDefault="000329AF">
            <w:pPr>
              <w:pStyle w:val="tabletextNS"/>
              <w:keepNext/>
              <w:jc w:val="center"/>
              <w:rPr>
                <w:bCs/>
                <w:sz w:val="20"/>
              </w:rPr>
            </w:pPr>
            <w:r w:rsidRPr="00FD77CB">
              <w:rPr>
                <w:sz w:val="20"/>
              </w:rPr>
              <w:t>Median (n)</w:t>
            </w:r>
          </w:p>
        </w:tc>
        <w:tc>
          <w:tcPr>
            <w:tcW w:w="802" w:type="pct"/>
            <w:tcBorders>
              <w:bottom w:val="single" w:sz="4" w:space="0" w:color="auto"/>
            </w:tcBorders>
          </w:tcPr>
          <w:p w14:paraId="71FE1BCA" w14:textId="77777777" w:rsidR="000329AF" w:rsidRPr="00FD77CB" w:rsidRDefault="000329AF">
            <w:pPr>
              <w:pStyle w:val="tabletextNS"/>
              <w:keepNext/>
              <w:jc w:val="center"/>
              <w:rPr>
                <w:bCs/>
                <w:sz w:val="20"/>
              </w:rPr>
            </w:pPr>
            <w:r w:rsidRPr="00FD77CB">
              <w:rPr>
                <w:sz w:val="20"/>
              </w:rPr>
              <w:t>(Q1, Q3)</w:t>
            </w:r>
          </w:p>
        </w:tc>
      </w:tr>
      <w:tr w:rsidR="000329AF" w:rsidRPr="000329AF" w14:paraId="40EEAD7E" w14:textId="77777777" w:rsidTr="008A1052">
        <w:tc>
          <w:tcPr>
            <w:tcW w:w="1789" w:type="pct"/>
            <w:tcBorders>
              <w:bottom w:val="single" w:sz="4" w:space="0" w:color="auto"/>
            </w:tcBorders>
            <w:shd w:val="clear" w:color="auto" w:fill="auto"/>
          </w:tcPr>
          <w:p w14:paraId="2585D080" w14:textId="77777777" w:rsidR="000329AF" w:rsidRPr="00FD77CB" w:rsidRDefault="000329AF" w:rsidP="00FD77CB">
            <w:pPr>
              <w:pStyle w:val="tabletextNS"/>
              <w:keepNext/>
              <w:jc w:val="both"/>
              <w:rPr>
                <w:sz w:val="20"/>
              </w:rPr>
            </w:pPr>
            <w:r w:rsidRPr="00FD77CB">
              <w:rPr>
                <w:sz w:val="20"/>
              </w:rPr>
              <w:t>Change from baseline in CD4+ cell count (cells/mm)</w:t>
            </w:r>
          </w:p>
        </w:tc>
        <w:tc>
          <w:tcPr>
            <w:tcW w:w="803" w:type="pct"/>
            <w:tcBorders>
              <w:bottom w:val="single" w:sz="4" w:space="0" w:color="auto"/>
            </w:tcBorders>
            <w:shd w:val="clear" w:color="auto" w:fill="auto"/>
            <w:vAlign w:val="center"/>
          </w:tcPr>
          <w:p w14:paraId="199C80BD" w14:textId="77777777" w:rsidR="000329AF" w:rsidRPr="00FD77CB" w:rsidRDefault="000329AF">
            <w:pPr>
              <w:pStyle w:val="tabletextNS"/>
              <w:keepNext/>
              <w:jc w:val="center"/>
              <w:rPr>
                <w:sz w:val="20"/>
              </w:rPr>
            </w:pPr>
            <w:r w:rsidRPr="00FD77CB">
              <w:rPr>
                <w:sz w:val="20"/>
              </w:rPr>
              <w:t>105 (57)</w:t>
            </w:r>
          </w:p>
        </w:tc>
        <w:tc>
          <w:tcPr>
            <w:tcW w:w="803" w:type="pct"/>
            <w:tcBorders>
              <w:bottom w:val="single" w:sz="4" w:space="0" w:color="auto"/>
            </w:tcBorders>
            <w:shd w:val="clear" w:color="auto" w:fill="auto"/>
            <w:vAlign w:val="center"/>
          </w:tcPr>
          <w:p w14:paraId="24039C04" w14:textId="77777777" w:rsidR="000329AF" w:rsidRPr="00FD77CB" w:rsidRDefault="000329AF">
            <w:pPr>
              <w:pStyle w:val="tabletextNS"/>
              <w:keepNext/>
              <w:jc w:val="center"/>
              <w:rPr>
                <w:sz w:val="20"/>
              </w:rPr>
            </w:pPr>
            <w:r w:rsidRPr="00FD77CB">
              <w:rPr>
                <w:sz w:val="20"/>
              </w:rPr>
              <w:t>(-93, 338)</w:t>
            </w:r>
          </w:p>
        </w:tc>
        <w:tc>
          <w:tcPr>
            <w:tcW w:w="803" w:type="pct"/>
            <w:tcBorders>
              <w:bottom w:val="single" w:sz="4" w:space="0" w:color="auto"/>
            </w:tcBorders>
            <w:vAlign w:val="center"/>
          </w:tcPr>
          <w:p w14:paraId="398518A0" w14:textId="77777777" w:rsidR="000329AF" w:rsidRPr="00FD77CB" w:rsidRDefault="000329AF">
            <w:pPr>
              <w:pStyle w:val="tabletextNS"/>
              <w:keepNext/>
              <w:jc w:val="center"/>
              <w:rPr>
                <w:sz w:val="20"/>
              </w:rPr>
            </w:pPr>
            <w:r w:rsidRPr="00FD77CB">
              <w:rPr>
                <w:sz w:val="20"/>
              </w:rPr>
              <w:t>149 (23)</w:t>
            </w:r>
          </w:p>
        </w:tc>
        <w:tc>
          <w:tcPr>
            <w:tcW w:w="802" w:type="pct"/>
            <w:tcBorders>
              <w:bottom w:val="single" w:sz="4" w:space="0" w:color="auto"/>
            </w:tcBorders>
            <w:vAlign w:val="center"/>
          </w:tcPr>
          <w:p w14:paraId="420E7D6E" w14:textId="77777777" w:rsidR="000329AF" w:rsidRPr="00FD77CB" w:rsidRDefault="000329AF">
            <w:pPr>
              <w:pStyle w:val="tabletextNS"/>
              <w:keepNext/>
              <w:jc w:val="center"/>
              <w:rPr>
                <w:sz w:val="20"/>
              </w:rPr>
            </w:pPr>
            <w:r w:rsidRPr="00FD77CB">
              <w:rPr>
                <w:sz w:val="20"/>
              </w:rPr>
              <w:t>(-17, 291)</w:t>
            </w:r>
          </w:p>
        </w:tc>
      </w:tr>
      <w:tr w:rsidR="000329AF" w:rsidRPr="000329AF" w14:paraId="5938407A" w14:textId="77777777" w:rsidTr="008A1052">
        <w:tc>
          <w:tcPr>
            <w:tcW w:w="1789" w:type="pct"/>
            <w:tcBorders>
              <w:bottom w:val="single" w:sz="4" w:space="0" w:color="auto"/>
            </w:tcBorders>
            <w:shd w:val="clear" w:color="auto" w:fill="auto"/>
          </w:tcPr>
          <w:p w14:paraId="1F828E05" w14:textId="77777777" w:rsidR="000329AF" w:rsidRPr="00FD77CB" w:rsidRDefault="000329AF" w:rsidP="00FD77CB">
            <w:pPr>
              <w:pStyle w:val="tabletextNS"/>
              <w:keepNext/>
              <w:jc w:val="both"/>
              <w:rPr>
                <w:sz w:val="20"/>
              </w:rPr>
            </w:pPr>
            <w:r w:rsidRPr="00FD77CB">
              <w:rPr>
                <w:sz w:val="20"/>
              </w:rPr>
              <w:t>Change from baseline in CD4+ percent</w:t>
            </w:r>
          </w:p>
        </w:tc>
        <w:tc>
          <w:tcPr>
            <w:tcW w:w="803" w:type="pct"/>
            <w:tcBorders>
              <w:bottom w:val="single" w:sz="4" w:space="0" w:color="auto"/>
            </w:tcBorders>
            <w:shd w:val="clear" w:color="auto" w:fill="auto"/>
            <w:vAlign w:val="center"/>
          </w:tcPr>
          <w:p w14:paraId="6E8F2816" w14:textId="77777777" w:rsidR="000329AF" w:rsidRPr="00FD77CB" w:rsidRDefault="000329AF">
            <w:pPr>
              <w:pStyle w:val="tabletextNS"/>
              <w:keepNext/>
              <w:jc w:val="center"/>
              <w:rPr>
                <w:sz w:val="20"/>
              </w:rPr>
            </w:pPr>
            <w:r w:rsidRPr="00FD77CB">
              <w:rPr>
                <w:sz w:val="20"/>
              </w:rPr>
              <w:t>5.1 (57)</w:t>
            </w:r>
          </w:p>
        </w:tc>
        <w:tc>
          <w:tcPr>
            <w:tcW w:w="803" w:type="pct"/>
            <w:tcBorders>
              <w:bottom w:val="single" w:sz="4" w:space="0" w:color="auto"/>
            </w:tcBorders>
            <w:shd w:val="clear" w:color="auto" w:fill="auto"/>
            <w:vAlign w:val="center"/>
          </w:tcPr>
          <w:p w14:paraId="0501BEC5" w14:textId="77777777" w:rsidR="000329AF" w:rsidRPr="00FD77CB" w:rsidRDefault="000329AF">
            <w:pPr>
              <w:pStyle w:val="tabletextNS"/>
              <w:keepNext/>
              <w:jc w:val="center"/>
              <w:rPr>
                <w:sz w:val="20"/>
              </w:rPr>
            </w:pPr>
            <w:r w:rsidRPr="00FD77CB">
              <w:rPr>
                <w:sz w:val="20"/>
              </w:rPr>
              <w:t>(1, 9.3)</w:t>
            </w:r>
          </w:p>
        </w:tc>
        <w:tc>
          <w:tcPr>
            <w:tcW w:w="803" w:type="pct"/>
            <w:tcBorders>
              <w:bottom w:val="single" w:sz="4" w:space="0" w:color="auto"/>
            </w:tcBorders>
            <w:vAlign w:val="center"/>
          </w:tcPr>
          <w:p w14:paraId="2F0038E6" w14:textId="77777777" w:rsidR="000329AF" w:rsidRPr="00FD77CB" w:rsidRDefault="000329AF">
            <w:pPr>
              <w:pStyle w:val="tabletextNS"/>
              <w:keepNext/>
              <w:jc w:val="center"/>
              <w:rPr>
                <w:sz w:val="20"/>
              </w:rPr>
            </w:pPr>
            <w:r w:rsidRPr="00FD77CB">
              <w:rPr>
                <w:sz w:val="20"/>
              </w:rPr>
              <w:t>8 (23)</w:t>
            </w:r>
          </w:p>
        </w:tc>
        <w:tc>
          <w:tcPr>
            <w:tcW w:w="802" w:type="pct"/>
            <w:tcBorders>
              <w:bottom w:val="single" w:sz="4" w:space="0" w:color="auto"/>
            </w:tcBorders>
            <w:vAlign w:val="center"/>
          </w:tcPr>
          <w:p w14:paraId="3693A546" w14:textId="77777777" w:rsidR="000329AF" w:rsidRPr="00FD77CB" w:rsidRDefault="000329AF">
            <w:pPr>
              <w:pStyle w:val="tabletextNS"/>
              <w:keepNext/>
              <w:jc w:val="center"/>
              <w:rPr>
                <w:sz w:val="20"/>
              </w:rPr>
            </w:pPr>
            <w:r w:rsidRPr="00FD77CB">
              <w:rPr>
                <w:sz w:val="20"/>
              </w:rPr>
              <w:t>(0, 11)</w:t>
            </w:r>
          </w:p>
        </w:tc>
      </w:tr>
      <w:tr w:rsidR="000329AF" w:rsidRPr="000329AF" w14:paraId="05E45A9F" w14:textId="77777777" w:rsidTr="008A1052">
        <w:trPr>
          <w:trHeight w:val="541"/>
        </w:trPr>
        <w:tc>
          <w:tcPr>
            <w:tcW w:w="5000" w:type="pct"/>
            <w:gridSpan w:val="5"/>
            <w:tcBorders>
              <w:left w:val="nil"/>
              <w:bottom w:val="nil"/>
              <w:right w:val="nil"/>
            </w:tcBorders>
            <w:shd w:val="clear" w:color="auto" w:fill="auto"/>
          </w:tcPr>
          <w:p w14:paraId="5E0E5E30" w14:textId="77777777" w:rsidR="000329AF" w:rsidRPr="00FD77CB" w:rsidRDefault="000329AF" w:rsidP="00FD77CB">
            <w:pPr>
              <w:pStyle w:val="listbull"/>
              <w:numPr>
                <w:ilvl w:val="0"/>
                <w:numId w:val="0"/>
              </w:numPr>
              <w:spacing w:after="0"/>
              <w:ind w:left="432" w:hanging="432"/>
              <w:jc w:val="both"/>
              <w:rPr>
                <w:rFonts w:ascii="Arial Narrow" w:hAnsi="Arial Narrow"/>
                <w:sz w:val="20"/>
              </w:rPr>
            </w:pPr>
            <w:r w:rsidRPr="00FD77CB">
              <w:rPr>
                <w:rFonts w:ascii="Arial Narrow" w:hAnsi="Arial Narrow"/>
                <w:sz w:val="20"/>
              </w:rPr>
              <w:t>Q1, Q3= First and third quartiles, respectively.</w:t>
            </w:r>
          </w:p>
          <w:p w14:paraId="6840376B" w14:textId="77777777" w:rsidR="000329AF" w:rsidRPr="00FD77CB" w:rsidRDefault="000329AF" w:rsidP="00FD77CB">
            <w:pPr>
              <w:pStyle w:val="listbull"/>
              <w:numPr>
                <w:ilvl w:val="0"/>
                <w:numId w:val="0"/>
              </w:numPr>
              <w:spacing w:after="0"/>
              <w:ind w:left="432" w:hanging="432"/>
              <w:jc w:val="both"/>
              <w:rPr>
                <w:rFonts w:ascii="Arial Narrow" w:hAnsi="Arial Narrow"/>
                <w:sz w:val="20"/>
              </w:rPr>
            </w:pPr>
            <w:r w:rsidRPr="00FD77CB">
              <w:rPr>
                <w:rFonts w:ascii="Arial Narrow" w:hAnsi="Arial Narrow"/>
                <w:sz w:val="20"/>
                <w:vertAlign w:val="superscript"/>
              </w:rPr>
              <w:t xml:space="preserve">a </w:t>
            </w:r>
            <w:r w:rsidRPr="00FD77CB">
              <w:rPr>
                <w:rFonts w:ascii="Arial Narrow" w:hAnsi="Arial Narrow"/>
                <w:sz w:val="20"/>
              </w:rPr>
              <w:t>Results of &lt;200 c/mL from HIV-1 RNA testing using an LLOD of 200 c/mL were censored to &gt;50 c/mL in this analysis</w:t>
            </w:r>
          </w:p>
          <w:p w14:paraId="029AF7DD" w14:textId="77777777" w:rsidR="000329AF" w:rsidRPr="00FD77CB" w:rsidRDefault="000329AF" w:rsidP="00FD77CB">
            <w:pPr>
              <w:pStyle w:val="listbull"/>
              <w:numPr>
                <w:ilvl w:val="0"/>
                <w:numId w:val="0"/>
              </w:numPr>
              <w:spacing w:after="0"/>
              <w:ind w:left="432" w:hanging="432"/>
              <w:jc w:val="both"/>
              <w:rPr>
                <w:rFonts w:ascii="Arial Narrow" w:hAnsi="Arial Narrow" w:cs="Arial Narrow"/>
                <w:sz w:val="20"/>
              </w:rPr>
            </w:pPr>
            <w:r w:rsidRPr="00FD77CB">
              <w:rPr>
                <w:rFonts w:ascii="Arial Narrow" w:hAnsi="Arial Narrow"/>
                <w:sz w:val="20"/>
                <w:vertAlign w:val="superscript"/>
              </w:rPr>
              <w:t xml:space="preserve">b </w:t>
            </w:r>
            <w:r w:rsidRPr="00FD77CB">
              <w:rPr>
                <w:rFonts w:ascii="Arial Narrow" w:hAnsi="Arial Narrow" w:cs="Arial Narrow"/>
                <w:sz w:val="20"/>
              </w:rPr>
              <w:t>Snapshot algorithm was used in the analyses</w:t>
            </w:r>
          </w:p>
          <w:p w14:paraId="0E2393A8" w14:textId="77777777" w:rsidR="000329AF" w:rsidRPr="00FD77CB" w:rsidRDefault="000329AF" w:rsidP="00FD77CB">
            <w:pPr>
              <w:pStyle w:val="listbull"/>
              <w:numPr>
                <w:ilvl w:val="0"/>
                <w:numId w:val="0"/>
              </w:numPr>
              <w:spacing w:after="0"/>
              <w:ind w:left="432" w:hanging="432"/>
              <w:jc w:val="both"/>
              <w:rPr>
                <w:rFonts w:ascii="Arial Narrow" w:hAnsi="Arial Narrow"/>
                <w:sz w:val="20"/>
              </w:rPr>
            </w:pPr>
          </w:p>
        </w:tc>
      </w:tr>
    </w:tbl>
    <w:bookmarkEnd w:id="18"/>
    <w:p w14:paraId="2CD19E12" w14:textId="77777777" w:rsidR="008B6160" w:rsidRPr="008B6160" w:rsidRDefault="008B6160" w:rsidP="008B6160">
      <w:pPr>
        <w:jc w:val="both"/>
        <w:rPr>
          <w:rFonts w:eastAsia="MS Mincho"/>
          <w:lang w:val="en-GB"/>
        </w:rPr>
      </w:pPr>
      <w:r w:rsidRPr="008B6160">
        <w:rPr>
          <w:rFonts w:eastAsia="MS Mincho"/>
          <w:lang w:val="en-GB"/>
        </w:rPr>
        <w:t>There are no data available on the use of dolutegravir plus lamivudine as a two-drug regimen in paediatric patients.</w:t>
      </w:r>
    </w:p>
    <w:p w14:paraId="60C4AA6B" w14:textId="667EE098" w:rsidR="00EB01CD" w:rsidRPr="00D4563C" w:rsidRDefault="00EB01CD" w:rsidP="00085D42">
      <w:pPr>
        <w:jc w:val="both"/>
      </w:pPr>
      <w:r w:rsidRPr="005B123A">
        <w:rPr>
          <w:rFonts w:eastAsia="MS Mincho"/>
        </w:rPr>
        <w:t xml:space="preserve">There are no clinical study data with </w:t>
      </w:r>
      <w:r w:rsidRPr="005B123A">
        <w:t xml:space="preserve">dolutegravir plus rilpivirine </w:t>
      </w:r>
      <w:r w:rsidRPr="005B123A">
        <w:rPr>
          <w:rFonts w:eastAsia="MS Mincho"/>
        </w:rPr>
        <w:t>in the paediatric population.</w:t>
      </w:r>
    </w:p>
    <w:p w14:paraId="592AD8A9" w14:textId="77777777" w:rsidR="00ED65A6" w:rsidRPr="00D4563C" w:rsidRDefault="00D04C3D" w:rsidP="00D4563C">
      <w:pPr>
        <w:pStyle w:val="Heading2"/>
        <w:rPr>
          <w:lang w:val="en-US"/>
        </w:rPr>
      </w:pPr>
      <w:r w:rsidRPr="00D4563C">
        <w:rPr>
          <w:lang w:val="en-US"/>
        </w:rPr>
        <w:lastRenderedPageBreak/>
        <w:t xml:space="preserve">Pharmacokinetic properties </w:t>
      </w:r>
    </w:p>
    <w:p w14:paraId="5BC6B8B7" w14:textId="2A27E531" w:rsidR="00727B4D" w:rsidRDefault="002B2C82" w:rsidP="00D4563C">
      <w:r w:rsidRPr="00D4563C">
        <w:t xml:space="preserve">Dolutegravir pharmacokinetics </w:t>
      </w:r>
      <w:r w:rsidR="00C3400E">
        <w:t>are</w:t>
      </w:r>
      <w:r w:rsidRPr="00D4563C">
        <w:t xml:space="preserve"> similar between healthy and HIV-infected patients. The PK variability of dolutegravir is between low to moderate. In Phase I studi</w:t>
      </w:r>
      <w:r w:rsidR="008F1F07">
        <w:t>es in healthy patients, between-</w:t>
      </w:r>
      <w:r w:rsidRPr="00D4563C">
        <w:t xml:space="preserve">patient </w:t>
      </w:r>
      <w:proofErr w:type="spellStart"/>
      <w:r w:rsidRPr="00D4563C">
        <w:t>CVb</w:t>
      </w:r>
      <w:proofErr w:type="spellEnd"/>
      <w:r w:rsidRPr="00D4563C">
        <w:t xml:space="preserve">% for AUC and </w:t>
      </w:r>
      <w:proofErr w:type="spellStart"/>
      <w:r w:rsidRPr="00D4563C">
        <w:t>C</w:t>
      </w:r>
      <w:r w:rsidRPr="00D4563C">
        <w:rPr>
          <w:vertAlign w:val="subscript"/>
        </w:rPr>
        <w:t>max</w:t>
      </w:r>
      <w:proofErr w:type="spellEnd"/>
      <w:r w:rsidRPr="00D4563C">
        <w:t xml:space="preserve"> ranged from ~20 to 40% and C</w:t>
      </w:r>
      <w:r w:rsidRPr="00D4563C">
        <w:rPr>
          <w:vertAlign w:val="subscript"/>
        </w:rPr>
        <w:t>T</w:t>
      </w:r>
      <w:r w:rsidRPr="00D4563C">
        <w:t xml:space="preserve"> from 30 to </w:t>
      </w:r>
      <w:r w:rsidR="008F1F07">
        <w:t>65% across studies. The between-</w:t>
      </w:r>
      <w:r w:rsidRPr="00D4563C">
        <w:t xml:space="preserve">patient PK variability of DTG was higher in HIV-infected patients than healthy patients and </w:t>
      </w:r>
      <w:proofErr w:type="spellStart"/>
      <w:r w:rsidRPr="00D4563C">
        <w:t>CVb</w:t>
      </w:r>
      <w:proofErr w:type="spellEnd"/>
      <w:r w:rsidRPr="00D4563C">
        <w:t xml:space="preserve">% was estimated to be 30-50% for AUC and </w:t>
      </w:r>
      <w:proofErr w:type="spellStart"/>
      <w:r w:rsidRPr="00D4563C">
        <w:t>C</w:t>
      </w:r>
      <w:r w:rsidRPr="00D4563C">
        <w:rPr>
          <w:vertAlign w:val="subscript"/>
        </w:rPr>
        <w:t>max</w:t>
      </w:r>
      <w:proofErr w:type="spellEnd"/>
      <w:r w:rsidRPr="00D4563C">
        <w:t>, and at 55-140% for C</w:t>
      </w:r>
      <w:r w:rsidRPr="00D4563C">
        <w:sym w:font="Symbol" w:char="F074"/>
      </w:r>
      <w:r w:rsidRPr="00D4563C">
        <w:t>. Within-patient variability (</w:t>
      </w:r>
      <w:proofErr w:type="spellStart"/>
      <w:r w:rsidRPr="00D4563C">
        <w:t>CVw</w:t>
      </w:r>
      <w:proofErr w:type="spellEnd"/>
      <w:r w:rsidRPr="00D4563C">
        <w:t>%) is lower than between</w:t>
      </w:r>
      <w:r w:rsidR="008F1F07">
        <w:t>-</w:t>
      </w:r>
      <w:r w:rsidR="00727B4D">
        <w:t>patient variability.</w:t>
      </w:r>
    </w:p>
    <w:p w14:paraId="541FB737" w14:textId="69411124" w:rsidR="00C3400E" w:rsidRDefault="00C3400E" w:rsidP="00D4563C">
      <w:r w:rsidRPr="00C3400E">
        <w:t>The relative bioavailability of dispersible tablets is approximately 1.6-fold higher as compared to film-coated tablets. Thus, a 30 mg DTG dose administered as six 5 mg dispersible tablets will have similar exposure to a 50 mg DTG dose administered as film-coated tablet(s). Similarly, a 25 mg DTG dose administered as five 5 mg dispersible tablets, will provide comparable exposure to a 40 mg DTG dose administered as four 10 mg film-coated tablets.</w:t>
      </w:r>
    </w:p>
    <w:p w14:paraId="71A91ED7" w14:textId="77777777" w:rsidR="002B2C82" w:rsidRPr="00727B4D" w:rsidRDefault="002B2C82" w:rsidP="00727B4D">
      <w:pPr>
        <w:pStyle w:val="Heading3"/>
        <w:rPr>
          <w:b w:val="0"/>
        </w:rPr>
      </w:pPr>
      <w:r w:rsidRPr="00727B4D">
        <w:rPr>
          <w:rStyle w:val="Heading3Char"/>
          <w:b/>
        </w:rPr>
        <w:t>Absorption</w:t>
      </w:r>
    </w:p>
    <w:p w14:paraId="0011208F" w14:textId="77777777" w:rsidR="00F82573" w:rsidRDefault="002B2C82" w:rsidP="00D4563C">
      <w:r w:rsidRPr="00D4563C">
        <w:t xml:space="preserve">Dolutegravir is rapidly absorbed following oral administration, with median </w:t>
      </w:r>
      <w:proofErr w:type="spellStart"/>
      <w:r w:rsidRPr="00D4563C">
        <w:t>T</w:t>
      </w:r>
      <w:r w:rsidRPr="00D4563C">
        <w:rPr>
          <w:vertAlign w:val="subscript"/>
        </w:rPr>
        <w:t>max</w:t>
      </w:r>
      <w:proofErr w:type="spellEnd"/>
      <w:r w:rsidRPr="00D4563C">
        <w:t xml:space="preserve"> at 2 to 3 hours post dose for tablet formulation. The linearity of dolutegravir pharmacokinetics is dependent on dose and formulation. Following oral administration of tablet formulations, in general, dolutegravir exhibited nonlinear pharmacokinetics with less than dose-proportional increases in plasma exposure from 2 to 100 mg; </w:t>
      </w:r>
      <w:proofErr w:type="gramStart"/>
      <w:r w:rsidRPr="00D4563C">
        <w:t>however</w:t>
      </w:r>
      <w:proofErr w:type="gramEnd"/>
      <w:r w:rsidRPr="00D4563C">
        <w:t xml:space="preserve"> increase in dolutegravir exposure appears dose pr</w:t>
      </w:r>
      <w:r w:rsidR="00F82573">
        <w:t>oportional from 25 mg to 50 mg.</w:t>
      </w:r>
    </w:p>
    <w:p w14:paraId="2C1ACA91" w14:textId="5553AB38" w:rsidR="00F82573" w:rsidRDefault="002B2C82" w:rsidP="00D4563C">
      <w:r w:rsidRPr="00D4563C">
        <w:t>Dolutegravir may be administered with or without food. Food increased the extent and slowed the rate of absorption of dolutegravir. Bioavailability of dolutegravir depends on meal content: low, moderate, and high fat meals increased dolutegravir AUC</w:t>
      </w:r>
      <w:r w:rsidRPr="00D4563C">
        <w:rPr>
          <w:vertAlign w:val="subscript"/>
        </w:rPr>
        <w:t>(0-∞)</w:t>
      </w:r>
      <w:r w:rsidRPr="00D4563C">
        <w:t xml:space="preserve"> by 34%, 41%, and 66%, increased </w:t>
      </w:r>
      <w:proofErr w:type="spellStart"/>
      <w:r w:rsidRPr="00D4563C">
        <w:t>C</w:t>
      </w:r>
      <w:r w:rsidRPr="00D4563C">
        <w:rPr>
          <w:vertAlign w:val="subscript"/>
        </w:rPr>
        <w:t>max</w:t>
      </w:r>
      <w:proofErr w:type="spellEnd"/>
      <w:r w:rsidRPr="00D4563C">
        <w:t xml:space="preserve"> by 46%, 52%, and 67%, prolonged </w:t>
      </w:r>
      <w:proofErr w:type="spellStart"/>
      <w:r w:rsidRPr="00D4563C">
        <w:t>T</w:t>
      </w:r>
      <w:r w:rsidRPr="00D4563C">
        <w:rPr>
          <w:vertAlign w:val="subscript"/>
        </w:rPr>
        <w:t>max</w:t>
      </w:r>
      <w:proofErr w:type="spellEnd"/>
      <w:r w:rsidRPr="00D4563C">
        <w:t xml:space="preserve"> to 3, 4, and 5 hours from 2 hours under fasted conditions, respectively. </w:t>
      </w:r>
      <w:r w:rsidR="00CE7A00" w:rsidRPr="00CE7A00">
        <w:t xml:space="preserve">These increases may be clinically relevant in the presence of certain integrase class resistance. Therefore, </w:t>
      </w:r>
      <w:r w:rsidR="00C974E8">
        <w:t>TIVICAY</w:t>
      </w:r>
      <w:r w:rsidR="00CE7A00" w:rsidRPr="00CE7A00">
        <w:t xml:space="preserve"> is recommended to be taken with food by patients infected with HIV with integrase class resistance (see section 4.2). </w:t>
      </w:r>
    </w:p>
    <w:p w14:paraId="33ED6DE9" w14:textId="330FFDF0" w:rsidR="00FC132E" w:rsidRDefault="00676D4B" w:rsidP="00D4563C">
      <w:r w:rsidRPr="00676D4B">
        <w:t xml:space="preserve">No formal food effect studies were conducted for dispersible tablets. However, based on population pharmacokinetic analysis, a higher food effect is not expected for the dispersible tablet compared to the film coated tablet. </w:t>
      </w:r>
    </w:p>
    <w:p w14:paraId="1AD9F47F" w14:textId="77777777" w:rsidR="00727B4D" w:rsidRDefault="002B2C82" w:rsidP="00D4563C">
      <w:r w:rsidRPr="00D4563C">
        <w:t>The absolute bioavailability of dolutegr</w:t>
      </w:r>
      <w:r w:rsidR="00727B4D">
        <w:t>avir has not been established.</w:t>
      </w:r>
    </w:p>
    <w:p w14:paraId="368568C1" w14:textId="77777777" w:rsidR="002B2C82" w:rsidRPr="00D4563C" w:rsidRDefault="002B2C82" w:rsidP="00727B4D">
      <w:pPr>
        <w:pStyle w:val="Heading3"/>
        <w:rPr>
          <w:i/>
        </w:rPr>
      </w:pPr>
      <w:r w:rsidRPr="00D4563C">
        <w:t>Distribution</w:t>
      </w:r>
    </w:p>
    <w:p w14:paraId="37108BEE" w14:textId="77777777" w:rsidR="004F4B47" w:rsidRDefault="002B2C82" w:rsidP="00D4563C">
      <w:r w:rsidRPr="00D4563C">
        <w:t xml:space="preserve">Dolutegravir is highly bound (approximately 99.3%) to human plasma proteins based on </w:t>
      </w:r>
      <w:r w:rsidRPr="00D4563C">
        <w:rPr>
          <w:i/>
          <w:iCs/>
        </w:rPr>
        <w:t>in vitro</w:t>
      </w:r>
      <w:r w:rsidRPr="00D4563C">
        <w:t xml:space="preserve"> data. The apparent volume of distribution (following oral administration of suspension formulation, </w:t>
      </w:r>
      <w:proofErr w:type="spellStart"/>
      <w:r w:rsidRPr="00D4563C">
        <w:t>Vd</w:t>
      </w:r>
      <w:proofErr w:type="spellEnd"/>
      <w:r w:rsidRPr="00D4563C">
        <w:t xml:space="preserve">/F) is estimated at 12.5 L. Binding of dolutegravir to plasma proteins was independent of concentration. Total blood and plasma drug-related radioactivity concentration ratios averaged between 0.441 to 0.535, indicating minimal association of radioactivity with blood cellular components. Free fraction of dolutegravir in plasma is estimated at approximately 0.2 to 1.1% in healthy patients, approximately 0.4 to 0.5% in </w:t>
      </w:r>
      <w:r w:rsidRPr="00D4563C">
        <w:lastRenderedPageBreak/>
        <w:t>patients with moderate hepatic impairment, and 0.8 to 1.0% in patients with severe renal impairment and 0</w:t>
      </w:r>
      <w:r w:rsidR="004F4B47">
        <w:t>.5% in HIV-1 infected patients.</w:t>
      </w:r>
    </w:p>
    <w:p w14:paraId="10D4FECF" w14:textId="3564454B" w:rsidR="00F82573" w:rsidRDefault="002B2C82" w:rsidP="00D4563C">
      <w:r w:rsidRPr="00D4563C">
        <w:t>Dolutegravir is present in cerebrospinal fluid (CSF). In 12 treatment</w:t>
      </w:r>
      <w:r w:rsidR="001977C8" w:rsidRPr="00D4563C">
        <w:t xml:space="preserve"> </w:t>
      </w:r>
      <w:r w:rsidRPr="00D4563C">
        <w:t>naïve subjects receiving a regimen</w:t>
      </w:r>
      <w:r w:rsidR="007A31CD" w:rsidRPr="00D4563C">
        <w:t xml:space="preserve"> of dolutegravir plus abacavir/</w:t>
      </w:r>
      <w:r w:rsidRPr="00D4563C">
        <w:t xml:space="preserve">lamivudine (3TC) for 16 weeks, dolutegravir concentrations observed in CSF at both Week 2 and Week 16 exceed the </w:t>
      </w:r>
      <w:r w:rsidRPr="00D4563C">
        <w:rPr>
          <w:i/>
          <w:iCs/>
        </w:rPr>
        <w:t>in vitro</w:t>
      </w:r>
      <w:r w:rsidRPr="00D4563C">
        <w:t xml:space="preserve"> IC</w:t>
      </w:r>
      <w:r w:rsidRPr="00D4563C">
        <w:rPr>
          <w:vertAlign w:val="subscript"/>
        </w:rPr>
        <w:t>50</w:t>
      </w:r>
      <w:r w:rsidR="00A75F8F">
        <w:t xml:space="preserve"> against wild-</w:t>
      </w:r>
      <w:r w:rsidRPr="00D4563C">
        <w:t>type viruses (0.2 n</w:t>
      </w:r>
      <w:r w:rsidR="00A75F8F">
        <w:t>g</w:t>
      </w:r>
      <w:r w:rsidR="00F82573">
        <w:t>/mL) for all participants.</w:t>
      </w:r>
    </w:p>
    <w:p w14:paraId="563FFA67" w14:textId="32C2E7F8" w:rsidR="00F82573" w:rsidRDefault="002B2C82" w:rsidP="00D4563C">
      <w:r w:rsidRPr="00D4563C">
        <w:t>CSF: plasma concentration ratio of DTG ranged from 0.11 to 2.04%. Dolutegravir concentrations in CSF exceeded the IC</w:t>
      </w:r>
      <w:r w:rsidRPr="00D4563C">
        <w:rPr>
          <w:vertAlign w:val="subscript"/>
        </w:rPr>
        <w:t>50</w:t>
      </w:r>
      <w:r w:rsidRPr="00D4563C">
        <w:t>, supporting the median reduction from baseline in CSF HIV-1 RNA of 2.2 log after 2 weeks and 3.4 log after 16 weeks of therapy (see</w:t>
      </w:r>
      <w:r w:rsidR="000C67E1">
        <w:t xml:space="preserve"> </w:t>
      </w:r>
      <w:r w:rsidR="000C67E1" w:rsidRPr="00D4563C">
        <w:t>Section 5.1</w:t>
      </w:r>
      <w:r w:rsidR="000C67E1">
        <w:t xml:space="preserve"> </w:t>
      </w:r>
      <w:r w:rsidR="00DB2FEB" w:rsidRPr="00D4563C">
        <w:t>PHARMACODYNAMIC PROPERTIES</w:t>
      </w:r>
      <w:r w:rsidR="00F82573">
        <w:t>).</w:t>
      </w:r>
    </w:p>
    <w:p w14:paraId="6F762BE3" w14:textId="77777777" w:rsidR="00417CFD" w:rsidRDefault="002B2C82" w:rsidP="00D4563C">
      <w:r w:rsidRPr="00D4563C">
        <w:t xml:space="preserve">Dolutegravir is present in the female and male genital tract. AUC in cervicovaginal fluid, cervical tissue, and vaginal tissue were 6 to 10% of that in corresponding plasma at </w:t>
      </w:r>
      <w:proofErr w:type="gramStart"/>
      <w:r w:rsidRPr="00D4563C">
        <w:t>steady-state</w:t>
      </w:r>
      <w:proofErr w:type="gramEnd"/>
      <w:r w:rsidRPr="00D4563C">
        <w:t>. AUC was 7% in semen and 17% in rectal tissue, of those in corresp</w:t>
      </w:r>
      <w:r w:rsidR="00417CFD">
        <w:t xml:space="preserve">onding plasma at </w:t>
      </w:r>
      <w:proofErr w:type="gramStart"/>
      <w:r w:rsidR="00417CFD">
        <w:t>steady-state</w:t>
      </w:r>
      <w:proofErr w:type="gramEnd"/>
      <w:r w:rsidR="00417CFD">
        <w:t>.</w:t>
      </w:r>
    </w:p>
    <w:p w14:paraId="237EA7F1" w14:textId="77777777" w:rsidR="002B2C82" w:rsidRPr="00D4563C" w:rsidRDefault="002B2C82" w:rsidP="00417CFD">
      <w:pPr>
        <w:pStyle w:val="Heading3"/>
        <w:rPr>
          <w:i/>
        </w:rPr>
      </w:pPr>
      <w:r w:rsidRPr="00D4563C">
        <w:t>Metabolism</w:t>
      </w:r>
    </w:p>
    <w:p w14:paraId="4CFD816C" w14:textId="77777777" w:rsidR="00417CFD" w:rsidRDefault="002B2C82" w:rsidP="00D4563C">
      <w:r w:rsidRPr="00D4563C">
        <w:t xml:space="preserve">Dolutegravir is primarily metabolised via UGT1A1 with a minor CYP3A component (9.7% of total dose administered in a human mass balance study). Dolutegravir is the predominant circulating compound in plasma; renal elimination of unchanged drug is low (&lt; 1% of the dose). Fifty-three percent of total oral dose is excreted unchanged in the faeces. It is unknown if all or part of this is due to unabsorbed drug or biliary excretion of the </w:t>
      </w:r>
      <w:proofErr w:type="spellStart"/>
      <w:r w:rsidRPr="00D4563C">
        <w:t>glucuronidate</w:t>
      </w:r>
      <w:proofErr w:type="spellEnd"/>
      <w:r w:rsidRPr="00D4563C">
        <w:t xml:space="preserve"> conjugate, which can be further degraded to form the parent compound in the gut lumen. Thirty-one percent of the total oral dose is excreted in the urine, represented by ether glucuronide of dolutegravir (18.9% of total dose), N-dealkylation metabolite (3.6% of total dose), and a metabolite formed by oxidation at the benzyli</w:t>
      </w:r>
      <w:r w:rsidR="00417CFD">
        <w:t>c carbon (3.0% of total dose).</w:t>
      </w:r>
    </w:p>
    <w:p w14:paraId="345AE0E8" w14:textId="77777777" w:rsidR="00417CFD" w:rsidRDefault="002B2C82" w:rsidP="00417CFD">
      <w:pPr>
        <w:pStyle w:val="Heading3"/>
        <w:rPr>
          <w:i/>
        </w:rPr>
      </w:pPr>
      <w:r w:rsidRPr="00D4563C">
        <w:t>Excretion</w:t>
      </w:r>
    </w:p>
    <w:p w14:paraId="1D72E180" w14:textId="77777777" w:rsidR="00F82573" w:rsidRDefault="002B2C82" w:rsidP="00D4563C">
      <w:r w:rsidRPr="00D4563C">
        <w:t>Dolutegravir has a terminal half-life of ~14 hours and an apparent</w:t>
      </w:r>
      <w:r w:rsidR="00F82573">
        <w:t xml:space="preserve"> clearance (CL/F) of 0.56 L/hr.</w:t>
      </w:r>
    </w:p>
    <w:p w14:paraId="5B41AE56" w14:textId="65A47059" w:rsidR="002B2C82" w:rsidRPr="00D4563C" w:rsidRDefault="002B2C82" w:rsidP="00F9575F">
      <w:pPr>
        <w:pStyle w:val="Heading3"/>
        <w:rPr>
          <w:i/>
        </w:rPr>
      </w:pPr>
      <w:r w:rsidRPr="00A75F8F">
        <w:t xml:space="preserve">Special </w:t>
      </w:r>
      <w:r w:rsidR="006F5B92" w:rsidRPr="00A75F8F">
        <w:t>patient populations</w:t>
      </w:r>
    </w:p>
    <w:p w14:paraId="78CBAA1C" w14:textId="48B3FAF1" w:rsidR="00D679A8" w:rsidRPr="00D679A8" w:rsidRDefault="00F9575F" w:rsidP="00EB2692">
      <w:r>
        <w:rPr>
          <w:b/>
        </w:rPr>
        <w:br/>
      </w:r>
      <w:r w:rsidR="002B2C82" w:rsidRPr="00A75F8F">
        <w:rPr>
          <w:b/>
        </w:rPr>
        <w:t>Children</w:t>
      </w:r>
      <w:r>
        <w:rPr>
          <w:b/>
        </w:rPr>
        <w:br/>
      </w:r>
      <w:r w:rsidR="00D679A8" w:rsidRPr="00D679A8">
        <w:t>The pharmacokinetics of dolutegravir film-coated and dispersible tablets in HIV-1 infected infants, children and adolescents aged ≥ 4 weeks to &lt; 18 years were evaluated in two on-going studies (P1093/ING112578 and ODYSSEY/201296). Steady state plasma exposure at weight band doses are summarized in Table 12.</w:t>
      </w:r>
    </w:p>
    <w:p w14:paraId="3C8D6632" w14:textId="371ACA0F" w:rsidR="00D679A8" w:rsidRPr="00FD77CB" w:rsidRDefault="00D679A8" w:rsidP="00FD77CB">
      <w:pPr>
        <w:pStyle w:val="Caption"/>
        <w:keepNext/>
        <w:ind w:left="1440" w:hanging="1440"/>
        <w:rPr>
          <w:rFonts w:cs="Arial"/>
          <w:sz w:val="22"/>
          <w:szCs w:val="22"/>
          <w:lang w:val="en-US"/>
        </w:rPr>
      </w:pPr>
      <w:bookmarkStart w:id="19" w:name="_Ref21380898"/>
      <w:r w:rsidRPr="00FD77CB">
        <w:rPr>
          <w:rFonts w:cs="Arial"/>
          <w:sz w:val="22"/>
          <w:szCs w:val="22"/>
        </w:rPr>
        <w:lastRenderedPageBreak/>
        <w:t xml:space="preserve">Table </w:t>
      </w:r>
      <w:bookmarkEnd w:id="19"/>
      <w:r>
        <w:rPr>
          <w:rFonts w:cs="Arial"/>
          <w:sz w:val="22"/>
          <w:szCs w:val="22"/>
        </w:rPr>
        <w:t>12</w:t>
      </w:r>
      <w:r w:rsidRPr="00FD77CB">
        <w:rPr>
          <w:rFonts w:cs="Arial"/>
          <w:sz w:val="22"/>
          <w:szCs w:val="22"/>
        </w:rPr>
        <w:tab/>
      </w:r>
      <w:r w:rsidRPr="00FD77CB">
        <w:rPr>
          <w:rFonts w:cs="Arial"/>
          <w:sz w:val="22"/>
          <w:szCs w:val="22"/>
          <w:lang w:val="en-US"/>
        </w:rPr>
        <w:t xml:space="preserve">Summary of DTG PK Parameters following Administration of DTG at Weight Band Doses in </w:t>
      </w:r>
      <w:proofErr w:type="spellStart"/>
      <w:r w:rsidRPr="00FD77CB">
        <w:rPr>
          <w:rFonts w:cs="Arial"/>
          <w:sz w:val="22"/>
          <w:szCs w:val="22"/>
          <w:lang w:val="en-US"/>
        </w:rPr>
        <w:t>Paediatric</w:t>
      </w:r>
      <w:proofErr w:type="spellEnd"/>
      <w:r w:rsidRPr="00FD77CB">
        <w:rPr>
          <w:rFonts w:cs="Arial"/>
          <w:sz w:val="22"/>
          <w:szCs w:val="22"/>
          <w:lang w:val="en-US"/>
        </w:rPr>
        <w:t xml:space="preserve"> HIV-1 Infected Subjects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378"/>
        <w:gridCol w:w="1190"/>
        <w:gridCol w:w="918"/>
        <w:gridCol w:w="1374"/>
        <w:gridCol w:w="1282"/>
        <w:gridCol w:w="1484"/>
      </w:tblGrid>
      <w:tr w:rsidR="00D679A8" w:rsidRPr="00807D6F" w14:paraId="4A30C6C5" w14:textId="77777777" w:rsidTr="008A1052">
        <w:trPr>
          <w:trHeight w:val="269"/>
          <w:jc w:val="center"/>
        </w:trPr>
        <w:tc>
          <w:tcPr>
            <w:tcW w:w="771" w:type="pct"/>
            <w:vMerge w:val="restart"/>
            <w:shd w:val="clear" w:color="auto" w:fill="auto"/>
            <w:noWrap/>
            <w:vAlign w:val="center"/>
          </w:tcPr>
          <w:p w14:paraId="706744A9" w14:textId="77777777" w:rsidR="00D679A8" w:rsidRPr="00FD77CB" w:rsidRDefault="00D679A8" w:rsidP="00FD77CB">
            <w:pPr>
              <w:keepNext/>
              <w:spacing w:before="60" w:after="60"/>
              <w:rPr>
                <w:rFonts w:ascii="Arial Narrow" w:hAnsi="Arial Narrow" w:cs="Calibri"/>
                <w:sz w:val="20"/>
                <w:szCs w:val="20"/>
                <w:lang w:val="en-US"/>
              </w:rPr>
            </w:pPr>
            <w:bookmarkStart w:id="20" w:name="_Hlk21384896"/>
            <w:r w:rsidRPr="00FD77CB">
              <w:rPr>
                <w:rFonts w:ascii="Arial Narrow" w:hAnsi="Arial Narrow" w:cs="Calibri"/>
                <w:sz w:val="20"/>
                <w:szCs w:val="20"/>
                <w:lang w:val="en-US"/>
              </w:rPr>
              <w:t>Weight Band (kg)</w:t>
            </w:r>
          </w:p>
        </w:tc>
        <w:tc>
          <w:tcPr>
            <w:tcW w:w="764" w:type="pct"/>
            <w:vMerge w:val="restart"/>
            <w:vAlign w:val="center"/>
          </w:tcPr>
          <w:p w14:paraId="44C1FB9C"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DTG Dosage Form</w:t>
            </w:r>
            <w:r w:rsidRPr="00FD77CB">
              <w:rPr>
                <w:rFonts w:ascii="Arial Narrow" w:eastAsia="Calibri" w:hAnsi="Arial Narrow" w:cs="Calibri"/>
                <w:sz w:val="20"/>
                <w:szCs w:val="20"/>
                <w:vertAlign w:val="superscript"/>
              </w:rPr>
              <w:t>a</w:t>
            </w:r>
          </w:p>
        </w:tc>
        <w:tc>
          <w:tcPr>
            <w:tcW w:w="660" w:type="pct"/>
            <w:vMerge w:val="restart"/>
            <w:vAlign w:val="center"/>
          </w:tcPr>
          <w:p w14:paraId="60DE5F05"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Once Daily Dose (mg)</w:t>
            </w:r>
          </w:p>
        </w:tc>
        <w:tc>
          <w:tcPr>
            <w:tcW w:w="509" w:type="pct"/>
            <w:vMerge w:val="restart"/>
            <w:shd w:val="clear" w:color="auto" w:fill="auto"/>
            <w:noWrap/>
            <w:vAlign w:val="center"/>
          </w:tcPr>
          <w:p w14:paraId="4DF02A5E"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N</w:t>
            </w:r>
          </w:p>
        </w:tc>
        <w:tc>
          <w:tcPr>
            <w:tcW w:w="2296" w:type="pct"/>
            <w:gridSpan w:val="3"/>
            <w:vAlign w:val="center"/>
          </w:tcPr>
          <w:p w14:paraId="1196330A"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PK Parameter</w:t>
            </w:r>
            <w:r w:rsidRPr="00FD77CB">
              <w:rPr>
                <w:rFonts w:ascii="Arial Narrow" w:hAnsi="Arial Narrow" w:cs="Calibri"/>
                <w:sz w:val="20"/>
                <w:szCs w:val="20"/>
                <w:lang w:val="en-US"/>
              </w:rPr>
              <w:br/>
              <w:t>Geometric Mean (%CV)</w:t>
            </w:r>
          </w:p>
        </w:tc>
      </w:tr>
      <w:tr w:rsidR="00D679A8" w:rsidRPr="00807D6F" w14:paraId="60C723DD" w14:textId="77777777" w:rsidTr="008A1052">
        <w:trPr>
          <w:trHeight w:val="269"/>
          <w:jc w:val="center"/>
        </w:trPr>
        <w:tc>
          <w:tcPr>
            <w:tcW w:w="771" w:type="pct"/>
            <w:vMerge/>
            <w:shd w:val="clear" w:color="auto" w:fill="auto"/>
            <w:noWrap/>
            <w:vAlign w:val="center"/>
            <w:hideMark/>
          </w:tcPr>
          <w:p w14:paraId="4C465FFD" w14:textId="77777777" w:rsidR="00D679A8" w:rsidRPr="00FD77CB" w:rsidRDefault="00D679A8" w:rsidP="00FD77CB">
            <w:pPr>
              <w:keepNext/>
              <w:spacing w:before="60" w:after="60"/>
              <w:rPr>
                <w:rFonts w:ascii="Arial Narrow" w:hAnsi="Arial Narrow" w:cs="Calibri"/>
                <w:sz w:val="20"/>
                <w:szCs w:val="20"/>
                <w:lang w:val="en-US"/>
              </w:rPr>
            </w:pPr>
          </w:p>
        </w:tc>
        <w:tc>
          <w:tcPr>
            <w:tcW w:w="764" w:type="pct"/>
            <w:vMerge/>
            <w:vAlign w:val="center"/>
          </w:tcPr>
          <w:p w14:paraId="42DD4061" w14:textId="77777777" w:rsidR="00D679A8" w:rsidRPr="00FD77CB" w:rsidRDefault="00D679A8" w:rsidP="00FD77CB">
            <w:pPr>
              <w:keepNext/>
              <w:spacing w:before="60" w:after="60"/>
              <w:rPr>
                <w:rFonts w:ascii="Arial Narrow" w:hAnsi="Arial Narrow" w:cs="Calibri"/>
                <w:sz w:val="20"/>
                <w:szCs w:val="20"/>
                <w:lang w:val="en-US"/>
              </w:rPr>
            </w:pPr>
          </w:p>
        </w:tc>
        <w:tc>
          <w:tcPr>
            <w:tcW w:w="660" w:type="pct"/>
            <w:vMerge/>
            <w:vAlign w:val="center"/>
          </w:tcPr>
          <w:p w14:paraId="3CFBB06A" w14:textId="77777777" w:rsidR="00D679A8" w:rsidRPr="00FD77CB" w:rsidRDefault="00D679A8" w:rsidP="00FD77CB">
            <w:pPr>
              <w:keepNext/>
              <w:spacing w:before="60" w:after="60"/>
              <w:rPr>
                <w:rFonts w:ascii="Arial Narrow" w:hAnsi="Arial Narrow" w:cs="Calibri"/>
                <w:sz w:val="20"/>
                <w:szCs w:val="20"/>
                <w:lang w:val="en-US"/>
              </w:rPr>
            </w:pPr>
          </w:p>
        </w:tc>
        <w:tc>
          <w:tcPr>
            <w:tcW w:w="509" w:type="pct"/>
            <w:vMerge/>
            <w:shd w:val="clear" w:color="auto" w:fill="auto"/>
            <w:noWrap/>
            <w:vAlign w:val="center"/>
            <w:hideMark/>
          </w:tcPr>
          <w:p w14:paraId="1EABB0EB" w14:textId="77777777" w:rsidR="00D679A8" w:rsidRPr="00FD77CB" w:rsidRDefault="00D679A8" w:rsidP="00FD77CB">
            <w:pPr>
              <w:keepNext/>
              <w:spacing w:before="60" w:after="60"/>
              <w:rPr>
                <w:rFonts w:ascii="Arial Narrow" w:hAnsi="Arial Narrow" w:cs="Calibri"/>
                <w:sz w:val="20"/>
                <w:szCs w:val="20"/>
                <w:lang w:val="en-US"/>
              </w:rPr>
            </w:pPr>
          </w:p>
        </w:tc>
        <w:tc>
          <w:tcPr>
            <w:tcW w:w="762" w:type="pct"/>
            <w:vAlign w:val="center"/>
          </w:tcPr>
          <w:p w14:paraId="3BAEFC1E" w14:textId="77777777" w:rsidR="00D679A8" w:rsidRPr="00FD77CB" w:rsidRDefault="00D679A8" w:rsidP="00FD77CB">
            <w:pPr>
              <w:keepNext/>
              <w:spacing w:before="60" w:after="60"/>
              <w:rPr>
                <w:rFonts w:ascii="Arial Narrow" w:hAnsi="Arial Narrow" w:cs="Calibri"/>
                <w:sz w:val="20"/>
                <w:szCs w:val="20"/>
                <w:lang w:val="en-US"/>
              </w:rPr>
            </w:pPr>
            <w:proofErr w:type="spellStart"/>
            <w:r w:rsidRPr="00FD77CB">
              <w:rPr>
                <w:rFonts w:ascii="Arial Narrow" w:hAnsi="Arial Narrow" w:cs="Calibri"/>
                <w:sz w:val="20"/>
                <w:szCs w:val="20"/>
                <w:lang w:val="en-US"/>
              </w:rPr>
              <w:t>Cmax</w:t>
            </w:r>
            <w:proofErr w:type="spellEnd"/>
            <w:r w:rsidRPr="00FD77CB">
              <w:rPr>
                <w:rFonts w:ascii="Arial Narrow" w:hAnsi="Arial Narrow" w:cs="Calibri"/>
                <w:sz w:val="20"/>
                <w:szCs w:val="20"/>
                <w:lang w:val="en-US"/>
              </w:rPr>
              <w:br/>
              <w:t>(</w:t>
            </w:r>
            <w:r w:rsidRPr="00FD77CB">
              <w:rPr>
                <w:rFonts w:ascii="Arial Narrow" w:hAnsi="Arial Narrow" w:cs="Calibri"/>
                <w:sz w:val="20"/>
                <w:szCs w:val="20"/>
                <w:lang w:val="en-US"/>
              </w:rPr>
              <w:sym w:font="Symbol" w:char="F06D"/>
            </w:r>
            <w:r w:rsidRPr="00FD77CB">
              <w:rPr>
                <w:rFonts w:ascii="Arial Narrow" w:hAnsi="Arial Narrow" w:cs="Calibri"/>
                <w:sz w:val="20"/>
                <w:szCs w:val="20"/>
                <w:lang w:val="en-US"/>
              </w:rPr>
              <w:t>g/mL)</w:t>
            </w:r>
          </w:p>
        </w:tc>
        <w:tc>
          <w:tcPr>
            <w:tcW w:w="711" w:type="pct"/>
            <w:shd w:val="clear" w:color="auto" w:fill="auto"/>
            <w:noWrap/>
            <w:vAlign w:val="center"/>
            <w:hideMark/>
          </w:tcPr>
          <w:p w14:paraId="430ACF15"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AUC0-24h</w:t>
            </w:r>
            <w:r w:rsidRPr="00FD77CB">
              <w:rPr>
                <w:rFonts w:ascii="Arial Narrow" w:hAnsi="Arial Narrow" w:cs="Calibri"/>
                <w:sz w:val="20"/>
                <w:szCs w:val="20"/>
                <w:lang w:val="en-US"/>
              </w:rPr>
              <w:br/>
              <w:t>(</w:t>
            </w:r>
            <w:r w:rsidRPr="00FD77CB">
              <w:rPr>
                <w:rFonts w:ascii="Arial Narrow" w:hAnsi="Arial Narrow" w:cs="Calibri"/>
                <w:sz w:val="20"/>
                <w:szCs w:val="20"/>
                <w:lang w:val="en-US"/>
              </w:rPr>
              <w:sym w:font="Symbol" w:char="F06D"/>
            </w:r>
            <w:r w:rsidRPr="00FD77CB">
              <w:rPr>
                <w:rFonts w:ascii="Arial Narrow" w:hAnsi="Arial Narrow" w:cs="Calibri"/>
                <w:sz w:val="20"/>
                <w:szCs w:val="20"/>
                <w:lang w:val="en-US"/>
              </w:rPr>
              <w:t>g*h/mL)</w:t>
            </w:r>
          </w:p>
        </w:tc>
        <w:tc>
          <w:tcPr>
            <w:tcW w:w="823" w:type="pct"/>
            <w:tcBorders>
              <w:bottom w:val="single" w:sz="4" w:space="0" w:color="auto"/>
            </w:tcBorders>
            <w:shd w:val="clear" w:color="auto" w:fill="auto"/>
            <w:noWrap/>
            <w:vAlign w:val="center"/>
            <w:hideMark/>
          </w:tcPr>
          <w:p w14:paraId="10B73DB6"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C24h</w:t>
            </w:r>
            <w:r w:rsidRPr="00FD77CB">
              <w:rPr>
                <w:rFonts w:ascii="Arial Narrow" w:hAnsi="Arial Narrow" w:cs="Calibri"/>
                <w:sz w:val="20"/>
                <w:szCs w:val="20"/>
                <w:lang w:val="en-US"/>
              </w:rPr>
              <w:br/>
              <w:t>(ng/mL)</w:t>
            </w:r>
          </w:p>
        </w:tc>
      </w:tr>
      <w:tr w:rsidR="00D679A8" w:rsidRPr="00807D6F" w14:paraId="641BDFF3" w14:textId="77777777" w:rsidTr="008A1052">
        <w:trPr>
          <w:trHeight w:val="269"/>
          <w:jc w:val="center"/>
        </w:trPr>
        <w:tc>
          <w:tcPr>
            <w:tcW w:w="771" w:type="pct"/>
            <w:shd w:val="clear" w:color="auto" w:fill="auto"/>
            <w:noWrap/>
            <w:vAlign w:val="center"/>
          </w:tcPr>
          <w:p w14:paraId="52B7D0B1"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3 to &lt;6</w:t>
            </w:r>
          </w:p>
        </w:tc>
        <w:tc>
          <w:tcPr>
            <w:tcW w:w="764" w:type="pct"/>
            <w:vAlign w:val="center"/>
          </w:tcPr>
          <w:p w14:paraId="70CDF65B"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DT</w:t>
            </w:r>
          </w:p>
        </w:tc>
        <w:tc>
          <w:tcPr>
            <w:tcW w:w="660" w:type="pct"/>
            <w:vAlign w:val="center"/>
          </w:tcPr>
          <w:p w14:paraId="2870FC05"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5</w:t>
            </w:r>
          </w:p>
        </w:tc>
        <w:tc>
          <w:tcPr>
            <w:tcW w:w="509" w:type="pct"/>
            <w:shd w:val="clear" w:color="auto" w:fill="auto"/>
            <w:noWrap/>
            <w:vAlign w:val="center"/>
          </w:tcPr>
          <w:p w14:paraId="11810225"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8</w:t>
            </w:r>
          </w:p>
        </w:tc>
        <w:tc>
          <w:tcPr>
            <w:tcW w:w="762" w:type="pct"/>
            <w:vAlign w:val="center"/>
          </w:tcPr>
          <w:p w14:paraId="1D3BED02"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3.80 (34)</w:t>
            </w:r>
          </w:p>
        </w:tc>
        <w:tc>
          <w:tcPr>
            <w:tcW w:w="711" w:type="pct"/>
            <w:shd w:val="clear" w:color="auto" w:fill="FFFFFF"/>
            <w:noWrap/>
            <w:vAlign w:val="center"/>
          </w:tcPr>
          <w:p w14:paraId="1F00159C"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49.37 (49)</w:t>
            </w:r>
          </w:p>
        </w:tc>
        <w:tc>
          <w:tcPr>
            <w:tcW w:w="823" w:type="pct"/>
            <w:shd w:val="clear" w:color="auto" w:fill="FFFFFF"/>
            <w:noWrap/>
            <w:vAlign w:val="center"/>
          </w:tcPr>
          <w:p w14:paraId="6149B7C5"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962 (98)</w:t>
            </w:r>
          </w:p>
        </w:tc>
      </w:tr>
      <w:tr w:rsidR="00D679A8" w:rsidRPr="00807D6F" w14:paraId="74D94CDE" w14:textId="77777777" w:rsidTr="008A1052">
        <w:trPr>
          <w:trHeight w:val="269"/>
          <w:jc w:val="center"/>
        </w:trPr>
        <w:tc>
          <w:tcPr>
            <w:tcW w:w="771" w:type="pct"/>
            <w:shd w:val="clear" w:color="auto" w:fill="auto"/>
            <w:noWrap/>
            <w:vAlign w:val="center"/>
          </w:tcPr>
          <w:p w14:paraId="1C6B4FE3"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6 to &lt;10</w:t>
            </w:r>
            <w:r w:rsidRPr="00FD77CB">
              <w:rPr>
                <w:rFonts w:ascii="Arial Narrow" w:hAnsi="Arial Narrow" w:cs="Calibri"/>
                <w:sz w:val="20"/>
                <w:szCs w:val="20"/>
                <w:vertAlign w:val="superscript"/>
                <w:lang w:val="en-US"/>
              </w:rPr>
              <w:t>b</w:t>
            </w:r>
          </w:p>
        </w:tc>
        <w:tc>
          <w:tcPr>
            <w:tcW w:w="764" w:type="pct"/>
            <w:vAlign w:val="center"/>
          </w:tcPr>
          <w:p w14:paraId="5BE46C70"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DT</w:t>
            </w:r>
          </w:p>
        </w:tc>
        <w:tc>
          <w:tcPr>
            <w:tcW w:w="660" w:type="pct"/>
            <w:vAlign w:val="center"/>
          </w:tcPr>
          <w:p w14:paraId="6520EEA2"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10</w:t>
            </w:r>
          </w:p>
        </w:tc>
        <w:tc>
          <w:tcPr>
            <w:tcW w:w="509" w:type="pct"/>
            <w:shd w:val="clear" w:color="auto" w:fill="auto"/>
            <w:noWrap/>
            <w:vAlign w:val="center"/>
          </w:tcPr>
          <w:p w14:paraId="3B6FB6E9"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4</w:t>
            </w:r>
          </w:p>
        </w:tc>
        <w:tc>
          <w:tcPr>
            <w:tcW w:w="762" w:type="pct"/>
            <w:vAlign w:val="center"/>
          </w:tcPr>
          <w:p w14:paraId="47C8DE5D"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5.68 (38)</w:t>
            </w:r>
          </w:p>
        </w:tc>
        <w:tc>
          <w:tcPr>
            <w:tcW w:w="711" w:type="pct"/>
            <w:shd w:val="clear" w:color="auto" w:fill="FFFFFF"/>
            <w:noWrap/>
            <w:vAlign w:val="center"/>
          </w:tcPr>
          <w:p w14:paraId="000767D6"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85.49 (32)</w:t>
            </w:r>
          </w:p>
        </w:tc>
        <w:tc>
          <w:tcPr>
            <w:tcW w:w="823" w:type="pct"/>
            <w:shd w:val="clear" w:color="auto" w:fill="FFFFFF"/>
            <w:noWrap/>
            <w:vAlign w:val="center"/>
          </w:tcPr>
          <w:p w14:paraId="37272C3F"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1821 (41)</w:t>
            </w:r>
          </w:p>
        </w:tc>
      </w:tr>
      <w:tr w:rsidR="00D679A8" w:rsidRPr="00807D6F" w14:paraId="7C173B22" w14:textId="77777777" w:rsidTr="008A1052">
        <w:trPr>
          <w:trHeight w:val="269"/>
          <w:jc w:val="center"/>
        </w:trPr>
        <w:tc>
          <w:tcPr>
            <w:tcW w:w="771" w:type="pct"/>
            <w:shd w:val="clear" w:color="auto" w:fill="auto"/>
            <w:noWrap/>
            <w:vAlign w:val="center"/>
          </w:tcPr>
          <w:p w14:paraId="4F66E246"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6 to &lt;10</w:t>
            </w:r>
            <w:r w:rsidRPr="00FD77CB">
              <w:rPr>
                <w:rFonts w:ascii="Arial Narrow" w:hAnsi="Arial Narrow" w:cs="Calibri"/>
                <w:sz w:val="20"/>
                <w:szCs w:val="20"/>
                <w:vertAlign w:val="superscript"/>
                <w:lang w:val="en-US"/>
              </w:rPr>
              <w:t>c</w:t>
            </w:r>
            <w:r w:rsidRPr="00FD77CB">
              <w:rPr>
                <w:rFonts w:ascii="Arial Narrow" w:hAnsi="Arial Narrow" w:cs="Calibri"/>
                <w:sz w:val="20"/>
                <w:szCs w:val="20"/>
                <w:lang w:val="en-US"/>
              </w:rPr>
              <w:t xml:space="preserve"> </w:t>
            </w:r>
          </w:p>
        </w:tc>
        <w:tc>
          <w:tcPr>
            <w:tcW w:w="764" w:type="pct"/>
            <w:vAlign w:val="center"/>
          </w:tcPr>
          <w:p w14:paraId="39037A90"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DT</w:t>
            </w:r>
          </w:p>
        </w:tc>
        <w:tc>
          <w:tcPr>
            <w:tcW w:w="660" w:type="pct"/>
            <w:vAlign w:val="center"/>
          </w:tcPr>
          <w:p w14:paraId="5581A5B3"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15</w:t>
            </w:r>
          </w:p>
        </w:tc>
        <w:tc>
          <w:tcPr>
            <w:tcW w:w="509" w:type="pct"/>
            <w:shd w:val="clear" w:color="auto" w:fill="auto"/>
            <w:noWrap/>
            <w:vAlign w:val="center"/>
          </w:tcPr>
          <w:p w14:paraId="69BEB77D"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17</w:t>
            </w:r>
          </w:p>
        </w:tc>
        <w:tc>
          <w:tcPr>
            <w:tcW w:w="762" w:type="pct"/>
            <w:vAlign w:val="center"/>
          </w:tcPr>
          <w:p w14:paraId="54923317"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5.27 (50)</w:t>
            </w:r>
          </w:p>
        </w:tc>
        <w:tc>
          <w:tcPr>
            <w:tcW w:w="711" w:type="pct"/>
            <w:shd w:val="clear" w:color="auto" w:fill="FFFFFF"/>
            <w:noWrap/>
            <w:vAlign w:val="center"/>
          </w:tcPr>
          <w:p w14:paraId="07BEDCCA"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57.17 (76)</w:t>
            </w:r>
          </w:p>
        </w:tc>
        <w:tc>
          <w:tcPr>
            <w:tcW w:w="823" w:type="pct"/>
            <w:shd w:val="clear" w:color="auto" w:fill="FFFFFF"/>
            <w:noWrap/>
            <w:vAlign w:val="center"/>
          </w:tcPr>
          <w:p w14:paraId="4028E648"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706 (177)</w:t>
            </w:r>
          </w:p>
        </w:tc>
      </w:tr>
      <w:tr w:rsidR="00D679A8" w:rsidRPr="00807D6F" w14:paraId="69BCF835" w14:textId="77777777" w:rsidTr="008A1052">
        <w:trPr>
          <w:trHeight w:val="269"/>
          <w:jc w:val="center"/>
        </w:trPr>
        <w:tc>
          <w:tcPr>
            <w:tcW w:w="771" w:type="pct"/>
            <w:shd w:val="clear" w:color="auto" w:fill="auto"/>
            <w:noWrap/>
            <w:vAlign w:val="center"/>
          </w:tcPr>
          <w:p w14:paraId="22448588"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10 to &lt;14</w:t>
            </w:r>
          </w:p>
        </w:tc>
        <w:tc>
          <w:tcPr>
            <w:tcW w:w="764" w:type="pct"/>
            <w:vAlign w:val="center"/>
          </w:tcPr>
          <w:p w14:paraId="39C387C0"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DT</w:t>
            </w:r>
          </w:p>
        </w:tc>
        <w:tc>
          <w:tcPr>
            <w:tcW w:w="660" w:type="pct"/>
            <w:vAlign w:val="center"/>
          </w:tcPr>
          <w:p w14:paraId="1D3BA652"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20</w:t>
            </w:r>
          </w:p>
        </w:tc>
        <w:tc>
          <w:tcPr>
            <w:tcW w:w="509" w:type="pct"/>
            <w:shd w:val="clear" w:color="auto" w:fill="auto"/>
            <w:noWrap/>
            <w:vAlign w:val="center"/>
          </w:tcPr>
          <w:p w14:paraId="14685BE7"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13</w:t>
            </w:r>
          </w:p>
        </w:tc>
        <w:tc>
          <w:tcPr>
            <w:tcW w:w="762" w:type="pct"/>
            <w:vAlign w:val="center"/>
          </w:tcPr>
          <w:p w14:paraId="029A64AB"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5.99 (33)</w:t>
            </w:r>
          </w:p>
        </w:tc>
        <w:tc>
          <w:tcPr>
            <w:tcW w:w="711" w:type="pct"/>
            <w:shd w:val="clear" w:color="auto" w:fill="FFFFFF"/>
            <w:noWrap/>
            <w:vAlign w:val="center"/>
          </w:tcPr>
          <w:p w14:paraId="7814ACFD"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68.75 (48)</w:t>
            </w:r>
          </w:p>
        </w:tc>
        <w:tc>
          <w:tcPr>
            <w:tcW w:w="823" w:type="pct"/>
            <w:shd w:val="clear" w:color="auto" w:fill="FFFFFF"/>
            <w:noWrap/>
            <w:vAlign w:val="center"/>
          </w:tcPr>
          <w:p w14:paraId="4C3D60F2"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977 (100)</w:t>
            </w:r>
          </w:p>
        </w:tc>
      </w:tr>
      <w:tr w:rsidR="00D679A8" w:rsidRPr="00807D6F" w14:paraId="703FC5C3" w14:textId="77777777" w:rsidTr="008A1052">
        <w:trPr>
          <w:trHeight w:val="269"/>
          <w:jc w:val="center"/>
        </w:trPr>
        <w:tc>
          <w:tcPr>
            <w:tcW w:w="771" w:type="pct"/>
            <w:shd w:val="clear" w:color="auto" w:fill="auto"/>
            <w:noWrap/>
            <w:vAlign w:val="center"/>
          </w:tcPr>
          <w:p w14:paraId="118AF05C"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14 to &lt;20</w:t>
            </w:r>
          </w:p>
        </w:tc>
        <w:tc>
          <w:tcPr>
            <w:tcW w:w="764" w:type="pct"/>
            <w:vAlign w:val="center"/>
          </w:tcPr>
          <w:p w14:paraId="1A33AA81"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DT</w:t>
            </w:r>
          </w:p>
        </w:tc>
        <w:tc>
          <w:tcPr>
            <w:tcW w:w="660" w:type="pct"/>
            <w:vAlign w:val="center"/>
          </w:tcPr>
          <w:p w14:paraId="4B20C95D"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25</w:t>
            </w:r>
          </w:p>
        </w:tc>
        <w:tc>
          <w:tcPr>
            <w:tcW w:w="509" w:type="pct"/>
            <w:shd w:val="clear" w:color="auto" w:fill="auto"/>
            <w:noWrap/>
            <w:vAlign w:val="center"/>
          </w:tcPr>
          <w:p w14:paraId="43D9DEF5"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19</w:t>
            </w:r>
          </w:p>
        </w:tc>
        <w:tc>
          <w:tcPr>
            <w:tcW w:w="762" w:type="pct"/>
            <w:vAlign w:val="center"/>
          </w:tcPr>
          <w:p w14:paraId="184B459B"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5.97 (42)</w:t>
            </w:r>
          </w:p>
        </w:tc>
        <w:tc>
          <w:tcPr>
            <w:tcW w:w="711" w:type="pct"/>
            <w:shd w:val="clear" w:color="auto" w:fill="FFFFFF"/>
            <w:noWrap/>
            <w:vAlign w:val="center"/>
          </w:tcPr>
          <w:p w14:paraId="1ABA14AA"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58.97 (44)</w:t>
            </w:r>
          </w:p>
        </w:tc>
        <w:tc>
          <w:tcPr>
            <w:tcW w:w="823" w:type="pct"/>
            <w:shd w:val="clear" w:color="auto" w:fill="FFFFFF"/>
            <w:noWrap/>
            <w:vAlign w:val="center"/>
          </w:tcPr>
          <w:p w14:paraId="6FB790ED"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725 (75)</w:t>
            </w:r>
          </w:p>
        </w:tc>
      </w:tr>
      <w:tr w:rsidR="00D679A8" w:rsidRPr="00807D6F" w14:paraId="3006F617" w14:textId="77777777" w:rsidTr="008A1052">
        <w:trPr>
          <w:trHeight w:val="269"/>
          <w:jc w:val="center"/>
        </w:trPr>
        <w:tc>
          <w:tcPr>
            <w:tcW w:w="771" w:type="pct"/>
            <w:shd w:val="clear" w:color="auto" w:fill="auto"/>
            <w:noWrap/>
            <w:vAlign w:val="center"/>
          </w:tcPr>
          <w:p w14:paraId="5992B8CF"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≥20</w:t>
            </w:r>
          </w:p>
        </w:tc>
        <w:tc>
          <w:tcPr>
            <w:tcW w:w="764" w:type="pct"/>
            <w:vAlign w:val="center"/>
          </w:tcPr>
          <w:p w14:paraId="6CC8B77C" w14:textId="77777777" w:rsidR="00D679A8" w:rsidRPr="00FD77CB" w:rsidRDefault="00D679A8" w:rsidP="00FD77CB">
            <w:pPr>
              <w:keepNext/>
              <w:spacing w:before="60" w:after="60"/>
              <w:rPr>
                <w:rFonts w:ascii="Arial Narrow" w:hAnsi="Arial Narrow" w:cs="Calibri"/>
                <w:sz w:val="20"/>
                <w:szCs w:val="20"/>
                <w:lang w:val="en-US"/>
              </w:rPr>
            </w:pPr>
            <w:proofErr w:type="spellStart"/>
            <w:r w:rsidRPr="00FD77CB">
              <w:rPr>
                <w:rFonts w:ascii="Arial Narrow" w:hAnsi="Arial Narrow" w:cs="Calibri"/>
                <w:sz w:val="20"/>
                <w:szCs w:val="20"/>
                <w:lang w:val="en-US"/>
              </w:rPr>
              <w:t>DT</w:t>
            </w:r>
            <w:r w:rsidRPr="00FD77CB">
              <w:rPr>
                <w:rFonts w:ascii="Arial Narrow" w:hAnsi="Arial Narrow" w:cs="Calibri"/>
                <w:sz w:val="20"/>
                <w:szCs w:val="20"/>
                <w:vertAlign w:val="superscript"/>
                <w:lang w:val="en-US"/>
              </w:rPr>
              <w:t>d</w:t>
            </w:r>
            <w:proofErr w:type="spellEnd"/>
          </w:p>
          <w:p w14:paraId="6B340B87"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FCT</w:t>
            </w:r>
          </w:p>
        </w:tc>
        <w:tc>
          <w:tcPr>
            <w:tcW w:w="660" w:type="pct"/>
            <w:vAlign w:val="center"/>
          </w:tcPr>
          <w:p w14:paraId="46AB2112"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30</w:t>
            </w:r>
          </w:p>
          <w:p w14:paraId="2E208017"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50</w:t>
            </w:r>
          </w:p>
        </w:tc>
        <w:tc>
          <w:tcPr>
            <w:tcW w:w="509" w:type="pct"/>
            <w:shd w:val="clear" w:color="auto" w:fill="auto"/>
            <w:noWrap/>
            <w:vAlign w:val="center"/>
          </w:tcPr>
          <w:p w14:paraId="2FDEAFF3"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9</w:t>
            </w:r>
          </w:p>
          <w:p w14:paraId="0D10BC98"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49</w:t>
            </w:r>
          </w:p>
        </w:tc>
        <w:tc>
          <w:tcPr>
            <w:tcW w:w="762" w:type="pct"/>
            <w:vAlign w:val="center"/>
          </w:tcPr>
          <w:p w14:paraId="561FD95A"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7.16 (26)</w:t>
            </w:r>
          </w:p>
          <w:p w14:paraId="1EE22C23"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4.92 (40)</w:t>
            </w:r>
          </w:p>
        </w:tc>
        <w:tc>
          <w:tcPr>
            <w:tcW w:w="711" w:type="pct"/>
            <w:shd w:val="clear" w:color="auto" w:fill="FFFFFF"/>
            <w:noWrap/>
            <w:vAlign w:val="center"/>
          </w:tcPr>
          <w:p w14:paraId="65C3F768"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sz w:val="20"/>
                <w:szCs w:val="20"/>
              </w:rPr>
              <w:t>71.53 (26)</w:t>
            </w:r>
          </w:p>
          <w:p w14:paraId="29F72F91"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54.98 (43)</w:t>
            </w:r>
          </w:p>
        </w:tc>
        <w:tc>
          <w:tcPr>
            <w:tcW w:w="823" w:type="pct"/>
            <w:shd w:val="clear" w:color="auto" w:fill="FFFFFF"/>
            <w:noWrap/>
            <w:vAlign w:val="center"/>
          </w:tcPr>
          <w:p w14:paraId="0AE89EE7"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sz w:val="20"/>
                <w:szCs w:val="20"/>
              </w:rPr>
              <w:t>759 (73)</w:t>
            </w:r>
          </w:p>
          <w:p w14:paraId="1924B380"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778 (62)</w:t>
            </w:r>
          </w:p>
        </w:tc>
      </w:tr>
      <w:tr w:rsidR="00D679A8" w:rsidRPr="00807D6F" w14:paraId="31E85260" w14:textId="77777777" w:rsidTr="008A1052">
        <w:trPr>
          <w:trHeight w:val="269"/>
          <w:jc w:val="center"/>
        </w:trPr>
        <w:tc>
          <w:tcPr>
            <w:tcW w:w="3465" w:type="pct"/>
            <w:gridSpan w:val="5"/>
            <w:tcBorders>
              <w:bottom w:val="single" w:sz="4" w:space="0" w:color="auto"/>
            </w:tcBorders>
            <w:shd w:val="clear" w:color="auto" w:fill="auto"/>
            <w:noWrap/>
            <w:vAlign w:val="center"/>
          </w:tcPr>
          <w:p w14:paraId="161B99DD"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Target: Geometric Mean (range)</w:t>
            </w:r>
          </w:p>
        </w:tc>
        <w:tc>
          <w:tcPr>
            <w:tcW w:w="711" w:type="pct"/>
            <w:tcBorders>
              <w:bottom w:val="single" w:sz="4" w:space="0" w:color="auto"/>
            </w:tcBorders>
            <w:shd w:val="clear" w:color="auto" w:fill="auto"/>
            <w:noWrap/>
            <w:vAlign w:val="center"/>
          </w:tcPr>
          <w:p w14:paraId="3BEA6E08"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46 (37-134)</w:t>
            </w:r>
          </w:p>
        </w:tc>
        <w:tc>
          <w:tcPr>
            <w:tcW w:w="823" w:type="pct"/>
            <w:tcBorders>
              <w:bottom w:val="single" w:sz="4" w:space="0" w:color="auto"/>
            </w:tcBorders>
            <w:shd w:val="clear" w:color="auto" w:fill="FFFFFF"/>
            <w:noWrap/>
            <w:vAlign w:val="center"/>
          </w:tcPr>
          <w:p w14:paraId="2B8BEBF8" w14:textId="77777777" w:rsidR="00D679A8" w:rsidRPr="00FD77CB" w:rsidRDefault="00D679A8" w:rsidP="00FD77CB">
            <w:pPr>
              <w:keepNext/>
              <w:spacing w:before="60" w:after="60"/>
              <w:rPr>
                <w:rFonts w:ascii="Arial Narrow" w:hAnsi="Arial Narrow" w:cs="Calibri"/>
                <w:sz w:val="20"/>
                <w:szCs w:val="20"/>
                <w:lang w:val="en-US"/>
              </w:rPr>
            </w:pPr>
            <w:r w:rsidRPr="00FD77CB">
              <w:rPr>
                <w:rFonts w:ascii="Arial Narrow" w:hAnsi="Arial Narrow" w:cs="Calibri"/>
                <w:sz w:val="20"/>
                <w:szCs w:val="20"/>
                <w:lang w:val="en-US"/>
              </w:rPr>
              <w:t>995 (697-2260)</w:t>
            </w:r>
          </w:p>
        </w:tc>
      </w:tr>
      <w:tr w:rsidR="00D679A8" w:rsidRPr="00807D6F" w14:paraId="328F437D" w14:textId="77777777" w:rsidTr="008A1052">
        <w:trPr>
          <w:trHeight w:val="269"/>
          <w:jc w:val="center"/>
        </w:trPr>
        <w:tc>
          <w:tcPr>
            <w:tcW w:w="5000" w:type="pct"/>
            <w:gridSpan w:val="7"/>
            <w:tcBorders>
              <w:top w:val="single" w:sz="4" w:space="0" w:color="auto"/>
              <w:left w:val="nil"/>
              <w:bottom w:val="nil"/>
              <w:right w:val="nil"/>
            </w:tcBorders>
            <w:shd w:val="clear" w:color="auto" w:fill="auto"/>
            <w:noWrap/>
            <w:vAlign w:val="center"/>
          </w:tcPr>
          <w:p w14:paraId="38ACF914" w14:textId="77777777" w:rsidR="00D679A8" w:rsidRPr="00FD77CB" w:rsidRDefault="00D679A8" w:rsidP="008A1052">
            <w:pPr>
              <w:keepNext/>
              <w:spacing w:after="0"/>
              <w:rPr>
                <w:rFonts w:ascii="Arial Narrow" w:hAnsi="Arial Narrow" w:cs="Calibri"/>
                <w:sz w:val="20"/>
                <w:lang w:val="en-US"/>
              </w:rPr>
            </w:pPr>
            <w:r w:rsidRPr="00FD77CB">
              <w:rPr>
                <w:rFonts w:ascii="Arial Narrow" w:hAnsi="Arial Narrow" w:cs="Calibri"/>
                <w:sz w:val="20"/>
                <w:lang w:val="en-US"/>
              </w:rPr>
              <w:t>DT=dispersible tablet</w:t>
            </w:r>
          </w:p>
          <w:p w14:paraId="5EDC43B0" w14:textId="77777777" w:rsidR="00D679A8" w:rsidRPr="00FD77CB" w:rsidRDefault="00D679A8" w:rsidP="008A1052">
            <w:pPr>
              <w:keepNext/>
              <w:spacing w:after="0"/>
              <w:rPr>
                <w:rFonts w:ascii="Arial Narrow" w:hAnsi="Arial Narrow" w:cs="Calibri"/>
                <w:sz w:val="20"/>
                <w:lang w:val="en-US"/>
              </w:rPr>
            </w:pPr>
            <w:r w:rsidRPr="00FD77CB">
              <w:rPr>
                <w:rFonts w:ascii="Arial Narrow" w:hAnsi="Arial Narrow" w:cs="Calibri"/>
                <w:sz w:val="20"/>
                <w:lang w:val="en-US"/>
              </w:rPr>
              <w:t>FCT=film-coated tablet</w:t>
            </w:r>
          </w:p>
          <w:p w14:paraId="431DA575" w14:textId="77777777" w:rsidR="00D679A8" w:rsidRPr="00FD77CB" w:rsidRDefault="00D679A8" w:rsidP="00D679A8">
            <w:pPr>
              <w:pStyle w:val="tablerefalpha"/>
              <w:keepNext/>
              <w:keepLines/>
              <w:numPr>
                <w:ilvl w:val="0"/>
                <w:numId w:val="15"/>
              </w:numPr>
              <w:rPr>
                <w:rFonts w:eastAsia="Calibri"/>
              </w:rPr>
            </w:pPr>
            <w:r w:rsidRPr="00FD77CB">
              <w:rPr>
                <w:rFonts w:eastAsia="Calibri"/>
                <w:lang w:val="en-US"/>
              </w:rPr>
              <w:t>The bioavailability of DTG DT is ~1.6-fold DTG FCT.</w:t>
            </w:r>
          </w:p>
          <w:p w14:paraId="63615045" w14:textId="77777777" w:rsidR="00D679A8" w:rsidRPr="00FD77CB" w:rsidRDefault="00D679A8" w:rsidP="00D679A8">
            <w:pPr>
              <w:pStyle w:val="tablerefalpha"/>
              <w:keepNext/>
              <w:keepLines/>
              <w:numPr>
                <w:ilvl w:val="0"/>
                <w:numId w:val="15"/>
              </w:numPr>
              <w:rPr>
                <w:rFonts w:eastAsia="Calibri"/>
              </w:rPr>
            </w:pPr>
            <w:r w:rsidRPr="00FD77CB">
              <w:rPr>
                <w:rFonts w:cs="Calibri"/>
                <w:lang w:val="en-US"/>
              </w:rPr>
              <w:t>&lt;6 months of age</w:t>
            </w:r>
          </w:p>
          <w:p w14:paraId="27514DF2" w14:textId="77777777" w:rsidR="00D679A8" w:rsidRPr="00FD77CB" w:rsidRDefault="00D679A8" w:rsidP="00D679A8">
            <w:pPr>
              <w:pStyle w:val="tablerefalpha"/>
              <w:keepNext/>
              <w:keepLines/>
              <w:numPr>
                <w:ilvl w:val="0"/>
                <w:numId w:val="15"/>
              </w:numPr>
              <w:rPr>
                <w:rFonts w:eastAsia="Calibri"/>
              </w:rPr>
            </w:pPr>
            <w:r w:rsidRPr="00FD77CB">
              <w:rPr>
                <w:rFonts w:cs="Calibri" w:hint="eastAsia"/>
                <w:lang w:val="en-US"/>
              </w:rPr>
              <w:t>≥</w:t>
            </w:r>
            <w:r w:rsidRPr="00FD77CB">
              <w:rPr>
                <w:rFonts w:cs="Calibri"/>
                <w:lang w:val="en-US"/>
              </w:rPr>
              <w:t>6 months of age</w:t>
            </w:r>
          </w:p>
          <w:p w14:paraId="1A7FC402" w14:textId="6EC831A1" w:rsidR="00D679A8" w:rsidRPr="00FD77CB" w:rsidRDefault="00D679A8" w:rsidP="00FD77CB">
            <w:pPr>
              <w:pStyle w:val="tablerefalpha"/>
              <w:keepNext/>
              <w:keepLines/>
              <w:numPr>
                <w:ilvl w:val="0"/>
                <w:numId w:val="15"/>
              </w:numPr>
              <w:rPr>
                <w:rFonts w:eastAsia="Calibri"/>
              </w:rPr>
            </w:pPr>
            <w:r w:rsidRPr="00FD77CB">
              <w:rPr>
                <w:rFonts w:eastAsia="Calibri"/>
              </w:rPr>
              <w:t>≥ 20 to &lt;25 kg weight band</w:t>
            </w:r>
          </w:p>
        </w:tc>
      </w:tr>
      <w:bookmarkEnd w:id="20"/>
    </w:tbl>
    <w:p w14:paraId="110F5298" w14:textId="7A18683A" w:rsidR="00EB2692" w:rsidRDefault="00EB2692" w:rsidP="00EB2692"/>
    <w:p w14:paraId="07DA1CE1" w14:textId="10469E54" w:rsidR="00F82573" w:rsidRDefault="002B2C82" w:rsidP="00EB2692">
      <w:r w:rsidRPr="00A75F8F">
        <w:rPr>
          <w:b/>
          <w:iCs/>
        </w:rPr>
        <w:t>Elderly</w:t>
      </w:r>
      <w:r w:rsidR="00F9575F">
        <w:rPr>
          <w:b/>
          <w:iCs/>
        </w:rPr>
        <w:br/>
      </w:r>
      <w:r w:rsidRPr="00D4563C">
        <w:t>Population pharmacokinetic analysis of dolutegravir using data in HIV-1 infected adults showed that there was no clinically relevant effect o</w:t>
      </w:r>
      <w:r w:rsidR="00F82573">
        <w:t>f age on dolutegravir exposure.</w:t>
      </w:r>
    </w:p>
    <w:p w14:paraId="559286E1" w14:textId="77777777" w:rsidR="00F82573" w:rsidRDefault="002B2C82" w:rsidP="00D4563C">
      <w:r w:rsidRPr="00D4563C">
        <w:t>Pharmacokinetic data for dolutegravir in patients</w:t>
      </w:r>
      <w:r w:rsidR="00F82573">
        <w:t xml:space="preserve"> of &gt; 65 years old are limited.</w:t>
      </w:r>
    </w:p>
    <w:p w14:paraId="3CA3B5E5" w14:textId="11D8F57D" w:rsidR="00F82573" w:rsidRDefault="002B2C82" w:rsidP="00D4563C">
      <w:r w:rsidRPr="00D4563C">
        <w:rPr>
          <w:b/>
          <w:iCs/>
        </w:rPr>
        <w:t xml:space="preserve">Renal </w:t>
      </w:r>
      <w:r w:rsidR="006F5B92">
        <w:rPr>
          <w:b/>
          <w:iCs/>
        </w:rPr>
        <w:t>i</w:t>
      </w:r>
      <w:r w:rsidRPr="00D4563C">
        <w:rPr>
          <w:b/>
          <w:iCs/>
        </w:rPr>
        <w:t>mpairment</w:t>
      </w:r>
      <w:r w:rsidR="00F9575F">
        <w:rPr>
          <w:b/>
          <w:iCs/>
        </w:rPr>
        <w:br/>
      </w:r>
      <w:r w:rsidRPr="00D4563C">
        <w:t xml:space="preserve">Renal clearance of unchanged drug is a minor pathway of elimination for dolutegravir. A study of the pharmacokinetics of </w:t>
      </w:r>
      <w:r w:rsidR="00D679A8" w:rsidRPr="00D679A8">
        <w:t xml:space="preserve">a single 50 mg dose of </w:t>
      </w:r>
      <w:r w:rsidRPr="00D4563C">
        <w:t xml:space="preserve">dolutegravir </w:t>
      </w:r>
      <w:r w:rsidR="00D679A8">
        <w:t xml:space="preserve">film-coated tablets </w:t>
      </w:r>
      <w:r w:rsidRPr="00D4563C">
        <w:t>was performed in patients with severe renal impairment (</w:t>
      </w:r>
      <w:proofErr w:type="spellStart"/>
      <w:r w:rsidRPr="00D4563C">
        <w:t>CrCl</w:t>
      </w:r>
      <w:proofErr w:type="spellEnd"/>
      <w:r w:rsidRPr="00D4563C">
        <w:t xml:space="preserve"> &lt; 30 mL/min). No clinically important pharmacokinetic differences between patients with severe renal impairment (</w:t>
      </w:r>
      <w:proofErr w:type="spellStart"/>
      <w:r w:rsidRPr="00D4563C">
        <w:t>CrCl</w:t>
      </w:r>
      <w:proofErr w:type="spellEnd"/>
      <w:r w:rsidRPr="00D4563C">
        <w:t xml:space="preserve"> &lt; 30 mL/min) and matching healthy patients were observed. No dosage adjustment is necessary for patients with renal impairment. Caution is warranted for INI-experienced patients (with certain INI-associated resistance substituti</w:t>
      </w:r>
      <w:r w:rsidR="00A75F8F">
        <w:t>ons or clinically suspected INI-</w:t>
      </w:r>
      <w:r w:rsidRPr="00D4563C">
        <w:t>resistance) with severe renal impairment, as the decrease in dolutegravir concentrations may result in loss of therapeutic effect and development of resistance to dolutegravir or other co</w:t>
      </w:r>
      <w:r w:rsidR="00A75F8F">
        <w:t>-</w:t>
      </w:r>
      <w:r w:rsidRPr="00D4563C">
        <w:t>administered antiretroviral agents. Dolutegravir has not been studied in patients on dialysis, though difference</w:t>
      </w:r>
      <w:r w:rsidR="00F82573">
        <w:t>s in exposure are not expected.</w:t>
      </w:r>
    </w:p>
    <w:p w14:paraId="7D445D07" w14:textId="33216B32" w:rsidR="00F82573" w:rsidRDefault="002B2C82" w:rsidP="00D4563C">
      <w:r w:rsidRPr="00D4563C">
        <w:rPr>
          <w:b/>
          <w:iCs/>
        </w:rPr>
        <w:t xml:space="preserve">Hepatic </w:t>
      </w:r>
      <w:r w:rsidR="006F5B92">
        <w:rPr>
          <w:b/>
          <w:iCs/>
        </w:rPr>
        <w:t>i</w:t>
      </w:r>
      <w:r w:rsidRPr="00D4563C">
        <w:rPr>
          <w:b/>
          <w:iCs/>
        </w:rPr>
        <w:t>mpairment</w:t>
      </w:r>
      <w:r w:rsidR="00F9575F">
        <w:rPr>
          <w:b/>
          <w:iCs/>
        </w:rPr>
        <w:br/>
      </w:r>
      <w:r w:rsidRPr="00D4563C">
        <w:t xml:space="preserve">Dolutegravir is primarily metabolised and eliminated by the liver. In a study comparing 8 patients with moderate hepatic impairment (Child-Pugh category B) to 8 matched healthy adult controls, the single 50 mg dose exposure of dolutegravir </w:t>
      </w:r>
      <w:r w:rsidR="00D679A8">
        <w:t xml:space="preserve">film-coated </w:t>
      </w:r>
      <w:proofErr w:type="spellStart"/>
      <w:r w:rsidR="00D679A8">
        <w:t>tabelts</w:t>
      </w:r>
      <w:proofErr w:type="spellEnd"/>
      <w:r w:rsidR="00D679A8">
        <w:t xml:space="preserve"> </w:t>
      </w:r>
      <w:r w:rsidRPr="00D4563C">
        <w:t xml:space="preserve">was similar </w:t>
      </w:r>
      <w:r w:rsidRPr="00D4563C">
        <w:lastRenderedPageBreak/>
        <w:t>between the two groups. No dosage adjustment is necessary for patients with mild to moderate hepatic impairment. The effect of severe hepatic impairment on the pharmacokinetics of dol</w:t>
      </w:r>
      <w:r w:rsidR="00F82573">
        <w:t>utegravir has not been studied.</w:t>
      </w:r>
    </w:p>
    <w:p w14:paraId="3939EAF7" w14:textId="441DB898" w:rsidR="00F82573" w:rsidRDefault="002B2C82" w:rsidP="00D4563C">
      <w:r w:rsidRPr="00D4563C">
        <w:rPr>
          <w:b/>
          <w:iCs/>
        </w:rPr>
        <w:t xml:space="preserve">Polymorphisms in </w:t>
      </w:r>
      <w:r w:rsidR="006F5B92" w:rsidRPr="00D4563C">
        <w:rPr>
          <w:b/>
          <w:iCs/>
        </w:rPr>
        <w:t>drug metabolising enzymes</w:t>
      </w:r>
      <w:r w:rsidR="00F9575F">
        <w:rPr>
          <w:b/>
          <w:iCs/>
        </w:rPr>
        <w:br/>
      </w:r>
      <w:r w:rsidRPr="00D4563C">
        <w:t>There is no evidence that common polymorphisms in drug metabolising enzymes alter dolutegravir pharmacokinetics to a clinically meaningful extent. In a meta-analysis using pharmacogenomic samples collected in clinical studies in healthy patients, patients with UGT1A1 (n = 7) genotypes conferring poor dolutegravir metabolism had a 32% lower clearance of dolutegravir and 46% higher AUC compared with patients with genotypes associated with normal metabolism via UGT1A1 (n = 41). Polymorphisms in CYP3A4, CYP3A5, and NR1I2 were not associated with differences in the ph</w:t>
      </w:r>
      <w:r w:rsidR="00F82573">
        <w:t>armacokinetics of dolutegravir.</w:t>
      </w:r>
    </w:p>
    <w:p w14:paraId="281AE34B" w14:textId="13785818" w:rsidR="00D9560D" w:rsidRDefault="002B2C82" w:rsidP="00D4563C">
      <w:r w:rsidRPr="00D4563C">
        <w:rPr>
          <w:b/>
          <w:iCs/>
        </w:rPr>
        <w:t>Gender</w:t>
      </w:r>
      <w:r w:rsidR="00F9575F">
        <w:rPr>
          <w:b/>
          <w:iCs/>
        </w:rPr>
        <w:br/>
      </w:r>
      <w:r w:rsidRPr="00D4563C">
        <w:t>The dolutegravir exposure in healthy patients appear to be slightly higher (~20%) in women than men based on data obtained in a healthy patient study (males n = 17, females n = 24). Population PK analyses using pooled pharmacokinetic data from Phase IIb and Phase III adult trials revealed no clinically relevant effect of gender o</w:t>
      </w:r>
      <w:r w:rsidR="00D9560D">
        <w:t>n the exposure of dolutegravir.</w:t>
      </w:r>
    </w:p>
    <w:p w14:paraId="35BAA408" w14:textId="17239E8F" w:rsidR="00F82573" w:rsidRDefault="002B2C82" w:rsidP="00D4563C">
      <w:r w:rsidRPr="00D4563C">
        <w:rPr>
          <w:b/>
          <w:iCs/>
        </w:rPr>
        <w:t>Race</w:t>
      </w:r>
      <w:r w:rsidR="00F9575F">
        <w:rPr>
          <w:b/>
          <w:iCs/>
        </w:rPr>
        <w:br/>
      </w:r>
      <w:r w:rsidRPr="00D4563C">
        <w:t xml:space="preserve">Population PK analyses using pooled pharmacokinetic data from Phase IIb and Phase III adult trials revealed no clinically relevant effect of race on the exposure of dolutegravir. The pharmacokinetics of dolutegravir following single dose oral administration to Japanese patients appear </w:t>
      </w:r>
      <w:proofErr w:type="gramStart"/>
      <w:r w:rsidRPr="00D4563C">
        <w:t>similar to</w:t>
      </w:r>
      <w:proofErr w:type="gramEnd"/>
      <w:r w:rsidRPr="00D4563C">
        <w:t xml:space="preserve"> observed param</w:t>
      </w:r>
      <w:r w:rsidR="00F82573">
        <w:t>eters in Western (US) patients.</w:t>
      </w:r>
    </w:p>
    <w:p w14:paraId="5C9C0632" w14:textId="6EFF5FA4" w:rsidR="008F1F07" w:rsidRDefault="002B2C82" w:rsidP="008F1F07">
      <w:r w:rsidRPr="00D4563C">
        <w:rPr>
          <w:b/>
          <w:iCs/>
        </w:rPr>
        <w:t>Co</w:t>
      </w:r>
      <w:r w:rsidR="00EC2A52" w:rsidRPr="00D4563C">
        <w:rPr>
          <w:b/>
          <w:iCs/>
        </w:rPr>
        <w:t>-</w:t>
      </w:r>
      <w:r w:rsidRPr="00D4563C">
        <w:rPr>
          <w:b/>
          <w:iCs/>
        </w:rPr>
        <w:t>infection with Hepatitis B or C</w:t>
      </w:r>
      <w:r w:rsidR="00F9575F">
        <w:rPr>
          <w:b/>
          <w:iCs/>
        </w:rPr>
        <w:br/>
      </w:r>
      <w:r w:rsidRPr="00D4563C">
        <w:t>Population pharmacokinetic analysis indicated that hepatitis C virus co-infection had no clinically relevant effect on the exposure to dolutegravir. There are limited data on patients with hepatitis B co-infection.</w:t>
      </w:r>
    </w:p>
    <w:p w14:paraId="68A684A7" w14:textId="77777777" w:rsidR="00ED65A6" w:rsidRPr="00D4563C" w:rsidRDefault="00D04C3D" w:rsidP="00FD77CB">
      <w:pPr>
        <w:pStyle w:val="Heading2"/>
        <w:keepNext/>
        <w:keepLines/>
        <w:rPr>
          <w:lang w:val="en-US"/>
        </w:rPr>
      </w:pPr>
      <w:r w:rsidRPr="00D4563C">
        <w:rPr>
          <w:lang w:val="en-US"/>
        </w:rPr>
        <w:t>Preclinical safety data</w:t>
      </w:r>
    </w:p>
    <w:p w14:paraId="573BE85D" w14:textId="27B750FE" w:rsidR="00ED65A6" w:rsidRPr="00D4563C" w:rsidRDefault="00D04C3D" w:rsidP="00147416">
      <w:pPr>
        <w:pStyle w:val="Heading3"/>
      </w:pPr>
      <w:r w:rsidRPr="00D4563C">
        <w:t>Genotoxicity</w:t>
      </w:r>
    </w:p>
    <w:p w14:paraId="304E0EA1" w14:textId="77777777" w:rsidR="00ED65A6" w:rsidRPr="00D4563C" w:rsidRDefault="00D04C3D" w:rsidP="00FD77CB">
      <w:pPr>
        <w:keepNext/>
        <w:keepLines/>
      </w:pPr>
      <w:r w:rsidRPr="00D4563C">
        <w:t xml:space="preserve">Dolutegravir was not mutagenic or clastogenic using </w:t>
      </w:r>
      <w:r w:rsidRPr="00D4563C">
        <w:rPr>
          <w:i/>
          <w:iCs/>
        </w:rPr>
        <w:t>in vitro</w:t>
      </w:r>
      <w:r w:rsidRPr="00D4563C">
        <w:t xml:space="preserve"> tests in bacteria and cultured mammalian cells, and an </w:t>
      </w:r>
      <w:r w:rsidRPr="00D4563C">
        <w:rPr>
          <w:i/>
          <w:iCs/>
        </w:rPr>
        <w:t>in vivo</w:t>
      </w:r>
      <w:r w:rsidRPr="00D4563C">
        <w:t xml:space="preserve"> rodent micronucleus assay.</w:t>
      </w:r>
    </w:p>
    <w:p w14:paraId="3D93FDF8" w14:textId="355D3ED8" w:rsidR="00ED65A6" w:rsidRPr="00D4563C" w:rsidRDefault="00D04C3D" w:rsidP="00D4563C">
      <w:pPr>
        <w:pStyle w:val="Heading3"/>
      </w:pPr>
      <w:r w:rsidRPr="00D4563C">
        <w:t>Carcinogenicity</w:t>
      </w:r>
    </w:p>
    <w:p w14:paraId="7182F7DF" w14:textId="77777777" w:rsidR="00ED65A6" w:rsidRPr="00D4563C" w:rsidRDefault="00D04C3D" w:rsidP="00D4563C">
      <w:r w:rsidRPr="00D4563C">
        <w:t>In long-term oral carcinogenicity studies conducted with dolutegravir no drug</w:t>
      </w:r>
      <w:r w:rsidR="004A287F" w:rsidRPr="00D4563C">
        <w:t>-</w:t>
      </w:r>
      <w:r w:rsidRPr="00D4563C">
        <w:t>related increases in tumour incidence were found in mice at doses up to 500 mg/kg/day (14 times the human systemic exposure based on AUC at the maximum recommended dose of 50 mg BID) or in rats at doses up to 50 mg/kg/day (12 times the human systemic exposure based on AUC at the maximum recommended dose).</w:t>
      </w:r>
    </w:p>
    <w:p w14:paraId="486C0B9D" w14:textId="77777777" w:rsidR="00ED65A6" w:rsidRPr="00D4563C" w:rsidRDefault="00D04C3D" w:rsidP="00A13DA0">
      <w:pPr>
        <w:pStyle w:val="Heading1"/>
        <w:pageBreakBefore/>
        <w:rPr>
          <w:lang w:val="en-US"/>
        </w:rPr>
      </w:pPr>
      <w:r w:rsidRPr="00D4563C">
        <w:rPr>
          <w:lang w:val="en-US"/>
        </w:rPr>
        <w:lastRenderedPageBreak/>
        <w:t>Pharmaceutical particulars</w:t>
      </w:r>
    </w:p>
    <w:p w14:paraId="74066B8F" w14:textId="77777777" w:rsidR="00ED65A6" w:rsidRPr="00D4563C" w:rsidRDefault="004E368B" w:rsidP="00D4563C">
      <w:pPr>
        <w:pStyle w:val="Heading2"/>
        <w:rPr>
          <w:lang w:val="en-US"/>
        </w:rPr>
      </w:pPr>
      <w:r w:rsidRPr="00D4563C">
        <w:rPr>
          <w:lang w:val="en-US"/>
        </w:rPr>
        <w:t>List of excipients</w:t>
      </w:r>
    </w:p>
    <w:p w14:paraId="355951DF" w14:textId="38B37788" w:rsidR="00ED65A6" w:rsidRDefault="00B21750" w:rsidP="00D4563C">
      <w:bookmarkStart w:id="21" w:name="_Hlk503335118"/>
      <w:r>
        <w:rPr>
          <w:color w:val="000000"/>
        </w:rPr>
        <w:t>TIVICAY</w:t>
      </w:r>
      <w:r w:rsidRPr="00DC536A">
        <w:rPr>
          <w:color w:val="000000"/>
        </w:rPr>
        <w:t xml:space="preserve"> </w:t>
      </w:r>
      <w:r w:rsidR="00C71F71">
        <w:rPr>
          <w:color w:val="000000"/>
        </w:rPr>
        <w:t xml:space="preserve">film-coated </w:t>
      </w:r>
      <w:r w:rsidRPr="00DC536A">
        <w:rPr>
          <w:color w:val="000000"/>
        </w:rPr>
        <w:t>tablet</w:t>
      </w:r>
      <w:r>
        <w:rPr>
          <w:color w:val="000000"/>
        </w:rPr>
        <w:t>s</w:t>
      </w:r>
      <w:r w:rsidRPr="00DC536A">
        <w:rPr>
          <w:color w:val="000000"/>
        </w:rPr>
        <w:t xml:space="preserve"> also </w:t>
      </w:r>
      <w:proofErr w:type="gramStart"/>
      <w:r w:rsidRPr="00DC536A">
        <w:rPr>
          <w:color w:val="000000"/>
        </w:rPr>
        <w:t>contain</w:t>
      </w:r>
      <w:r>
        <w:rPr>
          <w:color w:val="000000"/>
        </w:rPr>
        <w:t>:</w:t>
      </w:r>
      <w:proofErr w:type="gramEnd"/>
      <w:r w:rsidRPr="00DC536A">
        <w:rPr>
          <w:color w:val="000000"/>
        </w:rPr>
        <w:t xml:space="preserve"> </w:t>
      </w:r>
      <w:r>
        <w:rPr>
          <w:color w:val="000000"/>
        </w:rPr>
        <w:t>m</w:t>
      </w:r>
      <w:r w:rsidR="00D04C3D" w:rsidRPr="00D4563C">
        <w:t>annitol, microcrystalline cellulose, povidone</w:t>
      </w:r>
      <w:bookmarkEnd w:id="21"/>
      <w:r w:rsidR="00D04C3D" w:rsidRPr="00D4563C">
        <w:t xml:space="preserve">, sodium starch glycolate </w:t>
      </w:r>
      <w:r w:rsidR="00513E18">
        <w:t>t</w:t>
      </w:r>
      <w:r w:rsidR="00D04C3D" w:rsidRPr="00D4563C">
        <w:t xml:space="preserve">ype A, sodium </w:t>
      </w:r>
      <w:proofErr w:type="spellStart"/>
      <w:r w:rsidR="00D04C3D" w:rsidRPr="00D4563C">
        <w:t>stearylfumarate</w:t>
      </w:r>
      <w:proofErr w:type="spellEnd"/>
      <w:r w:rsidR="00D04C3D" w:rsidRPr="00D4563C">
        <w:t>, polyvinyl alcohol, titanium dioxide, macrogol 3350, talc, and iron oxide yellow</w:t>
      </w:r>
      <w:r w:rsidR="00EB2692">
        <w:t xml:space="preserve"> (25 mg and 50 mg tablets only)</w:t>
      </w:r>
      <w:r w:rsidR="00D04C3D" w:rsidRPr="00D4563C">
        <w:t>.</w:t>
      </w:r>
    </w:p>
    <w:p w14:paraId="064A30DF" w14:textId="3C89EF4D" w:rsidR="00683CCC" w:rsidRPr="00D4563C" w:rsidRDefault="00C71F71" w:rsidP="00D4563C">
      <w:r>
        <w:t xml:space="preserve">TIVICAY </w:t>
      </w:r>
      <w:r w:rsidR="00F82EF2">
        <w:t xml:space="preserve">PD </w:t>
      </w:r>
      <w:r>
        <w:t xml:space="preserve">dispersible tablets also </w:t>
      </w:r>
      <w:proofErr w:type="gramStart"/>
      <w:r>
        <w:t>contain:</w:t>
      </w:r>
      <w:proofErr w:type="gramEnd"/>
      <w:r>
        <w:t xml:space="preserve"> </w:t>
      </w:r>
      <w:r>
        <w:rPr>
          <w:color w:val="000000"/>
        </w:rPr>
        <w:t>m</w:t>
      </w:r>
      <w:r w:rsidRPr="00D4563C">
        <w:t xml:space="preserve">annitol, microcrystalline cellulose, povidone, sodium starch glycolate </w:t>
      </w:r>
      <w:r w:rsidR="00513E18">
        <w:t>t</w:t>
      </w:r>
      <w:r w:rsidRPr="00D4563C">
        <w:t xml:space="preserve">ype A, </w:t>
      </w:r>
      <w:r w:rsidR="00513E18">
        <w:t>s</w:t>
      </w:r>
      <w:r w:rsidR="00513E18" w:rsidRPr="00513E18">
        <w:t>ilicified microcrystalline cellulose</w:t>
      </w:r>
      <w:r w:rsidR="00513E18">
        <w:t xml:space="preserve">, </w:t>
      </w:r>
      <w:proofErr w:type="spellStart"/>
      <w:r w:rsidR="00513E18" w:rsidRPr="00513E18">
        <w:t>crospovidone</w:t>
      </w:r>
      <w:proofErr w:type="spellEnd"/>
      <w:r w:rsidR="00513E18">
        <w:t>, s</w:t>
      </w:r>
      <w:r w:rsidR="00513E18" w:rsidRPr="00513E18">
        <w:t xml:space="preserve">odium </w:t>
      </w:r>
      <w:proofErr w:type="spellStart"/>
      <w:r w:rsidR="00513E18" w:rsidRPr="00513E18">
        <w:t>stearylfumarate</w:t>
      </w:r>
      <w:proofErr w:type="spellEnd"/>
      <w:r w:rsidR="00513E18">
        <w:t>, p</w:t>
      </w:r>
      <w:r w:rsidR="00513E18" w:rsidRPr="00513E18">
        <w:t>urified water</w:t>
      </w:r>
      <w:r w:rsidR="00513E18">
        <w:t>, c</w:t>
      </w:r>
      <w:r w:rsidR="00513E18" w:rsidRPr="00513E18">
        <w:t>alcium sulfate dihydrate</w:t>
      </w:r>
      <w:r w:rsidR="00513E18">
        <w:t>, s</w:t>
      </w:r>
      <w:r w:rsidR="00513E18" w:rsidRPr="00513E18">
        <w:t>ucralose</w:t>
      </w:r>
      <w:r w:rsidR="00513E18">
        <w:t xml:space="preserve">, </w:t>
      </w:r>
      <w:r w:rsidR="00513E18" w:rsidRPr="00513E18">
        <w:t xml:space="preserve">Strawberry </w:t>
      </w:r>
      <w:r w:rsidR="00513E18">
        <w:t>C</w:t>
      </w:r>
      <w:r w:rsidR="00513E18" w:rsidRPr="00513E18">
        <w:t xml:space="preserve">ream </w:t>
      </w:r>
      <w:r w:rsidR="00513E18">
        <w:t>F</w:t>
      </w:r>
      <w:r w:rsidR="00513E18" w:rsidRPr="00513E18">
        <w:t>lavour PHS-132963</w:t>
      </w:r>
      <w:r w:rsidR="00513E18">
        <w:t>, t</w:t>
      </w:r>
      <w:r w:rsidR="00513E18" w:rsidRPr="00513E18">
        <w:t>itanium dioxide</w:t>
      </w:r>
      <w:r w:rsidR="00513E18">
        <w:t xml:space="preserve">, </w:t>
      </w:r>
      <w:proofErr w:type="spellStart"/>
      <w:r w:rsidR="00513E18">
        <w:t>h</w:t>
      </w:r>
      <w:r w:rsidR="00513E18" w:rsidRPr="00513E18">
        <w:t>ypromellose</w:t>
      </w:r>
      <w:proofErr w:type="spellEnd"/>
      <w:r w:rsidR="00513E18">
        <w:t xml:space="preserve"> and p</w:t>
      </w:r>
      <w:r w:rsidR="00513E18" w:rsidRPr="00513E18">
        <w:t>olyethylene glycol</w:t>
      </w:r>
      <w:r w:rsidR="00513E18">
        <w:t>.</w:t>
      </w:r>
    </w:p>
    <w:p w14:paraId="3EA6BAD8" w14:textId="77777777" w:rsidR="004E368B" w:rsidRPr="00D4563C" w:rsidRDefault="004E368B" w:rsidP="00D4563C">
      <w:pPr>
        <w:pStyle w:val="Heading2"/>
        <w:rPr>
          <w:lang w:val="en-US"/>
        </w:rPr>
      </w:pPr>
      <w:r w:rsidRPr="00D4563C">
        <w:rPr>
          <w:lang w:val="en-US"/>
        </w:rPr>
        <w:t>Incompatibilities</w:t>
      </w:r>
    </w:p>
    <w:p w14:paraId="1D5ABA5A" w14:textId="77777777" w:rsidR="004A287F" w:rsidRDefault="004A287F" w:rsidP="00000D76">
      <w:r w:rsidRPr="00D4563C">
        <w:t>Incompatibilities were either not assessed or not identified as part of the registration of this medicine.</w:t>
      </w:r>
    </w:p>
    <w:p w14:paraId="0B9F2BF5" w14:textId="77777777" w:rsidR="004E368B" w:rsidRPr="00D4563C" w:rsidRDefault="004E368B" w:rsidP="00D4563C">
      <w:pPr>
        <w:pStyle w:val="Heading2"/>
        <w:rPr>
          <w:lang w:val="en-US"/>
        </w:rPr>
      </w:pPr>
      <w:r w:rsidRPr="00D4563C">
        <w:rPr>
          <w:lang w:val="en-US"/>
        </w:rPr>
        <w:t xml:space="preserve">Shelf life </w:t>
      </w:r>
    </w:p>
    <w:p w14:paraId="74661098" w14:textId="77777777" w:rsidR="00CF6A22" w:rsidRPr="0054351E" w:rsidRDefault="00CF6A22" w:rsidP="00000D76">
      <w:r w:rsidRPr="00D4563C">
        <w:t>In Australia, information on the shelf life can be found on the public summary of the Australian Register of Therapeutic Goods (ARTG). The expiry date can be found on the packaging.</w:t>
      </w:r>
    </w:p>
    <w:p w14:paraId="0A979913" w14:textId="77777777" w:rsidR="00CF6A22" w:rsidRPr="00D4563C" w:rsidRDefault="00CF6A22" w:rsidP="00D4563C">
      <w:pPr>
        <w:pStyle w:val="Heading2"/>
        <w:rPr>
          <w:lang w:val="en-US"/>
        </w:rPr>
      </w:pPr>
      <w:r w:rsidRPr="00D4563C">
        <w:rPr>
          <w:lang w:val="en-US"/>
        </w:rPr>
        <w:t xml:space="preserve">Special precautions for storage </w:t>
      </w:r>
    </w:p>
    <w:p w14:paraId="74D81922" w14:textId="128C2C55" w:rsidR="00CF6A22" w:rsidRDefault="00D04C3D" w:rsidP="00D4563C">
      <w:r w:rsidRPr="00D4563C">
        <w:t>Store below 30°C.</w:t>
      </w:r>
    </w:p>
    <w:p w14:paraId="268D6FE1" w14:textId="08176BD2" w:rsidR="001E3B7B" w:rsidRPr="00FD77CB" w:rsidRDefault="001E3B7B" w:rsidP="00DC39FB">
      <w:pPr>
        <w:keepNext/>
        <w:keepLines/>
        <w:rPr>
          <w:i/>
        </w:rPr>
      </w:pPr>
      <w:r>
        <w:rPr>
          <w:i/>
        </w:rPr>
        <w:t>Film-coated tablets</w:t>
      </w:r>
    </w:p>
    <w:p w14:paraId="7A24D3BF" w14:textId="05900573" w:rsidR="0023557D" w:rsidRDefault="00EB2692" w:rsidP="00DC39FB">
      <w:pPr>
        <w:keepNext/>
        <w:keepLines/>
      </w:pPr>
      <w:r>
        <w:t>10 mg tablets only – Store in the original package in order to protect from moisture. Keep the bottle tightly closed. Do not remove desiccant.</w:t>
      </w:r>
    </w:p>
    <w:p w14:paraId="012DBC10" w14:textId="7325726F" w:rsidR="001E3B7B" w:rsidRDefault="001E3B7B">
      <w:pPr>
        <w:rPr>
          <w:i/>
        </w:rPr>
      </w:pPr>
      <w:r>
        <w:rPr>
          <w:i/>
        </w:rPr>
        <w:t>Dispersible tablets</w:t>
      </w:r>
    </w:p>
    <w:p w14:paraId="7EA3FE36" w14:textId="71D55668" w:rsidR="001E3B7B" w:rsidRPr="00FD77CB" w:rsidRDefault="001E3B7B">
      <w:r w:rsidRPr="00FD77CB">
        <w:t>Store in the original package in order to protect from moisture. Keep the bottle tightly closed. Do not remove desiccant.</w:t>
      </w:r>
    </w:p>
    <w:p w14:paraId="21492623" w14:textId="685E064E" w:rsidR="00ED65A6" w:rsidRPr="00D4563C" w:rsidRDefault="00D04C3D" w:rsidP="00FD77CB">
      <w:pPr>
        <w:pStyle w:val="Heading2"/>
        <w:keepNext/>
        <w:keepLines/>
        <w:rPr>
          <w:lang w:val="en-US"/>
        </w:rPr>
      </w:pPr>
      <w:r w:rsidRPr="00D4563C">
        <w:rPr>
          <w:lang w:val="en-US"/>
        </w:rPr>
        <w:t xml:space="preserve">Nature and contents of container </w:t>
      </w:r>
    </w:p>
    <w:p w14:paraId="5773FA95" w14:textId="0CD2E014" w:rsidR="00523625" w:rsidRPr="00FD77CB" w:rsidRDefault="00523625" w:rsidP="00FD77CB">
      <w:pPr>
        <w:keepNext/>
        <w:keepLines/>
        <w:rPr>
          <w:i/>
        </w:rPr>
      </w:pPr>
      <w:r>
        <w:rPr>
          <w:i/>
        </w:rPr>
        <w:t>Film-coated tablets</w:t>
      </w:r>
    </w:p>
    <w:p w14:paraId="3F6929FE" w14:textId="416A5110" w:rsidR="00085D42" w:rsidRDefault="00FF0934" w:rsidP="00FD77CB">
      <w:pPr>
        <w:keepNext/>
        <w:keepLines/>
      </w:pPr>
      <w:r w:rsidRPr="00D4563C">
        <w:t>TIVICAY</w:t>
      </w:r>
      <w:r w:rsidR="00D04C3D" w:rsidRPr="00D4563C">
        <w:t xml:space="preserve"> </w:t>
      </w:r>
      <w:r w:rsidR="00523625">
        <w:t xml:space="preserve">film-coated </w:t>
      </w:r>
      <w:r w:rsidR="00D04C3D" w:rsidRPr="00D4563C">
        <w:t>tablets are supplied in HDPE (high density polyethylene) bottles containing 30 tablets.</w:t>
      </w:r>
      <w:r w:rsidR="00EB2692">
        <w:t xml:space="preserve"> The 10 mg tablet bottles contain a desiccant.</w:t>
      </w:r>
    </w:p>
    <w:p w14:paraId="26B4B7E5" w14:textId="75F65247" w:rsidR="00523625" w:rsidRDefault="00523625">
      <w:pPr>
        <w:rPr>
          <w:i/>
        </w:rPr>
      </w:pPr>
      <w:r>
        <w:rPr>
          <w:i/>
        </w:rPr>
        <w:t>Dispersible tablets</w:t>
      </w:r>
    </w:p>
    <w:p w14:paraId="701E1596" w14:textId="57FD689B" w:rsidR="00523625" w:rsidRPr="00FD77CB" w:rsidRDefault="00F82EF2" w:rsidP="00523625">
      <w:r>
        <w:t>TIVICAY PD</w:t>
      </w:r>
      <w:r w:rsidR="00523625" w:rsidRPr="00FD77CB">
        <w:t xml:space="preserve"> dispersible tablets are supplied in HDPE (high density polyethylene) bottles</w:t>
      </w:r>
      <w:r w:rsidR="00CE5EB9">
        <w:t xml:space="preserve"> containing 60 tablets.  The bottles</w:t>
      </w:r>
      <w:r w:rsidR="00523625" w:rsidRPr="00FD77CB">
        <w:t xml:space="preserve"> contain a desiccant.</w:t>
      </w:r>
    </w:p>
    <w:p w14:paraId="05BF5E90" w14:textId="15E2EAF3" w:rsidR="00523625" w:rsidRPr="00FD77CB" w:rsidRDefault="00523625" w:rsidP="00523625">
      <w:r w:rsidRPr="00FD77CB">
        <w:t>A dosing cup and syringe are supplied with the pack</w:t>
      </w:r>
      <w:r w:rsidR="00343CF4">
        <w:t>.</w:t>
      </w:r>
    </w:p>
    <w:p w14:paraId="1CA23431" w14:textId="70065EA1" w:rsidR="00ED65A6" w:rsidRPr="00D4563C" w:rsidRDefault="00D04C3D" w:rsidP="00D4563C">
      <w:pPr>
        <w:pStyle w:val="Heading2"/>
        <w:rPr>
          <w:lang w:val="en-US"/>
        </w:rPr>
      </w:pPr>
      <w:r w:rsidRPr="00D4563C">
        <w:rPr>
          <w:lang w:val="en-US"/>
        </w:rPr>
        <w:lastRenderedPageBreak/>
        <w:t xml:space="preserve">Special precautions for disposal </w:t>
      </w:r>
    </w:p>
    <w:p w14:paraId="15B90B4D" w14:textId="77777777" w:rsidR="004A287F" w:rsidRPr="0054351E" w:rsidRDefault="004A287F" w:rsidP="00000D76">
      <w:r w:rsidRPr="00D4563C">
        <w:t>In Australia, any unused medicine or waste material should be disposed of by taking to your local pharmacy.</w:t>
      </w:r>
    </w:p>
    <w:p w14:paraId="76F35818" w14:textId="77777777" w:rsidR="00B16473" w:rsidRDefault="00910B53" w:rsidP="008A15CF">
      <w:pPr>
        <w:pStyle w:val="Heading2"/>
        <w:rPr>
          <w:lang w:val="en-US"/>
        </w:rPr>
      </w:pPr>
      <w:r>
        <w:rPr>
          <w:lang w:val="en-US"/>
        </w:rPr>
        <w:t>Physicochemical properties</w:t>
      </w:r>
      <w:r w:rsidR="00B16473">
        <w:rPr>
          <w:lang w:val="en-US"/>
        </w:rPr>
        <w:t xml:space="preserve"> </w:t>
      </w:r>
    </w:p>
    <w:p w14:paraId="708789BA" w14:textId="1C104246" w:rsidR="00F82573" w:rsidRDefault="00812974" w:rsidP="00B16473">
      <w:r>
        <w:t>The chemical (IUPAC</w:t>
      </w:r>
      <w:r w:rsidRPr="00812974">
        <w:t>) n</w:t>
      </w:r>
      <w:r>
        <w:t>ame for dolutegravir sodium is Sodium (4R,12aS</w:t>
      </w:r>
      <w:r w:rsidRPr="00812974">
        <w:t>)-9-{[(2,4- difluorophenyl)methyl]carbamoyl}-4-methyl-6,8-dioxo-3,4,6,8,12,12a</w:t>
      </w:r>
      <w:r w:rsidR="008A15CF" w:rsidRPr="00812974">
        <w:t>-</w:t>
      </w:r>
      <w:r>
        <w:t>hexahydro-2H</w:t>
      </w:r>
      <w:r w:rsidRPr="00812974">
        <w:t>- pyrido[1',2':4,5]pyra</w:t>
      </w:r>
      <w:r w:rsidR="00F82573">
        <w:t>zino[2,1-b][1,3]oxazin-7-olate.</w:t>
      </w:r>
    </w:p>
    <w:p w14:paraId="1ABB8BE6" w14:textId="77777777" w:rsidR="00F82573" w:rsidRDefault="00812974" w:rsidP="00B16473">
      <w:r w:rsidRPr="00812974">
        <w:t>Molecular formula: C</w:t>
      </w:r>
      <w:r w:rsidRPr="00812974">
        <w:rPr>
          <w:vertAlign w:val="subscript"/>
        </w:rPr>
        <w:t>20</w:t>
      </w:r>
      <w:r w:rsidRPr="00812974">
        <w:t>H</w:t>
      </w:r>
      <w:r w:rsidRPr="00812974">
        <w:rPr>
          <w:vertAlign w:val="subscript"/>
        </w:rPr>
        <w:t>18</w:t>
      </w:r>
      <w:r w:rsidRPr="00812974">
        <w:t>F</w:t>
      </w:r>
      <w:r w:rsidRPr="00812974">
        <w:rPr>
          <w:vertAlign w:val="subscript"/>
        </w:rPr>
        <w:t>2</w:t>
      </w:r>
      <w:r w:rsidRPr="00812974">
        <w:t>N</w:t>
      </w:r>
      <w:r w:rsidRPr="00812974">
        <w:rPr>
          <w:vertAlign w:val="subscript"/>
        </w:rPr>
        <w:t>3</w:t>
      </w:r>
      <w:r>
        <w:t>Na</w:t>
      </w:r>
      <w:r w:rsidRPr="00812974">
        <w:t>O</w:t>
      </w:r>
      <w:r w:rsidRPr="00812974">
        <w:rPr>
          <w:vertAlign w:val="subscript"/>
        </w:rPr>
        <w:t>5</w:t>
      </w:r>
      <w:r w:rsidR="00F82573">
        <w:t>.</w:t>
      </w:r>
    </w:p>
    <w:p w14:paraId="27F2BC9D" w14:textId="452D5D99" w:rsidR="00ED65A6" w:rsidRDefault="00812974" w:rsidP="00B16473">
      <w:r w:rsidRPr="00812974">
        <w:t>Molecular weight of 441.36 g/mol.</w:t>
      </w:r>
    </w:p>
    <w:p w14:paraId="6F18776E" w14:textId="77777777" w:rsidR="00524A70" w:rsidRDefault="00524A70" w:rsidP="00524A70">
      <w:r w:rsidRPr="00D4563C">
        <w:t>The partition coefficient (log P) for dolutegravir so</w:t>
      </w:r>
      <w:r>
        <w:t xml:space="preserve">dium is 2.2 and the </w:t>
      </w:r>
      <w:proofErr w:type="spellStart"/>
      <w:r>
        <w:t>pKa</w:t>
      </w:r>
      <w:proofErr w:type="spellEnd"/>
      <w:r>
        <w:t xml:space="preserve"> is 8.2.</w:t>
      </w:r>
    </w:p>
    <w:p w14:paraId="786C93DD" w14:textId="59EE31E0" w:rsidR="00524A70" w:rsidRPr="00D4563C" w:rsidRDefault="0054756E" w:rsidP="00B16473">
      <w:pPr>
        <w:rPr>
          <w:lang w:val="en-US"/>
        </w:rPr>
      </w:pPr>
      <w:r w:rsidRPr="00D4563C">
        <w:t>Dolutegravir sodium is slightly soluble in water.</w:t>
      </w:r>
    </w:p>
    <w:p w14:paraId="263AA682" w14:textId="77777777" w:rsidR="00621A01" w:rsidRPr="00D4563C" w:rsidRDefault="00A42AD6" w:rsidP="00B16473">
      <w:pPr>
        <w:pStyle w:val="Heading3"/>
        <w:rPr>
          <w:lang w:val="en-US"/>
        </w:rPr>
      </w:pPr>
      <w:r w:rsidRPr="00D4563C">
        <w:rPr>
          <w:lang w:val="en-US"/>
        </w:rPr>
        <w:t>Chemical structure</w:t>
      </w:r>
    </w:p>
    <w:p w14:paraId="33128A0A" w14:textId="77777777" w:rsidR="00621A01" w:rsidRPr="00D4563C" w:rsidRDefault="00621A01" w:rsidP="00D4563C">
      <w:pPr>
        <w:rPr>
          <w:lang w:val="en-US"/>
        </w:rPr>
      </w:pPr>
    </w:p>
    <w:p w14:paraId="6946800A" w14:textId="77777777" w:rsidR="00ED65A6" w:rsidRPr="00D4563C" w:rsidRDefault="00143737" w:rsidP="00D4563C">
      <w:r w:rsidRPr="00D4563C">
        <w:rPr>
          <w:noProof/>
          <w:lang w:eastAsia="en-AU"/>
        </w:rPr>
        <w:drawing>
          <wp:inline distT="0" distB="0" distL="0" distR="0" wp14:anchorId="730BB229" wp14:editId="22BEBB2B">
            <wp:extent cx="2181225" cy="89535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181225" cy="895350"/>
                    </a:xfrm>
                    <a:prstGeom prst="rect">
                      <a:avLst/>
                    </a:prstGeom>
                    <a:noFill/>
                    <a:ln w="9525">
                      <a:noFill/>
                      <a:miter lim="800000"/>
                      <a:headEnd/>
                      <a:tailEnd/>
                    </a:ln>
                  </pic:spPr>
                </pic:pic>
              </a:graphicData>
            </a:graphic>
          </wp:inline>
        </w:drawing>
      </w:r>
    </w:p>
    <w:p w14:paraId="50AAFABD" w14:textId="77777777" w:rsidR="00ED65A6" w:rsidRPr="00D4563C" w:rsidRDefault="00D04C3D" w:rsidP="00D4563C">
      <w:pPr>
        <w:pStyle w:val="Heading3"/>
      </w:pPr>
      <w:r w:rsidRPr="00D4563C">
        <w:t>CAS number</w:t>
      </w:r>
    </w:p>
    <w:p w14:paraId="4A620F35" w14:textId="77777777" w:rsidR="00ED65A6" w:rsidRPr="00D4563C" w:rsidRDefault="00626ADC" w:rsidP="00D4563C">
      <w:r w:rsidRPr="00D4563C">
        <w:t>1051375-19-9</w:t>
      </w:r>
    </w:p>
    <w:p w14:paraId="2EEE4955" w14:textId="77777777" w:rsidR="00ED65A6" w:rsidRPr="00D4563C" w:rsidRDefault="00D04C3D" w:rsidP="00D4563C">
      <w:pPr>
        <w:pStyle w:val="Heading1"/>
        <w:rPr>
          <w:lang w:val="en-US"/>
        </w:rPr>
      </w:pPr>
      <w:r w:rsidRPr="00D4563C">
        <w:rPr>
          <w:lang w:val="en-US"/>
        </w:rPr>
        <w:t>Medicine schedule (Poisons Standard)</w:t>
      </w:r>
    </w:p>
    <w:p w14:paraId="06801CFF" w14:textId="77777777" w:rsidR="009B026D" w:rsidRPr="00D4563C" w:rsidRDefault="009B026D" w:rsidP="00D4563C">
      <w:r w:rsidRPr="00D4563C">
        <w:t xml:space="preserve">Schedule 4 – Prescription Only Medicine </w:t>
      </w:r>
    </w:p>
    <w:p w14:paraId="7BE51150" w14:textId="77777777" w:rsidR="00ED65A6" w:rsidRPr="00D4563C" w:rsidRDefault="00D04C3D" w:rsidP="00D4563C">
      <w:pPr>
        <w:pStyle w:val="Heading1"/>
        <w:rPr>
          <w:lang w:val="en-US"/>
        </w:rPr>
      </w:pPr>
      <w:r w:rsidRPr="00D4563C">
        <w:rPr>
          <w:lang w:val="en-US"/>
        </w:rPr>
        <w:t xml:space="preserve">Sponsor </w:t>
      </w:r>
    </w:p>
    <w:p w14:paraId="1DD6307C" w14:textId="77777777" w:rsidR="00ED65A6" w:rsidRPr="00D4563C" w:rsidRDefault="00D04C3D" w:rsidP="00D4563C">
      <w:proofErr w:type="spellStart"/>
      <w:r w:rsidRPr="00D4563C">
        <w:t>ViiV</w:t>
      </w:r>
      <w:proofErr w:type="spellEnd"/>
      <w:r w:rsidRPr="00D4563C">
        <w:t xml:space="preserve"> Healthcare Pty Ltd</w:t>
      </w:r>
      <w:r w:rsidR="006636CF" w:rsidRPr="00D4563C">
        <w:t>,</w:t>
      </w:r>
      <w:r w:rsidRPr="00D4563C">
        <w:br/>
        <w:t>Level 4</w:t>
      </w:r>
      <w:r w:rsidR="004A287F" w:rsidRPr="00D4563C">
        <w:t xml:space="preserve">, </w:t>
      </w:r>
      <w:r w:rsidR="004A287F" w:rsidRPr="00D4563C">
        <w:rPr>
          <w:rStyle w:val="HTMLTypewriter"/>
          <w:rFonts w:ascii="Arial" w:hAnsi="Arial" w:cs="Arial"/>
          <w:color w:val="000000"/>
          <w:sz w:val="22"/>
          <w:szCs w:val="22"/>
        </w:rPr>
        <w:t>436 Johnston Street,</w:t>
      </w:r>
      <w:r w:rsidR="006636CF" w:rsidRPr="00D4563C">
        <w:br/>
        <w:t>Abbotsford, Victoria,</w:t>
      </w:r>
      <w:r w:rsidR="002B2C82" w:rsidRPr="00D4563C">
        <w:t xml:space="preserve"> 3067</w:t>
      </w:r>
    </w:p>
    <w:p w14:paraId="3D0ED9CB" w14:textId="77777777" w:rsidR="00ED65A6" w:rsidRPr="00D4563C" w:rsidRDefault="00D04C3D" w:rsidP="00D4563C">
      <w:pPr>
        <w:pStyle w:val="Heading1"/>
        <w:rPr>
          <w:lang w:val="en-US"/>
        </w:rPr>
      </w:pPr>
      <w:r w:rsidRPr="00D4563C">
        <w:rPr>
          <w:lang w:val="en-US"/>
        </w:rPr>
        <w:t>Date of first approval</w:t>
      </w:r>
      <w:r w:rsidR="00D12037" w:rsidRPr="00D4563C">
        <w:rPr>
          <w:lang w:val="en-US"/>
        </w:rPr>
        <w:t xml:space="preserve"> </w:t>
      </w:r>
    </w:p>
    <w:p w14:paraId="7DC604ED" w14:textId="77777777" w:rsidR="00ED65A6" w:rsidRPr="00D4563C" w:rsidRDefault="00D04C3D" w:rsidP="00D4563C">
      <w:r w:rsidRPr="00D4563C">
        <w:t>17 January 2014</w:t>
      </w:r>
    </w:p>
    <w:p w14:paraId="30B8038A" w14:textId="198E534C" w:rsidR="00ED65A6" w:rsidRDefault="00D04C3D" w:rsidP="00D4563C">
      <w:pPr>
        <w:pStyle w:val="Heading1"/>
        <w:rPr>
          <w:lang w:val="en-US"/>
        </w:rPr>
      </w:pPr>
      <w:r w:rsidRPr="00D4563C">
        <w:rPr>
          <w:lang w:val="en-US"/>
        </w:rPr>
        <w:t xml:space="preserve">Date of revision </w:t>
      </w:r>
    </w:p>
    <w:p w14:paraId="041E4D99" w14:textId="2CDB7CBC" w:rsidR="00085D42" w:rsidRPr="00D4563C" w:rsidRDefault="00433850" w:rsidP="00085D42">
      <w:pPr>
        <w:rPr>
          <w:lang w:val="en-US"/>
        </w:rPr>
      </w:pPr>
      <w:r>
        <w:rPr>
          <w:lang w:val="en-US"/>
        </w:rPr>
        <w:t>1 October 2021</w:t>
      </w:r>
    </w:p>
    <w:p w14:paraId="2663EAAC" w14:textId="77777777" w:rsidR="00DC58C9" w:rsidRPr="00956DBD" w:rsidRDefault="00DC58C9" w:rsidP="00DC58C9">
      <w:pPr>
        <w:pStyle w:val="Heading2"/>
        <w:numPr>
          <w:ilvl w:val="0"/>
          <w:numId w:val="0"/>
        </w:numPr>
        <w:spacing w:before="200" w:after="0"/>
        <w:rPr>
          <w:sz w:val="22"/>
          <w:lang w:val="en-US"/>
        </w:rPr>
      </w:pPr>
      <w:r w:rsidRPr="00956DBD">
        <w:rPr>
          <w:sz w:val="22"/>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6"/>
        <w:gridCol w:w="7630"/>
      </w:tblGrid>
      <w:tr w:rsidR="00DC58C9" w:rsidRPr="00D4563C" w14:paraId="2302F7EB" w14:textId="77777777" w:rsidTr="00986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shd w:val="clear" w:color="auto" w:fill="F2F2F2"/>
            <w:vAlign w:val="center"/>
          </w:tcPr>
          <w:p w14:paraId="622EA1B9" w14:textId="77777777" w:rsidR="00DC58C9" w:rsidRPr="00D4563C" w:rsidRDefault="00DC58C9" w:rsidP="009862D1">
            <w:pPr>
              <w:rPr>
                <w:lang w:val="en-US"/>
              </w:rPr>
            </w:pPr>
            <w:r w:rsidRPr="00D4563C">
              <w:rPr>
                <w:lang w:val="en-US"/>
              </w:rPr>
              <w:lastRenderedPageBreak/>
              <w:t>Section Changed</w:t>
            </w:r>
          </w:p>
        </w:tc>
        <w:tc>
          <w:tcPr>
            <w:tcW w:w="7630" w:type="dxa"/>
            <w:shd w:val="clear" w:color="auto" w:fill="F2F2F2"/>
            <w:vAlign w:val="center"/>
          </w:tcPr>
          <w:p w14:paraId="31FF1CDC" w14:textId="77777777" w:rsidR="00DC58C9" w:rsidRPr="00D4563C" w:rsidRDefault="00DC58C9" w:rsidP="009862D1">
            <w:pPr>
              <w:cnfStyle w:val="100000000000" w:firstRow="1" w:lastRow="0" w:firstColumn="0" w:lastColumn="0" w:oddVBand="0" w:evenVBand="0" w:oddHBand="0" w:evenHBand="0" w:firstRowFirstColumn="0" w:firstRowLastColumn="0" w:lastRowFirstColumn="0" w:lastRowLastColumn="0"/>
              <w:rPr>
                <w:lang w:val="en-US"/>
              </w:rPr>
            </w:pPr>
            <w:r w:rsidRPr="00D4563C">
              <w:rPr>
                <w:lang w:val="en-US"/>
              </w:rPr>
              <w:t>Summary of new information</w:t>
            </w:r>
          </w:p>
        </w:tc>
      </w:tr>
      <w:tr w:rsidR="00EB2692" w:rsidRPr="00D4563C" w14:paraId="3BF1BE15"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49516BAD" w14:textId="2720CBB5" w:rsidR="00EB2692" w:rsidRDefault="00EB2692" w:rsidP="00EB2692">
            <w:pPr>
              <w:rPr>
                <w:lang w:val="en-US"/>
              </w:rPr>
            </w:pPr>
            <w:r>
              <w:rPr>
                <w:lang w:val="en-US"/>
              </w:rPr>
              <w:t>2</w:t>
            </w:r>
          </w:p>
        </w:tc>
        <w:tc>
          <w:tcPr>
            <w:tcW w:w="7630" w:type="dxa"/>
            <w:vAlign w:val="center"/>
          </w:tcPr>
          <w:p w14:paraId="539CA84F" w14:textId="1A149F3E" w:rsidR="00EB2692" w:rsidRDefault="00A55DF6" w:rsidP="00EB2692">
            <w:pPr>
              <w:cnfStyle w:val="000000000000" w:firstRow="0" w:lastRow="0" w:firstColumn="0" w:lastColumn="0" w:oddVBand="0" w:evenVBand="0" w:oddHBand="0" w:evenHBand="0" w:firstRowFirstColumn="0" w:firstRowLastColumn="0" w:lastRowFirstColumn="0" w:lastRowLastColumn="0"/>
            </w:pPr>
            <w:r>
              <w:rPr>
                <w:lang w:val="en-US"/>
              </w:rPr>
              <w:t>Addition of sucralose</w:t>
            </w:r>
            <w:r w:rsidR="00AB7291">
              <w:rPr>
                <w:lang w:val="en-US"/>
              </w:rPr>
              <w:t xml:space="preserve"> </w:t>
            </w:r>
            <w:r w:rsidR="00AB7291">
              <w:t>to dispersible tablet composition</w:t>
            </w:r>
          </w:p>
        </w:tc>
      </w:tr>
      <w:tr w:rsidR="00676D4B" w:rsidRPr="00D4563C" w14:paraId="6839D77D"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5AC3F29F" w14:textId="204990C4" w:rsidR="00676D4B" w:rsidRDefault="00676D4B" w:rsidP="00EB2692">
            <w:pPr>
              <w:rPr>
                <w:lang w:val="en-US"/>
              </w:rPr>
            </w:pPr>
            <w:r>
              <w:rPr>
                <w:lang w:val="en-US"/>
              </w:rPr>
              <w:t>4.6</w:t>
            </w:r>
          </w:p>
        </w:tc>
        <w:tc>
          <w:tcPr>
            <w:tcW w:w="7630" w:type="dxa"/>
            <w:vAlign w:val="center"/>
          </w:tcPr>
          <w:p w14:paraId="2A3FAF6E" w14:textId="131F492E" w:rsidR="00676D4B" w:rsidRDefault="00AB7291" w:rsidP="00EB2692">
            <w:pPr>
              <w:cnfStyle w:val="000000000000" w:firstRow="0" w:lastRow="0" w:firstColumn="0" w:lastColumn="0" w:oddVBand="0" w:evenVBand="0" w:oddHBand="0" w:evenHBand="0" w:firstRowFirstColumn="0" w:firstRowLastColumn="0" w:lastRowFirstColumn="0" w:lastRowLastColumn="0"/>
              <w:rPr>
                <w:lang w:val="en-US"/>
              </w:rPr>
            </w:pPr>
            <w:r w:rsidRPr="00AB7291">
              <w:rPr>
                <w:lang w:val="en-US"/>
              </w:rPr>
              <w:t xml:space="preserve">Addition of data on neural tube defects from the </w:t>
            </w:r>
            <w:proofErr w:type="spellStart"/>
            <w:r w:rsidRPr="00AB7291">
              <w:rPr>
                <w:lang w:val="en-US"/>
              </w:rPr>
              <w:t>Tsepamo</w:t>
            </w:r>
            <w:proofErr w:type="spellEnd"/>
            <w:r w:rsidRPr="00AB7291">
              <w:rPr>
                <w:lang w:val="en-US"/>
              </w:rPr>
              <w:t xml:space="preserve"> study</w:t>
            </w:r>
          </w:p>
        </w:tc>
      </w:tr>
      <w:tr w:rsidR="00EB2692" w:rsidRPr="00D4563C" w14:paraId="425D48FE"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6F985A1D" w14:textId="60185E22" w:rsidR="00EB2692" w:rsidRDefault="00EB2692" w:rsidP="00EB2692">
            <w:pPr>
              <w:rPr>
                <w:lang w:val="en-US"/>
              </w:rPr>
            </w:pPr>
            <w:r>
              <w:rPr>
                <w:lang w:val="en-US"/>
              </w:rPr>
              <w:t>3</w:t>
            </w:r>
          </w:p>
        </w:tc>
        <w:tc>
          <w:tcPr>
            <w:tcW w:w="7630" w:type="dxa"/>
            <w:vAlign w:val="center"/>
          </w:tcPr>
          <w:p w14:paraId="42C6093D" w14:textId="4252CEE9" w:rsidR="00EB2692" w:rsidRPr="00692528" w:rsidRDefault="00EB2692" w:rsidP="00EB2692">
            <w:pPr>
              <w:cnfStyle w:val="000000000000" w:firstRow="0" w:lastRow="0" w:firstColumn="0" w:lastColumn="0" w:oddVBand="0" w:evenVBand="0" w:oddHBand="0" w:evenHBand="0" w:firstRowFirstColumn="0" w:firstRowLastColumn="0" w:lastRowFirstColumn="0" w:lastRowLastColumn="0"/>
            </w:pPr>
            <w:r>
              <w:rPr>
                <w:lang w:val="en-US"/>
              </w:rPr>
              <w:t xml:space="preserve">Added description of new </w:t>
            </w:r>
            <w:r w:rsidR="008B4449">
              <w:rPr>
                <w:lang w:val="en-US"/>
              </w:rPr>
              <w:t xml:space="preserve">dispersible </w:t>
            </w:r>
            <w:r>
              <w:rPr>
                <w:lang w:val="en-US"/>
              </w:rPr>
              <w:t>tablet</w:t>
            </w:r>
          </w:p>
        </w:tc>
      </w:tr>
      <w:tr w:rsidR="00EB2692" w:rsidRPr="00D4563C" w14:paraId="40741541"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5D25537C" w14:textId="21E0326B" w:rsidR="00EB2692" w:rsidDel="00EB2692" w:rsidRDefault="00EB2692" w:rsidP="00EB2692">
            <w:pPr>
              <w:rPr>
                <w:lang w:val="en-US"/>
              </w:rPr>
            </w:pPr>
            <w:r>
              <w:rPr>
                <w:lang w:val="en-US"/>
              </w:rPr>
              <w:t>4.1</w:t>
            </w:r>
          </w:p>
        </w:tc>
        <w:tc>
          <w:tcPr>
            <w:tcW w:w="7630" w:type="dxa"/>
            <w:vAlign w:val="center"/>
          </w:tcPr>
          <w:p w14:paraId="7C00A984" w14:textId="768F1C8A" w:rsidR="00EB2692" w:rsidDel="00EB2692" w:rsidRDefault="00EB2692" w:rsidP="00EB2692">
            <w:pPr>
              <w:cnfStyle w:val="000000000000" w:firstRow="0" w:lastRow="0" w:firstColumn="0" w:lastColumn="0" w:oddVBand="0" w:evenVBand="0" w:oddHBand="0" w:evenHBand="0" w:firstRowFirstColumn="0" w:firstRowLastColumn="0" w:lastRowFirstColumn="0" w:lastRowLastColumn="0"/>
            </w:pPr>
            <w:r>
              <w:rPr>
                <w:lang w:val="en-US"/>
              </w:rPr>
              <w:t xml:space="preserve">Updated indication to </w:t>
            </w:r>
            <w:r w:rsidR="00147416">
              <w:rPr>
                <w:lang w:val="en-US"/>
              </w:rPr>
              <w:t>remove age limit</w:t>
            </w:r>
          </w:p>
        </w:tc>
      </w:tr>
      <w:tr w:rsidR="00EB2692" w:rsidRPr="00D4563C" w14:paraId="7BD5C3E1"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57996CB3" w14:textId="30FAF436" w:rsidR="00EB2692" w:rsidDel="00EB2692" w:rsidRDefault="00EB2692" w:rsidP="00EB2692">
            <w:pPr>
              <w:rPr>
                <w:lang w:val="en-US"/>
              </w:rPr>
            </w:pPr>
            <w:r>
              <w:rPr>
                <w:lang w:val="en-US"/>
              </w:rPr>
              <w:t>4.2</w:t>
            </w:r>
          </w:p>
        </w:tc>
        <w:tc>
          <w:tcPr>
            <w:tcW w:w="7630" w:type="dxa"/>
            <w:vAlign w:val="center"/>
          </w:tcPr>
          <w:p w14:paraId="33EBE5A5" w14:textId="16BD37CE" w:rsidR="00EB2692" w:rsidDel="00EB2692" w:rsidRDefault="00EB2692" w:rsidP="00EB2692">
            <w:pPr>
              <w:cnfStyle w:val="000000000000" w:firstRow="0" w:lastRow="0" w:firstColumn="0" w:lastColumn="0" w:oddVBand="0" w:evenVBand="0" w:oddHBand="0" w:evenHBand="0" w:firstRowFirstColumn="0" w:firstRowLastColumn="0" w:lastRowFirstColumn="0" w:lastRowLastColumn="0"/>
            </w:pPr>
            <w:r>
              <w:rPr>
                <w:lang w:val="en-US"/>
              </w:rPr>
              <w:t xml:space="preserve">Added dosing information for </w:t>
            </w:r>
            <w:r w:rsidR="00147416">
              <w:rPr>
                <w:lang w:val="en-US"/>
              </w:rPr>
              <w:t>dispersible tablet</w:t>
            </w:r>
          </w:p>
        </w:tc>
      </w:tr>
      <w:tr w:rsidR="00EB2692" w:rsidRPr="00D4563C" w14:paraId="28893F6F"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2C6050D1" w14:textId="26777E15" w:rsidR="00EB2692" w:rsidDel="00EB2692" w:rsidRDefault="00EB2692" w:rsidP="00EB2692">
            <w:pPr>
              <w:rPr>
                <w:lang w:val="en-US"/>
              </w:rPr>
            </w:pPr>
            <w:r>
              <w:rPr>
                <w:lang w:val="en-US"/>
              </w:rPr>
              <w:t>4.4</w:t>
            </w:r>
          </w:p>
        </w:tc>
        <w:tc>
          <w:tcPr>
            <w:tcW w:w="7630" w:type="dxa"/>
            <w:vAlign w:val="center"/>
          </w:tcPr>
          <w:p w14:paraId="0609297C" w14:textId="2A1EF5C8" w:rsidR="00EB2692" w:rsidDel="00EB2692" w:rsidRDefault="00EB2692" w:rsidP="00EB2692">
            <w:pPr>
              <w:cnfStyle w:val="000000000000" w:firstRow="0" w:lastRow="0" w:firstColumn="0" w:lastColumn="0" w:oddVBand="0" w:evenVBand="0" w:oddHBand="0" w:evenHBand="0" w:firstRowFirstColumn="0" w:firstRowLastColumn="0" w:lastRowFirstColumn="0" w:lastRowLastColumn="0"/>
            </w:pPr>
            <w:r>
              <w:t>Updated information regarding paediatric use</w:t>
            </w:r>
            <w:r w:rsidR="00557EC3">
              <w:t xml:space="preserve"> and editorial correction</w:t>
            </w:r>
          </w:p>
        </w:tc>
      </w:tr>
      <w:tr w:rsidR="00DC39FB" w:rsidRPr="00D4563C" w14:paraId="5C2E6C71"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663F91FA" w14:textId="512CA386" w:rsidR="00DC39FB" w:rsidRDefault="00DC39FB" w:rsidP="00EB2692">
            <w:pPr>
              <w:rPr>
                <w:lang w:val="en-US"/>
              </w:rPr>
            </w:pPr>
            <w:r>
              <w:rPr>
                <w:lang w:val="en-US"/>
              </w:rPr>
              <w:t>4.8</w:t>
            </w:r>
          </w:p>
        </w:tc>
        <w:tc>
          <w:tcPr>
            <w:tcW w:w="7630" w:type="dxa"/>
            <w:vAlign w:val="center"/>
          </w:tcPr>
          <w:p w14:paraId="2FD01124" w14:textId="078D3EAF" w:rsidR="00DC39FB" w:rsidRDefault="00DC39FB" w:rsidP="00EB2692">
            <w:pPr>
              <w:cnfStyle w:val="000000000000" w:firstRow="0" w:lastRow="0" w:firstColumn="0" w:lastColumn="0" w:oddVBand="0" w:evenVBand="0" w:oddHBand="0" w:evenHBand="0" w:firstRowFirstColumn="0" w:firstRowLastColumn="0" w:lastRowFirstColumn="0" w:lastRowLastColumn="0"/>
            </w:pPr>
            <w:proofErr w:type="spellStart"/>
            <w:r>
              <w:t>Additon</w:t>
            </w:r>
            <w:proofErr w:type="spellEnd"/>
            <w:r>
              <w:t xml:space="preserve"> of new paediatric safety information</w:t>
            </w:r>
          </w:p>
        </w:tc>
      </w:tr>
      <w:tr w:rsidR="00DC39FB" w:rsidRPr="00D4563C" w14:paraId="6875602E"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4B017819" w14:textId="388A38DA" w:rsidR="00DC39FB" w:rsidRDefault="00DC39FB" w:rsidP="00EB2692">
            <w:pPr>
              <w:rPr>
                <w:lang w:val="en-US"/>
              </w:rPr>
            </w:pPr>
            <w:r>
              <w:rPr>
                <w:lang w:val="en-US"/>
              </w:rPr>
              <w:t>5.1</w:t>
            </w:r>
          </w:p>
        </w:tc>
        <w:tc>
          <w:tcPr>
            <w:tcW w:w="7630" w:type="dxa"/>
            <w:vAlign w:val="center"/>
          </w:tcPr>
          <w:p w14:paraId="12693079" w14:textId="0E5B8AC9" w:rsidR="00DC39FB" w:rsidRDefault="00DC39FB" w:rsidP="00EB2692">
            <w:pPr>
              <w:cnfStyle w:val="000000000000" w:firstRow="0" w:lastRow="0" w:firstColumn="0" w:lastColumn="0" w:oddVBand="0" w:evenVBand="0" w:oddHBand="0" w:evenHBand="0" w:firstRowFirstColumn="0" w:firstRowLastColumn="0" w:lastRowFirstColumn="0" w:lastRowLastColumn="0"/>
            </w:pPr>
            <w:proofErr w:type="spellStart"/>
            <w:r>
              <w:t>Additon</w:t>
            </w:r>
            <w:proofErr w:type="spellEnd"/>
            <w:r>
              <w:t xml:space="preserve"> of </w:t>
            </w:r>
            <w:r w:rsidR="00AB7291">
              <w:t xml:space="preserve">APR and </w:t>
            </w:r>
            <w:r>
              <w:t>new paediatric clinical data</w:t>
            </w:r>
          </w:p>
        </w:tc>
      </w:tr>
      <w:tr w:rsidR="00DC39FB" w:rsidRPr="00D4563C" w14:paraId="12D97715"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6056F625" w14:textId="29B3CFA0" w:rsidR="00DC39FB" w:rsidRDefault="00DC39FB" w:rsidP="00EB2692">
            <w:pPr>
              <w:rPr>
                <w:lang w:val="en-US"/>
              </w:rPr>
            </w:pPr>
            <w:r>
              <w:rPr>
                <w:lang w:val="en-US"/>
              </w:rPr>
              <w:t>5.2</w:t>
            </w:r>
          </w:p>
        </w:tc>
        <w:tc>
          <w:tcPr>
            <w:tcW w:w="7630" w:type="dxa"/>
            <w:vAlign w:val="center"/>
          </w:tcPr>
          <w:p w14:paraId="032DE5E7" w14:textId="4D239F42" w:rsidR="00DC39FB" w:rsidRDefault="00DC39FB" w:rsidP="00EB2692">
            <w:pPr>
              <w:cnfStyle w:val="000000000000" w:firstRow="0" w:lastRow="0" w:firstColumn="0" w:lastColumn="0" w:oddVBand="0" w:evenVBand="0" w:oddHBand="0" w:evenHBand="0" w:firstRowFirstColumn="0" w:firstRowLastColumn="0" w:lastRowFirstColumn="0" w:lastRowLastColumn="0"/>
            </w:pPr>
            <w:r>
              <w:t>New PK data on dispersible tablets and paediatric use</w:t>
            </w:r>
            <w:r w:rsidR="00AB7291">
              <w:t>. Addition of food effect.</w:t>
            </w:r>
          </w:p>
        </w:tc>
      </w:tr>
      <w:tr w:rsidR="00DC39FB" w:rsidRPr="00D4563C" w14:paraId="304DCA3F"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1C8795E7" w14:textId="7230EB17" w:rsidR="00DC39FB" w:rsidRDefault="00DC39FB" w:rsidP="00EB2692">
            <w:pPr>
              <w:rPr>
                <w:lang w:val="en-US"/>
              </w:rPr>
            </w:pPr>
            <w:r>
              <w:rPr>
                <w:lang w:val="en-US"/>
              </w:rPr>
              <w:t>6.1</w:t>
            </w:r>
          </w:p>
        </w:tc>
        <w:tc>
          <w:tcPr>
            <w:tcW w:w="7630" w:type="dxa"/>
            <w:vAlign w:val="center"/>
          </w:tcPr>
          <w:p w14:paraId="188E9098" w14:textId="66B05FDE" w:rsidR="00DC39FB" w:rsidRDefault="00DC39FB" w:rsidP="00EB2692">
            <w:pPr>
              <w:cnfStyle w:val="000000000000" w:firstRow="0" w:lastRow="0" w:firstColumn="0" w:lastColumn="0" w:oddVBand="0" w:evenVBand="0" w:oddHBand="0" w:evenHBand="0" w:firstRowFirstColumn="0" w:firstRowLastColumn="0" w:lastRowFirstColumn="0" w:lastRowLastColumn="0"/>
            </w:pPr>
            <w:r>
              <w:t>Added dispersible tablet excipients</w:t>
            </w:r>
          </w:p>
        </w:tc>
      </w:tr>
      <w:tr w:rsidR="00DC39FB" w:rsidRPr="00D4563C" w14:paraId="20F2555E"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6ED98CD0" w14:textId="59B7B383" w:rsidR="00DC39FB" w:rsidRDefault="00DC39FB" w:rsidP="00EB2692">
            <w:pPr>
              <w:rPr>
                <w:lang w:val="en-US"/>
              </w:rPr>
            </w:pPr>
            <w:r>
              <w:rPr>
                <w:lang w:val="en-US"/>
              </w:rPr>
              <w:t>6.4</w:t>
            </w:r>
          </w:p>
        </w:tc>
        <w:tc>
          <w:tcPr>
            <w:tcW w:w="7630" w:type="dxa"/>
            <w:vAlign w:val="center"/>
          </w:tcPr>
          <w:p w14:paraId="2AFC0256" w14:textId="175ABD97" w:rsidR="00DC39FB" w:rsidRDefault="00DC39FB" w:rsidP="00EB2692">
            <w:pPr>
              <w:cnfStyle w:val="000000000000" w:firstRow="0" w:lastRow="0" w:firstColumn="0" w:lastColumn="0" w:oddVBand="0" w:evenVBand="0" w:oddHBand="0" w:evenHBand="0" w:firstRowFirstColumn="0" w:firstRowLastColumn="0" w:lastRowFirstColumn="0" w:lastRowLastColumn="0"/>
            </w:pPr>
            <w:r>
              <w:t>Added dispersible tablet storage conditions</w:t>
            </w:r>
          </w:p>
        </w:tc>
      </w:tr>
      <w:tr w:rsidR="00DC39FB" w:rsidRPr="00D4563C" w14:paraId="4F13B144"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0D6F0137" w14:textId="776E80A1" w:rsidR="00DC39FB" w:rsidRDefault="00DC39FB" w:rsidP="00EB2692">
            <w:pPr>
              <w:rPr>
                <w:lang w:val="en-US"/>
              </w:rPr>
            </w:pPr>
            <w:r>
              <w:rPr>
                <w:lang w:val="en-US"/>
              </w:rPr>
              <w:t>6.5</w:t>
            </w:r>
          </w:p>
        </w:tc>
        <w:tc>
          <w:tcPr>
            <w:tcW w:w="7630" w:type="dxa"/>
            <w:vAlign w:val="center"/>
          </w:tcPr>
          <w:p w14:paraId="768E605C" w14:textId="0F27F997" w:rsidR="00DC39FB" w:rsidRDefault="00DC39FB" w:rsidP="00EB2692">
            <w:pPr>
              <w:cnfStyle w:val="000000000000" w:firstRow="0" w:lastRow="0" w:firstColumn="0" w:lastColumn="0" w:oddVBand="0" w:evenVBand="0" w:oddHBand="0" w:evenHBand="0" w:firstRowFirstColumn="0" w:firstRowLastColumn="0" w:lastRowFirstColumn="0" w:lastRowLastColumn="0"/>
            </w:pPr>
            <w:r>
              <w:t xml:space="preserve">Added </w:t>
            </w:r>
            <w:proofErr w:type="spellStart"/>
            <w:r>
              <w:t>discreption</w:t>
            </w:r>
            <w:proofErr w:type="spellEnd"/>
            <w:r>
              <w:t xml:space="preserve"> of dispersible tablet container</w:t>
            </w:r>
          </w:p>
        </w:tc>
      </w:tr>
      <w:tr w:rsidR="00EB2692" w:rsidRPr="00D4563C" w14:paraId="09306050" w14:textId="77777777" w:rsidTr="001D61E3">
        <w:tc>
          <w:tcPr>
            <w:cnfStyle w:val="001000000000" w:firstRow="0" w:lastRow="0" w:firstColumn="1" w:lastColumn="0" w:oddVBand="0" w:evenVBand="0" w:oddHBand="0" w:evenHBand="0" w:firstRowFirstColumn="0" w:firstRowLastColumn="0" w:lastRowFirstColumn="0" w:lastRowLastColumn="0"/>
            <w:tcW w:w="1376" w:type="dxa"/>
            <w:vAlign w:val="center"/>
          </w:tcPr>
          <w:p w14:paraId="4EB3786A" w14:textId="3269D0B8" w:rsidR="00EB2692" w:rsidDel="00EB2692" w:rsidRDefault="00EB2692" w:rsidP="00EB2692">
            <w:pPr>
              <w:rPr>
                <w:lang w:val="en-US"/>
              </w:rPr>
            </w:pPr>
            <w:r>
              <w:rPr>
                <w:lang w:val="en-US"/>
              </w:rPr>
              <w:t>-</w:t>
            </w:r>
          </w:p>
        </w:tc>
        <w:tc>
          <w:tcPr>
            <w:tcW w:w="7630" w:type="dxa"/>
            <w:vAlign w:val="center"/>
          </w:tcPr>
          <w:p w14:paraId="561F4895" w14:textId="2078F425" w:rsidR="00EB2692" w:rsidDel="00EB2692" w:rsidRDefault="00EB2692" w:rsidP="00EB2692">
            <w:pPr>
              <w:cnfStyle w:val="000000000000" w:firstRow="0" w:lastRow="0" w:firstColumn="0" w:lastColumn="0" w:oddVBand="0" w:evenVBand="0" w:oddHBand="0" w:evenHBand="0" w:firstRowFirstColumn="0" w:firstRowLastColumn="0" w:lastRowFirstColumn="0" w:lastRowLastColumn="0"/>
            </w:pPr>
            <w:r>
              <w:t>Minor editorial updates</w:t>
            </w:r>
          </w:p>
        </w:tc>
      </w:tr>
    </w:tbl>
    <w:p w14:paraId="2EE05A57" w14:textId="77777777" w:rsidR="00DC58C9" w:rsidRDefault="00DC58C9" w:rsidP="00DC58C9"/>
    <w:p w14:paraId="6CED2C54" w14:textId="77777777" w:rsidR="00A75F8F" w:rsidRPr="00D4563C" w:rsidRDefault="00A75F8F" w:rsidP="00A75F8F">
      <w:r w:rsidRPr="00D4563C">
        <w:t xml:space="preserve">Trademarks are owned by or licensed to the </w:t>
      </w:r>
      <w:proofErr w:type="spellStart"/>
      <w:r w:rsidRPr="00D4563C">
        <w:t>ViiV</w:t>
      </w:r>
      <w:proofErr w:type="spellEnd"/>
      <w:r w:rsidRPr="00D4563C">
        <w:t xml:space="preserve"> Healthcare group of companies.</w:t>
      </w:r>
    </w:p>
    <w:p w14:paraId="61CA81B5" w14:textId="5AF7205B" w:rsidR="00A75F8F" w:rsidRPr="00D4563C" w:rsidRDefault="00A75F8F" w:rsidP="00A75F8F">
      <w:r w:rsidRPr="00D4563C">
        <w:t>©</w:t>
      </w:r>
      <w:r w:rsidR="00176207">
        <w:t>20</w:t>
      </w:r>
      <w:r w:rsidR="00A03EE4">
        <w:t>2</w:t>
      </w:r>
      <w:r w:rsidR="00F82EF2">
        <w:t>1</w:t>
      </w:r>
      <w:r w:rsidR="00176207" w:rsidRPr="00D4563C">
        <w:t xml:space="preserve"> </w:t>
      </w:r>
      <w:proofErr w:type="spellStart"/>
      <w:r w:rsidRPr="00D4563C">
        <w:t>ViiV</w:t>
      </w:r>
      <w:proofErr w:type="spellEnd"/>
      <w:r w:rsidRPr="00D4563C">
        <w:t xml:space="preserve"> Healthcare group of companies or its licensor.</w:t>
      </w:r>
    </w:p>
    <w:p w14:paraId="30DEEBE0" w14:textId="22936192" w:rsidR="002B2C82" w:rsidRPr="00D4563C" w:rsidRDefault="00A75F8F" w:rsidP="00A75F8F">
      <w:r w:rsidRPr="00D4563C">
        <w:t xml:space="preserve">Version </w:t>
      </w:r>
      <w:r w:rsidR="0032553C">
        <w:t>1</w:t>
      </w:r>
      <w:r w:rsidR="00557EC3">
        <w:t>4</w:t>
      </w:r>
      <w:r w:rsidR="00176207">
        <w:t>.0</w:t>
      </w:r>
    </w:p>
    <w:sectPr w:rsidR="002B2C82" w:rsidRPr="00D4563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7A49" w14:textId="77777777" w:rsidR="00A13DA0" w:rsidRDefault="00A13DA0" w:rsidP="00D4563C">
      <w:r>
        <w:separator/>
      </w:r>
    </w:p>
  </w:endnote>
  <w:endnote w:type="continuationSeparator" w:id="0">
    <w:p w14:paraId="5BC19780" w14:textId="77777777" w:rsidR="00A13DA0" w:rsidRDefault="00A13DA0" w:rsidP="00D4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noProof/>
      </w:rPr>
    </w:sdtEndPr>
    <w:sdtContent>
      <w:p w14:paraId="05A7779D" w14:textId="3EA2D2D1" w:rsidR="00A13DA0" w:rsidRDefault="00A13DA0" w:rsidP="00E31713">
        <w:pPr>
          <w:pStyle w:val="Footer"/>
          <w:jc w:val="center"/>
        </w:pPr>
        <w:r>
          <w:fldChar w:fldCharType="begin"/>
        </w:r>
        <w:r>
          <w:instrText xml:space="preserve"> PAGE   \* MERGEFORMAT </w:instrText>
        </w:r>
        <w:r>
          <w:fldChar w:fldCharType="separate"/>
        </w:r>
        <w:r>
          <w:rPr>
            <w:noProof/>
          </w:rPr>
          <w:t>33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5405D" w14:textId="77777777" w:rsidR="00A13DA0" w:rsidRDefault="00A13DA0" w:rsidP="00D4563C">
      <w:r>
        <w:separator/>
      </w:r>
    </w:p>
  </w:footnote>
  <w:footnote w:type="continuationSeparator" w:id="0">
    <w:p w14:paraId="762184C8" w14:textId="77777777" w:rsidR="00A13DA0" w:rsidRDefault="00A13DA0" w:rsidP="00D45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A13DA0" w:rsidRPr="000B2145" w14:paraId="2497357E" w14:textId="77777777" w:rsidTr="00A13DA0">
      <w:trPr>
        <w:trHeight w:val="1012"/>
      </w:trPr>
      <w:tc>
        <w:tcPr>
          <w:tcW w:w="9039" w:type="dxa"/>
          <w:shd w:val="clear" w:color="auto" w:fill="E4F2E0"/>
        </w:tcPr>
        <w:p w14:paraId="5742467E" w14:textId="77777777" w:rsidR="00A13DA0" w:rsidRPr="000E4791" w:rsidRDefault="00A13DA0" w:rsidP="00A13DA0">
          <w:pPr>
            <w:pStyle w:val="Footer"/>
            <w:rPr>
              <w:b/>
              <w:sz w:val="18"/>
              <w:szCs w:val="18"/>
            </w:rPr>
          </w:pPr>
          <w:r w:rsidRPr="00EE2A41">
            <w:rPr>
              <w:b/>
              <w:sz w:val="18"/>
              <w:szCs w:val="18"/>
            </w:rPr>
            <w:t xml:space="preserve">Attachment </w:t>
          </w:r>
          <w:proofErr w:type="spellStart"/>
          <w:r w:rsidRPr="00835721">
            <w:rPr>
              <w:b/>
              <w:sz w:val="18"/>
              <w:szCs w:val="18"/>
            </w:rPr>
            <w:t>AusPAR</w:t>
          </w:r>
          <w:proofErr w:type="spellEnd"/>
          <w:r w:rsidRPr="00835721">
            <w:rPr>
              <w:b/>
              <w:sz w:val="18"/>
              <w:szCs w:val="18"/>
            </w:rPr>
            <w:t xml:space="preserve"> -</w:t>
          </w:r>
          <w:proofErr w:type="spellStart"/>
          <w:r w:rsidRPr="00835721">
            <w:rPr>
              <w:b/>
              <w:sz w:val="18"/>
              <w:szCs w:val="18"/>
            </w:rPr>
            <w:t>Tivicay</w:t>
          </w:r>
          <w:proofErr w:type="spellEnd"/>
          <w:r w:rsidRPr="00835721">
            <w:rPr>
              <w:b/>
              <w:sz w:val="18"/>
              <w:szCs w:val="18"/>
            </w:rPr>
            <w:t xml:space="preserve">– dolutegravir – </w:t>
          </w:r>
          <w:proofErr w:type="spellStart"/>
          <w:r w:rsidRPr="00835721">
            <w:rPr>
              <w:b/>
              <w:sz w:val="18"/>
              <w:szCs w:val="18"/>
            </w:rPr>
            <w:t>ViiV</w:t>
          </w:r>
          <w:proofErr w:type="spellEnd"/>
          <w:r w:rsidRPr="00835721">
            <w:rPr>
              <w:b/>
              <w:sz w:val="18"/>
              <w:szCs w:val="18"/>
            </w:rPr>
            <w:t xml:space="preserve"> Healthcare Pty Ltd </w:t>
          </w:r>
          <w:bookmarkStart w:id="22" w:name="_Hlk110253230"/>
          <w:r w:rsidRPr="00835721">
            <w:rPr>
              <w:b/>
              <w:sz w:val="18"/>
              <w:szCs w:val="18"/>
            </w:rPr>
            <w:t>PM-2020-03495-1-2</w:t>
          </w:r>
          <w:r>
            <w:rPr>
              <w:b/>
              <w:sz w:val="18"/>
              <w:szCs w:val="18"/>
            </w:rPr>
            <w:t xml:space="preserve"> </w:t>
          </w:r>
          <w:bookmarkEnd w:id="22"/>
          <w:r w:rsidRPr="00835721">
            <w:rPr>
              <w:b/>
              <w:sz w:val="18"/>
              <w:szCs w:val="18"/>
            </w:rPr>
            <w:t>FINAL. 5 July 2022</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64615078" w14:textId="77777777" w:rsidR="00A13DA0" w:rsidRDefault="00A13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71A5A0E"/>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292277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C686C0D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0000004"/>
    <w:multiLevelType w:val="multilevel"/>
    <w:tmpl w:val="5CE89E8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5"/>
    <w:multiLevelType w:val="multilevel"/>
    <w:tmpl w:val="910AC7A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0000006"/>
    <w:multiLevelType w:val="multilevel"/>
    <w:tmpl w:val="493E62E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0000007"/>
    <w:multiLevelType w:val="multilevel"/>
    <w:tmpl w:val="18FA8AF8"/>
    <w:lvl w:ilvl="0">
      <w:start w:val="1"/>
      <w:numFmt w:val="decimal"/>
      <w:lvlText w:val="Note %1:"/>
      <w:lvlJc w:val="left"/>
      <w:pPr>
        <w:ind w:left="1021" w:hanging="1021"/>
      </w:pPr>
      <w:rPr>
        <w:rFonts w:ascii="Cambria" w:eastAsia="Cambria" w:hAnsi="Cambria" w:cs="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000008"/>
    <w:multiLevelType w:val="multilevel"/>
    <w:tmpl w:val="D1EE2B4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0000009"/>
    <w:multiLevelType w:val="multilevel"/>
    <w:tmpl w:val="01DA8A90"/>
    <w:lvl w:ilvl="0">
      <w:start w:val="1"/>
      <w:numFmt w:val="decimal"/>
      <w:pStyle w:val="Heading1"/>
      <w:lvlText w:val="%1"/>
      <w:lvlJc w:val="left"/>
      <w:pPr>
        <w:ind w:left="432" w:hanging="432"/>
      </w:pPr>
    </w:lvl>
    <w:lvl w:ilvl="1">
      <w:start w:val="1"/>
      <w:numFmt w:val="decimal"/>
      <w:pStyle w:val="Heading2"/>
      <w:lvlText w:val="%1.%2"/>
      <w:lvlJc w:val="left"/>
      <w:pPr>
        <w:ind w:left="129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000000A"/>
    <w:multiLevelType w:val="multilevel"/>
    <w:tmpl w:val="B71E874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000000B"/>
    <w:multiLevelType w:val="multilevel"/>
    <w:tmpl w:val="94CE0F3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C"/>
    <w:multiLevelType w:val="multilevel"/>
    <w:tmpl w:val="E4D4463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13"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4" w15:restartNumberingAfterBreak="0">
    <w:nsid w:val="52DD39CC"/>
    <w:multiLevelType w:val="hybridMultilevel"/>
    <w:tmpl w:val="F47E34E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2"/>
  </w:num>
  <w:num w:numId="15">
    <w:abstractNumId w:val="12"/>
    <w:lvlOverride w:ilvl="0">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5A6"/>
    <w:rsid w:val="00000D76"/>
    <w:rsid w:val="00002B19"/>
    <w:rsid w:val="00016687"/>
    <w:rsid w:val="00030A6A"/>
    <w:rsid w:val="000329AF"/>
    <w:rsid w:val="00037D95"/>
    <w:rsid w:val="00042DAE"/>
    <w:rsid w:val="00047545"/>
    <w:rsid w:val="00056B84"/>
    <w:rsid w:val="00057305"/>
    <w:rsid w:val="00071129"/>
    <w:rsid w:val="00074BE8"/>
    <w:rsid w:val="00085D42"/>
    <w:rsid w:val="00086362"/>
    <w:rsid w:val="0009177D"/>
    <w:rsid w:val="000B6DC0"/>
    <w:rsid w:val="000C67E1"/>
    <w:rsid w:val="000D1670"/>
    <w:rsid w:val="000D4EE0"/>
    <w:rsid w:val="000D7793"/>
    <w:rsid w:val="000E4189"/>
    <w:rsid w:val="000F0204"/>
    <w:rsid w:val="001268F5"/>
    <w:rsid w:val="00130C1C"/>
    <w:rsid w:val="001341D5"/>
    <w:rsid w:val="0013528C"/>
    <w:rsid w:val="00143737"/>
    <w:rsid w:val="00147416"/>
    <w:rsid w:val="00147B37"/>
    <w:rsid w:val="00160371"/>
    <w:rsid w:val="001611A5"/>
    <w:rsid w:val="00175816"/>
    <w:rsid w:val="00175B64"/>
    <w:rsid w:val="00176207"/>
    <w:rsid w:val="0017774A"/>
    <w:rsid w:val="0019031A"/>
    <w:rsid w:val="00193A46"/>
    <w:rsid w:val="001977C8"/>
    <w:rsid w:val="001A221F"/>
    <w:rsid w:val="001C6CE9"/>
    <w:rsid w:val="001D61E3"/>
    <w:rsid w:val="001E3B7B"/>
    <w:rsid w:val="002047EC"/>
    <w:rsid w:val="002119FF"/>
    <w:rsid w:val="00211D75"/>
    <w:rsid w:val="002156F5"/>
    <w:rsid w:val="00227FD5"/>
    <w:rsid w:val="0023081E"/>
    <w:rsid w:val="00235214"/>
    <w:rsid w:val="0023557D"/>
    <w:rsid w:val="00251886"/>
    <w:rsid w:val="00253FE8"/>
    <w:rsid w:val="00255FFE"/>
    <w:rsid w:val="0025758B"/>
    <w:rsid w:val="00264B28"/>
    <w:rsid w:val="002722E3"/>
    <w:rsid w:val="002738A9"/>
    <w:rsid w:val="002817FF"/>
    <w:rsid w:val="002A489C"/>
    <w:rsid w:val="002A49AC"/>
    <w:rsid w:val="002B2C82"/>
    <w:rsid w:val="002B680D"/>
    <w:rsid w:val="002C1529"/>
    <w:rsid w:val="002C32C8"/>
    <w:rsid w:val="002C7293"/>
    <w:rsid w:val="002E032B"/>
    <w:rsid w:val="002F1371"/>
    <w:rsid w:val="00322C58"/>
    <w:rsid w:val="003240C0"/>
    <w:rsid w:val="0032553C"/>
    <w:rsid w:val="00340AF6"/>
    <w:rsid w:val="00342B10"/>
    <w:rsid w:val="00342FAB"/>
    <w:rsid w:val="00343CF4"/>
    <w:rsid w:val="0034449A"/>
    <w:rsid w:val="003506A9"/>
    <w:rsid w:val="00357D41"/>
    <w:rsid w:val="00360996"/>
    <w:rsid w:val="00366A5D"/>
    <w:rsid w:val="00366AFF"/>
    <w:rsid w:val="00381A51"/>
    <w:rsid w:val="003B784F"/>
    <w:rsid w:val="003C194C"/>
    <w:rsid w:val="003C7A0E"/>
    <w:rsid w:val="003F6C8D"/>
    <w:rsid w:val="003F743E"/>
    <w:rsid w:val="00401811"/>
    <w:rsid w:val="00401B89"/>
    <w:rsid w:val="004029C1"/>
    <w:rsid w:val="0040766C"/>
    <w:rsid w:val="00413921"/>
    <w:rsid w:val="00417CFD"/>
    <w:rsid w:val="00420598"/>
    <w:rsid w:val="00424AA6"/>
    <w:rsid w:val="0042618C"/>
    <w:rsid w:val="00433850"/>
    <w:rsid w:val="00435EF6"/>
    <w:rsid w:val="00450C04"/>
    <w:rsid w:val="00451045"/>
    <w:rsid w:val="00457406"/>
    <w:rsid w:val="00474984"/>
    <w:rsid w:val="004A0209"/>
    <w:rsid w:val="004A287F"/>
    <w:rsid w:val="004B1FA2"/>
    <w:rsid w:val="004C6569"/>
    <w:rsid w:val="004D0B43"/>
    <w:rsid w:val="004D26D6"/>
    <w:rsid w:val="004E2D77"/>
    <w:rsid w:val="004E368B"/>
    <w:rsid w:val="004F358A"/>
    <w:rsid w:val="004F4B47"/>
    <w:rsid w:val="005071DB"/>
    <w:rsid w:val="00513E18"/>
    <w:rsid w:val="00514196"/>
    <w:rsid w:val="00514DA5"/>
    <w:rsid w:val="005163D0"/>
    <w:rsid w:val="005217D8"/>
    <w:rsid w:val="00523625"/>
    <w:rsid w:val="00524A70"/>
    <w:rsid w:val="00524C3C"/>
    <w:rsid w:val="00530C29"/>
    <w:rsid w:val="00540AD7"/>
    <w:rsid w:val="00542073"/>
    <w:rsid w:val="0054351E"/>
    <w:rsid w:val="00543AE1"/>
    <w:rsid w:val="00545407"/>
    <w:rsid w:val="0054756E"/>
    <w:rsid w:val="00550A02"/>
    <w:rsid w:val="00557EC3"/>
    <w:rsid w:val="00561773"/>
    <w:rsid w:val="00562555"/>
    <w:rsid w:val="00567F24"/>
    <w:rsid w:val="00572A65"/>
    <w:rsid w:val="005755A2"/>
    <w:rsid w:val="0057703B"/>
    <w:rsid w:val="00577D74"/>
    <w:rsid w:val="00577E5F"/>
    <w:rsid w:val="00577F29"/>
    <w:rsid w:val="00586D2E"/>
    <w:rsid w:val="00592754"/>
    <w:rsid w:val="005938ED"/>
    <w:rsid w:val="005947F4"/>
    <w:rsid w:val="0059725F"/>
    <w:rsid w:val="005A68C7"/>
    <w:rsid w:val="005A744F"/>
    <w:rsid w:val="005B1538"/>
    <w:rsid w:val="005C4923"/>
    <w:rsid w:val="005C5B60"/>
    <w:rsid w:val="005D1125"/>
    <w:rsid w:val="005D695A"/>
    <w:rsid w:val="005D7F85"/>
    <w:rsid w:val="005E093E"/>
    <w:rsid w:val="005E2005"/>
    <w:rsid w:val="005F284C"/>
    <w:rsid w:val="006057EF"/>
    <w:rsid w:val="00607509"/>
    <w:rsid w:val="00621A01"/>
    <w:rsid w:val="00625167"/>
    <w:rsid w:val="006255BF"/>
    <w:rsid w:val="00626ADC"/>
    <w:rsid w:val="006356F2"/>
    <w:rsid w:val="006478F5"/>
    <w:rsid w:val="006636CF"/>
    <w:rsid w:val="006636DF"/>
    <w:rsid w:val="00664A0C"/>
    <w:rsid w:val="0066640B"/>
    <w:rsid w:val="00676D4B"/>
    <w:rsid w:val="00683499"/>
    <w:rsid w:val="00683CCC"/>
    <w:rsid w:val="006A411E"/>
    <w:rsid w:val="006C72B0"/>
    <w:rsid w:val="006E78C2"/>
    <w:rsid w:val="006F4EDD"/>
    <w:rsid w:val="006F5B92"/>
    <w:rsid w:val="006F6344"/>
    <w:rsid w:val="00701326"/>
    <w:rsid w:val="007060EB"/>
    <w:rsid w:val="00727B4D"/>
    <w:rsid w:val="007456AB"/>
    <w:rsid w:val="00770CF9"/>
    <w:rsid w:val="0077270D"/>
    <w:rsid w:val="00772F6F"/>
    <w:rsid w:val="00777570"/>
    <w:rsid w:val="00797521"/>
    <w:rsid w:val="007A171A"/>
    <w:rsid w:val="007A31CD"/>
    <w:rsid w:val="007B622B"/>
    <w:rsid w:val="007C09DE"/>
    <w:rsid w:val="007C6789"/>
    <w:rsid w:val="007E18CE"/>
    <w:rsid w:val="007E2A9C"/>
    <w:rsid w:val="007E3797"/>
    <w:rsid w:val="007E391B"/>
    <w:rsid w:val="007E74AC"/>
    <w:rsid w:val="007F4039"/>
    <w:rsid w:val="00810370"/>
    <w:rsid w:val="00810F59"/>
    <w:rsid w:val="008128E0"/>
    <w:rsid w:val="00812974"/>
    <w:rsid w:val="00825890"/>
    <w:rsid w:val="00832D5F"/>
    <w:rsid w:val="00854FC2"/>
    <w:rsid w:val="008634A8"/>
    <w:rsid w:val="00864661"/>
    <w:rsid w:val="008660D9"/>
    <w:rsid w:val="00867689"/>
    <w:rsid w:val="0086786B"/>
    <w:rsid w:val="008750B7"/>
    <w:rsid w:val="00891F89"/>
    <w:rsid w:val="008931D1"/>
    <w:rsid w:val="008A1052"/>
    <w:rsid w:val="008A15CF"/>
    <w:rsid w:val="008A7F50"/>
    <w:rsid w:val="008B4449"/>
    <w:rsid w:val="008B6160"/>
    <w:rsid w:val="008D24ED"/>
    <w:rsid w:val="008F1F07"/>
    <w:rsid w:val="008F7990"/>
    <w:rsid w:val="00900A0D"/>
    <w:rsid w:val="00910B53"/>
    <w:rsid w:val="0095669A"/>
    <w:rsid w:val="00956DBD"/>
    <w:rsid w:val="00960E86"/>
    <w:rsid w:val="00972F68"/>
    <w:rsid w:val="00975915"/>
    <w:rsid w:val="009853D3"/>
    <w:rsid w:val="009862D1"/>
    <w:rsid w:val="009A0208"/>
    <w:rsid w:val="009A0455"/>
    <w:rsid w:val="009A06E9"/>
    <w:rsid w:val="009A2D47"/>
    <w:rsid w:val="009B026D"/>
    <w:rsid w:val="009B0AEA"/>
    <w:rsid w:val="009B4D19"/>
    <w:rsid w:val="009B6F5D"/>
    <w:rsid w:val="009C340F"/>
    <w:rsid w:val="009E5E74"/>
    <w:rsid w:val="009F38E4"/>
    <w:rsid w:val="00A01346"/>
    <w:rsid w:val="00A0362F"/>
    <w:rsid w:val="00A03EE4"/>
    <w:rsid w:val="00A05B49"/>
    <w:rsid w:val="00A13DA0"/>
    <w:rsid w:val="00A22248"/>
    <w:rsid w:val="00A24A45"/>
    <w:rsid w:val="00A261C0"/>
    <w:rsid w:val="00A27F80"/>
    <w:rsid w:val="00A31CFE"/>
    <w:rsid w:val="00A33481"/>
    <w:rsid w:val="00A42AD6"/>
    <w:rsid w:val="00A45F77"/>
    <w:rsid w:val="00A464B1"/>
    <w:rsid w:val="00A52825"/>
    <w:rsid w:val="00A548AC"/>
    <w:rsid w:val="00A55C61"/>
    <w:rsid w:val="00A55DF6"/>
    <w:rsid w:val="00A57F03"/>
    <w:rsid w:val="00A75F8F"/>
    <w:rsid w:val="00A80186"/>
    <w:rsid w:val="00A85F3B"/>
    <w:rsid w:val="00A86818"/>
    <w:rsid w:val="00A87ACF"/>
    <w:rsid w:val="00A93379"/>
    <w:rsid w:val="00AA42B1"/>
    <w:rsid w:val="00AB5660"/>
    <w:rsid w:val="00AB7291"/>
    <w:rsid w:val="00AD09BF"/>
    <w:rsid w:val="00AD34A9"/>
    <w:rsid w:val="00AE240A"/>
    <w:rsid w:val="00AE2AA3"/>
    <w:rsid w:val="00AE4E38"/>
    <w:rsid w:val="00B05C50"/>
    <w:rsid w:val="00B05CA4"/>
    <w:rsid w:val="00B16473"/>
    <w:rsid w:val="00B172C4"/>
    <w:rsid w:val="00B21750"/>
    <w:rsid w:val="00B67E19"/>
    <w:rsid w:val="00B80148"/>
    <w:rsid w:val="00B803AC"/>
    <w:rsid w:val="00B858F4"/>
    <w:rsid w:val="00B87714"/>
    <w:rsid w:val="00BA1DB2"/>
    <w:rsid w:val="00BB6F5E"/>
    <w:rsid w:val="00BC0211"/>
    <w:rsid w:val="00BC4877"/>
    <w:rsid w:val="00BD0E07"/>
    <w:rsid w:val="00BF661E"/>
    <w:rsid w:val="00BF7578"/>
    <w:rsid w:val="00C0345C"/>
    <w:rsid w:val="00C060EF"/>
    <w:rsid w:val="00C244D1"/>
    <w:rsid w:val="00C265B2"/>
    <w:rsid w:val="00C310C5"/>
    <w:rsid w:val="00C3253D"/>
    <w:rsid w:val="00C3400E"/>
    <w:rsid w:val="00C34132"/>
    <w:rsid w:val="00C526B9"/>
    <w:rsid w:val="00C56AE0"/>
    <w:rsid w:val="00C57CEB"/>
    <w:rsid w:val="00C7064A"/>
    <w:rsid w:val="00C711FE"/>
    <w:rsid w:val="00C7189C"/>
    <w:rsid w:val="00C71F71"/>
    <w:rsid w:val="00C76CCC"/>
    <w:rsid w:val="00C974E8"/>
    <w:rsid w:val="00CB7EAA"/>
    <w:rsid w:val="00CC1CE9"/>
    <w:rsid w:val="00CC754E"/>
    <w:rsid w:val="00CE5EB9"/>
    <w:rsid w:val="00CE7A00"/>
    <w:rsid w:val="00CE7FBF"/>
    <w:rsid w:val="00CF6A22"/>
    <w:rsid w:val="00D00544"/>
    <w:rsid w:val="00D04C3D"/>
    <w:rsid w:val="00D06EDF"/>
    <w:rsid w:val="00D1076D"/>
    <w:rsid w:val="00D11B0D"/>
    <w:rsid w:val="00D12037"/>
    <w:rsid w:val="00D16773"/>
    <w:rsid w:val="00D20C0E"/>
    <w:rsid w:val="00D27CE5"/>
    <w:rsid w:val="00D33756"/>
    <w:rsid w:val="00D4563C"/>
    <w:rsid w:val="00D46087"/>
    <w:rsid w:val="00D541FE"/>
    <w:rsid w:val="00D62C5D"/>
    <w:rsid w:val="00D64D1D"/>
    <w:rsid w:val="00D679A8"/>
    <w:rsid w:val="00D773BD"/>
    <w:rsid w:val="00D77E74"/>
    <w:rsid w:val="00D84501"/>
    <w:rsid w:val="00D9560D"/>
    <w:rsid w:val="00D97D94"/>
    <w:rsid w:val="00DA6660"/>
    <w:rsid w:val="00DB2FEB"/>
    <w:rsid w:val="00DB7A97"/>
    <w:rsid w:val="00DC14A3"/>
    <w:rsid w:val="00DC28BF"/>
    <w:rsid w:val="00DC39FB"/>
    <w:rsid w:val="00DC58C9"/>
    <w:rsid w:val="00DD3ACA"/>
    <w:rsid w:val="00DE0669"/>
    <w:rsid w:val="00DF3ECC"/>
    <w:rsid w:val="00DF7129"/>
    <w:rsid w:val="00E06146"/>
    <w:rsid w:val="00E15698"/>
    <w:rsid w:val="00E16E28"/>
    <w:rsid w:val="00E25C6B"/>
    <w:rsid w:val="00E27EAD"/>
    <w:rsid w:val="00E31713"/>
    <w:rsid w:val="00E34277"/>
    <w:rsid w:val="00E43C2A"/>
    <w:rsid w:val="00E60C80"/>
    <w:rsid w:val="00E65116"/>
    <w:rsid w:val="00E652B9"/>
    <w:rsid w:val="00E66A68"/>
    <w:rsid w:val="00E705A0"/>
    <w:rsid w:val="00E934D2"/>
    <w:rsid w:val="00EA1AC0"/>
    <w:rsid w:val="00EA2411"/>
    <w:rsid w:val="00EB01CD"/>
    <w:rsid w:val="00EB2692"/>
    <w:rsid w:val="00EB75AD"/>
    <w:rsid w:val="00EB7B3D"/>
    <w:rsid w:val="00EC2A52"/>
    <w:rsid w:val="00EC34C3"/>
    <w:rsid w:val="00ED3459"/>
    <w:rsid w:val="00ED388D"/>
    <w:rsid w:val="00ED65A6"/>
    <w:rsid w:val="00ED746E"/>
    <w:rsid w:val="00EE2C8B"/>
    <w:rsid w:val="00EF2CD3"/>
    <w:rsid w:val="00EF7F9F"/>
    <w:rsid w:val="00F10703"/>
    <w:rsid w:val="00F1220B"/>
    <w:rsid w:val="00F152EF"/>
    <w:rsid w:val="00F156FC"/>
    <w:rsid w:val="00F16B23"/>
    <w:rsid w:val="00F45AA7"/>
    <w:rsid w:val="00F518DD"/>
    <w:rsid w:val="00F54D2D"/>
    <w:rsid w:val="00F560AA"/>
    <w:rsid w:val="00F752CA"/>
    <w:rsid w:val="00F764C4"/>
    <w:rsid w:val="00F82075"/>
    <w:rsid w:val="00F8227F"/>
    <w:rsid w:val="00F82573"/>
    <w:rsid w:val="00F82EF2"/>
    <w:rsid w:val="00F941FB"/>
    <w:rsid w:val="00F95676"/>
    <w:rsid w:val="00F9575F"/>
    <w:rsid w:val="00FC132E"/>
    <w:rsid w:val="00FD77CB"/>
    <w:rsid w:val="00FE564C"/>
    <w:rsid w:val="00FE7127"/>
    <w:rsid w:val="00FF0934"/>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DFFC"/>
  <w15:docId w15:val="{607DAC4D-9729-4210-BA79-37374B68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C"/>
    <w:rPr>
      <w:rFonts w:ascii="Arial" w:eastAsia="Cambria" w:hAnsi="Arial" w:cs="Arial"/>
    </w:rPr>
  </w:style>
  <w:style w:type="paragraph" w:styleId="Heading1">
    <w:name w:val="heading 1"/>
    <w:basedOn w:val="Normal"/>
    <w:link w:val="Heading1Char"/>
    <w:qFormat/>
    <w:rsid w:val="00D4563C"/>
    <w:pPr>
      <w:keepNext/>
      <w:keepLines/>
      <w:numPr>
        <w:numId w:val="9"/>
      </w:numPr>
      <w:spacing w:after="120"/>
      <w:ind w:left="0" w:firstLine="0"/>
      <w:outlineLvl w:val="0"/>
    </w:pPr>
    <w:rPr>
      <w:b/>
      <w:bCs/>
      <w:caps/>
      <w:sz w:val="28"/>
      <w:szCs w:val="28"/>
    </w:rPr>
  </w:style>
  <w:style w:type="paragraph" w:styleId="Heading2">
    <w:name w:val="heading 2"/>
    <w:basedOn w:val="Normal"/>
    <w:link w:val="Heading2Char"/>
    <w:unhideWhenUsed/>
    <w:qFormat/>
    <w:rsid w:val="00D4563C"/>
    <w:pPr>
      <w:numPr>
        <w:ilvl w:val="1"/>
        <w:numId w:val="9"/>
      </w:numPr>
      <w:spacing w:before="240" w:after="120"/>
      <w:ind w:left="0" w:firstLine="0"/>
      <w:outlineLvl w:val="1"/>
    </w:pPr>
    <w:rPr>
      <w:b/>
      <w:caps/>
      <w:sz w:val="24"/>
    </w:rPr>
  </w:style>
  <w:style w:type="paragraph" w:styleId="Heading3">
    <w:name w:val="heading 3"/>
    <w:basedOn w:val="Normal"/>
    <w:link w:val="Heading3Char"/>
    <w:unhideWhenUsed/>
    <w:qFormat/>
    <w:rsid w:val="00727B4D"/>
    <w:pPr>
      <w:keepNext/>
      <w:keepLines/>
      <w:spacing w:before="200" w:after="0"/>
      <w:outlineLvl w:val="2"/>
    </w:pPr>
    <w:rPr>
      <w:b/>
      <w:bCs/>
    </w:rPr>
  </w:style>
  <w:style w:type="paragraph" w:styleId="Heading4">
    <w:name w:val="heading 4"/>
    <w:basedOn w:val="Normal"/>
    <w:link w:val="Heading4Char"/>
    <w:semiHidden/>
    <w:unhideWhenUsed/>
    <w:qFormat/>
    <w:pPr>
      <w:keepNext/>
      <w:keepLines/>
      <w:numPr>
        <w:ilvl w:val="3"/>
        <w:numId w:val="9"/>
      </w:numPr>
      <w:spacing w:before="200" w:after="0"/>
      <w:outlineLvl w:val="3"/>
    </w:pPr>
    <w:rPr>
      <w:b/>
      <w:bCs/>
      <w:i/>
      <w:iCs/>
      <w:color w:val="4F81BD"/>
    </w:rPr>
  </w:style>
  <w:style w:type="paragraph" w:styleId="Heading5">
    <w:name w:val="heading 5"/>
    <w:basedOn w:val="Normal"/>
    <w:link w:val="Heading5Char"/>
    <w:semiHidden/>
    <w:unhideWhenUsed/>
    <w:qFormat/>
    <w:pPr>
      <w:keepNext/>
      <w:keepLines/>
      <w:numPr>
        <w:ilvl w:val="4"/>
        <w:numId w:val="9"/>
      </w:numPr>
      <w:spacing w:before="200" w:after="0"/>
      <w:outlineLvl w:val="4"/>
    </w:pPr>
    <w:rPr>
      <w:color w:val="243F60"/>
    </w:rPr>
  </w:style>
  <w:style w:type="paragraph" w:styleId="Heading6">
    <w:name w:val="heading 6"/>
    <w:basedOn w:val="Normal"/>
    <w:link w:val="Heading6Char"/>
    <w:semiHidden/>
    <w:unhideWhenUsed/>
    <w:qFormat/>
    <w:pPr>
      <w:keepNext/>
      <w:keepLines/>
      <w:numPr>
        <w:ilvl w:val="5"/>
        <w:numId w:val="9"/>
      </w:numPr>
      <w:spacing w:before="200" w:after="0"/>
      <w:outlineLvl w:val="5"/>
    </w:pPr>
    <w:rPr>
      <w:i/>
      <w:iCs/>
      <w:color w:val="243F60"/>
    </w:rPr>
  </w:style>
  <w:style w:type="paragraph" w:styleId="Heading7">
    <w:name w:val="heading 7"/>
    <w:basedOn w:val="Normal"/>
    <w:link w:val="Heading7Char"/>
    <w:semiHidden/>
    <w:unhideWhenUsed/>
    <w:qFormat/>
    <w:pPr>
      <w:keepNext/>
      <w:keepLines/>
      <w:numPr>
        <w:ilvl w:val="6"/>
        <w:numId w:val="9"/>
      </w:numPr>
      <w:spacing w:before="200" w:after="0"/>
      <w:outlineLvl w:val="6"/>
    </w:pPr>
    <w:rPr>
      <w:i/>
      <w:iCs/>
      <w:color w:val="404040"/>
    </w:rPr>
  </w:style>
  <w:style w:type="paragraph" w:styleId="Heading8">
    <w:name w:val="heading 8"/>
    <w:basedOn w:val="Normal"/>
    <w:link w:val="Heading8Char"/>
    <w:semiHidden/>
    <w:unhideWhenUsed/>
    <w:qFormat/>
    <w:pPr>
      <w:keepNext/>
      <w:keepLines/>
      <w:numPr>
        <w:ilvl w:val="7"/>
        <w:numId w:val="9"/>
      </w:numPr>
      <w:spacing w:before="200" w:after="0"/>
      <w:outlineLvl w:val="7"/>
    </w:pPr>
    <w:rPr>
      <w:color w:val="404040"/>
      <w:sz w:val="20"/>
      <w:szCs w:val="20"/>
    </w:rPr>
  </w:style>
  <w:style w:type="paragraph" w:styleId="Heading9">
    <w:name w:val="heading 9"/>
    <w:basedOn w:val="Normal"/>
    <w:link w:val="Heading9Char"/>
    <w:semiHidden/>
    <w:unhideWhenUsed/>
    <w:qFormat/>
    <w:pPr>
      <w:keepNext/>
      <w:keepLines/>
      <w:numPr>
        <w:ilvl w:val="8"/>
        <w:numId w:val="9"/>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character" w:customStyle="1" w:styleId="Heading1Char">
    <w:name w:val="Heading 1 Char"/>
    <w:basedOn w:val="DefaultParagraphFont"/>
    <w:link w:val="Heading1"/>
    <w:rsid w:val="00D4563C"/>
    <w:rPr>
      <w:rFonts w:ascii="Arial" w:eastAsia="Cambria" w:hAnsi="Arial" w:cs="Arial"/>
      <w:b/>
      <w:bCs/>
      <w:caps/>
      <w:sz w:val="28"/>
      <w:szCs w:val="28"/>
    </w:rPr>
  </w:style>
  <w:style w:type="character" w:customStyle="1" w:styleId="Heading2Char">
    <w:name w:val="Heading 2 Char"/>
    <w:basedOn w:val="DefaultParagraphFont"/>
    <w:link w:val="Heading2"/>
    <w:rsid w:val="00D4563C"/>
    <w:rPr>
      <w:rFonts w:ascii="Arial" w:eastAsia="Cambria" w:hAnsi="Arial" w:cs="Arial"/>
      <w:b/>
      <w:caps/>
      <w:sz w:val="24"/>
    </w:rPr>
  </w:style>
  <w:style w:type="character" w:customStyle="1" w:styleId="Heading3Char">
    <w:name w:val="Heading 3 Char"/>
    <w:basedOn w:val="DefaultParagraphFont"/>
    <w:link w:val="Heading3"/>
    <w:rsid w:val="00727B4D"/>
    <w:rPr>
      <w:rFonts w:ascii="Arial" w:eastAsia="Cambria" w:hAnsi="Arial" w:cs="Arial"/>
      <w:b/>
      <w:bCs/>
    </w:rPr>
  </w:style>
  <w:style w:type="character" w:customStyle="1" w:styleId="Heading4Char">
    <w:name w:val="Heading 4 Char"/>
    <w:basedOn w:val="DefaultParagraphFont"/>
    <w:link w:val="Heading4"/>
    <w:semiHidden/>
    <w:rPr>
      <w:rFonts w:ascii="Cambria" w:eastAsia="Cambria" w:hAnsi="Cambria" w:cs="Cambria"/>
      <w:b/>
      <w:bCs/>
      <w:i/>
      <w:iCs/>
      <w:color w:val="4F81BD"/>
    </w:rPr>
  </w:style>
  <w:style w:type="character" w:customStyle="1" w:styleId="Heading5Char">
    <w:name w:val="Heading 5 Char"/>
    <w:basedOn w:val="DefaultParagraphFont"/>
    <w:link w:val="Heading5"/>
    <w:semiHidden/>
    <w:rPr>
      <w:rFonts w:ascii="Cambria" w:eastAsia="Cambria" w:hAnsi="Cambria" w:cs="Cambria"/>
      <w:color w:val="243F60"/>
    </w:rPr>
  </w:style>
  <w:style w:type="character" w:customStyle="1" w:styleId="Heading6Char">
    <w:name w:val="Heading 6 Char"/>
    <w:basedOn w:val="DefaultParagraphFont"/>
    <w:link w:val="Heading6"/>
    <w:semiHidden/>
    <w:rPr>
      <w:rFonts w:ascii="Cambria" w:eastAsia="Cambria" w:hAnsi="Cambria" w:cs="Cambria"/>
      <w:i/>
      <w:iCs/>
      <w:color w:val="243F60"/>
    </w:rPr>
  </w:style>
  <w:style w:type="character" w:customStyle="1" w:styleId="Heading7Char">
    <w:name w:val="Heading 7 Char"/>
    <w:basedOn w:val="DefaultParagraphFont"/>
    <w:link w:val="Heading7"/>
    <w:semiHidden/>
    <w:rPr>
      <w:rFonts w:ascii="Cambria" w:eastAsia="Cambria" w:hAnsi="Cambria" w:cs="Cambria"/>
      <w:i/>
      <w:iCs/>
      <w:color w:val="404040"/>
    </w:rPr>
  </w:style>
  <w:style w:type="character" w:customStyle="1" w:styleId="Heading8Char">
    <w:name w:val="Heading 8 Char"/>
    <w:basedOn w:val="DefaultParagraphFont"/>
    <w:link w:val="Heading8"/>
    <w:semiHidden/>
    <w:rPr>
      <w:rFonts w:ascii="Cambria" w:eastAsia="Cambria" w:hAnsi="Cambria" w:cs="Cambria"/>
      <w:color w:val="404040"/>
      <w:sz w:val="20"/>
      <w:szCs w:val="20"/>
    </w:rPr>
  </w:style>
  <w:style w:type="character" w:customStyle="1" w:styleId="Heading9Char">
    <w:name w:val="Heading 9 Char"/>
    <w:basedOn w:val="DefaultParagraphFont"/>
    <w:link w:val="Heading9"/>
    <w:semiHidden/>
    <w:rPr>
      <w:rFonts w:ascii="Cambria" w:eastAsia="Cambria" w:hAnsi="Cambria" w:cs="Cambria"/>
      <w:i/>
      <w:iCs/>
      <w:color w:val="404040"/>
      <w:sz w:val="20"/>
      <w:szCs w:val="20"/>
    </w:rPr>
  </w:style>
  <w:style w:type="paragraph" w:styleId="ListParagraph">
    <w:name w:val="List Paragraph"/>
    <w:basedOn w:val="Normal"/>
    <w:qFormat/>
    <w:pPr>
      <w:ind w:left="720"/>
      <w:contextualSpacing/>
    </w:p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semiHidden/>
    <w:unhideWhenUsed/>
    <w:pPr>
      <w:spacing w:line="240" w:lineRule="auto"/>
    </w:pPr>
    <w:rPr>
      <w:sz w:val="20"/>
      <w:szCs w:val="20"/>
    </w:rPr>
  </w:style>
  <w:style w:type="character" w:customStyle="1" w:styleId="CommentTextChar">
    <w:name w:val="Comment Text Char"/>
    <w:aliases w:val="Annotationtext Char"/>
    <w:basedOn w:val="DefaultParagraphFont"/>
    <w:link w:val="CommentText1"/>
    <w:uiPriority w:val="99"/>
    <w:rPr>
      <w:rFonts w:ascii="Cambria" w:eastAsia="Cambria" w:hAnsi="Cambria" w:cs="Cambria"/>
      <w:sz w:val="20"/>
      <w:szCs w:val="20"/>
    </w:rPr>
  </w:style>
  <w:style w:type="paragraph" w:styleId="FootnoteText">
    <w:name w:val="footnote text"/>
    <w:basedOn w:val="Normal"/>
    <w:link w:val="FootnoteTextChar"/>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Pr>
      <w:rFonts w:ascii="Calibri" w:eastAsia="Calibri" w:hAnsi="Calibri" w:cs="Times New Roman"/>
      <w:sz w:val="20"/>
    </w:rPr>
  </w:style>
  <w:style w:type="character" w:styleId="FootnoteReference">
    <w:name w:val="footnote reference"/>
    <w:basedOn w:val="DefaultParagraphFont"/>
    <w:unhideWhenUsed/>
    <w:rPr>
      <w:vertAlign w:val="superscript"/>
    </w:rPr>
  </w:style>
  <w:style w:type="paragraph" w:styleId="ListBullet">
    <w:name w:val="List Bullet"/>
    <w:basedOn w:val="Normal"/>
    <w:unhideWhenUsed/>
    <w:pPr>
      <w:ind w:left="425" w:hanging="425"/>
      <w:contextualSpacing/>
    </w:pPr>
  </w:style>
  <w:style w:type="character" w:styleId="Hyperlink">
    <w:name w:val="Hyperlink"/>
    <w:basedOn w:val="DefaultParagraphFont"/>
    <w:uiPriority w:val="99"/>
    <w:unhideWhenUsed/>
    <w:rPr>
      <w:color w:val="0000FF"/>
      <w:u w:val="single"/>
    </w:rPr>
  </w:style>
  <w:style w:type="table" w:styleId="LightGrid">
    <w:name w:val="Light Grid"/>
    <w:basedOn w:val="TableNormal"/>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Cambria"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vAlign w:val="top"/>
      </w:tcPr>
    </w:tblStylePr>
    <w:tblStylePr w:type="lastRow">
      <w:pPr>
        <w:spacing w:before="0" w:after="0" w:line="240" w:lineRule="auto"/>
      </w:pPr>
      <w:rPr>
        <w:rFonts w:ascii="Cambria" w:eastAsia="Cambria"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vAlign w:val="top"/>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000000"/>
          <w:left w:val="single" w:sz="8" w:space="0" w:color="000000"/>
          <w:bottom w:val="single" w:sz="8" w:space="0" w:color="000000"/>
          <w:right w:val="single" w:sz="8" w:space="0" w:color="000000"/>
        </w:tcBorders>
        <w:vAlign w:val="top"/>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vAlign w:val="top"/>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vAlign w:val="top"/>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vAlign w:val="top"/>
      </w:tcPr>
    </w:tblStyle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rPr>
      <w:rFonts w:ascii="Cambria" w:eastAsia="Cambria" w:hAnsi="Cambria" w:cs="Cambria"/>
    </w:rP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customStyle="1" w:styleId="BoxWarning">
    <w:name w:val="BoxWarning"/>
    <w:basedOn w:val="Normal"/>
    <w:link w:val="BoxWarningChar"/>
    <w:qFormat/>
    <w:pPr>
      <w:pBdr>
        <w:top w:val="single" w:sz="4" w:space="1" w:color="auto"/>
        <w:left w:val="single" w:sz="4" w:space="4" w:color="auto"/>
        <w:bottom w:val="single" w:sz="4" w:space="1" w:color="auto"/>
        <w:right w:val="single" w:sz="4" w:space="4" w:color="auto"/>
      </w:pBdr>
    </w:pPr>
    <w:rPr>
      <w:b/>
      <w:snapToGrid w:val="0"/>
      <w:color w:val="000000"/>
    </w:rPr>
  </w:style>
  <w:style w:type="character" w:customStyle="1" w:styleId="BoxWarningChar">
    <w:name w:val="BoxWarning Char"/>
    <w:basedOn w:val="DefaultParagraphFont"/>
    <w:link w:val="BoxWarning"/>
    <w:rPr>
      <w:b/>
      <w:snapToGrid w:val="0"/>
      <w:color w:val="000000"/>
    </w:rPr>
  </w:style>
  <w:style w:type="character" w:styleId="HTMLTypewriter">
    <w:name w:val="HTML Typewriter"/>
    <w:basedOn w:val="DefaultParagraphFont"/>
    <w:uiPriority w:val="99"/>
    <w:semiHidden/>
    <w:unhideWhenUsed/>
    <w:rsid w:val="004A287F"/>
    <w:rPr>
      <w:rFonts w:ascii="Courier New" w:eastAsia="Calibri" w:hAnsi="Courier New" w:cs="Courier New" w:hint="default"/>
      <w:sz w:val="20"/>
      <w:szCs w:val="20"/>
    </w:rPr>
  </w:style>
  <w:style w:type="paragraph" w:styleId="Header">
    <w:name w:val="header"/>
    <w:basedOn w:val="Normal"/>
    <w:link w:val="HeaderChar"/>
    <w:uiPriority w:val="99"/>
    <w:unhideWhenUsed/>
    <w:rsid w:val="002B2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C82"/>
    <w:rPr>
      <w:rFonts w:ascii="Cambria" w:eastAsia="Cambria" w:hAnsi="Cambria" w:cs="Cambria"/>
    </w:rPr>
  </w:style>
  <w:style w:type="paragraph" w:customStyle="1" w:styleId="captiontable">
    <w:name w:val="caption:table"/>
    <w:basedOn w:val="Normal"/>
    <w:next w:val="Normal"/>
    <w:link w:val="captiontableChar"/>
    <w:qFormat/>
    <w:rsid w:val="00626ADC"/>
    <w:pPr>
      <w:keepNext/>
      <w:spacing w:after="240" w:line="240" w:lineRule="atLeast"/>
      <w:ind w:left="1440" w:hanging="1440"/>
    </w:pPr>
    <w:rPr>
      <w:rFonts w:eastAsia="Times New Roman" w:cs="Times New Roman"/>
      <w:b/>
      <w:szCs w:val="20"/>
      <w:lang w:val="en-GB" w:eastAsia="en-GB"/>
    </w:rPr>
  </w:style>
  <w:style w:type="character" w:customStyle="1" w:styleId="captiontableChar">
    <w:name w:val="caption:table Char"/>
    <w:basedOn w:val="DefaultParagraphFont"/>
    <w:link w:val="captiontable"/>
    <w:locked/>
    <w:rsid w:val="00626ADC"/>
    <w:rPr>
      <w:rFonts w:ascii="Arial" w:eastAsia="Times New Roman" w:hAnsi="Arial" w:cs="Times New Roman"/>
      <w:b/>
      <w:szCs w:val="20"/>
      <w:lang w:val="en-GB" w:eastAsia="en-GB"/>
    </w:rPr>
  </w:style>
  <w:style w:type="paragraph" w:styleId="Caption">
    <w:name w:val="caption"/>
    <w:basedOn w:val="Normal"/>
    <w:next w:val="Normal"/>
    <w:link w:val="CaptionChar"/>
    <w:uiPriority w:val="99"/>
    <w:qFormat/>
    <w:rsid w:val="00626ADC"/>
    <w:pPr>
      <w:spacing w:before="120" w:after="120" w:line="240" w:lineRule="atLeast"/>
    </w:pPr>
    <w:rPr>
      <w:rFonts w:eastAsia="Times New Roman" w:cs="Times New Roman"/>
      <w:b/>
      <w:sz w:val="24"/>
      <w:szCs w:val="20"/>
      <w:lang w:val="en-GB" w:eastAsia="en-GB"/>
    </w:rPr>
  </w:style>
  <w:style w:type="paragraph" w:customStyle="1" w:styleId="tabletextNS">
    <w:name w:val="table:textNS"/>
    <w:basedOn w:val="Normal"/>
    <w:link w:val="tabletextNSChar"/>
    <w:qFormat/>
    <w:rsid w:val="00626ADC"/>
    <w:pPr>
      <w:spacing w:after="120" w:line="240" w:lineRule="atLeast"/>
    </w:pPr>
    <w:rPr>
      <w:rFonts w:ascii="Arial Narrow" w:eastAsia="Times New Roman" w:hAnsi="Arial Narrow" w:cs="Times New Roman"/>
      <w:sz w:val="24"/>
      <w:szCs w:val="20"/>
      <w:lang w:val="en-GB" w:eastAsia="en-GB"/>
    </w:rPr>
  </w:style>
  <w:style w:type="character" w:customStyle="1" w:styleId="tabletextNSChar">
    <w:name w:val="table:textNS Char"/>
    <w:basedOn w:val="DefaultParagraphFont"/>
    <w:link w:val="tabletextNS"/>
    <w:rsid w:val="00626ADC"/>
    <w:rPr>
      <w:rFonts w:ascii="Arial Narrow" w:eastAsia="Times New Roman" w:hAnsi="Arial Narrow" w:cs="Times New Roman"/>
      <w:sz w:val="24"/>
      <w:szCs w:val="20"/>
      <w:lang w:val="en-GB" w:eastAsia="en-GB"/>
    </w:rPr>
  </w:style>
  <w:style w:type="character" w:customStyle="1" w:styleId="CaptionChar">
    <w:name w:val="Caption Char"/>
    <w:basedOn w:val="DefaultParagraphFont"/>
    <w:link w:val="Caption"/>
    <w:rsid w:val="00626ADC"/>
    <w:rPr>
      <w:rFonts w:ascii="Arial" w:eastAsia="Times New Roman" w:hAnsi="Arial" w:cs="Times New Roman"/>
      <w:b/>
      <w:sz w:val="24"/>
      <w:szCs w:val="20"/>
      <w:lang w:val="en-GB" w:eastAsia="en-GB"/>
    </w:rPr>
  </w:style>
  <w:style w:type="character" w:customStyle="1" w:styleId="LBLTableFootnotesChar">
    <w:name w:val="LBL Table Footnotes Char"/>
    <w:basedOn w:val="DefaultParagraphFont"/>
    <w:link w:val="LBLTableFootnotes"/>
    <w:rsid w:val="00626ADC"/>
    <w:rPr>
      <w:sz w:val="24"/>
      <w:lang w:val="en-US"/>
    </w:rPr>
  </w:style>
  <w:style w:type="paragraph" w:customStyle="1" w:styleId="LBLTableFootnotes">
    <w:name w:val="LBL Table Footnotes"/>
    <w:basedOn w:val="Normal"/>
    <w:link w:val="LBLTableFootnotesChar"/>
    <w:rsid w:val="00626ADC"/>
    <w:pPr>
      <w:tabs>
        <w:tab w:val="left" w:pos="720"/>
        <w:tab w:val="left" w:pos="994"/>
      </w:tabs>
      <w:spacing w:after="0" w:line="320" w:lineRule="atLeast"/>
      <w:ind w:left="274" w:hanging="274"/>
    </w:pPr>
    <w:rPr>
      <w:rFonts w:ascii="Calibri" w:eastAsia="Calibri" w:hAnsi="Calibri" w:cs="Calibri"/>
      <w:sz w:val="24"/>
      <w:lang w:val="en-US"/>
    </w:rPr>
  </w:style>
  <w:style w:type="character" w:styleId="CommentReference">
    <w:name w:val="annotation reference"/>
    <w:basedOn w:val="DefaultParagraphFont"/>
    <w:uiPriority w:val="99"/>
    <w:unhideWhenUsed/>
    <w:rsid w:val="004F4B47"/>
    <w:rPr>
      <w:sz w:val="16"/>
      <w:szCs w:val="16"/>
    </w:rPr>
  </w:style>
  <w:style w:type="paragraph" w:styleId="CommentText">
    <w:name w:val="annotation text"/>
    <w:aliases w:val="Annotationtext"/>
    <w:basedOn w:val="Normal"/>
    <w:link w:val="CommentTextChar1"/>
    <w:uiPriority w:val="99"/>
    <w:unhideWhenUsed/>
    <w:rsid w:val="004F4B47"/>
    <w:pPr>
      <w:spacing w:line="240" w:lineRule="auto"/>
    </w:pPr>
    <w:rPr>
      <w:sz w:val="20"/>
      <w:szCs w:val="20"/>
    </w:rPr>
  </w:style>
  <w:style w:type="character" w:customStyle="1" w:styleId="CommentTextChar1">
    <w:name w:val="Comment Text Char1"/>
    <w:aliases w:val="Annotationtext Char1"/>
    <w:basedOn w:val="DefaultParagraphFont"/>
    <w:link w:val="CommentText"/>
    <w:uiPriority w:val="99"/>
    <w:rsid w:val="004F4B47"/>
    <w:rPr>
      <w:rFonts w:ascii="Arial" w:eastAsia="Cambria" w:hAnsi="Arial" w:cs="Arial"/>
      <w:sz w:val="20"/>
      <w:szCs w:val="20"/>
    </w:rPr>
  </w:style>
  <w:style w:type="paragraph" w:styleId="CommentSubject">
    <w:name w:val="annotation subject"/>
    <w:basedOn w:val="CommentText"/>
    <w:next w:val="CommentText"/>
    <w:link w:val="CommentSubjectChar"/>
    <w:uiPriority w:val="99"/>
    <w:semiHidden/>
    <w:unhideWhenUsed/>
    <w:rsid w:val="004F4B47"/>
    <w:rPr>
      <w:b/>
      <w:bCs/>
    </w:rPr>
  </w:style>
  <w:style w:type="character" w:customStyle="1" w:styleId="CommentSubjectChar">
    <w:name w:val="Comment Subject Char"/>
    <w:basedOn w:val="CommentTextChar1"/>
    <w:link w:val="CommentSubject"/>
    <w:uiPriority w:val="99"/>
    <w:semiHidden/>
    <w:rsid w:val="004F4B47"/>
    <w:rPr>
      <w:rFonts w:ascii="Arial" w:eastAsia="Cambria" w:hAnsi="Arial" w:cs="Arial"/>
      <w:b/>
      <w:bCs/>
      <w:sz w:val="20"/>
      <w:szCs w:val="20"/>
    </w:rPr>
  </w:style>
  <w:style w:type="paragraph" w:styleId="Revision">
    <w:name w:val="Revision"/>
    <w:hidden/>
    <w:uiPriority w:val="99"/>
    <w:semiHidden/>
    <w:rsid w:val="004F4B47"/>
    <w:pPr>
      <w:spacing w:after="0" w:line="240" w:lineRule="auto"/>
    </w:pPr>
    <w:rPr>
      <w:rFonts w:ascii="Arial" w:eastAsia="Cambria" w:hAnsi="Arial" w:cs="Arial"/>
    </w:rPr>
  </w:style>
  <w:style w:type="paragraph" w:customStyle="1" w:styleId="NoNumHead5">
    <w:name w:val="NoNum:Head5"/>
    <w:basedOn w:val="Normal"/>
    <w:next w:val="Normal"/>
    <w:rsid w:val="005B1538"/>
    <w:pPr>
      <w:keepNext/>
      <w:spacing w:after="240" w:line="240" w:lineRule="atLeast"/>
      <w:outlineLvl w:val="0"/>
    </w:pPr>
    <w:rPr>
      <w:rFonts w:eastAsia="Times New Roman" w:cs="Times New Roman"/>
      <w:b/>
      <w:i/>
      <w:szCs w:val="20"/>
      <w:lang w:val="en-GB" w:eastAsia="en-GB"/>
    </w:rPr>
  </w:style>
  <w:style w:type="character" w:customStyle="1" w:styleId="LBLLevel2Char">
    <w:name w:val="LBLLevel 2 Char"/>
    <w:basedOn w:val="DefaultParagraphFont"/>
    <w:link w:val="LBLLevel2"/>
    <w:rsid w:val="0023557D"/>
    <w:rPr>
      <w:rFonts w:ascii="Arial" w:hAnsi="Arial"/>
      <w:b/>
      <w:sz w:val="24"/>
      <w:szCs w:val="24"/>
      <w:lang w:val="en-US"/>
    </w:rPr>
  </w:style>
  <w:style w:type="paragraph" w:customStyle="1" w:styleId="LBLLevel2">
    <w:name w:val="LBLLevel 2"/>
    <w:basedOn w:val="Normal"/>
    <w:next w:val="Normal"/>
    <w:link w:val="LBLLevel2Char"/>
    <w:rsid w:val="0023557D"/>
    <w:pPr>
      <w:tabs>
        <w:tab w:val="left" w:pos="720"/>
        <w:tab w:val="left" w:pos="990"/>
        <w:tab w:val="left" w:pos="1260"/>
      </w:tabs>
      <w:spacing w:after="0" w:line="320" w:lineRule="atLeast"/>
    </w:pPr>
    <w:rPr>
      <w:rFonts w:eastAsia="Calibri" w:cs="Calibri"/>
      <w:b/>
      <w:sz w:val="24"/>
      <w:szCs w:val="24"/>
      <w:lang w:val="en-US"/>
    </w:rPr>
  </w:style>
  <w:style w:type="paragraph" w:customStyle="1" w:styleId="Default">
    <w:name w:val="Default"/>
    <w:rsid w:val="00524C3C"/>
    <w:pPr>
      <w:autoSpaceDE w:val="0"/>
      <w:autoSpaceDN w:val="0"/>
      <w:adjustRightInd w:val="0"/>
      <w:spacing w:after="0" w:line="240" w:lineRule="auto"/>
    </w:pPr>
    <w:rPr>
      <w:rFonts w:ascii="Arial" w:hAnsi="Arial" w:cs="Arial"/>
      <w:color w:val="000000"/>
      <w:sz w:val="24"/>
      <w:szCs w:val="24"/>
    </w:rPr>
  </w:style>
  <w:style w:type="paragraph" w:customStyle="1" w:styleId="tablerefalpha">
    <w:name w:val="table:ref (alpha)"/>
    <w:basedOn w:val="Normal"/>
    <w:rsid w:val="00D679A8"/>
    <w:pPr>
      <w:numPr>
        <w:numId w:val="14"/>
      </w:numPr>
      <w:spacing w:after="0" w:line="240" w:lineRule="auto"/>
    </w:pPr>
    <w:rPr>
      <w:rFonts w:ascii="Arial Narrow" w:eastAsia="SimSun" w:hAnsi="Arial Narrow" w:cs="Arial Narrow"/>
      <w:sz w:val="20"/>
      <w:szCs w:val="20"/>
      <w:lang w:val="en-GB" w:eastAsia="en-GB"/>
    </w:rPr>
  </w:style>
  <w:style w:type="paragraph" w:customStyle="1" w:styleId="listbull">
    <w:name w:val="list:bull"/>
    <w:basedOn w:val="Normal"/>
    <w:link w:val="listbullChar"/>
    <w:rsid w:val="000329AF"/>
    <w:pPr>
      <w:numPr>
        <w:numId w:val="16"/>
      </w:numPr>
      <w:spacing w:after="120" w:line="240" w:lineRule="auto"/>
    </w:pPr>
    <w:rPr>
      <w:rFonts w:ascii="Times New Roman" w:eastAsia="SimSun" w:hAnsi="Times New Roman" w:cs="Times New Roman"/>
      <w:sz w:val="24"/>
      <w:szCs w:val="20"/>
      <w:lang w:val="en-GB" w:eastAsia="en-GB"/>
    </w:rPr>
  </w:style>
  <w:style w:type="character" w:customStyle="1" w:styleId="listbullChar">
    <w:name w:val="list:bull Char"/>
    <w:link w:val="listbull"/>
    <w:rsid w:val="000329AF"/>
    <w:rPr>
      <w:rFonts w:ascii="Times New Roman" w:eastAsia="SimSu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1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2DB0E-31AD-40CB-8D38-4D653D7C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15419</Words>
  <Characters>86351</Characters>
  <Application>Microsoft Office Word</Application>
  <DocSecurity>0</DocSecurity>
  <Lines>2398</Lines>
  <Paragraphs>1356</Paragraphs>
  <ScaleCrop>false</ScaleCrop>
  <HeadingPairs>
    <vt:vector size="2" baseType="variant">
      <vt:variant>
        <vt:lpstr>Title</vt:lpstr>
      </vt:variant>
      <vt:variant>
        <vt:i4>1</vt:i4>
      </vt:variant>
    </vt:vector>
  </HeadingPairs>
  <TitlesOfParts>
    <vt:vector size="1" baseType="lpstr">
      <vt:lpstr/>
    </vt:vector>
  </TitlesOfParts>
  <Company>ViiV Healthcare Pty Ltd</Company>
  <LinksUpToDate>false</LinksUpToDate>
  <CharactersWithSpaces>100414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Tivicay and Tivicay PD</dc:title>
  <dc:subject>prescription medicines</dc:subject>
  <dc:creator>ViiV Healthcare Pty Ltd</dc:creator>
  <cp:lastModifiedBy>LACK, Janet</cp:lastModifiedBy>
  <cp:revision>2</cp:revision>
  <cp:lastPrinted>2019-05-07T00:22:00Z</cp:lastPrinted>
  <dcterms:created xsi:type="dcterms:W3CDTF">2022-08-01T04:27:00Z</dcterms:created>
  <dcterms:modified xsi:type="dcterms:W3CDTF">2022-08-01T04:27:00Z</dcterms:modified>
</cp:coreProperties>
</file>