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3ABF" w14:textId="10603757" w:rsidR="00333461" w:rsidRPr="00453A59" w:rsidRDefault="00333461" w:rsidP="00D23634">
      <w:pPr>
        <w:rPr>
          <w:rFonts w:ascii="Cambria" w:eastAsia="SimSun" w:hAnsi="Cambria" w:cstheme="minorHAnsi"/>
        </w:rPr>
      </w:pPr>
      <w:r w:rsidRPr="00453A59">
        <w:rPr>
          <w:rFonts w:ascii="Times New Roman" w:hAnsi="Times New Roman" w:cs="Times New Roman"/>
        </w:rPr>
        <w:t>▼</w:t>
      </w:r>
      <w:r w:rsidRPr="00453A59">
        <w:rPr>
          <w:rFonts w:ascii="Cambria" w:hAnsi="Cambria" w:cs="Arial"/>
        </w:rPr>
        <w:t>This medicinal product is subject to additional monitoring in Australia. This will allow quick identification of new safety information. Healthcare professional</w:t>
      </w:r>
      <w:r w:rsidR="00212C8D" w:rsidRPr="00453A59">
        <w:rPr>
          <w:rFonts w:ascii="Cambria" w:hAnsi="Cambria" w:cs="Arial"/>
        </w:rPr>
        <w:t>s</w:t>
      </w:r>
      <w:r w:rsidRPr="00453A59">
        <w:rPr>
          <w:rFonts w:ascii="Cambria" w:hAnsi="Cambria" w:cs="Arial"/>
        </w:rPr>
        <w:t xml:space="preserve"> are asked to report any suspected adverse events at </w:t>
      </w:r>
      <w:hyperlink r:id="rId11" w:history="1">
        <w:r w:rsidRPr="00453A59">
          <w:rPr>
            <w:rStyle w:val="Hyperlink"/>
            <w:rFonts w:ascii="Cambria" w:hAnsi="Cambria" w:cs="Arial"/>
          </w:rPr>
          <w:t>www.tga.gov.au/reporting-problems</w:t>
        </w:r>
      </w:hyperlink>
      <w:r w:rsidRPr="00453A59">
        <w:rPr>
          <w:rFonts w:ascii="Cambria" w:hAnsi="Cambria" w:cs="Arial"/>
        </w:rPr>
        <w:t xml:space="preserve">. </w:t>
      </w:r>
    </w:p>
    <w:p w14:paraId="0FE94A8B" w14:textId="70FE21B2" w:rsidR="009C7E7F" w:rsidRPr="00453A59" w:rsidRDefault="004032BD" w:rsidP="009C7E7F">
      <w:pPr>
        <w:pStyle w:val="Heading1"/>
        <w:numPr>
          <w:ilvl w:val="0"/>
          <w:numId w:val="0"/>
        </w:numPr>
        <w:spacing w:after="240"/>
        <w:jc w:val="center"/>
        <w:rPr>
          <w:rFonts w:eastAsia="SimSun" w:cstheme="minorHAnsi"/>
        </w:rPr>
      </w:pPr>
      <w:r w:rsidRPr="00453A59">
        <w:rPr>
          <w:rFonts w:eastAsia="SimSun" w:cstheme="minorHAnsi"/>
        </w:rPr>
        <w:t>Australian P</w:t>
      </w:r>
      <w:r w:rsidR="00677840" w:rsidRPr="00453A59">
        <w:rPr>
          <w:rFonts w:eastAsia="SimSun" w:cstheme="minorHAnsi"/>
        </w:rPr>
        <w:t xml:space="preserve">roduct </w:t>
      </w:r>
      <w:r w:rsidRPr="00453A59">
        <w:rPr>
          <w:rFonts w:eastAsia="SimSun" w:cstheme="minorHAnsi"/>
        </w:rPr>
        <w:t>I</w:t>
      </w:r>
      <w:r w:rsidR="00677840" w:rsidRPr="00453A59">
        <w:rPr>
          <w:rFonts w:eastAsia="SimSun" w:cstheme="minorHAnsi"/>
        </w:rPr>
        <w:t>nformation</w:t>
      </w:r>
    </w:p>
    <w:p w14:paraId="0C7B35F9" w14:textId="0D05BCA1" w:rsidR="009C7E7F" w:rsidRPr="00453A59" w:rsidRDefault="00C42E61" w:rsidP="009C7E7F">
      <w:pPr>
        <w:pStyle w:val="Heading1"/>
        <w:numPr>
          <w:ilvl w:val="0"/>
          <w:numId w:val="0"/>
        </w:numPr>
        <w:spacing w:before="0" w:after="120"/>
        <w:ind w:left="284"/>
        <w:jc w:val="center"/>
        <w:rPr>
          <w:rFonts w:eastAsia="SimSun" w:cstheme="minorHAnsi"/>
        </w:rPr>
      </w:pPr>
      <w:r w:rsidRPr="00453A59">
        <w:rPr>
          <w:rFonts w:eastAsia="SimSun" w:cstheme="minorHAnsi"/>
        </w:rPr>
        <w:t>Veraseal</w:t>
      </w:r>
      <w:r w:rsidR="009C7E7F" w:rsidRPr="00453A59">
        <w:rPr>
          <w:rFonts w:eastAsia="SimSun" w:cstheme="minorHAnsi"/>
          <w:vertAlign w:val="superscript"/>
        </w:rPr>
        <w:t>™</w:t>
      </w:r>
      <w:r w:rsidRPr="00453A59">
        <w:rPr>
          <w:rFonts w:eastAsia="SimSun" w:cstheme="minorHAnsi"/>
        </w:rPr>
        <w:t xml:space="preserve"> solutions for sealant (human fibrinogen, human thrombin)</w:t>
      </w:r>
    </w:p>
    <w:p w14:paraId="2F2D0808" w14:textId="77777777" w:rsidR="00CE42E6" w:rsidRPr="00453A59" w:rsidRDefault="00CE42E6" w:rsidP="00CE42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2E6" w:rsidRPr="00453A59" w14:paraId="474338A3" w14:textId="77777777" w:rsidTr="00CE42E6">
        <w:tc>
          <w:tcPr>
            <w:tcW w:w="9486" w:type="dxa"/>
            <w:shd w:val="clear" w:color="auto" w:fill="auto"/>
          </w:tcPr>
          <w:p w14:paraId="6D99F3D8" w14:textId="23EE86F8" w:rsidR="00CE42E6" w:rsidRPr="00453A59" w:rsidRDefault="008C3790" w:rsidP="005E21D3">
            <w:pPr>
              <w:widowControl w:val="0"/>
              <w:rPr>
                <w:rFonts w:asciiTheme="majorHAnsi" w:hAnsiTheme="majorHAnsi" w:cs="Arial"/>
                <w:b/>
                <w:bCs/>
              </w:rPr>
            </w:pPr>
            <w:r w:rsidRPr="00453A59">
              <w:rPr>
                <w:rFonts w:asciiTheme="majorHAnsi" w:hAnsiTheme="majorHAnsi" w:cs="Arial"/>
                <w:b/>
                <w:bCs/>
              </w:rPr>
              <w:t>WARNINGS</w:t>
            </w:r>
          </w:p>
          <w:p w14:paraId="462C969C" w14:textId="07561992" w:rsidR="00CE42E6" w:rsidRPr="00453A59" w:rsidRDefault="00CE42E6" w:rsidP="00CE42E6">
            <w:pPr>
              <w:pStyle w:val="Level1"/>
              <w:numPr>
                <w:ilvl w:val="0"/>
                <w:numId w:val="24"/>
              </w:numPr>
              <w:ind w:left="357" w:hanging="357"/>
              <w:rPr>
                <w:rFonts w:asciiTheme="majorHAnsi" w:hAnsiTheme="majorHAnsi" w:cs="Arial"/>
                <w:sz w:val="22"/>
                <w:szCs w:val="22"/>
              </w:rPr>
            </w:pPr>
            <w:r w:rsidRPr="00453A59">
              <w:rPr>
                <w:rFonts w:asciiTheme="majorHAnsi" w:hAnsiTheme="majorHAnsi" w:cs="Arial"/>
                <w:sz w:val="22"/>
                <w:szCs w:val="22"/>
              </w:rPr>
              <w:t xml:space="preserve">Life-threatening thromboembolic complications may occur if </w:t>
            </w:r>
            <w:proofErr w:type="spellStart"/>
            <w:r w:rsidRPr="00453A59">
              <w:rPr>
                <w:rFonts w:asciiTheme="majorHAnsi" w:hAnsiTheme="majorHAnsi"/>
                <w:sz w:val="22"/>
                <w:szCs w:val="22"/>
                <w:lang w:eastAsia="en-US"/>
              </w:rPr>
              <w:t>V</w:t>
            </w:r>
            <w:r w:rsidR="008C3790" w:rsidRPr="00453A59">
              <w:rPr>
                <w:rFonts w:asciiTheme="majorHAnsi" w:hAnsiTheme="majorHAnsi"/>
                <w:sz w:val="22"/>
                <w:szCs w:val="22"/>
                <w:lang w:eastAsia="en-US"/>
              </w:rPr>
              <w:t>eraSeal</w:t>
            </w:r>
            <w:proofErr w:type="spellEnd"/>
            <w:r w:rsidRPr="00453A59">
              <w:rPr>
                <w:rFonts w:asciiTheme="majorHAnsi" w:hAnsiTheme="majorHAnsi" w:cs="Arial"/>
                <w:sz w:val="22"/>
                <w:szCs w:val="22"/>
              </w:rPr>
              <w:t xml:space="preserve"> is administered intravascularly (see section 4.4.).</w:t>
            </w:r>
          </w:p>
          <w:p w14:paraId="379AC34D" w14:textId="467A576C" w:rsidR="00CE42E6" w:rsidRPr="00453A59" w:rsidRDefault="00CE42E6" w:rsidP="00CE42E6">
            <w:pPr>
              <w:pStyle w:val="Level1"/>
              <w:numPr>
                <w:ilvl w:val="0"/>
                <w:numId w:val="24"/>
              </w:numPr>
              <w:ind w:left="357" w:hanging="357"/>
              <w:rPr>
                <w:rFonts w:cs="Arial"/>
                <w:sz w:val="22"/>
                <w:szCs w:val="22"/>
              </w:rPr>
            </w:pPr>
            <w:proofErr w:type="spellStart"/>
            <w:r w:rsidRPr="00453A59">
              <w:rPr>
                <w:rFonts w:asciiTheme="majorHAnsi" w:hAnsiTheme="majorHAnsi" w:cs="Arial"/>
                <w:sz w:val="22"/>
                <w:szCs w:val="22"/>
              </w:rPr>
              <w:t>V</w:t>
            </w:r>
            <w:r w:rsidR="008C3790" w:rsidRPr="00453A59">
              <w:rPr>
                <w:rFonts w:asciiTheme="majorHAnsi" w:hAnsiTheme="majorHAnsi" w:cs="Arial"/>
                <w:sz w:val="22"/>
                <w:szCs w:val="22"/>
              </w:rPr>
              <w:t>eraSeal</w:t>
            </w:r>
            <w:proofErr w:type="spellEnd"/>
            <w:r w:rsidRPr="00453A59">
              <w:rPr>
                <w:rFonts w:asciiTheme="majorHAnsi" w:hAnsiTheme="majorHAnsi" w:cs="Arial"/>
                <w:sz w:val="22"/>
                <w:szCs w:val="22"/>
              </w:rPr>
              <w:t xml:space="preserve"> is made from pooled human plasma which may contain infectious agents, such as viruses, that can cause disease (see section 4.4.).</w:t>
            </w:r>
          </w:p>
        </w:tc>
      </w:tr>
    </w:tbl>
    <w:p w14:paraId="66D3F6DF" w14:textId="77777777" w:rsidR="00CE42E6" w:rsidRPr="00453A59" w:rsidRDefault="00CE42E6" w:rsidP="009C7E7F"/>
    <w:p w14:paraId="51C39233" w14:textId="43EB0551" w:rsidR="001A3992" w:rsidRPr="00453A59" w:rsidRDefault="001A3992" w:rsidP="009C7E7F">
      <w:pPr>
        <w:pStyle w:val="Heading1"/>
        <w:numPr>
          <w:ilvl w:val="0"/>
          <w:numId w:val="20"/>
        </w:numPr>
        <w:spacing w:before="0" w:after="120"/>
        <w:rPr>
          <w:rFonts w:cstheme="minorHAnsi"/>
        </w:rPr>
      </w:pPr>
      <w:r w:rsidRPr="00453A59">
        <w:rPr>
          <w:rFonts w:cstheme="minorHAnsi"/>
        </w:rPr>
        <w:t>Name of the medicine</w:t>
      </w:r>
    </w:p>
    <w:p w14:paraId="4D039B50" w14:textId="786A9B5D" w:rsidR="00C17BC9" w:rsidRPr="00453A59" w:rsidRDefault="00A258D2" w:rsidP="005E21D3">
      <w:pPr>
        <w:rPr>
          <w:rFonts w:asciiTheme="majorHAnsi" w:hAnsiTheme="majorHAnsi"/>
        </w:rPr>
      </w:pPr>
      <w:r w:rsidRPr="00453A59">
        <w:rPr>
          <w:rFonts w:asciiTheme="majorHAnsi" w:hAnsiTheme="majorHAnsi"/>
        </w:rPr>
        <w:t>Human fibrinogen, Human thrombin</w:t>
      </w:r>
    </w:p>
    <w:p w14:paraId="7F3F33D3" w14:textId="4BA00F22" w:rsidR="001A3992" w:rsidRPr="00453A59" w:rsidRDefault="001A3992" w:rsidP="009C7E7F">
      <w:pPr>
        <w:pStyle w:val="Heading1"/>
        <w:numPr>
          <w:ilvl w:val="0"/>
          <w:numId w:val="20"/>
        </w:numPr>
      </w:pPr>
      <w:r w:rsidRPr="00453A59">
        <w:t>Qualitative and quantitative composition</w:t>
      </w:r>
    </w:p>
    <w:p w14:paraId="36B43212" w14:textId="77777777" w:rsidR="00655B44" w:rsidRPr="00453A59" w:rsidRDefault="00655B44" w:rsidP="00655B44">
      <w:pPr>
        <w:spacing w:after="0" w:line="240" w:lineRule="auto"/>
        <w:rPr>
          <w:rFonts w:asciiTheme="majorHAnsi" w:hAnsiTheme="majorHAnsi" w:cstheme="minorHAnsi"/>
          <w:lang w:val="en"/>
        </w:rPr>
      </w:pPr>
      <w:r w:rsidRPr="00453A59">
        <w:rPr>
          <w:rFonts w:asciiTheme="majorHAnsi" w:hAnsiTheme="majorHAnsi" w:cstheme="minorHAnsi"/>
          <w:lang w:val="en"/>
        </w:rPr>
        <w:t>Component 1:</w:t>
      </w:r>
    </w:p>
    <w:p w14:paraId="39F19F4D" w14:textId="3BA603C3" w:rsidR="00655B44" w:rsidRPr="00453A59" w:rsidRDefault="00655B44" w:rsidP="00655B44">
      <w:pPr>
        <w:spacing w:after="0" w:line="240" w:lineRule="auto"/>
        <w:rPr>
          <w:rFonts w:asciiTheme="majorHAnsi" w:hAnsiTheme="majorHAnsi" w:cstheme="minorHAnsi"/>
          <w:lang w:val="en"/>
        </w:rPr>
      </w:pPr>
      <w:r w:rsidRPr="00453A59">
        <w:rPr>
          <w:rFonts w:asciiTheme="majorHAnsi" w:hAnsiTheme="majorHAnsi" w:cstheme="minorHAnsi"/>
          <w:lang w:val="en"/>
        </w:rPr>
        <w:t>Human fibrinogen</w:t>
      </w:r>
      <w:r w:rsidRPr="00453A59">
        <w:rPr>
          <w:rFonts w:asciiTheme="majorHAnsi" w:hAnsiTheme="majorHAnsi" w:cstheme="minorHAnsi"/>
          <w:lang w:val="en"/>
        </w:rPr>
        <w:tab/>
        <w:t>80 mg/m</w:t>
      </w:r>
      <w:r w:rsidR="001A32C1" w:rsidRPr="00453A59">
        <w:rPr>
          <w:rFonts w:asciiTheme="majorHAnsi" w:hAnsiTheme="majorHAnsi" w:cstheme="minorHAnsi"/>
          <w:lang w:val="en"/>
        </w:rPr>
        <w:t>L</w:t>
      </w:r>
    </w:p>
    <w:p w14:paraId="057920BF" w14:textId="77777777" w:rsidR="00655B44" w:rsidRPr="00453A59" w:rsidRDefault="00655B44" w:rsidP="00655B44">
      <w:pPr>
        <w:spacing w:after="0" w:line="240" w:lineRule="auto"/>
        <w:rPr>
          <w:rFonts w:asciiTheme="majorHAnsi" w:hAnsiTheme="majorHAnsi" w:cstheme="minorHAnsi"/>
          <w:lang w:val="en"/>
        </w:rPr>
      </w:pPr>
    </w:p>
    <w:p w14:paraId="12E9F5B6" w14:textId="77777777" w:rsidR="00655B44" w:rsidRPr="00453A59" w:rsidRDefault="00655B44" w:rsidP="00655B44">
      <w:pPr>
        <w:spacing w:after="0" w:line="240" w:lineRule="auto"/>
        <w:rPr>
          <w:rFonts w:asciiTheme="majorHAnsi" w:hAnsiTheme="majorHAnsi" w:cstheme="minorHAnsi"/>
          <w:lang w:val="en"/>
        </w:rPr>
      </w:pPr>
      <w:r w:rsidRPr="00453A59">
        <w:rPr>
          <w:rFonts w:asciiTheme="majorHAnsi" w:hAnsiTheme="majorHAnsi" w:cstheme="minorHAnsi"/>
          <w:lang w:val="en"/>
        </w:rPr>
        <w:t>Component 2:</w:t>
      </w:r>
    </w:p>
    <w:p w14:paraId="3484150B" w14:textId="6AEB2D7F" w:rsidR="00655B44" w:rsidRPr="00453A59" w:rsidRDefault="00655B44" w:rsidP="00655B44">
      <w:pPr>
        <w:spacing w:after="0" w:line="240" w:lineRule="auto"/>
        <w:rPr>
          <w:rFonts w:asciiTheme="majorHAnsi" w:hAnsiTheme="majorHAnsi" w:cstheme="minorHAnsi"/>
          <w:lang w:val="en"/>
        </w:rPr>
      </w:pPr>
      <w:r w:rsidRPr="00453A59">
        <w:rPr>
          <w:rFonts w:asciiTheme="majorHAnsi" w:hAnsiTheme="majorHAnsi" w:cstheme="minorHAnsi"/>
          <w:lang w:val="en"/>
        </w:rPr>
        <w:t>Human thrombin</w:t>
      </w:r>
      <w:r w:rsidRPr="00453A59">
        <w:rPr>
          <w:rFonts w:asciiTheme="majorHAnsi" w:hAnsiTheme="majorHAnsi" w:cstheme="minorHAnsi"/>
          <w:lang w:val="en"/>
        </w:rPr>
        <w:tab/>
        <w:t>500 IU/m</w:t>
      </w:r>
      <w:r w:rsidR="001A32C1" w:rsidRPr="00453A59">
        <w:rPr>
          <w:rFonts w:asciiTheme="majorHAnsi" w:hAnsiTheme="majorHAnsi" w:cstheme="minorHAnsi"/>
          <w:lang w:val="en"/>
        </w:rPr>
        <w:t>L</w:t>
      </w:r>
    </w:p>
    <w:p w14:paraId="5D78AF3B" w14:textId="77777777" w:rsidR="000E2C8C" w:rsidRPr="00453A59" w:rsidRDefault="000E2C8C" w:rsidP="00660112">
      <w:pPr>
        <w:spacing w:after="0" w:line="240" w:lineRule="auto"/>
        <w:rPr>
          <w:rFonts w:asciiTheme="majorHAnsi" w:hAnsiTheme="majorHAnsi" w:cstheme="minorHAnsi"/>
          <w:lang w:val="en"/>
        </w:rPr>
      </w:pPr>
    </w:p>
    <w:p w14:paraId="5F634849" w14:textId="5C63FCB0" w:rsidR="00C947DD" w:rsidRPr="00453A59" w:rsidRDefault="00C947DD" w:rsidP="00C947DD">
      <w:pPr>
        <w:spacing w:after="0" w:line="240" w:lineRule="auto"/>
        <w:rPr>
          <w:rFonts w:asciiTheme="majorHAnsi" w:hAnsiTheme="majorHAnsi" w:cstheme="minorHAnsi"/>
          <w:lang w:val="en-GB"/>
        </w:rPr>
      </w:pPr>
      <w:r w:rsidRPr="00453A59">
        <w:rPr>
          <w:rFonts w:asciiTheme="majorHAnsi" w:hAnsiTheme="majorHAnsi" w:cstheme="minorHAnsi"/>
          <w:lang w:val="en-GB"/>
        </w:rPr>
        <w:t>For the full list of excipients, see Section 6.1 List of excipients.</w:t>
      </w:r>
    </w:p>
    <w:p w14:paraId="487A4A41" w14:textId="77777777" w:rsidR="00C947DD" w:rsidRPr="00453A59" w:rsidRDefault="00C947DD" w:rsidP="00660112">
      <w:pPr>
        <w:spacing w:after="0" w:line="240" w:lineRule="auto"/>
        <w:rPr>
          <w:rFonts w:asciiTheme="majorHAnsi" w:hAnsiTheme="majorHAnsi" w:cstheme="minorHAnsi"/>
          <w:lang w:val="en"/>
        </w:rPr>
      </w:pPr>
    </w:p>
    <w:p w14:paraId="6A6B384B" w14:textId="5F9D1A29" w:rsidR="000E4F24" w:rsidRPr="00453A59" w:rsidRDefault="006701FE" w:rsidP="00025051">
      <w:pPr>
        <w:spacing w:after="0" w:line="240" w:lineRule="auto"/>
        <w:rPr>
          <w:rFonts w:asciiTheme="majorHAnsi" w:hAnsiTheme="majorHAnsi" w:cstheme="minorHAnsi"/>
          <w:lang w:val="en"/>
        </w:rPr>
      </w:pPr>
      <w:proofErr w:type="spellStart"/>
      <w:r w:rsidRPr="00453A59">
        <w:rPr>
          <w:rFonts w:asciiTheme="majorHAnsi" w:hAnsiTheme="majorHAnsi" w:cstheme="minorHAnsi"/>
          <w:lang w:val="en"/>
        </w:rPr>
        <w:t>VeraS</w:t>
      </w:r>
      <w:r w:rsidR="00E0704B" w:rsidRPr="00453A59">
        <w:rPr>
          <w:rFonts w:asciiTheme="majorHAnsi" w:hAnsiTheme="majorHAnsi" w:cstheme="minorHAnsi"/>
          <w:lang w:val="en"/>
        </w:rPr>
        <w:t>eal</w:t>
      </w:r>
      <w:proofErr w:type="spellEnd"/>
      <w:r w:rsidR="00E0704B" w:rsidRPr="00453A59">
        <w:rPr>
          <w:rFonts w:asciiTheme="majorHAnsi" w:hAnsiTheme="majorHAnsi" w:cstheme="minorHAnsi"/>
          <w:lang w:val="en"/>
        </w:rPr>
        <w:t xml:space="preserve"> is a two-component </w:t>
      </w:r>
      <w:r w:rsidR="00C947DD" w:rsidRPr="00453A59">
        <w:rPr>
          <w:rFonts w:asciiTheme="majorHAnsi" w:hAnsiTheme="majorHAnsi" w:cstheme="minorHAnsi"/>
          <w:lang w:val="en"/>
        </w:rPr>
        <w:t xml:space="preserve">fibrin sealant made of </w:t>
      </w:r>
      <w:r w:rsidR="00E0704B" w:rsidRPr="00453A59">
        <w:rPr>
          <w:rFonts w:asciiTheme="majorHAnsi" w:hAnsiTheme="majorHAnsi" w:cstheme="minorHAnsi"/>
          <w:lang w:val="en"/>
        </w:rPr>
        <w:t>frozen</w:t>
      </w:r>
      <w:r w:rsidR="003A4105" w:rsidRPr="00453A59">
        <w:rPr>
          <w:rFonts w:asciiTheme="majorHAnsi" w:hAnsiTheme="majorHAnsi" w:cstheme="minorHAnsi"/>
          <w:lang w:val="en"/>
        </w:rPr>
        <w:t xml:space="preserve"> sterile solution</w:t>
      </w:r>
      <w:r w:rsidR="00594983" w:rsidRPr="00453A59">
        <w:rPr>
          <w:rFonts w:asciiTheme="majorHAnsi" w:hAnsiTheme="majorHAnsi" w:cstheme="minorHAnsi"/>
          <w:lang w:val="en"/>
        </w:rPr>
        <w:t>s of h</w:t>
      </w:r>
      <w:r w:rsidR="004D1342" w:rsidRPr="00453A59">
        <w:rPr>
          <w:rFonts w:asciiTheme="majorHAnsi" w:hAnsiTheme="majorHAnsi" w:cstheme="minorHAnsi"/>
          <w:lang w:val="en"/>
        </w:rPr>
        <w:t>uman fibrinogen and human thrombin</w:t>
      </w:r>
      <w:r w:rsidR="003A4105" w:rsidRPr="00453A59">
        <w:rPr>
          <w:rFonts w:asciiTheme="majorHAnsi" w:hAnsiTheme="majorHAnsi" w:cstheme="minorHAnsi"/>
          <w:lang w:val="en"/>
        </w:rPr>
        <w:t xml:space="preserve"> </w:t>
      </w:r>
      <w:r w:rsidR="004D1342" w:rsidRPr="00453A59">
        <w:rPr>
          <w:rFonts w:asciiTheme="majorHAnsi" w:hAnsiTheme="majorHAnsi" w:cstheme="minorHAnsi"/>
          <w:lang w:val="en"/>
        </w:rPr>
        <w:t>produced from the plasma of human donors.</w:t>
      </w:r>
      <w:r w:rsidR="00594983" w:rsidRPr="00453A59">
        <w:rPr>
          <w:rFonts w:asciiTheme="majorHAnsi" w:hAnsiTheme="majorHAnsi" w:cstheme="minorHAnsi"/>
          <w:lang w:val="en"/>
        </w:rPr>
        <w:t xml:space="preserve"> </w:t>
      </w:r>
    </w:p>
    <w:p w14:paraId="4A8DC494" w14:textId="77777777" w:rsidR="000E4F24" w:rsidRPr="00453A59" w:rsidRDefault="000E4F24" w:rsidP="00660112">
      <w:pPr>
        <w:spacing w:after="0" w:line="240" w:lineRule="auto"/>
        <w:rPr>
          <w:rFonts w:asciiTheme="majorHAnsi" w:hAnsiTheme="majorHAnsi" w:cstheme="minorHAnsi"/>
          <w:lang w:val="en"/>
        </w:rPr>
      </w:pPr>
    </w:p>
    <w:p w14:paraId="7727E80C" w14:textId="49A2F826" w:rsidR="005E21D3" w:rsidRPr="009C7E7F" w:rsidRDefault="000E4F24" w:rsidP="009C7E7F">
      <w:pPr>
        <w:spacing w:after="0" w:line="240" w:lineRule="auto"/>
        <w:rPr>
          <w:rFonts w:asciiTheme="majorHAnsi" w:hAnsiTheme="majorHAnsi"/>
        </w:rPr>
      </w:pPr>
      <w:r w:rsidRPr="00453A59">
        <w:rPr>
          <w:rFonts w:asciiTheme="majorHAnsi" w:hAnsiTheme="majorHAnsi"/>
        </w:rPr>
        <w:t xml:space="preserve">Cohn’s plasma fractionation method is used to obtain Fraction I, which is the starting material </w:t>
      </w:r>
      <w:proofErr w:type="gramStart"/>
      <w:r w:rsidRPr="00453A59">
        <w:rPr>
          <w:rFonts w:asciiTheme="majorHAnsi" w:hAnsiTheme="majorHAnsi"/>
        </w:rPr>
        <w:t>for the production of</w:t>
      </w:r>
      <w:proofErr w:type="gramEnd"/>
      <w:r w:rsidRPr="00453A59">
        <w:rPr>
          <w:rFonts w:asciiTheme="majorHAnsi" w:hAnsiTheme="majorHAnsi"/>
        </w:rPr>
        <w:t xml:space="preserve"> fibrinogen, and the prothrombin complex isolated from supernatant of Fraction I, which is the starting material for the production of thrombin. The purification process of fibrinogen includes solvent/detergent treatment, three glycine precipitation steps, and double nanofiltration using 35-nm and 20-nm filters. The purification process of thrombin includes solvent/detergent treatment, ion exchange chromatography, and double nanofiltration through 15-nm filters. After nanofiltration, the fibrinogen and thrombin solutions are formulated, sterile filtered, aseptically filled in syringes, packaged, sterilized, and frozen.</w:t>
      </w:r>
    </w:p>
    <w:p w14:paraId="7F2D6180" w14:textId="77777777" w:rsidR="001A3992" w:rsidRDefault="001A3992" w:rsidP="00693361">
      <w:pPr>
        <w:pStyle w:val="Heading1"/>
        <w:numPr>
          <w:ilvl w:val="0"/>
          <w:numId w:val="20"/>
        </w:numPr>
        <w:spacing w:before="0" w:after="120"/>
        <w:rPr>
          <w:rFonts w:cstheme="minorHAnsi"/>
        </w:rPr>
      </w:pPr>
      <w:r w:rsidRPr="00497C85">
        <w:rPr>
          <w:rFonts w:cstheme="minorHAnsi"/>
        </w:rPr>
        <w:lastRenderedPageBreak/>
        <w:t>Pharmaceutical form</w:t>
      </w:r>
    </w:p>
    <w:p w14:paraId="0B0265F0" w14:textId="77777777" w:rsidR="000102F7" w:rsidRDefault="000102F7" w:rsidP="00693361">
      <w:pPr>
        <w:keepNext/>
        <w:keepLines/>
        <w:rPr>
          <w:rFonts w:asciiTheme="majorHAnsi" w:hAnsiTheme="majorHAnsi" w:cstheme="minorHAnsi"/>
          <w:lang w:val="en"/>
        </w:rPr>
      </w:pPr>
      <w:r>
        <w:rPr>
          <w:rFonts w:asciiTheme="majorHAnsi" w:hAnsiTheme="majorHAnsi" w:cstheme="minorHAnsi"/>
          <w:lang w:val="en"/>
        </w:rPr>
        <w:t>Solutions for sealant.</w:t>
      </w:r>
    </w:p>
    <w:p w14:paraId="20EE48A3" w14:textId="3E902120" w:rsidR="009C7E7F" w:rsidRPr="004352E1" w:rsidRDefault="000102F7" w:rsidP="00693361">
      <w:pPr>
        <w:keepNext/>
        <w:keepLines/>
        <w:rPr>
          <w:rFonts w:asciiTheme="majorHAnsi" w:hAnsiTheme="majorHAnsi" w:cstheme="minorHAnsi"/>
          <w:lang w:val="en"/>
        </w:rPr>
      </w:pPr>
      <w:r>
        <w:rPr>
          <w:rFonts w:asciiTheme="majorHAnsi" w:hAnsiTheme="majorHAnsi" w:cstheme="minorHAnsi"/>
          <w:lang w:val="en"/>
        </w:rPr>
        <w:t xml:space="preserve">Frozen solutions. After thawing, the solutions are clear or slightly opalescent and </w:t>
      </w:r>
      <w:proofErr w:type="spellStart"/>
      <w:r>
        <w:rPr>
          <w:rFonts w:asciiTheme="majorHAnsi" w:hAnsiTheme="majorHAnsi" w:cstheme="minorHAnsi"/>
          <w:lang w:val="en"/>
        </w:rPr>
        <w:t>colourless</w:t>
      </w:r>
      <w:proofErr w:type="spellEnd"/>
      <w:r>
        <w:rPr>
          <w:rFonts w:asciiTheme="majorHAnsi" w:hAnsiTheme="majorHAnsi" w:cstheme="minorHAnsi"/>
          <w:lang w:val="en"/>
        </w:rPr>
        <w:t xml:space="preserve"> or pale yellow. </w:t>
      </w:r>
    </w:p>
    <w:p w14:paraId="7862E75C" w14:textId="77777777" w:rsidR="001A3992" w:rsidRPr="00497C85" w:rsidRDefault="001A3992" w:rsidP="009C7E7F">
      <w:pPr>
        <w:pStyle w:val="Heading1"/>
        <w:numPr>
          <w:ilvl w:val="0"/>
          <w:numId w:val="20"/>
        </w:numPr>
        <w:spacing w:before="0" w:after="120"/>
        <w:rPr>
          <w:rFonts w:cstheme="minorHAnsi"/>
        </w:rPr>
      </w:pPr>
      <w:r w:rsidRPr="00497C85">
        <w:rPr>
          <w:rFonts w:cstheme="minorHAnsi"/>
        </w:rPr>
        <w:t>Clinical particulars</w:t>
      </w:r>
    </w:p>
    <w:p w14:paraId="70DBECDE" w14:textId="7F53710F" w:rsidR="002D5BCD" w:rsidRPr="009C7E7F" w:rsidRDefault="003B4DCA" w:rsidP="00435035">
      <w:pPr>
        <w:pStyle w:val="Heading2"/>
        <w:numPr>
          <w:ilvl w:val="0"/>
          <w:numId w:val="0"/>
        </w:numPr>
        <w:spacing w:before="0" w:after="120"/>
        <w:ind w:left="578" w:hanging="578"/>
        <w:rPr>
          <w:rFonts w:cstheme="minorHAnsi"/>
        </w:rPr>
      </w:pPr>
      <w:r>
        <w:rPr>
          <w:rFonts w:cstheme="minorHAnsi"/>
        </w:rPr>
        <w:t>4.1</w:t>
      </w:r>
      <w:r>
        <w:rPr>
          <w:rFonts w:cstheme="minorHAnsi"/>
        </w:rPr>
        <w:tab/>
      </w:r>
      <w:r w:rsidR="001A3992" w:rsidRPr="00497C85">
        <w:rPr>
          <w:rFonts w:cstheme="minorHAnsi"/>
        </w:rPr>
        <w:t xml:space="preserve">Therapeutic indications </w:t>
      </w:r>
    </w:p>
    <w:p w14:paraId="04F827CE" w14:textId="77322CCC" w:rsidR="002D5BCD" w:rsidRPr="00453A59" w:rsidRDefault="002D5BCD" w:rsidP="00212C8D">
      <w:pPr>
        <w:rPr>
          <w:rFonts w:asciiTheme="majorHAnsi" w:hAnsiTheme="majorHAnsi"/>
          <w:iCs/>
          <w:lang w:val="en-US"/>
        </w:rPr>
      </w:pPr>
      <w:proofErr w:type="spellStart"/>
      <w:r w:rsidRPr="00DB04B7">
        <w:rPr>
          <w:rFonts w:asciiTheme="majorHAnsi" w:hAnsiTheme="majorHAnsi"/>
          <w:iCs/>
          <w:lang w:val="en-US"/>
        </w:rPr>
        <w:t>VeraSeal</w:t>
      </w:r>
      <w:proofErr w:type="spellEnd"/>
      <w:r w:rsidRPr="00DB04B7">
        <w:rPr>
          <w:rFonts w:asciiTheme="majorHAnsi" w:hAnsiTheme="majorHAnsi"/>
          <w:iCs/>
          <w:lang w:val="en-US"/>
        </w:rPr>
        <w:t xml:space="preserve"> is used as supportive treatment in adults where standard surgical techniques are </w:t>
      </w:r>
      <w:r w:rsidRPr="00453A59">
        <w:rPr>
          <w:rFonts w:asciiTheme="majorHAnsi" w:hAnsiTheme="majorHAnsi"/>
          <w:iCs/>
          <w:lang w:val="en-US"/>
        </w:rPr>
        <w:t xml:space="preserve">insufficient, for improvement of hemostasis. </w:t>
      </w:r>
    </w:p>
    <w:p w14:paraId="21600B58" w14:textId="0791CBB0" w:rsidR="001A3992" w:rsidRPr="00453A59" w:rsidRDefault="003B4DCA" w:rsidP="00435035">
      <w:pPr>
        <w:pStyle w:val="Heading2"/>
        <w:numPr>
          <w:ilvl w:val="0"/>
          <w:numId w:val="0"/>
        </w:numPr>
        <w:spacing w:before="0" w:after="120"/>
        <w:ind w:left="578" w:hanging="578"/>
        <w:rPr>
          <w:rFonts w:cstheme="minorHAnsi"/>
        </w:rPr>
      </w:pPr>
      <w:r w:rsidRPr="00453A59">
        <w:rPr>
          <w:rFonts w:cstheme="minorHAnsi"/>
        </w:rPr>
        <w:t xml:space="preserve">4.2 </w:t>
      </w:r>
      <w:r w:rsidRPr="00453A59">
        <w:rPr>
          <w:rFonts w:cstheme="minorHAnsi"/>
        </w:rPr>
        <w:tab/>
        <w:t xml:space="preserve"> </w:t>
      </w:r>
      <w:r w:rsidR="001A3992" w:rsidRPr="00453A59">
        <w:rPr>
          <w:rFonts w:cstheme="minorHAnsi"/>
        </w:rPr>
        <w:t xml:space="preserve">Dose and method of administration </w:t>
      </w:r>
    </w:p>
    <w:p w14:paraId="7C9FF938" w14:textId="0F2949F6" w:rsidR="00055444" w:rsidRPr="00055444" w:rsidRDefault="00055444" w:rsidP="00055444">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The use of </w:t>
      </w: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is restricted to experienced surgeons who have been trained in the use of this medicinal product.</w:t>
      </w:r>
      <w:r w:rsidR="00CE42E6" w:rsidRPr="00453A59">
        <w:rPr>
          <w:rFonts w:asciiTheme="majorHAnsi" w:hAnsiTheme="majorHAnsi" w:cs="Times New Roman"/>
          <w:lang w:val="en-US"/>
        </w:rPr>
        <w:t xml:space="preserve"> </w:t>
      </w:r>
      <w:r w:rsidR="00AB192F" w:rsidRPr="00453A59">
        <w:rPr>
          <w:rFonts w:asciiTheme="majorHAnsi" w:hAnsiTheme="majorHAnsi" w:cs="Times New Roman"/>
          <w:lang w:val="en-US" w:eastAsia="en-GB"/>
        </w:rPr>
        <w:t>E</w:t>
      </w:r>
      <w:r w:rsidR="00CE42E6" w:rsidRPr="00453A59">
        <w:rPr>
          <w:rFonts w:asciiTheme="majorHAnsi" w:hAnsiTheme="majorHAnsi" w:cs="Times New Roman"/>
          <w:lang w:val="en-US" w:eastAsia="en-GB"/>
        </w:rPr>
        <w:t>ducational materials</w:t>
      </w:r>
      <w:r w:rsidR="00AB192F" w:rsidRPr="00453A59">
        <w:rPr>
          <w:rFonts w:asciiTheme="majorHAnsi" w:hAnsiTheme="majorHAnsi" w:cs="Times New Roman"/>
          <w:lang w:val="en-US" w:eastAsia="en-GB"/>
        </w:rPr>
        <w:t xml:space="preserve"> for health professionals are available</w:t>
      </w:r>
      <w:r w:rsidR="00EB037C" w:rsidRPr="00453A59">
        <w:rPr>
          <w:rFonts w:asciiTheme="majorHAnsi" w:hAnsiTheme="majorHAnsi" w:cs="Times New Roman"/>
          <w:lang w:val="en-US" w:eastAsia="en-GB"/>
        </w:rPr>
        <w:t xml:space="preserve"> via Johnson &amp; Johnson </w:t>
      </w:r>
      <w:r w:rsidR="008221D2" w:rsidRPr="00453A59">
        <w:rPr>
          <w:rFonts w:asciiTheme="majorHAnsi" w:hAnsiTheme="majorHAnsi" w:cs="Times New Roman"/>
          <w:lang w:val="en-US" w:eastAsia="en-GB"/>
        </w:rPr>
        <w:t xml:space="preserve">Medical </w:t>
      </w:r>
      <w:r w:rsidR="00EB037C" w:rsidRPr="00453A59">
        <w:rPr>
          <w:rFonts w:asciiTheme="majorHAnsi" w:hAnsiTheme="majorHAnsi" w:cs="Times New Roman"/>
          <w:lang w:val="en-US" w:eastAsia="en-GB"/>
        </w:rPr>
        <w:t>product specialists</w:t>
      </w:r>
      <w:r w:rsidR="006A0335" w:rsidRPr="00453A59">
        <w:rPr>
          <w:rFonts w:asciiTheme="majorHAnsi" w:hAnsiTheme="majorHAnsi" w:cs="Times New Roman"/>
          <w:lang w:val="en-US" w:eastAsia="en-GB"/>
        </w:rPr>
        <w:t>.</w:t>
      </w:r>
      <w:r w:rsidR="00AB192F" w:rsidRPr="00453A59">
        <w:rPr>
          <w:rFonts w:asciiTheme="majorHAnsi" w:hAnsiTheme="majorHAnsi" w:cs="Times New Roman"/>
          <w:lang w:val="en-US" w:eastAsia="en-GB"/>
        </w:rPr>
        <w:t xml:space="preserve"> </w:t>
      </w:r>
      <w:r w:rsidR="00DB194A" w:rsidRPr="00453A59">
        <w:rPr>
          <w:rFonts w:asciiTheme="majorHAnsi" w:hAnsiTheme="majorHAnsi" w:cs="Times New Roman"/>
          <w:lang w:val="en-US" w:eastAsia="en-GB"/>
        </w:rPr>
        <w:t>Please call 1800 252 194 and select Johnson &amp; Johnson Medical from the menu options.</w:t>
      </w:r>
      <w:r w:rsidR="00CE42E6" w:rsidRPr="005E21D3">
        <w:rPr>
          <w:rFonts w:asciiTheme="majorHAnsi" w:hAnsiTheme="majorHAnsi" w:cs="Times New Roman"/>
          <w:lang w:val="en-US" w:eastAsia="en-GB"/>
        </w:rPr>
        <w:t xml:space="preserve"> </w:t>
      </w:r>
    </w:p>
    <w:p w14:paraId="2028D9C6" w14:textId="77777777" w:rsidR="00055444" w:rsidRDefault="00055444" w:rsidP="00055444">
      <w:pPr>
        <w:autoSpaceDE w:val="0"/>
        <w:autoSpaceDN w:val="0"/>
        <w:adjustRightInd w:val="0"/>
        <w:spacing w:after="0" w:line="240" w:lineRule="auto"/>
        <w:rPr>
          <w:rFonts w:asciiTheme="majorHAnsi" w:hAnsiTheme="majorHAnsi" w:cs="Times New Roman"/>
          <w:lang w:val="en-US"/>
        </w:rPr>
      </w:pPr>
    </w:p>
    <w:p w14:paraId="5A37414B" w14:textId="77777777" w:rsidR="00055444" w:rsidRPr="006701FE" w:rsidRDefault="00055444" w:rsidP="00055444">
      <w:pPr>
        <w:autoSpaceDE w:val="0"/>
        <w:autoSpaceDN w:val="0"/>
        <w:adjustRightInd w:val="0"/>
        <w:spacing w:after="0" w:line="240" w:lineRule="auto"/>
        <w:rPr>
          <w:rFonts w:asciiTheme="majorHAnsi" w:hAnsiTheme="majorHAnsi" w:cs="Times New Roman"/>
          <w:b/>
          <w:bCs/>
          <w:lang w:val="en-US"/>
        </w:rPr>
      </w:pPr>
      <w:r w:rsidRPr="006701FE">
        <w:rPr>
          <w:rFonts w:asciiTheme="majorHAnsi" w:hAnsiTheme="majorHAnsi" w:cs="Times New Roman"/>
          <w:b/>
          <w:bCs/>
          <w:lang w:val="en-US"/>
        </w:rPr>
        <w:t>D</w:t>
      </w:r>
      <w:r w:rsidR="006701FE" w:rsidRPr="006701FE">
        <w:rPr>
          <w:rFonts w:asciiTheme="majorHAnsi" w:hAnsiTheme="majorHAnsi" w:cs="Times New Roman"/>
          <w:b/>
          <w:bCs/>
          <w:lang w:val="en-US"/>
        </w:rPr>
        <w:t>ose</w:t>
      </w:r>
    </w:p>
    <w:p w14:paraId="14D0B536" w14:textId="77777777" w:rsidR="00055444" w:rsidRDefault="00055444" w:rsidP="00055444">
      <w:pPr>
        <w:autoSpaceDE w:val="0"/>
        <w:autoSpaceDN w:val="0"/>
        <w:adjustRightInd w:val="0"/>
        <w:spacing w:after="0" w:line="240" w:lineRule="auto"/>
        <w:rPr>
          <w:rFonts w:asciiTheme="majorHAnsi" w:hAnsiTheme="majorHAnsi" w:cs="Times New Roman"/>
          <w:lang w:val="en-US"/>
        </w:rPr>
      </w:pPr>
      <w:r w:rsidRPr="00055444">
        <w:rPr>
          <w:rFonts w:asciiTheme="majorHAnsi" w:hAnsiTheme="majorHAnsi" w:cs="Times New Roman"/>
          <w:lang w:val="en-US"/>
        </w:rPr>
        <w:t xml:space="preserve">The volume of </w:t>
      </w:r>
      <w:proofErr w:type="spellStart"/>
      <w:r w:rsidRPr="00055444">
        <w:rPr>
          <w:rFonts w:asciiTheme="majorHAnsi" w:hAnsiTheme="majorHAnsi" w:cs="Times New Roman"/>
          <w:lang w:val="en-US"/>
        </w:rPr>
        <w:t>VeraSeal</w:t>
      </w:r>
      <w:proofErr w:type="spellEnd"/>
      <w:r w:rsidRPr="00055444">
        <w:rPr>
          <w:rFonts w:asciiTheme="majorHAnsi" w:hAnsiTheme="majorHAnsi" w:cs="Times New Roman"/>
          <w:lang w:val="en-US"/>
        </w:rPr>
        <w:t xml:space="preserve"> to be applied and the frequency of applic</w:t>
      </w:r>
      <w:r>
        <w:rPr>
          <w:rFonts w:asciiTheme="majorHAnsi" w:hAnsiTheme="majorHAnsi" w:cs="Times New Roman"/>
          <w:lang w:val="en-US"/>
        </w:rPr>
        <w:t xml:space="preserve">ation should always be oriented </w:t>
      </w:r>
      <w:r w:rsidRPr="00055444">
        <w:rPr>
          <w:rFonts w:asciiTheme="majorHAnsi" w:hAnsiTheme="majorHAnsi" w:cs="Times New Roman"/>
          <w:lang w:val="en-US"/>
        </w:rPr>
        <w:t>towards the underlying clinical needs for the patient.</w:t>
      </w:r>
    </w:p>
    <w:p w14:paraId="25C49FBA" w14:textId="77777777" w:rsidR="00055444" w:rsidRPr="00055444" w:rsidRDefault="00055444" w:rsidP="00055444">
      <w:pPr>
        <w:autoSpaceDE w:val="0"/>
        <w:autoSpaceDN w:val="0"/>
        <w:adjustRightInd w:val="0"/>
        <w:spacing w:after="0" w:line="240" w:lineRule="auto"/>
        <w:rPr>
          <w:rFonts w:asciiTheme="majorHAnsi" w:hAnsiTheme="majorHAnsi" w:cs="Times New Roman"/>
          <w:lang w:val="en-US"/>
        </w:rPr>
      </w:pPr>
    </w:p>
    <w:p w14:paraId="728CA312" w14:textId="45D6F388" w:rsidR="00055444" w:rsidRPr="00055444" w:rsidRDefault="00055444" w:rsidP="00055444">
      <w:pPr>
        <w:autoSpaceDE w:val="0"/>
        <w:autoSpaceDN w:val="0"/>
        <w:adjustRightInd w:val="0"/>
        <w:spacing w:after="0" w:line="240" w:lineRule="auto"/>
        <w:rPr>
          <w:rFonts w:asciiTheme="majorHAnsi" w:hAnsiTheme="majorHAnsi" w:cs="Times New Roman"/>
          <w:lang w:val="en-US"/>
        </w:rPr>
      </w:pPr>
      <w:r w:rsidRPr="00055444">
        <w:rPr>
          <w:rFonts w:asciiTheme="majorHAnsi" w:hAnsiTheme="majorHAnsi" w:cs="Times New Roman"/>
          <w:lang w:val="en-US"/>
        </w:rPr>
        <w:t>The dose to be applied is governed by variables including, but not limited to, the type of surgical</w:t>
      </w:r>
      <w:r w:rsidR="00D913A9">
        <w:rPr>
          <w:rFonts w:asciiTheme="majorHAnsi" w:hAnsiTheme="majorHAnsi" w:cs="Times New Roman"/>
          <w:lang w:val="en-US"/>
        </w:rPr>
        <w:t xml:space="preserve"> </w:t>
      </w:r>
      <w:r w:rsidRPr="00055444">
        <w:rPr>
          <w:rFonts w:asciiTheme="majorHAnsi" w:hAnsiTheme="majorHAnsi" w:cs="Times New Roman"/>
          <w:lang w:val="en-US"/>
        </w:rPr>
        <w:t>intervention, the size of the area and the mode of intended application, and the number of applications.</w:t>
      </w:r>
    </w:p>
    <w:p w14:paraId="1858CD33" w14:textId="77777777" w:rsidR="00055444" w:rsidRDefault="00055444" w:rsidP="00055444">
      <w:pPr>
        <w:autoSpaceDE w:val="0"/>
        <w:autoSpaceDN w:val="0"/>
        <w:adjustRightInd w:val="0"/>
        <w:spacing w:after="0" w:line="240" w:lineRule="auto"/>
        <w:rPr>
          <w:rFonts w:asciiTheme="majorHAnsi" w:hAnsiTheme="majorHAnsi" w:cs="Times New Roman"/>
          <w:lang w:val="en-US"/>
        </w:rPr>
      </w:pPr>
    </w:p>
    <w:p w14:paraId="17A118E2" w14:textId="1AF85FB8" w:rsidR="00055444" w:rsidRDefault="00055444" w:rsidP="00055444">
      <w:pPr>
        <w:autoSpaceDE w:val="0"/>
        <w:autoSpaceDN w:val="0"/>
        <w:adjustRightInd w:val="0"/>
        <w:spacing w:after="0" w:line="240" w:lineRule="auto"/>
        <w:rPr>
          <w:rFonts w:asciiTheme="majorHAnsi" w:hAnsiTheme="majorHAnsi" w:cs="Times New Roman"/>
          <w:lang w:val="en-US"/>
        </w:rPr>
      </w:pPr>
      <w:r w:rsidRPr="00055444">
        <w:rPr>
          <w:rFonts w:asciiTheme="majorHAnsi" w:hAnsiTheme="majorHAnsi" w:cs="Times New Roman"/>
          <w:lang w:val="en-US"/>
        </w:rPr>
        <w:t xml:space="preserve">Application of the product must be </w:t>
      </w:r>
      <w:proofErr w:type="spellStart"/>
      <w:r w:rsidRPr="00055444">
        <w:rPr>
          <w:rFonts w:asciiTheme="majorHAnsi" w:hAnsiTheme="majorHAnsi" w:cs="Times New Roman"/>
          <w:lang w:val="en-US"/>
        </w:rPr>
        <w:t>individualised</w:t>
      </w:r>
      <w:proofErr w:type="spellEnd"/>
      <w:r w:rsidRPr="00055444">
        <w:rPr>
          <w:rFonts w:asciiTheme="majorHAnsi" w:hAnsiTheme="majorHAnsi" w:cs="Times New Roman"/>
          <w:lang w:val="en-US"/>
        </w:rPr>
        <w:t xml:space="preserve"> by the treating physician. In clinical trials, the</w:t>
      </w:r>
      <w:r w:rsidR="00D913A9">
        <w:rPr>
          <w:rFonts w:asciiTheme="majorHAnsi" w:hAnsiTheme="majorHAnsi" w:cs="Times New Roman"/>
          <w:lang w:val="en-US"/>
        </w:rPr>
        <w:t xml:space="preserve"> </w:t>
      </w:r>
      <w:r w:rsidRPr="00055444">
        <w:rPr>
          <w:rFonts w:asciiTheme="majorHAnsi" w:hAnsiTheme="majorHAnsi" w:cs="Times New Roman"/>
          <w:lang w:val="en-US"/>
        </w:rPr>
        <w:t xml:space="preserve">individual dosages have typically ranged from 0.3 to 12 </w:t>
      </w:r>
      <w:proofErr w:type="spellStart"/>
      <w:r w:rsidRPr="00055444">
        <w:rPr>
          <w:rFonts w:asciiTheme="majorHAnsi" w:hAnsiTheme="majorHAnsi" w:cs="Times New Roman"/>
          <w:lang w:val="en-US"/>
        </w:rPr>
        <w:t>m</w:t>
      </w:r>
      <w:r w:rsidR="008C4BE5">
        <w:rPr>
          <w:rFonts w:asciiTheme="majorHAnsi" w:hAnsiTheme="majorHAnsi" w:cs="Times New Roman"/>
          <w:lang w:val="en-US"/>
        </w:rPr>
        <w:t>L</w:t>
      </w:r>
      <w:r w:rsidRPr="00055444">
        <w:rPr>
          <w:rFonts w:asciiTheme="majorHAnsi" w:hAnsiTheme="majorHAnsi" w:cs="Times New Roman"/>
          <w:lang w:val="en-US"/>
        </w:rPr>
        <w:t>.</w:t>
      </w:r>
      <w:proofErr w:type="spellEnd"/>
      <w:r w:rsidRPr="00055444">
        <w:rPr>
          <w:rFonts w:asciiTheme="majorHAnsi" w:hAnsiTheme="majorHAnsi" w:cs="Times New Roman"/>
          <w:lang w:val="en-US"/>
        </w:rPr>
        <w:t xml:space="preserve"> For other</w:t>
      </w:r>
      <w:r>
        <w:rPr>
          <w:rFonts w:asciiTheme="majorHAnsi" w:hAnsiTheme="majorHAnsi" w:cs="Times New Roman"/>
          <w:lang w:val="en-US"/>
        </w:rPr>
        <w:t xml:space="preserve"> procedures, larger volumes may </w:t>
      </w:r>
      <w:r w:rsidRPr="00055444">
        <w:rPr>
          <w:rFonts w:asciiTheme="majorHAnsi" w:hAnsiTheme="majorHAnsi" w:cs="Times New Roman"/>
          <w:lang w:val="en-US"/>
        </w:rPr>
        <w:t>be required.</w:t>
      </w:r>
    </w:p>
    <w:p w14:paraId="1A444562" w14:textId="77777777" w:rsidR="006701FE" w:rsidRDefault="006701FE" w:rsidP="00055444">
      <w:pPr>
        <w:autoSpaceDE w:val="0"/>
        <w:autoSpaceDN w:val="0"/>
        <w:adjustRightInd w:val="0"/>
        <w:spacing w:after="0" w:line="240" w:lineRule="auto"/>
        <w:rPr>
          <w:rFonts w:asciiTheme="majorHAnsi" w:hAnsiTheme="majorHAnsi" w:cs="Times New Roman"/>
          <w:lang w:val="en-US"/>
        </w:rPr>
      </w:pPr>
    </w:p>
    <w:p w14:paraId="48268BAE" w14:textId="77777777" w:rsidR="006701FE" w:rsidRDefault="006701FE" w:rsidP="006701FE">
      <w:pPr>
        <w:autoSpaceDE w:val="0"/>
        <w:autoSpaceDN w:val="0"/>
        <w:adjustRightInd w:val="0"/>
        <w:spacing w:after="0" w:line="240" w:lineRule="auto"/>
        <w:rPr>
          <w:rFonts w:asciiTheme="majorHAnsi" w:hAnsiTheme="majorHAnsi" w:cs="Times New Roman"/>
          <w:lang w:val="en-US"/>
        </w:rPr>
      </w:pPr>
      <w:r w:rsidRPr="006701FE">
        <w:rPr>
          <w:rFonts w:asciiTheme="majorHAnsi" w:hAnsiTheme="majorHAnsi" w:cs="Times New Roman"/>
          <w:lang w:val="en-US"/>
        </w:rPr>
        <w:t>The initial volume of the product to be applied at a chosen anatomic sit</w:t>
      </w:r>
      <w:r>
        <w:rPr>
          <w:rFonts w:asciiTheme="majorHAnsi" w:hAnsiTheme="majorHAnsi" w:cs="Times New Roman"/>
          <w:lang w:val="en-US"/>
        </w:rPr>
        <w:t xml:space="preserve">e or target surface area should </w:t>
      </w:r>
      <w:r w:rsidRPr="006701FE">
        <w:rPr>
          <w:rFonts w:asciiTheme="majorHAnsi" w:hAnsiTheme="majorHAnsi" w:cs="Times New Roman"/>
          <w:lang w:val="en-US"/>
        </w:rPr>
        <w:t xml:space="preserve">be sufficient to entirely cover the intended application area. The </w:t>
      </w:r>
      <w:r>
        <w:rPr>
          <w:rFonts w:asciiTheme="majorHAnsi" w:hAnsiTheme="majorHAnsi" w:cs="Times New Roman"/>
          <w:lang w:val="en-US"/>
        </w:rPr>
        <w:t xml:space="preserve">application can be repeated, if </w:t>
      </w:r>
      <w:r w:rsidRPr="006701FE">
        <w:rPr>
          <w:rFonts w:asciiTheme="majorHAnsi" w:hAnsiTheme="majorHAnsi" w:cs="Times New Roman"/>
          <w:lang w:val="en-US"/>
        </w:rPr>
        <w:t>necessary.</w:t>
      </w:r>
    </w:p>
    <w:p w14:paraId="09C96C34" w14:textId="77777777" w:rsidR="006701FE" w:rsidRPr="006701FE" w:rsidRDefault="006701FE" w:rsidP="006701FE">
      <w:pPr>
        <w:autoSpaceDE w:val="0"/>
        <w:autoSpaceDN w:val="0"/>
        <w:adjustRightInd w:val="0"/>
        <w:spacing w:after="0" w:line="240" w:lineRule="auto"/>
        <w:rPr>
          <w:rFonts w:asciiTheme="majorHAnsi" w:hAnsiTheme="majorHAnsi" w:cs="Times New Roman"/>
          <w:lang w:val="en-US"/>
        </w:rPr>
      </w:pPr>
    </w:p>
    <w:p w14:paraId="0F48C024" w14:textId="77777777" w:rsidR="006701FE" w:rsidRPr="002357CE" w:rsidRDefault="006701FE" w:rsidP="006701FE">
      <w:pPr>
        <w:autoSpaceDE w:val="0"/>
        <w:autoSpaceDN w:val="0"/>
        <w:adjustRightInd w:val="0"/>
        <w:spacing w:after="0" w:line="240" w:lineRule="auto"/>
        <w:rPr>
          <w:rFonts w:asciiTheme="majorHAnsi" w:hAnsiTheme="majorHAnsi" w:cs="Times New Roman"/>
          <w:i/>
          <w:iCs/>
          <w:lang w:val="en-US"/>
        </w:rPr>
      </w:pPr>
      <w:proofErr w:type="spellStart"/>
      <w:r w:rsidRPr="002357CE">
        <w:rPr>
          <w:rFonts w:asciiTheme="majorHAnsi" w:hAnsiTheme="majorHAnsi" w:cs="Times New Roman"/>
          <w:i/>
          <w:iCs/>
          <w:lang w:val="en-US"/>
        </w:rPr>
        <w:t>Paediatric</w:t>
      </w:r>
      <w:proofErr w:type="spellEnd"/>
      <w:r w:rsidRPr="002357CE">
        <w:rPr>
          <w:rFonts w:asciiTheme="majorHAnsi" w:hAnsiTheme="majorHAnsi" w:cs="Times New Roman"/>
          <w:i/>
          <w:iCs/>
          <w:lang w:val="en-US"/>
        </w:rPr>
        <w:t xml:space="preserve"> population</w:t>
      </w:r>
    </w:p>
    <w:p w14:paraId="14D62043" w14:textId="24A0DFBA" w:rsidR="006701FE" w:rsidRPr="002357CE" w:rsidRDefault="006701FE" w:rsidP="006701FE">
      <w:pPr>
        <w:autoSpaceDE w:val="0"/>
        <w:autoSpaceDN w:val="0"/>
        <w:adjustRightInd w:val="0"/>
        <w:spacing w:after="0" w:line="240" w:lineRule="auto"/>
        <w:rPr>
          <w:rFonts w:asciiTheme="majorHAnsi" w:hAnsiTheme="majorHAnsi" w:cs="Times New Roman"/>
          <w:lang w:val="en-US"/>
        </w:rPr>
      </w:pPr>
      <w:r w:rsidRPr="002357CE">
        <w:rPr>
          <w:rFonts w:asciiTheme="majorHAnsi" w:hAnsiTheme="majorHAnsi" w:cs="Times New Roman"/>
          <w:lang w:val="en-US"/>
        </w:rPr>
        <w:t xml:space="preserve">The safety and efficacy of </w:t>
      </w:r>
      <w:proofErr w:type="spellStart"/>
      <w:r w:rsidRPr="002357CE">
        <w:rPr>
          <w:rFonts w:asciiTheme="majorHAnsi" w:hAnsiTheme="majorHAnsi" w:cs="Times New Roman"/>
          <w:lang w:val="en-US"/>
        </w:rPr>
        <w:t>VeraSeal</w:t>
      </w:r>
      <w:proofErr w:type="spellEnd"/>
      <w:r w:rsidRPr="002357CE">
        <w:rPr>
          <w:rFonts w:asciiTheme="majorHAnsi" w:hAnsiTheme="majorHAnsi" w:cs="Times New Roman"/>
          <w:lang w:val="en-US"/>
        </w:rPr>
        <w:t xml:space="preserve"> in children aged 0 to 18 years has not yet been established.</w:t>
      </w:r>
      <w:r w:rsidR="00D913A9" w:rsidRPr="002357CE">
        <w:rPr>
          <w:rFonts w:asciiTheme="majorHAnsi" w:hAnsiTheme="majorHAnsi" w:cs="Times New Roman"/>
          <w:lang w:val="en-US"/>
        </w:rPr>
        <w:t xml:space="preserve"> </w:t>
      </w:r>
      <w:r w:rsidRPr="002357CE">
        <w:rPr>
          <w:rFonts w:asciiTheme="majorHAnsi" w:hAnsiTheme="majorHAnsi" w:cs="Times New Roman"/>
          <w:lang w:val="en-US"/>
        </w:rPr>
        <w:t>Currently available data are described in section 5.1, but no recommendation on a posology can be made.</w:t>
      </w:r>
    </w:p>
    <w:p w14:paraId="75A06F32" w14:textId="77777777" w:rsidR="006701FE" w:rsidRPr="002357CE" w:rsidRDefault="006701FE" w:rsidP="006701FE">
      <w:pPr>
        <w:autoSpaceDE w:val="0"/>
        <w:autoSpaceDN w:val="0"/>
        <w:adjustRightInd w:val="0"/>
        <w:spacing w:after="0" w:line="240" w:lineRule="auto"/>
        <w:rPr>
          <w:rFonts w:asciiTheme="majorHAnsi" w:hAnsiTheme="majorHAnsi" w:cs="Times New Roman"/>
          <w:lang w:val="en-US"/>
        </w:rPr>
      </w:pPr>
    </w:p>
    <w:p w14:paraId="26D6CE99" w14:textId="77777777" w:rsidR="006701FE" w:rsidRPr="002357CE" w:rsidRDefault="006701FE" w:rsidP="006701FE">
      <w:pPr>
        <w:autoSpaceDE w:val="0"/>
        <w:autoSpaceDN w:val="0"/>
        <w:adjustRightInd w:val="0"/>
        <w:spacing w:after="0" w:line="240" w:lineRule="auto"/>
        <w:rPr>
          <w:rFonts w:asciiTheme="majorHAnsi" w:hAnsiTheme="majorHAnsi" w:cs="Times New Roman"/>
          <w:b/>
          <w:bCs/>
          <w:lang w:val="en-US"/>
        </w:rPr>
      </w:pPr>
      <w:r w:rsidRPr="002357CE">
        <w:rPr>
          <w:rFonts w:asciiTheme="majorHAnsi" w:hAnsiTheme="majorHAnsi" w:cs="Times New Roman"/>
          <w:b/>
          <w:bCs/>
          <w:lang w:val="en-US"/>
        </w:rPr>
        <w:t>Method of administration</w:t>
      </w:r>
    </w:p>
    <w:p w14:paraId="19C079C2" w14:textId="77777777" w:rsidR="006701FE" w:rsidRPr="002357CE" w:rsidRDefault="006701FE" w:rsidP="006701FE">
      <w:pPr>
        <w:autoSpaceDE w:val="0"/>
        <w:autoSpaceDN w:val="0"/>
        <w:adjustRightInd w:val="0"/>
        <w:spacing w:after="0" w:line="240" w:lineRule="auto"/>
        <w:rPr>
          <w:rFonts w:asciiTheme="majorHAnsi" w:hAnsiTheme="majorHAnsi" w:cs="Times New Roman"/>
          <w:b/>
          <w:bCs/>
          <w:lang w:val="en-US"/>
        </w:rPr>
      </w:pPr>
    </w:p>
    <w:p w14:paraId="080BC778" w14:textId="63F19EBB" w:rsidR="006701FE" w:rsidRPr="00453A59" w:rsidRDefault="006701FE" w:rsidP="00D116AE">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For </w:t>
      </w:r>
      <w:proofErr w:type="spellStart"/>
      <w:r w:rsidRPr="00453A59">
        <w:rPr>
          <w:rFonts w:asciiTheme="majorHAnsi" w:hAnsiTheme="majorHAnsi" w:cs="Times New Roman"/>
          <w:lang w:val="en-US"/>
        </w:rPr>
        <w:t>epilesional</w:t>
      </w:r>
      <w:proofErr w:type="spellEnd"/>
      <w:r w:rsidRPr="00453A59">
        <w:rPr>
          <w:rFonts w:asciiTheme="majorHAnsi" w:hAnsiTheme="majorHAnsi" w:cs="Times New Roman"/>
          <w:lang w:val="en-US"/>
        </w:rPr>
        <w:t xml:space="preserve"> use</w:t>
      </w:r>
      <w:r w:rsidR="009D4F98" w:rsidRPr="00453A59">
        <w:rPr>
          <w:rFonts w:asciiTheme="majorHAnsi" w:hAnsiTheme="majorHAnsi" w:cs="Times New Roman"/>
          <w:lang w:val="en-US"/>
        </w:rPr>
        <w:t>.</w:t>
      </w:r>
      <w:r w:rsidRPr="00453A59">
        <w:rPr>
          <w:rFonts w:asciiTheme="majorHAnsi" w:hAnsiTheme="majorHAnsi" w:cs="Times New Roman"/>
          <w:lang w:val="en-US"/>
        </w:rPr>
        <w:t xml:space="preserve"> </w:t>
      </w:r>
    </w:p>
    <w:p w14:paraId="46EFFEB7" w14:textId="77777777" w:rsidR="006701FE" w:rsidRPr="00453A59" w:rsidRDefault="006701FE" w:rsidP="006701FE">
      <w:pPr>
        <w:autoSpaceDE w:val="0"/>
        <w:autoSpaceDN w:val="0"/>
        <w:adjustRightInd w:val="0"/>
        <w:spacing w:after="0" w:line="240" w:lineRule="auto"/>
        <w:rPr>
          <w:rFonts w:asciiTheme="majorHAnsi" w:hAnsiTheme="majorHAnsi" w:cs="Times New Roman"/>
          <w:lang w:val="en-US"/>
        </w:rPr>
      </w:pPr>
    </w:p>
    <w:p w14:paraId="000B8E32" w14:textId="2E08AF30" w:rsidR="006701FE" w:rsidRPr="006701FE" w:rsidRDefault="00212C8D" w:rsidP="00987D94">
      <w:pPr>
        <w:autoSpaceDE w:val="0"/>
        <w:autoSpaceDN w:val="0"/>
        <w:adjustRightInd w:val="0"/>
        <w:spacing w:after="0" w:line="240" w:lineRule="auto"/>
        <w:rPr>
          <w:rFonts w:asciiTheme="majorHAnsi" w:hAnsiTheme="majorHAnsi" w:cs="Times New Roman"/>
          <w:lang w:val="en-US"/>
        </w:rPr>
      </w:pP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must not be administered with gas assistance. </w:t>
      </w:r>
      <w:r w:rsidR="006701FE" w:rsidRPr="00453A59">
        <w:rPr>
          <w:rFonts w:asciiTheme="majorHAnsi" w:hAnsiTheme="majorHAnsi" w:cs="Times New Roman"/>
          <w:lang w:val="en-US"/>
        </w:rPr>
        <w:t xml:space="preserve">The product should only be administered according to the instructions and with the devices recommended </w:t>
      </w:r>
      <w:r w:rsidR="00987D94" w:rsidRPr="00453A59">
        <w:rPr>
          <w:rFonts w:asciiTheme="majorHAnsi" w:hAnsiTheme="majorHAnsi" w:cs="Times New Roman"/>
          <w:lang w:val="en-US"/>
        </w:rPr>
        <w:t>for this product</w:t>
      </w:r>
      <w:r w:rsidR="00EB037C" w:rsidRPr="00453A59">
        <w:rPr>
          <w:rFonts w:asciiTheme="majorHAnsi" w:hAnsiTheme="majorHAnsi" w:cs="Times New Roman"/>
          <w:lang w:val="en-US"/>
        </w:rPr>
        <w:t xml:space="preserve">, </w:t>
      </w:r>
      <w:proofErr w:type="spellStart"/>
      <w:r w:rsidR="00EB037C" w:rsidRPr="00453A59">
        <w:rPr>
          <w:rFonts w:asciiTheme="majorHAnsi" w:hAnsiTheme="majorHAnsi" w:cs="Times New Roman"/>
          <w:lang w:val="en-US"/>
        </w:rPr>
        <w:t>Vera</w:t>
      </w:r>
      <w:r w:rsidR="007518BF" w:rsidRPr="00453A59">
        <w:rPr>
          <w:rFonts w:asciiTheme="majorHAnsi" w:hAnsiTheme="majorHAnsi" w:cs="Times New Roman"/>
          <w:lang w:val="en-US"/>
        </w:rPr>
        <w:t>S</w:t>
      </w:r>
      <w:r w:rsidR="00EB037C" w:rsidRPr="00453A59">
        <w:rPr>
          <w:rFonts w:asciiTheme="majorHAnsi" w:hAnsiTheme="majorHAnsi" w:cs="Times New Roman"/>
          <w:lang w:val="en-US"/>
        </w:rPr>
        <w:t>eal</w:t>
      </w:r>
      <w:proofErr w:type="spellEnd"/>
      <w:r w:rsidR="00EB037C" w:rsidRPr="00453A59">
        <w:rPr>
          <w:rFonts w:asciiTheme="majorHAnsi" w:hAnsiTheme="majorHAnsi" w:cs="Times New Roman"/>
          <w:lang w:val="en-US"/>
        </w:rPr>
        <w:t xml:space="preserve"> Dual Applicator and associated accessory tips</w:t>
      </w:r>
      <w:r w:rsidR="000A4CCA" w:rsidRPr="00453A59">
        <w:rPr>
          <w:rFonts w:asciiTheme="majorHAnsi" w:hAnsiTheme="majorHAnsi" w:cs="Times New Roman"/>
          <w:lang w:val="en-US"/>
        </w:rPr>
        <w:t xml:space="preserve"> (ARTG 322483 and ARTG 322484)</w:t>
      </w:r>
      <w:r w:rsidR="00EB037C" w:rsidRPr="00453A59">
        <w:rPr>
          <w:rFonts w:asciiTheme="majorHAnsi" w:hAnsiTheme="majorHAnsi" w:cs="Times New Roman"/>
          <w:lang w:val="en-US"/>
        </w:rPr>
        <w:t>.</w:t>
      </w:r>
      <w:r w:rsidR="00EB037C">
        <w:rPr>
          <w:rFonts w:asciiTheme="majorHAnsi" w:hAnsiTheme="majorHAnsi" w:cs="Times New Roman"/>
          <w:lang w:val="en-US"/>
        </w:rPr>
        <w:t xml:space="preserve"> </w:t>
      </w:r>
    </w:p>
    <w:p w14:paraId="565AD43A" w14:textId="77777777" w:rsidR="006701FE" w:rsidRDefault="006701FE" w:rsidP="006701FE">
      <w:pPr>
        <w:autoSpaceDE w:val="0"/>
        <w:autoSpaceDN w:val="0"/>
        <w:adjustRightInd w:val="0"/>
        <w:spacing w:after="0" w:line="240" w:lineRule="auto"/>
        <w:rPr>
          <w:rFonts w:asciiTheme="majorHAnsi" w:hAnsiTheme="majorHAnsi" w:cs="Times New Roman"/>
          <w:lang w:val="en-US"/>
        </w:rPr>
      </w:pPr>
    </w:p>
    <w:p w14:paraId="758C9A86" w14:textId="77777777" w:rsidR="006701FE" w:rsidRDefault="006701FE" w:rsidP="006701FE">
      <w:pPr>
        <w:autoSpaceDE w:val="0"/>
        <w:autoSpaceDN w:val="0"/>
        <w:adjustRightInd w:val="0"/>
        <w:spacing w:after="0" w:line="240" w:lineRule="auto"/>
        <w:rPr>
          <w:rFonts w:asciiTheme="majorHAnsi" w:hAnsiTheme="majorHAnsi" w:cs="Times New Roman"/>
          <w:lang w:val="en-US"/>
        </w:rPr>
      </w:pPr>
      <w:r w:rsidRPr="006701FE">
        <w:rPr>
          <w:rFonts w:asciiTheme="majorHAnsi" w:hAnsiTheme="majorHAnsi" w:cs="Times New Roman"/>
          <w:lang w:val="en-US"/>
        </w:rPr>
        <w:t xml:space="preserve">Prior to applying </w:t>
      </w:r>
      <w:proofErr w:type="spellStart"/>
      <w:r w:rsidRPr="006701FE">
        <w:rPr>
          <w:rFonts w:asciiTheme="majorHAnsi" w:hAnsiTheme="majorHAnsi" w:cs="Times New Roman"/>
          <w:lang w:val="en-US"/>
        </w:rPr>
        <w:t>VeraSeal</w:t>
      </w:r>
      <w:proofErr w:type="spellEnd"/>
      <w:r w:rsidRPr="006701FE">
        <w:rPr>
          <w:rFonts w:asciiTheme="majorHAnsi" w:hAnsiTheme="majorHAnsi" w:cs="Times New Roman"/>
          <w:lang w:val="en-US"/>
        </w:rPr>
        <w:t xml:space="preserve">, the surface area of the wound needs to </w:t>
      </w:r>
      <w:r>
        <w:rPr>
          <w:rFonts w:asciiTheme="majorHAnsi" w:hAnsiTheme="majorHAnsi" w:cs="Times New Roman"/>
          <w:lang w:val="en-US"/>
        </w:rPr>
        <w:t xml:space="preserve">be dried by standard techniques </w:t>
      </w:r>
      <w:r w:rsidRPr="006701FE">
        <w:rPr>
          <w:rFonts w:asciiTheme="majorHAnsi" w:hAnsiTheme="majorHAnsi" w:cs="Times New Roman"/>
          <w:lang w:val="en-US"/>
        </w:rPr>
        <w:t>(e.g. intermittent application of compresses, swabs, use of suction devices).</w:t>
      </w:r>
    </w:p>
    <w:p w14:paraId="191E8EE9" w14:textId="18A9F6BD" w:rsidR="006701FE" w:rsidRPr="00453A59" w:rsidRDefault="006701FE" w:rsidP="00C635FE">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lastRenderedPageBreak/>
        <w:t xml:space="preserve">For spray application, </w:t>
      </w:r>
      <w:r w:rsidR="00C635FE" w:rsidRPr="00453A59">
        <w:rPr>
          <w:rFonts w:asciiTheme="majorHAnsi" w:hAnsiTheme="majorHAnsi" w:cs="Times New Roman"/>
          <w:lang w:val="en-US"/>
        </w:rPr>
        <w:t xml:space="preserve">allow for at least 2 cm between end of the </w:t>
      </w:r>
      <w:r w:rsidR="009515A9" w:rsidRPr="00453A59">
        <w:rPr>
          <w:rFonts w:asciiTheme="majorHAnsi" w:hAnsiTheme="majorHAnsi" w:cs="Times New Roman"/>
          <w:lang w:val="en-US"/>
        </w:rPr>
        <w:t>Airless Spray Tip a</w:t>
      </w:r>
      <w:r w:rsidR="00C635FE" w:rsidRPr="00453A59">
        <w:rPr>
          <w:rFonts w:asciiTheme="majorHAnsi" w:hAnsiTheme="majorHAnsi" w:cs="Times New Roman"/>
          <w:lang w:val="en-US"/>
        </w:rPr>
        <w:t>nd the visible tissue surface</w:t>
      </w:r>
      <w:r w:rsidRPr="00453A59">
        <w:rPr>
          <w:rFonts w:asciiTheme="majorHAnsi" w:hAnsiTheme="majorHAnsi" w:cs="Times New Roman"/>
          <w:lang w:val="en-US"/>
        </w:rPr>
        <w:t>.</w:t>
      </w:r>
    </w:p>
    <w:p w14:paraId="6EE3AFF0" w14:textId="77777777" w:rsidR="009D4F98" w:rsidRPr="00453A59" w:rsidRDefault="009D4F98" w:rsidP="00987D94">
      <w:pPr>
        <w:autoSpaceDE w:val="0"/>
        <w:autoSpaceDN w:val="0"/>
        <w:adjustRightInd w:val="0"/>
        <w:spacing w:after="0" w:line="240" w:lineRule="auto"/>
        <w:rPr>
          <w:rFonts w:asciiTheme="majorHAnsi" w:hAnsiTheme="majorHAnsi" w:cs="Times New Roman"/>
          <w:lang w:val="en-US"/>
        </w:rPr>
      </w:pPr>
    </w:p>
    <w:p w14:paraId="32FC76F0" w14:textId="35D6E1E4" w:rsidR="00D23634" w:rsidRPr="00D23634" w:rsidRDefault="00D23634" w:rsidP="00D23634">
      <w:pPr>
        <w:numPr>
          <w:ilvl w:val="12"/>
          <w:numId w:val="0"/>
        </w:numPr>
        <w:tabs>
          <w:tab w:val="left" w:pos="2657"/>
        </w:tabs>
        <w:spacing w:line="240" w:lineRule="auto"/>
        <w:ind w:left="-37" w:right="-28"/>
        <w:rPr>
          <w:rFonts w:ascii="Cambria" w:hAnsi="Cambria"/>
          <w:noProof/>
          <w:u w:val="single"/>
        </w:rPr>
      </w:pPr>
      <w:r w:rsidRPr="00453A59">
        <w:rPr>
          <w:rFonts w:ascii="Cambria" w:hAnsi="Cambria"/>
          <w:noProof/>
          <w:u w:val="single"/>
        </w:rPr>
        <w:t>Instruc</w:t>
      </w:r>
      <w:r w:rsidR="00D913A9" w:rsidRPr="00453A59">
        <w:rPr>
          <w:rFonts w:ascii="Cambria" w:hAnsi="Cambria"/>
          <w:noProof/>
          <w:u w:val="single"/>
        </w:rPr>
        <w:t>t</w:t>
      </w:r>
      <w:r w:rsidRPr="00453A59">
        <w:rPr>
          <w:rFonts w:ascii="Cambria" w:hAnsi="Cambria"/>
          <w:noProof/>
          <w:u w:val="single"/>
        </w:rPr>
        <w:t>ions for use</w:t>
      </w:r>
    </w:p>
    <w:p w14:paraId="17C89A0B" w14:textId="2DA8777B" w:rsidR="00D23634" w:rsidRPr="00D23634" w:rsidRDefault="00D23634" w:rsidP="00D23634">
      <w:pPr>
        <w:numPr>
          <w:ilvl w:val="12"/>
          <w:numId w:val="0"/>
        </w:numPr>
        <w:tabs>
          <w:tab w:val="left" w:pos="2657"/>
        </w:tabs>
        <w:spacing w:line="240" w:lineRule="auto"/>
        <w:ind w:left="-37" w:right="-28"/>
        <w:rPr>
          <w:rFonts w:ascii="Cambria" w:hAnsi="Cambria"/>
          <w:noProof/>
        </w:rPr>
      </w:pPr>
      <w:r w:rsidRPr="00D23634">
        <w:rPr>
          <w:rFonts w:ascii="Cambria" w:hAnsi="Cambria"/>
          <w:noProof/>
        </w:rPr>
        <w:t>VeraSeal comes ready to use in sterilized packages and must be handled using sterile technique in aseptic conditions. Discard damaged packages as re-sterilisation is not possible.</w:t>
      </w:r>
    </w:p>
    <w:p w14:paraId="1764CE59" w14:textId="61D732E6" w:rsidR="00987D94" w:rsidRPr="00043301" w:rsidRDefault="00987D94" w:rsidP="00987D94">
      <w:pPr>
        <w:spacing w:line="240" w:lineRule="auto"/>
        <w:rPr>
          <w:rFonts w:asciiTheme="majorHAnsi" w:hAnsiTheme="majorHAnsi"/>
          <w:noProof/>
        </w:rPr>
      </w:pPr>
      <w:r w:rsidRPr="00043301">
        <w:rPr>
          <w:rFonts w:asciiTheme="majorHAnsi" w:hAnsiTheme="majorHAnsi"/>
          <w:noProof/>
        </w:rPr>
        <w:t>Remove carton from freezer, open it and take out the two blisters.</w:t>
      </w:r>
    </w:p>
    <w:p w14:paraId="114CE61B" w14:textId="0680C495" w:rsidR="00987D94" w:rsidRPr="00043301" w:rsidRDefault="00987D94" w:rsidP="00D319CC">
      <w:pPr>
        <w:spacing w:line="240" w:lineRule="auto"/>
        <w:rPr>
          <w:rFonts w:asciiTheme="majorHAnsi" w:hAnsiTheme="majorHAnsi"/>
          <w:noProof/>
        </w:rPr>
      </w:pPr>
      <w:r w:rsidRPr="00043301">
        <w:rPr>
          <w:rFonts w:asciiTheme="majorHAnsi" w:hAnsiTheme="majorHAnsi"/>
          <w:noProof/>
        </w:rPr>
        <w:t>Place the blister containing the Dual Applicator at room temperature until the fibrin sealant is ready to use.</w:t>
      </w:r>
    </w:p>
    <w:p w14:paraId="4E244F02" w14:textId="77777777" w:rsidR="00987D94" w:rsidRDefault="00987D94" w:rsidP="00987D94">
      <w:pPr>
        <w:keepNext/>
        <w:numPr>
          <w:ilvl w:val="0"/>
          <w:numId w:val="13"/>
        </w:numPr>
        <w:tabs>
          <w:tab w:val="left" w:pos="567"/>
        </w:tabs>
        <w:autoSpaceDE w:val="0"/>
        <w:autoSpaceDN w:val="0"/>
        <w:spacing w:after="0" w:line="240" w:lineRule="auto"/>
        <w:ind w:hanging="1287"/>
        <w:rPr>
          <w:rFonts w:asciiTheme="majorHAnsi" w:hAnsiTheme="majorHAnsi"/>
          <w:b/>
          <w:color w:val="000000"/>
        </w:rPr>
      </w:pPr>
      <w:r w:rsidRPr="00043301">
        <w:rPr>
          <w:rFonts w:asciiTheme="majorHAnsi" w:hAnsiTheme="majorHAnsi"/>
          <w:b/>
          <w:color w:val="000000"/>
        </w:rPr>
        <w:t>Room temperature thawing</w:t>
      </w:r>
    </w:p>
    <w:p w14:paraId="61F7D837" w14:textId="77777777" w:rsidR="00987D94" w:rsidRPr="00043301" w:rsidRDefault="00987D94" w:rsidP="00987D94">
      <w:pPr>
        <w:keepNext/>
        <w:tabs>
          <w:tab w:val="left" w:pos="567"/>
        </w:tabs>
        <w:autoSpaceDE w:val="0"/>
        <w:autoSpaceDN w:val="0"/>
        <w:spacing w:after="0" w:line="240" w:lineRule="auto"/>
        <w:ind w:left="1287"/>
        <w:rPr>
          <w:rFonts w:asciiTheme="majorHAnsi" w:hAnsiTheme="majorHAnsi"/>
          <w:b/>
          <w:color w:val="000000"/>
        </w:rPr>
      </w:pPr>
    </w:p>
    <w:p w14:paraId="7C2EA3AC" w14:textId="77777777" w:rsidR="00987D94" w:rsidRDefault="00987D94" w:rsidP="00987D94">
      <w:pPr>
        <w:pStyle w:val="Default"/>
        <w:ind w:left="567"/>
        <w:rPr>
          <w:rFonts w:asciiTheme="majorHAnsi" w:hAnsiTheme="majorHAnsi"/>
          <w:color w:val="auto"/>
          <w:sz w:val="22"/>
          <w:szCs w:val="22"/>
          <w:lang w:val="en-US"/>
        </w:rPr>
      </w:pPr>
      <w:r w:rsidRPr="00043301">
        <w:rPr>
          <w:rFonts w:asciiTheme="majorHAnsi" w:hAnsiTheme="majorHAnsi"/>
          <w:color w:val="auto"/>
          <w:sz w:val="22"/>
          <w:szCs w:val="22"/>
          <w:lang w:val="en-US"/>
        </w:rPr>
        <w:t xml:space="preserve">Thaw blister with </w:t>
      </w:r>
      <w:proofErr w:type="spellStart"/>
      <w:r w:rsidRPr="00043301">
        <w:rPr>
          <w:rFonts w:asciiTheme="majorHAnsi" w:hAnsiTheme="majorHAnsi"/>
          <w:color w:val="auto"/>
          <w:sz w:val="22"/>
          <w:szCs w:val="22"/>
          <w:lang w:val="en-US"/>
        </w:rPr>
        <w:t>VeraSeal</w:t>
      </w:r>
      <w:proofErr w:type="spellEnd"/>
      <w:r w:rsidRPr="00043301">
        <w:rPr>
          <w:rFonts w:asciiTheme="majorHAnsi" w:hAnsiTheme="majorHAnsi"/>
          <w:color w:val="auto"/>
          <w:sz w:val="22"/>
          <w:szCs w:val="22"/>
          <w:lang w:val="en-US"/>
        </w:rPr>
        <w:t xml:space="preserve"> pre-filled syringes at room tempera</w:t>
      </w:r>
      <w:r>
        <w:rPr>
          <w:rFonts w:asciiTheme="majorHAnsi" w:hAnsiTheme="majorHAnsi"/>
          <w:color w:val="auto"/>
          <w:sz w:val="22"/>
          <w:szCs w:val="22"/>
          <w:lang w:val="en-US"/>
        </w:rPr>
        <w:t>ture using the following steps:</w:t>
      </w:r>
    </w:p>
    <w:p w14:paraId="2449FAB1" w14:textId="77777777" w:rsidR="00987D94" w:rsidRPr="00043301" w:rsidRDefault="00987D94" w:rsidP="00987D94">
      <w:pPr>
        <w:pStyle w:val="Default"/>
        <w:ind w:left="567"/>
        <w:rPr>
          <w:rFonts w:asciiTheme="majorHAnsi" w:hAnsiTheme="majorHAnsi"/>
          <w:color w:val="auto"/>
          <w:sz w:val="22"/>
          <w:szCs w:val="22"/>
          <w:lang w:val="en-US"/>
        </w:rPr>
      </w:pPr>
    </w:p>
    <w:p w14:paraId="45231FDB" w14:textId="7CF0C78A" w:rsidR="00987D94" w:rsidRPr="00043301" w:rsidRDefault="00987D94" w:rsidP="00C6178B">
      <w:pPr>
        <w:pStyle w:val="ListParagraph"/>
        <w:numPr>
          <w:ilvl w:val="0"/>
          <w:numId w:val="14"/>
        </w:numPr>
        <w:tabs>
          <w:tab w:val="left" w:pos="567"/>
          <w:tab w:val="left" w:pos="1134"/>
        </w:tabs>
        <w:autoSpaceDE w:val="0"/>
        <w:autoSpaceDN w:val="0"/>
        <w:adjustRightInd w:val="0"/>
        <w:spacing w:line="240" w:lineRule="auto"/>
        <w:rPr>
          <w:rFonts w:asciiTheme="majorHAnsi" w:hAnsiTheme="majorHAnsi"/>
        </w:rPr>
      </w:pPr>
      <w:r w:rsidRPr="00043301">
        <w:rPr>
          <w:rFonts w:asciiTheme="majorHAnsi" w:hAnsiTheme="majorHAnsi"/>
        </w:rPr>
        <w:t>Place the blister containing the syringe holder with pre-filled syringes on a surface at room temperature (20 </w:t>
      </w:r>
      <w:r w:rsidR="00C6178B" w:rsidRPr="00043301">
        <w:rPr>
          <w:rFonts w:asciiTheme="majorHAnsi" w:hAnsiTheme="majorHAnsi"/>
          <w:lang w:val="en-US"/>
        </w:rPr>
        <w:t>°</w:t>
      </w:r>
      <w:r w:rsidRPr="00043301">
        <w:rPr>
          <w:rFonts w:asciiTheme="majorHAnsi" w:hAnsiTheme="majorHAnsi"/>
        </w:rPr>
        <w:t>C – 25 </w:t>
      </w:r>
      <w:r w:rsidR="00C6178B" w:rsidRPr="00043301">
        <w:rPr>
          <w:rFonts w:asciiTheme="majorHAnsi" w:hAnsiTheme="majorHAnsi"/>
          <w:lang w:val="en-US"/>
        </w:rPr>
        <w:t>°</w:t>
      </w:r>
      <w:r w:rsidRPr="00043301">
        <w:rPr>
          <w:rFonts w:asciiTheme="majorHAnsi" w:hAnsiTheme="majorHAnsi"/>
        </w:rPr>
        <w:t>C)</w:t>
      </w:r>
    </w:p>
    <w:p w14:paraId="6F8A004E" w14:textId="125C6292" w:rsidR="00987D94" w:rsidRDefault="00987D94" w:rsidP="00987D94">
      <w:pPr>
        <w:pStyle w:val="ListParagraph"/>
        <w:tabs>
          <w:tab w:val="left" w:pos="567"/>
          <w:tab w:val="left" w:pos="1134"/>
        </w:tabs>
        <w:autoSpaceDE w:val="0"/>
        <w:autoSpaceDN w:val="0"/>
        <w:adjustRightInd w:val="0"/>
        <w:spacing w:line="240" w:lineRule="auto"/>
        <w:ind w:left="1137"/>
        <w:rPr>
          <w:rFonts w:asciiTheme="majorHAnsi" w:hAnsiTheme="majorHAnsi"/>
          <w:lang w:val="en-US"/>
        </w:rPr>
      </w:pPr>
      <w:r>
        <w:rPr>
          <w:rFonts w:asciiTheme="majorHAnsi" w:hAnsiTheme="majorHAnsi"/>
        </w:rPr>
        <w:tab/>
      </w:r>
      <w:r w:rsidRPr="00043301">
        <w:rPr>
          <w:rFonts w:asciiTheme="majorHAnsi" w:hAnsiTheme="majorHAnsi"/>
          <w:lang w:val="en-US"/>
        </w:rPr>
        <w:t>for approximately 70 minutes for the 2 m</w:t>
      </w:r>
      <w:r w:rsidR="008C4BE5">
        <w:rPr>
          <w:rFonts w:asciiTheme="majorHAnsi" w:hAnsiTheme="majorHAnsi"/>
          <w:lang w:val="en-US"/>
        </w:rPr>
        <w:t>L</w:t>
      </w:r>
      <w:r w:rsidRPr="00043301">
        <w:rPr>
          <w:rFonts w:asciiTheme="majorHAnsi" w:hAnsiTheme="majorHAnsi"/>
          <w:lang w:val="en-US"/>
        </w:rPr>
        <w:t xml:space="preserve"> and the 4 </w:t>
      </w:r>
      <w:r w:rsidR="0073007E">
        <w:rPr>
          <w:rFonts w:asciiTheme="majorHAnsi" w:hAnsiTheme="majorHAnsi"/>
          <w:lang w:val="en-US"/>
        </w:rPr>
        <w:t>mL</w:t>
      </w:r>
      <w:r w:rsidRPr="00043301">
        <w:rPr>
          <w:rFonts w:asciiTheme="majorHAnsi" w:hAnsiTheme="majorHAnsi"/>
          <w:lang w:val="en-US"/>
        </w:rPr>
        <w:t xml:space="preserve"> package sizes </w:t>
      </w:r>
    </w:p>
    <w:p w14:paraId="1C3A91D2" w14:textId="5AB8D96D" w:rsidR="00987D94" w:rsidRPr="00043301" w:rsidRDefault="00987D94" w:rsidP="00987D94">
      <w:pPr>
        <w:pStyle w:val="ListParagraph"/>
        <w:tabs>
          <w:tab w:val="left" w:pos="567"/>
          <w:tab w:val="left" w:pos="1134"/>
        </w:tabs>
        <w:autoSpaceDE w:val="0"/>
        <w:autoSpaceDN w:val="0"/>
        <w:adjustRightInd w:val="0"/>
        <w:spacing w:line="240" w:lineRule="auto"/>
        <w:ind w:left="1137"/>
        <w:rPr>
          <w:rFonts w:asciiTheme="majorHAnsi" w:hAnsiTheme="majorHAnsi"/>
        </w:rPr>
      </w:pPr>
      <w:r>
        <w:rPr>
          <w:rFonts w:asciiTheme="majorHAnsi" w:hAnsiTheme="majorHAnsi"/>
          <w:lang w:val="en-US"/>
        </w:rPr>
        <w:tab/>
      </w:r>
      <w:r w:rsidRPr="00043301">
        <w:rPr>
          <w:rFonts w:asciiTheme="majorHAnsi" w:hAnsiTheme="majorHAnsi"/>
          <w:lang w:val="en-US"/>
        </w:rPr>
        <w:t>for approximately 90 minutes for the 6 </w:t>
      </w:r>
      <w:r w:rsidR="0073007E">
        <w:rPr>
          <w:rFonts w:asciiTheme="majorHAnsi" w:hAnsiTheme="majorHAnsi"/>
          <w:lang w:val="en-US"/>
        </w:rPr>
        <w:t>mL</w:t>
      </w:r>
      <w:r w:rsidRPr="00043301">
        <w:rPr>
          <w:rFonts w:asciiTheme="majorHAnsi" w:hAnsiTheme="majorHAnsi"/>
          <w:lang w:val="en-US"/>
        </w:rPr>
        <w:t xml:space="preserve"> and the 10 </w:t>
      </w:r>
      <w:r w:rsidR="0073007E">
        <w:rPr>
          <w:rFonts w:asciiTheme="majorHAnsi" w:hAnsiTheme="majorHAnsi"/>
          <w:lang w:val="en-US"/>
        </w:rPr>
        <w:t>mL</w:t>
      </w:r>
      <w:r w:rsidRPr="00043301">
        <w:rPr>
          <w:rFonts w:asciiTheme="majorHAnsi" w:hAnsiTheme="majorHAnsi"/>
          <w:lang w:val="en-US"/>
        </w:rPr>
        <w:t xml:space="preserve"> package sizes</w:t>
      </w:r>
    </w:p>
    <w:p w14:paraId="0DF8E4E8" w14:textId="77777777" w:rsidR="00987D94" w:rsidRPr="00043301" w:rsidRDefault="00987D94" w:rsidP="00987D94">
      <w:pPr>
        <w:spacing w:line="240" w:lineRule="auto"/>
        <w:ind w:left="567"/>
        <w:jc w:val="both"/>
        <w:rPr>
          <w:rFonts w:asciiTheme="majorHAnsi" w:hAnsiTheme="majorHAnsi"/>
        </w:rPr>
      </w:pPr>
      <w:r w:rsidRPr="00043301">
        <w:rPr>
          <w:rFonts w:asciiTheme="majorHAnsi" w:hAnsiTheme="majorHAnsi"/>
        </w:rPr>
        <w:t>After thawing, it is not necessary t</w:t>
      </w:r>
      <w:r>
        <w:rPr>
          <w:rFonts w:asciiTheme="majorHAnsi" w:hAnsiTheme="majorHAnsi"/>
        </w:rPr>
        <w:t>o warm the product for its use.</w:t>
      </w:r>
    </w:p>
    <w:p w14:paraId="5D0A750D" w14:textId="473A8B95" w:rsidR="00987D94" w:rsidRPr="00043301" w:rsidRDefault="00987D94" w:rsidP="00D23634">
      <w:pPr>
        <w:autoSpaceDE w:val="0"/>
        <w:autoSpaceDN w:val="0"/>
        <w:adjustRightInd w:val="0"/>
        <w:spacing w:line="240" w:lineRule="auto"/>
        <w:ind w:left="567"/>
        <w:rPr>
          <w:rFonts w:asciiTheme="majorHAnsi" w:hAnsiTheme="majorHAnsi"/>
          <w:color w:val="000000"/>
        </w:rPr>
      </w:pPr>
      <w:r w:rsidRPr="00043301">
        <w:rPr>
          <w:rFonts w:asciiTheme="majorHAnsi" w:hAnsiTheme="majorHAnsi"/>
          <w:color w:val="000000"/>
        </w:rPr>
        <w:t>After thawing the solutions must be clear to slightly opalescent and colourless to pale yellow. Solutions that are cloudy or have deposits should not be used.</w:t>
      </w:r>
    </w:p>
    <w:p w14:paraId="75395846" w14:textId="77777777" w:rsidR="00987D94" w:rsidRPr="00043301" w:rsidRDefault="00987D94" w:rsidP="00987D94">
      <w:pPr>
        <w:pStyle w:val="Default"/>
        <w:ind w:left="567"/>
        <w:rPr>
          <w:rFonts w:asciiTheme="majorHAnsi" w:hAnsiTheme="majorHAnsi"/>
          <w:i/>
          <w:sz w:val="22"/>
          <w:lang w:val="en-US"/>
        </w:rPr>
      </w:pPr>
      <w:r w:rsidRPr="00043301">
        <w:rPr>
          <w:rFonts w:asciiTheme="majorHAnsi" w:hAnsiTheme="majorHAnsi"/>
          <w:i/>
          <w:sz w:val="22"/>
          <w:lang w:val="en-US"/>
        </w:rPr>
        <w:t>Post-Thawing Storage</w:t>
      </w:r>
    </w:p>
    <w:p w14:paraId="33FC6C7E" w14:textId="77777777" w:rsidR="00987D94" w:rsidRPr="00043301" w:rsidRDefault="00987D94" w:rsidP="00987D94">
      <w:pPr>
        <w:pStyle w:val="Default"/>
        <w:ind w:left="567"/>
        <w:rPr>
          <w:rFonts w:asciiTheme="majorHAnsi" w:hAnsiTheme="majorHAnsi"/>
          <w:sz w:val="22"/>
          <w:lang w:val="en-US"/>
        </w:rPr>
      </w:pPr>
    </w:p>
    <w:p w14:paraId="75DAE960" w14:textId="2FD4DA69" w:rsidR="00987D94" w:rsidRPr="00043301" w:rsidRDefault="00987D94" w:rsidP="00987D94">
      <w:pPr>
        <w:pStyle w:val="Default"/>
        <w:ind w:left="567"/>
        <w:rPr>
          <w:rFonts w:asciiTheme="majorHAnsi" w:hAnsiTheme="majorHAnsi"/>
          <w:sz w:val="22"/>
          <w:lang w:val="en-US"/>
        </w:rPr>
      </w:pPr>
      <w:r w:rsidRPr="00043301">
        <w:rPr>
          <w:rFonts w:asciiTheme="majorHAnsi" w:hAnsiTheme="majorHAnsi"/>
          <w:sz w:val="22"/>
          <w:lang w:val="en-US"/>
        </w:rPr>
        <w:t xml:space="preserve">After thawing, the kit containing the </w:t>
      </w:r>
      <w:proofErr w:type="spellStart"/>
      <w:r w:rsidRPr="00043301">
        <w:rPr>
          <w:rFonts w:asciiTheme="majorHAnsi" w:hAnsiTheme="majorHAnsi"/>
          <w:sz w:val="22"/>
          <w:lang w:val="en-US"/>
        </w:rPr>
        <w:t>VeraSeal</w:t>
      </w:r>
      <w:proofErr w:type="spellEnd"/>
      <w:r w:rsidRPr="00043301">
        <w:rPr>
          <w:rFonts w:asciiTheme="majorHAnsi" w:hAnsiTheme="majorHAnsi"/>
          <w:sz w:val="22"/>
          <w:lang w:val="en-US"/>
        </w:rPr>
        <w:t xml:space="preserve"> syringe holder with pre-filled syringes and Dual Applicator can be stored before use for not more than 48 hours in the refrigerator at 2 - 8 </w:t>
      </w:r>
      <w:r w:rsidR="003E4152" w:rsidRPr="00043301">
        <w:rPr>
          <w:rFonts w:asciiTheme="majorHAnsi" w:hAnsiTheme="majorHAnsi"/>
          <w:sz w:val="22"/>
          <w:lang w:val="en-US"/>
        </w:rPr>
        <w:t>°</w:t>
      </w:r>
      <w:r w:rsidRPr="00043301">
        <w:rPr>
          <w:rFonts w:asciiTheme="majorHAnsi" w:hAnsiTheme="majorHAnsi"/>
          <w:sz w:val="22"/>
          <w:lang w:val="en-US"/>
        </w:rPr>
        <w:t xml:space="preserve">C or 24 hours at room temperature (20 - 25 °C) if it remains sealed in the original packaging. Once the blisters are opened, use </w:t>
      </w:r>
      <w:proofErr w:type="spellStart"/>
      <w:r w:rsidRPr="00043301">
        <w:rPr>
          <w:rFonts w:asciiTheme="majorHAnsi" w:hAnsiTheme="majorHAnsi"/>
          <w:sz w:val="22"/>
          <w:lang w:val="en-US"/>
        </w:rPr>
        <w:t>VeraSeal</w:t>
      </w:r>
      <w:proofErr w:type="spellEnd"/>
      <w:r w:rsidRPr="00043301">
        <w:rPr>
          <w:rFonts w:asciiTheme="majorHAnsi" w:hAnsiTheme="majorHAnsi"/>
          <w:sz w:val="22"/>
          <w:lang w:val="en-US"/>
        </w:rPr>
        <w:t xml:space="preserve"> immediately and discard any unused contents. </w:t>
      </w:r>
    </w:p>
    <w:p w14:paraId="6A37EC47" w14:textId="77777777" w:rsidR="00987D94" w:rsidRPr="00043301" w:rsidRDefault="00987D94" w:rsidP="00987D94">
      <w:pPr>
        <w:pStyle w:val="Default"/>
        <w:ind w:left="567"/>
        <w:rPr>
          <w:rFonts w:asciiTheme="majorHAnsi" w:hAnsiTheme="majorHAnsi"/>
          <w:sz w:val="22"/>
          <w:lang w:val="en-US"/>
        </w:rPr>
      </w:pPr>
    </w:p>
    <w:p w14:paraId="7E7048EA" w14:textId="555B8DD0" w:rsidR="00987D94" w:rsidRDefault="00987D94" w:rsidP="00987D94">
      <w:pPr>
        <w:pStyle w:val="Default"/>
        <w:ind w:left="567"/>
        <w:rPr>
          <w:rFonts w:asciiTheme="majorHAnsi" w:hAnsiTheme="majorHAnsi"/>
          <w:sz w:val="22"/>
          <w:lang w:val="en-US"/>
        </w:rPr>
      </w:pPr>
      <w:r>
        <w:rPr>
          <w:rFonts w:asciiTheme="majorHAnsi" w:hAnsiTheme="majorHAnsi"/>
          <w:sz w:val="22"/>
          <w:lang w:val="en-US"/>
        </w:rPr>
        <w:t>Once thawed, do not refreeze</w:t>
      </w:r>
      <w:r w:rsidR="007B430B">
        <w:rPr>
          <w:rFonts w:asciiTheme="majorHAnsi" w:hAnsiTheme="majorHAnsi"/>
          <w:sz w:val="22"/>
          <w:lang w:val="en-US"/>
        </w:rPr>
        <w:t>.</w:t>
      </w:r>
    </w:p>
    <w:p w14:paraId="34AA3324" w14:textId="77777777" w:rsidR="00987D94" w:rsidRPr="00043301" w:rsidRDefault="00987D94" w:rsidP="00987D94">
      <w:pPr>
        <w:pStyle w:val="Default"/>
        <w:ind w:left="567"/>
        <w:rPr>
          <w:rFonts w:asciiTheme="majorHAnsi" w:hAnsiTheme="majorHAnsi"/>
          <w:sz w:val="22"/>
          <w:lang w:val="en-US"/>
        </w:rPr>
      </w:pPr>
    </w:p>
    <w:p w14:paraId="0078C8EB" w14:textId="77777777" w:rsidR="00987D94" w:rsidRPr="00043301" w:rsidRDefault="00987D94" w:rsidP="00987D94">
      <w:pPr>
        <w:keepNext/>
        <w:autoSpaceDE w:val="0"/>
        <w:autoSpaceDN w:val="0"/>
        <w:adjustRightInd w:val="0"/>
        <w:spacing w:line="240" w:lineRule="auto"/>
        <w:ind w:left="567"/>
        <w:rPr>
          <w:rFonts w:asciiTheme="majorHAnsi" w:hAnsiTheme="majorHAnsi"/>
          <w:i/>
          <w:color w:val="000000"/>
        </w:rPr>
      </w:pPr>
      <w:r w:rsidRPr="00043301">
        <w:rPr>
          <w:rFonts w:asciiTheme="majorHAnsi" w:hAnsiTheme="majorHAnsi"/>
          <w:i/>
          <w:color w:val="000000"/>
        </w:rPr>
        <w:t xml:space="preserve">Transferring </w:t>
      </w:r>
      <w:r>
        <w:rPr>
          <w:rFonts w:asciiTheme="majorHAnsi" w:hAnsiTheme="majorHAnsi"/>
          <w:i/>
          <w:color w:val="000000"/>
        </w:rPr>
        <w:t>instruction</w:t>
      </w:r>
    </w:p>
    <w:p w14:paraId="34C094DF" w14:textId="7777777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r w:rsidRPr="00043301">
        <w:rPr>
          <w:rFonts w:asciiTheme="majorHAnsi" w:hAnsiTheme="majorHAnsi"/>
        </w:rPr>
        <w:t>1.</w:t>
      </w:r>
      <w:r w:rsidRPr="00043301">
        <w:rPr>
          <w:rFonts w:asciiTheme="majorHAnsi" w:hAnsiTheme="majorHAnsi"/>
          <w:color w:val="000000"/>
        </w:rPr>
        <w:tab/>
        <w:t>After thawing, remove the blister from surface at room temperature or from the refrigerator at 2 </w:t>
      </w:r>
      <w:r w:rsidRPr="00043301">
        <w:rPr>
          <w:rFonts w:asciiTheme="majorHAnsi" w:hAnsiTheme="majorHAnsi"/>
        </w:rPr>
        <w:t>°C</w:t>
      </w:r>
      <w:r w:rsidRPr="00043301">
        <w:rPr>
          <w:rFonts w:asciiTheme="majorHAnsi" w:hAnsiTheme="majorHAnsi"/>
          <w:color w:val="000000"/>
        </w:rPr>
        <w:t> </w:t>
      </w:r>
      <w:r w:rsidRPr="00043301">
        <w:rPr>
          <w:rFonts w:asciiTheme="majorHAnsi" w:hAnsiTheme="majorHAnsi"/>
          <w:color w:val="000000"/>
        </w:rPr>
        <w:noBreakHyphen/>
        <w:t> 8 </w:t>
      </w:r>
      <w:r w:rsidRPr="00043301">
        <w:rPr>
          <w:rFonts w:asciiTheme="majorHAnsi" w:hAnsiTheme="majorHAnsi"/>
        </w:rPr>
        <w:t>°C</w:t>
      </w:r>
      <w:r w:rsidRPr="00043301">
        <w:rPr>
          <w:rFonts w:asciiTheme="majorHAnsi" w:hAnsiTheme="majorHAnsi"/>
          <w:color w:val="000000"/>
        </w:rPr>
        <w:t>.</w:t>
      </w:r>
    </w:p>
    <w:p w14:paraId="5B1BFD03" w14:textId="5B17460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r w:rsidRPr="00043301">
        <w:rPr>
          <w:rFonts w:asciiTheme="majorHAnsi" w:hAnsiTheme="majorHAnsi"/>
        </w:rPr>
        <w:t>2.</w:t>
      </w:r>
      <w:r w:rsidRPr="00043301">
        <w:rPr>
          <w:rFonts w:asciiTheme="majorHAnsi" w:hAnsiTheme="majorHAnsi"/>
          <w:color w:val="000000"/>
        </w:rPr>
        <w:tab/>
        <w:t xml:space="preserve">Open the blister and make the </w:t>
      </w:r>
      <w:proofErr w:type="spellStart"/>
      <w:r w:rsidRPr="00043301">
        <w:rPr>
          <w:rFonts w:asciiTheme="majorHAnsi" w:hAnsiTheme="majorHAnsi"/>
          <w:color w:val="000000"/>
        </w:rPr>
        <w:t>VeraSeal</w:t>
      </w:r>
      <w:proofErr w:type="spellEnd"/>
      <w:r w:rsidRPr="00043301">
        <w:rPr>
          <w:rFonts w:asciiTheme="majorHAnsi" w:hAnsiTheme="majorHAnsi"/>
          <w:color w:val="000000"/>
        </w:rPr>
        <w:t xml:space="preserve"> syringe holder with pre-filled syringes available to a second person for transfer to the sterile field. The outside of the blister should not </w:t>
      </w:r>
      <w:proofErr w:type="gramStart"/>
      <w:r w:rsidRPr="00043301">
        <w:rPr>
          <w:rFonts w:asciiTheme="majorHAnsi" w:hAnsiTheme="majorHAnsi"/>
          <w:color w:val="000000"/>
        </w:rPr>
        <w:t>come in contact with</w:t>
      </w:r>
      <w:proofErr w:type="gramEnd"/>
      <w:r w:rsidRPr="00043301">
        <w:rPr>
          <w:rFonts w:asciiTheme="majorHAnsi" w:hAnsiTheme="majorHAnsi"/>
          <w:color w:val="000000"/>
        </w:rPr>
        <w:t xml:space="preserve"> the sterile field. See Figure </w:t>
      </w:r>
      <w:r w:rsidR="003E4152">
        <w:rPr>
          <w:rFonts w:asciiTheme="majorHAnsi" w:hAnsiTheme="majorHAnsi"/>
          <w:color w:val="000000"/>
        </w:rPr>
        <w:t>1</w:t>
      </w:r>
      <w:r w:rsidRPr="00043301">
        <w:rPr>
          <w:rFonts w:asciiTheme="majorHAnsi" w:hAnsiTheme="majorHAnsi"/>
          <w:color w:val="000000"/>
        </w:rPr>
        <w:t>.</w:t>
      </w:r>
    </w:p>
    <w:p w14:paraId="2023A536" w14:textId="0F112923" w:rsidR="004352E1" w:rsidRPr="00F07CF5" w:rsidRDefault="004352E1" w:rsidP="00F07CF5">
      <w:pPr>
        <w:autoSpaceDE w:val="0"/>
        <w:autoSpaceDN w:val="0"/>
        <w:adjustRightInd w:val="0"/>
        <w:spacing w:line="240" w:lineRule="auto"/>
        <w:jc w:val="center"/>
        <w:rPr>
          <w:rFonts w:asciiTheme="majorHAnsi" w:hAnsiTheme="majorHAnsi"/>
          <w:color w:val="000000"/>
        </w:rPr>
      </w:pPr>
      <w:r w:rsidRPr="00043301">
        <w:rPr>
          <w:rFonts w:asciiTheme="majorHAnsi" w:hAnsiTheme="majorHAnsi"/>
          <w:noProof/>
          <w:lang w:val="es-ES" w:eastAsia="zh-CN"/>
        </w:rPr>
        <w:lastRenderedPageBreak/>
        <w:drawing>
          <wp:inline distT="0" distB="0" distL="0" distR="0" wp14:anchorId="141EC027" wp14:editId="659137A9">
            <wp:extent cx="3067050" cy="1838325"/>
            <wp:effectExtent l="0" t="0" r="0" b="9525"/>
            <wp:docPr id="10" name="Imagen 10" descr="C:\Users\MCardin8\Desktop\Gryff P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Cardin8\Desktop\Gryff PI-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050" cy="1838325"/>
                    </a:xfrm>
                    <a:prstGeom prst="rect">
                      <a:avLst/>
                    </a:prstGeom>
                    <a:noFill/>
                    <a:ln>
                      <a:noFill/>
                    </a:ln>
                  </pic:spPr>
                </pic:pic>
              </a:graphicData>
            </a:graphic>
          </wp:inline>
        </w:drawing>
      </w:r>
    </w:p>
    <w:p w14:paraId="1E6F461B" w14:textId="50D540CC" w:rsidR="00987D94" w:rsidRDefault="00987D94" w:rsidP="00F07CF5">
      <w:pPr>
        <w:pStyle w:val="Default"/>
        <w:jc w:val="center"/>
        <w:rPr>
          <w:rFonts w:asciiTheme="majorHAnsi" w:hAnsiTheme="majorHAnsi"/>
          <w:color w:val="auto"/>
        </w:rPr>
      </w:pPr>
      <w:r w:rsidRPr="00043301">
        <w:rPr>
          <w:rFonts w:asciiTheme="majorHAnsi" w:hAnsiTheme="majorHAnsi"/>
          <w:color w:val="auto"/>
        </w:rPr>
        <w:t xml:space="preserve">Figure </w:t>
      </w:r>
      <w:r w:rsidR="003E4152">
        <w:rPr>
          <w:rFonts w:asciiTheme="majorHAnsi" w:hAnsiTheme="majorHAnsi"/>
          <w:color w:val="auto"/>
        </w:rPr>
        <w:t>1</w:t>
      </w:r>
    </w:p>
    <w:p w14:paraId="7EC7B872" w14:textId="77777777" w:rsidR="004352E1" w:rsidRPr="00043301" w:rsidRDefault="004352E1" w:rsidP="004352E1">
      <w:pPr>
        <w:autoSpaceDE w:val="0"/>
        <w:autoSpaceDN w:val="0"/>
        <w:adjustRightInd w:val="0"/>
        <w:spacing w:line="240" w:lineRule="auto"/>
        <w:rPr>
          <w:rFonts w:asciiTheme="majorHAnsi" w:hAnsiTheme="majorHAnsi"/>
          <w:color w:val="000000"/>
        </w:rPr>
      </w:pPr>
    </w:p>
    <w:p w14:paraId="33A9EEA6" w14:textId="77777777" w:rsidR="00987D94" w:rsidRPr="00043301" w:rsidRDefault="00987D94" w:rsidP="00987D94">
      <w:pPr>
        <w:numPr>
          <w:ilvl w:val="0"/>
          <w:numId w:val="13"/>
        </w:numPr>
        <w:tabs>
          <w:tab w:val="left" w:pos="567"/>
        </w:tabs>
        <w:spacing w:after="0" w:line="260" w:lineRule="exact"/>
        <w:ind w:hanging="1287"/>
        <w:rPr>
          <w:rFonts w:asciiTheme="majorHAnsi" w:hAnsiTheme="majorHAnsi"/>
          <w:b/>
          <w:i/>
        </w:rPr>
      </w:pPr>
      <w:r w:rsidRPr="00043301">
        <w:rPr>
          <w:rFonts w:asciiTheme="majorHAnsi" w:hAnsiTheme="majorHAnsi"/>
          <w:b/>
        </w:rPr>
        <w:t>Sterile Water Bath (Quick Thawing)</w:t>
      </w:r>
      <w:r w:rsidRPr="00043301">
        <w:rPr>
          <w:rFonts w:asciiTheme="majorHAnsi" w:hAnsiTheme="majorHAnsi"/>
          <w:b/>
          <w:i/>
        </w:rPr>
        <w:t xml:space="preserve"> </w:t>
      </w:r>
    </w:p>
    <w:p w14:paraId="19351F96" w14:textId="77777777" w:rsidR="00987D94" w:rsidRPr="00043301" w:rsidRDefault="00987D94" w:rsidP="00987D94">
      <w:pPr>
        <w:pStyle w:val="Default"/>
        <w:ind w:left="567"/>
        <w:rPr>
          <w:rFonts w:asciiTheme="majorHAnsi" w:hAnsiTheme="majorHAnsi"/>
          <w:color w:val="auto"/>
          <w:sz w:val="22"/>
          <w:szCs w:val="22"/>
          <w:lang w:val="en-US"/>
        </w:rPr>
      </w:pPr>
    </w:p>
    <w:p w14:paraId="260989B2" w14:textId="3BC2DF26" w:rsidR="00987D94" w:rsidRPr="00043301" w:rsidRDefault="00987D94" w:rsidP="00987D94">
      <w:pPr>
        <w:pStyle w:val="Default"/>
        <w:ind w:left="567"/>
        <w:rPr>
          <w:rFonts w:asciiTheme="majorHAnsi" w:hAnsiTheme="majorHAnsi"/>
          <w:color w:val="auto"/>
          <w:sz w:val="22"/>
          <w:szCs w:val="22"/>
          <w:lang w:val="en-US"/>
        </w:rPr>
      </w:pPr>
      <w:r w:rsidRPr="00043301">
        <w:rPr>
          <w:rFonts w:asciiTheme="majorHAnsi" w:hAnsiTheme="majorHAnsi"/>
          <w:color w:val="auto"/>
          <w:sz w:val="22"/>
          <w:szCs w:val="22"/>
          <w:lang w:val="en-US"/>
        </w:rPr>
        <w:t xml:space="preserve">Thaw </w:t>
      </w:r>
      <w:proofErr w:type="spellStart"/>
      <w:r w:rsidRPr="00043301">
        <w:rPr>
          <w:rFonts w:asciiTheme="majorHAnsi" w:hAnsiTheme="majorHAnsi"/>
          <w:color w:val="auto"/>
          <w:sz w:val="22"/>
          <w:szCs w:val="22"/>
          <w:lang w:val="en-US"/>
        </w:rPr>
        <w:t>VeraSeal</w:t>
      </w:r>
      <w:proofErr w:type="spellEnd"/>
      <w:r w:rsidRPr="00043301">
        <w:rPr>
          <w:rFonts w:asciiTheme="majorHAnsi" w:hAnsiTheme="majorHAnsi"/>
          <w:color w:val="auto"/>
          <w:sz w:val="22"/>
          <w:szCs w:val="22"/>
          <w:lang w:val="en-US"/>
        </w:rPr>
        <w:t xml:space="preserve"> pre-filled syringes inside the sterile field in a sterile thermostatic water bath at a temperature not higher than 37</w:t>
      </w:r>
      <w:r w:rsidR="003E4152">
        <w:rPr>
          <w:rFonts w:asciiTheme="majorHAnsi" w:hAnsiTheme="majorHAnsi"/>
          <w:color w:val="auto"/>
          <w:sz w:val="22"/>
          <w:szCs w:val="22"/>
          <w:lang w:val="en-US"/>
        </w:rPr>
        <w:t xml:space="preserve"> °</w:t>
      </w:r>
      <w:r w:rsidRPr="00043301">
        <w:rPr>
          <w:rFonts w:asciiTheme="majorHAnsi" w:hAnsiTheme="majorHAnsi"/>
          <w:color w:val="auto"/>
          <w:sz w:val="22"/>
          <w:szCs w:val="22"/>
          <w:lang w:val="en-US"/>
        </w:rPr>
        <w:t xml:space="preserve">C using the following steps: </w:t>
      </w:r>
    </w:p>
    <w:p w14:paraId="56F44116" w14:textId="77777777" w:rsidR="00987D94" w:rsidRPr="00043301" w:rsidRDefault="00987D94" w:rsidP="00987D94">
      <w:pPr>
        <w:pStyle w:val="Default"/>
        <w:ind w:left="567"/>
        <w:rPr>
          <w:rFonts w:asciiTheme="majorHAnsi" w:hAnsiTheme="majorHAnsi"/>
          <w:color w:val="auto"/>
          <w:sz w:val="22"/>
          <w:szCs w:val="22"/>
          <w:lang w:val="en-US"/>
        </w:rPr>
      </w:pPr>
    </w:p>
    <w:p w14:paraId="7371D782" w14:textId="77777777" w:rsidR="00987D94" w:rsidRPr="00043301" w:rsidRDefault="00987D94" w:rsidP="00987D94">
      <w:pPr>
        <w:pStyle w:val="Default"/>
        <w:ind w:left="567"/>
        <w:rPr>
          <w:rFonts w:asciiTheme="majorHAnsi" w:hAnsiTheme="majorHAnsi"/>
          <w:color w:val="auto"/>
          <w:sz w:val="22"/>
          <w:szCs w:val="22"/>
          <w:lang w:val="en-US"/>
        </w:rPr>
      </w:pPr>
      <w:r w:rsidRPr="00043301">
        <w:rPr>
          <w:rFonts w:asciiTheme="majorHAnsi" w:hAnsiTheme="majorHAnsi"/>
          <w:color w:val="auto"/>
          <w:sz w:val="22"/>
          <w:szCs w:val="22"/>
          <w:lang w:val="en-US"/>
        </w:rPr>
        <w:t xml:space="preserve">NOTE: Once the </w:t>
      </w:r>
      <w:proofErr w:type="spellStart"/>
      <w:r w:rsidRPr="00043301">
        <w:rPr>
          <w:rFonts w:asciiTheme="majorHAnsi" w:hAnsiTheme="majorHAnsi"/>
          <w:color w:val="auto"/>
          <w:sz w:val="22"/>
          <w:szCs w:val="22"/>
          <w:lang w:val="en-US"/>
        </w:rPr>
        <w:t>VeraSeal</w:t>
      </w:r>
      <w:proofErr w:type="spellEnd"/>
      <w:r w:rsidRPr="00043301">
        <w:rPr>
          <w:rFonts w:asciiTheme="majorHAnsi" w:hAnsiTheme="majorHAnsi"/>
          <w:color w:val="auto"/>
          <w:sz w:val="22"/>
          <w:szCs w:val="22"/>
          <w:lang w:val="en-US"/>
        </w:rPr>
        <w:t xml:space="preserve"> blisters are opened, use the product immediately. Use sterile technique to avoid the possibility of contamination due to improper </w:t>
      </w:r>
      <w:proofErr w:type="gramStart"/>
      <w:r w:rsidRPr="00043301">
        <w:rPr>
          <w:rFonts w:asciiTheme="majorHAnsi" w:hAnsiTheme="majorHAnsi"/>
          <w:color w:val="auto"/>
          <w:sz w:val="22"/>
          <w:szCs w:val="22"/>
          <w:lang w:val="en-US"/>
        </w:rPr>
        <w:t>handling, and</w:t>
      </w:r>
      <w:proofErr w:type="gramEnd"/>
      <w:r w:rsidRPr="00043301">
        <w:rPr>
          <w:rFonts w:asciiTheme="majorHAnsi" w:hAnsiTheme="majorHAnsi"/>
          <w:color w:val="auto"/>
          <w:sz w:val="22"/>
          <w:szCs w:val="22"/>
          <w:lang w:val="en-US"/>
        </w:rPr>
        <w:t xml:space="preserve"> follow the steps below accurately. Do not remove the syringe </w:t>
      </w:r>
      <w:proofErr w:type="spellStart"/>
      <w:r w:rsidRPr="00043301">
        <w:rPr>
          <w:rFonts w:asciiTheme="majorHAnsi" w:hAnsiTheme="majorHAnsi"/>
          <w:color w:val="auto"/>
          <w:sz w:val="22"/>
          <w:szCs w:val="22"/>
          <w:lang w:val="en-US"/>
        </w:rPr>
        <w:t>luer</w:t>
      </w:r>
      <w:proofErr w:type="spellEnd"/>
      <w:r w:rsidRPr="00043301">
        <w:rPr>
          <w:rFonts w:asciiTheme="majorHAnsi" w:hAnsiTheme="majorHAnsi"/>
          <w:color w:val="auto"/>
          <w:sz w:val="22"/>
          <w:szCs w:val="22"/>
          <w:lang w:val="en-US"/>
        </w:rPr>
        <w:t xml:space="preserve"> cap until thawing is complete and the Dual Applicator is ready to be attached.</w:t>
      </w:r>
    </w:p>
    <w:p w14:paraId="7165935B" w14:textId="77777777" w:rsidR="00987D94" w:rsidRPr="00043301" w:rsidRDefault="00987D94" w:rsidP="00987D94">
      <w:pPr>
        <w:autoSpaceDE w:val="0"/>
        <w:autoSpaceDN w:val="0"/>
        <w:ind w:left="567" w:hanging="567"/>
        <w:rPr>
          <w:rFonts w:asciiTheme="majorHAnsi" w:hAnsiTheme="majorHAnsi"/>
        </w:rPr>
      </w:pPr>
      <w:r w:rsidRPr="00043301">
        <w:rPr>
          <w:rFonts w:asciiTheme="majorHAnsi" w:hAnsiTheme="majorHAnsi"/>
          <w:lang w:val="en-US"/>
        </w:rPr>
        <w:tab/>
      </w:r>
    </w:p>
    <w:p w14:paraId="60D2F115" w14:textId="5258FADC" w:rsidR="00987D94" w:rsidRPr="00043301" w:rsidRDefault="00987D94" w:rsidP="00316F11">
      <w:pPr>
        <w:autoSpaceDE w:val="0"/>
        <w:autoSpaceDN w:val="0"/>
        <w:ind w:left="1134" w:hanging="567"/>
        <w:rPr>
          <w:rFonts w:asciiTheme="majorHAnsi" w:hAnsiTheme="majorHAnsi"/>
        </w:rPr>
      </w:pPr>
      <w:r w:rsidRPr="00043301">
        <w:rPr>
          <w:rFonts w:asciiTheme="majorHAnsi" w:hAnsiTheme="majorHAnsi"/>
        </w:rPr>
        <w:t xml:space="preserve">1. </w:t>
      </w:r>
      <w:r w:rsidR="00316F11">
        <w:rPr>
          <w:rFonts w:asciiTheme="majorHAnsi" w:hAnsiTheme="majorHAnsi"/>
        </w:rPr>
        <w:tab/>
      </w:r>
      <w:r w:rsidRPr="00043301">
        <w:rPr>
          <w:rFonts w:asciiTheme="majorHAnsi" w:hAnsiTheme="majorHAnsi"/>
        </w:rPr>
        <w:t xml:space="preserve">Open the blister and make the </w:t>
      </w:r>
      <w:proofErr w:type="spellStart"/>
      <w:r w:rsidRPr="00043301">
        <w:rPr>
          <w:rFonts w:asciiTheme="majorHAnsi" w:hAnsiTheme="majorHAnsi"/>
        </w:rPr>
        <w:t>VeraSeal</w:t>
      </w:r>
      <w:proofErr w:type="spellEnd"/>
      <w:r w:rsidRPr="00043301">
        <w:rPr>
          <w:rFonts w:asciiTheme="majorHAnsi" w:hAnsiTheme="majorHAnsi"/>
        </w:rPr>
        <w:t xml:space="preserve"> syringe holder with pre-filled syringes available to a second person for transfer to the sterile field. The outside of the blister should not </w:t>
      </w:r>
      <w:proofErr w:type="gramStart"/>
      <w:r w:rsidRPr="00043301">
        <w:rPr>
          <w:rFonts w:asciiTheme="majorHAnsi" w:hAnsiTheme="majorHAnsi"/>
        </w:rPr>
        <w:t>come in contact with</w:t>
      </w:r>
      <w:proofErr w:type="gramEnd"/>
      <w:r w:rsidRPr="00043301">
        <w:rPr>
          <w:rFonts w:asciiTheme="majorHAnsi" w:hAnsiTheme="majorHAnsi"/>
        </w:rPr>
        <w:t xml:space="preserve"> the sterile field. See Figure </w:t>
      </w:r>
      <w:r w:rsidR="003E4152">
        <w:rPr>
          <w:rFonts w:asciiTheme="majorHAnsi" w:hAnsiTheme="majorHAnsi"/>
        </w:rPr>
        <w:t>1</w:t>
      </w:r>
      <w:r w:rsidRPr="00043301">
        <w:rPr>
          <w:rFonts w:asciiTheme="majorHAnsi" w:hAnsiTheme="majorHAnsi"/>
        </w:rPr>
        <w:t>.</w:t>
      </w:r>
    </w:p>
    <w:p w14:paraId="1777A98B" w14:textId="12D30913" w:rsidR="00987D94" w:rsidRPr="00043301" w:rsidRDefault="00316F11" w:rsidP="00316F11">
      <w:pPr>
        <w:autoSpaceDE w:val="0"/>
        <w:autoSpaceDN w:val="0"/>
        <w:ind w:left="1134" w:hanging="567"/>
        <w:rPr>
          <w:rFonts w:asciiTheme="majorHAnsi" w:hAnsiTheme="majorHAnsi"/>
        </w:rPr>
      </w:pPr>
      <w:r>
        <w:rPr>
          <w:rFonts w:asciiTheme="majorHAnsi" w:hAnsiTheme="majorHAnsi"/>
        </w:rPr>
        <w:t xml:space="preserve">2. </w:t>
      </w:r>
      <w:r>
        <w:rPr>
          <w:rFonts w:asciiTheme="majorHAnsi" w:hAnsiTheme="majorHAnsi"/>
        </w:rPr>
        <w:tab/>
      </w:r>
      <w:r w:rsidR="00987D94" w:rsidRPr="00043301">
        <w:rPr>
          <w:rFonts w:asciiTheme="majorHAnsi" w:hAnsiTheme="majorHAnsi"/>
        </w:rPr>
        <w:t xml:space="preserve">Place the syringe holder with pre-filled syringes directly into the sterile water bath ensuring that it is completely immersed in the water.  See Figure </w:t>
      </w:r>
      <w:r w:rsidR="003E4152">
        <w:rPr>
          <w:rFonts w:asciiTheme="majorHAnsi" w:hAnsiTheme="majorHAnsi"/>
        </w:rPr>
        <w:t>2</w:t>
      </w:r>
      <w:r w:rsidR="00987D94" w:rsidRPr="00043301">
        <w:rPr>
          <w:rFonts w:asciiTheme="majorHAnsi" w:hAnsiTheme="majorHAnsi"/>
        </w:rPr>
        <w:t xml:space="preserve">. </w:t>
      </w:r>
    </w:p>
    <w:p w14:paraId="52BD48A2" w14:textId="77777777" w:rsidR="00316F11" w:rsidRDefault="00316F11" w:rsidP="00316F11">
      <w:pPr>
        <w:autoSpaceDE w:val="0"/>
        <w:autoSpaceDN w:val="0"/>
        <w:ind w:left="1134" w:hanging="567"/>
        <w:rPr>
          <w:rFonts w:asciiTheme="majorHAnsi" w:hAnsiTheme="majorHAnsi"/>
          <w:lang w:val="en-US"/>
        </w:rPr>
      </w:pPr>
      <w:r>
        <w:rPr>
          <w:rFonts w:asciiTheme="majorHAnsi" w:hAnsiTheme="majorHAnsi"/>
        </w:rPr>
        <w:t xml:space="preserve">3. </w:t>
      </w:r>
      <w:r>
        <w:rPr>
          <w:rFonts w:asciiTheme="majorHAnsi" w:hAnsiTheme="majorHAnsi"/>
        </w:rPr>
        <w:tab/>
      </w:r>
      <w:r w:rsidR="00987D94" w:rsidRPr="00043301">
        <w:rPr>
          <w:rFonts w:asciiTheme="majorHAnsi" w:hAnsiTheme="majorHAnsi"/>
        </w:rPr>
        <w:t xml:space="preserve">At 37 </w:t>
      </w:r>
      <w:r w:rsidR="003E4152">
        <w:rPr>
          <w:rFonts w:asciiTheme="majorHAnsi" w:hAnsiTheme="majorHAnsi"/>
          <w:lang w:val="en-US"/>
        </w:rPr>
        <w:t>°</w:t>
      </w:r>
      <w:r w:rsidR="00987D94" w:rsidRPr="00043301">
        <w:rPr>
          <w:rFonts w:asciiTheme="majorHAnsi" w:hAnsiTheme="majorHAnsi"/>
        </w:rPr>
        <w:t xml:space="preserve">C, the time needed is </w:t>
      </w:r>
      <w:r w:rsidR="00987D94" w:rsidRPr="00043301">
        <w:rPr>
          <w:rFonts w:asciiTheme="majorHAnsi" w:hAnsiTheme="majorHAnsi"/>
          <w:lang w:val="en-US"/>
        </w:rPr>
        <w:t>approximately 5 minutes for the 2 </w:t>
      </w:r>
      <w:r w:rsidR="0073007E">
        <w:rPr>
          <w:rFonts w:asciiTheme="majorHAnsi" w:hAnsiTheme="majorHAnsi"/>
          <w:lang w:val="en-US"/>
        </w:rPr>
        <w:t>mL</w:t>
      </w:r>
      <w:r w:rsidR="00987D94" w:rsidRPr="00043301">
        <w:rPr>
          <w:rFonts w:asciiTheme="majorHAnsi" w:hAnsiTheme="majorHAnsi"/>
          <w:lang w:val="en-US"/>
        </w:rPr>
        <w:t xml:space="preserve">, 4 </w:t>
      </w:r>
      <w:r w:rsidR="0073007E">
        <w:rPr>
          <w:rFonts w:asciiTheme="majorHAnsi" w:hAnsiTheme="majorHAnsi"/>
          <w:lang w:val="en-US"/>
        </w:rPr>
        <w:t>mL</w:t>
      </w:r>
      <w:r w:rsidR="00987D94" w:rsidRPr="00043301">
        <w:rPr>
          <w:rFonts w:asciiTheme="majorHAnsi" w:hAnsiTheme="majorHAnsi"/>
          <w:lang w:val="en-US"/>
        </w:rPr>
        <w:t>, 6 </w:t>
      </w:r>
      <w:r w:rsidR="0073007E">
        <w:rPr>
          <w:rFonts w:asciiTheme="majorHAnsi" w:hAnsiTheme="majorHAnsi"/>
          <w:lang w:val="en-US"/>
        </w:rPr>
        <w:t>mL</w:t>
      </w:r>
      <w:r w:rsidR="00987D94" w:rsidRPr="00043301">
        <w:rPr>
          <w:rFonts w:asciiTheme="majorHAnsi" w:hAnsiTheme="majorHAnsi"/>
          <w:lang w:val="en-US"/>
        </w:rPr>
        <w:t>, and 10 </w:t>
      </w:r>
      <w:r w:rsidR="0073007E">
        <w:rPr>
          <w:rFonts w:asciiTheme="majorHAnsi" w:hAnsiTheme="majorHAnsi"/>
          <w:lang w:val="en-US"/>
        </w:rPr>
        <w:t>mL</w:t>
      </w:r>
      <w:r w:rsidR="00987D94" w:rsidRPr="00043301">
        <w:rPr>
          <w:rFonts w:asciiTheme="majorHAnsi" w:hAnsiTheme="majorHAnsi"/>
          <w:lang w:val="en-US"/>
        </w:rPr>
        <w:t xml:space="preserve"> package sizes, but must not be left at this temperature for longer than 10 minutes.  </w:t>
      </w:r>
    </w:p>
    <w:p w14:paraId="4DA6ECAB" w14:textId="4CBB912D" w:rsidR="00987D94" w:rsidRPr="00043301" w:rsidRDefault="00987D94" w:rsidP="00316F11">
      <w:pPr>
        <w:autoSpaceDE w:val="0"/>
        <w:autoSpaceDN w:val="0"/>
        <w:ind w:left="1134"/>
        <w:rPr>
          <w:rFonts w:asciiTheme="majorHAnsi" w:hAnsiTheme="majorHAnsi"/>
          <w:lang w:val="en-US"/>
        </w:rPr>
      </w:pPr>
      <w:r w:rsidRPr="00043301">
        <w:rPr>
          <w:rFonts w:asciiTheme="majorHAnsi" w:hAnsiTheme="majorHAnsi"/>
          <w:lang w:val="en-US"/>
        </w:rPr>
        <w:t xml:space="preserve">The temperature of the water bath must not exceed 37 </w:t>
      </w:r>
      <w:r w:rsidR="003E4152">
        <w:rPr>
          <w:rFonts w:asciiTheme="majorHAnsi" w:hAnsiTheme="majorHAnsi"/>
          <w:lang w:val="en-US"/>
        </w:rPr>
        <w:t>°</w:t>
      </w:r>
      <w:r w:rsidRPr="00043301">
        <w:rPr>
          <w:rFonts w:asciiTheme="majorHAnsi" w:hAnsiTheme="majorHAnsi"/>
          <w:lang w:val="en-US"/>
        </w:rPr>
        <w:t>C.</w:t>
      </w:r>
    </w:p>
    <w:p w14:paraId="17D2489F" w14:textId="1C24163B" w:rsidR="00987D94" w:rsidRPr="00043301" w:rsidRDefault="00316F11" w:rsidP="00316F11">
      <w:pPr>
        <w:autoSpaceDE w:val="0"/>
        <w:autoSpaceDN w:val="0"/>
        <w:ind w:left="1134" w:hanging="414"/>
        <w:rPr>
          <w:rFonts w:asciiTheme="majorHAnsi" w:hAnsiTheme="majorHAnsi"/>
          <w:lang w:val="en-US"/>
        </w:rPr>
      </w:pPr>
      <w:r>
        <w:rPr>
          <w:rFonts w:asciiTheme="majorHAnsi" w:hAnsiTheme="majorHAnsi"/>
        </w:rPr>
        <w:t xml:space="preserve">4. </w:t>
      </w:r>
      <w:r>
        <w:rPr>
          <w:rFonts w:asciiTheme="majorHAnsi" w:hAnsiTheme="majorHAnsi"/>
        </w:rPr>
        <w:tab/>
      </w:r>
      <w:r w:rsidR="00987D94" w:rsidRPr="00043301">
        <w:rPr>
          <w:rFonts w:asciiTheme="majorHAnsi" w:hAnsiTheme="majorHAnsi"/>
        </w:rPr>
        <w:t>Dry the syringe holder with pre-filled syringes after thawing, using a sterile surgical gauze.</w:t>
      </w:r>
    </w:p>
    <w:p w14:paraId="7938AFD5" w14:textId="17875C38" w:rsidR="00987D94" w:rsidRPr="00043301" w:rsidRDefault="00B15B82" w:rsidP="00693361">
      <w:pPr>
        <w:pStyle w:val="Default"/>
        <w:keepNext/>
        <w:keepLines/>
        <w:ind w:left="1134"/>
        <w:rPr>
          <w:rFonts w:asciiTheme="majorHAnsi" w:hAnsiTheme="majorHAnsi"/>
          <w:color w:val="auto"/>
        </w:rPr>
      </w:pPr>
      <w:r w:rsidRPr="00674F7C">
        <w:rPr>
          <w:rFonts w:ascii="Arial" w:hAnsi="Arial" w:cs="Arial"/>
          <w:noProof/>
          <w:sz w:val="22"/>
          <w:szCs w:val="22"/>
          <w:lang w:eastAsia="zh-CN"/>
        </w:rPr>
        <w:lastRenderedPageBreak/>
        <w:drawing>
          <wp:inline distT="0" distB="0" distL="0" distR="0" wp14:anchorId="7E306928" wp14:editId="223F1247">
            <wp:extent cx="3439551" cy="1524008"/>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6891" cy="1536122"/>
                    </a:xfrm>
                    <a:prstGeom prst="rect">
                      <a:avLst/>
                    </a:prstGeom>
                    <a:noFill/>
                    <a:ln>
                      <a:noFill/>
                    </a:ln>
                  </pic:spPr>
                </pic:pic>
              </a:graphicData>
            </a:graphic>
          </wp:inline>
        </w:drawing>
      </w:r>
    </w:p>
    <w:p w14:paraId="0EBE87CD" w14:textId="2639858B" w:rsidR="00987D94" w:rsidRPr="00043301" w:rsidRDefault="00987D94" w:rsidP="00693361">
      <w:pPr>
        <w:pStyle w:val="Default"/>
        <w:keepNext/>
        <w:keepLines/>
        <w:ind w:left="3294" w:firstLine="306"/>
        <w:rPr>
          <w:rFonts w:asciiTheme="majorHAnsi" w:hAnsiTheme="majorHAnsi"/>
          <w:color w:val="auto"/>
          <w:sz w:val="22"/>
          <w:lang w:val="en-US"/>
        </w:rPr>
      </w:pPr>
      <w:r w:rsidRPr="00043301">
        <w:rPr>
          <w:rFonts w:asciiTheme="majorHAnsi" w:hAnsiTheme="majorHAnsi"/>
          <w:color w:val="auto"/>
          <w:sz w:val="22"/>
          <w:lang w:val="en-US"/>
        </w:rPr>
        <w:t xml:space="preserve">Figure </w:t>
      </w:r>
      <w:r w:rsidR="003E4152">
        <w:rPr>
          <w:rFonts w:asciiTheme="majorHAnsi" w:hAnsiTheme="majorHAnsi"/>
          <w:color w:val="auto"/>
          <w:sz w:val="22"/>
          <w:lang w:val="en-US"/>
        </w:rPr>
        <w:t>2</w:t>
      </w:r>
    </w:p>
    <w:p w14:paraId="3E6C7C0B" w14:textId="77777777" w:rsidR="00987D94" w:rsidRPr="00043301" w:rsidRDefault="00987D94" w:rsidP="00987D94">
      <w:pPr>
        <w:autoSpaceDE w:val="0"/>
        <w:autoSpaceDN w:val="0"/>
        <w:ind w:left="567"/>
        <w:rPr>
          <w:rFonts w:asciiTheme="majorHAnsi" w:hAnsiTheme="majorHAnsi"/>
        </w:rPr>
      </w:pPr>
    </w:p>
    <w:p w14:paraId="62DF9127" w14:textId="77777777" w:rsidR="00987D94" w:rsidRDefault="00987D94" w:rsidP="00987D94">
      <w:pPr>
        <w:pStyle w:val="Default"/>
        <w:ind w:left="567"/>
        <w:rPr>
          <w:rFonts w:asciiTheme="majorHAnsi" w:hAnsiTheme="majorHAnsi"/>
          <w:sz w:val="22"/>
          <w:szCs w:val="22"/>
          <w:lang w:val="en-US"/>
        </w:rPr>
      </w:pPr>
      <w:r w:rsidRPr="00043301">
        <w:rPr>
          <w:rFonts w:asciiTheme="majorHAnsi" w:hAnsiTheme="majorHAnsi"/>
          <w:sz w:val="22"/>
          <w:szCs w:val="22"/>
          <w:lang w:val="en-US"/>
        </w:rPr>
        <w:t>After thawing, the solutions must be clear to slightly opalescent and colorless to pale yellow. Do not use solutions th</w:t>
      </w:r>
      <w:r>
        <w:rPr>
          <w:rFonts w:asciiTheme="majorHAnsi" w:hAnsiTheme="majorHAnsi"/>
          <w:sz w:val="22"/>
          <w:szCs w:val="22"/>
          <w:lang w:val="en-US"/>
        </w:rPr>
        <w:t>at are cloudy or have deposits.</w:t>
      </w:r>
    </w:p>
    <w:p w14:paraId="35D0793C" w14:textId="77777777" w:rsidR="00987D94" w:rsidRPr="00043301" w:rsidRDefault="00987D94" w:rsidP="00987D94">
      <w:pPr>
        <w:pStyle w:val="Default"/>
        <w:ind w:left="567"/>
        <w:rPr>
          <w:rFonts w:asciiTheme="majorHAnsi" w:hAnsiTheme="majorHAnsi"/>
          <w:sz w:val="22"/>
          <w:szCs w:val="22"/>
          <w:lang w:val="en-US"/>
        </w:rPr>
      </w:pPr>
    </w:p>
    <w:p w14:paraId="19C7B423" w14:textId="77777777" w:rsidR="00987D94" w:rsidRPr="00043301" w:rsidRDefault="00987D94" w:rsidP="00987D94">
      <w:pPr>
        <w:autoSpaceDE w:val="0"/>
        <w:autoSpaceDN w:val="0"/>
        <w:ind w:left="567"/>
        <w:rPr>
          <w:rFonts w:asciiTheme="majorHAnsi" w:hAnsiTheme="majorHAnsi"/>
        </w:rPr>
      </w:pPr>
      <w:r w:rsidRPr="00043301">
        <w:rPr>
          <w:rFonts w:asciiTheme="majorHAnsi" w:hAnsiTheme="majorHAnsi"/>
        </w:rPr>
        <w:t xml:space="preserve">Use </w:t>
      </w:r>
      <w:proofErr w:type="spellStart"/>
      <w:r w:rsidRPr="00043301">
        <w:rPr>
          <w:rFonts w:asciiTheme="majorHAnsi" w:hAnsiTheme="majorHAnsi"/>
        </w:rPr>
        <w:t>VeraSeal</w:t>
      </w:r>
      <w:proofErr w:type="spellEnd"/>
      <w:r w:rsidRPr="00043301">
        <w:rPr>
          <w:rFonts w:asciiTheme="majorHAnsi" w:hAnsiTheme="majorHAnsi"/>
        </w:rPr>
        <w:t xml:space="preserve"> immediately an</w:t>
      </w:r>
      <w:r>
        <w:rPr>
          <w:rFonts w:asciiTheme="majorHAnsi" w:hAnsiTheme="majorHAnsi"/>
        </w:rPr>
        <w:t xml:space="preserve">d discard any unused contents. </w:t>
      </w:r>
    </w:p>
    <w:p w14:paraId="1D56652E" w14:textId="77777777" w:rsidR="00987D94" w:rsidRPr="00043301" w:rsidRDefault="00987D94" w:rsidP="00987D94">
      <w:pPr>
        <w:keepNext/>
        <w:numPr>
          <w:ilvl w:val="0"/>
          <w:numId w:val="13"/>
        </w:numPr>
        <w:tabs>
          <w:tab w:val="left" w:pos="567"/>
        </w:tabs>
        <w:spacing w:after="0" w:line="260" w:lineRule="exact"/>
        <w:ind w:hanging="1287"/>
        <w:rPr>
          <w:rFonts w:asciiTheme="majorHAnsi" w:hAnsiTheme="majorHAnsi"/>
          <w:color w:val="000000"/>
        </w:rPr>
      </w:pPr>
      <w:r w:rsidRPr="00043301">
        <w:rPr>
          <w:rFonts w:asciiTheme="majorHAnsi" w:hAnsiTheme="majorHAnsi"/>
          <w:b/>
          <w:color w:val="000000"/>
        </w:rPr>
        <w:t>Connection instructions</w:t>
      </w:r>
    </w:p>
    <w:p w14:paraId="16744D9C" w14:textId="77777777" w:rsidR="00987D94" w:rsidRPr="00043301" w:rsidRDefault="00987D94" w:rsidP="00987D94">
      <w:pPr>
        <w:keepNext/>
        <w:autoSpaceDE w:val="0"/>
        <w:autoSpaceDN w:val="0"/>
        <w:adjustRightInd w:val="0"/>
        <w:spacing w:line="240" w:lineRule="auto"/>
        <w:ind w:left="567"/>
        <w:rPr>
          <w:rFonts w:asciiTheme="majorHAnsi" w:hAnsiTheme="majorHAnsi"/>
          <w:color w:val="000000"/>
        </w:rPr>
      </w:pPr>
    </w:p>
    <w:p w14:paraId="06D2207C" w14:textId="7777777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b/>
        </w:rPr>
      </w:pPr>
      <w:r w:rsidRPr="00043301">
        <w:rPr>
          <w:rFonts w:asciiTheme="majorHAnsi" w:hAnsiTheme="majorHAnsi"/>
        </w:rPr>
        <w:t>1.</w:t>
      </w:r>
      <w:r w:rsidRPr="00043301">
        <w:rPr>
          <w:rFonts w:asciiTheme="majorHAnsi" w:hAnsiTheme="majorHAnsi"/>
          <w:b/>
        </w:rPr>
        <w:tab/>
      </w:r>
      <w:r w:rsidRPr="00043301">
        <w:rPr>
          <w:rFonts w:asciiTheme="majorHAnsi" w:hAnsiTheme="majorHAnsi"/>
        </w:rPr>
        <w:t xml:space="preserve">Open the blister and make the </w:t>
      </w:r>
      <w:proofErr w:type="spellStart"/>
      <w:r w:rsidRPr="00043301">
        <w:rPr>
          <w:rFonts w:asciiTheme="majorHAnsi" w:hAnsiTheme="majorHAnsi"/>
        </w:rPr>
        <w:t>VeraSeal</w:t>
      </w:r>
      <w:proofErr w:type="spellEnd"/>
      <w:r w:rsidRPr="00043301">
        <w:rPr>
          <w:rFonts w:asciiTheme="majorHAnsi" w:hAnsiTheme="majorHAnsi"/>
        </w:rPr>
        <w:t xml:space="preserve"> Dual Applicator and two additional Airless Spray Tips available to a second person for transfer to the sterile field. The outside of the blister should not </w:t>
      </w:r>
      <w:proofErr w:type="gramStart"/>
      <w:r w:rsidRPr="00043301">
        <w:rPr>
          <w:rFonts w:asciiTheme="majorHAnsi" w:hAnsiTheme="majorHAnsi"/>
        </w:rPr>
        <w:t>come in contact with</w:t>
      </w:r>
      <w:proofErr w:type="gramEnd"/>
      <w:r w:rsidRPr="00043301">
        <w:rPr>
          <w:rFonts w:asciiTheme="majorHAnsi" w:hAnsiTheme="majorHAnsi"/>
        </w:rPr>
        <w:t xml:space="preserve"> the sterile field.</w:t>
      </w:r>
    </w:p>
    <w:p w14:paraId="4634DB1C" w14:textId="5B6ADC53"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r w:rsidRPr="00043301">
        <w:rPr>
          <w:rFonts w:asciiTheme="majorHAnsi" w:hAnsiTheme="majorHAnsi"/>
        </w:rPr>
        <w:t>2.</w:t>
      </w:r>
      <w:r w:rsidRPr="00043301">
        <w:rPr>
          <w:rFonts w:asciiTheme="majorHAnsi" w:hAnsiTheme="majorHAnsi"/>
          <w:b/>
        </w:rPr>
        <w:tab/>
      </w:r>
      <w:r w:rsidRPr="00043301">
        <w:rPr>
          <w:rFonts w:asciiTheme="majorHAnsi" w:hAnsiTheme="majorHAnsi"/>
          <w:color w:val="000000"/>
        </w:rPr>
        <w:t xml:space="preserve">Hold the </w:t>
      </w:r>
      <w:proofErr w:type="spellStart"/>
      <w:r w:rsidRPr="00043301">
        <w:rPr>
          <w:rFonts w:asciiTheme="majorHAnsi" w:hAnsiTheme="majorHAnsi"/>
          <w:color w:val="000000"/>
        </w:rPr>
        <w:t>VeraSeal</w:t>
      </w:r>
      <w:proofErr w:type="spellEnd"/>
      <w:r w:rsidRPr="00043301">
        <w:rPr>
          <w:rFonts w:asciiTheme="majorHAnsi" w:hAnsiTheme="majorHAnsi"/>
          <w:color w:val="000000"/>
        </w:rPr>
        <w:t xml:space="preserve"> syringe holder with syringe </w:t>
      </w:r>
      <w:proofErr w:type="spellStart"/>
      <w:r w:rsidRPr="00043301">
        <w:rPr>
          <w:rFonts w:asciiTheme="majorHAnsi" w:hAnsiTheme="majorHAnsi"/>
          <w:color w:val="000000"/>
        </w:rPr>
        <w:t>luer</w:t>
      </w:r>
      <w:proofErr w:type="spellEnd"/>
      <w:r w:rsidRPr="00043301">
        <w:rPr>
          <w:rFonts w:asciiTheme="majorHAnsi" w:hAnsiTheme="majorHAnsi"/>
          <w:color w:val="000000"/>
        </w:rPr>
        <w:t xml:space="preserve"> caps pointed upward. See Figure </w:t>
      </w:r>
      <w:r w:rsidR="003E4152">
        <w:rPr>
          <w:rFonts w:asciiTheme="majorHAnsi" w:hAnsiTheme="majorHAnsi"/>
          <w:color w:val="000000"/>
        </w:rPr>
        <w:t>3</w:t>
      </w:r>
      <w:r w:rsidRPr="00043301">
        <w:rPr>
          <w:rFonts w:asciiTheme="majorHAnsi" w:hAnsiTheme="majorHAnsi"/>
          <w:color w:val="000000"/>
        </w:rPr>
        <w:t>.</w:t>
      </w:r>
    </w:p>
    <w:p w14:paraId="74C6A57F" w14:textId="5AF5113E" w:rsidR="00987D94" w:rsidRPr="00043301" w:rsidRDefault="00987D94" w:rsidP="00987D94">
      <w:pPr>
        <w:tabs>
          <w:tab w:val="left" w:pos="1134"/>
        </w:tabs>
        <w:autoSpaceDE w:val="0"/>
        <w:autoSpaceDN w:val="0"/>
        <w:ind w:left="1134" w:hanging="1134"/>
        <w:rPr>
          <w:rFonts w:asciiTheme="majorHAnsi" w:hAnsiTheme="majorHAnsi"/>
          <w:color w:val="000000"/>
        </w:rPr>
      </w:pPr>
      <w:r>
        <w:rPr>
          <w:rFonts w:asciiTheme="majorHAnsi" w:hAnsiTheme="majorHAnsi"/>
        </w:rPr>
        <w:t xml:space="preserve">            </w:t>
      </w:r>
      <w:r w:rsidRPr="00043301">
        <w:rPr>
          <w:rFonts w:asciiTheme="majorHAnsi" w:hAnsiTheme="majorHAnsi"/>
        </w:rPr>
        <w:t>3.</w:t>
      </w:r>
      <w:r>
        <w:rPr>
          <w:rFonts w:asciiTheme="majorHAnsi" w:hAnsiTheme="majorHAnsi"/>
        </w:rPr>
        <w:t xml:space="preserve"> </w:t>
      </w:r>
      <w:r w:rsidRPr="00043301">
        <w:rPr>
          <w:rFonts w:asciiTheme="majorHAnsi" w:hAnsiTheme="majorHAnsi"/>
        </w:rPr>
        <w:tab/>
        <w:t xml:space="preserve">Unscrew and discard the syringe </w:t>
      </w:r>
      <w:proofErr w:type="spellStart"/>
      <w:r w:rsidRPr="00043301">
        <w:rPr>
          <w:rFonts w:asciiTheme="majorHAnsi" w:hAnsiTheme="majorHAnsi"/>
        </w:rPr>
        <w:t>luer</w:t>
      </w:r>
      <w:proofErr w:type="spellEnd"/>
      <w:r w:rsidRPr="00043301">
        <w:rPr>
          <w:rFonts w:asciiTheme="majorHAnsi" w:hAnsiTheme="majorHAnsi"/>
        </w:rPr>
        <w:t xml:space="preserve"> cap of both fibrinogen and thrombin syringes. See Figure</w:t>
      </w:r>
      <w:r w:rsidRPr="00043301">
        <w:rPr>
          <w:rFonts w:asciiTheme="majorHAnsi" w:hAnsiTheme="majorHAnsi"/>
          <w:color w:val="000000"/>
        </w:rPr>
        <w:t> </w:t>
      </w:r>
      <w:r w:rsidR="003E4152">
        <w:rPr>
          <w:rFonts w:asciiTheme="majorHAnsi" w:hAnsiTheme="majorHAnsi"/>
          <w:color w:val="000000"/>
        </w:rPr>
        <w:t>3</w:t>
      </w:r>
      <w:r w:rsidRPr="00043301">
        <w:rPr>
          <w:rFonts w:asciiTheme="majorHAnsi" w:hAnsiTheme="majorHAnsi"/>
          <w:color w:val="000000"/>
        </w:rPr>
        <w:t xml:space="preserve">. </w:t>
      </w:r>
    </w:p>
    <w:p w14:paraId="03C801A9" w14:textId="7777777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p>
    <w:p w14:paraId="2AF46213" w14:textId="77777777" w:rsidR="00987D94" w:rsidRPr="00043301" w:rsidRDefault="00987D94" w:rsidP="00987D94">
      <w:pPr>
        <w:tabs>
          <w:tab w:val="left" w:pos="1134"/>
        </w:tabs>
        <w:autoSpaceDE w:val="0"/>
        <w:autoSpaceDN w:val="0"/>
        <w:adjustRightInd w:val="0"/>
        <w:spacing w:line="240" w:lineRule="auto"/>
        <w:ind w:left="1134"/>
        <w:rPr>
          <w:rFonts w:asciiTheme="majorHAnsi" w:hAnsiTheme="majorHAnsi"/>
          <w:noProof/>
          <w:lang w:val="es-ES" w:eastAsia="es-ES"/>
        </w:rPr>
      </w:pPr>
      <w:r w:rsidRPr="00043301">
        <w:rPr>
          <w:rFonts w:asciiTheme="majorHAnsi" w:hAnsiTheme="majorHAnsi"/>
          <w:noProof/>
          <w:lang w:val="es-ES" w:eastAsia="zh-CN"/>
        </w:rPr>
        <w:drawing>
          <wp:inline distT="0" distB="0" distL="0" distR="0" wp14:anchorId="089086AD" wp14:editId="2B8B4B41">
            <wp:extent cx="1581150" cy="2705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6783" t="3461" r="3990" b="2538"/>
                    <a:stretch>
                      <a:fillRect/>
                    </a:stretch>
                  </pic:blipFill>
                  <pic:spPr bwMode="auto">
                    <a:xfrm>
                      <a:off x="0" y="0"/>
                      <a:ext cx="1581150" cy="2705100"/>
                    </a:xfrm>
                    <a:prstGeom prst="rect">
                      <a:avLst/>
                    </a:prstGeom>
                    <a:noFill/>
                    <a:ln>
                      <a:noFill/>
                    </a:ln>
                  </pic:spPr>
                </pic:pic>
              </a:graphicData>
            </a:graphic>
          </wp:inline>
        </w:drawing>
      </w:r>
    </w:p>
    <w:p w14:paraId="7C6336C9" w14:textId="02651940" w:rsidR="00987D94" w:rsidRPr="00043301" w:rsidRDefault="004352E1" w:rsidP="00987D94">
      <w:pPr>
        <w:tabs>
          <w:tab w:val="left" w:pos="1134"/>
        </w:tabs>
        <w:autoSpaceDE w:val="0"/>
        <w:autoSpaceDN w:val="0"/>
        <w:adjustRightInd w:val="0"/>
        <w:spacing w:line="240" w:lineRule="auto"/>
        <w:ind w:left="1134"/>
        <w:rPr>
          <w:rFonts w:asciiTheme="majorHAnsi" w:hAnsiTheme="majorHAnsi"/>
          <w:noProof/>
          <w:lang w:val="en-US" w:eastAsia="es-ES"/>
        </w:rPr>
      </w:pPr>
      <w:r>
        <w:rPr>
          <w:rFonts w:asciiTheme="majorHAnsi" w:hAnsiTheme="majorHAnsi"/>
          <w:noProof/>
          <w:lang w:val="en-US" w:eastAsia="es-ES"/>
        </w:rPr>
        <w:tab/>
      </w:r>
      <w:r>
        <w:rPr>
          <w:rFonts w:asciiTheme="majorHAnsi" w:hAnsiTheme="majorHAnsi"/>
          <w:noProof/>
          <w:lang w:val="en-US" w:eastAsia="es-ES"/>
        </w:rPr>
        <w:tab/>
      </w:r>
      <w:r w:rsidR="00987D94" w:rsidRPr="00043301">
        <w:rPr>
          <w:rFonts w:asciiTheme="majorHAnsi" w:hAnsiTheme="majorHAnsi"/>
          <w:noProof/>
          <w:lang w:val="en-US" w:eastAsia="es-ES"/>
        </w:rPr>
        <w:t xml:space="preserve">Figure </w:t>
      </w:r>
      <w:r w:rsidR="003E4152">
        <w:rPr>
          <w:rFonts w:asciiTheme="majorHAnsi" w:hAnsiTheme="majorHAnsi"/>
          <w:noProof/>
          <w:lang w:val="en-US" w:eastAsia="es-ES"/>
        </w:rPr>
        <w:t>3</w:t>
      </w:r>
    </w:p>
    <w:p w14:paraId="0539AC97" w14:textId="7777777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p>
    <w:p w14:paraId="109EE22B" w14:textId="5046C2A5"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r w:rsidRPr="00043301">
        <w:rPr>
          <w:rFonts w:asciiTheme="majorHAnsi" w:hAnsiTheme="majorHAnsi"/>
        </w:rPr>
        <w:lastRenderedPageBreak/>
        <w:t>4.</w:t>
      </w:r>
      <w:r w:rsidRPr="00043301">
        <w:rPr>
          <w:rFonts w:asciiTheme="majorHAnsi" w:hAnsiTheme="majorHAnsi"/>
          <w:b/>
        </w:rPr>
        <w:tab/>
      </w:r>
      <w:r w:rsidRPr="00043301">
        <w:rPr>
          <w:rFonts w:asciiTheme="majorHAnsi" w:hAnsiTheme="majorHAnsi"/>
        </w:rPr>
        <w:t xml:space="preserve">Hold the syringe holder with the </w:t>
      </w:r>
      <w:proofErr w:type="spellStart"/>
      <w:r w:rsidRPr="00043301">
        <w:rPr>
          <w:rFonts w:asciiTheme="majorHAnsi" w:hAnsiTheme="majorHAnsi"/>
        </w:rPr>
        <w:t>luers</w:t>
      </w:r>
      <w:proofErr w:type="spellEnd"/>
      <w:r w:rsidRPr="00043301">
        <w:rPr>
          <w:rFonts w:asciiTheme="majorHAnsi" w:hAnsiTheme="majorHAnsi"/>
        </w:rPr>
        <w:t xml:space="preserve"> pointed upward.</w:t>
      </w:r>
      <w:r w:rsidRPr="00043301">
        <w:rPr>
          <w:rFonts w:asciiTheme="majorHAnsi" w:hAnsiTheme="majorHAnsi"/>
          <w:b/>
        </w:rPr>
        <w:t xml:space="preserve"> </w:t>
      </w:r>
      <w:r w:rsidRPr="00043301">
        <w:rPr>
          <w:rFonts w:asciiTheme="majorHAnsi" w:hAnsiTheme="majorHAnsi"/>
          <w:color w:val="000000"/>
        </w:rPr>
        <w:t xml:space="preserve">To remove air bubbles from syringes, strike gently the side of the syringe holder one or two times while keeping the syringe holder in an upright position and lightly depress the plunger to eject air. See Figure </w:t>
      </w:r>
      <w:r w:rsidR="003E4152">
        <w:rPr>
          <w:rFonts w:asciiTheme="majorHAnsi" w:hAnsiTheme="majorHAnsi"/>
          <w:color w:val="000000"/>
        </w:rPr>
        <w:t>4</w:t>
      </w:r>
      <w:r w:rsidRPr="00043301">
        <w:rPr>
          <w:rFonts w:asciiTheme="majorHAnsi" w:hAnsiTheme="majorHAnsi"/>
          <w:color w:val="000000"/>
        </w:rPr>
        <w:t>.</w:t>
      </w:r>
    </w:p>
    <w:p w14:paraId="3A573FC6" w14:textId="77777777" w:rsidR="00987D94" w:rsidRPr="00043301" w:rsidRDefault="00987D94" w:rsidP="00987D94">
      <w:pPr>
        <w:tabs>
          <w:tab w:val="left" w:pos="1134"/>
        </w:tabs>
        <w:autoSpaceDE w:val="0"/>
        <w:autoSpaceDN w:val="0"/>
        <w:adjustRightInd w:val="0"/>
        <w:spacing w:line="240" w:lineRule="auto"/>
        <w:ind w:left="1134" w:hanging="567"/>
        <w:rPr>
          <w:rFonts w:asciiTheme="majorHAnsi" w:hAnsiTheme="majorHAnsi"/>
          <w:color w:val="000000"/>
        </w:rPr>
      </w:pPr>
    </w:p>
    <w:p w14:paraId="40365297" w14:textId="77777777" w:rsidR="00987D94" w:rsidRPr="00043301" w:rsidRDefault="00987D94" w:rsidP="00987D94">
      <w:pPr>
        <w:tabs>
          <w:tab w:val="left" w:pos="1134"/>
        </w:tabs>
        <w:autoSpaceDE w:val="0"/>
        <w:autoSpaceDN w:val="0"/>
        <w:adjustRightInd w:val="0"/>
        <w:spacing w:line="240" w:lineRule="auto"/>
        <w:ind w:left="1134"/>
        <w:rPr>
          <w:rFonts w:asciiTheme="majorHAnsi" w:hAnsiTheme="majorHAnsi"/>
          <w:color w:val="000000"/>
        </w:rPr>
      </w:pPr>
      <w:r w:rsidRPr="00043301">
        <w:rPr>
          <w:rFonts w:asciiTheme="majorHAnsi" w:hAnsiTheme="majorHAnsi"/>
          <w:noProof/>
          <w:color w:val="000000"/>
          <w:lang w:val="es-ES" w:eastAsia="zh-CN"/>
        </w:rPr>
        <w:drawing>
          <wp:inline distT="0" distB="0" distL="0" distR="0" wp14:anchorId="19D2BD21" wp14:editId="44AE5D86">
            <wp:extent cx="1943100" cy="2400300"/>
            <wp:effectExtent l="0" t="0" r="0" b="0"/>
            <wp:docPr id="7" name="Imagen 7" descr="C:\Users\MCardin8\Desktop\Gryff PI-2_w Flic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ardin8\Desktop\Gryff PI-2_w Flick.ai.jpg"/>
                    <pic:cNvPicPr>
                      <a:picLocks noChangeAspect="1" noChangeArrowheads="1"/>
                    </pic:cNvPicPr>
                  </pic:nvPicPr>
                  <pic:blipFill>
                    <a:blip r:embed="rId15" cstate="print">
                      <a:extLst>
                        <a:ext uri="{28A0092B-C50C-407E-A947-70E740481C1C}">
                          <a14:useLocalDpi xmlns:a14="http://schemas.microsoft.com/office/drawing/2010/main" val="0"/>
                        </a:ext>
                      </a:extLst>
                    </a:blip>
                    <a:srcRect r="4230"/>
                    <a:stretch>
                      <a:fillRect/>
                    </a:stretch>
                  </pic:blipFill>
                  <pic:spPr bwMode="auto">
                    <a:xfrm>
                      <a:off x="0" y="0"/>
                      <a:ext cx="1943100" cy="2400300"/>
                    </a:xfrm>
                    <a:prstGeom prst="rect">
                      <a:avLst/>
                    </a:prstGeom>
                    <a:noFill/>
                    <a:ln>
                      <a:noFill/>
                    </a:ln>
                  </pic:spPr>
                </pic:pic>
              </a:graphicData>
            </a:graphic>
          </wp:inline>
        </w:drawing>
      </w:r>
    </w:p>
    <w:p w14:paraId="7F0B4584" w14:textId="478B0C31" w:rsidR="00987D94" w:rsidRPr="00043301" w:rsidRDefault="00987D94" w:rsidP="004352E1">
      <w:pPr>
        <w:autoSpaceDE w:val="0"/>
        <w:autoSpaceDN w:val="0"/>
        <w:ind w:left="1854" w:firstLine="306"/>
        <w:rPr>
          <w:rFonts w:asciiTheme="majorHAnsi" w:hAnsiTheme="majorHAnsi"/>
          <w:color w:val="000000"/>
        </w:rPr>
      </w:pPr>
      <w:r w:rsidRPr="00043301">
        <w:rPr>
          <w:rFonts w:asciiTheme="majorHAnsi" w:hAnsiTheme="majorHAnsi"/>
          <w:color w:val="000000"/>
        </w:rPr>
        <w:t xml:space="preserve">Figure </w:t>
      </w:r>
      <w:r w:rsidR="003E4152">
        <w:rPr>
          <w:rFonts w:asciiTheme="majorHAnsi" w:hAnsiTheme="majorHAnsi"/>
          <w:color w:val="000000"/>
        </w:rPr>
        <w:t>4</w:t>
      </w:r>
    </w:p>
    <w:p w14:paraId="6E76D0E9" w14:textId="77777777" w:rsidR="00987D94" w:rsidRPr="00043301" w:rsidRDefault="00987D94" w:rsidP="00987D94">
      <w:pPr>
        <w:autoSpaceDE w:val="0"/>
        <w:autoSpaceDN w:val="0"/>
        <w:ind w:left="1134"/>
        <w:rPr>
          <w:rFonts w:asciiTheme="majorHAnsi" w:hAnsiTheme="majorHAnsi"/>
          <w:color w:val="000000"/>
        </w:rPr>
      </w:pPr>
    </w:p>
    <w:p w14:paraId="5F397381" w14:textId="76FF6307" w:rsidR="00987D94" w:rsidRDefault="00987D94" w:rsidP="00987D94">
      <w:pPr>
        <w:tabs>
          <w:tab w:val="left" w:pos="1134"/>
        </w:tabs>
        <w:autoSpaceDE w:val="0"/>
        <w:autoSpaceDN w:val="0"/>
        <w:ind w:left="567" w:hanging="567"/>
        <w:rPr>
          <w:rFonts w:asciiTheme="majorHAnsi" w:hAnsiTheme="majorHAnsi"/>
          <w:color w:val="000000"/>
        </w:rPr>
      </w:pPr>
      <w:r w:rsidRPr="00043301">
        <w:rPr>
          <w:rFonts w:asciiTheme="majorHAnsi" w:hAnsiTheme="majorHAnsi"/>
          <w:color w:val="000000"/>
        </w:rPr>
        <w:tab/>
        <w:t>5.</w:t>
      </w:r>
      <w:r w:rsidRPr="00043301">
        <w:rPr>
          <w:rFonts w:asciiTheme="majorHAnsi" w:hAnsiTheme="majorHAnsi"/>
          <w:color w:val="000000"/>
        </w:rPr>
        <w:tab/>
        <w:t xml:space="preserve">Attach the Dual Applicator. See Figure </w:t>
      </w:r>
      <w:r w:rsidR="003E4152">
        <w:rPr>
          <w:rFonts w:asciiTheme="majorHAnsi" w:hAnsiTheme="majorHAnsi"/>
          <w:color w:val="000000"/>
        </w:rPr>
        <w:t>5</w:t>
      </w:r>
      <w:r w:rsidRPr="00043301">
        <w:rPr>
          <w:rFonts w:asciiTheme="majorHAnsi" w:hAnsiTheme="majorHAnsi"/>
          <w:color w:val="000000"/>
        </w:rPr>
        <w:t>.</w:t>
      </w:r>
    </w:p>
    <w:p w14:paraId="3A10F541" w14:textId="3E0FC150" w:rsidR="00987D94" w:rsidRPr="00043301" w:rsidRDefault="00987D94" w:rsidP="00987D94">
      <w:pPr>
        <w:tabs>
          <w:tab w:val="left" w:pos="1134"/>
        </w:tabs>
        <w:autoSpaceDE w:val="0"/>
        <w:autoSpaceDN w:val="0"/>
        <w:ind w:left="567" w:hanging="567"/>
        <w:rPr>
          <w:rFonts w:asciiTheme="majorHAnsi" w:hAnsiTheme="majorHAnsi"/>
          <w:color w:val="000000"/>
        </w:rPr>
      </w:pPr>
      <w:r>
        <w:rPr>
          <w:rFonts w:asciiTheme="majorHAnsi" w:hAnsiTheme="majorHAnsi"/>
          <w:color w:val="000000"/>
        </w:rPr>
        <w:tab/>
      </w:r>
      <w:r w:rsidRPr="00043301">
        <w:rPr>
          <w:rFonts w:asciiTheme="majorHAnsi" w:hAnsiTheme="majorHAnsi"/>
          <w:color w:val="000000"/>
        </w:rPr>
        <w:t xml:space="preserve">NOTE: Do not depress plunger during attachment or prior to intended use because the two biologic components will pre-mix in the Airless Spray Tip, forming a fibrin clot that prevents dispensing. See Figure </w:t>
      </w:r>
      <w:r w:rsidR="003E4152">
        <w:rPr>
          <w:rFonts w:asciiTheme="majorHAnsi" w:hAnsiTheme="majorHAnsi"/>
          <w:color w:val="000000"/>
        </w:rPr>
        <w:t>6</w:t>
      </w:r>
      <w:r w:rsidRPr="00043301">
        <w:rPr>
          <w:rFonts w:asciiTheme="majorHAnsi" w:hAnsiTheme="majorHAnsi"/>
          <w:color w:val="000000"/>
        </w:rPr>
        <w:t xml:space="preserve">. </w:t>
      </w:r>
    </w:p>
    <w:p w14:paraId="379D8CD7" w14:textId="77777777" w:rsidR="00987D94" w:rsidRPr="00043301" w:rsidRDefault="00987D94" w:rsidP="00987D94">
      <w:pPr>
        <w:tabs>
          <w:tab w:val="left" w:pos="1134"/>
        </w:tabs>
        <w:autoSpaceDE w:val="0"/>
        <w:autoSpaceDN w:val="0"/>
        <w:ind w:left="1134" w:firstLine="1"/>
        <w:rPr>
          <w:rFonts w:asciiTheme="majorHAnsi" w:hAnsiTheme="majorHAnsi"/>
          <w:color w:val="000000"/>
        </w:rPr>
      </w:pPr>
    </w:p>
    <w:p w14:paraId="3230DFDC" w14:textId="77777777" w:rsidR="00987D94" w:rsidRPr="00043301" w:rsidRDefault="00987D94" w:rsidP="00987D94">
      <w:pPr>
        <w:autoSpaceDE w:val="0"/>
        <w:autoSpaceDN w:val="0"/>
        <w:spacing w:line="240" w:lineRule="auto"/>
        <w:ind w:left="1134"/>
        <w:rPr>
          <w:rFonts w:asciiTheme="majorHAnsi" w:hAnsiTheme="majorHAnsi"/>
          <w:color w:val="000000"/>
        </w:rPr>
      </w:pPr>
      <w:r w:rsidRPr="00043301">
        <w:rPr>
          <w:rFonts w:asciiTheme="majorHAnsi" w:hAnsiTheme="majorHAnsi"/>
          <w:noProof/>
          <w:color w:val="000000"/>
          <w:lang w:val="es-ES" w:eastAsia="zh-CN"/>
        </w:rPr>
        <w:drawing>
          <wp:inline distT="0" distB="0" distL="0" distR="0" wp14:anchorId="7046C2E8" wp14:editId="65B02754">
            <wp:extent cx="4133850" cy="1743075"/>
            <wp:effectExtent l="0" t="0" r="0" b="9525"/>
            <wp:docPr id="6" name="Imagen 6" descr="C:\Users\MCardin8\AppData\Local\Microsoft\Windows\Temporary Internet Files\Content.Outlook\8ODB2DRL\Gryff PI 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rdin8\AppData\Local\Microsoft\Windows\Temporary Internet Files\Content.Outlook\8ODB2DRL\Gryff PI 8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3850" cy="1743075"/>
                    </a:xfrm>
                    <a:prstGeom prst="rect">
                      <a:avLst/>
                    </a:prstGeom>
                    <a:noFill/>
                    <a:ln>
                      <a:noFill/>
                    </a:ln>
                  </pic:spPr>
                </pic:pic>
              </a:graphicData>
            </a:graphic>
          </wp:inline>
        </w:drawing>
      </w:r>
    </w:p>
    <w:p w14:paraId="1808C6E7" w14:textId="38DDC0D1" w:rsidR="00987D94" w:rsidRPr="00043301" w:rsidRDefault="00987D94" w:rsidP="00987D94">
      <w:pPr>
        <w:autoSpaceDE w:val="0"/>
        <w:autoSpaceDN w:val="0"/>
        <w:ind w:left="1134" w:hanging="567"/>
        <w:rPr>
          <w:rFonts w:asciiTheme="majorHAnsi" w:hAnsiTheme="majorHAnsi"/>
          <w:color w:val="000000"/>
        </w:rPr>
      </w:pPr>
      <w:r w:rsidRPr="00043301">
        <w:rPr>
          <w:rFonts w:asciiTheme="majorHAnsi" w:hAnsiTheme="majorHAnsi"/>
          <w:color w:val="000000"/>
        </w:rPr>
        <w:tab/>
      </w:r>
      <w:r w:rsidR="004352E1">
        <w:rPr>
          <w:rFonts w:asciiTheme="majorHAnsi" w:hAnsiTheme="majorHAnsi"/>
          <w:color w:val="000000"/>
        </w:rPr>
        <w:tab/>
      </w:r>
      <w:r w:rsidR="004352E1">
        <w:rPr>
          <w:rFonts w:asciiTheme="majorHAnsi" w:hAnsiTheme="majorHAnsi"/>
          <w:color w:val="000000"/>
        </w:rPr>
        <w:tab/>
      </w:r>
      <w:r w:rsidR="004352E1">
        <w:rPr>
          <w:rFonts w:asciiTheme="majorHAnsi" w:hAnsiTheme="majorHAnsi"/>
          <w:color w:val="000000"/>
        </w:rPr>
        <w:tab/>
      </w:r>
      <w:r w:rsidR="004352E1">
        <w:rPr>
          <w:rFonts w:asciiTheme="majorHAnsi" w:hAnsiTheme="majorHAnsi"/>
          <w:color w:val="000000"/>
        </w:rPr>
        <w:tab/>
      </w:r>
      <w:r w:rsidRPr="00043301">
        <w:rPr>
          <w:rFonts w:asciiTheme="majorHAnsi" w:hAnsiTheme="majorHAnsi"/>
          <w:color w:val="000000"/>
        </w:rPr>
        <w:t xml:space="preserve">Figure </w:t>
      </w:r>
      <w:r w:rsidR="003E4152">
        <w:rPr>
          <w:rFonts w:asciiTheme="majorHAnsi" w:hAnsiTheme="majorHAnsi"/>
          <w:color w:val="000000"/>
        </w:rPr>
        <w:t>5</w:t>
      </w:r>
    </w:p>
    <w:p w14:paraId="23C34670" w14:textId="77777777" w:rsidR="00987D94" w:rsidRPr="00043301" w:rsidRDefault="00987D94" w:rsidP="00987D94">
      <w:pPr>
        <w:autoSpaceDE w:val="0"/>
        <w:autoSpaceDN w:val="0"/>
        <w:ind w:left="1134" w:hanging="567"/>
        <w:rPr>
          <w:rFonts w:asciiTheme="majorHAnsi" w:hAnsiTheme="majorHAnsi"/>
          <w:noProof/>
        </w:rPr>
      </w:pPr>
    </w:p>
    <w:p w14:paraId="15720B36" w14:textId="7A2FD8CA" w:rsidR="00987D94" w:rsidRPr="00043301" w:rsidRDefault="00327D5E" w:rsidP="00987D94">
      <w:pPr>
        <w:autoSpaceDE w:val="0"/>
        <w:autoSpaceDN w:val="0"/>
        <w:spacing w:line="240" w:lineRule="auto"/>
        <w:ind w:left="1134" w:hanging="567"/>
        <w:rPr>
          <w:rFonts w:asciiTheme="majorHAnsi" w:hAnsiTheme="majorHAnsi"/>
          <w:noProof/>
        </w:rPr>
      </w:pPr>
      <w:r w:rsidRPr="009E4062">
        <w:rPr>
          <w:noProof/>
          <w:sz w:val="20"/>
          <w:szCs w:val="20"/>
          <w:lang w:val="es-ES" w:eastAsia="zh-CN"/>
        </w:rPr>
        <w:lastRenderedPageBreak/>
        <w:drawing>
          <wp:inline distT="0" distB="0" distL="0" distR="0" wp14:anchorId="3999A171" wp14:editId="523EC5ED">
            <wp:extent cx="1754143" cy="3667125"/>
            <wp:effectExtent l="0" t="0" r="0" b="0"/>
            <wp:docPr id="2" name="Imagen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343" cy="3690539"/>
                    </a:xfrm>
                    <a:prstGeom prst="rect">
                      <a:avLst/>
                    </a:prstGeom>
                    <a:noFill/>
                    <a:ln>
                      <a:noFill/>
                    </a:ln>
                  </pic:spPr>
                </pic:pic>
              </a:graphicData>
            </a:graphic>
          </wp:inline>
        </w:drawing>
      </w:r>
    </w:p>
    <w:p w14:paraId="5324C5E5" w14:textId="2E3AEA7E" w:rsidR="00987D94" w:rsidRPr="00043301" w:rsidRDefault="00987D94" w:rsidP="00987D94">
      <w:pPr>
        <w:autoSpaceDE w:val="0"/>
        <w:autoSpaceDN w:val="0"/>
        <w:ind w:left="1134" w:hanging="567"/>
        <w:rPr>
          <w:rFonts w:asciiTheme="majorHAnsi" w:hAnsiTheme="majorHAnsi"/>
          <w:noProof/>
        </w:rPr>
      </w:pPr>
      <w:r w:rsidRPr="00043301">
        <w:rPr>
          <w:rFonts w:asciiTheme="majorHAnsi" w:hAnsiTheme="majorHAnsi"/>
          <w:noProof/>
        </w:rPr>
        <w:tab/>
      </w:r>
      <w:r w:rsidR="004352E1">
        <w:rPr>
          <w:rFonts w:asciiTheme="majorHAnsi" w:hAnsiTheme="majorHAnsi"/>
          <w:noProof/>
        </w:rPr>
        <w:tab/>
      </w:r>
      <w:r w:rsidRPr="00043301">
        <w:rPr>
          <w:rFonts w:asciiTheme="majorHAnsi" w:hAnsiTheme="majorHAnsi"/>
          <w:noProof/>
        </w:rPr>
        <w:t xml:space="preserve">Figure </w:t>
      </w:r>
      <w:r w:rsidR="003E4152">
        <w:rPr>
          <w:rFonts w:asciiTheme="majorHAnsi" w:hAnsiTheme="majorHAnsi"/>
          <w:noProof/>
        </w:rPr>
        <w:t>6</w:t>
      </w:r>
    </w:p>
    <w:p w14:paraId="44C8D3A2" w14:textId="77777777" w:rsidR="00987D94" w:rsidRPr="00043301" w:rsidRDefault="00987D94" w:rsidP="00987D94">
      <w:pPr>
        <w:ind w:left="924" w:hanging="567"/>
        <w:rPr>
          <w:rFonts w:asciiTheme="majorHAnsi" w:hAnsiTheme="majorHAnsi"/>
          <w:color w:val="000000"/>
        </w:rPr>
      </w:pPr>
    </w:p>
    <w:p w14:paraId="676BC7D7" w14:textId="208ABD6F" w:rsidR="00987D94" w:rsidRPr="00043301" w:rsidRDefault="00987D94" w:rsidP="00987D94">
      <w:pPr>
        <w:tabs>
          <w:tab w:val="left" w:pos="1134"/>
        </w:tabs>
        <w:autoSpaceDE w:val="0"/>
        <w:autoSpaceDN w:val="0"/>
        <w:spacing w:line="240" w:lineRule="auto"/>
        <w:ind w:left="1134" w:hanging="567"/>
        <w:rPr>
          <w:rFonts w:asciiTheme="majorHAnsi" w:hAnsiTheme="majorHAnsi"/>
          <w:noProof/>
        </w:rPr>
      </w:pPr>
      <w:r w:rsidRPr="00043301">
        <w:rPr>
          <w:rFonts w:asciiTheme="majorHAnsi" w:hAnsiTheme="majorHAnsi"/>
          <w:color w:val="000000"/>
        </w:rPr>
        <w:t>6.</w:t>
      </w:r>
      <w:r w:rsidRPr="00043301">
        <w:rPr>
          <w:rFonts w:asciiTheme="majorHAnsi" w:hAnsiTheme="majorHAnsi"/>
          <w:color w:val="000000"/>
        </w:rPr>
        <w:tab/>
        <w:t xml:space="preserve">Tighten </w:t>
      </w:r>
      <w:proofErr w:type="spellStart"/>
      <w:r w:rsidRPr="00043301">
        <w:rPr>
          <w:rFonts w:asciiTheme="majorHAnsi" w:hAnsiTheme="majorHAnsi"/>
          <w:color w:val="000000"/>
        </w:rPr>
        <w:t>luer</w:t>
      </w:r>
      <w:proofErr w:type="spellEnd"/>
      <w:r w:rsidRPr="00043301">
        <w:rPr>
          <w:rFonts w:asciiTheme="majorHAnsi" w:hAnsiTheme="majorHAnsi"/>
          <w:color w:val="000000"/>
        </w:rPr>
        <w:t xml:space="preserve"> locks and ensure the Dual Applicator is fir</w:t>
      </w:r>
      <w:r w:rsidR="000E14E0">
        <w:rPr>
          <w:rFonts w:asciiTheme="majorHAnsi" w:hAnsiTheme="majorHAnsi"/>
          <w:color w:val="000000"/>
        </w:rPr>
        <w:t>ml</w:t>
      </w:r>
      <w:r w:rsidRPr="00043301">
        <w:rPr>
          <w:rFonts w:asciiTheme="majorHAnsi" w:hAnsiTheme="majorHAnsi"/>
          <w:color w:val="000000"/>
        </w:rPr>
        <w:t>y attached. The device is now ready to use.</w:t>
      </w:r>
    </w:p>
    <w:p w14:paraId="2CDE62B7" w14:textId="77777777" w:rsidR="00987D94" w:rsidRPr="00043301" w:rsidRDefault="00987D94" w:rsidP="00987D94">
      <w:pPr>
        <w:keepNext/>
        <w:spacing w:line="240" w:lineRule="auto"/>
        <w:rPr>
          <w:rFonts w:asciiTheme="majorHAnsi" w:hAnsiTheme="majorHAnsi"/>
          <w:b/>
        </w:rPr>
      </w:pPr>
      <w:r w:rsidRPr="00043301">
        <w:rPr>
          <w:rFonts w:asciiTheme="majorHAnsi" w:hAnsiTheme="majorHAnsi"/>
          <w:b/>
        </w:rPr>
        <w:t>•</w:t>
      </w:r>
      <w:r w:rsidRPr="00043301">
        <w:rPr>
          <w:rFonts w:asciiTheme="majorHAnsi" w:hAnsiTheme="majorHAnsi"/>
          <w:b/>
        </w:rPr>
        <w:tab/>
        <w:t>Administration</w:t>
      </w:r>
    </w:p>
    <w:p w14:paraId="6A7DD7A0" w14:textId="77777777" w:rsidR="00987D94" w:rsidRPr="00453A59" w:rsidRDefault="00987D94" w:rsidP="00987D94">
      <w:pPr>
        <w:autoSpaceDE w:val="0"/>
        <w:autoSpaceDN w:val="0"/>
        <w:adjustRightInd w:val="0"/>
        <w:spacing w:line="240" w:lineRule="auto"/>
        <w:ind w:left="567"/>
        <w:rPr>
          <w:rFonts w:asciiTheme="majorHAnsi" w:hAnsiTheme="majorHAnsi"/>
        </w:rPr>
      </w:pPr>
      <w:r w:rsidRPr="00453A59">
        <w:rPr>
          <w:rFonts w:asciiTheme="majorHAnsi" w:hAnsiTheme="majorHAnsi"/>
        </w:rPr>
        <w:t xml:space="preserve">Apply </w:t>
      </w:r>
      <w:proofErr w:type="spellStart"/>
      <w:r w:rsidRPr="00453A59">
        <w:rPr>
          <w:rFonts w:asciiTheme="majorHAnsi" w:hAnsiTheme="majorHAnsi"/>
        </w:rPr>
        <w:t>VeraSeal</w:t>
      </w:r>
      <w:proofErr w:type="spellEnd"/>
      <w:r w:rsidRPr="00453A59">
        <w:rPr>
          <w:rFonts w:asciiTheme="majorHAnsi" w:hAnsiTheme="majorHAnsi"/>
        </w:rPr>
        <w:t xml:space="preserve"> using the syringe holder and plunger supplied.</w:t>
      </w:r>
    </w:p>
    <w:p w14:paraId="78C60A76" w14:textId="4860C394" w:rsidR="00987D94" w:rsidRPr="00453A59" w:rsidRDefault="00987D94" w:rsidP="00987D94">
      <w:pPr>
        <w:autoSpaceDE w:val="0"/>
        <w:autoSpaceDN w:val="0"/>
        <w:ind w:left="567"/>
        <w:rPr>
          <w:rFonts w:asciiTheme="majorHAnsi" w:hAnsiTheme="majorHAnsi"/>
        </w:rPr>
      </w:pPr>
      <w:bookmarkStart w:id="0" w:name="_Hlk37950596"/>
      <w:r w:rsidRPr="00453A59">
        <w:rPr>
          <w:rFonts w:asciiTheme="majorHAnsi" w:hAnsiTheme="majorHAnsi"/>
          <w:color w:val="000000"/>
        </w:rPr>
        <w:t xml:space="preserve">Apply </w:t>
      </w:r>
      <w:proofErr w:type="spellStart"/>
      <w:r w:rsidRPr="00453A59">
        <w:rPr>
          <w:rFonts w:asciiTheme="majorHAnsi" w:hAnsiTheme="majorHAnsi"/>
          <w:color w:val="000000"/>
        </w:rPr>
        <w:t>VeraSeal</w:t>
      </w:r>
      <w:proofErr w:type="spellEnd"/>
      <w:r w:rsidRPr="00453A59">
        <w:rPr>
          <w:rFonts w:asciiTheme="majorHAnsi" w:hAnsiTheme="majorHAnsi"/>
          <w:color w:val="000000"/>
        </w:rPr>
        <w:t xml:space="preserve"> using the Dual Applicator provided with the product. </w:t>
      </w:r>
      <w:r w:rsidR="00212C8D" w:rsidRPr="00453A59">
        <w:rPr>
          <w:rFonts w:asciiTheme="majorHAnsi" w:hAnsiTheme="majorHAnsi"/>
          <w:color w:val="000000"/>
        </w:rPr>
        <w:t xml:space="preserve">This product should only be administered with the devices recommended for this product, </w:t>
      </w:r>
      <w:proofErr w:type="spellStart"/>
      <w:r w:rsidR="00212C8D" w:rsidRPr="00453A59">
        <w:rPr>
          <w:rFonts w:asciiTheme="majorHAnsi" w:hAnsiTheme="majorHAnsi"/>
          <w:color w:val="000000"/>
        </w:rPr>
        <w:t>VeraSeal</w:t>
      </w:r>
      <w:proofErr w:type="spellEnd"/>
      <w:r w:rsidR="00212C8D" w:rsidRPr="00453A59">
        <w:rPr>
          <w:rFonts w:asciiTheme="majorHAnsi" w:hAnsiTheme="majorHAnsi"/>
          <w:color w:val="000000"/>
        </w:rPr>
        <w:t xml:space="preserve"> Dual Applicator and associated accessory tips (ARTG 322483 and ARTG 322484). </w:t>
      </w:r>
      <w:r w:rsidRPr="00453A59">
        <w:rPr>
          <w:rFonts w:asciiTheme="majorHAnsi" w:hAnsiTheme="majorHAnsi"/>
          <w:color w:val="000000"/>
        </w:rPr>
        <w:t>When using the provided Dual Applicator, follow the connection instructions described above. When using other applicator tips, follow the instructions for use that are provided with the applicator tips.</w:t>
      </w:r>
      <w:r w:rsidRPr="00453A59">
        <w:rPr>
          <w:rFonts w:asciiTheme="majorHAnsi" w:hAnsiTheme="majorHAnsi"/>
        </w:rPr>
        <w:t xml:space="preserve"> </w:t>
      </w:r>
    </w:p>
    <w:p w14:paraId="301FF968" w14:textId="45FF9969" w:rsidR="002A6691" w:rsidRPr="00453A59" w:rsidRDefault="002A6691" w:rsidP="00987D94">
      <w:pPr>
        <w:autoSpaceDE w:val="0"/>
        <w:autoSpaceDN w:val="0"/>
        <w:ind w:left="567"/>
        <w:rPr>
          <w:rFonts w:asciiTheme="majorHAnsi" w:hAnsiTheme="majorHAnsi" w:cstheme="majorBidi"/>
        </w:rPr>
      </w:pPr>
      <w:r w:rsidRPr="00453A59">
        <w:rPr>
          <w:rFonts w:asciiTheme="majorHAnsi" w:hAnsiTheme="majorHAnsi" w:cstheme="majorBidi"/>
        </w:rPr>
        <w:t xml:space="preserve">The initial volume of the product to be applied at a chosen anatomic site or target surface area should be sufficient to entirely cover the intended application area with a thin (1 mm thick) layer. The application can be repeated, if necessary. The approximate surface area coverage for each </w:t>
      </w:r>
      <w:proofErr w:type="spellStart"/>
      <w:r w:rsidRPr="00453A59">
        <w:rPr>
          <w:rFonts w:asciiTheme="majorHAnsi" w:hAnsiTheme="majorHAnsi" w:cstheme="majorBidi"/>
        </w:rPr>
        <w:t>VeraSeal</w:t>
      </w:r>
      <w:proofErr w:type="spellEnd"/>
      <w:r w:rsidRPr="00453A59">
        <w:rPr>
          <w:rFonts w:asciiTheme="majorHAnsi" w:hAnsiTheme="majorHAnsi" w:cstheme="majorBidi"/>
        </w:rPr>
        <w:t xml:space="preserve"> package size is provided in Table 1.</w:t>
      </w:r>
    </w:p>
    <w:p w14:paraId="5011C8B5" w14:textId="77777777" w:rsidR="002A6691" w:rsidRPr="00453A59" w:rsidRDefault="002A6691" w:rsidP="00693361">
      <w:pPr>
        <w:keepNext/>
        <w:keepLines/>
        <w:widowControl w:val="0"/>
        <w:ind w:firstLine="567"/>
        <w:jc w:val="both"/>
        <w:rPr>
          <w:rFonts w:asciiTheme="majorHAnsi" w:hAnsiTheme="majorHAnsi"/>
          <w:b/>
          <w:bCs/>
        </w:rPr>
      </w:pPr>
      <w:r w:rsidRPr="00453A59">
        <w:rPr>
          <w:rFonts w:asciiTheme="majorHAnsi" w:hAnsiTheme="majorHAnsi"/>
          <w:b/>
          <w:bCs/>
        </w:rPr>
        <w:lastRenderedPageBreak/>
        <w:t>Table 1. Surface Area Coverage</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3827"/>
      </w:tblGrid>
      <w:tr w:rsidR="002A6691" w:rsidRPr="00453A59" w14:paraId="68D0D235" w14:textId="77777777" w:rsidTr="002A6691">
        <w:tc>
          <w:tcPr>
            <w:tcW w:w="2552"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554DAF14" w14:textId="77777777" w:rsidR="002A6691" w:rsidRPr="00453A59" w:rsidRDefault="002A6691" w:rsidP="00693361">
            <w:pPr>
              <w:keepNext/>
              <w:keepLines/>
              <w:widowControl w:val="0"/>
              <w:spacing w:after="0" w:line="240" w:lineRule="auto"/>
              <w:jc w:val="both"/>
              <w:rPr>
                <w:rFonts w:asciiTheme="majorHAnsi" w:hAnsiTheme="majorHAnsi"/>
                <w:b/>
                <w:bCs/>
              </w:rPr>
            </w:pPr>
            <w:proofErr w:type="spellStart"/>
            <w:r w:rsidRPr="00453A59">
              <w:rPr>
                <w:rFonts w:asciiTheme="majorHAnsi" w:hAnsiTheme="majorHAnsi"/>
                <w:b/>
                <w:bCs/>
              </w:rPr>
              <w:t>VeraSeal</w:t>
            </w:r>
            <w:proofErr w:type="spellEnd"/>
            <w:r w:rsidRPr="00453A59">
              <w:rPr>
                <w:rFonts w:asciiTheme="majorHAnsi" w:hAnsiTheme="majorHAnsi"/>
                <w:b/>
                <w:bCs/>
              </w:rPr>
              <w:t xml:space="preserve"> package size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0427E9D" w14:textId="77777777" w:rsidR="002A6691" w:rsidRPr="00453A59" w:rsidRDefault="002A6691" w:rsidP="00693361">
            <w:pPr>
              <w:keepNext/>
              <w:keepLines/>
              <w:widowControl w:val="0"/>
              <w:spacing w:after="0" w:line="240" w:lineRule="auto"/>
              <w:jc w:val="center"/>
              <w:rPr>
                <w:rFonts w:asciiTheme="majorHAnsi" w:hAnsiTheme="majorHAnsi"/>
                <w:b/>
                <w:bCs/>
                <w:lang w:val="en-US"/>
              </w:rPr>
            </w:pPr>
            <w:r w:rsidRPr="00453A59">
              <w:rPr>
                <w:rFonts w:asciiTheme="majorHAnsi" w:hAnsiTheme="majorHAnsi"/>
                <w:b/>
                <w:bCs/>
                <w:lang w:val="en-US"/>
              </w:rPr>
              <w:t>Surface area coverage (cm</w:t>
            </w:r>
            <w:r w:rsidRPr="00453A59">
              <w:rPr>
                <w:rFonts w:asciiTheme="majorHAnsi" w:hAnsiTheme="majorHAnsi"/>
                <w:b/>
                <w:bCs/>
                <w:vertAlign w:val="superscript"/>
                <w:lang w:val="en-US"/>
              </w:rPr>
              <w:t>2</w:t>
            </w:r>
            <w:r w:rsidRPr="00453A59">
              <w:rPr>
                <w:rFonts w:asciiTheme="majorHAnsi" w:hAnsiTheme="majorHAnsi"/>
                <w:b/>
                <w:bCs/>
                <w:lang w:val="en-US"/>
              </w:rPr>
              <w:t>)</w:t>
            </w:r>
          </w:p>
          <w:p w14:paraId="3200198A" w14:textId="77777777" w:rsidR="002A6691" w:rsidRPr="00453A59" w:rsidRDefault="002A6691" w:rsidP="00693361">
            <w:pPr>
              <w:keepNext/>
              <w:keepLines/>
              <w:widowControl w:val="0"/>
              <w:spacing w:after="0" w:line="240" w:lineRule="auto"/>
              <w:jc w:val="center"/>
              <w:rPr>
                <w:rFonts w:asciiTheme="majorHAnsi" w:hAnsiTheme="majorHAnsi"/>
                <w:b/>
                <w:bCs/>
                <w:lang w:val="en-US"/>
              </w:rPr>
            </w:pPr>
            <w:r w:rsidRPr="00453A59">
              <w:rPr>
                <w:rFonts w:asciiTheme="majorHAnsi" w:hAnsiTheme="majorHAnsi"/>
                <w:b/>
                <w:bCs/>
                <w:lang w:val="en-US"/>
              </w:rPr>
              <w:t>Application by dripping or spray</w:t>
            </w:r>
          </w:p>
          <w:p w14:paraId="48E08811" w14:textId="77777777" w:rsidR="002A6691" w:rsidRPr="00453A59" w:rsidRDefault="002A6691" w:rsidP="00693361">
            <w:pPr>
              <w:keepNext/>
              <w:keepLines/>
              <w:widowControl w:val="0"/>
              <w:spacing w:after="0" w:line="240" w:lineRule="auto"/>
              <w:jc w:val="center"/>
              <w:rPr>
                <w:rFonts w:asciiTheme="majorHAnsi" w:hAnsiTheme="majorHAnsi"/>
                <w:b/>
                <w:bCs/>
              </w:rPr>
            </w:pPr>
            <w:r w:rsidRPr="00453A59">
              <w:rPr>
                <w:rFonts w:asciiTheme="majorHAnsi" w:hAnsiTheme="majorHAnsi"/>
                <w:b/>
                <w:bCs/>
              </w:rPr>
              <w:t>(1 mm thick layer)</w:t>
            </w:r>
          </w:p>
        </w:tc>
      </w:tr>
      <w:tr w:rsidR="002A6691" w:rsidRPr="00453A59" w14:paraId="3931ED09" w14:textId="77777777" w:rsidTr="002A6691">
        <w:trPr>
          <w:trHeight w:val="267"/>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E1D39E2"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2 mL</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2426BE5"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16 - 22</w:t>
            </w:r>
          </w:p>
        </w:tc>
      </w:tr>
      <w:tr w:rsidR="002A6691" w:rsidRPr="00453A59" w14:paraId="34386F49" w14:textId="77777777" w:rsidTr="002A6691">
        <w:trPr>
          <w:trHeight w:val="201"/>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B5F38A0"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4 mL</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0C4179"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32 - 44</w:t>
            </w:r>
          </w:p>
        </w:tc>
      </w:tr>
      <w:tr w:rsidR="002A6691" w:rsidRPr="00453A59" w14:paraId="6FA60753" w14:textId="77777777" w:rsidTr="002A6691">
        <w:trPr>
          <w:trHeight w:val="201"/>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412236D"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6 mL</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6E5F99E"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48 - 66</w:t>
            </w:r>
          </w:p>
        </w:tc>
      </w:tr>
      <w:tr w:rsidR="002A6691" w:rsidRPr="00453A59" w14:paraId="4A297890" w14:textId="77777777" w:rsidTr="002A6691">
        <w:trPr>
          <w:trHeight w:val="239"/>
        </w:trPr>
        <w:tc>
          <w:tcPr>
            <w:tcW w:w="2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73EEC4"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10 mL</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D9BB989" w14:textId="77777777" w:rsidR="002A6691" w:rsidRPr="00453A59" w:rsidRDefault="002A6691" w:rsidP="00693361">
            <w:pPr>
              <w:keepNext/>
              <w:keepLines/>
              <w:widowControl w:val="0"/>
              <w:spacing w:after="0" w:line="240" w:lineRule="auto"/>
              <w:jc w:val="center"/>
              <w:rPr>
                <w:rFonts w:asciiTheme="majorHAnsi" w:hAnsiTheme="majorHAnsi"/>
              </w:rPr>
            </w:pPr>
            <w:r w:rsidRPr="00453A59">
              <w:rPr>
                <w:rFonts w:asciiTheme="majorHAnsi" w:hAnsiTheme="majorHAnsi"/>
              </w:rPr>
              <w:t>80 - 110</w:t>
            </w:r>
          </w:p>
        </w:tc>
      </w:tr>
    </w:tbl>
    <w:p w14:paraId="43081CDB" w14:textId="77777777" w:rsidR="002A6691" w:rsidRPr="00453A59" w:rsidRDefault="002A6691" w:rsidP="00693361">
      <w:pPr>
        <w:keepNext/>
        <w:keepLines/>
        <w:autoSpaceDE w:val="0"/>
        <w:autoSpaceDN w:val="0"/>
        <w:ind w:left="567"/>
        <w:rPr>
          <w:rFonts w:asciiTheme="majorHAnsi" w:hAnsiTheme="majorHAnsi" w:cstheme="majorBidi"/>
        </w:rPr>
      </w:pPr>
    </w:p>
    <w:bookmarkEnd w:id="0"/>
    <w:p w14:paraId="6B9BFFA7" w14:textId="77777777" w:rsidR="00833D84" w:rsidRPr="00453A59" w:rsidRDefault="00987D94">
      <w:pPr>
        <w:keepNext/>
        <w:spacing w:line="240" w:lineRule="auto"/>
        <w:ind w:left="567"/>
        <w:rPr>
          <w:rFonts w:asciiTheme="majorHAnsi" w:hAnsiTheme="majorHAnsi"/>
          <w:u w:val="single"/>
        </w:rPr>
      </w:pPr>
      <w:r w:rsidRPr="00453A59">
        <w:rPr>
          <w:rFonts w:asciiTheme="majorHAnsi" w:hAnsiTheme="majorHAnsi"/>
          <w:u w:val="single"/>
        </w:rPr>
        <w:t>Application by spraying</w:t>
      </w:r>
      <w:r w:rsidR="00330A25" w:rsidRPr="00453A59">
        <w:rPr>
          <w:rFonts w:asciiTheme="majorHAnsi" w:hAnsiTheme="majorHAnsi"/>
          <w:u w:val="single"/>
        </w:rPr>
        <w:t xml:space="preserve"> </w:t>
      </w:r>
    </w:p>
    <w:p w14:paraId="0CB25AB0" w14:textId="237D3CEE" w:rsidR="00330A25" w:rsidRPr="005E21D3" w:rsidRDefault="00330A25" w:rsidP="005E21D3">
      <w:pPr>
        <w:keepNext/>
        <w:spacing w:line="240" w:lineRule="auto"/>
        <w:ind w:left="567"/>
        <w:rPr>
          <w:rFonts w:asciiTheme="majorHAnsi" w:hAnsiTheme="majorHAnsi"/>
          <w:color w:val="000000"/>
        </w:rPr>
      </w:pPr>
      <w:r w:rsidRPr="00453A59">
        <w:rPr>
          <w:rFonts w:asciiTheme="majorHAnsi" w:hAnsiTheme="majorHAnsi"/>
          <w:color w:val="000000"/>
        </w:rPr>
        <w:t xml:space="preserve">Only spray </w:t>
      </w:r>
      <w:proofErr w:type="spellStart"/>
      <w:r w:rsidRPr="00453A59">
        <w:rPr>
          <w:rFonts w:asciiTheme="majorHAnsi" w:hAnsiTheme="majorHAnsi"/>
          <w:color w:val="000000"/>
        </w:rPr>
        <w:t>VeraSeal</w:t>
      </w:r>
      <w:proofErr w:type="spellEnd"/>
      <w:r w:rsidRPr="00453A59">
        <w:rPr>
          <w:rFonts w:asciiTheme="majorHAnsi" w:hAnsiTheme="majorHAnsi"/>
          <w:color w:val="000000"/>
        </w:rPr>
        <w:t xml:space="preserve"> if it is possible to accurately judge the required minimum distance of 2 cm from the Airless Spray Tip to the open and visible tissue surface</w:t>
      </w:r>
      <w:r w:rsidR="00D66114" w:rsidRPr="00453A59">
        <w:rPr>
          <w:rFonts w:asciiTheme="majorHAnsi" w:hAnsiTheme="majorHAnsi"/>
          <w:color w:val="000000"/>
        </w:rPr>
        <w:t>.</w:t>
      </w:r>
    </w:p>
    <w:p w14:paraId="28155EAC" w14:textId="77777777" w:rsidR="00330A25" w:rsidRDefault="00330A25" w:rsidP="005E21D3">
      <w:pPr>
        <w:pStyle w:val="ListParagraph"/>
        <w:autoSpaceDE w:val="0"/>
        <w:autoSpaceDN w:val="0"/>
        <w:ind w:left="1131"/>
        <w:rPr>
          <w:rFonts w:asciiTheme="majorHAnsi" w:hAnsiTheme="majorHAnsi"/>
          <w:color w:val="000000"/>
        </w:rPr>
      </w:pPr>
    </w:p>
    <w:p w14:paraId="7EE455C1" w14:textId="4AE4015E" w:rsidR="00987D94" w:rsidRPr="005E21D3" w:rsidRDefault="00987D94" w:rsidP="005E21D3">
      <w:pPr>
        <w:pStyle w:val="ListParagraph"/>
        <w:numPr>
          <w:ilvl w:val="0"/>
          <w:numId w:val="23"/>
        </w:numPr>
        <w:autoSpaceDE w:val="0"/>
        <w:autoSpaceDN w:val="0"/>
        <w:rPr>
          <w:rFonts w:asciiTheme="majorHAnsi" w:hAnsiTheme="majorHAnsi"/>
          <w:color w:val="000000"/>
        </w:rPr>
      </w:pPr>
      <w:r w:rsidRPr="005E21D3">
        <w:rPr>
          <w:rFonts w:asciiTheme="majorHAnsi" w:hAnsiTheme="majorHAnsi"/>
          <w:color w:val="000000"/>
        </w:rPr>
        <w:t>Grasp and bend the Dual Applicator to the desired position. Tip will retain its shape.</w:t>
      </w:r>
    </w:p>
    <w:p w14:paraId="18BAB8B7" w14:textId="4559EA15" w:rsidR="00987D94" w:rsidRPr="00043301" w:rsidRDefault="00987D94" w:rsidP="00330A25">
      <w:pPr>
        <w:autoSpaceDE w:val="0"/>
        <w:autoSpaceDN w:val="0"/>
        <w:ind w:left="1134" w:hanging="567"/>
        <w:rPr>
          <w:rFonts w:asciiTheme="majorHAnsi" w:hAnsiTheme="majorHAnsi"/>
          <w:color w:val="000000"/>
        </w:rPr>
      </w:pPr>
      <w:r w:rsidRPr="00043301">
        <w:rPr>
          <w:rFonts w:asciiTheme="majorHAnsi" w:hAnsiTheme="majorHAnsi"/>
          <w:color w:val="000000"/>
        </w:rPr>
        <w:t>2</w:t>
      </w:r>
      <w:r w:rsidRPr="00043301">
        <w:rPr>
          <w:rFonts w:asciiTheme="majorHAnsi" w:hAnsiTheme="majorHAnsi"/>
          <w:color w:val="000000"/>
        </w:rPr>
        <w:tab/>
        <w:t>Position the Airless Spray Tip at least 2 cm away from the target tissue. Apply firm even pressure to the plunger to spray the fibrin sealant. Increase distance accordingly to achieve desired coverage of the target area.</w:t>
      </w:r>
    </w:p>
    <w:p w14:paraId="4E4CF1A9" w14:textId="09C22919" w:rsidR="00987D94" w:rsidRPr="00043301" w:rsidRDefault="00987D94" w:rsidP="00987D94">
      <w:pPr>
        <w:autoSpaceDE w:val="0"/>
        <w:autoSpaceDN w:val="0"/>
        <w:ind w:left="1134" w:hanging="567"/>
        <w:rPr>
          <w:rFonts w:asciiTheme="majorHAnsi" w:hAnsiTheme="majorHAnsi"/>
          <w:color w:val="000000"/>
        </w:rPr>
      </w:pPr>
      <w:r w:rsidRPr="00043301">
        <w:rPr>
          <w:rFonts w:asciiTheme="majorHAnsi" w:hAnsiTheme="majorHAnsi"/>
          <w:color w:val="000000"/>
        </w:rPr>
        <w:t>3.</w:t>
      </w:r>
      <w:r w:rsidRPr="00043301">
        <w:rPr>
          <w:rFonts w:asciiTheme="majorHAnsi" w:hAnsiTheme="majorHAnsi"/>
          <w:color w:val="000000"/>
        </w:rPr>
        <w:tab/>
        <w:t xml:space="preserve">If expression is stopped for any reason, change the Airless Spray Tip. To change the Airless Spray Tip, remove the device from the patient and unscrew the used Airless Spray Tip. See Figure </w:t>
      </w:r>
      <w:r w:rsidR="003E4152">
        <w:rPr>
          <w:rFonts w:asciiTheme="majorHAnsi" w:hAnsiTheme="majorHAnsi"/>
          <w:color w:val="000000"/>
        </w:rPr>
        <w:t>7</w:t>
      </w:r>
      <w:r w:rsidRPr="00043301">
        <w:rPr>
          <w:rFonts w:asciiTheme="majorHAnsi" w:hAnsiTheme="majorHAnsi"/>
          <w:color w:val="000000"/>
        </w:rPr>
        <w:t xml:space="preserve">. Place the used Airless Spray Tip away from the spare Airless Spray Tips. Wipe the end of the applicator using dry or moist sterile surgical gauze. Then, connect a new Airless Spray Tip provided in the package and ensure it is firmly connected before use. </w:t>
      </w:r>
    </w:p>
    <w:p w14:paraId="78DFCE89" w14:textId="466D9DD1" w:rsidR="00987D94" w:rsidRPr="00043301" w:rsidRDefault="00987D94" w:rsidP="00987D94">
      <w:pPr>
        <w:tabs>
          <w:tab w:val="left" w:pos="993"/>
        </w:tabs>
        <w:autoSpaceDE w:val="0"/>
        <w:autoSpaceDN w:val="0"/>
        <w:ind w:left="1134"/>
        <w:rPr>
          <w:rFonts w:asciiTheme="majorHAnsi" w:hAnsiTheme="majorHAnsi"/>
          <w:color w:val="000000"/>
        </w:rPr>
      </w:pPr>
      <w:r w:rsidRPr="00043301">
        <w:rPr>
          <w:rFonts w:asciiTheme="majorHAnsi" w:hAnsiTheme="majorHAnsi"/>
          <w:color w:val="000000"/>
        </w:rPr>
        <w:t xml:space="preserve">NOTE: Red indicator will not be visible if Airless Spray Tip is properly connected. See Figure </w:t>
      </w:r>
      <w:r w:rsidR="00073F7F">
        <w:rPr>
          <w:rFonts w:asciiTheme="majorHAnsi" w:hAnsiTheme="majorHAnsi"/>
          <w:color w:val="000000"/>
        </w:rPr>
        <w:t>8</w:t>
      </w:r>
      <w:r w:rsidRPr="00043301">
        <w:rPr>
          <w:rFonts w:asciiTheme="majorHAnsi" w:hAnsiTheme="majorHAnsi"/>
          <w:color w:val="000000"/>
        </w:rPr>
        <w:t>.</w:t>
      </w:r>
    </w:p>
    <w:p w14:paraId="3D035E6C" w14:textId="77777777" w:rsidR="00987D94" w:rsidRPr="00043301" w:rsidRDefault="00987D94" w:rsidP="00987D94">
      <w:pPr>
        <w:tabs>
          <w:tab w:val="left" w:pos="993"/>
        </w:tabs>
        <w:autoSpaceDE w:val="0"/>
        <w:autoSpaceDN w:val="0"/>
        <w:ind w:left="1134"/>
        <w:rPr>
          <w:rFonts w:asciiTheme="majorHAnsi" w:hAnsiTheme="majorHAnsi"/>
          <w:color w:val="000000"/>
        </w:rPr>
      </w:pPr>
      <w:r w:rsidRPr="00043301">
        <w:rPr>
          <w:rFonts w:asciiTheme="majorHAnsi" w:hAnsiTheme="majorHAnsi"/>
          <w:color w:val="000000"/>
        </w:rPr>
        <w:t xml:space="preserve">NOTE: Do not continue pushing the plunger in an attempt to clear the fibrin clot within the Airless Spray Tip; </w:t>
      </w:r>
      <w:proofErr w:type="gramStart"/>
      <w:r w:rsidRPr="00043301">
        <w:rPr>
          <w:rFonts w:asciiTheme="majorHAnsi" w:hAnsiTheme="majorHAnsi"/>
          <w:color w:val="000000"/>
        </w:rPr>
        <w:t>otherwise</w:t>
      </w:r>
      <w:proofErr w:type="gramEnd"/>
      <w:r w:rsidRPr="00043301">
        <w:rPr>
          <w:rFonts w:asciiTheme="majorHAnsi" w:hAnsiTheme="majorHAnsi"/>
          <w:color w:val="000000"/>
        </w:rPr>
        <w:t xml:space="preserve"> the applicator may become unusable.</w:t>
      </w:r>
    </w:p>
    <w:p w14:paraId="454A2A6E" w14:textId="77777777" w:rsidR="00987D94" w:rsidRPr="00043301" w:rsidRDefault="00987D94" w:rsidP="00987D94">
      <w:pPr>
        <w:tabs>
          <w:tab w:val="left" w:pos="993"/>
        </w:tabs>
        <w:autoSpaceDE w:val="0"/>
        <w:autoSpaceDN w:val="0"/>
        <w:ind w:left="1134"/>
        <w:rPr>
          <w:rFonts w:asciiTheme="majorHAnsi" w:hAnsiTheme="majorHAnsi"/>
          <w:strike/>
          <w:color w:val="000000"/>
        </w:rPr>
      </w:pPr>
      <w:r w:rsidRPr="00043301">
        <w:rPr>
          <w:rFonts w:asciiTheme="majorHAnsi" w:hAnsiTheme="majorHAnsi"/>
          <w:color w:val="000000"/>
        </w:rPr>
        <w:t>NOTE</w:t>
      </w:r>
      <w:r w:rsidRPr="00043301">
        <w:rPr>
          <w:rFonts w:asciiTheme="majorHAnsi" w:hAnsiTheme="majorHAnsi"/>
        </w:rPr>
        <w:t xml:space="preserve">: Do not trim the </w:t>
      </w:r>
      <w:r w:rsidRPr="00043301">
        <w:rPr>
          <w:rFonts w:asciiTheme="majorHAnsi" w:hAnsiTheme="majorHAnsi"/>
          <w:color w:val="000000"/>
        </w:rPr>
        <w:t>Dual Applicator</w:t>
      </w:r>
      <w:r w:rsidRPr="00043301">
        <w:rPr>
          <w:rFonts w:asciiTheme="majorHAnsi" w:hAnsiTheme="majorHAnsi"/>
        </w:rPr>
        <w:t xml:space="preserve"> to avoid exposing internal wire.</w:t>
      </w:r>
    </w:p>
    <w:p w14:paraId="494A8598" w14:textId="77777777" w:rsidR="00987D94" w:rsidRPr="00043301" w:rsidRDefault="00987D94" w:rsidP="00987D94">
      <w:pPr>
        <w:autoSpaceDE w:val="0"/>
        <w:autoSpaceDN w:val="0"/>
        <w:adjustRightInd w:val="0"/>
        <w:spacing w:line="240" w:lineRule="auto"/>
        <w:ind w:left="567"/>
        <w:rPr>
          <w:rFonts w:asciiTheme="majorHAnsi" w:hAnsiTheme="majorHAnsi"/>
        </w:rPr>
      </w:pPr>
    </w:p>
    <w:p w14:paraId="4AF3E492" w14:textId="77777777" w:rsidR="00987D94" w:rsidRPr="00043301" w:rsidRDefault="00987D94" w:rsidP="00987D94">
      <w:pPr>
        <w:tabs>
          <w:tab w:val="left" w:pos="993"/>
        </w:tabs>
        <w:autoSpaceDE w:val="0"/>
        <w:autoSpaceDN w:val="0"/>
        <w:spacing w:line="240" w:lineRule="auto"/>
        <w:ind w:left="1134"/>
        <w:rPr>
          <w:rFonts w:asciiTheme="majorHAnsi" w:hAnsiTheme="majorHAnsi"/>
          <w:noProof/>
          <w:color w:val="000000"/>
          <w:lang w:val="es-ES" w:eastAsia="es-ES"/>
        </w:rPr>
      </w:pPr>
      <w:r w:rsidRPr="00043301">
        <w:rPr>
          <w:rFonts w:asciiTheme="majorHAnsi" w:hAnsiTheme="majorHAnsi"/>
          <w:noProof/>
          <w:color w:val="000000"/>
          <w:lang w:val="es-ES" w:eastAsia="zh-CN"/>
        </w:rPr>
        <w:drawing>
          <wp:inline distT="0" distB="0" distL="0" distR="0" wp14:anchorId="35135926" wp14:editId="424FE151">
            <wp:extent cx="2800350" cy="1266825"/>
            <wp:effectExtent l="0" t="0" r="0" b="9525"/>
            <wp:docPr id="4" name="Imagen 4" descr="C:\Users\MCardin8\AppData\Local\Microsoft\Windows\Temporary Internet Files\Content.Outlook\8ODB2DRL\Gryff PI 6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ardin8\AppData\Local\Microsoft\Windows\Temporary Internet Files\Content.Outlook\8ODB2DRL\Gryff PI 6 (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l="7584" t="10384" r="1950" b="13091"/>
                    <a:stretch>
                      <a:fillRect/>
                    </a:stretch>
                  </pic:blipFill>
                  <pic:spPr bwMode="auto">
                    <a:xfrm>
                      <a:off x="0" y="0"/>
                      <a:ext cx="2800350" cy="1266825"/>
                    </a:xfrm>
                    <a:prstGeom prst="rect">
                      <a:avLst/>
                    </a:prstGeom>
                    <a:noFill/>
                    <a:ln>
                      <a:noFill/>
                    </a:ln>
                  </pic:spPr>
                </pic:pic>
              </a:graphicData>
            </a:graphic>
          </wp:inline>
        </w:drawing>
      </w:r>
    </w:p>
    <w:p w14:paraId="09949267" w14:textId="0FFFA2FC" w:rsidR="00987D94" w:rsidRPr="00043301" w:rsidRDefault="004352E1" w:rsidP="00987D94">
      <w:pPr>
        <w:tabs>
          <w:tab w:val="left" w:pos="993"/>
        </w:tabs>
        <w:autoSpaceDE w:val="0"/>
        <w:autoSpaceDN w:val="0"/>
        <w:spacing w:line="260" w:lineRule="exact"/>
        <w:ind w:left="1134"/>
        <w:rPr>
          <w:rFonts w:asciiTheme="majorHAnsi" w:hAnsiTheme="majorHAnsi"/>
          <w:noProof/>
          <w:color w:val="000000"/>
          <w:lang w:val="es-ES" w:eastAsia="es-ES"/>
        </w:rPr>
      </w:pPr>
      <w:r>
        <w:rPr>
          <w:rFonts w:asciiTheme="majorHAnsi" w:hAnsiTheme="majorHAnsi"/>
          <w:noProof/>
          <w:color w:val="000000"/>
          <w:lang w:val="es-ES" w:eastAsia="es-ES"/>
        </w:rPr>
        <w:tab/>
      </w:r>
      <w:r>
        <w:rPr>
          <w:rFonts w:asciiTheme="majorHAnsi" w:hAnsiTheme="majorHAnsi"/>
          <w:noProof/>
          <w:color w:val="000000"/>
          <w:lang w:val="es-ES" w:eastAsia="es-ES"/>
        </w:rPr>
        <w:tab/>
      </w:r>
      <w:r>
        <w:rPr>
          <w:rFonts w:asciiTheme="majorHAnsi" w:hAnsiTheme="majorHAnsi"/>
          <w:noProof/>
          <w:color w:val="000000"/>
          <w:lang w:val="es-ES" w:eastAsia="es-ES"/>
        </w:rPr>
        <w:tab/>
      </w:r>
      <w:r w:rsidR="00987D94" w:rsidRPr="00043301">
        <w:rPr>
          <w:rFonts w:asciiTheme="majorHAnsi" w:hAnsiTheme="majorHAnsi"/>
          <w:noProof/>
          <w:color w:val="000000"/>
          <w:lang w:val="es-ES" w:eastAsia="es-ES"/>
        </w:rPr>
        <w:t xml:space="preserve">Figure </w:t>
      </w:r>
      <w:r w:rsidR="00073F7F">
        <w:rPr>
          <w:rFonts w:asciiTheme="majorHAnsi" w:hAnsiTheme="majorHAnsi"/>
          <w:noProof/>
          <w:color w:val="000000"/>
          <w:lang w:val="es-ES" w:eastAsia="es-ES"/>
        </w:rPr>
        <w:t>7</w:t>
      </w:r>
    </w:p>
    <w:p w14:paraId="23C13955" w14:textId="77777777" w:rsidR="00987D94" w:rsidRPr="00043301" w:rsidRDefault="00987D94" w:rsidP="00987D94">
      <w:pPr>
        <w:tabs>
          <w:tab w:val="left" w:pos="993"/>
        </w:tabs>
        <w:autoSpaceDE w:val="0"/>
        <w:autoSpaceDN w:val="0"/>
        <w:adjustRightInd w:val="0"/>
        <w:spacing w:line="240" w:lineRule="auto"/>
        <w:ind w:left="851"/>
        <w:rPr>
          <w:rFonts w:asciiTheme="majorHAnsi" w:hAnsiTheme="majorHAnsi"/>
          <w:noProof/>
          <w:color w:val="000000"/>
          <w:lang w:val="es-ES" w:eastAsia="es-ES"/>
        </w:rPr>
      </w:pPr>
      <w:r w:rsidRPr="00043301">
        <w:rPr>
          <w:rFonts w:asciiTheme="majorHAnsi" w:hAnsiTheme="majorHAnsi"/>
          <w:noProof/>
          <w:lang w:val="es-ES" w:eastAsia="zh-CN"/>
        </w:rPr>
        <w:lastRenderedPageBreak/>
        <w:drawing>
          <wp:inline distT="0" distB="0" distL="0" distR="0" wp14:anchorId="0D83CA74" wp14:editId="13FA7872">
            <wp:extent cx="2886075" cy="1419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l="13780" t="47481" r="7283" b="21497"/>
                    <a:stretch>
                      <a:fillRect/>
                    </a:stretch>
                  </pic:blipFill>
                  <pic:spPr bwMode="auto">
                    <a:xfrm>
                      <a:off x="0" y="0"/>
                      <a:ext cx="2886075" cy="1419225"/>
                    </a:xfrm>
                    <a:prstGeom prst="rect">
                      <a:avLst/>
                    </a:prstGeom>
                    <a:noFill/>
                    <a:ln>
                      <a:noFill/>
                    </a:ln>
                  </pic:spPr>
                </pic:pic>
              </a:graphicData>
            </a:graphic>
          </wp:inline>
        </w:drawing>
      </w:r>
    </w:p>
    <w:p w14:paraId="46C14965" w14:textId="0F968BC4" w:rsidR="00987D94" w:rsidRPr="00043301" w:rsidRDefault="004352E1" w:rsidP="00987D94">
      <w:pPr>
        <w:tabs>
          <w:tab w:val="left" w:pos="567"/>
        </w:tabs>
        <w:autoSpaceDE w:val="0"/>
        <w:autoSpaceDN w:val="0"/>
        <w:adjustRightInd w:val="0"/>
        <w:spacing w:line="260" w:lineRule="exact"/>
        <w:ind w:left="1134"/>
        <w:rPr>
          <w:rFonts w:asciiTheme="majorHAnsi" w:hAnsiTheme="majorHAnsi"/>
          <w:noProof/>
        </w:rPr>
      </w:pPr>
      <w:r>
        <w:rPr>
          <w:rFonts w:asciiTheme="majorHAnsi" w:hAnsiTheme="majorHAnsi"/>
          <w:noProof/>
        </w:rPr>
        <w:tab/>
      </w:r>
      <w:r>
        <w:rPr>
          <w:rFonts w:asciiTheme="majorHAnsi" w:hAnsiTheme="majorHAnsi"/>
          <w:noProof/>
        </w:rPr>
        <w:tab/>
      </w:r>
      <w:r>
        <w:rPr>
          <w:rFonts w:asciiTheme="majorHAnsi" w:hAnsiTheme="majorHAnsi"/>
          <w:noProof/>
        </w:rPr>
        <w:tab/>
      </w:r>
      <w:r w:rsidR="00987D94" w:rsidRPr="00043301">
        <w:rPr>
          <w:rFonts w:asciiTheme="majorHAnsi" w:hAnsiTheme="majorHAnsi"/>
          <w:noProof/>
        </w:rPr>
        <w:t xml:space="preserve">Figure </w:t>
      </w:r>
      <w:r w:rsidR="00073F7F">
        <w:rPr>
          <w:rFonts w:asciiTheme="majorHAnsi" w:hAnsiTheme="majorHAnsi"/>
          <w:noProof/>
        </w:rPr>
        <w:t>8</w:t>
      </w:r>
    </w:p>
    <w:p w14:paraId="00298787" w14:textId="77777777" w:rsidR="00987D94" w:rsidRPr="00043301" w:rsidRDefault="00987D94" w:rsidP="00987D94">
      <w:pPr>
        <w:autoSpaceDE w:val="0"/>
        <w:autoSpaceDN w:val="0"/>
        <w:adjustRightInd w:val="0"/>
        <w:ind w:left="1134"/>
        <w:rPr>
          <w:rFonts w:asciiTheme="majorHAnsi" w:hAnsiTheme="majorHAnsi"/>
        </w:rPr>
      </w:pPr>
    </w:p>
    <w:p w14:paraId="4729813E" w14:textId="79EC10F3" w:rsidR="00BF4661" w:rsidRPr="00BF4661" w:rsidRDefault="00987D94" w:rsidP="00BF4661">
      <w:pPr>
        <w:keepNext/>
        <w:rPr>
          <w:rFonts w:asciiTheme="majorHAnsi" w:hAnsiTheme="majorHAnsi"/>
          <w:color w:val="000000"/>
        </w:rPr>
      </w:pPr>
      <w:r w:rsidRPr="00043301">
        <w:rPr>
          <w:rFonts w:asciiTheme="majorHAnsi" w:hAnsiTheme="majorHAnsi"/>
        </w:rPr>
        <w:tab/>
      </w:r>
      <w:r w:rsidRPr="00043301">
        <w:rPr>
          <w:rFonts w:asciiTheme="majorHAnsi" w:hAnsiTheme="majorHAnsi"/>
          <w:u w:val="single"/>
        </w:rPr>
        <w:t>Application by dripping</w:t>
      </w:r>
    </w:p>
    <w:p w14:paraId="5D85BFE8" w14:textId="554583C6" w:rsidR="00987D94" w:rsidRPr="00043301" w:rsidRDefault="00987D94" w:rsidP="00987D94">
      <w:pPr>
        <w:autoSpaceDE w:val="0"/>
        <w:autoSpaceDN w:val="0"/>
        <w:ind w:left="1134" w:hanging="567"/>
        <w:rPr>
          <w:rFonts w:asciiTheme="majorHAnsi" w:hAnsiTheme="majorHAnsi"/>
        </w:rPr>
      </w:pPr>
      <w:r w:rsidRPr="00043301">
        <w:rPr>
          <w:rFonts w:asciiTheme="majorHAnsi" w:hAnsiTheme="majorHAnsi"/>
          <w:color w:val="000000"/>
        </w:rPr>
        <w:t>1.</w:t>
      </w:r>
      <w:r w:rsidRPr="00043301">
        <w:rPr>
          <w:rFonts w:asciiTheme="majorHAnsi" w:hAnsiTheme="majorHAnsi"/>
          <w:color w:val="000000"/>
        </w:rPr>
        <w:tab/>
        <w:t xml:space="preserve">Remove the Airless Spray Tip portion of the spray and drip tip by unscrewing the Airless Spray Tip. See Figure </w:t>
      </w:r>
      <w:r w:rsidR="00073F7F">
        <w:rPr>
          <w:rFonts w:asciiTheme="majorHAnsi" w:hAnsiTheme="majorHAnsi"/>
          <w:color w:val="000000"/>
        </w:rPr>
        <w:t>7</w:t>
      </w:r>
      <w:r w:rsidRPr="00043301">
        <w:rPr>
          <w:rFonts w:asciiTheme="majorHAnsi" w:hAnsiTheme="majorHAnsi"/>
          <w:color w:val="000000"/>
        </w:rPr>
        <w:t xml:space="preserve">. </w:t>
      </w:r>
    </w:p>
    <w:p w14:paraId="6F2021DD" w14:textId="77777777" w:rsidR="00987D94" w:rsidRPr="00043301" w:rsidRDefault="00987D94" w:rsidP="00987D94">
      <w:pPr>
        <w:autoSpaceDE w:val="0"/>
        <w:autoSpaceDN w:val="0"/>
        <w:ind w:left="1134" w:hanging="567"/>
        <w:rPr>
          <w:rFonts w:asciiTheme="majorHAnsi" w:hAnsiTheme="majorHAnsi"/>
          <w:color w:val="000000"/>
        </w:rPr>
      </w:pPr>
      <w:r w:rsidRPr="00043301">
        <w:rPr>
          <w:rFonts w:asciiTheme="majorHAnsi" w:hAnsiTheme="majorHAnsi"/>
          <w:color w:val="000000"/>
        </w:rPr>
        <w:t>2.</w:t>
      </w:r>
      <w:r w:rsidRPr="00043301">
        <w:rPr>
          <w:rFonts w:asciiTheme="majorHAnsi" w:hAnsiTheme="majorHAnsi"/>
          <w:color w:val="000000"/>
        </w:rPr>
        <w:tab/>
        <w:t>Grasp and bend the drip tip to the desired position. Tip will retain its shape.</w:t>
      </w:r>
    </w:p>
    <w:p w14:paraId="3EBFFB6B" w14:textId="77777777" w:rsidR="00987D94" w:rsidRPr="00043301" w:rsidRDefault="00987D94" w:rsidP="00987D94">
      <w:pPr>
        <w:autoSpaceDE w:val="0"/>
        <w:autoSpaceDN w:val="0"/>
        <w:ind w:left="1134" w:hanging="567"/>
        <w:rPr>
          <w:rFonts w:asciiTheme="majorHAnsi" w:hAnsiTheme="majorHAnsi"/>
          <w:color w:val="000000"/>
        </w:rPr>
      </w:pPr>
      <w:r w:rsidRPr="00043301">
        <w:rPr>
          <w:rFonts w:asciiTheme="majorHAnsi" w:hAnsiTheme="majorHAnsi"/>
          <w:color w:val="000000"/>
        </w:rPr>
        <w:t>3.</w:t>
      </w:r>
      <w:r w:rsidRPr="00043301">
        <w:rPr>
          <w:rFonts w:asciiTheme="majorHAnsi" w:hAnsiTheme="majorHAnsi"/>
          <w:color w:val="000000"/>
        </w:rPr>
        <w:tab/>
        <w:t xml:space="preserve">During dripping, keep the end of the drip tip as close to the tissue surface as possible without touching the tissue during application. </w:t>
      </w:r>
    </w:p>
    <w:p w14:paraId="661D1382" w14:textId="77777777" w:rsidR="00987D94" w:rsidRPr="00043301" w:rsidRDefault="00987D94" w:rsidP="00987D94">
      <w:pPr>
        <w:autoSpaceDE w:val="0"/>
        <w:autoSpaceDN w:val="0"/>
        <w:ind w:left="1134" w:hanging="567"/>
        <w:rPr>
          <w:rFonts w:asciiTheme="majorHAnsi" w:hAnsiTheme="majorHAnsi"/>
        </w:rPr>
      </w:pPr>
      <w:r w:rsidRPr="00043301">
        <w:rPr>
          <w:rFonts w:asciiTheme="majorHAnsi" w:hAnsiTheme="majorHAnsi"/>
          <w:color w:val="000000"/>
        </w:rPr>
        <w:t>4.</w:t>
      </w:r>
      <w:r w:rsidRPr="00043301">
        <w:rPr>
          <w:rFonts w:asciiTheme="majorHAnsi" w:hAnsiTheme="majorHAnsi"/>
          <w:color w:val="000000"/>
        </w:rPr>
        <w:tab/>
        <w:t>Apply individual drops to the surface area to be treated. To prevent uncontrolled clotting, allow the drops to separate from each other and from the end</w:t>
      </w:r>
      <w:r w:rsidRPr="00043301">
        <w:rPr>
          <w:rFonts w:asciiTheme="majorHAnsi" w:hAnsiTheme="majorHAnsi"/>
        </w:rPr>
        <w:t xml:space="preserve"> of the drip tip. </w:t>
      </w:r>
    </w:p>
    <w:p w14:paraId="048241B0" w14:textId="2FF84022" w:rsidR="00987D94" w:rsidRDefault="00987D94" w:rsidP="00987D94">
      <w:pPr>
        <w:autoSpaceDE w:val="0"/>
        <w:autoSpaceDN w:val="0"/>
        <w:ind w:left="1134" w:hanging="567"/>
        <w:rPr>
          <w:rFonts w:asciiTheme="majorHAnsi" w:hAnsiTheme="majorHAnsi"/>
        </w:rPr>
      </w:pPr>
      <w:r w:rsidRPr="00043301">
        <w:rPr>
          <w:rFonts w:asciiTheme="majorHAnsi" w:hAnsiTheme="majorHAnsi"/>
          <w:lang w:val="en-US"/>
        </w:rPr>
        <w:tab/>
      </w:r>
      <w:r w:rsidRPr="00043301">
        <w:rPr>
          <w:rFonts w:asciiTheme="majorHAnsi" w:hAnsiTheme="majorHAnsi"/>
        </w:rPr>
        <w:t xml:space="preserve">NOTE: Do not reconnect a used drip tip after it has been removed from the adapter; otherwise a clot may form inside the drip tip and the applicator may become </w:t>
      </w:r>
      <w:r>
        <w:rPr>
          <w:rFonts w:asciiTheme="majorHAnsi" w:hAnsiTheme="majorHAnsi"/>
        </w:rPr>
        <w:t>unusable.</w:t>
      </w:r>
    </w:p>
    <w:p w14:paraId="445D4E92" w14:textId="6A4D3BB3" w:rsidR="00055444" w:rsidRPr="00055444" w:rsidRDefault="00055444" w:rsidP="00055444">
      <w:pPr>
        <w:autoSpaceDE w:val="0"/>
        <w:autoSpaceDN w:val="0"/>
        <w:adjustRightInd w:val="0"/>
        <w:spacing w:after="0" w:line="240" w:lineRule="auto"/>
        <w:rPr>
          <w:rFonts w:asciiTheme="majorHAnsi" w:hAnsiTheme="majorHAnsi" w:cs="Times New Roman"/>
          <w:lang w:val="en-US"/>
        </w:rPr>
      </w:pPr>
    </w:p>
    <w:p w14:paraId="4A9C0D48" w14:textId="0C0919A0" w:rsidR="001A3992" w:rsidRDefault="003B4DCA" w:rsidP="00435035">
      <w:pPr>
        <w:pStyle w:val="Heading2"/>
        <w:numPr>
          <w:ilvl w:val="0"/>
          <w:numId w:val="0"/>
        </w:numPr>
        <w:spacing w:before="0" w:after="120"/>
        <w:ind w:left="578" w:hanging="578"/>
        <w:rPr>
          <w:rFonts w:cstheme="minorHAnsi"/>
        </w:rPr>
      </w:pPr>
      <w:r>
        <w:rPr>
          <w:rFonts w:cstheme="minorHAnsi"/>
        </w:rPr>
        <w:t>4.3</w:t>
      </w:r>
      <w:r>
        <w:rPr>
          <w:rFonts w:cstheme="minorHAnsi"/>
        </w:rPr>
        <w:tab/>
      </w:r>
      <w:r w:rsidR="001A3992" w:rsidRPr="00497C85">
        <w:rPr>
          <w:rFonts w:cstheme="minorHAnsi"/>
        </w:rPr>
        <w:t>Contraindications</w:t>
      </w:r>
    </w:p>
    <w:p w14:paraId="2BEEF246" w14:textId="60C44932" w:rsidR="00EC382D" w:rsidRDefault="00EC382D" w:rsidP="00EC382D">
      <w:pPr>
        <w:autoSpaceDE w:val="0"/>
        <w:autoSpaceDN w:val="0"/>
        <w:adjustRightInd w:val="0"/>
        <w:spacing w:after="0" w:line="240" w:lineRule="auto"/>
        <w:rPr>
          <w:rFonts w:asciiTheme="majorHAnsi" w:hAnsiTheme="majorHAnsi" w:cs="Times New Roman"/>
          <w:lang w:val="en-US"/>
        </w:rPr>
      </w:pPr>
      <w:proofErr w:type="spellStart"/>
      <w:r w:rsidRPr="00EC382D">
        <w:rPr>
          <w:rFonts w:asciiTheme="majorHAnsi" w:hAnsiTheme="majorHAnsi" w:cs="Times New Roman"/>
          <w:lang w:val="en-US"/>
        </w:rPr>
        <w:t>VeraSeal</w:t>
      </w:r>
      <w:proofErr w:type="spellEnd"/>
      <w:r w:rsidRPr="00EC382D">
        <w:rPr>
          <w:rFonts w:asciiTheme="majorHAnsi" w:hAnsiTheme="majorHAnsi" w:cs="Times New Roman"/>
          <w:lang w:val="en-US"/>
        </w:rPr>
        <w:t xml:space="preserve"> must not be applied intravascularly.</w:t>
      </w:r>
    </w:p>
    <w:p w14:paraId="6538E0E6" w14:textId="77777777" w:rsidR="00EC382D" w:rsidRPr="00EC382D" w:rsidRDefault="00EC382D" w:rsidP="00EC382D">
      <w:pPr>
        <w:autoSpaceDE w:val="0"/>
        <w:autoSpaceDN w:val="0"/>
        <w:adjustRightInd w:val="0"/>
        <w:spacing w:after="0" w:line="240" w:lineRule="auto"/>
        <w:rPr>
          <w:rFonts w:asciiTheme="majorHAnsi" w:hAnsiTheme="majorHAnsi" w:cs="Times New Roman"/>
          <w:lang w:val="en-US"/>
        </w:rPr>
      </w:pPr>
    </w:p>
    <w:p w14:paraId="08D13AC1" w14:textId="3A8724FF" w:rsidR="00EC382D" w:rsidRDefault="00EC382D" w:rsidP="00EC382D">
      <w:pPr>
        <w:autoSpaceDE w:val="0"/>
        <w:autoSpaceDN w:val="0"/>
        <w:adjustRightInd w:val="0"/>
        <w:spacing w:after="0" w:line="240" w:lineRule="auto"/>
        <w:rPr>
          <w:rFonts w:asciiTheme="majorHAnsi" w:hAnsiTheme="majorHAnsi" w:cs="Times New Roman"/>
          <w:lang w:val="en-US"/>
        </w:rPr>
      </w:pPr>
      <w:r w:rsidRPr="00EC382D">
        <w:rPr>
          <w:rFonts w:asciiTheme="majorHAnsi" w:hAnsiTheme="majorHAnsi" w:cs="Times New Roman"/>
          <w:lang w:val="en-US"/>
        </w:rPr>
        <w:t>Hypersensitivity to the active substance or to any of the excipients listed in section 6.1.</w:t>
      </w:r>
    </w:p>
    <w:p w14:paraId="6DA3248C" w14:textId="77777777" w:rsidR="00EC382D" w:rsidRPr="00EC382D" w:rsidRDefault="00EC382D" w:rsidP="00EC382D">
      <w:pPr>
        <w:autoSpaceDE w:val="0"/>
        <w:autoSpaceDN w:val="0"/>
        <w:adjustRightInd w:val="0"/>
        <w:spacing w:after="0" w:line="240" w:lineRule="auto"/>
        <w:rPr>
          <w:rFonts w:asciiTheme="majorHAnsi" w:hAnsiTheme="majorHAnsi" w:cs="Times New Roman"/>
          <w:lang w:val="en-US"/>
        </w:rPr>
      </w:pPr>
    </w:p>
    <w:p w14:paraId="5DC7B0FD" w14:textId="61B8F1A8" w:rsidR="00EC382D" w:rsidRDefault="00EC382D" w:rsidP="00EC382D">
      <w:pPr>
        <w:autoSpaceDE w:val="0"/>
        <w:autoSpaceDN w:val="0"/>
        <w:adjustRightInd w:val="0"/>
        <w:spacing w:after="0" w:line="240" w:lineRule="auto"/>
        <w:rPr>
          <w:rFonts w:asciiTheme="majorHAnsi" w:hAnsiTheme="majorHAnsi" w:cs="Times New Roman"/>
          <w:lang w:val="en-US"/>
        </w:rPr>
      </w:pPr>
      <w:proofErr w:type="spellStart"/>
      <w:r w:rsidRPr="00EC382D">
        <w:rPr>
          <w:rFonts w:asciiTheme="majorHAnsi" w:hAnsiTheme="majorHAnsi" w:cs="Times New Roman"/>
          <w:lang w:val="en-US"/>
        </w:rPr>
        <w:t>VeraSeal</w:t>
      </w:r>
      <w:proofErr w:type="spellEnd"/>
      <w:r w:rsidRPr="00EC382D">
        <w:rPr>
          <w:rFonts w:asciiTheme="majorHAnsi" w:hAnsiTheme="majorHAnsi" w:cs="Times New Roman"/>
          <w:lang w:val="en-US"/>
        </w:rPr>
        <w:t xml:space="preserve"> must not be used for the treatment of severe or brisk arterial bleeding.</w:t>
      </w:r>
    </w:p>
    <w:p w14:paraId="22E40BD1" w14:textId="6694115E" w:rsidR="00EC382D" w:rsidRPr="00EC382D" w:rsidRDefault="00EC382D" w:rsidP="00EC382D">
      <w:pPr>
        <w:rPr>
          <w:rFonts w:asciiTheme="majorHAnsi" w:hAnsiTheme="majorHAnsi"/>
          <w:lang w:val="en-US"/>
        </w:rPr>
      </w:pPr>
    </w:p>
    <w:p w14:paraId="7BCBDF9C" w14:textId="77777777" w:rsidR="00526105" w:rsidRDefault="003B4DCA" w:rsidP="00435035">
      <w:pPr>
        <w:pStyle w:val="Heading2"/>
        <w:numPr>
          <w:ilvl w:val="0"/>
          <w:numId w:val="0"/>
        </w:numPr>
        <w:spacing w:before="0" w:after="120"/>
        <w:ind w:left="578" w:hanging="578"/>
        <w:rPr>
          <w:rFonts w:cstheme="minorHAnsi"/>
        </w:rPr>
      </w:pPr>
      <w:r>
        <w:rPr>
          <w:rFonts w:cstheme="minorHAnsi"/>
        </w:rPr>
        <w:t>4.4</w:t>
      </w:r>
      <w:r>
        <w:rPr>
          <w:rFonts w:cstheme="minorHAnsi"/>
        </w:rPr>
        <w:tab/>
      </w:r>
      <w:r w:rsidR="00E74A56" w:rsidRPr="00497C85">
        <w:rPr>
          <w:rFonts w:cstheme="minorHAnsi"/>
        </w:rPr>
        <w:t>Special warnings and p</w:t>
      </w:r>
      <w:r w:rsidR="001A3992" w:rsidRPr="00497C85">
        <w:rPr>
          <w:rFonts w:cstheme="minorHAnsi"/>
        </w:rPr>
        <w:t xml:space="preserve">recautions </w:t>
      </w:r>
      <w:r w:rsidR="00E74A56" w:rsidRPr="00497C85">
        <w:rPr>
          <w:rFonts w:cstheme="minorHAnsi"/>
        </w:rPr>
        <w:t>for use</w:t>
      </w:r>
    </w:p>
    <w:p w14:paraId="5FB65F9E" w14:textId="4353D2A4" w:rsidR="001A3992" w:rsidRPr="00453A59" w:rsidRDefault="00526105" w:rsidP="00954E9E">
      <w:pPr>
        <w:rPr>
          <w:rFonts w:asciiTheme="majorHAnsi" w:hAnsiTheme="majorHAnsi"/>
        </w:rPr>
      </w:pPr>
      <w:r w:rsidRPr="00453A59">
        <w:rPr>
          <w:rFonts w:asciiTheme="majorHAnsi" w:hAnsiTheme="majorHAnsi"/>
        </w:rPr>
        <w:t xml:space="preserve">Please see </w:t>
      </w:r>
      <w:r w:rsidR="00B2346A" w:rsidRPr="00453A59">
        <w:rPr>
          <w:rFonts w:asciiTheme="majorHAnsi" w:hAnsiTheme="majorHAnsi"/>
        </w:rPr>
        <w:t>BOXED</w:t>
      </w:r>
      <w:r w:rsidR="00954E9E" w:rsidRPr="00453A59">
        <w:rPr>
          <w:rFonts w:asciiTheme="majorHAnsi" w:hAnsiTheme="majorHAnsi"/>
        </w:rPr>
        <w:t xml:space="preserve"> </w:t>
      </w:r>
      <w:r w:rsidR="00D66114" w:rsidRPr="00453A59">
        <w:rPr>
          <w:rFonts w:asciiTheme="majorHAnsi" w:hAnsiTheme="majorHAnsi"/>
        </w:rPr>
        <w:t>WARNINGS</w:t>
      </w:r>
      <w:r w:rsidR="00E36515" w:rsidRPr="00453A59">
        <w:rPr>
          <w:rFonts w:asciiTheme="majorHAnsi" w:hAnsiTheme="majorHAnsi"/>
        </w:rPr>
        <w:t>.</w:t>
      </w:r>
      <w:r w:rsidR="00B17C54" w:rsidRPr="00453A59">
        <w:rPr>
          <w:rFonts w:asciiTheme="majorHAnsi" w:hAnsiTheme="majorHAnsi"/>
        </w:rPr>
        <w:t xml:space="preserve"> </w:t>
      </w:r>
    </w:p>
    <w:p w14:paraId="333D8F7E" w14:textId="1AC8A07D" w:rsidR="00594983" w:rsidRPr="00453A59" w:rsidRDefault="00594983" w:rsidP="001A0C90">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Precautions for use</w:t>
      </w:r>
    </w:p>
    <w:p w14:paraId="32697025" w14:textId="67C5BE0F" w:rsidR="001A0C90" w:rsidRPr="00453A59" w:rsidRDefault="001A0C90" w:rsidP="001A0C90">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For </w:t>
      </w:r>
      <w:proofErr w:type="spellStart"/>
      <w:r w:rsidRPr="00453A59">
        <w:rPr>
          <w:rFonts w:asciiTheme="majorHAnsi" w:hAnsiTheme="majorHAnsi" w:cs="Times New Roman"/>
          <w:lang w:val="en-US"/>
        </w:rPr>
        <w:t>epilesional</w:t>
      </w:r>
      <w:proofErr w:type="spellEnd"/>
      <w:r w:rsidRPr="00453A59">
        <w:rPr>
          <w:rFonts w:asciiTheme="majorHAnsi" w:hAnsiTheme="majorHAnsi" w:cs="Times New Roman"/>
          <w:lang w:val="en-US"/>
        </w:rPr>
        <w:t xml:space="preserve"> use only. Do not apply intravascularly.</w:t>
      </w:r>
    </w:p>
    <w:p w14:paraId="2819261C" w14:textId="67D7BFC9" w:rsidR="00C63FF2" w:rsidRPr="00453A59" w:rsidRDefault="00C63FF2" w:rsidP="001A0C90">
      <w:pPr>
        <w:autoSpaceDE w:val="0"/>
        <w:autoSpaceDN w:val="0"/>
        <w:adjustRightInd w:val="0"/>
        <w:spacing w:after="0" w:line="240" w:lineRule="auto"/>
        <w:rPr>
          <w:rFonts w:asciiTheme="majorHAnsi" w:hAnsiTheme="majorHAnsi" w:cs="Times New Roman"/>
          <w:lang w:val="en-US"/>
        </w:rPr>
      </w:pPr>
    </w:p>
    <w:p w14:paraId="5AE56406" w14:textId="2E22CCCA" w:rsidR="00C63FF2" w:rsidRPr="00453A59" w:rsidRDefault="00C63FF2" w:rsidP="001A0C90">
      <w:pPr>
        <w:autoSpaceDE w:val="0"/>
        <w:autoSpaceDN w:val="0"/>
        <w:adjustRightInd w:val="0"/>
        <w:spacing w:after="0" w:line="240" w:lineRule="auto"/>
        <w:rPr>
          <w:rFonts w:asciiTheme="majorHAnsi" w:hAnsiTheme="majorHAnsi" w:cs="Times New Roman"/>
          <w:lang w:val="en-US"/>
        </w:rPr>
      </w:pP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must not be administered with gas assistance. </w:t>
      </w:r>
    </w:p>
    <w:p w14:paraId="669A8D59" w14:textId="77777777" w:rsidR="001A0C90" w:rsidRPr="00453A59" w:rsidRDefault="001A0C90" w:rsidP="001A0C90">
      <w:pPr>
        <w:autoSpaceDE w:val="0"/>
        <w:autoSpaceDN w:val="0"/>
        <w:adjustRightInd w:val="0"/>
        <w:spacing w:after="0" w:line="240" w:lineRule="auto"/>
        <w:rPr>
          <w:rFonts w:asciiTheme="majorHAnsi" w:hAnsiTheme="majorHAnsi" w:cs="Times New Roman"/>
          <w:lang w:val="en-US"/>
        </w:rPr>
      </w:pPr>
    </w:p>
    <w:p w14:paraId="3C5326D3" w14:textId="6E662F3A" w:rsidR="00812FB8" w:rsidRPr="00453A59" w:rsidRDefault="00812FB8" w:rsidP="00812FB8">
      <w:pPr>
        <w:autoSpaceDE w:val="0"/>
        <w:autoSpaceDN w:val="0"/>
        <w:adjustRightInd w:val="0"/>
        <w:spacing w:after="0" w:line="240" w:lineRule="auto"/>
        <w:rPr>
          <w:rFonts w:asciiTheme="majorHAnsi" w:hAnsiTheme="majorHAnsi" w:cs="Cambria"/>
          <w:color w:val="000000"/>
          <w:lang w:val="en-US"/>
        </w:rPr>
      </w:pPr>
      <w:proofErr w:type="spellStart"/>
      <w:r w:rsidRPr="00453A59">
        <w:rPr>
          <w:rFonts w:asciiTheme="majorHAnsi" w:hAnsiTheme="majorHAnsi" w:cs="Cambria"/>
          <w:color w:val="000000"/>
          <w:lang w:val="en-US"/>
        </w:rPr>
        <w:lastRenderedPageBreak/>
        <w:t>VeraSeal</w:t>
      </w:r>
      <w:proofErr w:type="spellEnd"/>
      <w:r w:rsidRPr="00453A59">
        <w:rPr>
          <w:rFonts w:asciiTheme="majorHAnsi" w:hAnsiTheme="majorHAnsi" w:cs="Cambria"/>
          <w:color w:val="000000"/>
          <w:lang w:val="en-US"/>
        </w:rPr>
        <w:t xml:space="preserve"> alone is not indicated for the treatment of severe or brisk arterial or venous bleeding. When used in these situations, </w:t>
      </w:r>
      <w:proofErr w:type="spellStart"/>
      <w:r w:rsidRPr="00453A59">
        <w:rPr>
          <w:rFonts w:asciiTheme="majorHAnsi" w:hAnsiTheme="majorHAnsi" w:cs="Cambria"/>
          <w:color w:val="000000"/>
          <w:lang w:val="en-US"/>
        </w:rPr>
        <w:t>VeraSeal</w:t>
      </w:r>
      <w:proofErr w:type="spellEnd"/>
      <w:r w:rsidRPr="00453A59">
        <w:rPr>
          <w:rFonts w:asciiTheme="majorHAnsi" w:hAnsiTheme="majorHAnsi" w:cs="Cambria"/>
          <w:color w:val="000000"/>
          <w:lang w:val="en-US"/>
        </w:rPr>
        <w:t xml:space="preserve"> is likely to be washed away in the flow of blood before hemostasis can be attained.</w:t>
      </w:r>
    </w:p>
    <w:p w14:paraId="5D0547FD" w14:textId="77777777" w:rsidR="00812FB8" w:rsidRPr="00453A59" w:rsidRDefault="00812FB8" w:rsidP="00812FB8">
      <w:pPr>
        <w:autoSpaceDE w:val="0"/>
        <w:autoSpaceDN w:val="0"/>
        <w:adjustRightInd w:val="0"/>
        <w:spacing w:after="0" w:line="240" w:lineRule="auto"/>
        <w:rPr>
          <w:rFonts w:asciiTheme="majorHAnsi" w:hAnsiTheme="majorHAnsi" w:cs="Cambria"/>
          <w:color w:val="000000"/>
          <w:lang w:val="en-US"/>
        </w:rPr>
      </w:pPr>
    </w:p>
    <w:p w14:paraId="719332C0" w14:textId="4C1139BA" w:rsidR="00812FB8" w:rsidRPr="00453A59" w:rsidRDefault="00812FB8" w:rsidP="00812FB8">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Cambria"/>
          <w:color w:val="000000"/>
          <w:lang w:val="en-US"/>
        </w:rPr>
        <w:t>Injection into the nasal mucosa must be avoided, as severe allergic/anaphylactoid reactions have been observed and thromboembolic complications may occur in the area of the ophthalmic artery.</w:t>
      </w:r>
    </w:p>
    <w:p w14:paraId="10180D35" w14:textId="77777777" w:rsidR="00594983" w:rsidRPr="00453A59" w:rsidRDefault="00594983" w:rsidP="00594983">
      <w:pPr>
        <w:pStyle w:val="BodyTextIndent2"/>
        <w:spacing w:after="0" w:line="240" w:lineRule="auto"/>
        <w:ind w:left="0"/>
        <w:rPr>
          <w:szCs w:val="22"/>
          <w:lang w:val="en-US"/>
        </w:rPr>
      </w:pPr>
    </w:p>
    <w:p w14:paraId="66511DBB" w14:textId="2CC77E44" w:rsidR="00594983" w:rsidRPr="00594983" w:rsidRDefault="00594983" w:rsidP="00330A25">
      <w:pPr>
        <w:pStyle w:val="BodyTextIndent2"/>
        <w:spacing w:after="0" w:line="240" w:lineRule="auto"/>
        <w:ind w:left="0"/>
        <w:rPr>
          <w:rFonts w:asciiTheme="majorHAnsi" w:hAnsiTheme="majorHAnsi"/>
          <w:szCs w:val="22"/>
        </w:rPr>
      </w:pPr>
      <w:proofErr w:type="spellStart"/>
      <w:r w:rsidRPr="00453A59">
        <w:rPr>
          <w:rFonts w:asciiTheme="majorHAnsi" w:hAnsiTheme="majorHAnsi"/>
          <w:szCs w:val="22"/>
        </w:rPr>
        <w:t>VeraSeal</w:t>
      </w:r>
      <w:proofErr w:type="spellEnd"/>
      <w:r w:rsidRPr="00453A59">
        <w:rPr>
          <w:rFonts w:asciiTheme="majorHAnsi" w:hAnsiTheme="majorHAnsi"/>
          <w:szCs w:val="22"/>
        </w:rPr>
        <w:t xml:space="preserve"> spray application should only be used if it is possible to accurately judge the spray distance, especially during laparoscopy. Spray distance from tissue should be </w:t>
      </w:r>
      <w:r w:rsidR="00330A25" w:rsidRPr="00453A59">
        <w:rPr>
          <w:rFonts w:asciiTheme="majorHAnsi" w:hAnsiTheme="majorHAnsi"/>
          <w:color w:val="000000"/>
        </w:rPr>
        <w:t xml:space="preserve">at least 2 cm away from the target </w:t>
      </w:r>
      <w:r w:rsidRPr="00453A59">
        <w:rPr>
          <w:rFonts w:asciiTheme="majorHAnsi" w:hAnsiTheme="majorHAnsi"/>
          <w:szCs w:val="22"/>
        </w:rPr>
        <w:t xml:space="preserve">(see section </w:t>
      </w:r>
      <w:r w:rsidR="00073F7F" w:rsidRPr="00453A59">
        <w:rPr>
          <w:rFonts w:asciiTheme="majorHAnsi" w:hAnsiTheme="majorHAnsi"/>
          <w:szCs w:val="22"/>
        </w:rPr>
        <w:t>4.2</w:t>
      </w:r>
      <w:r w:rsidRPr="00453A59">
        <w:rPr>
          <w:rFonts w:asciiTheme="majorHAnsi" w:hAnsiTheme="majorHAnsi"/>
          <w:szCs w:val="22"/>
        </w:rPr>
        <w:t>).</w:t>
      </w:r>
    </w:p>
    <w:p w14:paraId="2272E363" w14:textId="1DB084B8" w:rsidR="001A0C90" w:rsidRPr="001A0C90" w:rsidRDefault="001A0C90" w:rsidP="001A0C90">
      <w:pPr>
        <w:autoSpaceDE w:val="0"/>
        <w:autoSpaceDN w:val="0"/>
        <w:adjustRightInd w:val="0"/>
        <w:spacing w:after="0" w:line="240" w:lineRule="auto"/>
        <w:rPr>
          <w:rFonts w:asciiTheme="majorHAnsi" w:hAnsiTheme="majorHAnsi" w:cs="Times New Roman"/>
          <w:lang w:val="en-US"/>
        </w:rPr>
      </w:pPr>
    </w:p>
    <w:p w14:paraId="5EAC588C" w14:textId="54570828" w:rsidR="001A0C90" w:rsidRDefault="001A0C90" w:rsidP="001A0C90">
      <w:pPr>
        <w:autoSpaceDE w:val="0"/>
        <w:autoSpaceDN w:val="0"/>
        <w:adjustRightInd w:val="0"/>
        <w:spacing w:after="0" w:line="240" w:lineRule="auto"/>
        <w:rPr>
          <w:rFonts w:asciiTheme="majorHAnsi" w:hAnsiTheme="majorHAnsi" w:cs="Times New Roman"/>
          <w:lang w:val="en-US"/>
        </w:rPr>
      </w:pPr>
      <w:r w:rsidRPr="001A0C90">
        <w:rPr>
          <w:rFonts w:asciiTheme="majorHAnsi" w:hAnsiTheme="majorHAnsi" w:cs="Times New Roman"/>
          <w:lang w:val="en-US"/>
        </w:rPr>
        <w:t>When using accessory tips, the instructions for use of the tips should be followed.</w:t>
      </w:r>
    </w:p>
    <w:p w14:paraId="29E0CAC9" w14:textId="77777777" w:rsidR="001A0C90" w:rsidRPr="001A0C90" w:rsidRDefault="001A0C90" w:rsidP="001A0C90">
      <w:pPr>
        <w:autoSpaceDE w:val="0"/>
        <w:autoSpaceDN w:val="0"/>
        <w:adjustRightInd w:val="0"/>
        <w:spacing w:after="0" w:line="240" w:lineRule="auto"/>
        <w:rPr>
          <w:rFonts w:asciiTheme="majorHAnsi" w:hAnsiTheme="majorHAnsi" w:cs="Times New Roman"/>
          <w:lang w:val="en-US"/>
        </w:rPr>
      </w:pPr>
    </w:p>
    <w:p w14:paraId="39631BF9" w14:textId="6A631546" w:rsidR="001A0C90" w:rsidRDefault="001A0C90" w:rsidP="001A0C90">
      <w:pPr>
        <w:autoSpaceDE w:val="0"/>
        <w:autoSpaceDN w:val="0"/>
        <w:adjustRightInd w:val="0"/>
        <w:spacing w:after="0" w:line="240" w:lineRule="auto"/>
        <w:rPr>
          <w:rFonts w:asciiTheme="majorHAnsi" w:hAnsiTheme="majorHAnsi" w:cs="Times New Roman"/>
          <w:lang w:val="en-US"/>
        </w:rPr>
      </w:pPr>
      <w:r w:rsidRPr="001A0C90">
        <w:rPr>
          <w:rFonts w:asciiTheme="majorHAnsi" w:hAnsiTheme="majorHAnsi" w:cs="Times New Roman"/>
          <w:lang w:val="en-US"/>
        </w:rPr>
        <w:t xml:space="preserve">Before administration of </w:t>
      </w:r>
      <w:proofErr w:type="spellStart"/>
      <w:r w:rsidRPr="001A0C90">
        <w:rPr>
          <w:rFonts w:asciiTheme="majorHAnsi" w:hAnsiTheme="majorHAnsi" w:cs="Times New Roman"/>
          <w:lang w:val="en-US"/>
        </w:rPr>
        <w:t>VeraSeal</w:t>
      </w:r>
      <w:proofErr w:type="spellEnd"/>
      <w:r w:rsidRPr="001A0C90">
        <w:rPr>
          <w:rFonts w:asciiTheme="majorHAnsi" w:hAnsiTheme="majorHAnsi" w:cs="Times New Roman"/>
          <w:lang w:val="en-US"/>
        </w:rPr>
        <w:t>, care must be taken that the parts of the bod</w:t>
      </w:r>
      <w:r>
        <w:rPr>
          <w:rFonts w:asciiTheme="majorHAnsi" w:hAnsiTheme="majorHAnsi" w:cs="Times New Roman"/>
          <w:lang w:val="en-US"/>
        </w:rPr>
        <w:t xml:space="preserve">y outside the desired </w:t>
      </w:r>
      <w:r w:rsidRPr="001A0C90">
        <w:rPr>
          <w:rFonts w:asciiTheme="majorHAnsi" w:hAnsiTheme="majorHAnsi" w:cs="Times New Roman"/>
          <w:lang w:val="en-US"/>
        </w:rPr>
        <w:t>application area are sufficiently protected (covered) to prevent tissue adhesion at undesired sites.</w:t>
      </w:r>
    </w:p>
    <w:p w14:paraId="76341C75" w14:textId="77777777" w:rsidR="001A0C90" w:rsidRPr="001A0C90" w:rsidRDefault="001A0C90" w:rsidP="001A0C90">
      <w:pPr>
        <w:autoSpaceDE w:val="0"/>
        <w:autoSpaceDN w:val="0"/>
        <w:adjustRightInd w:val="0"/>
        <w:spacing w:after="0" w:line="240" w:lineRule="auto"/>
        <w:rPr>
          <w:rFonts w:asciiTheme="majorHAnsi" w:hAnsiTheme="majorHAnsi" w:cs="Times New Roman"/>
          <w:lang w:val="en-US"/>
        </w:rPr>
      </w:pPr>
    </w:p>
    <w:p w14:paraId="4A500CAE" w14:textId="6DCF6DCD" w:rsidR="001A0C90" w:rsidRDefault="001A0C90" w:rsidP="001A0C90">
      <w:pPr>
        <w:autoSpaceDE w:val="0"/>
        <w:autoSpaceDN w:val="0"/>
        <w:adjustRightInd w:val="0"/>
        <w:spacing w:after="0" w:line="240" w:lineRule="auto"/>
        <w:rPr>
          <w:rFonts w:asciiTheme="majorHAnsi" w:hAnsiTheme="majorHAnsi" w:cs="Times New Roman"/>
          <w:lang w:val="en-US"/>
        </w:rPr>
      </w:pPr>
      <w:proofErr w:type="spellStart"/>
      <w:r w:rsidRPr="001A0C90">
        <w:rPr>
          <w:rFonts w:asciiTheme="majorHAnsi" w:hAnsiTheme="majorHAnsi" w:cs="Times New Roman"/>
          <w:lang w:val="en-US"/>
        </w:rPr>
        <w:t>VeraSeal</w:t>
      </w:r>
      <w:proofErr w:type="spellEnd"/>
      <w:r w:rsidRPr="001A0C90">
        <w:rPr>
          <w:rFonts w:asciiTheme="majorHAnsi" w:hAnsiTheme="majorHAnsi" w:cs="Times New Roman"/>
          <w:lang w:val="en-US"/>
        </w:rPr>
        <w:t xml:space="preserve"> should be applied as a thin layer. Excessive clot thickness ma</w:t>
      </w:r>
      <w:r>
        <w:rPr>
          <w:rFonts w:asciiTheme="majorHAnsi" w:hAnsiTheme="majorHAnsi" w:cs="Times New Roman"/>
          <w:lang w:val="en-US"/>
        </w:rPr>
        <w:t xml:space="preserve">y negatively interfere with the </w:t>
      </w:r>
      <w:r w:rsidRPr="001A0C90">
        <w:rPr>
          <w:rFonts w:asciiTheme="majorHAnsi" w:hAnsiTheme="majorHAnsi" w:cs="Times New Roman"/>
          <w:lang w:val="en-US"/>
        </w:rPr>
        <w:t>product’s efficacy and the wound healing process.</w:t>
      </w:r>
    </w:p>
    <w:p w14:paraId="49B43D85" w14:textId="77777777" w:rsidR="001A0C90" w:rsidRPr="001A0C90" w:rsidRDefault="001A0C90" w:rsidP="001A0C90">
      <w:pPr>
        <w:autoSpaceDE w:val="0"/>
        <w:autoSpaceDN w:val="0"/>
        <w:adjustRightInd w:val="0"/>
        <w:spacing w:after="0" w:line="240" w:lineRule="auto"/>
        <w:rPr>
          <w:rFonts w:asciiTheme="majorHAnsi" w:hAnsiTheme="majorHAnsi" w:cs="Times New Roman"/>
          <w:lang w:val="en-US"/>
        </w:rPr>
      </w:pPr>
    </w:p>
    <w:p w14:paraId="28522427" w14:textId="734B7518" w:rsidR="001A0C90" w:rsidRPr="001A0C90" w:rsidRDefault="001A0C90" w:rsidP="001A0C90">
      <w:pPr>
        <w:autoSpaceDE w:val="0"/>
        <w:autoSpaceDN w:val="0"/>
        <w:adjustRightInd w:val="0"/>
        <w:spacing w:after="0" w:line="240" w:lineRule="auto"/>
        <w:rPr>
          <w:rFonts w:asciiTheme="majorHAnsi" w:hAnsiTheme="majorHAnsi" w:cs="Times New Roman"/>
          <w:lang w:val="en-US"/>
        </w:rPr>
      </w:pPr>
      <w:r w:rsidRPr="001A0C90">
        <w:rPr>
          <w:rFonts w:asciiTheme="majorHAnsi" w:hAnsiTheme="majorHAnsi" w:cs="Times New Roman"/>
          <w:lang w:val="en-US"/>
        </w:rPr>
        <w:t xml:space="preserve">Adequate data are not available to support the use of this product </w:t>
      </w:r>
      <w:r>
        <w:rPr>
          <w:rFonts w:asciiTheme="majorHAnsi" w:hAnsiTheme="majorHAnsi" w:cs="Times New Roman"/>
          <w:lang w:val="en-US"/>
        </w:rPr>
        <w:t xml:space="preserve">in tissue gluing, neurosurgery, </w:t>
      </w:r>
      <w:r w:rsidRPr="001A0C90">
        <w:rPr>
          <w:rFonts w:asciiTheme="majorHAnsi" w:hAnsiTheme="majorHAnsi" w:cs="Times New Roman"/>
          <w:lang w:val="en-US"/>
        </w:rPr>
        <w:t>application through a flexible endoscope for treatment of bleeding or in gastrointestinal anastomoses.</w:t>
      </w:r>
    </w:p>
    <w:p w14:paraId="6E4948E8" w14:textId="3A538C49" w:rsidR="001A0C90" w:rsidRDefault="001A0C90" w:rsidP="001A0C90">
      <w:pPr>
        <w:autoSpaceDE w:val="0"/>
        <w:autoSpaceDN w:val="0"/>
        <w:adjustRightInd w:val="0"/>
        <w:spacing w:after="0" w:line="240" w:lineRule="auto"/>
        <w:rPr>
          <w:rFonts w:asciiTheme="majorHAnsi" w:hAnsiTheme="majorHAnsi" w:cs="Times New Roman"/>
          <w:lang w:val="en-US"/>
        </w:rPr>
      </w:pPr>
    </w:p>
    <w:p w14:paraId="3239A72F" w14:textId="5E5AEFA1" w:rsidR="004352E1" w:rsidRPr="00453A59" w:rsidRDefault="00526105" w:rsidP="001A0C90">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Cardiovascular</w:t>
      </w:r>
    </w:p>
    <w:p w14:paraId="61A7DC3C" w14:textId="37B77B79" w:rsidR="00526105" w:rsidRPr="00453A59" w:rsidRDefault="00526105" w:rsidP="001A0C90">
      <w:pPr>
        <w:autoSpaceDE w:val="0"/>
        <w:autoSpaceDN w:val="0"/>
        <w:adjustRightInd w:val="0"/>
        <w:spacing w:after="0" w:line="240" w:lineRule="auto"/>
        <w:rPr>
          <w:rFonts w:asciiTheme="majorHAnsi" w:hAnsiTheme="majorHAnsi" w:cs="Times New Roman"/>
          <w:lang w:val="en-US"/>
        </w:rPr>
      </w:pPr>
    </w:p>
    <w:p w14:paraId="15089EE3" w14:textId="081732D5" w:rsidR="00526105" w:rsidRPr="00453A59" w:rsidRDefault="00526105" w:rsidP="001A0C90">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rPr>
        <w:t xml:space="preserve">Inadvertent intravascular injection of </w:t>
      </w:r>
      <w:proofErr w:type="spellStart"/>
      <w:r w:rsidRPr="00453A59">
        <w:rPr>
          <w:rFonts w:asciiTheme="majorHAnsi" w:hAnsiTheme="majorHAnsi"/>
        </w:rPr>
        <w:t>V</w:t>
      </w:r>
      <w:r w:rsidR="008C3790" w:rsidRPr="00453A59">
        <w:rPr>
          <w:rFonts w:asciiTheme="majorHAnsi" w:hAnsiTheme="majorHAnsi"/>
        </w:rPr>
        <w:t>eraSeal</w:t>
      </w:r>
      <w:proofErr w:type="spellEnd"/>
      <w:r w:rsidRPr="00453A59">
        <w:rPr>
          <w:rFonts w:asciiTheme="majorHAnsi" w:hAnsiTheme="majorHAnsi"/>
        </w:rPr>
        <w:t xml:space="preserve"> could lead to thromboembolic event</w:t>
      </w:r>
      <w:r w:rsidR="00C63FF2" w:rsidRPr="00453A59">
        <w:rPr>
          <w:rFonts w:asciiTheme="majorHAnsi" w:hAnsiTheme="majorHAnsi"/>
        </w:rPr>
        <w:t>s</w:t>
      </w:r>
      <w:r w:rsidRPr="00453A59">
        <w:rPr>
          <w:rFonts w:asciiTheme="majorHAnsi" w:hAnsiTheme="majorHAnsi"/>
        </w:rPr>
        <w:t xml:space="preserve"> and disseminated intravascular coagulation (DIC).</w:t>
      </w:r>
    </w:p>
    <w:p w14:paraId="7ADF8B8A" w14:textId="77777777" w:rsidR="00526105" w:rsidRPr="00453A59" w:rsidRDefault="00526105" w:rsidP="001A0C90">
      <w:pPr>
        <w:autoSpaceDE w:val="0"/>
        <w:autoSpaceDN w:val="0"/>
        <w:adjustRightInd w:val="0"/>
        <w:spacing w:after="0" w:line="240" w:lineRule="auto"/>
        <w:rPr>
          <w:rFonts w:asciiTheme="majorHAnsi" w:hAnsiTheme="majorHAnsi" w:cs="Times New Roman"/>
          <w:lang w:val="en-US"/>
        </w:rPr>
      </w:pPr>
    </w:p>
    <w:p w14:paraId="7241A1BD" w14:textId="1949DE3E" w:rsidR="001A0C90" w:rsidRPr="00453A59" w:rsidRDefault="001A0C90" w:rsidP="001A0C90">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Hypersensitivity reactions</w:t>
      </w:r>
    </w:p>
    <w:p w14:paraId="70262360" w14:textId="77777777" w:rsidR="00AC6F0B" w:rsidRPr="00453A59" w:rsidRDefault="001A0C90" w:rsidP="001A0C90">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As with any protein product, allergic type hypersensitivity reactions are possible. Signs of</w:t>
      </w:r>
      <w:r w:rsidR="00073F7F" w:rsidRPr="00453A59">
        <w:rPr>
          <w:rFonts w:asciiTheme="majorHAnsi" w:hAnsiTheme="majorHAnsi" w:cs="Times New Roman"/>
          <w:lang w:val="en-US"/>
        </w:rPr>
        <w:t xml:space="preserve"> </w:t>
      </w:r>
      <w:r w:rsidRPr="00453A59">
        <w:rPr>
          <w:rFonts w:asciiTheme="majorHAnsi" w:hAnsiTheme="majorHAnsi" w:cs="Times New Roman"/>
          <w:lang w:val="en-US"/>
        </w:rPr>
        <w:t xml:space="preserve">hypersensitivity reactions include hives, </w:t>
      </w:r>
      <w:proofErr w:type="spellStart"/>
      <w:r w:rsidRPr="00453A59">
        <w:rPr>
          <w:rFonts w:asciiTheme="majorHAnsi" w:hAnsiTheme="majorHAnsi" w:cs="Times New Roman"/>
          <w:lang w:val="en-US"/>
        </w:rPr>
        <w:t>generalised</w:t>
      </w:r>
      <w:proofErr w:type="spellEnd"/>
      <w:r w:rsidRPr="00453A59">
        <w:rPr>
          <w:rFonts w:asciiTheme="majorHAnsi" w:hAnsiTheme="majorHAnsi" w:cs="Times New Roman"/>
          <w:lang w:val="en-US"/>
        </w:rPr>
        <w:t xml:space="preserve"> urticaria, tightness of the chest, wheezing,</w:t>
      </w:r>
      <w:r w:rsidR="00073F7F" w:rsidRPr="00453A59">
        <w:rPr>
          <w:rFonts w:asciiTheme="majorHAnsi" w:hAnsiTheme="majorHAnsi" w:cs="Times New Roman"/>
          <w:lang w:val="en-US"/>
        </w:rPr>
        <w:t xml:space="preserve"> </w:t>
      </w:r>
      <w:r w:rsidRPr="00453A59">
        <w:rPr>
          <w:rFonts w:asciiTheme="majorHAnsi" w:hAnsiTheme="majorHAnsi" w:cs="Times New Roman"/>
          <w:lang w:val="en-US"/>
        </w:rPr>
        <w:t>hypotension, and anaphylaxis. If these symptoms occur, the administration must be discontinued immediately. In case of shock, standard medical treatment for shock should be implemented.</w:t>
      </w:r>
    </w:p>
    <w:p w14:paraId="0EFE8587" w14:textId="77777777" w:rsidR="00AC6F0B" w:rsidRPr="00453A59" w:rsidRDefault="00AC6F0B" w:rsidP="00AC6F0B">
      <w:pPr>
        <w:autoSpaceDE w:val="0"/>
        <w:autoSpaceDN w:val="0"/>
        <w:adjustRightInd w:val="0"/>
        <w:spacing w:after="0" w:line="240" w:lineRule="auto"/>
        <w:rPr>
          <w:rFonts w:asciiTheme="majorHAnsi" w:hAnsiTheme="majorHAnsi" w:cs="Times New Roman"/>
          <w:lang w:val="en-US"/>
        </w:rPr>
      </w:pPr>
    </w:p>
    <w:p w14:paraId="02281B21" w14:textId="612EA434" w:rsidR="00AC6F0B" w:rsidRPr="00453A59" w:rsidRDefault="00AC6F0B" w:rsidP="00AC6F0B">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Antibodies against components of fibrin sealant/hemostatic products may occur rarely.</w:t>
      </w:r>
    </w:p>
    <w:p w14:paraId="1E8B6A8E" w14:textId="77777777" w:rsidR="001A0C90" w:rsidRPr="00453A59" w:rsidRDefault="001A0C90" w:rsidP="001A0C90">
      <w:pPr>
        <w:autoSpaceDE w:val="0"/>
        <w:autoSpaceDN w:val="0"/>
        <w:adjustRightInd w:val="0"/>
        <w:spacing w:after="0" w:line="240" w:lineRule="auto"/>
        <w:rPr>
          <w:rFonts w:asciiTheme="majorHAnsi" w:hAnsiTheme="majorHAnsi" w:cs="Times New Roman"/>
          <w:lang w:val="en-US"/>
        </w:rPr>
      </w:pPr>
    </w:p>
    <w:p w14:paraId="509639B7" w14:textId="77777777" w:rsidR="001A0C90" w:rsidRPr="00453A59" w:rsidRDefault="001A0C90" w:rsidP="001A0C90">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Transmissible agents</w:t>
      </w:r>
    </w:p>
    <w:p w14:paraId="1A788216" w14:textId="44B0B12D" w:rsidR="002F455A" w:rsidRPr="00453A59" w:rsidRDefault="002F455A" w:rsidP="002F455A">
      <w:pPr>
        <w:autoSpaceDE w:val="0"/>
        <w:autoSpaceDN w:val="0"/>
        <w:adjustRightInd w:val="0"/>
        <w:spacing w:after="0" w:line="240" w:lineRule="auto"/>
        <w:rPr>
          <w:rFonts w:ascii="Cambria" w:hAnsi="Cambria" w:cs="Cambria"/>
          <w:color w:val="000000"/>
          <w:lang w:val="en-US"/>
        </w:rPr>
      </w:pPr>
      <w:r w:rsidRPr="00453A59">
        <w:rPr>
          <w:rFonts w:ascii="Cambria" w:hAnsi="Cambria" w:cs="Cambria"/>
          <w:color w:val="000000"/>
          <w:lang w:val="en-US"/>
        </w:rPr>
        <w:t>This product is prepared from large pools of human plasma. Thus, it may carry a risk of transmitting infectious agents, e.g., viruses, the variant Creutzfeldt-Jakob disease (</w:t>
      </w:r>
      <w:proofErr w:type="spellStart"/>
      <w:r w:rsidRPr="00453A59">
        <w:rPr>
          <w:rFonts w:ascii="Cambria" w:hAnsi="Cambria" w:cs="Cambria"/>
          <w:color w:val="000000"/>
          <w:lang w:val="en-US"/>
        </w:rPr>
        <w:t>vCJD</w:t>
      </w:r>
      <w:proofErr w:type="spellEnd"/>
      <w:r w:rsidRPr="00453A59">
        <w:rPr>
          <w:rFonts w:ascii="Cambria" w:hAnsi="Cambria" w:cs="Cambria"/>
          <w:color w:val="000000"/>
          <w:lang w:val="en-US"/>
        </w:rPr>
        <w:t>) agent and theoretically, the Creutzfeldt-Jakob (CJD) agent. This also applies to unknown or emerging viruses and other pathogens</w:t>
      </w:r>
      <w:r w:rsidR="008C3790" w:rsidRPr="00453A59">
        <w:rPr>
          <w:rFonts w:ascii="Cambria" w:hAnsi="Cambria" w:cs="Cambria"/>
          <w:color w:val="000000"/>
          <w:lang w:val="en-US"/>
        </w:rPr>
        <w:t xml:space="preserve"> (see BOXED WARNINGS)</w:t>
      </w:r>
      <w:r w:rsidRPr="00453A59">
        <w:rPr>
          <w:rFonts w:ascii="Cambria" w:hAnsi="Cambria" w:cs="Cambria"/>
          <w:color w:val="000000"/>
          <w:lang w:val="en-US"/>
        </w:rPr>
        <w:t xml:space="preserve">. </w:t>
      </w:r>
    </w:p>
    <w:p w14:paraId="360B6A04" w14:textId="77777777" w:rsidR="002F455A" w:rsidRPr="00453A59" w:rsidRDefault="002F455A" w:rsidP="002F455A">
      <w:pPr>
        <w:autoSpaceDE w:val="0"/>
        <w:autoSpaceDN w:val="0"/>
        <w:adjustRightInd w:val="0"/>
        <w:spacing w:after="0" w:line="240" w:lineRule="auto"/>
        <w:rPr>
          <w:rFonts w:ascii="Cambria" w:hAnsi="Cambria" w:cs="Cambria"/>
          <w:color w:val="000000"/>
          <w:lang w:val="en-US"/>
        </w:rPr>
      </w:pPr>
    </w:p>
    <w:p w14:paraId="1C234469" w14:textId="4038C1BE" w:rsidR="002F455A" w:rsidRPr="00453A59" w:rsidRDefault="002F455A" w:rsidP="002223AB">
      <w:pPr>
        <w:autoSpaceDE w:val="0"/>
        <w:autoSpaceDN w:val="0"/>
        <w:adjustRightInd w:val="0"/>
        <w:spacing w:after="0" w:line="240" w:lineRule="auto"/>
        <w:rPr>
          <w:rFonts w:ascii="Cambria" w:hAnsi="Cambria" w:cs="Cambria"/>
          <w:color w:val="000000"/>
          <w:lang w:val="en-US"/>
        </w:rPr>
      </w:pPr>
      <w:r w:rsidRPr="00453A59">
        <w:rPr>
          <w:rFonts w:ascii="Cambria" w:hAnsi="Cambria" w:cs="Cambria"/>
          <w:color w:val="000000"/>
          <w:lang w:val="en-US"/>
        </w:rPr>
        <w:t xml:space="preserve">The risk that </w:t>
      </w:r>
      <w:proofErr w:type="spellStart"/>
      <w:r w:rsidRPr="00453A59">
        <w:rPr>
          <w:rFonts w:ascii="Cambria" w:hAnsi="Cambria" w:cs="Cambria"/>
          <w:color w:val="000000"/>
          <w:lang w:val="en-US"/>
        </w:rPr>
        <w:t>VeraSeal</w:t>
      </w:r>
      <w:proofErr w:type="spellEnd"/>
      <w:r w:rsidRPr="00453A59">
        <w:rPr>
          <w:rFonts w:ascii="Cambria" w:hAnsi="Cambria" w:cs="Cambria"/>
          <w:color w:val="000000"/>
          <w:lang w:val="en-US"/>
        </w:rPr>
        <w:t xml:space="preserve"> will transmit an infectious agent has been reduced by screening plasma donors for prior exposure to certain viruses, by testing for the presence of certain current virus infections, and by inactivating and/or removing certain viruses. The measures taken are considered effective for enveloped viruses such as human immunodeficiency virus (HIV), hepatitis B virus and hepatitis C virus, and for the non-enveloped hepatitis A virus. </w:t>
      </w:r>
    </w:p>
    <w:p w14:paraId="603F502D" w14:textId="77777777" w:rsidR="002F455A" w:rsidRPr="00453A59" w:rsidRDefault="002F455A" w:rsidP="002F455A">
      <w:pPr>
        <w:autoSpaceDE w:val="0"/>
        <w:autoSpaceDN w:val="0"/>
        <w:adjustRightInd w:val="0"/>
        <w:spacing w:after="0" w:line="240" w:lineRule="auto"/>
        <w:rPr>
          <w:rFonts w:ascii="Cambria" w:hAnsi="Cambria" w:cs="Cambria"/>
          <w:color w:val="000000"/>
          <w:lang w:val="en-US"/>
        </w:rPr>
      </w:pPr>
    </w:p>
    <w:p w14:paraId="40623760" w14:textId="1C8422AC" w:rsidR="002F455A" w:rsidRPr="00453A59" w:rsidRDefault="002F455A" w:rsidP="002F455A">
      <w:pPr>
        <w:autoSpaceDE w:val="0"/>
        <w:autoSpaceDN w:val="0"/>
        <w:adjustRightInd w:val="0"/>
        <w:spacing w:after="0" w:line="240" w:lineRule="auto"/>
        <w:rPr>
          <w:rFonts w:ascii="Cambria" w:hAnsi="Cambria" w:cs="Cambria"/>
          <w:color w:val="000000"/>
          <w:lang w:val="en-US"/>
        </w:rPr>
      </w:pPr>
      <w:r w:rsidRPr="00453A59">
        <w:rPr>
          <w:rFonts w:ascii="Cambria" w:hAnsi="Cambria" w:cs="Cambria"/>
          <w:color w:val="000000"/>
          <w:lang w:val="en-US"/>
        </w:rPr>
        <w:lastRenderedPageBreak/>
        <w:t xml:space="preserve">Despite these measures, </w:t>
      </w:r>
      <w:proofErr w:type="spellStart"/>
      <w:r w:rsidRPr="00453A59">
        <w:rPr>
          <w:rFonts w:ascii="Cambria" w:hAnsi="Cambria" w:cs="Cambria"/>
          <w:color w:val="000000"/>
          <w:lang w:val="en-US"/>
        </w:rPr>
        <w:t>VeraSeal</w:t>
      </w:r>
      <w:proofErr w:type="spellEnd"/>
      <w:r w:rsidRPr="00453A59">
        <w:rPr>
          <w:rFonts w:ascii="Cambria" w:hAnsi="Cambria" w:cs="Cambria"/>
          <w:color w:val="000000"/>
          <w:lang w:val="en-US"/>
        </w:rPr>
        <w:t xml:space="preserve"> can still potentially transmit disease. The measures taken may be of limited value against non-enveloped viruses such as parvovirus B19. Parvovirus B19 infection may be serious for pregnant women (fetal infection) and for individuals with immunodeficiency or increased erythropoiesis (e.g. </w:t>
      </w:r>
      <w:proofErr w:type="spellStart"/>
      <w:r w:rsidRPr="00453A59">
        <w:rPr>
          <w:rFonts w:ascii="Cambria" w:hAnsi="Cambria" w:cs="Cambria"/>
          <w:color w:val="000000"/>
          <w:lang w:val="en-US"/>
        </w:rPr>
        <w:t>h</w:t>
      </w:r>
      <w:r w:rsidR="00714AA7">
        <w:rPr>
          <w:rFonts w:ascii="Cambria" w:hAnsi="Cambria" w:cs="Cambria"/>
          <w:color w:val="000000"/>
          <w:lang w:val="en-US"/>
        </w:rPr>
        <w:t>a</w:t>
      </w:r>
      <w:r w:rsidRPr="00453A59">
        <w:rPr>
          <w:rFonts w:ascii="Cambria" w:hAnsi="Cambria" w:cs="Cambria"/>
          <w:color w:val="000000"/>
          <w:lang w:val="en-US"/>
        </w:rPr>
        <w:t>emolytic</w:t>
      </w:r>
      <w:proofErr w:type="spellEnd"/>
      <w:r w:rsidRPr="00453A59">
        <w:rPr>
          <w:rFonts w:ascii="Cambria" w:hAnsi="Cambria" w:cs="Cambria"/>
          <w:color w:val="000000"/>
          <w:lang w:val="en-US"/>
        </w:rPr>
        <w:t xml:space="preserve"> anemia). There is also the possibility that unknown infectious agents may be present in </w:t>
      </w:r>
      <w:proofErr w:type="spellStart"/>
      <w:r w:rsidRPr="00453A59">
        <w:rPr>
          <w:rFonts w:ascii="Cambria" w:hAnsi="Cambria" w:cs="Cambria"/>
          <w:color w:val="000000"/>
          <w:lang w:val="en-US"/>
        </w:rPr>
        <w:t>VeraSeal</w:t>
      </w:r>
      <w:proofErr w:type="spellEnd"/>
      <w:r w:rsidRPr="00453A59">
        <w:rPr>
          <w:rFonts w:ascii="Cambria" w:hAnsi="Cambria" w:cs="Cambria"/>
          <w:color w:val="000000"/>
          <w:lang w:val="en-US"/>
        </w:rPr>
        <w:t xml:space="preserve">. Individuals who receive </w:t>
      </w:r>
      <w:proofErr w:type="spellStart"/>
      <w:r w:rsidRPr="00453A59">
        <w:rPr>
          <w:rFonts w:ascii="Cambria" w:hAnsi="Cambria" w:cs="Cambria"/>
          <w:color w:val="000000"/>
          <w:lang w:val="en-US"/>
        </w:rPr>
        <w:t>VeraSeal</w:t>
      </w:r>
      <w:proofErr w:type="spellEnd"/>
      <w:r w:rsidRPr="00453A59">
        <w:rPr>
          <w:rFonts w:ascii="Cambria" w:hAnsi="Cambria" w:cs="Cambria"/>
          <w:color w:val="000000"/>
          <w:lang w:val="en-US"/>
        </w:rPr>
        <w:t xml:space="preserve"> may develop signs and/or symptoms of some viral infections. ALL infections thought by a physician possibly to have been transmitted by this product should be reported by the physician or other healthcare provider to Grifols Australia and the TGA.</w:t>
      </w:r>
    </w:p>
    <w:p w14:paraId="1A0E7171" w14:textId="77777777" w:rsidR="002F455A" w:rsidRPr="00453A59" w:rsidRDefault="002F455A" w:rsidP="002F455A">
      <w:pPr>
        <w:autoSpaceDE w:val="0"/>
        <w:autoSpaceDN w:val="0"/>
        <w:adjustRightInd w:val="0"/>
        <w:spacing w:after="0" w:line="240" w:lineRule="auto"/>
        <w:rPr>
          <w:rFonts w:asciiTheme="majorHAnsi" w:hAnsiTheme="majorHAnsi" w:cs="Times New Roman"/>
          <w:lang w:val="en-US"/>
        </w:rPr>
      </w:pPr>
    </w:p>
    <w:p w14:paraId="09E533BD" w14:textId="1F4732C9" w:rsidR="002F455A" w:rsidRPr="00453A59" w:rsidRDefault="002F455A" w:rsidP="001A0C90">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rPr>
        <w:t>Patients should be instructed to consult their clinician if symptoms of B19 virus infection appear (fever, drowsiness, chills and runny nose, followed about two weeks later by a rash and joint pain).</w:t>
      </w:r>
    </w:p>
    <w:p w14:paraId="6D969848" w14:textId="77777777" w:rsidR="001A0C90" w:rsidRPr="00453A59" w:rsidRDefault="001A0C90" w:rsidP="001A0C90">
      <w:pPr>
        <w:autoSpaceDE w:val="0"/>
        <w:autoSpaceDN w:val="0"/>
        <w:adjustRightInd w:val="0"/>
        <w:spacing w:after="0" w:line="240" w:lineRule="auto"/>
        <w:rPr>
          <w:rFonts w:asciiTheme="majorHAnsi" w:hAnsiTheme="majorHAnsi" w:cs="Times New Roman"/>
          <w:lang w:val="en-US"/>
        </w:rPr>
      </w:pPr>
    </w:p>
    <w:p w14:paraId="2088A08E" w14:textId="77777777" w:rsidR="001A0C90" w:rsidRPr="00453A59" w:rsidRDefault="001A0C90" w:rsidP="001A0C90">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Traceability</w:t>
      </w:r>
    </w:p>
    <w:p w14:paraId="05734FAB" w14:textId="7B9C6CB1" w:rsidR="001A0C90" w:rsidRPr="00453A59" w:rsidRDefault="00D319CC" w:rsidP="001A0C90">
      <w:pPr>
        <w:autoSpaceDE w:val="0"/>
        <w:autoSpaceDN w:val="0"/>
        <w:adjustRightInd w:val="0"/>
        <w:spacing w:after="0" w:line="240" w:lineRule="auto"/>
        <w:rPr>
          <w:rFonts w:asciiTheme="majorHAnsi" w:hAnsiTheme="majorHAnsi" w:cstheme="minorHAnsi"/>
          <w:lang w:val="en-US"/>
        </w:rPr>
      </w:pPr>
      <w:r w:rsidRPr="00453A59">
        <w:rPr>
          <w:rFonts w:asciiTheme="majorHAnsi" w:hAnsiTheme="majorHAnsi" w:cstheme="minorHAnsi"/>
        </w:rPr>
        <w:t>In order to improve the traceability of biological medicinal products, the name and the batch number of the administered product should be clearly recorded</w:t>
      </w:r>
      <w:r w:rsidR="002A6691" w:rsidRPr="00453A59">
        <w:rPr>
          <w:rFonts w:asciiTheme="majorHAnsi" w:hAnsiTheme="majorHAnsi" w:cstheme="minorHAnsi"/>
          <w:lang w:val="en-US"/>
        </w:rPr>
        <w:t xml:space="preserve"> in the patient notes/medical record.</w:t>
      </w:r>
    </w:p>
    <w:p w14:paraId="614AEAB7" w14:textId="77777777" w:rsidR="002F455A" w:rsidRPr="00453A59" w:rsidRDefault="002F455A" w:rsidP="001A0C90">
      <w:pPr>
        <w:autoSpaceDE w:val="0"/>
        <w:autoSpaceDN w:val="0"/>
        <w:adjustRightInd w:val="0"/>
        <w:spacing w:after="0" w:line="240" w:lineRule="auto"/>
        <w:rPr>
          <w:rFonts w:asciiTheme="majorHAnsi" w:hAnsiTheme="majorHAnsi" w:cs="Times New Roman"/>
          <w:lang w:val="en-US"/>
        </w:rPr>
      </w:pPr>
    </w:p>
    <w:p w14:paraId="12FE45CD" w14:textId="42FDAA0A" w:rsidR="001A3992" w:rsidRPr="00453A59" w:rsidRDefault="001A3992" w:rsidP="001A3992">
      <w:pPr>
        <w:pStyle w:val="Heading3"/>
        <w:spacing w:before="0" w:after="120"/>
        <w:rPr>
          <w:rFonts w:cstheme="minorHAnsi"/>
        </w:rPr>
      </w:pPr>
      <w:r w:rsidRPr="00453A59">
        <w:rPr>
          <w:rFonts w:cstheme="minorHAnsi"/>
        </w:rPr>
        <w:t>Use in the elderly</w:t>
      </w:r>
    </w:p>
    <w:p w14:paraId="187128A9" w14:textId="3F553D72" w:rsidR="001A0C90" w:rsidRPr="00453A59" w:rsidRDefault="001A0C90" w:rsidP="001A0C90">
      <w:pPr>
        <w:spacing w:after="120" w:line="240" w:lineRule="auto"/>
        <w:rPr>
          <w:rFonts w:asciiTheme="majorHAnsi" w:hAnsiTheme="majorHAnsi"/>
        </w:rPr>
      </w:pPr>
      <w:r w:rsidRPr="00453A59">
        <w:rPr>
          <w:rFonts w:asciiTheme="majorHAnsi" w:hAnsiTheme="majorHAnsi"/>
          <w:sz w:val="23"/>
          <w:szCs w:val="23"/>
        </w:rPr>
        <w:t xml:space="preserve">Clinical trials included 172 subjects aged 65 years or older treated with </w:t>
      </w:r>
      <w:proofErr w:type="spellStart"/>
      <w:r w:rsidR="00C83A4E" w:rsidRPr="00453A59">
        <w:rPr>
          <w:rFonts w:asciiTheme="majorHAnsi" w:hAnsiTheme="majorHAnsi"/>
          <w:sz w:val="23"/>
          <w:szCs w:val="23"/>
        </w:rPr>
        <w:t>VeraSeal</w:t>
      </w:r>
      <w:proofErr w:type="spellEnd"/>
      <w:r w:rsidRPr="00453A59">
        <w:rPr>
          <w:rFonts w:asciiTheme="majorHAnsi" w:hAnsiTheme="majorHAnsi"/>
          <w:sz w:val="23"/>
          <w:szCs w:val="23"/>
        </w:rPr>
        <w:t>. No differences in safety or effectiveness were observed between these subjects and younger subjects.</w:t>
      </w:r>
    </w:p>
    <w:p w14:paraId="3FC876CE" w14:textId="0E4F9C12" w:rsidR="001A3992" w:rsidRPr="00453A59" w:rsidRDefault="001A3992" w:rsidP="001A3992">
      <w:pPr>
        <w:pStyle w:val="Heading3"/>
        <w:spacing w:before="0" w:after="120"/>
        <w:rPr>
          <w:rFonts w:cstheme="minorHAnsi"/>
        </w:rPr>
      </w:pPr>
      <w:r w:rsidRPr="00453A59">
        <w:rPr>
          <w:rFonts w:cstheme="minorHAnsi"/>
        </w:rPr>
        <w:t>Paediatric use</w:t>
      </w:r>
    </w:p>
    <w:p w14:paraId="199B2AD2" w14:textId="66D5EAEF" w:rsidR="009D6344" w:rsidRPr="00453A59" w:rsidRDefault="009D6344" w:rsidP="00543283">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The safety and efficacy of </w:t>
      </w: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in children aged 0 to 18 years has not yet been established.</w:t>
      </w:r>
      <w:r w:rsidR="00F14CF6" w:rsidRPr="00453A59">
        <w:rPr>
          <w:rFonts w:asciiTheme="majorHAnsi" w:hAnsiTheme="majorHAnsi" w:cs="Times New Roman"/>
          <w:lang w:val="en-US"/>
        </w:rPr>
        <w:t xml:space="preserve"> </w:t>
      </w:r>
    </w:p>
    <w:p w14:paraId="2913A57C" w14:textId="77777777" w:rsidR="009D6344" w:rsidRPr="00453A59" w:rsidRDefault="009D6344" w:rsidP="009D6344">
      <w:pPr>
        <w:autoSpaceDE w:val="0"/>
        <w:autoSpaceDN w:val="0"/>
        <w:adjustRightInd w:val="0"/>
        <w:spacing w:after="0" w:line="240" w:lineRule="auto"/>
        <w:rPr>
          <w:rFonts w:asciiTheme="majorHAnsi" w:hAnsiTheme="majorHAnsi" w:cs="Times New Roman"/>
          <w:lang w:val="en-US"/>
        </w:rPr>
      </w:pPr>
    </w:p>
    <w:p w14:paraId="0882928F" w14:textId="426D5F0E" w:rsidR="001A3992" w:rsidRPr="00453A59" w:rsidRDefault="001A3992" w:rsidP="001A3992">
      <w:pPr>
        <w:pStyle w:val="Heading3"/>
        <w:spacing w:before="0" w:after="120"/>
        <w:rPr>
          <w:rFonts w:cstheme="minorHAnsi"/>
        </w:rPr>
      </w:pPr>
      <w:r w:rsidRPr="00453A59">
        <w:rPr>
          <w:rFonts w:cstheme="minorHAnsi"/>
        </w:rPr>
        <w:t>Effects on laboratory tests</w:t>
      </w:r>
    </w:p>
    <w:p w14:paraId="78E46B48" w14:textId="051C3B37" w:rsidR="005F0AC2" w:rsidRPr="005F0AC2" w:rsidRDefault="00BB7737" w:rsidP="005F0AC2">
      <w:pPr>
        <w:rPr>
          <w:rFonts w:asciiTheme="majorHAnsi" w:hAnsiTheme="majorHAnsi"/>
        </w:rPr>
      </w:pPr>
      <w:r w:rsidRPr="00453A59">
        <w:rPr>
          <w:rFonts w:asciiTheme="majorHAnsi" w:hAnsiTheme="majorHAnsi"/>
        </w:rPr>
        <w:t>No data available.</w:t>
      </w:r>
    </w:p>
    <w:p w14:paraId="143D23A3" w14:textId="22B7DAED" w:rsidR="001A3992" w:rsidRDefault="003B4DCA" w:rsidP="00435035">
      <w:pPr>
        <w:pStyle w:val="Heading2"/>
        <w:keepNext/>
        <w:keepLines/>
        <w:numPr>
          <w:ilvl w:val="0"/>
          <w:numId w:val="0"/>
        </w:numPr>
        <w:spacing w:before="0" w:after="120"/>
        <w:ind w:left="578" w:hanging="578"/>
        <w:rPr>
          <w:rFonts w:cstheme="minorHAnsi"/>
        </w:rPr>
      </w:pPr>
      <w:r>
        <w:rPr>
          <w:rFonts w:cstheme="minorHAnsi"/>
        </w:rPr>
        <w:t>4.5</w:t>
      </w:r>
      <w:r>
        <w:rPr>
          <w:rFonts w:cstheme="minorHAnsi"/>
        </w:rPr>
        <w:tab/>
      </w:r>
      <w:r w:rsidR="001A3992" w:rsidRPr="00497C85">
        <w:rPr>
          <w:rFonts w:cstheme="minorHAnsi"/>
        </w:rPr>
        <w:t>Interactions with other medicines and other forms of interactions</w:t>
      </w:r>
    </w:p>
    <w:p w14:paraId="3FA7B94A" w14:textId="599867A7" w:rsidR="005F0AC2" w:rsidRPr="005F0AC2" w:rsidRDefault="005F0AC2" w:rsidP="005F0AC2">
      <w:pPr>
        <w:autoSpaceDE w:val="0"/>
        <w:autoSpaceDN w:val="0"/>
        <w:adjustRightInd w:val="0"/>
        <w:spacing w:after="0" w:line="240" w:lineRule="auto"/>
        <w:rPr>
          <w:rFonts w:asciiTheme="majorHAnsi" w:hAnsiTheme="majorHAnsi" w:cs="Times New Roman"/>
          <w:lang w:val="en-US"/>
        </w:rPr>
      </w:pPr>
      <w:r w:rsidRPr="005F0AC2">
        <w:rPr>
          <w:rFonts w:asciiTheme="majorHAnsi" w:hAnsiTheme="majorHAnsi" w:cs="Times New Roman"/>
          <w:lang w:val="en-US"/>
        </w:rPr>
        <w:t xml:space="preserve">No formal interaction studies have been performed. Similar to </w:t>
      </w:r>
      <w:r>
        <w:rPr>
          <w:rFonts w:asciiTheme="majorHAnsi" w:hAnsiTheme="majorHAnsi" w:cs="Times New Roman"/>
          <w:lang w:val="en-US"/>
        </w:rPr>
        <w:t xml:space="preserve">comparable products or thrombin </w:t>
      </w:r>
      <w:r w:rsidRPr="005F0AC2">
        <w:rPr>
          <w:rFonts w:asciiTheme="majorHAnsi" w:hAnsiTheme="majorHAnsi" w:cs="Times New Roman"/>
          <w:lang w:val="en-US"/>
        </w:rPr>
        <w:t>solutions, the product may be denatured after exposure to solutions containing alcohol, iodine or heavy metals (</w:t>
      </w:r>
      <w:proofErr w:type="gramStart"/>
      <w:r w:rsidRPr="005F0AC2">
        <w:rPr>
          <w:rFonts w:asciiTheme="majorHAnsi" w:hAnsiTheme="majorHAnsi" w:cs="Times New Roman"/>
          <w:lang w:val="en-US"/>
        </w:rPr>
        <w:t>e.g.</w:t>
      </w:r>
      <w:proofErr w:type="gramEnd"/>
      <w:r w:rsidRPr="005F0AC2">
        <w:rPr>
          <w:rFonts w:asciiTheme="majorHAnsi" w:hAnsiTheme="majorHAnsi" w:cs="Times New Roman"/>
          <w:lang w:val="en-US"/>
        </w:rPr>
        <w:t xml:space="preserve"> antiseptic solutions). Such substances should be removed to the greatest possible extent before applying the product.</w:t>
      </w:r>
    </w:p>
    <w:p w14:paraId="52D23BE3" w14:textId="77777777" w:rsidR="005F0AC2" w:rsidRPr="005F0AC2" w:rsidRDefault="005F0AC2" w:rsidP="005F0AC2">
      <w:pPr>
        <w:autoSpaceDE w:val="0"/>
        <w:autoSpaceDN w:val="0"/>
        <w:adjustRightInd w:val="0"/>
        <w:spacing w:after="0" w:line="240" w:lineRule="auto"/>
        <w:rPr>
          <w:rFonts w:ascii="Times New Roman" w:hAnsi="Times New Roman" w:cs="Times New Roman"/>
          <w:lang w:val="en-US"/>
        </w:rPr>
      </w:pPr>
    </w:p>
    <w:p w14:paraId="088CD3B9" w14:textId="32094182" w:rsidR="001A3992" w:rsidRPr="00497C85" w:rsidRDefault="003B4DCA" w:rsidP="00435035">
      <w:pPr>
        <w:pStyle w:val="Heading2"/>
        <w:numPr>
          <w:ilvl w:val="0"/>
          <w:numId w:val="0"/>
        </w:numPr>
        <w:spacing w:before="0" w:after="120"/>
        <w:ind w:left="578" w:hanging="578"/>
        <w:rPr>
          <w:rFonts w:cstheme="minorHAnsi"/>
        </w:rPr>
      </w:pPr>
      <w:r>
        <w:rPr>
          <w:rFonts w:cstheme="minorHAnsi"/>
        </w:rPr>
        <w:t>4.6</w:t>
      </w:r>
      <w:r>
        <w:rPr>
          <w:rFonts w:cstheme="minorHAnsi"/>
        </w:rPr>
        <w:tab/>
      </w:r>
      <w:r w:rsidR="001A3992" w:rsidRPr="00497C85">
        <w:rPr>
          <w:rFonts w:cstheme="minorHAnsi"/>
        </w:rPr>
        <w:t xml:space="preserve">Fertility, pregnancy and lactation </w:t>
      </w:r>
    </w:p>
    <w:p w14:paraId="1DA319D4" w14:textId="3263899E" w:rsidR="001A3992" w:rsidRPr="007F6F22" w:rsidRDefault="001A3992" w:rsidP="001A3992">
      <w:pPr>
        <w:pStyle w:val="Heading3"/>
        <w:spacing w:before="0" w:after="120"/>
        <w:rPr>
          <w:rFonts w:cstheme="minorHAnsi"/>
        </w:rPr>
      </w:pPr>
      <w:r w:rsidRPr="007F6F22">
        <w:rPr>
          <w:rFonts w:cstheme="minorHAnsi"/>
        </w:rPr>
        <w:t>Effects on fertility</w:t>
      </w:r>
    </w:p>
    <w:p w14:paraId="2FA3389C" w14:textId="2A9003F0" w:rsidR="005F0AC2" w:rsidRPr="009A58B4" w:rsidRDefault="009A58B4" w:rsidP="009A58B4">
      <w:pPr>
        <w:rPr>
          <w:rFonts w:asciiTheme="majorHAnsi" w:hAnsiTheme="majorHAnsi" w:cstheme="minorHAnsi"/>
          <w:lang w:val="en-US"/>
        </w:rPr>
      </w:pPr>
      <w:r w:rsidRPr="009A58B4">
        <w:t xml:space="preserve"> </w:t>
      </w:r>
      <w:r w:rsidRPr="0081335D">
        <w:rPr>
          <w:rFonts w:asciiTheme="majorHAnsi" w:hAnsiTheme="majorHAnsi"/>
        </w:rPr>
        <w:t xml:space="preserve">The effect of </w:t>
      </w:r>
      <w:proofErr w:type="spellStart"/>
      <w:r w:rsidRPr="0081335D">
        <w:rPr>
          <w:rFonts w:asciiTheme="majorHAnsi" w:hAnsiTheme="majorHAnsi"/>
        </w:rPr>
        <w:t>VeraSeal</w:t>
      </w:r>
      <w:proofErr w:type="spellEnd"/>
      <w:r w:rsidRPr="0081335D">
        <w:rPr>
          <w:rFonts w:asciiTheme="majorHAnsi" w:hAnsiTheme="majorHAnsi"/>
        </w:rPr>
        <w:t xml:space="preserve"> on fertility has not been evaluated.</w:t>
      </w:r>
    </w:p>
    <w:p w14:paraId="1522A7A5" w14:textId="4197F54D" w:rsidR="001A3992" w:rsidRPr="002357CE" w:rsidRDefault="001A3992" w:rsidP="00CD5117">
      <w:pPr>
        <w:pStyle w:val="Heading3"/>
        <w:spacing w:before="0" w:after="120"/>
        <w:rPr>
          <w:rFonts w:cstheme="minorHAnsi"/>
        </w:rPr>
      </w:pPr>
      <w:r w:rsidRPr="002357CE">
        <w:rPr>
          <w:rFonts w:cstheme="minorHAnsi"/>
        </w:rPr>
        <w:t xml:space="preserve">Use in pregnancy </w:t>
      </w:r>
      <w:r w:rsidR="00266DFA" w:rsidRPr="002357CE">
        <w:rPr>
          <w:rFonts w:cstheme="minorHAnsi"/>
        </w:rPr>
        <w:t>(Category B2)</w:t>
      </w:r>
    </w:p>
    <w:p w14:paraId="72C0BD20" w14:textId="1AF82C81" w:rsidR="002357CE" w:rsidRDefault="005F0AC2" w:rsidP="00D23634">
      <w:pPr>
        <w:autoSpaceDE w:val="0"/>
        <w:autoSpaceDN w:val="0"/>
        <w:adjustRightInd w:val="0"/>
        <w:spacing w:after="0" w:line="240" w:lineRule="auto"/>
        <w:rPr>
          <w:rFonts w:asciiTheme="majorHAnsi" w:hAnsiTheme="majorHAnsi" w:cs="Times New Roman"/>
          <w:lang w:val="en-US"/>
        </w:rPr>
      </w:pPr>
      <w:r w:rsidRPr="002357CE">
        <w:rPr>
          <w:rFonts w:asciiTheme="majorHAnsi" w:hAnsiTheme="majorHAnsi" w:cs="Times New Roman"/>
          <w:lang w:val="en-US"/>
        </w:rPr>
        <w:t>The safety of fibrin sealant/hemostatic products for use in human pregnancy has not been established in controlled clinical trials. Experimental animal studies are insufficient to assess the safety with respect to reproduction, development of the embryo or fetus, the course of gestation and peri- and post-natal development. Therefore, the product should be administered to pregnant women only if clearly needed.</w:t>
      </w:r>
    </w:p>
    <w:p w14:paraId="6C18F6D3" w14:textId="1B99B4FB" w:rsidR="005F0AC2" w:rsidRPr="002357CE" w:rsidRDefault="005F0AC2" w:rsidP="00D23634">
      <w:pPr>
        <w:autoSpaceDE w:val="0"/>
        <w:autoSpaceDN w:val="0"/>
        <w:adjustRightInd w:val="0"/>
        <w:spacing w:after="0" w:line="240" w:lineRule="auto"/>
        <w:rPr>
          <w:rFonts w:asciiTheme="majorHAnsi" w:hAnsiTheme="majorHAnsi" w:cs="Times New Roman"/>
          <w:lang w:val="en-US"/>
        </w:rPr>
      </w:pPr>
    </w:p>
    <w:p w14:paraId="6D861F4F" w14:textId="67FB5688" w:rsidR="001A3992" w:rsidRPr="002357CE" w:rsidRDefault="001A3992" w:rsidP="001A3992">
      <w:pPr>
        <w:pStyle w:val="Heading3"/>
        <w:spacing w:before="0" w:after="120"/>
        <w:rPr>
          <w:rFonts w:cstheme="minorHAnsi"/>
        </w:rPr>
      </w:pPr>
      <w:r w:rsidRPr="002357CE">
        <w:rPr>
          <w:rFonts w:cstheme="minorHAnsi"/>
        </w:rPr>
        <w:lastRenderedPageBreak/>
        <w:t>Use in lactation</w:t>
      </w:r>
    </w:p>
    <w:p w14:paraId="1A3DD9BE" w14:textId="3DD01413" w:rsidR="005F0AC2" w:rsidRDefault="005F0AC2" w:rsidP="005F0AC2">
      <w:pPr>
        <w:autoSpaceDE w:val="0"/>
        <w:autoSpaceDN w:val="0"/>
        <w:adjustRightInd w:val="0"/>
        <w:spacing w:after="0" w:line="240" w:lineRule="auto"/>
        <w:rPr>
          <w:rFonts w:asciiTheme="majorHAnsi" w:hAnsiTheme="majorHAnsi" w:cs="Times New Roman"/>
          <w:lang w:val="en-US"/>
        </w:rPr>
      </w:pPr>
      <w:r w:rsidRPr="002357CE">
        <w:rPr>
          <w:rFonts w:asciiTheme="majorHAnsi" w:hAnsiTheme="majorHAnsi" w:cs="Times New Roman"/>
          <w:lang w:val="en-US"/>
        </w:rPr>
        <w:t>The safety of fibrin sealant/hemostatic products for use in human breast-feeding has not been established in controlled clinical trials. Therefore, the product should be administered to breast-feeding women only if clearly needed.</w:t>
      </w:r>
    </w:p>
    <w:p w14:paraId="1080DCB5" w14:textId="77777777" w:rsidR="005F0AC2" w:rsidRPr="005F0AC2" w:rsidRDefault="005F0AC2" w:rsidP="005F0AC2">
      <w:pPr>
        <w:autoSpaceDE w:val="0"/>
        <w:autoSpaceDN w:val="0"/>
        <w:adjustRightInd w:val="0"/>
        <w:spacing w:after="0" w:line="240" w:lineRule="auto"/>
        <w:rPr>
          <w:rFonts w:asciiTheme="majorHAnsi" w:hAnsiTheme="majorHAnsi" w:cs="Times New Roman"/>
          <w:lang w:val="en-US"/>
        </w:rPr>
      </w:pPr>
    </w:p>
    <w:p w14:paraId="4D6C06A5" w14:textId="1B011BE8" w:rsidR="001A3992" w:rsidRPr="00453A59" w:rsidRDefault="003B4DCA" w:rsidP="00693361">
      <w:pPr>
        <w:pStyle w:val="Heading2"/>
        <w:numPr>
          <w:ilvl w:val="0"/>
          <w:numId w:val="0"/>
        </w:numPr>
        <w:spacing w:before="0" w:after="120"/>
        <w:ind w:left="578" w:hanging="578"/>
        <w:rPr>
          <w:rFonts w:cstheme="minorHAnsi"/>
        </w:rPr>
      </w:pPr>
      <w:r w:rsidRPr="00453A59">
        <w:rPr>
          <w:rFonts w:cstheme="minorHAnsi"/>
        </w:rPr>
        <w:t>4.7</w:t>
      </w:r>
      <w:r w:rsidRPr="00453A59">
        <w:rPr>
          <w:rFonts w:cstheme="minorHAnsi"/>
        </w:rPr>
        <w:tab/>
      </w:r>
      <w:r w:rsidR="001A3992" w:rsidRPr="00453A59">
        <w:rPr>
          <w:rFonts w:cstheme="minorHAnsi"/>
        </w:rPr>
        <w:t xml:space="preserve">Effects on ability to drive and use machines </w:t>
      </w:r>
    </w:p>
    <w:p w14:paraId="2050459F" w14:textId="0E6DAFD6" w:rsidR="007B430B" w:rsidRPr="0020556D" w:rsidRDefault="00990CB7" w:rsidP="00693361">
      <w:pPr>
        <w:pStyle w:val="Heading2"/>
        <w:numPr>
          <w:ilvl w:val="0"/>
          <w:numId w:val="0"/>
        </w:numPr>
        <w:spacing w:before="0" w:after="120"/>
        <w:rPr>
          <w:b w:val="0"/>
          <w:smallCaps w:val="0"/>
          <w:sz w:val="22"/>
          <w:lang w:val="en-US"/>
        </w:rPr>
      </w:pPr>
      <w:r w:rsidRPr="00453A59">
        <w:rPr>
          <w:b w:val="0"/>
          <w:smallCaps w:val="0"/>
          <w:sz w:val="22"/>
          <w:lang w:val="en-US"/>
        </w:rPr>
        <w:t>The effects of this medicine on a person’s ability to drive and use machines were not assessed as part of its registration</w:t>
      </w:r>
      <w:r w:rsidR="006C2EA7" w:rsidRPr="00453A59">
        <w:rPr>
          <w:b w:val="0"/>
          <w:smallCaps w:val="0"/>
          <w:sz w:val="22"/>
          <w:lang w:val="en-US"/>
        </w:rPr>
        <w:t>.</w:t>
      </w:r>
      <w:r w:rsidR="007D1C15" w:rsidRPr="0020556D">
        <w:rPr>
          <w:rFonts w:cstheme="minorHAnsi"/>
          <w:b w:val="0"/>
          <w:smallCaps w:val="0"/>
          <w:sz w:val="22"/>
        </w:rPr>
        <w:t xml:space="preserve"> </w:t>
      </w:r>
    </w:p>
    <w:p w14:paraId="1082E017" w14:textId="346210AE" w:rsidR="001A3992" w:rsidRDefault="003B4DCA" w:rsidP="00693361">
      <w:pPr>
        <w:pStyle w:val="Heading2"/>
        <w:keepNext/>
        <w:keepLines/>
        <w:numPr>
          <w:ilvl w:val="0"/>
          <w:numId w:val="0"/>
        </w:numPr>
        <w:spacing w:before="0" w:after="120"/>
        <w:ind w:left="578" w:hanging="578"/>
        <w:rPr>
          <w:rFonts w:cstheme="minorHAnsi"/>
        </w:rPr>
      </w:pPr>
      <w:r>
        <w:rPr>
          <w:rFonts w:cstheme="minorHAnsi"/>
        </w:rPr>
        <w:t>4.8</w:t>
      </w:r>
      <w:r>
        <w:rPr>
          <w:rFonts w:cstheme="minorHAnsi"/>
        </w:rPr>
        <w:tab/>
      </w:r>
      <w:r w:rsidR="001A3992" w:rsidRPr="00497C85">
        <w:rPr>
          <w:rFonts w:cstheme="minorHAnsi"/>
        </w:rPr>
        <w:t>Adverse effects (Undesirable effects)</w:t>
      </w:r>
    </w:p>
    <w:p w14:paraId="55EC310D" w14:textId="77777777" w:rsidR="000D07C8" w:rsidRPr="00453A59" w:rsidRDefault="000D07C8" w:rsidP="00693361">
      <w:pPr>
        <w:keepNext/>
        <w:keepLines/>
        <w:rPr>
          <w:bCs/>
        </w:rPr>
      </w:pPr>
      <w:bookmarkStart w:id="1" w:name="_Toc441755200"/>
      <w:bookmarkStart w:id="2" w:name="_Toc66977656"/>
      <w:r w:rsidRPr="00453A59">
        <w:rPr>
          <w:rFonts w:asciiTheme="majorHAnsi" w:hAnsiTheme="majorHAnsi"/>
          <w:b/>
          <w:bCs/>
        </w:rPr>
        <w:t>Adverse Reaction Overview</w:t>
      </w:r>
      <w:bookmarkEnd w:id="1"/>
      <w:bookmarkEnd w:id="2"/>
    </w:p>
    <w:p w14:paraId="61229B35" w14:textId="77777777" w:rsidR="000D07C8" w:rsidRPr="00453A59" w:rsidRDefault="000D07C8" w:rsidP="000D07C8">
      <w:pPr>
        <w:widowControl w:val="0"/>
        <w:rPr>
          <w:rFonts w:asciiTheme="majorHAnsi" w:hAnsiTheme="majorHAnsi" w:cs="Arial"/>
        </w:rPr>
      </w:pPr>
      <w:r w:rsidRPr="00453A59">
        <w:rPr>
          <w:rFonts w:asciiTheme="majorHAnsi" w:hAnsiTheme="majorHAnsi" w:cs="Arial"/>
        </w:rPr>
        <w:t>The most common adverse reactions reported during clinical trials were nausea, procedural pain and pruritus.</w:t>
      </w:r>
    </w:p>
    <w:p w14:paraId="07A93825" w14:textId="35680D13" w:rsidR="000D07C8" w:rsidRPr="00453A59" w:rsidRDefault="000D07C8" w:rsidP="000D07C8">
      <w:pPr>
        <w:widowControl w:val="0"/>
        <w:rPr>
          <w:rFonts w:asciiTheme="majorHAnsi" w:hAnsiTheme="majorHAnsi" w:cs="Arial"/>
        </w:rPr>
      </w:pPr>
      <w:r w:rsidRPr="00453A59">
        <w:rPr>
          <w:rFonts w:asciiTheme="majorHAnsi" w:hAnsiTheme="majorHAnsi" w:cs="Arial"/>
        </w:rPr>
        <w:t>The most serious adverse drug reactions during clinical trials were abdominal and liver abscess, abdominal wound dehiscence, cellulitis, parvovirus B19 test positive, peritonitis, postoperative wound infection, postprocedural bile lea</w:t>
      </w:r>
      <w:r w:rsidR="002443E1" w:rsidRPr="00453A59">
        <w:rPr>
          <w:rFonts w:asciiTheme="majorHAnsi" w:hAnsiTheme="majorHAnsi" w:cs="Arial"/>
        </w:rPr>
        <w:t>k</w:t>
      </w:r>
      <w:r w:rsidRPr="00453A59">
        <w:rPr>
          <w:rFonts w:asciiTheme="majorHAnsi" w:hAnsiTheme="majorHAnsi" w:cs="Arial"/>
        </w:rPr>
        <w:t>, pulmonary embolism and deep vein thrombosis.</w:t>
      </w:r>
    </w:p>
    <w:p w14:paraId="01DB8889" w14:textId="77777777" w:rsidR="000D07C8" w:rsidRPr="00453A59" w:rsidRDefault="000D07C8" w:rsidP="000D07C8">
      <w:pPr>
        <w:widowControl w:val="0"/>
        <w:rPr>
          <w:rFonts w:asciiTheme="majorHAnsi" w:hAnsiTheme="majorHAnsi" w:cs="Arial"/>
        </w:rPr>
      </w:pPr>
      <w:r w:rsidRPr="00453A59">
        <w:rPr>
          <w:rFonts w:asciiTheme="majorHAnsi" w:hAnsiTheme="majorHAnsi" w:cs="Arial"/>
        </w:rPr>
        <w:t>As with any protein product, allergic type hypersensitivity reactions are possible.</w:t>
      </w:r>
    </w:p>
    <w:p w14:paraId="5E119FDF" w14:textId="77777777" w:rsidR="000D07C8" w:rsidRPr="00453A59" w:rsidRDefault="000D07C8" w:rsidP="00990CB7">
      <w:pPr>
        <w:rPr>
          <w:bCs/>
        </w:rPr>
      </w:pPr>
      <w:bookmarkStart w:id="3" w:name="_Toc441755201"/>
      <w:bookmarkStart w:id="4" w:name="_Toc66977657"/>
      <w:r w:rsidRPr="00453A59">
        <w:rPr>
          <w:rFonts w:asciiTheme="majorHAnsi" w:hAnsiTheme="majorHAnsi"/>
          <w:b/>
          <w:bCs/>
        </w:rPr>
        <w:t>Clinical Trial Adverse Reactions</w:t>
      </w:r>
      <w:bookmarkEnd w:id="3"/>
      <w:bookmarkEnd w:id="4"/>
    </w:p>
    <w:p w14:paraId="51A11351" w14:textId="61A55666" w:rsidR="00650AC9" w:rsidRPr="00453A59" w:rsidRDefault="00650AC9" w:rsidP="00650AC9">
      <w:pPr>
        <w:widowControl w:val="0"/>
        <w:rPr>
          <w:rFonts w:asciiTheme="majorHAnsi" w:hAnsiTheme="majorHAnsi" w:cs="Arial"/>
        </w:rPr>
      </w:pPr>
      <w:r w:rsidRPr="00453A59">
        <w:rPr>
          <w:rFonts w:asciiTheme="majorHAnsi" w:hAnsiTheme="majorHAnsi" w:cs="Arial"/>
        </w:rPr>
        <w:t xml:space="preserve">Clinical trials are conducted under very specific conditions. The adverse reaction rates observed in the clinical </w:t>
      </w:r>
      <w:proofErr w:type="gramStart"/>
      <w:r w:rsidRPr="00453A59">
        <w:rPr>
          <w:rFonts w:asciiTheme="majorHAnsi" w:hAnsiTheme="majorHAnsi" w:cs="Arial"/>
        </w:rPr>
        <w:t>trials</w:t>
      </w:r>
      <w:proofErr w:type="gramEnd"/>
      <w:r w:rsidRPr="00453A59">
        <w:rPr>
          <w:rFonts w:asciiTheme="majorHAnsi" w:hAnsiTheme="majorHAnsi" w:cs="Arial"/>
        </w:rPr>
        <w:t xml:space="preserve"> therefore, may not reflect the rates observed in practice and should not be compared to the rates in the clinical trials of another drug. Adverse reaction information from clinical trials may be useful in identifying and approximating rates of adverse drug reactions in real-world use.</w:t>
      </w:r>
    </w:p>
    <w:p w14:paraId="2B6EDB33" w14:textId="5720DFE9" w:rsidR="00650AC9" w:rsidRPr="00453A59" w:rsidRDefault="00650AC9" w:rsidP="00650AC9">
      <w:pPr>
        <w:widowControl w:val="0"/>
        <w:rPr>
          <w:rFonts w:asciiTheme="majorHAnsi" w:hAnsiTheme="majorHAnsi" w:cs="Arial"/>
        </w:rPr>
      </w:pPr>
      <w:r w:rsidRPr="00453A59">
        <w:rPr>
          <w:rFonts w:asciiTheme="majorHAnsi" w:hAnsiTheme="majorHAnsi" w:cs="Arial"/>
        </w:rPr>
        <w:t xml:space="preserve">Three single-blind, randomized, active controlled clinical studies were conducted with </w:t>
      </w:r>
      <w:proofErr w:type="spellStart"/>
      <w:r w:rsidRPr="00453A59">
        <w:rPr>
          <w:rFonts w:asciiTheme="majorHAnsi" w:hAnsiTheme="majorHAnsi" w:cs="Arial"/>
        </w:rPr>
        <w:t>VeraSeal</w:t>
      </w:r>
      <w:proofErr w:type="spellEnd"/>
      <w:r w:rsidRPr="00453A59">
        <w:rPr>
          <w:rFonts w:asciiTheme="majorHAnsi" w:hAnsiTheme="majorHAnsi" w:cs="Arial"/>
        </w:rPr>
        <w:t xml:space="preserve"> in patients undergoing non-laparoscopic open surgical procedures using </w:t>
      </w:r>
      <w:proofErr w:type="spellStart"/>
      <w:r w:rsidRPr="00453A59">
        <w:rPr>
          <w:rFonts w:asciiTheme="majorHAnsi" w:hAnsiTheme="majorHAnsi" w:cs="Arial"/>
        </w:rPr>
        <w:t>Fibrijet</w:t>
      </w:r>
      <w:proofErr w:type="spellEnd"/>
      <w:r w:rsidRPr="00453A59">
        <w:rPr>
          <w:rFonts w:asciiTheme="majorHAnsi" w:hAnsiTheme="majorHAnsi" w:cs="Arial"/>
        </w:rPr>
        <w:t xml:space="preserve">® drip or gas-assisted spray applicators. Control treatments included manual compression (MC) during peripheral vascular surgeries (Study IG1101), or oxidized regenerated cellulose during parenchymal hepatic resection (Study IG1102) and general soft tissue surgeries, </w:t>
      </w:r>
      <w:proofErr w:type="gramStart"/>
      <w:r w:rsidRPr="00453A59">
        <w:rPr>
          <w:rFonts w:asciiTheme="majorHAnsi" w:hAnsiTheme="majorHAnsi" w:cs="Arial"/>
        </w:rPr>
        <w:t>e.g.</w:t>
      </w:r>
      <w:proofErr w:type="gramEnd"/>
      <w:r w:rsidRPr="00453A59">
        <w:rPr>
          <w:rFonts w:asciiTheme="majorHAnsi" w:hAnsiTheme="majorHAnsi" w:cs="Arial"/>
        </w:rPr>
        <w:t xml:space="preserve"> retroperitoneal or pelvic surgery, abdominoplasties, or mastopexies (Study IG1103).</w:t>
      </w:r>
    </w:p>
    <w:p w14:paraId="56DC0606" w14:textId="432EDD99" w:rsidR="00650AC9" w:rsidRPr="00453A59" w:rsidRDefault="00650AC9" w:rsidP="00650AC9">
      <w:pPr>
        <w:widowControl w:val="0"/>
        <w:rPr>
          <w:rFonts w:asciiTheme="majorHAnsi" w:hAnsiTheme="majorHAnsi" w:cs="Arial"/>
        </w:rPr>
      </w:pPr>
      <w:r w:rsidRPr="00453A59">
        <w:rPr>
          <w:rFonts w:asciiTheme="majorHAnsi" w:hAnsiTheme="majorHAnsi" w:cs="Arial"/>
        </w:rPr>
        <w:t xml:space="preserve">There were 500 patients treated with </w:t>
      </w:r>
      <w:proofErr w:type="spellStart"/>
      <w:r w:rsidRPr="00453A59">
        <w:rPr>
          <w:rFonts w:asciiTheme="majorHAnsi" w:hAnsiTheme="majorHAnsi" w:cs="Arial"/>
        </w:rPr>
        <w:t>VeraSeal</w:t>
      </w:r>
      <w:proofErr w:type="spellEnd"/>
      <w:r w:rsidRPr="00453A59">
        <w:rPr>
          <w:rFonts w:asciiTheme="majorHAnsi" w:hAnsiTheme="majorHAnsi" w:cs="Arial"/>
        </w:rPr>
        <w:t xml:space="preserve"> and 377 control patients, involved in 26% vascular (graft) surgeries, 37% parenchymal tissue surgeries, and 37% soft tissue surgeries. Across all trials, the mean age was 57 years (range: 0.3 to 86 years); with 87% White patients, 49% female patients and 51% male patients. There were 11 </w:t>
      </w:r>
      <w:proofErr w:type="spellStart"/>
      <w:r w:rsidRPr="00453A59">
        <w:rPr>
          <w:rFonts w:asciiTheme="majorHAnsi" w:hAnsiTheme="majorHAnsi" w:cs="Arial"/>
        </w:rPr>
        <w:t>pediatric</w:t>
      </w:r>
      <w:proofErr w:type="spellEnd"/>
      <w:r w:rsidRPr="00453A59">
        <w:rPr>
          <w:rFonts w:asciiTheme="majorHAnsi" w:hAnsiTheme="majorHAnsi" w:cs="Arial"/>
        </w:rPr>
        <w:t xml:space="preserve"> patients aged less than 18 years old.</w:t>
      </w:r>
    </w:p>
    <w:p w14:paraId="51DFED7E" w14:textId="2E18940E" w:rsidR="00650AC9" w:rsidRPr="00453A59" w:rsidRDefault="00650AC9" w:rsidP="00650AC9">
      <w:pPr>
        <w:keepNext/>
        <w:keepLines/>
        <w:widowControl w:val="0"/>
        <w:rPr>
          <w:rFonts w:asciiTheme="majorHAnsi" w:hAnsiTheme="majorHAnsi" w:cs="Arial"/>
        </w:rPr>
      </w:pPr>
      <w:r w:rsidRPr="00453A59">
        <w:rPr>
          <w:rFonts w:asciiTheme="majorHAnsi" w:hAnsiTheme="majorHAnsi" w:cs="Arial"/>
        </w:rPr>
        <w:t xml:space="preserve">In the </w:t>
      </w:r>
      <w:proofErr w:type="spellStart"/>
      <w:r w:rsidRPr="00453A59">
        <w:rPr>
          <w:rFonts w:asciiTheme="majorHAnsi" w:hAnsiTheme="majorHAnsi" w:cs="Arial"/>
        </w:rPr>
        <w:t>VeraSeal</w:t>
      </w:r>
      <w:proofErr w:type="spellEnd"/>
      <w:r w:rsidRPr="00453A59">
        <w:rPr>
          <w:rFonts w:asciiTheme="majorHAnsi" w:hAnsiTheme="majorHAnsi" w:cs="Arial"/>
        </w:rPr>
        <w:t xml:space="preserve"> treatment group, 13% of patients experienced one or more adverse reactions, compared with 8% of control patients in the oxidized regenerated cellulose treatment group and 5% in the MC treatment group.</w:t>
      </w:r>
    </w:p>
    <w:p w14:paraId="16A6E865" w14:textId="55D73D11" w:rsidR="00650AC9" w:rsidRPr="00453A59" w:rsidRDefault="00650AC9" w:rsidP="00F07CF5">
      <w:pPr>
        <w:pageBreakBefore/>
        <w:widowControl w:val="0"/>
        <w:rPr>
          <w:rFonts w:asciiTheme="majorHAnsi" w:hAnsiTheme="majorHAnsi" w:cs="Arial"/>
        </w:rPr>
      </w:pPr>
      <w:r w:rsidRPr="00453A59">
        <w:rPr>
          <w:rFonts w:asciiTheme="majorHAnsi" w:hAnsiTheme="majorHAnsi" w:cs="Arial"/>
        </w:rPr>
        <w:lastRenderedPageBreak/>
        <w:t xml:space="preserve">Tables </w:t>
      </w:r>
      <w:r w:rsidR="002223AB" w:rsidRPr="00453A59">
        <w:rPr>
          <w:rFonts w:asciiTheme="majorHAnsi" w:hAnsiTheme="majorHAnsi" w:cs="Arial"/>
        </w:rPr>
        <w:t>2</w:t>
      </w:r>
      <w:r w:rsidRPr="00453A59">
        <w:rPr>
          <w:rFonts w:asciiTheme="majorHAnsi" w:hAnsiTheme="majorHAnsi" w:cs="Arial"/>
        </w:rPr>
        <w:t xml:space="preserve"> to </w:t>
      </w:r>
      <w:r w:rsidR="002223AB" w:rsidRPr="00453A59">
        <w:rPr>
          <w:rFonts w:asciiTheme="majorHAnsi" w:hAnsiTheme="majorHAnsi" w:cs="Arial"/>
        </w:rPr>
        <w:t>4</w:t>
      </w:r>
      <w:r w:rsidRPr="00453A59">
        <w:rPr>
          <w:rFonts w:asciiTheme="majorHAnsi" w:hAnsiTheme="majorHAnsi" w:cs="Arial"/>
        </w:rPr>
        <w:t xml:space="preserve"> summarise the adverse drug reactions that occurred in ≥1% of patients for each study.</w:t>
      </w:r>
    </w:p>
    <w:tbl>
      <w:tblPr>
        <w:tblW w:w="8404" w:type="dxa"/>
        <w:tblInd w:w="101" w:type="dxa"/>
        <w:tblLayout w:type="fixed"/>
        <w:tblCellMar>
          <w:left w:w="101" w:type="dxa"/>
          <w:right w:w="101" w:type="dxa"/>
        </w:tblCellMar>
        <w:tblLook w:val="0000" w:firstRow="0" w:lastRow="0" w:firstColumn="0" w:lastColumn="0" w:noHBand="0" w:noVBand="0"/>
      </w:tblPr>
      <w:tblGrid>
        <w:gridCol w:w="5387"/>
        <w:gridCol w:w="1458"/>
        <w:gridCol w:w="1559"/>
      </w:tblGrid>
      <w:tr w:rsidR="002223AB" w:rsidRPr="00453A59" w14:paraId="6F55B145" w14:textId="77777777" w:rsidTr="00693361">
        <w:trPr>
          <w:cantSplit/>
          <w:trHeight w:val="657"/>
        </w:trPr>
        <w:tc>
          <w:tcPr>
            <w:tcW w:w="8404" w:type="dxa"/>
            <w:gridSpan w:val="3"/>
            <w:tcBorders>
              <w:bottom w:val="single" w:sz="4" w:space="0" w:color="auto"/>
            </w:tcBorders>
          </w:tcPr>
          <w:p w14:paraId="5E5B4AE9" w14:textId="03310F80" w:rsidR="002223AB" w:rsidRPr="00453A59" w:rsidRDefault="002223AB" w:rsidP="00945012">
            <w:pPr>
              <w:keepNext/>
              <w:keepLines/>
              <w:widowControl w:val="0"/>
              <w:spacing w:before="60" w:after="0"/>
              <w:ind w:left="-102"/>
              <w:rPr>
                <w:rFonts w:asciiTheme="majorHAnsi" w:hAnsiTheme="majorHAnsi" w:cs="Calibri"/>
              </w:rPr>
            </w:pPr>
            <w:r w:rsidRPr="00453A59">
              <w:rPr>
                <w:rFonts w:asciiTheme="majorHAnsi" w:hAnsiTheme="majorHAnsi" w:cs="Calibri"/>
                <w:b/>
              </w:rPr>
              <w:t>Table 2. Adverse Reactions Occurring in ≥1% of Patients in Vascular Surgery</w:t>
            </w:r>
          </w:p>
        </w:tc>
      </w:tr>
      <w:tr w:rsidR="002223AB" w:rsidRPr="00453A59" w14:paraId="39CECF56" w14:textId="77777777" w:rsidTr="00693361">
        <w:trPr>
          <w:cantSplit/>
          <w:trHeight w:val="891"/>
        </w:trPr>
        <w:tc>
          <w:tcPr>
            <w:tcW w:w="5387" w:type="dxa"/>
            <w:tcBorders>
              <w:top w:val="single" w:sz="4" w:space="0" w:color="auto"/>
              <w:left w:val="single" w:sz="4" w:space="0" w:color="auto"/>
              <w:bottom w:val="single" w:sz="4" w:space="0" w:color="auto"/>
              <w:right w:val="single" w:sz="4" w:space="0" w:color="auto"/>
            </w:tcBorders>
            <w:shd w:val="clear" w:color="auto" w:fill="F2F2F2"/>
            <w:vAlign w:val="center"/>
          </w:tcPr>
          <w:p w14:paraId="457EA219" w14:textId="77777777" w:rsidR="002223AB" w:rsidRPr="00453A59" w:rsidRDefault="002223AB" w:rsidP="00945012">
            <w:pPr>
              <w:keepNext/>
              <w:keepLines/>
              <w:widowControl w:val="0"/>
              <w:spacing w:before="60" w:after="60"/>
              <w:rPr>
                <w:rFonts w:asciiTheme="majorHAnsi" w:hAnsiTheme="majorHAnsi" w:cs="Calibri"/>
                <w:b/>
                <w:bCs/>
              </w:rPr>
            </w:pPr>
            <w:r w:rsidRPr="00453A59">
              <w:rPr>
                <w:rFonts w:asciiTheme="majorHAnsi" w:hAnsiTheme="majorHAnsi" w:cs="Calibri"/>
                <w:b/>
                <w:bCs/>
              </w:rPr>
              <w:t>SURGICAL PROCEDURE</w:t>
            </w:r>
          </w:p>
          <w:p w14:paraId="261D60A4"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b/>
                <w:bCs/>
              </w:rPr>
              <w:t>MedDRA preferred term</w:t>
            </w:r>
          </w:p>
        </w:tc>
        <w:tc>
          <w:tcPr>
            <w:tcW w:w="1458" w:type="dxa"/>
            <w:tcBorders>
              <w:top w:val="single" w:sz="4" w:space="0" w:color="auto"/>
              <w:left w:val="single" w:sz="4" w:space="0" w:color="auto"/>
              <w:bottom w:val="single" w:sz="4" w:space="0" w:color="auto"/>
              <w:right w:val="single" w:sz="4" w:space="0" w:color="auto"/>
            </w:tcBorders>
            <w:shd w:val="clear" w:color="auto" w:fill="F2F2F2"/>
            <w:vAlign w:val="center"/>
          </w:tcPr>
          <w:p w14:paraId="501138F6" w14:textId="72A09352" w:rsidR="002223AB" w:rsidRPr="00453A59" w:rsidRDefault="000D07C8" w:rsidP="00945012">
            <w:pPr>
              <w:keepNext/>
              <w:keepLines/>
              <w:widowControl w:val="0"/>
              <w:spacing w:before="60" w:after="60"/>
              <w:jc w:val="center"/>
              <w:rPr>
                <w:rFonts w:asciiTheme="majorHAnsi" w:hAnsiTheme="majorHAnsi" w:cs="Calibri"/>
                <w:b/>
              </w:rPr>
            </w:pPr>
            <w:proofErr w:type="spellStart"/>
            <w:r w:rsidRPr="00453A59">
              <w:rPr>
                <w:rFonts w:asciiTheme="majorHAnsi" w:hAnsiTheme="majorHAnsi" w:cs="Calibri"/>
                <w:b/>
              </w:rPr>
              <w:t>VeraSeal</w:t>
            </w:r>
            <w:proofErr w:type="spellEnd"/>
          </w:p>
          <w:p w14:paraId="3FC316D9" w14:textId="77777777" w:rsidR="002223AB" w:rsidRPr="00453A59" w:rsidRDefault="002223AB" w:rsidP="00945012">
            <w:pPr>
              <w:keepNext/>
              <w:keepLines/>
              <w:widowControl w:val="0"/>
              <w:spacing w:before="60" w:after="60"/>
              <w:jc w:val="center"/>
              <w:rPr>
                <w:rFonts w:asciiTheme="majorHAnsi" w:hAnsiTheme="majorHAns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3A5068BC"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b/>
                <w:lang w:val="pt-BR"/>
              </w:rPr>
              <w:t>Manual Compression</w:t>
            </w:r>
          </w:p>
        </w:tc>
      </w:tr>
      <w:tr w:rsidR="002223AB" w:rsidRPr="00453A59" w14:paraId="05FC9C24" w14:textId="77777777" w:rsidTr="00693361">
        <w:trPr>
          <w:cantSplit/>
          <w:trHeight w:val="56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DF4E451" w14:textId="77777777" w:rsidR="002223AB" w:rsidRPr="00453A59" w:rsidRDefault="002223AB" w:rsidP="00945012">
            <w:pPr>
              <w:keepNext/>
              <w:keepLines/>
              <w:widowControl w:val="0"/>
              <w:spacing w:before="60" w:after="60"/>
              <w:rPr>
                <w:rFonts w:asciiTheme="majorHAnsi" w:hAnsiTheme="majorHAnsi" w:cs="Calibri"/>
                <w:b/>
                <w:bCs/>
                <w:u w:val="single"/>
              </w:rPr>
            </w:pPr>
            <w:r w:rsidRPr="00453A59">
              <w:rPr>
                <w:rFonts w:asciiTheme="majorHAnsi" w:hAnsiTheme="majorHAnsi" w:cs="Calibri"/>
                <w:b/>
                <w:bCs/>
                <w:u w:val="single"/>
              </w:rPr>
              <w:t>VASCULAR SURGERY (Study IG1101)</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6E7DB9B"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N=168</w:t>
            </w:r>
          </w:p>
          <w:p w14:paraId="47E09D87"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08242E" w14:textId="77777777" w:rsidR="002223AB" w:rsidRPr="00453A59" w:rsidRDefault="002223AB" w:rsidP="00945012">
            <w:pPr>
              <w:keepNext/>
              <w:keepLines/>
              <w:widowControl w:val="0"/>
              <w:spacing w:before="60" w:after="60"/>
              <w:jc w:val="center"/>
              <w:rPr>
                <w:rFonts w:asciiTheme="majorHAnsi" w:hAnsiTheme="majorHAnsi" w:cs="Calibri"/>
                <w:b/>
                <w:lang w:val="pt-BR"/>
              </w:rPr>
            </w:pPr>
            <w:r w:rsidRPr="00453A59">
              <w:rPr>
                <w:rFonts w:asciiTheme="majorHAnsi" w:hAnsiTheme="majorHAnsi" w:cs="Calibri"/>
                <w:b/>
                <w:lang w:val="pt-BR"/>
              </w:rPr>
              <w:t>N=57</w:t>
            </w:r>
          </w:p>
          <w:p w14:paraId="4660ADE9"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lang w:val="pt-BR"/>
              </w:rPr>
              <w:t>n (%)</w:t>
            </w:r>
          </w:p>
        </w:tc>
      </w:tr>
      <w:tr w:rsidR="002223AB" w:rsidRPr="00453A59" w14:paraId="3D1EA04A"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6FEB20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Procedural pain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4014D34"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4 (2.4)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FB8B60"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1 (1.8)</w:t>
            </w:r>
          </w:p>
        </w:tc>
      </w:tr>
      <w:tr w:rsidR="002223AB" w:rsidRPr="00453A59" w14:paraId="645E4732"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AF81C7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Nausea</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B69A692"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2833F7"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0</w:t>
            </w:r>
          </w:p>
        </w:tc>
      </w:tr>
      <w:tr w:rsidR="002223AB" w:rsidRPr="00453A59" w14:paraId="70D15F3F"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FDE3969"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Pyrexia</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B4D285E"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1272F8"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0</w:t>
            </w:r>
          </w:p>
        </w:tc>
      </w:tr>
      <w:tr w:rsidR="002223AB" w:rsidRPr="00453A59" w14:paraId="65522746"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B3FD4D8"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Vascular graft complication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AD53E1B"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BC7144"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0</w:t>
            </w:r>
          </w:p>
        </w:tc>
      </w:tr>
      <w:tr w:rsidR="002223AB" w:rsidRPr="00453A59" w14:paraId="11EF6FE0"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BB9A616"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Parvovirus B19 test positive</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C2564EC"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D7DCA"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0</w:t>
            </w:r>
          </w:p>
        </w:tc>
      </w:tr>
      <w:tr w:rsidR="002223AB" w:rsidRPr="00453A59" w14:paraId="55588787"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9A38E6A"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Urinary retention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29B33AB"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19D6F7"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0</w:t>
            </w:r>
          </w:p>
        </w:tc>
      </w:tr>
      <w:tr w:rsidR="002223AB" w:rsidRPr="00453A59" w14:paraId="2FD2FD11"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0542B4F"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Coagulopathy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80E4F03"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FA13B5"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1 (1.8)</w:t>
            </w:r>
          </w:p>
        </w:tc>
      </w:tr>
      <w:tr w:rsidR="002223AB" w:rsidRPr="00453A59" w14:paraId="799A8302"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C4347BF"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Sepsis</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C244AAB"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516B9F"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1 (1.8)</w:t>
            </w:r>
          </w:p>
        </w:tc>
      </w:tr>
      <w:tr w:rsidR="002223AB" w:rsidRPr="00453A59" w14:paraId="727432F9"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7A0D22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Urinary tract infection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FABB1EF"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5F065"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1 (1.8)</w:t>
            </w:r>
          </w:p>
        </w:tc>
      </w:tr>
      <w:tr w:rsidR="002223AB" w:rsidRPr="00453A59" w14:paraId="1E229B56"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ED463F4"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Agitation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50B7E40"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74BC6"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lang w:val="pt-BR"/>
              </w:rPr>
              <w:t>1 (1.8)</w:t>
            </w:r>
          </w:p>
        </w:tc>
      </w:tr>
    </w:tbl>
    <w:p w14:paraId="30ADF2C2" w14:textId="77777777" w:rsidR="002223AB" w:rsidRPr="00453A59" w:rsidRDefault="002223AB" w:rsidP="002223AB">
      <w:pPr>
        <w:widowControl w:val="0"/>
        <w:rPr>
          <w:rFonts w:asciiTheme="majorHAnsi" w:hAnsiTheme="majorHAnsi" w:cs="Arial"/>
        </w:rPr>
      </w:pPr>
    </w:p>
    <w:tbl>
      <w:tblPr>
        <w:tblW w:w="8404" w:type="dxa"/>
        <w:tblInd w:w="101" w:type="dxa"/>
        <w:tblLayout w:type="fixed"/>
        <w:tblCellMar>
          <w:left w:w="101" w:type="dxa"/>
          <w:right w:w="101" w:type="dxa"/>
        </w:tblCellMar>
        <w:tblLook w:val="0000" w:firstRow="0" w:lastRow="0" w:firstColumn="0" w:lastColumn="0" w:noHBand="0" w:noVBand="0"/>
      </w:tblPr>
      <w:tblGrid>
        <w:gridCol w:w="5387"/>
        <w:gridCol w:w="1458"/>
        <w:gridCol w:w="1559"/>
      </w:tblGrid>
      <w:tr w:rsidR="002223AB" w:rsidRPr="00453A59" w14:paraId="611ABB51" w14:textId="77777777" w:rsidTr="00693361">
        <w:trPr>
          <w:cantSplit/>
          <w:trHeight w:val="657"/>
        </w:trPr>
        <w:tc>
          <w:tcPr>
            <w:tcW w:w="8404" w:type="dxa"/>
            <w:gridSpan w:val="3"/>
            <w:tcBorders>
              <w:bottom w:val="single" w:sz="4" w:space="0" w:color="auto"/>
            </w:tcBorders>
          </w:tcPr>
          <w:p w14:paraId="1C46BF04" w14:textId="741F4C1E" w:rsidR="002223AB" w:rsidRPr="00453A59" w:rsidRDefault="002223AB" w:rsidP="00945012">
            <w:pPr>
              <w:keepNext/>
              <w:keepLines/>
              <w:widowControl w:val="0"/>
              <w:spacing w:before="60" w:after="60"/>
              <w:ind w:left="-100"/>
              <w:rPr>
                <w:rFonts w:asciiTheme="majorHAnsi" w:hAnsiTheme="majorHAnsi" w:cs="Calibri"/>
              </w:rPr>
            </w:pPr>
            <w:r w:rsidRPr="00453A59">
              <w:rPr>
                <w:rFonts w:asciiTheme="majorHAnsi" w:hAnsiTheme="majorHAnsi" w:cs="Calibri"/>
                <w:b/>
              </w:rPr>
              <w:t>Table 3. Adverse Reactions Occurring in ≥1% of Patients in Parenchyma Surgery</w:t>
            </w:r>
          </w:p>
        </w:tc>
      </w:tr>
      <w:tr w:rsidR="002223AB" w:rsidRPr="00453A59" w14:paraId="33B9BA3E" w14:textId="77777777" w:rsidTr="00693361">
        <w:trPr>
          <w:cantSplit/>
          <w:trHeight w:val="891"/>
        </w:trPr>
        <w:tc>
          <w:tcPr>
            <w:tcW w:w="5387" w:type="dxa"/>
            <w:tcBorders>
              <w:top w:val="single" w:sz="4" w:space="0" w:color="auto"/>
              <w:left w:val="single" w:sz="4" w:space="0" w:color="auto"/>
              <w:bottom w:val="single" w:sz="4" w:space="0" w:color="auto"/>
              <w:right w:val="single" w:sz="4" w:space="0" w:color="auto"/>
            </w:tcBorders>
            <w:shd w:val="clear" w:color="auto" w:fill="F2F2F2"/>
            <w:vAlign w:val="center"/>
          </w:tcPr>
          <w:p w14:paraId="5990FB79" w14:textId="77777777" w:rsidR="002223AB" w:rsidRPr="00453A59" w:rsidRDefault="002223AB" w:rsidP="00945012">
            <w:pPr>
              <w:keepNext/>
              <w:keepLines/>
              <w:widowControl w:val="0"/>
              <w:spacing w:before="60" w:after="60"/>
              <w:rPr>
                <w:rFonts w:asciiTheme="majorHAnsi" w:hAnsiTheme="majorHAnsi" w:cs="Calibri"/>
                <w:b/>
                <w:bCs/>
              </w:rPr>
            </w:pPr>
            <w:r w:rsidRPr="00453A59">
              <w:rPr>
                <w:rFonts w:asciiTheme="majorHAnsi" w:hAnsiTheme="majorHAnsi" w:cs="Calibri"/>
                <w:b/>
                <w:bCs/>
              </w:rPr>
              <w:t>SURGICAL PROCEDURE</w:t>
            </w:r>
          </w:p>
          <w:p w14:paraId="2A0C4420"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b/>
                <w:bCs/>
              </w:rPr>
              <w:t>MedDRA preferred term</w:t>
            </w:r>
          </w:p>
        </w:tc>
        <w:tc>
          <w:tcPr>
            <w:tcW w:w="1458" w:type="dxa"/>
            <w:tcBorders>
              <w:top w:val="single" w:sz="4" w:space="0" w:color="auto"/>
              <w:left w:val="single" w:sz="4" w:space="0" w:color="auto"/>
              <w:bottom w:val="single" w:sz="4" w:space="0" w:color="auto"/>
              <w:right w:val="single" w:sz="4" w:space="0" w:color="auto"/>
            </w:tcBorders>
            <w:shd w:val="clear" w:color="auto" w:fill="F2F2F2"/>
            <w:vAlign w:val="center"/>
          </w:tcPr>
          <w:p w14:paraId="6FDF8388" w14:textId="77777777" w:rsidR="000D07C8" w:rsidRPr="00453A59" w:rsidRDefault="000D07C8" w:rsidP="000D07C8">
            <w:pPr>
              <w:keepNext/>
              <w:keepLines/>
              <w:widowControl w:val="0"/>
              <w:spacing w:before="60" w:after="60"/>
              <w:jc w:val="center"/>
              <w:rPr>
                <w:rFonts w:asciiTheme="majorHAnsi" w:hAnsiTheme="majorHAnsi" w:cs="Calibri"/>
                <w:b/>
              </w:rPr>
            </w:pPr>
            <w:proofErr w:type="spellStart"/>
            <w:r w:rsidRPr="00453A59">
              <w:rPr>
                <w:rFonts w:asciiTheme="majorHAnsi" w:hAnsiTheme="majorHAnsi" w:cs="Calibri"/>
                <w:b/>
              </w:rPr>
              <w:t>VeraSeal</w:t>
            </w:r>
            <w:proofErr w:type="spellEnd"/>
          </w:p>
          <w:p w14:paraId="58269217" w14:textId="77777777" w:rsidR="002223AB" w:rsidRPr="00453A59" w:rsidRDefault="002223AB" w:rsidP="00945012">
            <w:pPr>
              <w:keepNext/>
              <w:keepLines/>
              <w:widowControl w:val="0"/>
              <w:spacing w:before="60" w:after="60"/>
              <w:jc w:val="center"/>
              <w:rPr>
                <w:rFonts w:asciiTheme="majorHAnsi" w:hAnsiTheme="majorHAns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ABF561E"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 xml:space="preserve">Oxidized regenerated cellulose </w:t>
            </w:r>
          </w:p>
          <w:p w14:paraId="7957ADF6" w14:textId="77777777" w:rsidR="002223AB" w:rsidRPr="00453A59" w:rsidRDefault="002223AB" w:rsidP="00945012">
            <w:pPr>
              <w:keepNext/>
              <w:keepLines/>
              <w:widowControl w:val="0"/>
              <w:spacing w:before="60" w:after="60"/>
              <w:jc w:val="center"/>
              <w:rPr>
                <w:rFonts w:asciiTheme="majorHAnsi" w:hAnsiTheme="majorHAnsi" w:cs="Calibri"/>
              </w:rPr>
            </w:pPr>
          </w:p>
        </w:tc>
      </w:tr>
      <w:tr w:rsidR="002223AB" w:rsidRPr="00453A59" w14:paraId="64B7E47A"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72AAA5F"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b/>
                <w:bCs/>
                <w:u w:val="single"/>
              </w:rPr>
              <w:t>PARENCHYMAL TISSUE SURGERY (Study IG1102)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AD6F426"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N=163</w:t>
            </w:r>
          </w:p>
          <w:p w14:paraId="63613689"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b/>
              </w:rPr>
              <w:t>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7612B8" w14:textId="77777777" w:rsidR="002223AB" w:rsidRPr="00453A59" w:rsidRDefault="002223AB" w:rsidP="00945012">
            <w:pPr>
              <w:keepNext/>
              <w:keepLines/>
              <w:widowControl w:val="0"/>
              <w:spacing w:before="60" w:after="60"/>
              <w:jc w:val="center"/>
              <w:rPr>
                <w:rFonts w:asciiTheme="majorHAnsi" w:hAnsiTheme="majorHAnsi" w:cs="Calibri"/>
                <w:b/>
                <w:lang w:val="pt-BR"/>
              </w:rPr>
            </w:pPr>
            <w:r w:rsidRPr="00453A59">
              <w:rPr>
                <w:rFonts w:asciiTheme="majorHAnsi" w:hAnsiTheme="majorHAnsi" w:cs="Calibri"/>
                <w:b/>
                <w:lang w:val="pt-BR"/>
              </w:rPr>
              <w:t>N=162</w:t>
            </w:r>
          </w:p>
          <w:p w14:paraId="03B8D45F" w14:textId="77777777" w:rsidR="002223AB" w:rsidRPr="00453A59" w:rsidRDefault="002223AB" w:rsidP="00945012">
            <w:pPr>
              <w:keepNext/>
              <w:keepLines/>
              <w:widowControl w:val="0"/>
              <w:spacing w:before="60" w:after="60"/>
              <w:jc w:val="center"/>
              <w:rPr>
                <w:rFonts w:asciiTheme="majorHAnsi" w:hAnsiTheme="majorHAnsi" w:cs="Calibri"/>
              </w:rPr>
            </w:pPr>
            <w:r w:rsidRPr="00453A59">
              <w:rPr>
                <w:rFonts w:asciiTheme="majorHAnsi" w:hAnsiTheme="majorHAnsi" w:cs="Calibri"/>
                <w:b/>
                <w:lang w:val="pt-BR"/>
              </w:rPr>
              <w:t>n (%)</w:t>
            </w:r>
          </w:p>
        </w:tc>
      </w:tr>
      <w:tr w:rsidR="002223AB" w:rsidRPr="00453A59" w14:paraId="37C4E59C"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DC4FD59" w14:textId="77777777" w:rsidR="002223AB" w:rsidRPr="00453A59" w:rsidRDefault="002223AB" w:rsidP="00945012">
            <w:pPr>
              <w:keepNext/>
              <w:keepLines/>
              <w:widowControl w:val="0"/>
              <w:spacing w:before="60" w:after="60"/>
              <w:rPr>
                <w:rFonts w:asciiTheme="majorHAnsi" w:hAnsiTheme="majorHAnsi" w:cs="Calibri"/>
                <w:b/>
                <w:bCs/>
                <w:u w:val="single"/>
              </w:rPr>
            </w:pPr>
            <w:r w:rsidRPr="00453A59">
              <w:rPr>
                <w:rFonts w:asciiTheme="majorHAnsi" w:hAnsiTheme="majorHAnsi" w:cs="Calibri"/>
              </w:rPr>
              <w:t>Procedural pain</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9384828"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34CDB8" w14:textId="77777777" w:rsidR="002223AB" w:rsidRPr="00453A59" w:rsidRDefault="002223AB" w:rsidP="00945012">
            <w:pPr>
              <w:keepNext/>
              <w:keepLines/>
              <w:widowControl w:val="0"/>
              <w:spacing w:before="60" w:after="60"/>
              <w:jc w:val="center"/>
              <w:rPr>
                <w:rFonts w:asciiTheme="majorHAnsi" w:hAnsiTheme="majorHAnsi" w:cs="Calibri"/>
                <w:b/>
                <w:lang w:val="pt-BR"/>
              </w:rPr>
            </w:pPr>
            <w:r w:rsidRPr="00453A59">
              <w:rPr>
                <w:rFonts w:asciiTheme="majorHAnsi" w:hAnsiTheme="majorHAnsi" w:cs="Calibri"/>
                <w:bCs/>
              </w:rPr>
              <w:t>2 (1.2)</w:t>
            </w:r>
          </w:p>
        </w:tc>
      </w:tr>
      <w:tr w:rsidR="002223AB" w:rsidRPr="00453A59" w14:paraId="4F3C6433"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7A95C61"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Postprocedural bile leak</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749AC62"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671FD1"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0</w:t>
            </w:r>
          </w:p>
        </w:tc>
      </w:tr>
      <w:tr w:rsidR="002223AB" w:rsidRPr="00453A59" w14:paraId="1524F9B0"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ADCD91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Pulmonary embolism</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581E62E"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6858D7"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0</w:t>
            </w:r>
          </w:p>
        </w:tc>
      </w:tr>
      <w:tr w:rsidR="002223AB" w:rsidRPr="00453A59" w14:paraId="137B3C46"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68B96A6"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Deep vein thrombosis</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41F439B"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718153"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0</w:t>
            </w:r>
          </w:p>
        </w:tc>
      </w:tr>
    </w:tbl>
    <w:p w14:paraId="79C40B4A" w14:textId="77777777" w:rsidR="002223AB" w:rsidRPr="00453A59" w:rsidRDefault="002223AB" w:rsidP="002223AB">
      <w:pPr>
        <w:widowControl w:val="0"/>
        <w:rPr>
          <w:rFonts w:asciiTheme="majorHAnsi" w:hAnsiTheme="majorHAnsi" w:cs="Arial"/>
        </w:rPr>
      </w:pPr>
    </w:p>
    <w:tbl>
      <w:tblPr>
        <w:tblW w:w="8121" w:type="dxa"/>
        <w:tblInd w:w="101" w:type="dxa"/>
        <w:tblLayout w:type="fixed"/>
        <w:tblCellMar>
          <w:left w:w="101" w:type="dxa"/>
          <w:right w:w="101" w:type="dxa"/>
        </w:tblCellMar>
        <w:tblLook w:val="0000" w:firstRow="0" w:lastRow="0" w:firstColumn="0" w:lastColumn="0" w:noHBand="0" w:noVBand="0"/>
      </w:tblPr>
      <w:tblGrid>
        <w:gridCol w:w="5387"/>
        <w:gridCol w:w="1276"/>
        <w:gridCol w:w="1458"/>
      </w:tblGrid>
      <w:tr w:rsidR="002223AB" w:rsidRPr="00453A59" w14:paraId="1054D231" w14:textId="77777777" w:rsidTr="00693361">
        <w:trPr>
          <w:cantSplit/>
          <w:trHeight w:val="657"/>
        </w:trPr>
        <w:tc>
          <w:tcPr>
            <w:tcW w:w="8121" w:type="dxa"/>
            <w:gridSpan w:val="3"/>
            <w:tcBorders>
              <w:bottom w:val="single" w:sz="4" w:space="0" w:color="auto"/>
            </w:tcBorders>
          </w:tcPr>
          <w:p w14:paraId="70F2091F" w14:textId="3F042586" w:rsidR="002223AB" w:rsidRPr="00453A59" w:rsidRDefault="002223AB" w:rsidP="0020556D">
            <w:pPr>
              <w:keepNext/>
              <w:keepLines/>
              <w:widowControl w:val="0"/>
              <w:spacing w:before="60" w:after="60"/>
              <w:rPr>
                <w:rFonts w:asciiTheme="majorHAnsi" w:hAnsiTheme="majorHAnsi" w:cs="Calibri"/>
              </w:rPr>
            </w:pPr>
            <w:r w:rsidRPr="00453A59">
              <w:rPr>
                <w:rFonts w:asciiTheme="majorHAnsi" w:hAnsiTheme="majorHAnsi" w:cs="Calibri"/>
                <w:b/>
              </w:rPr>
              <w:lastRenderedPageBreak/>
              <w:t>Table 4. Adverse Reactions Occurring in ≥1% of Patients in Soft Tissue Surgery</w:t>
            </w:r>
          </w:p>
        </w:tc>
      </w:tr>
      <w:tr w:rsidR="002223AB" w:rsidRPr="00453A59" w14:paraId="2B02E71C" w14:textId="77777777" w:rsidTr="00693361">
        <w:trPr>
          <w:cantSplit/>
          <w:trHeight w:val="891"/>
        </w:trPr>
        <w:tc>
          <w:tcPr>
            <w:tcW w:w="5387" w:type="dxa"/>
            <w:tcBorders>
              <w:top w:val="single" w:sz="4" w:space="0" w:color="auto"/>
              <w:left w:val="single" w:sz="4" w:space="0" w:color="auto"/>
              <w:bottom w:val="single" w:sz="4" w:space="0" w:color="auto"/>
              <w:right w:val="single" w:sz="4" w:space="0" w:color="auto"/>
            </w:tcBorders>
            <w:shd w:val="clear" w:color="auto" w:fill="F2F2F2"/>
            <w:vAlign w:val="center"/>
          </w:tcPr>
          <w:p w14:paraId="211052E2" w14:textId="77777777" w:rsidR="002223AB" w:rsidRPr="00453A59" w:rsidRDefault="002223AB" w:rsidP="00945012">
            <w:pPr>
              <w:keepNext/>
              <w:keepLines/>
              <w:widowControl w:val="0"/>
              <w:spacing w:before="60" w:after="60"/>
              <w:rPr>
                <w:rFonts w:asciiTheme="majorHAnsi" w:hAnsiTheme="majorHAnsi" w:cs="Calibri"/>
                <w:b/>
                <w:bCs/>
              </w:rPr>
            </w:pPr>
            <w:r w:rsidRPr="00453A59">
              <w:rPr>
                <w:rFonts w:asciiTheme="majorHAnsi" w:hAnsiTheme="majorHAnsi" w:cs="Calibri"/>
                <w:b/>
                <w:bCs/>
              </w:rPr>
              <w:t>SURGICAL PROCEDURE</w:t>
            </w:r>
          </w:p>
          <w:p w14:paraId="0A485A9B"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b/>
                <w:bCs/>
              </w:rPr>
              <w:t>MedDRA preferred term</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7EFE911" w14:textId="77777777" w:rsidR="000D07C8" w:rsidRPr="00453A59" w:rsidRDefault="000D07C8" w:rsidP="000D07C8">
            <w:pPr>
              <w:keepNext/>
              <w:keepLines/>
              <w:widowControl w:val="0"/>
              <w:spacing w:before="60" w:after="60"/>
              <w:jc w:val="center"/>
              <w:rPr>
                <w:rFonts w:asciiTheme="majorHAnsi" w:hAnsiTheme="majorHAnsi" w:cs="Calibri"/>
                <w:b/>
              </w:rPr>
            </w:pPr>
            <w:proofErr w:type="spellStart"/>
            <w:r w:rsidRPr="00453A59">
              <w:rPr>
                <w:rFonts w:asciiTheme="majorHAnsi" w:hAnsiTheme="majorHAnsi" w:cs="Calibri"/>
                <w:b/>
              </w:rPr>
              <w:t>VeraSeal</w:t>
            </w:r>
            <w:proofErr w:type="spellEnd"/>
          </w:p>
          <w:p w14:paraId="7219577F" w14:textId="77777777" w:rsidR="002223AB" w:rsidRPr="00453A59" w:rsidRDefault="002223AB" w:rsidP="00945012">
            <w:pPr>
              <w:keepNext/>
              <w:keepLines/>
              <w:widowControl w:val="0"/>
              <w:spacing w:before="60" w:after="60"/>
              <w:jc w:val="center"/>
              <w:rPr>
                <w:rFonts w:asciiTheme="majorHAnsi" w:hAnsiTheme="majorHAnsi" w:cs="Calibri"/>
              </w:rPr>
            </w:pPr>
          </w:p>
        </w:tc>
        <w:tc>
          <w:tcPr>
            <w:tcW w:w="1458" w:type="dxa"/>
            <w:tcBorders>
              <w:top w:val="single" w:sz="4" w:space="0" w:color="auto"/>
              <w:left w:val="single" w:sz="4" w:space="0" w:color="auto"/>
              <w:bottom w:val="single" w:sz="4" w:space="0" w:color="auto"/>
              <w:right w:val="single" w:sz="4" w:space="0" w:color="auto"/>
            </w:tcBorders>
            <w:shd w:val="clear" w:color="auto" w:fill="F2F2F2"/>
            <w:vAlign w:val="center"/>
          </w:tcPr>
          <w:p w14:paraId="513E92DB"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 xml:space="preserve">Oxidized regenerated cellulose </w:t>
            </w:r>
          </w:p>
          <w:p w14:paraId="6894AECD" w14:textId="77777777" w:rsidR="002223AB" w:rsidRPr="00453A59" w:rsidRDefault="002223AB" w:rsidP="00945012">
            <w:pPr>
              <w:keepNext/>
              <w:keepLines/>
              <w:widowControl w:val="0"/>
              <w:spacing w:before="60" w:after="60"/>
              <w:jc w:val="center"/>
              <w:rPr>
                <w:rFonts w:asciiTheme="majorHAnsi" w:hAnsiTheme="majorHAnsi" w:cs="Calibri"/>
              </w:rPr>
            </w:pPr>
          </w:p>
        </w:tc>
      </w:tr>
      <w:tr w:rsidR="002223AB" w:rsidRPr="00453A59" w14:paraId="0DBFD749"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968E195"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b/>
                <w:bCs/>
                <w:u w:val="single"/>
              </w:rPr>
              <w:t>SOFT TISSUE SURGERY (Study IG1103)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2E4C0" w14:textId="77777777" w:rsidR="002223AB" w:rsidRPr="00453A59" w:rsidRDefault="002223AB" w:rsidP="00945012">
            <w:pPr>
              <w:keepNext/>
              <w:keepLines/>
              <w:widowControl w:val="0"/>
              <w:spacing w:before="60" w:after="60"/>
              <w:jc w:val="center"/>
              <w:rPr>
                <w:rFonts w:asciiTheme="majorHAnsi" w:hAnsiTheme="majorHAnsi" w:cs="Calibri"/>
                <w:b/>
              </w:rPr>
            </w:pPr>
            <w:r w:rsidRPr="00453A59">
              <w:rPr>
                <w:rFonts w:asciiTheme="majorHAnsi" w:hAnsiTheme="majorHAnsi" w:cs="Calibri"/>
                <w:b/>
              </w:rPr>
              <w:t>N=169</w:t>
            </w:r>
          </w:p>
          <w:p w14:paraId="7F2E687F"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
              </w:rPr>
              <w:t>n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26BCCAB" w14:textId="77777777" w:rsidR="002223AB" w:rsidRPr="00453A59" w:rsidRDefault="002223AB" w:rsidP="00945012">
            <w:pPr>
              <w:keepNext/>
              <w:keepLines/>
              <w:widowControl w:val="0"/>
              <w:spacing w:before="60" w:after="60"/>
              <w:jc w:val="center"/>
              <w:rPr>
                <w:rFonts w:asciiTheme="majorHAnsi" w:hAnsiTheme="majorHAnsi" w:cs="Calibri"/>
                <w:b/>
                <w:lang w:val="pt-BR"/>
              </w:rPr>
            </w:pPr>
            <w:r w:rsidRPr="00453A59">
              <w:rPr>
                <w:rFonts w:asciiTheme="majorHAnsi" w:hAnsiTheme="majorHAnsi" w:cs="Calibri"/>
                <w:b/>
                <w:lang w:val="pt-BR"/>
              </w:rPr>
              <w:t>N=158</w:t>
            </w:r>
          </w:p>
          <w:p w14:paraId="6C9791C3"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
                <w:lang w:val="pt-BR"/>
              </w:rPr>
              <w:t>n (%)</w:t>
            </w:r>
          </w:p>
        </w:tc>
      </w:tr>
      <w:tr w:rsidR="002223AB" w:rsidRPr="00453A59" w14:paraId="4B406F64"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3B2BF4C" w14:textId="77777777" w:rsidR="002223AB" w:rsidRPr="00453A59" w:rsidRDefault="002223AB" w:rsidP="00945012">
            <w:pPr>
              <w:keepNext/>
              <w:keepLines/>
              <w:widowControl w:val="0"/>
              <w:spacing w:before="60" w:after="60"/>
              <w:rPr>
                <w:rFonts w:asciiTheme="majorHAnsi" w:hAnsiTheme="majorHAnsi" w:cs="Calibri"/>
                <w:b/>
                <w:bCs/>
                <w:u w:val="single"/>
              </w:rPr>
            </w:pPr>
            <w:r w:rsidRPr="00453A59">
              <w:rPr>
                <w:rFonts w:asciiTheme="majorHAnsi" w:hAnsiTheme="majorHAnsi" w:cs="Calibri"/>
              </w:rPr>
              <w:t>Procedural pain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618DCA"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4 (2.4)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8896DA6"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4 (2.5)</w:t>
            </w:r>
          </w:p>
        </w:tc>
      </w:tr>
      <w:tr w:rsidR="002223AB" w:rsidRPr="00453A59" w14:paraId="23495405"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1FE335D"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Pruritus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0516B5"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4 (2.4)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E44DFC5"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2 (1.3)</w:t>
            </w:r>
          </w:p>
        </w:tc>
      </w:tr>
      <w:tr w:rsidR="002223AB" w:rsidRPr="00453A59" w14:paraId="3E33F6C2"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F291A48"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Nausea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22D85"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4 (2.4)</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DF940B3"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1 (0.6)</w:t>
            </w:r>
          </w:p>
        </w:tc>
      </w:tr>
      <w:tr w:rsidR="002223AB" w:rsidRPr="00453A59" w14:paraId="12B50EA7"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A8E413F" w14:textId="77777777" w:rsidR="002223AB" w:rsidRPr="00453A59" w:rsidRDefault="002223AB" w:rsidP="00945012">
            <w:pPr>
              <w:keepNext/>
              <w:keepLines/>
              <w:widowControl w:val="0"/>
              <w:spacing w:before="60" w:after="60"/>
              <w:rPr>
                <w:rFonts w:asciiTheme="majorHAnsi" w:hAnsiTheme="majorHAnsi" w:cs="Calibri"/>
              </w:rPr>
            </w:pPr>
            <w:proofErr w:type="spellStart"/>
            <w:r w:rsidRPr="00453A59">
              <w:rPr>
                <w:rFonts w:asciiTheme="majorHAnsi" w:hAnsiTheme="majorHAnsi" w:cs="Calibri"/>
              </w:rPr>
              <w:t>Anemia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6A06BE"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491A6B3"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5 (3.2)</w:t>
            </w:r>
          </w:p>
        </w:tc>
      </w:tr>
      <w:tr w:rsidR="002223AB" w:rsidRPr="00453A59" w14:paraId="2AEED98F"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6FFC641"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Insomnia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57E2F"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9A6B15C"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rPr>
              <w:t>2 (1.3)</w:t>
            </w:r>
          </w:p>
        </w:tc>
      </w:tr>
      <w:tr w:rsidR="002223AB" w:rsidRPr="00453A59" w14:paraId="699281AA"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81D1333"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Hypertension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6539B"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C725779"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(1.3)</w:t>
            </w:r>
          </w:p>
        </w:tc>
      </w:tr>
      <w:tr w:rsidR="002223AB" w:rsidRPr="00453A59" w14:paraId="5E004156"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4854641" w14:textId="77777777" w:rsidR="002223AB" w:rsidRPr="00453A59" w:rsidRDefault="002223AB" w:rsidP="00945012">
            <w:pPr>
              <w:keepNext/>
              <w:keepLines/>
              <w:widowControl w:val="0"/>
              <w:spacing w:before="60" w:after="60"/>
              <w:rPr>
                <w:rFonts w:asciiTheme="majorHAnsi" w:hAnsiTheme="majorHAnsi" w:cs="Calibri"/>
              </w:rPr>
            </w:pPr>
            <w:proofErr w:type="spellStart"/>
            <w:r w:rsidRPr="00453A59">
              <w:rPr>
                <w:rFonts w:asciiTheme="majorHAnsi" w:hAnsiTheme="majorHAnsi" w:cs="Calibri"/>
              </w:rPr>
              <w:t>Leukocytosis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E4E9E0"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3ED3468"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lang w:val="pt-BR"/>
              </w:rPr>
              <w:t>1 (0.6)</w:t>
            </w:r>
          </w:p>
        </w:tc>
      </w:tr>
      <w:tr w:rsidR="002223AB" w:rsidRPr="00453A59" w14:paraId="5A504678"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AD76BFD"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Ileus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6AA64"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8D3A43B"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1 (0.6)</w:t>
            </w:r>
          </w:p>
        </w:tc>
      </w:tr>
      <w:tr w:rsidR="002223AB" w:rsidRPr="00453A59" w14:paraId="6D897CBF"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4AC5E08"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Prothrombin time prolonged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A03D15"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5544936"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1 (0.6)</w:t>
            </w:r>
          </w:p>
        </w:tc>
      </w:tr>
      <w:tr w:rsidR="002223AB" w:rsidRPr="00453A59" w14:paraId="66AA95FE"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E83AD50"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Alanine aminotransferase increased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CAEB4"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1E704AA"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1BC2E356"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9491FDE"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Aspartate aminotransferase increased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86562"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B36435B"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061E75B1"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E9815AA"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Hypercalcemia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83CFCF"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AC802C1"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3122AF5A"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995B707" w14:textId="77777777" w:rsidR="002223AB" w:rsidRPr="00453A59" w:rsidRDefault="002223AB" w:rsidP="00945012">
            <w:pPr>
              <w:keepNext/>
              <w:keepLines/>
              <w:widowControl w:val="0"/>
              <w:spacing w:before="60" w:after="60"/>
              <w:rPr>
                <w:rFonts w:asciiTheme="majorHAnsi" w:hAnsiTheme="majorHAnsi" w:cs="Calibri"/>
              </w:rPr>
            </w:pPr>
            <w:proofErr w:type="spellStart"/>
            <w:r w:rsidRPr="00453A59">
              <w:rPr>
                <w:rFonts w:asciiTheme="majorHAnsi" w:hAnsiTheme="majorHAnsi" w:cs="Calibri"/>
              </w:rPr>
              <w:t>Hypokalemia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9B7C6E"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B016F96"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07E4C2FC"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AADCBDE"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Hyponatremia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72B1A8"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31641BE"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7F301A35"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E18F06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Headache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CC5CE1"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2 (1.2)</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41405D2"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0</w:t>
            </w:r>
          </w:p>
        </w:tc>
      </w:tr>
      <w:tr w:rsidR="002223AB" w:rsidRPr="00453A59" w14:paraId="3AE8707E"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36A6A0C"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Pyrexia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345DE"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1 (0.6)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54C4B0F"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5 (3.2)</w:t>
            </w:r>
          </w:p>
        </w:tc>
      </w:tr>
      <w:tr w:rsidR="002223AB" w:rsidRPr="00453A59" w14:paraId="2EB9FC4D"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23056C9"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Constipation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7E1BAA"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1 (0.6)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7F7F68A"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3 (1.9)</w:t>
            </w:r>
          </w:p>
        </w:tc>
      </w:tr>
      <w:tr w:rsidR="002223AB" w:rsidRPr="00453A59" w14:paraId="5C7AF1F1" w14:textId="77777777" w:rsidTr="00693361">
        <w:trPr>
          <w:cantSplit/>
          <w:trHeight w:val="35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010EC97" w14:textId="77777777" w:rsidR="002223AB" w:rsidRPr="00453A59" w:rsidRDefault="002223AB" w:rsidP="00945012">
            <w:pPr>
              <w:keepNext/>
              <w:keepLines/>
              <w:widowControl w:val="0"/>
              <w:spacing w:before="60" w:after="60"/>
              <w:rPr>
                <w:rFonts w:asciiTheme="majorHAnsi" w:hAnsiTheme="majorHAnsi" w:cs="Calibri"/>
              </w:rPr>
            </w:pPr>
            <w:r w:rsidRPr="00453A59">
              <w:rPr>
                <w:rFonts w:asciiTheme="majorHAnsi" w:hAnsiTheme="majorHAnsi" w:cs="Calibri"/>
              </w:rPr>
              <w:t>Wheezing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135CC" w14:textId="77777777" w:rsidR="002223AB" w:rsidRPr="00453A59" w:rsidRDefault="002223AB" w:rsidP="00945012">
            <w:pPr>
              <w:keepNext/>
              <w:keepLines/>
              <w:widowControl w:val="0"/>
              <w:spacing w:before="60" w:after="60"/>
              <w:jc w:val="center"/>
              <w:rPr>
                <w:rFonts w:asciiTheme="majorHAnsi" w:hAnsiTheme="majorHAnsi" w:cs="Calibri"/>
                <w:bCs/>
              </w:rPr>
            </w:pPr>
            <w:r w:rsidRPr="00453A59">
              <w:rPr>
                <w:rFonts w:asciiTheme="majorHAnsi" w:hAnsiTheme="majorHAnsi" w:cs="Calibri"/>
                <w:bCs/>
              </w:rPr>
              <w:t>1 (0.6)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A899DE4" w14:textId="77777777" w:rsidR="002223AB" w:rsidRPr="00453A59" w:rsidRDefault="002223AB" w:rsidP="00945012">
            <w:pPr>
              <w:keepNext/>
              <w:keepLines/>
              <w:widowControl w:val="0"/>
              <w:spacing w:before="60" w:after="60"/>
              <w:jc w:val="center"/>
              <w:rPr>
                <w:rFonts w:asciiTheme="majorHAnsi" w:hAnsiTheme="majorHAnsi" w:cs="Calibri"/>
                <w:bCs/>
                <w:lang w:val="pt-BR"/>
              </w:rPr>
            </w:pPr>
            <w:r w:rsidRPr="00453A59">
              <w:rPr>
                <w:rFonts w:asciiTheme="majorHAnsi" w:hAnsiTheme="majorHAnsi" w:cs="Calibri"/>
                <w:bCs/>
                <w:lang w:val="pt-BR"/>
              </w:rPr>
              <w:t>2 (1.3)</w:t>
            </w:r>
          </w:p>
        </w:tc>
      </w:tr>
    </w:tbl>
    <w:p w14:paraId="361B1EEB" w14:textId="77777777" w:rsidR="002223AB" w:rsidRPr="00453A59" w:rsidRDefault="002223AB" w:rsidP="002223AB">
      <w:pPr>
        <w:widowControl w:val="0"/>
        <w:rPr>
          <w:rFonts w:asciiTheme="majorHAnsi" w:hAnsiTheme="majorHAnsi" w:cs="Arial"/>
        </w:rPr>
      </w:pPr>
    </w:p>
    <w:p w14:paraId="73597B96" w14:textId="2FAECB1E" w:rsidR="002223AB" w:rsidRPr="00453A59" w:rsidRDefault="002223AB" w:rsidP="002223AB">
      <w:pPr>
        <w:widowControl w:val="0"/>
        <w:rPr>
          <w:rFonts w:asciiTheme="majorHAnsi" w:hAnsiTheme="majorHAnsi" w:cs="Arial"/>
        </w:rPr>
      </w:pPr>
      <w:r w:rsidRPr="00453A59">
        <w:rPr>
          <w:rFonts w:asciiTheme="majorHAnsi" w:hAnsiTheme="majorHAnsi" w:cs="Arial"/>
        </w:rPr>
        <w:t xml:space="preserve">In the vascular surgery study, in the </w:t>
      </w:r>
      <w:proofErr w:type="spellStart"/>
      <w:r w:rsidRPr="00453A59">
        <w:rPr>
          <w:rFonts w:asciiTheme="majorHAnsi" w:hAnsiTheme="majorHAnsi" w:cs="Arial"/>
        </w:rPr>
        <w:t>V</w:t>
      </w:r>
      <w:r w:rsidR="000D07C8" w:rsidRPr="00453A59">
        <w:rPr>
          <w:rFonts w:asciiTheme="majorHAnsi" w:hAnsiTheme="majorHAnsi" w:cs="Arial"/>
        </w:rPr>
        <w:t>eraSeal</w:t>
      </w:r>
      <w:proofErr w:type="spellEnd"/>
      <w:r w:rsidRPr="00453A59">
        <w:rPr>
          <w:rFonts w:asciiTheme="majorHAnsi" w:hAnsiTheme="majorHAnsi" w:cs="Arial"/>
        </w:rPr>
        <w:t xml:space="preserve"> group, 21/168 (12.5%) patients experienced an ADR compared with 3/57 (5.3%) patients in the Manual Compression group.</w:t>
      </w:r>
    </w:p>
    <w:p w14:paraId="4AE72CFE" w14:textId="6C1885D7" w:rsidR="002223AB" w:rsidRPr="00453A59" w:rsidRDefault="002223AB" w:rsidP="002223AB">
      <w:pPr>
        <w:widowControl w:val="0"/>
        <w:rPr>
          <w:rFonts w:asciiTheme="majorHAnsi" w:hAnsiTheme="majorHAnsi" w:cs="Arial"/>
        </w:rPr>
      </w:pPr>
      <w:r w:rsidRPr="00453A59">
        <w:rPr>
          <w:rFonts w:asciiTheme="majorHAnsi" w:hAnsiTheme="majorHAnsi" w:cs="Arial"/>
        </w:rPr>
        <w:t xml:space="preserve">In the parenchymal tissue study, in the </w:t>
      </w:r>
      <w:proofErr w:type="spellStart"/>
      <w:r w:rsidR="000D07C8" w:rsidRPr="00453A59">
        <w:rPr>
          <w:rFonts w:asciiTheme="majorHAnsi" w:hAnsiTheme="majorHAnsi" w:cs="Arial"/>
        </w:rPr>
        <w:t>VeraSeal</w:t>
      </w:r>
      <w:proofErr w:type="spellEnd"/>
      <w:r w:rsidRPr="00453A59">
        <w:rPr>
          <w:rFonts w:asciiTheme="majorHAnsi" w:hAnsiTheme="majorHAnsi" w:cs="Arial"/>
        </w:rPr>
        <w:t xml:space="preserve"> group, 11/163 (6.7%) patients experienced an ADR compared with 3/162 (1.9%) patients in the Oxidized Regenerated Cellulose group. </w:t>
      </w:r>
    </w:p>
    <w:p w14:paraId="21B5DDB9" w14:textId="57511E51" w:rsidR="002223AB" w:rsidRPr="00453A59" w:rsidRDefault="002223AB" w:rsidP="002223AB">
      <w:pPr>
        <w:keepLines/>
        <w:widowControl w:val="0"/>
        <w:rPr>
          <w:rFonts w:asciiTheme="majorHAnsi" w:hAnsiTheme="majorHAnsi" w:cs="Arial"/>
        </w:rPr>
      </w:pPr>
      <w:r w:rsidRPr="00453A59">
        <w:rPr>
          <w:rFonts w:asciiTheme="majorHAnsi" w:hAnsiTheme="majorHAnsi" w:cs="Arial"/>
        </w:rPr>
        <w:lastRenderedPageBreak/>
        <w:t xml:space="preserve">In the soft tissue surgery study, in the </w:t>
      </w:r>
      <w:proofErr w:type="spellStart"/>
      <w:r w:rsidR="000D07C8" w:rsidRPr="00453A59">
        <w:rPr>
          <w:rFonts w:asciiTheme="majorHAnsi" w:hAnsiTheme="majorHAnsi" w:cs="Arial"/>
        </w:rPr>
        <w:t>VeraSeal</w:t>
      </w:r>
      <w:proofErr w:type="spellEnd"/>
      <w:r w:rsidRPr="00453A59">
        <w:rPr>
          <w:rFonts w:asciiTheme="majorHAnsi" w:hAnsiTheme="majorHAnsi" w:cs="Arial"/>
        </w:rPr>
        <w:t xml:space="preserve"> treatment group, 32/169 (18.9%) patients experienced an ADR compared with 24/158 (15.2%) subjects in the Oxidized Regenerated Cellulose group.</w:t>
      </w:r>
    </w:p>
    <w:p w14:paraId="2A4E967E" w14:textId="77777777" w:rsidR="002443E1" w:rsidRPr="00453A59" w:rsidRDefault="002443E1">
      <w:pPr>
        <w:rPr>
          <w:rFonts w:asciiTheme="majorHAnsi" w:hAnsiTheme="majorHAnsi"/>
          <w:b/>
          <w:bCs/>
          <w:u w:val="single"/>
        </w:rPr>
      </w:pPr>
      <w:bookmarkStart w:id="5" w:name="_Toc66977658"/>
    </w:p>
    <w:p w14:paraId="3F3A207D" w14:textId="577E7B57" w:rsidR="002223AB" w:rsidRPr="00453A59" w:rsidRDefault="002223AB" w:rsidP="002443E1">
      <w:pPr>
        <w:rPr>
          <w:bCs/>
          <w:u w:val="single"/>
        </w:rPr>
      </w:pPr>
      <w:r w:rsidRPr="00453A59">
        <w:rPr>
          <w:rFonts w:asciiTheme="majorHAnsi" w:hAnsiTheme="majorHAnsi"/>
          <w:b/>
          <w:bCs/>
          <w:u w:val="single"/>
        </w:rPr>
        <w:t>Less Common Clinical Trial Adverse Reactions</w:t>
      </w:r>
      <w:bookmarkEnd w:id="5"/>
    </w:p>
    <w:p w14:paraId="33FD3147"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The less common clinical trial adverse reactions are the following, classified by System Organ Class and in alphabetical order:</w:t>
      </w:r>
    </w:p>
    <w:p w14:paraId="135850C7"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xml:space="preserve">• Blood and lymphatic system disorders: </w:t>
      </w:r>
      <w:proofErr w:type="spellStart"/>
      <w:r w:rsidRPr="00453A59">
        <w:rPr>
          <w:rFonts w:asciiTheme="majorHAnsi" w:hAnsiTheme="majorHAnsi" w:cstheme="minorHAnsi"/>
        </w:rPr>
        <w:t>hemorrhagic</w:t>
      </w:r>
      <w:proofErr w:type="spellEnd"/>
      <w:r w:rsidRPr="00453A59">
        <w:rPr>
          <w:rFonts w:asciiTheme="majorHAnsi" w:hAnsiTheme="majorHAnsi" w:cstheme="minorHAnsi"/>
        </w:rPr>
        <w:t xml:space="preserve"> </w:t>
      </w:r>
      <w:proofErr w:type="spellStart"/>
      <w:r w:rsidRPr="00453A59">
        <w:rPr>
          <w:rFonts w:asciiTheme="majorHAnsi" w:hAnsiTheme="majorHAnsi" w:cstheme="minorHAnsi"/>
        </w:rPr>
        <w:t>anemia</w:t>
      </w:r>
      <w:proofErr w:type="spellEnd"/>
      <w:r w:rsidRPr="00453A59">
        <w:rPr>
          <w:rFonts w:asciiTheme="majorHAnsi" w:hAnsiTheme="majorHAnsi" w:cstheme="minorHAnsi"/>
        </w:rPr>
        <w:t>, leukopenia, neutropenia.</w:t>
      </w:r>
    </w:p>
    <w:p w14:paraId="3E1FAFEB"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Cardiac disorders: atrial fibrillation, tachycardia, ventricular tachycardia.</w:t>
      </w:r>
    </w:p>
    <w:p w14:paraId="60ACAB1A"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Eye disorders: conjunctival irritation.</w:t>
      </w:r>
    </w:p>
    <w:p w14:paraId="5B2CF164" w14:textId="3B4BAE3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Gastrointestinal disorders: abdominal distension, pancreatitis, procedural nausea, retroperitoneal hematoma, vomiting</w:t>
      </w:r>
      <w:r w:rsidR="00C63FF2" w:rsidRPr="00453A59">
        <w:rPr>
          <w:rFonts w:asciiTheme="majorHAnsi" w:hAnsiTheme="majorHAnsi" w:cstheme="minorHAnsi"/>
        </w:rPr>
        <w:t>, flatulence.</w:t>
      </w:r>
    </w:p>
    <w:p w14:paraId="66356736"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xml:space="preserve">• General disorders and administration site conditions: asthenia, chills, hyperthermia, </w:t>
      </w:r>
      <w:proofErr w:type="spellStart"/>
      <w:r w:rsidRPr="00453A59">
        <w:rPr>
          <w:rFonts w:asciiTheme="majorHAnsi" w:hAnsiTheme="majorHAnsi" w:cstheme="minorHAnsi"/>
        </w:rPr>
        <w:t>edema</w:t>
      </w:r>
      <w:proofErr w:type="spellEnd"/>
      <w:r w:rsidRPr="00453A59">
        <w:rPr>
          <w:rFonts w:asciiTheme="majorHAnsi" w:hAnsiTheme="majorHAnsi" w:cstheme="minorHAnsi"/>
        </w:rPr>
        <w:t xml:space="preserve"> peripheral, pain, vessel puncture site hematoma.</w:t>
      </w:r>
    </w:p>
    <w:p w14:paraId="29C57350" w14:textId="616736E4"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Infections and infestations: abdominal abscess, cellulitis, liver abscess, peritonitis, postoperative wound infection, wound infection incision site infection, urinary tract infection, postprocedural infection, vaginal cellulitis</w:t>
      </w:r>
      <w:r w:rsidR="00C63FF2" w:rsidRPr="00453A59">
        <w:rPr>
          <w:rFonts w:asciiTheme="majorHAnsi" w:hAnsiTheme="majorHAnsi" w:cstheme="minorHAnsi"/>
        </w:rPr>
        <w:t>, parvovirus B19 test positive.</w:t>
      </w:r>
    </w:p>
    <w:p w14:paraId="16E57EBC"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xml:space="preserve">• Injury, poisoning and procedural complications: abdominal wound dehiscence, contusion, incision site erythema, incision site pain, postprocedural </w:t>
      </w:r>
      <w:proofErr w:type="spellStart"/>
      <w:r w:rsidRPr="00453A59">
        <w:rPr>
          <w:rFonts w:asciiTheme="majorHAnsi" w:hAnsiTheme="majorHAnsi" w:cstheme="minorHAnsi"/>
        </w:rPr>
        <w:t>hemorrhage</w:t>
      </w:r>
      <w:proofErr w:type="spellEnd"/>
      <w:r w:rsidRPr="00453A59">
        <w:rPr>
          <w:rFonts w:asciiTheme="majorHAnsi" w:hAnsiTheme="majorHAnsi" w:cstheme="minorHAnsi"/>
        </w:rPr>
        <w:t>, procedural hypotension, vascular graft thrombosis, wound secretion.</w:t>
      </w:r>
    </w:p>
    <w:p w14:paraId="7D3BAE63"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xml:space="preserve">• Investigations: parvovirus B19 test positive, activated partial thromboplastin time prolonged, blood bilirubin increase, blood glucose increase, body temperature increased, </w:t>
      </w:r>
      <w:proofErr w:type="spellStart"/>
      <w:r w:rsidRPr="00453A59">
        <w:rPr>
          <w:rFonts w:asciiTheme="majorHAnsi" w:hAnsiTheme="majorHAnsi" w:cstheme="minorHAnsi"/>
        </w:rPr>
        <w:t>hematocrit</w:t>
      </w:r>
      <w:proofErr w:type="spellEnd"/>
      <w:r w:rsidRPr="00453A59">
        <w:rPr>
          <w:rFonts w:asciiTheme="majorHAnsi" w:hAnsiTheme="majorHAnsi" w:cstheme="minorHAnsi"/>
        </w:rPr>
        <w:t xml:space="preserve"> decreased, </w:t>
      </w:r>
      <w:proofErr w:type="spellStart"/>
      <w:r w:rsidRPr="00453A59">
        <w:rPr>
          <w:rFonts w:asciiTheme="majorHAnsi" w:hAnsiTheme="majorHAnsi" w:cstheme="minorHAnsi"/>
        </w:rPr>
        <w:t>hemoglobin</w:t>
      </w:r>
      <w:proofErr w:type="spellEnd"/>
      <w:r w:rsidRPr="00453A59">
        <w:rPr>
          <w:rFonts w:asciiTheme="majorHAnsi" w:hAnsiTheme="majorHAnsi" w:cstheme="minorHAnsi"/>
        </w:rPr>
        <w:t xml:space="preserve"> decreased, international normalised ratio increased, transaminases increased, urine output decreased, weight decreased, white blood cell count increased.</w:t>
      </w:r>
    </w:p>
    <w:p w14:paraId="759DFFBA"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xml:space="preserve">• Metabolism and nutrition disorders: </w:t>
      </w:r>
      <w:proofErr w:type="spellStart"/>
      <w:r w:rsidRPr="00453A59">
        <w:rPr>
          <w:rFonts w:asciiTheme="majorHAnsi" w:hAnsiTheme="majorHAnsi" w:cstheme="minorHAnsi"/>
        </w:rPr>
        <w:t>hyperglycemia</w:t>
      </w:r>
      <w:proofErr w:type="spellEnd"/>
      <w:r w:rsidRPr="00453A59">
        <w:rPr>
          <w:rFonts w:asciiTheme="majorHAnsi" w:hAnsiTheme="majorHAnsi" w:cstheme="minorHAnsi"/>
        </w:rPr>
        <w:t xml:space="preserve">, </w:t>
      </w:r>
      <w:proofErr w:type="spellStart"/>
      <w:r w:rsidRPr="00453A59">
        <w:rPr>
          <w:rFonts w:asciiTheme="majorHAnsi" w:hAnsiTheme="majorHAnsi" w:cstheme="minorHAnsi"/>
        </w:rPr>
        <w:t>hyperkalemia</w:t>
      </w:r>
      <w:proofErr w:type="spellEnd"/>
      <w:r w:rsidRPr="00453A59">
        <w:rPr>
          <w:rFonts w:asciiTheme="majorHAnsi" w:hAnsiTheme="majorHAnsi" w:cstheme="minorHAnsi"/>
        </w:rPr>
        <w:t xml:space="preserve">, </w:t>
      </w:r>
      <w:proofErr w:type="spellStart"/>
      <w:r w:rsidRPr="00453A59">
        <w:rPr>
          <w:rFonts w:asciiTheme="majorHAnsi" w:hAnsiTheme="majorHAnsi" w:cstheme="minorHAnsi"/>
        </w:rPr>
        <w:t>hypoglycemia</w:t>
      </w:r>
      <w:proofErr w:type="spellEnd"/>
      <w:r w:rsidRPr="00453A59">
        <w:rPr>
          <w:rFonts w:asciiTheme="majorHAnsi" w:hAnsiTheme="majorHAnsi" w:cstheme="minorHAnsi"/>
        </w:rPr>
        <w:t>, hypomagnesemia.</w:t>
      </w:r>
    </w:p>
    <w:p w14:paraId="496874D6"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Musculoskeletal and connective tissue disorders: back pain, joint swelling, pain in extremity.</w:t>
      </w:r>
    </w:p>
    <w:p w14:paraId="47570FBB"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Neoplasms benign, malignant and unspecified (including cysts and polyps): plasma cell myeloma.</w:t>
      </w:r>
    </w:p>
    <w:p w14:paraId="7203588A"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Nervous system disorders: disturbance in attention, hypoesthesia, somnolence.</w:t>
      </w:r>
    </w:p>
    <w:p w14:paraId="05689DA6"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Psychiatric disorders: anxiety.</w:t>
      </w:r>
    </w:p>
    <w:p w14:paraId="197491FE"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Renal and urinary disorders: bladder spasm, dysuria, renal failure, urethral pain, urinary incontinence.</w:t>
      </w:r>
    </w:p>
    <w:p w14:paraId="281188F4" w14:textId="4FB1AA89"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lastRenderedPageBreak/>
        <w:t xml:space="preserve">• Respiratory, thoracic and mediastinal disorders: cough, </w:t>
      </w:r>
      <w:proofErr w:type="spellStart"/>
      <w:r w:rsidRPr="00453A59">
        <w:rPr>
          <w:rFonts w:asciiTheme="majorHAnsi" w:hAnsiTheme="majorHAnsi" w:cstheme="minorHAnsi"/>
        </w:rPr>
        <w:t>dyspnea</w:t>
      </w:r>
      <w:proofErr w:type="spellEnd"/>
      <w:r w:rsidRPr="00453A59">
        <w:rPr>
          <w:rFonts w:asciiTheme="majorHAnsi" w:hAnsiTheme="majorHAnsi" w:cstheme="minorHAnsi"/>
        </w:rPr>
        <w:t xml:space="preserve">, hypoxia, laryngeal </w:t>
      </w:r>
      <w:proofErr w:type="spellStart"/>
      <w:r w:rsidRPr="00453A59">
        <w:rPr>
          <w:rFonts w:asciiTheme="majorHAnsi" w:hAnsiTheme="majorHAnsi" w:cstheme="minorHAnsi"/>
        </w:rPr>
        <w:t>edema</w:t>
      </w:r>
      <w:proofErr w:type="spellEnd"/>
      <w:r w:rsidRPr="00453A59">
        <w:rPr>
          <w:rFonts w:asciiTheme="majorHAnsi" w:hAnsiTheme="majorHAnsi" w:cstheme="minorHAnsi"/>
        </w:rPr>
        <w:t xml:space="preserve">, pleural effusion, pleurisy, pulmonary </w:t>
      </w:r>
      <w:proofErr w:type="spellStart"/>
      <w:r w:rsidRPr="00453A59">
        <w:rPr>
          <w:rFonts w:asciiTheme="majorHAnsi" w:hAnsiTheme="majorHAnsi" w:cstheme="minorHAnsi"/>
        </w:rPr>
        <w:t>edema</w:t>
      </w:r>
      <w:proofErr w:type="spellEnd"/>
      <w:r w:rsidRPr="00453A59">
        <w:rPr>
          <w:rFonts w:asciiTheme="majorHAnsi" w:hAnsiTheme="majorHAnsi" w:cstheme="minorHAnsi"/>
        </w:rPr>
        <w:t>, rhonchi, wheezing.</w:t>
      </w:r>
    </w:p>
    <w:p w14:paraId="43BFBDA6"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Skin and subcutaneous tissue disorders: ecchymosis, erythema, skin irritation, pruritus.</w:t>
      </w:r>
    </w:p>
    <w:p w14:paraId="2DDB6E4F" w14:textId="77777777" w:rsidR="002223AB" w:rsidRPr="00453A59" w:rsidRDefault="002223AB" w:rsidP="002223AB">
      <w:pPr>
        <w:keepLines/>
        <w:widowControl w:val="0"/>
        <w:rPr>
          <w:rFonts w:asciiTheme="majorHAnsi" w:hAnsiTheme="majorHAnsi" w:cstheme="minorHAnsi"/>
        </w:rPr>
      </w:pPr>
      <w:r w:rsidRPr="00453A59">
        <w:rPr>
          <w:rFonts w:asciiTheme="majorHAnsi" w:hAnsiTheme="majorHAnsi" w:cstheme="minorHAnsi"/>
        </w:rPr>
        <w:t>• Vascular disorders: hypotension.</w:t>
      </w:r>
    </w:p>
    <w:p w14:paraId="07DB84C9" w14:textId="77777777" w:rsidR="002B424E" w:rsidRPr="00453A59" w:rsidRDefault="002B424E" w:rsidP="002B424E">
      <w:pPr>
        <w:pStyle w:val="Heading3"/>
      </w:pPr>
      <w:r w:rsidRPr="00453A59">
        <w:t>Reporting suspected adverse effects</w:t>
      </w:r>
    </w:p>
    <w:p w14:paraId="0B81CFDD" w14:textId="68CF87AB" w:rsidR="00497C85" w:rsidRPr="00453A59" w:rsidRDefault="00497C85" w:rsidP="00497C85">
      <w:pPr>
        <w:rPr>
          <w:rFonts w:asciiTheme="majorHAnsi" w:hAnsiTheme="majorHAnsi" w:cstheme="minorHAnsi"/>
          <w:lang w:val="en"/>
        </w:rPr>
      </w:pPr>
      <w:r w:rsidRPr="00453A59">
        <w:rPr>
          <w:rFonts w:asciiTheme="majorHAnsi" w:hAnsiTheme="majorHAnsi" w:cstheme="minorHAnsi"/>
          <w:lang w:val="en"/>
        </w:rPr>
        <w:t>Reporting suspected adverse reactions after registration of the medicinal product is important. It allows continued monitoring of the benefit-risk balance of the medicinal product. Healthcare professionals are asked to report any</w:t>
      </w:r>
      <w:r w:rsidR="005F0AC2" w:rsidRPr="00453A59">
        <w:rPr>
          <w:rFonts w:asciiTheme="majorHAnsi" w:hAnsiTheme="majorHAnsi" w:cstheme="minorHAnsi"/>
          <w:lang w:val="en"/>
        </w:rPr>
        <w:t xml:space="preserve"> suspected adverse reactions at </w:t>
      </w:r>
      <w:hyperlink r:id="rId20" w:history="1">
        <w:r w:rsidRPr="00453A59">
          <w:rPr>
            <w:rStyle w:val="Hyperlink"/>
            <w:rFonts w:asciiTheme="majorHAnsi" w:hAnsiTheme="majorHAnsi" w:cstheme="minorHAnsi"/>
            <w:lang w:val="en"/>
          </w:rPr>
          <w:t>www.tga.gov.au/reporting-problems</w:t>
        </w:r>
      </w:hyperlink>
      <w:r w:rsidRPr="00453A59">
        <w:rPr>
          <w:rFonts w:asciiTheme="majorHAnsi" w:hAnsiTheme="majorHAnsi" w:cstheme="minorHAnsi"/>
          <w:lang w:val="en"/>
        </w:rPr>
        <w:t>.</w:t>
      </w:r>
    </w:p>
    <w:p w14:paraId="7C94A3E7" w14:textId="77777777" w:rsidR="004352E1" w:rsidRPr="00453A59" w:rsidRDefault="004352E1" w:rsidP="00497C85">
      <w:pPr>
        <w:rPr>
          <w:rFonts w:asciiTheme="majorHAnsi" w:hAnsiTheme="majorHAnsi" w:cstheme="minorHAnsi"/>
        </w:rPr>
      </w:pPr>
    </w:p>
    <w:p w14:paraId="39684E79" w14:textId="3D6DB130" w:rsidR="008022EE" w:rsidRPr="00453A59" w:rsidRDefault="003B4DCA" w:rsidP="00435035">
      <w:pPr>
        <w:pStyle w:val="Heading2"/>
        <w:keepNext/>
        <w:keepLines/>
        <w:numPr>
          <w:ilvl w:val="0"/>
          <w:numId w:val="0"/>
        </w:numPr>
        <w:spacing w:before="0" w:after="120"/>
        <w:ind w:left="578" w:hanging="578"/>
        <w:rPr>
          <w:rFonts w:cstheme="minorHAnsi"/>
        </w:rPr>
      </w:pPr>
      <w:r w:rsidRPr="00453A59">
        <w:rPr>
          <w:rFonts w:cstheme="minorHAnsi"/>
        </w:rPr>
        <w:t>4.9</w:t>
      </w:r>
      <w:r w:rsidRPr="00453A59">
        <w:rPr>
          <w:rFonts w:cstheme="minorHAnsi"/>
        </w:rPr>
        <w:tab/>
      </w:r>
      <w:r w:rsidR="001A3992" w:rsidRPr="00453A59">
        <w:rPr>
          <w:rFonts w:cstheme="minorHAnsi"/>
        </w:rPr>
        <w:t>Overdose</w:t>
      </w:r>
    </w:p>
    <w:p w14:paraId="10167A03" w14:textId="1CCBEB00" w:rsidR="00236E3B" w:rsidRPr="00236E3B" w:rsidRDefault="00236E3B" w:rsidP="00236E3B">
      <w:pPr>
        <w:autoSpaceDE w:val="0"/>
        <w:autoSpaceDN w:val="0"/>
        <w:adjustRightInd w:val="0"/>
        <w:spacing w:after="0" w:line="240" w:lineRule="auto"/>
        <w:rPr>
          <w:rFonts w:asciiTheme="majorHAnsi" w:eastAsia="Calibri" w:hAnsiTheme="majorHAnsi"/>
          <w:color w:val="000000"/>
          <w:lang w:val="en-GB"/>
        </w:rPr>
      </w:pPr>
      <w:r w:rsidRPr="00453A59">
        <w:rPr>
          <w:rFonts w:asciiTheme="majorHAnsi" w:eastAsia="Calibri" w:hAnsiTheme="majorHAnsi"/>
          <w:color w:val="000000"/>
          <w:lang w:val="en-GB"/>
        </w:rPr>
        <w:t xml:space="preserve">Only apply as much </w:t>
      </w:r>
      <w:proofErr w:type="spellStart"/>
      <w:r w:rsidRPr="00453A59">
        <w:rPr>
          <w:rFonts w:asciiTheme="majorHAnsi" w:eastAsia="Calibri" w:hAnsiTheme="majorHAnsi"/>
          <w:color w:val="000000"/>
          <w:lang w:val="en-GB"/>
        </w:rPr>
        <w:t>VeraSeal</w:t>
      </w:r>
      <w:proofErr w:type="spellEnd"/>
      <w:r w:rsidRPr="00453A59">
        <w:rPr>
          <w:rFonts w:asciiTheme="majorHAnsi" w:eastAsia="Calibri" w:hAnsiTheme="majorHAnsi"/>
          <w:color w:val="000000"/>
          <w:lang w:val="en-GB"/>
        </w:rPr>
        <w:t xml:space="preserve"> as necessary to achieve </w:t>
      </w:r>
      <w:proofErr w:type="spellStart"/>
      <w:r w:rsidRPr="00453A59">
        <w:rPr>
          <w:rFonts w:asciiTheme="majorHAnsi" w:eastAsia="Calibri" w:hAnsiTheme="majorHAnsi"/>
          <w:color w:val="000000"/>
          <w:lang w:val="en-GB"/>
        </w:rPr>
        <w:t>hemostasis</w:t>
      </w:r>
      <w:proofErr w:type="spellEnd"/>
      <w:r w:rsidRPr="00453A59">
        <w:rPr>
          <w:rFonts w:asciiTheme="majorHAnsi" w:eastAsia="Calibri" w:hAnsiTheme="majorHAnsi"/>
          <w:color w:val="000000"/>
          <w:lang w:val="en-GB"/>
        </w:rPr>
        <w:t xml:space="preserve"> to avoid the formation of excess granulation tissue and to ensure gradual absorption of the solidified fibrin sealant. Excessive clot thickness may interfere with the wound healing process</w:t>
      </w:r>
      <w:r w:rsidR="003D6051" w:rsidRPr="00453A59">
        <w:rPr>
          <w:rFonts w:asciiTheme="majorHAnsi" w:eastAsia="Calibri" w:hAnsiTheme="majorHAnsi"/>
          <w:color w:val="000000"/>
          <w:lang w:val="en-GB"/>
        </w:rPr>
        <w:t xml:space="preserve"> (see section 4.4.)</w:t>
      </w:r>
      <w:r w:rsidRPr="00453A59">
        <w:rPr>
          <w:rFonts w:asciiTheme="majorHAnsi" w:eastAsia="Calibri" w:hAnsiTheme="majorHAnsi"/>
          <w:color w:val="000000"/>
          <w:lang w:val="en-GB"/>
        </w:rPr>
        <w:t>.</w:t>
      </w:r>
    </w:p>
    <w:p w14:paraId="043A9075" w14:textId="77777777" w:rsidR="00236E3B" w:rsidRPr="00F35AEA" w:rsidRDefault="00236E3B" w:rsidP="00F35AEA">
      <w:pPr>
        <w:autoSpaceDE w:val="0"/>
        <w:autoSpaceDN w:val="0"/>
        <w:adjustRightInd w:val="0"/>
        <w:spacing w:after="0" w:line="240" w:lineRule="auto"/>
        <w:rPr>
          <w:rFonts w:asciiTheme="majorHAnsi" w:hAnsiTheme="majorHAnsi" w:cs="Times New Roman"/>
          <w:lang w:val="en-US"/>
        </w:rPr>
      </w:pPr>
    </w:p>
    <w:p w14:paraId="1A67DDED" w14:textId="10D4709F" w:rsidR="00497C85" w:rsidRPr="00497C85" w:rsidRDefault="00497C85" w:rsidP="00497C85">
      <w:pPr>
        <w:rPr>
          <w:rFonts w:asciiTheme="majorHAnsi" w:hAnsiTheme="majorHAnsi" w:cstheme="minorHAnsi"/>
        </w:rPr>
      </w:pPr>
      <w:r w:rsidRPr="00497C85">
        <w:rPr>
          <w:rFonts w:asciiTheme="majorHAnsi" w:hAnsiTheme="majorHAnsi" w:cstheme="minorHAnsi"/>
          <w:lang w:val="en"/>
        </w:rPr>
        <w:t>For information on the management of overdose, contact the Poisons Information Centre on 13 11 26 (Australia).</w:t>
      </w:r>
    </w:p>
    <w:p w14:paraId="1DB97D6E" w14:textId="77777777" w:rsidR="001A3992" w:rsidRPr="00497C85" w:rsidRDefault="001A3992" w:rsidP="009C7E7F">
      <w:pPr>
        <w:pStyle w:val="Heading1"/>
        <w:numPr>
          <w:ilvl w:val="0"/>
          <w:numId w:val="20"/>
        </w:numPr>
        <w:spacing w:before="0" w:after="120"/>
        <w:rPr>
          <w:rFonts w:cstheme="minorHAnsi"/>
          <w:lang w:val="en-US"/>
        </w:rPr>
      </w:pPr>
      <w:r w:rsidRPr="00497C85">
        <w:rPr>
          <w:rFonts w:cstheme="minorHAnsi"/>
          <w:lang w:val="en-US"/>
        </w:rPr>
        <w:t>Pharmacological properties</w:t>
      </w:r>
    </w:p>
    <w:p w14:paraId="700D9E81" w14:textId="01042CEF" w:rsidR="001A3992" w:rsidRDefault="003B4DCA" w:rsidP="00435035">
      <w:pPr>
        <w:pStyle w:val="Heading2"/>
        <w:numPr>
          <w:ilvl w:val="0"/>
          <w:numId w:val="0"/>
        </w:numPr>
        <w:spacing w:before="0" w:after="120"/>
        <w:ind w:left="578" w:hanging="578"/>
        <w:rPr>
          <w:rFonts w:cstheme="minorHAnsi"/>
          <w:lang w:val="en-US"/>
        </w:rPr>
      </w:pPr>
      <w:r>
        <w:rPr>
          <w:rFonts w:cstheme="minorHAnsi"/>
          <w:lang w:val="en-US"/>
        </w:rPr>
        <w:t>5.1</w:t>
      </w:r>
      <w:r>
        <w:rPr>
          <w:rFonts w:cstheme="minorHAnsi"/>
          <w:lang w:val="en-US"/>
        </w:rPr>
        <w:tab/>
      </w:r>
      <w:r w:rsidR="001A3992" w:rsidRPr="00497C85">
        <w:rPr>
          <w:rFonts w:cstheme="minorHAnsi"/>
          <w:lang w:val="en-US"/>
        </w:rPr>
        <w:t xml:space="preserve">Pharmacodynamic properties </w:t>
      </w:r>
    </w:p>
    <w:p w14:paraId="6F245161" w14:textId="6DAD4DEC" w:rsidR="00176065" w:rsidRPr="00176065" w:rsidRDefault="00176065" w:rsidP="00176065">
      <w:pPr>
        <w:rPr>
          <w:rFonts w:asciiTheme="majorHAnsi" w:hAnsiTheme="majorHAnsi"/>
          <w:lang w:val="en-US"/>
        </w:rPr>
      </w:pPr>
      <w:r w:rsidRPr="00176065">
        <w:rPr>
          <w:rFonts w:asciiTheme="majorHAnsi" w:hAnsiTheme="majorHAnsi" w:cs="Times New Roman"/>
          <w:lang w:val="en-US"/>
        </w:rPr>
        <w:t xml:space="preserve">Pharmacotherapeutic group: </w:t>
      </w:r>
      <w:proofErr w:type="spellStart"/>
      <w:r w:rsidRPr="00176065">
        <w:rPr>
          <w:rFonts w:asciiTheme="majorHAnsi" w:hAnsiTheme="majorHAnsi" w:cs="Times New Roman"/>
          <w:lang w:val="en-US"/>
        </w:rPr>
        <w:t>Antihaemorrhagics</w:t>
      </w:r>
      <w:proofErr w:type="spellEnd"/>
      <w:r w:rsidRPr="00176065">
        <w:rPr>
          <w:rFonts w:asciiTheme="majorHAnsi" w:hAnsiTheme="majorHAnsi" w:cs="Times New Roman"/>
          <w:lang w:val="en-US"/>
        </w:rPr>
        <w:t xml:space="preserve">, local </w:t>
      </w:r>
      <w:proofErr w:type="spellStart"/>
      <w:r w:rsidRPr="00176065">
        <w:rPr>
          <w:rFonts w:asciiTheme="majorHAnsi" w:hAnsiTheme="majorHAnsi" w:cs="Times New Roman"/>
          <w:lang w:val="en-US"/>
        </w:rPr>
        <w:t>hemostatics</w:t>
      </w:r>
      <w:proofErr w:type="spellEnd"/>
      <w:r w:rsidRPr="00176065">
        <w:rPr>
          <w:rFonts w:asciiTheme="majorHAnsi" w:hAnsiTheme="majorHAnsi" w:cs="Times New Roman"/>
          <w:lang w:val="en-US"/>
        </w:rPr>
        <w:t>, ATC code: B02BC</w:t>
      </w:r>
      <w:r w:rsidR="0076645C">
        <w:rPr>
          <w:rFonts w:asciiTheme="majorHAnsi" w:hAnsiTheme="majorHAnsi" w:cs="Times New Roman"/>
          <w:lang w:val="en-US"/>
        </w:rPr>
        <w:t>.</w:t>
      </w:r>
    </w:p>
    <w:p w14:paraId="5586A7E2" w14:textId="151EE7F8" w:rsidR="001A3992" w:rsidRDefault="001A3992" w:rsidP="001A3992">
      <w:pPr>
        <w:pStyle w:val="Heading3"/>
        <w:spacing w:before="0" w:after="120"/>
        <w:rPr>
          <w:rFonts w:cstheme="minorHAnsi"/>
        </w:rPr>
      </w:pPr>
      <w:r w:rsidRPr="00497C85">
        <w:rPr>
          <w:rFonts w:cstheme="minorHAnsi"/>
        </w:rPr>
        <w:t>Mechanism of action</w:t>
      </w:r>
    </w:p>
    <w:p w14:paraId="756C3A7C" w14:textId="1218A9C4" w:rsidR="00043849" w:rsidRPr="00043849" w:rsidRDefault="00043849" w:rsidP="00946BD9">
      <w:pPr>
        <w:autoSpaceDE w:val="0"/>
        <w:autoSpaceDN w:val="0"/>
        <w:adjustRightInd w:val="0"/>
        <w:spacing w:after="0" w:line="240" w:lineRule="auto"/>
        <w:rPr>
          <w:rFonts w:asciiTheme="majorHAnsi" w:hAnsiTheme="majorHAnsi" w:cs="Times New Roman"/>
          <w:lang w:val="en-US"/>
        </w:rPr>
      </w:pPr>
      <w:r w:rsidRPr="00043849">
        <w:rPr>
          <w:rFonts w:asciiTheme="majorHAnsi" w:hAnsiTheme="majorHAnsi" w:cs="Times New Roman"/>
          <w:lang w:val="en-US"/>
        </w:rPr>
        <w:t>The fibrin adhesion system initiates the last phase of physiological b</w:t>
      </w:r>
      <w:r>
        <w:rPr>
          <w:rFonts w:asciiTheme="majorHAnsi" w:hAnsiTheme="majorHAnsi" w:cs="Times New Roman"/>
          <w:lang w:val="en-US"/>
        </w:rPr>
        <w:t xml:space="preserve">lood coagulation. </w:t>
      </w:r>
      <w:r w:rsidR="003B4DCA">
        <w:rPr>
          <w:rFonts w:asciiTheme="majorHAnsi" w:hAnsiTheme="majorHAnsi" w:cs="Times New Roman"/>
          <w:lang w:val="en-US"/>
        </w:rPr>
        <w:t xml:space="preserve">Thrombin cleaves </w:t>
      </w:r>
      <w:r w:rsidRPr="00043849">
        <w:rPr>
          <w:rFonts w:asciiTheme="majorHAnsi" w:hAnsiTheme="majorHAnsi" w:cs="Times New Roman"/>
          <w:lang w:val="en-US"/>
        </w:rPr>
        <w:t>fibrinogen into fibri</w:t>
      </w:r>
      <w:r w:rsidR="00946BD9">
        <w:rPr>
          <w:rFonts w:asciiTheme="majorHAnsi" w:hAnsiTheme="majorHAnsi" w:cs="Times New Roman"/>
          <w:lang w:val="en-US"/>
        </w:rPr>
        <w:t xml:space="preserve">n monomers and fibrinopeptides. </w:t>
      </w:r>
      <w:r w:rsidRPr="00043849">
        <w:rPr>
          <w:rFonts w:asciiTheme="majorHAnsi" w:hAnsiTheme="majorHAnsi" w:cs="Times New Roman"/>
          <w:lang w:val="en-US"/>
        </w:rPr>
        <w:t>The fibrin monomers aggregate and form a fibrin clot. Factor</w:t>
      </w:r>
      <w:r w:rsidR="00946BD9">
        <w:rPr>
          <w:rFonts w:asciiTheme="majorHAnsi" w:hAnsiTheme="majorHAnsi" w:cs="Times New Roman"/>
          <w:lang w:val="en-US"/>
        </w:rPr>
        <w:t xml:space="preserve"> </w:t>
      </w:r>
      <w:proofErr w:type="spellStart"/>
      <w:r w:rsidR="00946BD9">
        <w:rPr>
          <w:rFonts w:asciiTheme="majorHAnsi" w:hAnsiTheme="majorHAnsi" w:cs="Times New Roman"/>
          <w:lang w:val="en-US"/>
        </w:rPr>
        <w:t>XIIIa</w:t>
      </w:r>
      <w:proofErr w:type="spellEnd"/>
      <w:r w:rsidR="00946BD9">
        <w:rPr>
          <w:rFonts w:asciiTheme="majorHAnsi" w:hAnsiTheme="majorHAnsi" w:cs="Times New Roman"/>
          <w:lang w:val="en-US"/>
        </w:rPr>
        <w:t xml:space="preserve">, which is activated from </w:t>
      </w:r>
      <w:r w:rsidRPr="00043849">
        <w:rPr>
          <w:rFonts w:asciiTheme="majorHAnsi" w:hAnsiTheme="majorHAnsi" w:cs="Times New Roman"/>
          <w:lang w:val="en-US"/>
        </w:rPr>
        <w:t>factor XIII by thrombin, crosslinks fibrin. Calcium ions are requi</w:t>
      </w:r>
      <w:r w:rsidR="00946BD9">
        <w:rPr>
          <w:rFonts w:asciiTheme="majorHAnsi" w:hAnsiTheme="majorHAnsi" w:cs="Times New Roman"/>
          <w:lang w:val="en-US"/>
        </w:rPr>
        <w:t xml:space="preserve">red for both the conversion of </w:t>
      </w:r>
      <w:r w:rsidRPr="00043849">
        <w:rPr>
          <w:rFonts w:asciiTheme="majorHAnsi" w:hAnsiTheme="majorHAnsi" w:cs="Times New Roman"/>
          <w:lang w:val="en-US"/>
        </w:rPr>
        <w:t xml:space="preserve">fibrinogen and the </w:t>
      </w:r>
      <w:proofErr w:type="spellStart"/>
      <w:r w:rsidRPr="00043849">
        <w:rPr>
          <w:rFonts w:asciiTheme="majorHAnsi" w:hAnsiTheme="majorHAnsi" w:cs="Times New Roman"/>
          <w:lang w:val="en-US"/>
        </w:rPr>
        <w:t>crosslinkage</w:t>
      </w:r>
      <w:proofErr w:type="spellEnd"/>
      <w:r w:rsidRPr="00043849">
        <w:rPr>
          <w:rFonts w:asciiTheme="majorHAnsi" w:hAnsiTheme="majorHAnsi" w:cs="Times New Roman"/>
          <w:lang w:val="en-US"/>
        </w:rPr>
        <w:t xml:space="preserve"> of fibrin.</w:t>
      </w:r>
    </w:p>
    <w:p w14:paraId="1FB0560D" w14:textId="77777777" w:rsidR="00043849" w:rsidRPr="00043849" w:rsidRDefault="00043849" w:rsidP="00043849">
      <w:pPr>
        <w:autoSpaceDE w:val="0"/>
        <w:autoSpaceDN w:val="0"/>
        <w:adjustRightInd w:val="0"/>
        <w:spacing w:after="0" w:line="240" w:lineRule="auto"/>
        <w:rPr>
          <w:rFonts w:asciiTheme="majorHAnsi" w:hAnsiTheme="majorHAnsi" w:cs="Times New Roman"/>
          <w:lang w:val="en-US"/>
        </w:rPr>
      </w:pPr>
    </w:p>
    <w:p w14:paraId="5DB5CC64" w14:textId="2E159EC8" w:rsidR="00176065" w:rsidRDefault="00043849" w:rsidP="00043849">
      <w:pPr>
        <w:autoSpaceDE w:val="0"/>
        <w:autoSpaceDN w:val="0"/>
        <w:adjustRightInd w:val="0"/>
        <w:spacing w:after="0" w:line="240" w:lineRule="auto"/>
        <w:rPr>
          <w:rFonts w:asciiTheme="majorHAnsi" w:hAnsiTheme="majorHAnsi" w:cs="Times New Roman"/>
          <w:lang w:val="en-US"/>
        </w:rPr>
      </w:pPr>
      <w:proofErr w:type="gramStart"/>
      <w:r w:rsidRPr="00043849">
        <w:rPr>
          <w:rFonts w:asciiTheme="majorHAnsi" w:hAnsiTheme="majorHAnsi" w:cs="Times New Roman"/>
          <w:lang w:val="en-US"/>
        </w:rPr>
        <w:t>As wound healing progresses,</w:t>
      </w:r>
      <w:proofErr w:type="gramEnd"/>
      <w:r w:rsidRPr="00043849">
        <w:rPr>
          <w:rFonts w:asciiTheme="majorHAnsi" w:hAnsiTheme="majorHAnsi" w:cs="Times New Roman"/>
          <w:lang w:val="en-US"/>
        </w:rPr>
        <w:t xml:space="preserve"> increased fibrinolytic activity is induc</w:t>
      </w:r>
      <w:r>
        <w:rPr>
          <w:rFonts w:asciiTheme="majorHAnsi" w:hAnsiTheme="majorHAnsi" w:cs="Times New Roman"/>
          <w:lang w:val="en-US"/>
        </w:rPr>
        <w:t xml:space="preserve">ed by plasmin and decomposition </w:t>
      </w:r>
      <w:r w:rsidRPr="00043849">
        <w:rPr>
          <w:rFonts w:asciiTheme="majorHAnsi" w:hAnsiTheme="majorHAnsi" w:cs="Times New Roman"/>
          <w:lang w:val="en-US"/>
        </w:rPr>
        <w:t>of fibrin to fibrin degradation products is initiated.</w:t>
      </w:r>
    </w:p>
    <w:p w14:paraId="0E791A01" w14:textId="77777777" w:rsidR="00043849" w:rsidRPr="00043849" w:rsidRDefault="00043849" w:rsidP="00043849">
      <w:pPr>
        <w:autoSpaceDE w:val="0"/>
        <w:autoSpaceDN w:val="0"/>
        <w:adjustRightInd w:val="0"/>
        <w:spacing w:after="0" w:line="240" w:lineRule="auto"/>
        <w:rPr>
          <w:rFonts w:asciiTheme="majorHAnsi" w:hAnsiTheme="majorHAnsi" w:cs="Times New Roman"/>
          <w:lang w:val="en-US"/>
        </w:rPr>
      </w:pPr>
    </w:p>
    <w:p w14:paraId="29E36E08" w14:textId="2BCD91B8" w:rsidR="001A3992" w:rsidRPr="00453A59" w:rsidRDefault="001A3992" w:rsidP="001A3992">
      <w:pPr>
        <w:pStyle w:val="Heading3"/>
        <w:spacing w:before="0" w:after="120"/>
        <w:rPr>
          <w:rFonts w:cstheme="minorHAnsi"/>
          <w:lang w:val="en-US"/>
        </w:rPr>
      </w:pPr>
      <w:r w:rsidRPr="00453A59">
        <w:rPr>
          <w:rFonts w:cstheme="minorHAnsi"/>
        </w:rPr>
        <w:t>Clinical</w:t>
      </w:r>
      <w:r w:rsidRPr="00453A59">
        <w:rPr>
          <w:rFonts w:cstheme="minorHAnsi"/>
          <w:lang w:val="en-US"/>
        </w:rPr>
        <w:t xml:space="preserve"> trials</w:t>
      </w:r>
    </w:p>
    <w:p w14:paraId="3CF8AED7" w14:textId="4A4E887E" w:rsidR="00C63FF2" w:rsidRPr="00453A59" w:rsidRDefault="00C63FF2"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inorHAnsi"/>
        </w:rPr>
      </w:pPr>
      <w:r w:rsidRPr="00453A59">
        <w:rPr>
          <w:rFonts w:asciiTheme="majorHAnsi" w:hAnsiTheme="majorHAnsi" w:cstheme="minorHAnsi"/>
        </w:rPr>
        <w:t>Clinical trials have not been conducted in laparoscopy surgery or with the laparoscopic device.</w:t>
      </w:r>
    </w:p>
    <w:p w14:paraId="51CE8039" w14:textId="3B40B8A7"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inorHAnsi"/>
        </w:rPr>
      </w:pPr>
      <w:r w:rsidRPr="00453A59">
        <w:rPr>
          <w:rFonts w:asciiTheme="majorHAnsi" w:hAnsiTheme="majorHAnsi" w:cstheme="minorHAnsi"/>
        </w:rPr>
        <w:t xml:space="preserve">Three multicentre, randomized, controlled, prospective Phase III trials were conducted using the same general </w:t>
      </w:r>
      <w:proofErr w:type="gramStart"/>
      <w:r w:rsidRPr="00453A59">
        <w:rPr>
          <w:rFonts w:asciiTheme="majorHAnsi" w:hAnsiTheme="majorHAnsi" w:cstheme="minorHAnsi"/>
        </w:rPr>
        <w:t>two part</w:t>
      </w:r>
      <w:proofErr w:type="gramEnd"/>
      <w:r w:rsidRPr="00453A59">
        <w:rPr>
          <w:rFonts w:asciiTheme="majorHAnsi" w:hAnsiTheme="majorHAnsi" w:cstheme="minorHAnsi"/>
        </w:rPr>
        <w:t xml:space="preserve"> design with </w:t>
      </w:r>
      <w:proofErr w:type="spellStart"/>
      <w:r w:rsidRPr="00453A59">
        <w:rPr>
          <w:rFonts w:asciiTheme="majorHAnsi" w:hAnsiTheme="majorHAnsi" w:cstheme="minorHAnsi"/>
        </w:rPr>
        <w:t>V</w:t>
      </w:r>
      <w:r w:rsidR="008C4D33" w:rsidRPr="00453A59">
        <w:rPr>
          <w:rFonts w:asciiTheme="majorHAnsi" w:hAnsiTheme="majorHAnsi" w:cstheme="minorHAnsi"/>
        </w:rPr>
        <w:t>eraSeal</w:t>
      </w:r>
      <w:proofErr w:type="spellEnd"/>
      <w:r w:rsidRPr="00453A59">
        <w:rPr>
          <w:rFonts w:asciiTheme="majorHAnsi" w:hAnsiTheme="majorHAnsi" w:cstheme="minorHAnsi"/>
        </w:rPr>
        <w:t xml:space="preserve"> and </w:t>
      </w:r>
      <w:proofErr w:type="spellStart"/>
      <w:r w:rsidRPr="00453A59">
        <w:rPr>
          <w:rFonts w:asciiTheme="majorHAnsi" w:hAnsiTheme="majorHAnsi" w:cstheme="minorHAnsi"/>
        </w:rPr>
        <w:t>Fibrijet</w:t>
      </w:r>
      <w:proofErr w:type="spellEnd"/>
      <w:r w:rsidRPr="00453A59">
        <w:rPr>
          <w:rFonts w:asciiTheme="majorHAnsi" w:hAnsiTheme="majorHAnsi" w:cstheme="minorHAnsi"/>
        </w:rPr>
        <w:t xml:space="preserve">® drip or gas-assisted spray applicators. Distance between the spray applicator and the surface of the target area was at least 10 cm and the gas pressure set between 1 to 1.75 bar. </w:t>
      </w:r>
    </w:p>
    <w:p w14:paraId="7A19F39A" w14:textId="0D5A387B"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inorHAnsi"/>
        </w:rPr>
      </w:pPr>
      <w:r w:rsidRPr="00453A59">
        <w:rPr>
          <w:rFonts w:asciiTheme="majorHAnsi" w:hAnsiTheme="majorHAnsi" w:cstheme="minorHAnsi"/>
        </w:rPr>
        <w:t xml:space="preserve">Preliminary Part I consisted of an open label treatment of the first 2 patients randomized to the treatment groups (except for manual compression, MC) at each centre site, to familiarize the </w:t>
      </w:r>
      <w:r w:rsidRPr="00453A59">
        <w:rPr>
          <w:rFonts w:asciiTheme="majorHAnsi" w:hAnsiTheme="majorHAnsi" w:cstheme="minorHAnsi"/>
        </w:rPr>
        <w:lastRenderedPageBreak/>
        <w:t xml:space="preserve">study teams with application of </w:t>
      </w:r>
      <w:proofErr w:type="spellStart"/>
      <w:r w:rsidR="008C4D33" w:rsidRPr="00453A59">
        <w:rPr>
          <w:rFonts w:asciiTheme="majorHAnsi" w:hAnsiTheme="majorHAnsi" w:cstheme="minorHAnsi"/>
        </w:rPr>
        <w:t>VeraSeal</w:t>
      </w:r>
      <w:proofErr w:type="spellEnd"/>
      <w:r w:rsidRPr="00453A59">
        <w:rPr>
          <w:rFonts w:asciiTheme="majorHAnsi" w:hAnsiTheme="majorHAnsi" w:cstheme="minorHAnsi"/>
        </w:rPr>
        <w:t xml:space="preserve"> and intra-operative procedures as well as for safety assessment. The Primary Part II involved safety and efficacy assessment in patients randomized to </w:t>
      </w:r>
      <w:proofErr w:type="spellStart"/>
      <w:r w:rsidR="008C4D33" w:rsidRPr="00453A59">
        <w:rPr>
          <w:rFonts w:asciiTheme="majorHAnsi" w:hAnsiTheme="majorHAnsi" w:cstheme="minorHAnsi"/>
        </w:rPr>
        <w:t>VeraSeal</w:t>
      </w:r>
      <w:proofErr w:type="spellEnd"/>
      <w:r w:rsidRPr="00453A59">
        <w:rPr>
          <w:rFonts w:asciiTheme="majorHAnsi" w:hAnsiTheme="majorHAnsi" w:cstheme="minorHAnsi"/>
        </w:rPr>
        <w:t xml:space="preserve"> or an active control treatment (MC or oxidized regenerated cellulose). In both parts of the studies, patients underwent an elective (non-emergency), open (non-laparoscopic) surgical procedure, wherein a target bleeding site (TBS) of moderate intensity was identified. The TBS was determined by the investigator (the surgeon), if the control of bleeding by conventional surgical techniques (including suture, ligature, and cautery) was ineffective or impractical, and required an adjunct treatment to achieve </w:t>
      </w:r>
      <w:proofErr w:type="spellStart"/>
      <w:r w:rsidRPr="00453A59">
        <w:rPr>
          <w:rFonts w:asciiTheme="majorHAnsi" w:hAnsiTheme="majorHAnsi" w:cstheme="minorHAnsi"/>
        </w:rPr>
        <w:t>hemostasis</w:t>
      </w:r>
      <w:proofErr w:type="spellEnd"/>
      <w:r w:rsidRPr="00453A59">
        <w:rPr>
          <w:rFonts w:asciiTheme="majorHAnsi" w:hAnsiTheme="majorHAnsi" w:cstheme="minorHAnsi"/>
        </w:rPr>
        <w:t xml:space="preserve">. </w:t>
      </w:r>
    </w:p>
    <w:p w14:paraId="457199D6" w14:textId="1717A4B2" w:rsidR="002223AB" w:rsidRPr="00453A59" w:rsidRDefault="002223AB" w:rsidP="00693361">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inorHAnsi"/>
        </w:rPr>
      </w:pPr>
      <w:r w:rsidRPr="00453A59">
        <w:rPr>
          <w:rFonts w:asciiTheme="majorHAnsi" w:hAnsiTheme="majorHAnsi" w:cstheme="minorHAnsi"/>
        </w:rPr>
        <w:t xml:space="preserve">In all three studies, the primary efficacy endpoint was the proportion of patients achieving </w:t>
      </w:r>
      <w:proofErr w:type="spellStart"/>
      <w:r w:rsidRPr="00453A59">
        <w:rPr>
          <w:rFonts w:asciiTheme="majorHAnsi" w:hAnsiTheme="majorHAnsi" w:cstheme="minorHAnsi"/>
        </w:rPr>
        <w:t>hemostasis</w:t>
      </w:r>
      <w:proofErr w:type="spellEnd"/>
      <w:r w:rsidRPr="00453A59">
        <w:rPr>
          <w:rFonts w:asciiTheme="majorHAnsi" w:hAnsiTheme="majorHAnsi" w:cstheme="minorHAnsi"/>
        </w:rPr>
        <w:t xml:space="preserve"> at the TBS by four minutes (T4) following treatment application, without re-bleeding until completion of the surgical closure within a 10 minutes observation period. Re-application of treatment was permitted within the first 4 minutes of </w:t>
      </w:r>
      <w:proofErr w:type="spellStart"/>
      <w:r w:rsidRPr="00453A59">
        <w:rPr>
          <w:rFonts w:asciiTheme="majorHAnsi" w:hAnsiTheme="majorHAnsi" w:cstheme="minorHAnsi"/>
        </w:rPr>
        <w:t>hemostasis</w:t>
      </w:r>
      <w:proofErr w:type="spellEnd"/>
      <w:r w:rsidRPr="00453A59">
        <w:rPr>
          <w:rFonts w:asciiTheme="majorHAnsi" w:hAnsiTheme="majorHAnsi" w:cstheme="minorHAnsi"/>
        </w:rPr>
        <w:t xml:space="preserve"> assessment, after which persistent bleeding or re-bleeding was considered treatment failure.</w:t>
      </w:r>
    </w:p>
    <w:p w14:paraId="32277E09" w14:textId="77777777"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
        </w:rPr>
      </w:pPr>
      <w:r w:rsidRPr="00453A59">
        <w:rPr>
          <w:rFonts w:asciiTheme="majorHAnsi" w:hAnsiTheme="majorHAnsi" w:cs="Arial"/>
          <w:b/>
        </w:rPr>
        <w:t>Study IG1101</w:t>
      </w:r>
    </w:p>
    <w:p w14:paraId="301AEA33" w14:textId="1ADE5014"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453A59">
        <w:rPr>
          <w:rFonts w:asciiTheme="majorHAnsi" w:hAnsiTheme="majorHAnsi" w:cs="Arial"/>
        </w:rPr>
        <w:t xml:space="preserve">Study IG1101 was a superiority trial where patients were randomized to </w:t>
      </w:r>
      <w:proofErr w:type="spellStart"/>
      <w:r w:rsidR="008C4D33" w:rsidRPr="00453A59">
        <w:rPr>
          <w:rFonts w:asciiTheme="majorHAnsi" w:hAnsiTheme="majorHAnsi" w:cstheme="minorHAnsi"/>
        </w:rPr>
        <w:t>VeraSeal</w:t>
      </w:r>
      <w:proofErr w:type="spellEnd"/>
      <w:r w:rsidRPr="00453A59">
        <w:rPr>
          <w:rFonts w:asciiTheme="majorHAnsi" w:hAnsiTheme="majorHAnsi" w:cs="Arial"/>
        </w:rPr>
        <w:t xml:space="preserve"> or manual compression (gauzes or laparotomy pads) at a 2:1 ratio during Part II. A total of 225 adult patients were enrolled and underwent vascular surgical procedures utilizing polytetrafluoroethylene graft material on end-to-side arterial anastomosis or on upper extremity vascular access arterial anastomosis. Anticoagulation treatment with heparin was required before arterial clamping. The most frequent surgery types were femoral-popliteal bypass grafting, upper extremity vascular access for </w:t>
      </w:r>
      <w:proofErr w:type="spellStart"/>
      <w:r w:rsidRPr="00453A59">
        <w:rPr>
          <w:rFonts w:asciiTheme="majorHAnsi" w:hAnsiTheme="majorHAnsi" w:cs="Arial"/>
        </w:rPr>
        <w:t>hemodialysis</w:t>
      </w:r>
      <w:proofErr w:type="spellEnd"/>
      <w:r w:rsidRPr="00453A59">
        <w:rPr>
          <w:rFonts w:asciiTheme="majorHAnsi" w:hAnsiTheme="majorHAnsi" w:cs="Arial"/>
        </w:rPr>
        <w:t xml:space="preserve">, and ilio-femoral bypass grafting. These 3 surgery types accounted for about 80% of all protocol eligible surgery types. The frequencies for all 3 surgery types were consistent between the 2 treatment groups. No </w:t>
      </w:r>
      <w:proofErr w:type="spellStart"/>
      <w:r w:rsidRPr="00453A59">
        <w:rPr>
          <w:rFonts w:asciiTheme="majorHAnsi" w:hAnsiTheme="majorHAnsi" w:cs="Arial"/>
        </w:rPr>
        <w:t>pediatric</w:t>
      </w:r>
      <w:proofErr w:type="spellEnd"/>
      <w:r w:rsidRPr="00453A59">
        <w:rPr>
          <w:rFonts w:asciiTheme="majorHAnsi" w:hAnsiTheme="majorHAnsi" w:cs="Arial"/>
        </w:rPr>
        <w:t xml:space="preserve"> patients were enrolled in this study.</w:t>
      </w:r>
    </w:p>
    <w:p w14:paraId="13977295" w14:textId="77777777"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
        </w:rPr>
      </w:pPr>
      <w:r w:rsidRPr="00453A59">
        <w:rPr>
          <w:rFonts w:asciiTheme="majorHAnsi" w:hAnsiTheme="majorHAnsi" w:cs="Arial"/>
          <w:b/>
        </w:rPr>
        <w:t>Study IG1102</w:t>
      </w:r>
    </w:p>
    <w:p w14:paraId="34137F9E" w14:textId="5F6D2046"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hAnsiTheme="majorHAnsi" w:cs="Arial"/>
        </w:rPr>
      </w:pPr>
      <w:r w:rsidRPr="00453A59">
        <w:rPr>
          <w:rFonts w:asciiTheme="majorHAnsi" w:hAnsiTheme="majorHAnsi" w:cs="Arial"/>
        </w:rPr>
        <w:t xml:space="preserve">Study IG1102 was a non-inferiority trial where patients were randomized to </w:t>
      </w:r>
      <w:proofErr w:type="spellStart"/>
      <w:r w:rsidR="008C4D33" w:rsidRPr="00453A59">
        <w:rPr>
          <w:rFonts w:asciiTheme="majorHAnsi" w:hAnsiTheme="majorHAnsi" w:cstheme="minorHAnsi"/>
        </w:rPr>
        <w:t>VeraSeal</w:t>
      </w:r>
      <w:proofErr w:type="spellEnd"/>
      <w:r w:rsidRPr="00453A59">
        <w:rPr>
          <w:rFonts w:asciiTheme="majorHAnsi" w:hAnsiTheme="majorHAnsi" w:cs="Arial"/>
        </w:rPr>
        <w:t xml:space="preserve"> or oxidized regenerated cellulose at a 1:1 ratio during both Parts I and II. A total of 325 patients were enrolled and underwent </w:t>
      </w:r>
      <w:proofErr w:type="gramStart"/>
      <w:r w:rsidRPr="00453A59">
        <w:rPr>
          <w:rFonts w:asciiTheme="majorHAnsi" w:hAnsiTheme="majorHAnsi" w:cs="Arial"/>
        </w:rPr>
        <w:t>an</w:t>
      </w:r>
      <w:proofErr w:type="gramEnd"/>
      <w:r w:rsidRPr="00453A59">
        <w:rPr>
          <w:rFonts w:asciiTheme="majorHAnsi" w:hAnsiTheme="majorHAnsi" w:cs="Arial"/>
        </w:rPr>
        <w:t xml:space="preserve"> hepatic resection surgical procedure, including 5 </w:t>
      </w:r>
      <w:proofErr w:type="spellStart"/>
      <w:r w:rsidRPr="00453A59">
        <w:rPr>
          <w:rFonts w:asciiTheme="majorHAnsi" w:hAnsiTheme="majorHAnsi" w:cs="Arial"/>
        </w:rPr>
        <w:t>pediatric</w:t>
      </w:r>
      <w:proofErr w:type="spellEnd"/>
      <w:r w:rsidRPr="00453A59">
        <w:rPr>
          <w:rFonts w:asciiTheme="majorHAnsi" w:hAnsiTheme="majorHAnsi" w:cs="Arial"/>
        </w:rPr>
        <w:t xml:space="preserve"> patients ≤ 16 years enrolled only in Part I (2 </w:t>
      </w:r>
      <w:proofErr w:type="spellStart"/>
      <w:r w:rsidR="008C4D33" w:rsidRPr="00453A59">
        <w:rPr>
          <w:rFonts w:asciiTheme="majorHAnsi" w:hAnsiTheme="majorHAnsi" w:cstheme="minorHAnsi"/>
        </w:rPr>
        <w:t>VeraSeal</w:t>
      </w:r>
      <w:proofErr w:type="spellEnd"/>
      <w:r w:rsidRPr="00453A59">
        <w:rPr>
          <w:rFonts w:asciiTheme="majorHAnsi" w:hAnsiTheme="majorHAnsi" w:cs="Arial"/>
        </w:rPr>
        <w:t xml:space="preserve"> and 3 Control patients). No </w:t>
      </w:r>
      <w:proofErr w:type="spellStart"/>
      <w:r w:rsidRPr="00453A59">
        <w:rPr>
          <w:rFonts w:asciiTheme="majorHAnsi" w:hAnsiTheme="majorHAnsi" w:cs="Arial"/>
        </w:rPr>
        <w:t>pediatric</w:t>
      </w:r>
      <w:proofErr w:type="spellEnd"/>
      <w:r w:rsidRPr="00453A59">
        <w:rPr>
          <w:rFonts w:asciiTheme="majorHAnsi" w:hAnsiTheme="majorHAnsi" w:cs="Arial"/>
        </w:rPr>
        <w:t xml:space="preserve"> patients were enrolled in the Primary Part (II) of the study.</w:t>
      </w:r>
    </w:p>
    <w:p w14:paraId="6B13A0CB" w14:textId="77777777"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hAnsiTheme="majorHAnsi" w:cs="Arial"/>
        </w:rPr>
      </w:pPr>
    </w:p>
    <w:p w14:paraId="6B0C8820" w14:textId="77777777"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
        </w:rPr>
      </w:pPr>
      <w:r w:rsidRPr="00453A59">
        <w:rPr>
          <w:rFonts w:asciiTheme="majorHAnsi" w:hAnsiTheme="majorHAnsi" w:cs="Arial"/>
          <w:b/>
        </w:rPr>
        <w:t>Study IG1103</w:t>
      </w:r>
    </w:p>
    <w:p w14:paraId="5ACF218B" w14:textId="4892C8ED"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hAnsiTheme="majorHAnsi" w:cs="Arial"/>
        </w:rPr>
      </w:pPr>
      <w:r w:rsidRPr="00453A59">
        <w:rPr>
          <w:rFonts w:asciiTheme="majorHAnsi" w:hAnsiTheme="majorHAnsi" w:cs="Arial"/>
        </w:rPr>
        <w:t xml:space="preserve">Study IG1103 was a non-inferiority trial where patients were randomized to </w:t>
      </w:r>
      <w:proofErr w:type="spellStart"/>
      <w:r w:rsidR="008C4D33" w:rsidRPr="00453A59">
        <w:rPr>
          <w:rFonts w:asciiTheme="majorHAnsi" w:hAnsiTheme="majorHAnsi" w:cstheme="minorHAnsi"/>
        </w:rPr>
        <w:t>VeraSeal</w:t>
      </w:r>
      <w:proofErr w:type="spellEnd"/>
      <w:r w:rsidRPr="00453A59">
        <w:rPr>
          <w:rFonts w:asciiTheme="majorHAnsi" w:hAnsiTheme="majorHAnsi" w:cs="Arial"/>
        </w:rPr>
        <w:t xml:space="preserve"> or oxidized regenerated cellulose at a 1:1 ratio during both Parts I and II. A total of 327 patients were enrolled and underwent pelvic and retroperitoneal surgical procedures, and abdominoplasties and mastopexies. The most frequent surgery types were simple or radical hysterectomies, abdominoplasties, and radical cystectomies. There were 9 </w:t>
      </w:r>
      <w:proofErr w:type="spellStart"/>
      <w:r w:rsidRPr="00453A59">
        <w:rPr>
          <w:rFonts w:asciiTheme="majorHAnsi" w:hAnsiTheme="majorHAnsi" w:cs="Arial"/>
        </w:rPr>
        <w:t>pediatric</w:t>
      </w:r>
      <w:proofErr w:type="spellEnd"/>
      <w:r w:rsidRPr="00453A59">
        <w:rPr>
          <w:rFonts w:asciiTheme="majorHAnsi" w:hAnsiTheme="majorHAnsi" w:cs="Arial"/>
        </w:rPr>
        <w:t xml:space="preserve"> patients in the </w:t>
      </w:r>
      <w:proofErr w:type="spellStart"/>
      <w:r w:rsidR="008C4D33" w:rsidRPr="00453A59">
        <w:rPr>
          <w:rFonts w:asciiTheme="majorHAnsi" w:hAnsiTheme="majorHAnsi" w:cstheme="minorHAnsi"/>
        </w:rPr>
        <w:t>VeraSeal</w:t>
      </w:r>
      <w:proofErr w:type="spellEnd"/>
      <w:r w:rsidRPr="00453A59">
        <w:rPr>
          <w:rFonts w:asciiTheme="majorHAnsi" w:hAnsiTheme="majorHAnsi" w:cs="Arial"/>
        </w:rPr>
        <w:t xml:space="preserve"> treatment group and 9 </w:t>
      </w:r>
      <w:proofErr w:type="spellStart"/>
      <w:r w:rsidRPr="00453A59">
        <w:rPr>
          <w:rFonts w:asciiTheme="majorHAnsi" w:hAnsiTheme="majorHAnsi" w:cs="Arial"/>
        </w:rPr>
        <w:t>pediatrics</w:t>
      </w:r>
      <w:proofErr w:type="spellEnd"/>
      <w:r w:rsidRPr="00453A59">
        <w:rPr>
          <w:rFonts w:asciiTheme="majorHAnsi" w:hAnsiTheme="majorHAnsi" w:cs="Arial"/>
        </w:rPr>
        <w:t xml:space="preserve"> in the control group. All were included in the safety assessment (i.e. Parts I and II), however only one adolescent aged 15 years was enrolled during Part II.</w:t>
      </w:r>
    </w:p>
    <w:p w14:paraId="38731145" w14:textId="2B5686A8" w:rsidR="002223AB" w:rsidRPr="00453A59" w:rsidRDefault="002223AB" w:rsidP="002223AB">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
        </w:rPr>
      </w:pPr>
      <w:r w:rsidRPr="00453A59">
        <w:rPr>
          <w:rFonts w:asciiTheme="majorHAnsi" w:hAnsiTheme="majorHAnsi" w:cs="Arial"/>
          <w:b/>
        </w:rPr>
        <w:lastRenderedPageBreak/>
        <w:t xml:space="preserve">Table </w:t>
      </w:r>
      <w:r w:rsidR="00156FBF" w:rsidRPr="00453A59">
        <w:rPr>
          <w:rFonts w:asciiTheme="majorHAnsi" w:hAnsiTheme="majorHAnsi" w:cs="Arial"/>
          <w:b/>
        </w:rPr>
        <w:t>5</w:t>
      </w:r>
      <w:r w:rsidRPr="00453A59">
        <w:rPr>
          <w:rFonts w:asciiTheme="majorHAnsi" w:hAnsiTheme="majorHAnsi" w:cs="Arial"/>
          <w:b/>
        </w:rPr>
        <w:t xml:space="preserve"> - Results of studies IG1101, IG1102 and IG1103 in Vascular Surgery, Parenchymal Tissue Surgery and Soft Tissue Surgery (ITT </w:t>
      </w:r>
      <w:proofErr w:type="gramStart"/>
      <w:r w:rsidRPr="00453A59">
        <w:rPr>
          <w:rFonts w:asciiTheme="majorHAnsi" w:hAnsiTheme="majorHAnsi" w:cs="Arial"/>
          <w:b/>
        </w:rPr>
        <w:t>Population)*</w:t>
      </w:r>
      <w:proofErr w:type="gramEnd"/>
    </w:p>
    <w:tbl>
      <w:tblPr>
        <w:tblW w:w="92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806"/>
        <w:gridCol w:w="1148"/>
        <w:gridCol w:w="1724"/>
        <w:gridCol w:w="1985"/>
        <w:gridCol w:w="1624"/>
        <w:gridCol w:w="927"/>
      </w:tblGrid>
      <w:tr w:rsidR="002223AB" w:rsidRPr="00453A59" w14:paraId="4084C862" w14:textId="77777777" w:rsidTr="00945012">
        <w:trPr>
          <w:cantSplit/>
        </w:trPr>
        <w:tc>
          <w:tcPr>
            <w:tcW w:w="1806" w:type="dxa"/>
            <w:shd w:val="clear" w:color="auto" w:fill="F2F2F2"/>
            <w:vAlign w:val="center"/>
          </w:tcPr>
          <w:p w14:paraId="316A5810"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0"/>
              <w:jc w:val="center"/>
              <w:rPr>
                <w:rFonts w:asciiTheme="majorHAnsi" w:hAnsiTheme="majorHAnsi" w:cs="Arial"/>
                <w:b/>
              </w:rPr>
            </w:pPr>
            <w:r w:rsidRPr="00453A59">
              <w:rPr>
                <w:rFonts w:asciiTheme="majorHAnsi" w:hAnsiTheme="majorHAnsi" w:cs="Arial"/>
                <w:b/>
              </w:rPr>
              <w:t>Primary</w:t>
            </w:r>
          </w:p>
          <w:p w14:paraId="57C1290A"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jc w:val="center"/>
              <w:rPr>
                <w:rFonts w:asciiTheme="majorHAnsi" w:hAnsiTheme="majorHAnsi" w:cs="Arial"/>
              </w:rPr>
            </w:pPr>
            <w:r w:rsidRPr="00453A59">
              <w:rPr>
                <w:rFonts w:asciiTheme="majorHAnsi" w:hAnsiTheme="majorHAnsi" w:cs="Arial"/>
                <w:b/>
              </w:rPr>
              <w:t>Endpoint</w:t>
            </w:r>
          </w:p>
        </w:tc>
        <w:tc>
          <w:tcPr>
            <w:tcW w:w="1148" w:type="dxa"/>
            <w:shd w:val="clear" w:color="auto" w:fill="F2F2F2"/>
            <w:vAlign w:val="center"/>
          </w:tcPr>
          <w:p w14:paraId="28504C8F"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b/>
              </w:rPr>
              <w:t>Study #</w:t>
            </w:r>
          </w:p>
        </w:tc>
        <w:tc>
          <w:tcPr>
            <w:tcW w:w="1724" w:type="dxa"/>
            <w:shd w:val="clear" w:color="auto" w:fill="F2F2F2"/>
            <w:vAlign w:val="center"/>
          </w:tcPr>
          <w:p w14:paraId="2B95E151" w14:textId="6EE32978"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heme="majorHAnsi" w:hAnsiTheme="majorHAnsi" w:cs="Arial"/>
                <w:b/>
                <w:lang w:val="pt-BR"/>
              </w:rPr>
            </w:pPr>
            <w:r w:rsidRPr="00453A59">
              <w:rPr>
                <w:rFonts w:asciiTheme="majorHAnsi" w:hAnsiTheme="majorHAnsi" w:cs="Arial"/>
                <w:b/>
                <w:lang w:val="pt-BR"/>
              </w:rPr>
              <w:t>V</w:t>
            </w:r>
            <w:r w:rsidR="008C4D33" w:rsidRPr="00453A59">
              <w:rPr>
                <w:rFonts w:asciiTheme="majorHAnsi" w:hAnsiTheme="majorHAnsi" w:cs="Arial"/>
                <w:b/>
                <w:lang w:val="pt-BR"/>
              </w:rPr>
              <w:t>eraSeal</w:t>
            </w:r>
            <w:r w:rsidRPr="00453A59">
              <w:rPr>
                <w:rFonts w:asciiTheme="majorHAnsi" w:hAnsiTheme="majorHAnsi" w:cs="Arial"/>
                <w:b/>
                <w:lang w:val="pt-BR"/>
              </w:rPr>
              <w:t xml:space="preserve"> %</w:t>
            </w:r>
          </w:p>
          <w:p w14:paraId="2FF1B253"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heme="majorHAnsi" w:hAnsiTheme="majorHAnsi" w:cs="Arial"/>
                <w:lang w:val="pt-BR"/>
              </w:rPr>
            </w:pPr>
            <w:r w:rsidRPr="00453A59">
              <w:rPr>
                <w:rFonts w:asciiTheme="majorHAnsi" w:hAnsiTheme="majorHAnsi" w:cs="Arial"/>
                <w:b/>
                <w:lang w:val="pt-BR"/>
              </w:rPr>
              <w:t>(n/N)</w:t>
            </w:r>
          </w:p>
        </w:tc>
        <w:tc>
          <w:tcPr>
            <w:tcW w:w="1985" w:type="dxa"/>
            <w:shd w:val="clear" w:color="auto" w:fill="F2F2F2"/>
            <w:vAlign w:val="center"/>
          </w:tcPr>
          <w:p w14:paraId="6652E215"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heme="majorHAnsi" w:hAnsiTheme="majorHAnsi" w:cs="Arial"/>
                <w:b/>
                <w:lang w:val="en-US"/>
              </w:rPr>
            </w:pPr>
            <w:r w:rsidRPr="00453A59">
              <w:rPr>
                <w:rFonts w:asciiTheme="majorHAnsi" w:hAnsiTheme="majorHAnsi" w:cs="Arial"/>
                <w:b/>
                <w:lang w:val="en-US"/>
              </w:rPr>
              <w:t xml:space="preserve">Active Control % </w:t>
            </w:r>
          </w:p>
          <w:p w14:paraId="14B827D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0"/>
              <w:jc w:val="center"/>
              <w:rPr>
                <w:rFonts w:asciiTheme="majorHAnsi" w:hAnsiTheme="majorHAnsi" w:cs="Arial"/>
                <w:b/>
                <w:lang w:val="pt-BR"/>
              </w:rPr>
            </w:pPr>
            <w:r w:rsidRPr="00453A59">
              <w:rPr>
                <w:rFonts w:asciiTheme="majorHAnsi" w:hAnsiTheme="majorHAnsi" w:cs="Arial"/>
                <w:b/>
                <w:lang w:val="pt-BR"/>
              </w:rPr>
              <w:t>(n/N)</w:t>
            </w:r>
          </w:p>
        </w:tc>
        <w:tc>
          <w:tcPr>
            <w:tcW w:w="1624" w:type="dxa"/>
            <w:shd w:val="clear" w:color="auto" w:fill="F2F2F2"/>
            <w:vAlign w:val="center"/>
          </w:tcPr>
          <w:p w14:paraId="77DDC96F"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b/>
                <w:lang w:val="pt-BR"/>
              </w:rPr>
            </w:pPr>
            <w:r w:rsidRPr="00453A59">
              <w:rPr>
                <w:rFonts w:asciiTheme="majorHAnsi" w:hAnsiTheme="majorHAnsi" w:cs="Arial"/>
                <w:b/>
                <w:lang w:val="pt-BR"/>
              </w:rPr>
              <w:t>RR</w:t>
            </w:r>
            <w:r w:rsidRPr="00453A59">
              <w:rPr>
                <w:rFonts w:asciiTheme="majorHAnsi" w:hAnsiTheme="majorHAnsi" w:cs="Arial"/>
                <w:b/>
                <w:vertAlign w:val="superscript"/>
                <w:lang w:val="pt-BR"/>
              </w:rPr>
              <w:t>a</w:t>
            </w:r>
          </w:p>
          <w:p w14:paraId="12858F1A"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b/>
                <w:lang w:val="pt-BR"/>
              </w:rPr>
            </w:pPr>
            <w:r w:rsidRPr="00453A59">
              <w:rPr>
                <w:rFonts w:asciiTheme="majorHAnsi" w:hAnsiTheme="majorHAnsi" w:cs="Arial"/>
                <w:b/>
                <w:lang w:val="pt-BR"/>
              </w:rPr>
              <w:t>(95% CI)</w:t>
            </w:r>
            <w:r w:rsidRPr="00453A59">
              <w:rPr>
                <w:rFonts w:asciiTheme="majorHAnsi" w:hAnsiTheme="majorHAnsi" w:cs="Arial"/>
                <w:b/>
                <w:vertAlign w:val="superscript"/>
                <w:lang w:val="pt-BR"/>
              </w:rPr>
              <w:t>b</w:t>
            </w:r>
          </w:p>
        </w:tc>
        <w:tc>
          <w:tcPr>
            <w:tcW w:w="927" w:type="dxa"/>
            <w:shd w:val="clear" w:color="auto" w:fill="F2F2F2"/>
            <w:vAlign w:val="center"/>
          </w:tcPr>
          <w:p w14:paraId="28CFA1F4"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b/>
                <w:lang w:val="pt-BR"/>
              </w:rPr>
            </w:pPr>
            <w:r w:rsidRPr="00453A59">
              <w:rPr>
                <w:rFonts w:asciiTheme="majorHAnsi" w:hAnsiTheme="majorHAnsi" w:cs="Arial"/>
                <w:b/>
                <w:lang w:val="pt-BR"/>
              </w:rPr>
              <w:t>P-value</w:t>
            </w:r>
            <w:r w:rsidRPr="00453A59">
              <w:rPr>
                <w:rFonts w:asciiTheme="majorHAnsi" w:hAnsiTheme="majorHAnsi" w:cs="Arial"/>
                <w:b/>
                <w:vertAlign w:val="superscript"/>
                <w:lang w:val="pt-BR"/>
              </w:rPr>
              <w:t>c</w:t>
            </w:r>
          </w:p>
        </w:tc>
      </w:tr>
      <w:tr w:rsidR="002223AB" w:rsidRPr="00453A59" w14:paraId="47C253C3" w14:textId="77777777" w:rsidTr="00945012">
        <w:trPr>
          <w:cantSplit/>
          <w:trHeight w:val="594"/>
        </w:trPr>
        <w:tc>
          <w:tcPr>
            <w:tcW w:w="1806" w:type="dxa"/>
            <w:vMerge w:val="restart"/>
          </w:tcPr>
          <w:p w14:paraId="41084107"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asciiTheme="majorHAnsi" w:hAnsiTheme="majorHAnsi" w:cs="Arial"/>
              </w:rPr>
            </w:pPr>
            <w:r w:rsidRPr="00453A59">
              <w:rPr>
                <w:rFonts w:asciiTheme="majorHAnsi" w:hAnsiTheme="majorHAnsi" w:cs="Arial"/>
              </w:rPr>
              <w:t xml:space="preserve">Proportion of patients in Part II of the study achieving </w:t>
            </w:r>
            <w:proofErr w:type="spellStart"/>
            <w:r w:rsidRPr="00453A59">
              <w:rPr>
                <w:rFonts w:asciiTheme="majorHAnsi" w:hAnsiTheme="majorHAnsi" w:cs="Arial"/>
              </w:rPr>
              <w:t>hemostasis</w:t>
            </w:r>
            <w:proofErr w:type="spellEnd"/>
            <w:r w:rsidRPr="00453A59">
              <w:rPr>
                <w:rFonts w:asciiTheme="majorHAnsi" w:hAnsiTheme="majorHAnsi" w:cs="Arial"/>
              </w:rPr>
              <w:t xml:space="preserve"> at the TBS by T</w:t>
            </w:r>
            <w:r w:rsidRPr="00453A59">
              <w:rPr>
                <w:rFonts w:asciiTheme="majorHAnsi" w:hAnsiTheme="majorHAnsi" w:cs="Arial"/>
                <w:vertAlign w:val="subscript"/>
              </w:rPr>
              <w:t>4</w:t>
            </w:r>
          </w:p>
        </w:tc>
        <w:tc>
          <w:tcPr>
            <w:tcW w:w="1148" w:type="dxa"/>
          </w:tcPr>
          <w:p w14:paraId="74B372D2"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IG1101</w:t>
            </w:r>
          </w:p>
        </w:tc>
        <w:tc>
          <w:tcPr>
            <w:tcW w:w="1724" w:type="dxa"/>
          </w:tcPr>
          <w:p w14:paraId="2348D4D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76.1</w:t>
            </w:r>
          </w:p>
          <w:p w14:paraId="3C1AA50F"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(83/109)</w:t>
            </w:r>
          </w:p>
        </w:tc>
        <w:tc>
          <w:tcPr>
            <w:tcW w:w="1985" w:type="dxa"/>
          </w:tcPr>
          <w:p w14:paraId="653AFF92"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22.8</w:t>
            </w:r>
          </w:p>
          <w:p w14:paraId="236B7D0D"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(13/57)</w:t>
            </w:r>
          </w:p>
        </w:tc>
        <w:tc>
          <w:tcPr>
            <w:tcW w:w="1624" w:type="dxa"/>
          </w:tcPr>
          <w:p w14:paraId="6DA91C9C"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3.3</w:t>
            </w:r>
          </w:p>
          <w:p w14:paraId="0BBB720E"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(2.0, 5.4)</w:t>
            </w:r>
          </w:p>
        </w:tc>
        <w:tc>
          <w:tcPr>
            <w:tcW w:w="927" w:type="dxa"/>
          </w:tcPr>
          <w:p w14:paraId="31132D6C"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&lt;0.001</w:t>
            </w:r>
          </w:p>
        </w:tc>
      </w:tr>
      <w:tr w:rsidR="002223AB" w:rsidRPr="00453A59" w14:paraId="5A82E59C" w14:textId="77777777" w:rsidTr="00945012">
        <w:trPr>
          <w:cantSplit/>
          <w:trHeight w:val="593"/>
        </w:trPr>
        <w:tc>
          <w:tcPr>
            <w:tcW w:w="1806" w:type="dxa"/>
            <w:vMerge/>
          </w:tcPr>
          <w:p w14:paraId="05143D48"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asciiTheme="majorHAnsi" w:hAnsiTheme="majorHAnsi" w:cs="Arial"/>
              </w:rPr>
            </w:pPr>
          </w:p>
        </w:tc>
        <w:tc>
          <w:tcPr>
            <w:tcW w:w="1148" w:type="dxa"/>
          </w:tcPr>
          <w:p w14:paraId="747F93AC"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IG1102</w:t>
            </w:r>
          </w:p>
        </w:tc>
        <w:tc>
          <w:tcPr>
            <w:tcW w:w="1724" w:type="dxa"/>
          </w:tcPr>
          <w:p w14:paraId="5D51273E"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92.8</w:t>
            </w:r>
          </w:p>
          <w:p w14:paraId="0D5B55CF"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(103/111)</w:t>
            </w:r>
          </w:p>
        </w:tc>
        <w:tc>
          <w:tcPr>
            <w:tcW w:w="1985" w:type="dxa"/>
          </w:tcPr>
          <w:p w14:paraId="03F7A957"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80.5</w:t>
            </w:r>
          </w:p>
          <w:p w14:paraId="4F28187D"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(91/113)</w:t>
            </w:r>
          </w:p>
        </w:tc>
        <w:tc>
          <w:tcPr>
            <w:tcW w:w="1624" w:type="dxa"/>
          </w:tcPr>
          <w:p w14:paraId="504061D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1.2</w:t>
            </w:r>
          </w:p>
          <w:p w14:paraId="50F6DE5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(1.0, 1.3)</w:t>
            </w:r>
          </w:p>
        </w:tc>
        <w:tc>
          <w:tcPr>
            <w:tcW w:w="927" w:type="dxa"/>
          </w:tcPr>
          <w:p w14:paraId="29BD340F"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p>
        </w:tc>
      </w:tr>
      <w:tr w:rsidR="002223AB" w:rsidRPr="00453A59" w14:paraId="3CA4DE73" w14:textId="77777777" w:rsidTr="00945012">
        <w:trPr>
          <w:cantSplit/>
          <w:trHeight w:val="593"/>
        </w:trPr>
        <w:tc>
          <w:tcPr>
            <w:tcW w:w="1806" w:type="dxa"/>
            <w:vMerge/>
          </w:tcPr>
          <w:p w14:paraId="6AAF7A6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asciiTheme="majorHAnsi" w:hAnsiTheme="majorHAnsi" w:cs="Arial"/>
              </w:rPr>
            </w:pPr>
          </w:p>
        </w:tc>
        <w:tc>
          <w:tcPr>
            <w:tcW w:w="1148" w:type="dxa"/>
          </w:tcPr>
          <w:p w14:paraId="68F85886"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IG1103</w:t>
            </w:r>
          </w:p>
        </w:tc>
        <w:tc>
          <w:tcPr>
            <w:tcW w:w="1724" w:type="dxa"/>
          </w:tcPr>
          <w:p w14:paraId="1A68FDF9"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82.8</w:t>
            </w:r>
          </w:p>
          <w:p w14:paraId="48E40582"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(96/116)</w:t>
            </w:r>
          </w:p>
        </w:tc>
        <w:tc>
          <w:tcPr>
            <w:tcW w:w="1985" w:type="dxa"/>
          </w:tcPr>
          <w:p w14:paraId="6EB43413"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77.8</w:t>
            </w:r>
          </w:p>
          <w:p w14:paraId="123EB3A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(84/108)</w:t>
            </w:r>
          </w:p>
        </w:tc>
        <w:tc>
          <w:tcPr>
            <w:tcW w:w="1624" w:type="dxa"/>
          </w:tcPr>
          <w:p w14:paraId="0A7F56DB"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1.1</w:t>
            </w:r>
          </w:p>
          <w:p w14:paraId="5233B7B8"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r w:rsidRPr="00453A59">
              <w:rPr>
                <w:rFonts w:asciiTheme="majorHAnsi" w:hAnsiTheme="majorHAnsi" w:cs="Arial"/>
              </w:rPr>
              <w:t>(0.9, 1.2)</w:t>
            </w:r>
          </w:p>
        </w:tc>
        <w:tc>
          <w:tcPr>
            <w:tcW w:w="927" w:type="dxa"/>
          </w:tcPr>
          <w:p w14:paraId="251BF579" w14:textId="77777777" w:rsidR="002223AB" w:rsidRPr="00453A59" w:rsidRDefault="002223AB" w:rsidP="00945012">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asciiTheme="majorHAnsi" w:hAnsiTheme="majorHAnsi" w:cs="Arial"/>
              </w:rPr>
            </w:pPr>
          </w:p>
        </w:tc>
      </w:tr>
    </w:tbl>
    <w:p w14:paraId="1BF6C429" w14:textId="01637CBF"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jc w:val="both"/>
        <w:rPr>
          <w:rFonts w:asciiTheme="majorHAnsi" w:hAnsiTheme="majorHAnsi" w:cs="Arial"/>
          <w:sz w:val="20"/>
          <w:szCs w:val="20"/>
        </w:rPr>
      </w:pPr>
      <w:r w:rsidRPr="00453A59">
        <w:rPr>
          <w:rFonts w:asciiTheme="majorHAnsi" w:hAnsiTheme="majorHAnsi" w:cs="Arial"/>
          <w:sz w:val="20"/>
          <w:szCs w:val="20"/>
        </w:rPr>
        <w:t xml:space="preserve">*Intent-to-treat (ITT) </w:t>
      </w:r>
      <w:proofErr w:type="gramStart"/>
      <w:r w:rsidRPr="00453A59">
        <w:rPr>
          <w:rFonts w:asciiTheme="majorHAnsi" w:hAnsiTheme="majorHAnsi" w:cs="Arial"/>
          <w:sz w:val="20"/>
          <w:szCs w:val="20"/>
        </w:rPr>
        <w:t>population:</w:t>
      </w:r>
      <w:proofErr w:type="gramEnd"/>
      <w:r w:rsidRPr="00453A59">
        <w:rPr>
          <w:rFonts w:asciiTheme="majorHAnsi" w:hAnsiTheme="majorHAnsi" w:cs="Arial"/>
          <w:sz w:val="20"/>
          <w:szCs w:val="20"/>
        </w:rPr>
        <w:t xml:space="preserve"> includes all patients randomized to </w:t>
      </w:r>
      <w:proofErr w:type="spellStart"/>
      <w:r w:rsidRPr="00453A59">
        <w:rPr>
          <w:rFonts w:asciiTheme="majorHAnsi" w:hAnsiTheme="majorHAnsi" w:cs="Arial"/>
          <w:sz w:val="20"/>
          <w:szCs w:val="20"/>
        </w:rPr>
        <w:t>V</w:t>
      </w:r>
      <w:r w:rsidR="008C4D33" w:rsidRPr="00453A59">
        <w:rPr>
          <w:rFonts w:asciiTheme="majorHAnsi" w:hAnsiTheme="majorHAnsi" w:cs="Arial"/>
          <w:sz w:val="20"/>
          <w:szCs w:val="20"/>
        </w:rPr>
        <w:t>eraSeal</w:t>
      </w:r>
      <w:proofErr w:type="spellEnd"/>
      <w:r w:rsidRPr="00453A59">
        <w:rPr>
          <w:rFonts w:asciiTheme="majorHAnsi" w:hAnsiTheme="majorHAnsi" w:cs="Arial"/>
          <w:sz w:val="20"/>
          <w:szCs w:val="20"/>
        </w:rPr>
        <w:t xml:space="preserve"> or control.</w:t>
      </w:r>
    </w:p>
    <w:p w14:paraId="64D01F53" w14:textId="77777777"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hAnsiTheme="majorHAnsi" w:cs="Arial"/>
          <w:sz w:val="20"/>
          <w:szCs w:val="20"/>
        </w:rPr>
      </w:pPr>
      <w:r w:rsidRPr="00453A59">
        <w:rPr>
          <w:rFonts w:asciiTheme="majorHAnsi" w:hAnsiTheme="majorHAnsi" w:cs="Arial"/>
          <w:sz w:val="20"/>
          <w:szCs w:val="20"/>
        </w:rPr>
        <w:t>T</w:t>
      </w:r>
      <w:r w:rsidRPr="00453A59">
        <w:rPr>
          <w:rFonts w:asciiTheme="majorHAnsi" w:hAnsiTheme="majorHAnsi" w:cs="Arial"/>
          <w:sz w:val="20"/>
          <w:szCs w:val="20"/>
          <w:vertAlign w:val="subscript"/>
        </w:rPr>
        <w:t>4</w:t>
      </w:r>
      <w:r w:rsidRPr="00453A59">
        <w:rPr>
          <w:rFonts w:asciiTheme="majorHAnsi" w:hAnsiTheme="majorHAnsi" w:cs="Arial"/>
          <w:sz w:val="20"/>
          <w:szCs w:val="20"/>
        </w:rPr>
        <w:t xml:space="preserve">: </w:t>
      </w:r>
      <w:proofErr w:type="spellStart"/>
      <w:r w:rsidRPr="00453A59">
        <w:rPr>
          <w:rFonts w:asciiTheme="majorHAnsi" w:hAnsiTheme="majorHAnsi" w:cs="Arial"/>
          <w:sz w:val="20"/>
          <w:szCs w:val="20"/>
        </w:rPr>
        <w:t>hemostatic</w:t>
      </w:r>
      <w:proofErr w:type="spellEnd"/>
      <w:r w:rsidRPr="00453A59">
        <w:rPr>
          <w:rFonts w:asciiTheme="majorHAnsi" w:hAnsiTheme="majorHAnsi" w:cs="Arial"/>
          <w:sz w:val="20"/>
          <w:szCs w:val="20"/>
        </w:rPr>
        <w:t xml:space="preserve"> assessment at 4 minutes following </w:t>
      </w:r>
      <w:proofErr w:type="spellStart"/>
      <w:r w:rsidRPr="00453A59">
        <w:rPr>
          <w:rFonts w:asciiTheme="majorHAnsi" w:hAnsiTheme="majorHAnsi" w:cs="Arial"/>
          <w:sz w:val="20"/>
          <w:szCs w:val="20"/>
        </w:rPr>
        <w:t>T</w:t>
      </w:r>
      <w:r w:rsidRPr="00453A59">
        <w:rPr>
          <w:rFonts w:asciiTheme="majorHAnsi" w:hAnsiTheme="majorHAnsi" w:cs="Arial"/>
          <w:sz w:val="20"/>
          <w:szCs w:val="20"/>
          <w:vertAlign w:val="subscript"/>
        </w:rPr>
        <w:t>Start</w:t>
      </w:r>
      <w:proofErr w:type="spellEnd"/>
      <w:r w:rsidRPr="00453A59">
        <w:rPr>
          <w:rFonts w:asciiTheme="majorHAnsi" w:hAnsiTheme="majorHAnsi" w:cs="Arial"/>
          <w:sz w:val="20"/>
          <w:szCs w:val="20"/>
          <w:vertAlign w:val="subscript"/>
        </w:rPr>
        <w:t xml:space="preserve"> </w:t>
      </w:r>
      <w:r w:rsidRPr="00453A59">
        <w:rPr>
          <w:rFonts w:asciiTheme="majorHAnsi" w:hAnsiTheme="majorHAnsi" w:cs="Arial"/>
          <w:sz w:val="20"/>
          <w:szCs w:val="20"/>
        </w:rPr>
        <w:t>(start of treatment application).</w:t>
      </w:r>
    </w:p>
    <w:p w14:paraId="1F4EA977" w14:textId="4C7E6FAE"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hAnsiTheme="majorHAnsi" w:cs="Arial"/>
          <w:sz w:val="20"/>
          <w:szCs w:val="20"/>
        </w:rPr>
      </w:pPr>
      <w:r w:rsidRPr="00453A59">
        <w:rPr>
          <w:rFonts w:asciiTheme="majorHAnsi" w:hAnsiTheme="majorHAnsi" w:cs="Arial"/>
          <w:sz w:val="20"/>
          <w:szCs w:val="20"/>
          <w:vertAlign w:val="superscript"/>
        </w:rPr>
        <w:t>a</w:t>
      </w:r>
      <w:r w:rsidRPr="00453A59">
        <w:rPr>
          <w:rFonts w:asciiTheme="majorHAnsi" w:hAnsiTheme="majorHAnsi" w:cs="Arial"/>
          <w:sz w:val="20"/>
          <w:szCs w:val="20"/>
        </w:rPr>
        <w:t>: Risk ratio (RR) was the estimated ratio of the proportion of patients meeting the primary efficacy endpoint in the 2 treatment groups in Part II (</w:t>
      </w:r>
      <w:proofErr w:type="spellStart"/>
      <w:r w:rsidRPr="00453A59">
        <w:rPr>
          <w:rFonts w:asciiTheme="majorHAnsi" w:hAnsiTheme="majorHAnsi" w:cs="Arial"/>
          <w:sz w:val="20"/>
          <w:szCs w:val="20"/>
        </w:rPr>
        <w:t>V</w:t>
      </w:r>
      <w:r w:rsidR="008C4D33" w:rsidRPr="00453A59">
        <w:rPr>
          <w:rFonts w:asciiTheme="majorHAnsi" w:hAnsiTheme="majorHAnsi" w:cs="Arial"/>
          <w:sz w:val="20"/>
          <w:szCs w:val="20"/>
        </w:rPr>
        <w:t>eraSeal</w:t>
      </w:r>
      <w:proofErr w:type="spellEnd"/>
      <w:r w:rsidRPr="00453A59">
        <w:rPr>
          <w:rFonts w:asciiTheme="majorHAnsi" w:hAnsiTheme="majorHAnsi" w:cs="Arial"/>
          <w:sz w:val="20"/>
          <w:szCs w:val="20"/>
        </w:rPr>
        <w:t xml:space="preserve"> relative to control).</w:t>
      </w:r>
    </w:p>
    <w:p w14:paraId="27C80CCE" w14:textId="0746660E"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hAnsiTheme="majorHAnsi" w:cs="Arial"/>
          <w:sz w:val="20"/>
          <w:szCs w:val="20"/>
        </w:rPr>
      </w:pPr>
      <w:r w:rsidRPr="00453A59">
        <w:rPr>
          <w:rFonts w:asciiTheme="majorHAnsi" w:hAnsiTheme="majorHAnsi" w:cs="Arial"/>
          <w:sz w:val="20"/>
          <w:szCs w:val="20"/>
          <w:vertAlign w:val="superscript"/>
        </w:rPr>
        <w:t>b</w:t>
      </w:r>
      <w:r w:rsidRPr="00453A59">
        <w:rPr>
          <w:rFonts w:asciiTheme="majorHAnsi" w:hAnsiTheme="majorHAnsi" w:cs="Arial"/>
          <w:sz w:val="20"/>
          <w:szCs w:val="20"/>
        </w:rPr>
        <w:t>: In Studies IG1102 and IG1103</w:t>
      </w:r>
      <w:r w:rsidRPr="00453A59">
        <w:rPr>
          <w:rFonts w:asciiTheme="majorHAnsi" w:hAnsiTheme="majorHAnsi" w:cs="Arial"/>
          <w:sz w:val="20"/>
          <w:szCs w:val="20"/>
          <w:lang w:val="en-US"/>
        </w:rPr>
        <w:t xml:space="preserve">, </w:t>
      </w:r>
      <w:proofErr w:type="spellStart"/>
      <w:r w:rsidRPr="00453A59">
        <w:rPr>
          <w:rFonts w:asciiTheme="majorHAnsi" w:hAnsiTheme="majorHAnsi" w:cs="Arial"/>
          <w:sz w:val="20"/>
          <w:szCs w:val="20"/>
          <w:lang w:val="en-US"/>
        </w:rPr>
        <w:t>V</w:t>
      </w:r>
      <w:r w:rsidR="008C4D33" w:rsidRPr="00453A59">
        <w:rPr>
          <w:rFonts w:asciiTheme="majorHAnsi" w:hAnsiTheme="majorHAnsi" w:cs="Arial"/>
          <w:sz w:val="20"/>
          <w:szCs w:val="20"/>
          <w:lang w:val="en-US"/>
        </w:rPr>
        <w:t>eraSeal</w:t>
      </w:r>
      <w:proofErr w:type="spellEnd"/>
      <w:r w:rsidRPr="00453A59">
        <w:rPr>
          <w:rFonts w:asciiTheme="majorHAnsi" w:hAnsiTheme="majorHAnsi" w:cs="Arial"/>
          <w:sz w:val="20"/>
          <w:szCs w:val="20"/>
          <w:lang w:val="en-US"/>
        </w:rPr>
        <w:t xml:space="preserve"> was deemed non-inferior to oxidized regenerated cellulose if the lower limit of the 95% confidence interval (CI) for the RR exceeded 0.8</w:t>
      </w:r>
      <w:r w:rsidRPr="00453A59">
        <w:rPr>
          <w:rFonts w:asciiTheme="majorHAnsi" w:hAnsiTheme="majorHAnsi" w:cs="Arial"/>
          <w:sz w:val="20"/>
          <w:szCs w:val="20"/>
        </w:rPr>
        <w:t xml:space="preserve">. </w:t>
      </w:r>
    </w:p>
    <w:p w14:paraId="409FF4C1" w14:textId="77777777" w:rsidR="002223AB" w:rsidRPr="00453A59" w:rsidRDefault="002223AB" w:rsidP="002223AB">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hAnsiTheme="majorHAnsi" w:cs="Arial"/>
          <w:sz w:val="20"/>
          <w:szCs w:val="20"/>
        </w:rPr>
      </w:pPr>
      <w:r w:rsidRPr="00453A59">
        <w:rPr>
          <w:rFonts w:asciiTheme="majorHAnsi" w:hAnsiTheme="majorHAnsi" w:cs="Arial"/>
          <w:sz w:val="20"/>
          <w:szCs w:val="20"/>
          <w:vertAlign w:val="superscript"/>
        </w:rPr>
        <w:t>c</w:t>
      </w:r>
      <w:r w:rsidRPr="00453A59">
        <w:rPr>
          <w:rFonts w:asciiTheme="majorHAnsi" w:hAnsiTheme="majorHAnsi" w:cs="Arial"/>
          <w:sz w:val="20"/>
          <w:szCs w:val="20"/>
        </w:rPr>
        <w:t>: P-value was calculated from Fisher Exact Test in Study IG1101.</w:t>
      </w:r>
    </w:p>
    <w:p w14:paraId="537D799D" w14:textId="77777777"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hAnsiTheme="majorHAnsi" w:cs="Arial"/>
          <w:bCs/>
        </w:rPr>
      </w:pPr>
    </w:p>
    <w:p w14:paraId="0FAF4C49" w14:textId="300DB7CD"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Arial"/>
          <w:bCs/>
        </w:rPr>
      </w:pPr>
      <w:r w:rsidRPr="00453A59">
        <w:rPr>
          <w:rFonts w:asciiTheme="majorHAnsi" w:hAnsiTheme="majorHAnsi" w:cs="Arial"/>
          <w:bCs/>
        </w:rPr>
        <w:t xml:space="preserve">In Study </w:t>
      </w:r>
      <w:r w:rsidRPr="00453A59">
        <w:rPr>
          <w:rFonts w:asciiTheme="majorHAnsi" w:hAnsiTheme="majorHAnsi" w:cs="Arial"/>
          <w:b/>
          <w:bCs/>
        </w:rPr>
        <w:t>IG1101</w:t>
      </w:r>
      <w:r w:rsidRPr="00453A59">
        <w:rPr>
          <w:rFonts w:asciiTheme="majorHAnsi" w:hAnsiTheme="majorHAnsi" w:cs="Arial"/>
          <w:bCs/>
        </w:rPr>
        <w:t xml:space="preserve">, the rate of </w:t>
      </w:r>
      <w:proofErr w:type="spellStart"/>
      <w:r w:rsidRPr="00453A59">
        <w:rPr>
          <w:rFonts w:asciiTheme="majorHAnsi" w:hAnsiTheme="majorHAnsi" w:cs="Arial"/>
          <w:bCs/>
        </w:rPr>
        <w:t>hemostasis</w:t>
      </w:r>
      <w:proofErr w:type="spellEnd"/>
      <w:r w:rsidRPr="00453A59">
        <w:rPr>
          <w:rFonts w:asciiTheme="majorHAnsi" w:hAnsiTheme="majorHAnsi" w:cs="Arial"/>
          <w:bCs/>
        </w:rPr>
        <w:t xml:space="preserve"> at the TBS by T4 was significantly higher in the </w:t>
      </w:r>
      <w:proofErr w:type="spellStart"/>
      <w:r w:rsidRPr="00453A59">
        <w:rPr>
          <w:rFonts w:asciiTheme="majorHAnsi" w:hAnsiTheme="majorHAnsi" w:cs="Arial"/>
          <w:bCs/>
        </w:rPr>
        <w:t>V</w:t>
      </w:r>
      <w:r w:rsidR="008C4D33" w:rsidRPr="00453A59">
        <w:rPr>
          <w:rFonts w:asciiTheme="majorHAnsi" w:hAnsiTheme="majorHAnsi" w:cs="Arial"/>
          <w:bCs/>
        </w:rPr>
        <w:t>eraSeal</w:t>
      </w:r>
      <w:proofErr w:type="spellEnd"/>
      <w:r w:rsidRPr="00453A59">
        <w:rPr>
          <w:rFonts w:asciiTheme="majorHAnsi" w:hAnsiTheme="majorHAnsi" w:cs="Arial"/>
          <w:bCs/>
        </w:rPr>
        <w:t xml:space="preserve"> treatment group (76.1%) compared to manual compression (22.8%).</w:t>
      </w:r>
    </w:p>
    <w:p w14:paraId="530E549A" w14:textId="241CC3EA" w:rsidR="002223AB" w:rsidRPr="00453A59" w:rsidRDefault="002223AB" w:rsidP="002223A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Arial"/>
          <w:bCs/>
        </w:rPr>
      </w:pPr>
      <w:r w:rsidRPr="00453A59">
        <w:rPr>
          <w:rFonts w:asciiTheme="majorHAnsi" w:hAnsiTheme="majorHAnsi" w:cs="Arial"/>
          <w:bCs/>
        </w:rPr>
        <w:t xml:space="preserve">In Study </w:t>
      </w:r>
      <w:r w:rsidRPr="00453A59">
        <w:rPr>
          <w:rFonts w:asciiTheme="majorHAnsi" w:hAnsiTheme="majorHAnsi" w:cs="Arial"/>
          <w:b/>
          <w:bCs/>
        </w:rPr>
        <w:t>IG1102</w:t>
      </w:r>
      <w:r w:rsidRPr="00453A59">
        <w:rPr>
          <w:rFonts w:asciiTheme="majorHAnsi" w:hAnsiTheme="majorHAnsi" w:cs="Arial"/>
          <w:bCs/>
        </w:rPr>
        <w:t xml:space="preserve">, the rate of </w:t>
      </w:r>
      <w:proofErr w:type="spellStart"/>
      <w:r w:rsidRPr="00453A59">
        <w:rPr>
          <w:rFonts w:asciiTheme="majorHAnsi" w:hAnsiTheme="majorHAnsi" w:cs="Arial"/>
          <w:bCs/>
        </w:rPr>
        <w:t>hemostasis</w:t>
      </w:r>
      <w:proofErr w:type="spellEnd"/>
      <w:r w:rsidRPr="00453A59">
        <w:rPr>
          <w:rFonts w:asciiTheme="majorHAnsi" w:hAnsiTheme="majorHAnsi" w:cs="Arial"/>
          <w:bCs/>
        </w:rPr>
        <w:t xml:space="preserve"> at the TBS by T4 was non-inferior in the </w:t>
      </w:r>
      <w:proofErr w:type="spellStart"/>
      <w:r w:rsidR="008C4D33" w:rsidRPr="00453A59">
        <w:rPr>
          <w:rFonts w:asciiTheme="majorHAnsi" w:hAnsiTheme="majorHAnsi" w:cs="Arial"/>
          <w:bCs/>
        </w:rPr>
        <w:t>VeraSeal</w:t>
      </w:r>
      <w:proofErr w:type="spellEnd"/>
      <w:r w:rsidRPr="00453A59">
        <w:rPr>
          <w:rFonts w:asciiTheme="majorHAnsi" w:hAnsiTheme="majorHAnsi" w:cs="Arial"/>
          <w:bCs/>
        </w:rPr>
        <w:t xml:space="preserve"> treatment group compared to oxidized regenerated cellulose. The estimated ratio of proportion achieving </w:t>
      </w:r>
      <w:proofErr w:type="spellStart"/>
      <w:r w:rsidRPr="00453A59">
        <w:rPr>
          <w:rFonts w:asciiTheme="majorHAnsi" w:hAnsiTheme="majorHAnsi" w:cs="Arial"/>
          <w:bCs/>
        </w:rPr>
        <w:t>hemostasis</w:t>
      </w:r>
      <w:proofErr w:type="spellEnd"/>
      <w:r w:rsidRPr="00453A59">
        <w:rPr>
          <w:rFonts w:asciiTheme="majorHAnsi" w:hAnsiTheme="majorHAnsi" w:cs="Arial"/>
          <w:bCs/>
        </w:rPr>
        <w:t xml:space="preserve"> by T4 in patients receiving </w:t>
      </w:r>
      <w:proofErr w:type="spellStart"/>
      <w:r w:rsidRPr="00453A59">
        <w:rPr>
          <w:rFonts w:asciiTheme="majorHAnsi" w:hAnsiTheme="majorHAnsi" w:cs="Arial"/>
          <w:bCs/>
        </w:rPr>
        <w:t>V</w:t>
      </w:r>
      <w:r w:rsidR="008C4D33" w:rsidRPr="00453A59">
        <w:rPr>
          <w:rFonts w:asciiTheme="majorHAnsi" w:hAnsiTheme="majorHAnsi" w:cs="Arial"/>
          <w:bCs/>
        </w:rPr>
        <w:t>eraSeal</w:t>
      </w:r>
      <w:proofErr w:type="spellEnd"/>
      <w:r w:rsidRPr="00453A59">
        <w:rPr>
          <w:rFonts w:asciiTheme="majorHAnsi" w:hAnsiTheme="majorHAnsi" w:cs="Arial"/>
          <w:bCs/>
        </w:rPr>
        <w:t xml:space="preserve"> relative to the control was 1.2 (95% CI: 1.0, 1.3).</w:t>
      </w:r>
    </w:p>
    <w:p w14:paraId="23AE1DAD" w14:textId="41A66233" w:rsidR="002223AB" w:rsidRPr="00453A59" w:rsidRDefault="002223AB" w:rsidP="003D60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Cs/>
        </w:rPr>
      </w:pPr>
      <w:r w:rsidRPr="00453A59">
        <w:rPr>
          <w:rFonts w:asciiTheme="majorHAnsi" w:hAnsiTheme="majorHAnsi" w:cs="Arial"/>
          <w:bCs/>
        </w:rPr>
        <w:t xml:space="preserve">In Study </w:t>
      </w:r>
      <w:r w:rsidRPr="00453A59">
        <w:rPr>
          <w:rFonts w:asciiTheme="majorHAnsi" w:hAnsiTheme="majorHAnsi" w:cs="Arial"/>
          <w:b/>
          <w:bCs/>
        </w:rPr>
        <w:t>IG1103</w:t>
      </w:r>
      <w:r w:rsidRPr="00453A59">
        <w:rPr>
          <w:rFonts w:asciiTheme="majorHAnsi" w:hAnsiTheme="majorHAnsi" w:cs="Arial"/>
          <w:bCs/>
        </w:rPr>
        <w:t xml:space="preserve">, the rate of </w:t>
      </w:r>
      <w:proofErr w:type="spellStart"/>
      <w:r w:rsidRPr="00453A59">
        <w:rPr>
          <w:rFonts w:asciiTheme="majorHAnsi" w:hAnsiTheme="majorHAnsi" w:cs="Arial"/>
          <w:bCs/>
        </w:rPr>
        <w:t>hemostasis</w:t>
      </w:r>
      <w:proofErr w:type="spellEnd"/>
      <w:r w:rsidRPr="00453A59">
        <w:rPr>
          <w:rFonts w:asciiTheme="majorHAnsi" w:hAnsiTheme="majorHAnsi" w:cs="Arial"/>
          <w:bCs/>
        </w:rPr>
        <w:t xml:space="preserve"> at the TBS by T4 was non-inferior in the </w:t>
      </w:r>
      <w:proofErr w:type="spellStart"/>
      <w:r w:rsidR="008C4D33" w:rsidRPr="00453A59">
        <w:rPr>
          <w:rFonts w:asciiTheme="majorHAnsi" w:hAnsiTheme="majorHAnsi" w:cs="Arial"/>
          <w:bCs/>
        </w:rPr>
        <w:t>VeraSeal</w:t>
      </w:r>
      <w:proofErr w:type="spellEnd"/>
      <w:r w:rsidR="008C4D33" w:rsidRPr="00453A59">
        <w:rPr>
          <w:rFonts w:asciiTheme="majorHAnsi" w:hAnsiTheme="majorHAnsi" w:cs="Arial"/>
          <w:bCs/>
        </w:rPr>
        <w:t xml:space="preserve"> </w:t>
      </w:r>
      <w:r w:rsidRPr="00453A59">
        <w:rPr>
          <w:rFonts w:asciiTheme="majorHAnsi" w:hAnsiTheme="majorHAnsi" w:cs="Arial"/>
          <w:bCs/>
        </w:rPr>
        <w:t xml:space="preserve">treatment group compared to oxidized regenerated cellulose. The estimated ratio of proportion achieving </w:t>
      </w:r>
      <w:proofErr w:type="spellStart"/>
      <w:r w:rsidRPr="00453A59">
        <w:rPr>
          <w:rFonts w:asciiTheme="majorHAnsi" w:hAnsiTheme="majorHAnsi" w:cs="Arial"/>
          <w:bCs/>
        </w:rPr>
        <w:t>hemostasis</w:t>
      </w:r>
      <w:proofErr w:type="spellEnd"/>
      <w:r w:rsidRPr="00453A59">
        <w:rPr>
          <w:rFonts w:asciiTheme="majorHAnsi" w:hAnsiTheme="majorHAnsi" w:cs="Arial"/>
          <w:bCs/>
        </w:rPr>
        <w:t xml:space="preserve"> by T4 in patients receiving </w:t>
      </w:r>
      <w:proofErr w:type="spellStart"/>
      <w:r w:rsidR="008C4D33" w:rsidRPr="00453A59">
        <w:rPr>
          <w:rFonts w:asciiTheme="majorHAnsi" w:hAnsiTheme="majorHAnsi" w:cs="Arial"/>
          <w:bCs/>
        </w:rPr>
        <w:t>VeraSeal</w:t>
      </w:r>
      <w:proofErr w:type="spellEnd"/>
      <w:r w:rsidRPr="00453A59">
        <w:rPr>
          <w:rFonts w:asciiTheme="majorHAnsi" w:hAnsiTheme="majorHAnsi" w:cs="Arial"/>
          <w:bCs/>
        </w:rPr>
        <w:t xml:space="preserve"> relative to the control was 1.1 (95% CI: 0.9, 1.2).</w:t>
      </w:r>
    </w:p>
    <w:p w14:paraId="5F0AFCDF" w14:textId="77777777" w:rsidR="00043849" w:rsidRPr="00453A59" w:rsidRDefault="00043849" w:rsidP="00043849">
      <w:pPr>
        <w:autoSpaceDE w:val="0"/>
        <w:autoSpaceDN w:val="0"/>
        <w:adjustRightInd w:val="0"/>
        <w:spacing w:after="0" w:line="240" w:lineRule="auto"/>
        <w:rPr>
          <w:rFonts w:asciiTheme="majorHAnsi" w:hAnsiTheme="majorHAnsi" w:cs="Times New Roman"/>
          <w:lang w:val="en-US"/>
        </w:rPr>
      </w:pPr>
    </w:p>
    <w:p w14:paraId="1500F616" w14:textId="011A7992" w:rsidR="001A3992" w:rsidRPr="00453A59" w:rsidRDefault="003B4DCA" w:rsidP="00435035">
      <w:pPr>
        <w:pStyle w:val="Heading2"/>
        <w:keepNext/>
        <w:numPr>
          <w:ilvl w:val="0"/>
          <w:numId w:val="0"/>
        </w:numPr>
        <w:spacing w:before="0" w:after="120"/>
        <w:ind w:left="578" w:hanging="578"/>
        <w:rPr>
          <w:rFonts w:cstheme="minorHAnsi"/>
          <w:lang w:val="en-US"/>
        </w:rPr>
      </w:pPr>
      <w:r w:rsidRPr="00453A59">
        <w:rPr>
          <w:rFonts w:cstheme="minorHAnsi"/>
          <w:lang w:val="en-US"/>
        </w:rPr>
        <w:t>5.2</w:t>
      </w:r>
      <w:r w:rsidRPr="00453A59">
        <w:rPr>
          <w:rFonts w:cstheme="minorHAnsi"/>
          <w:lang w:val="en-US"/>
        </w:rPr>
        <w:tab/>
      </w:r>
      <w:r w:rsidR="001A3992" w:rsidRPr="00453A59">
        <w:rPr>
          <w:rFonts w:cstheme="minorHAnsi"/>
          <w:lang w:val="en-US"/>
        </w:rPr>
        <w:t xml:space="preserve">Pharmacokinetic properties </w:t>
      </w:r>
    </w:p>
    <w:p w14:paraId="5720EEAF" w14:textId="41D71E25" w:rsidR="00043849" w:rsidRPr="00453A59" w:rsidRDefault="00043849" w:rsidP="00043849">
      <w:pPr>
        <w:autoSpaceDE w:val="0"/>
        <w:autoSpaceDN w:val="0"/>
        <w:adjustRightInd w:val="0"/>
        <w:spacing w:after="0" w:line="240" w:lineRule="auto"/>
        <w:rPr>
          <w:rFonts w:asciiTheme="majorHAnsi" w:hAnsiTheme="majorHAnsi" w:cs="Times New Roman"/>
          <w:lang w:val="en-US"/>
        </w:rPr>
      </w:pP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is intended for </w:t>
      </w:r>
      <w:proofErr w:type="spellStart"/>
      <w:r w:rsidRPr="00453A59">
        <w:rPr>
          <w:rFonts w:asciiTheme="majorHAnsi" w:hAnsiTheme="majorHAnsi" w:cs="Times New Roman"/>
          <w:lang w:val="en-US"/>
        </w:rPr>
        <w:t>epilesional</w:t>
      </w:r>
      <w:proofErr w:type="spellEnd"/>
      <w:r w:rsidRPr="00453A59">
        <w:rPr>
          <w:rFonts w:asciiTheme="majorHAnsi" w:hAnsiTheme="majorHAnsi" w:cs="Times New Roman"/>
          <w:lang w:val="en-US"/>
        </w:rPr>
        <w:t xml:space="preserve"> use only. Intravascular administration is contraindicated. Consequently, intravascular pharmacokinetic studies were not performed in </w:t>
      </w:r>
      <w:r w:rsidR="00C0235D" w:rsidRPr="00453A59">
        <w:rPr>
          <w:rFonts w:asciiTheme="majorHAnsi" w:hAnsiTheme="majorHAnsi" w:cs="Times New Roman"/>
          <w:lang w:val="en-US"/>
        </w:rPr>
        <w:t>human</w:t>
      </w:r>
      <w:r w:rsidR="00C63FF2" w:rsidRPr="00453A59">
        <w:rPr>
          <w:rFonts w:asciiTheme="majorHAnsi" w:hAnsiTheme="majorHAnsi" w:cs="Times New Roman"/>
          <w:lang w:val="en-US"/>
        </w:rPr>
        <w:t>s</w:t>
      </w:r>
      <w:r w:rsidRPr="00453A59">
        <w:rPr>
          <w:rFonts w:asciiTheme="majorHAnsi" w:hAnsiTheme="majorHAnsi" w:cs="Times New Roman"/>
          <w:lang w:val="en-US"/>
        </w:rPr>
        <w:t>.</w:t>
      </w:r>
    </w:p>
    <w:p w14:paraId="4F2B31BD" w14:textId="77777777" w:rsidR="00043849" w:rsidRPr="00453A59" w:rsidRDefault="00043849" w:rsidP="00043849">
      <w:pPr>
        <w:autoSpaceDE w:val="0"/>
        <w:autoSpaceDN w:val="0"/>
        <w:adjustRightInd w:val="0"/>
        <w:spacing w:after="0" w:line="240" w:lineRule="auto"/>
        <w:rPr>
          <w:rFonts w:asciiTheme="majorHAnsi" w:hAnsiTheme="majorHAnsi" w:cs="Times New Roman"/>
          <w:lang w:val="en-US"/>
        </w:rPr>
      </w:pPr>
    </w:p>
    <w:p w14:paraId="03196790" w14:textId="729EF41E" w:rsidR="00043849" w:rsidRPr="00453A59" w:rsidRDefault="00043849" w:rsidP="00C6178B">
      <w:pPr>
        <w:autoSpaceDE w:val="0"/>
        <w:autoSpaceDN w:val="0"/>
        <w:adjustRightInd w:val="0"/>
        <w:spacing w:after="0" w:line="240" w:lineRule="auto"/>
        <w:rPr>
          <w:rFonts w:ascii="Times New Roman" w:hAnsi="Times New Roman" w:cs="Times New Roman"/>
          <w:lang w:val="en-US"/>
        </w:rPr>
      </w:pPr>
      <w:r w:rsidRPr="00453A59">
        <w:rPr>
          <w:rFonts w:asciiTheme="majorHAnsi" w:hAnsiTheme="majorHAnsi" w:cs="Times New Roman"/>
          <w:lang w:val="en-US"/>
        </w:rPr>
        <w:t xml:space="preserve">Fibrin sealant/hemostatic products are </w:t>
      </w:r>
      <w:proofErr w:type="spellStart"/>
      <w:r w:rsidRPr="00453A59">
        <w:rPr>
          <w:rFonts w:asciiTheme="majorHAnsi" w:hAnsiTheme="majorHAnsi" w:cs="Times New Roman"/>
          <w:lang w:val="en-US"/>
        </w:rPr>
        <w:t>metabolised</w:t>
      </w:r>
      <w:proofErr w:type="spellEnd"/>
      <w:r w:rsidRPr="00453A59">
        <w:rPr>
          <w:rFonts w:asciiTheme="majorHAnsi" w:hAnsiTheme="majorHAnsi" w:cs="Times New Roman"/>
          <w:lang w:val="en-US"/>
        </w:rPr>
        <w:t xml:space="preserve"> in the same way as endogenous fibrin by</w:t>
      </w:r>
      <w:r w:rsidR="00B56476" w:rsidRPr="00453A59">
        <w:rPr>
          <w:rFonts w:asciiTheme="majorHAnsi" w:hAnsiTheme="majorHAnsi" w:cs="Times New Roman"/>
          <w:lang w:val="en-US"/>
        </w:rPr>
        <w:t xml:space="preserve"> </w:t>
      </w:r>
      <w:r w:rsidRPr="00453A59">
        <w:rPr>
          <w:rFonts w:asciiTheme="majorHAnsi" w:hAnsiTheme="majorHAnsi" w:cs="Times New Roman"/>
          <w:lang w:val="en-US"/>
        </w:rPr>
        <w:t>fibrinolysis and phagocytosis</w:t>
      </w:r>
      <w:r w:rsidRPr="00453A59">
        <w:rPr>
          <w:rFonts w:ascii="Times New Roman" w:hAnsi="Times New Roman" w:cs="Times New Roman"/>
          <w:lang w:val="en-US"/>
        </w:rPr>
        <w:t>.</w:t>
      </w:r>
    </w:p>
    <w:p w14:paraId="6AB2BD94" w14:textId="77777777" w:rsidR="00C6178B" w:rsidRPr="00453A59" w:rsidRDefault="00C6178B" w:rsidP="00C6178B">
      <w:pPr>
        <w:autoSpaceDE w:val="0"/>
        <w:autoSpaceDN w:val="0"/>
        <w:adjustRightInd w:val="0"/>
        <w:spacing w:after="0" w:line="240" w:lineRule="auto"/>
        <w:rPr>
          <w:lang w:val="en-US"/>
        </w:rPr>
      </w:pPr>
    </w:p>
    <w:p w14:paraId="1E9F98A5" w14:textId="4581E15D" w:rsidR="001A3992" w:rsidRPr="00453A59" w:rsidRDefault="003B4DCA" w:rsidP="00435035">
      <w:pPr>
        <w:pStyle w:val="Heading2"/>
        <w:numPr>
          <w:ilvl w:val="0"/>
          <w:numId w:val="0"/>
        </w:numPr>
        <w:spacing w:before="0" w:after="120"/>
        <w:ind w:left="578" w:hanging="578"/>
        <w:rPr>
          <w:rFonts w:cstheme="minorHAnsi"/>
          <w:lang w:val="en-US"/>
        </w:rPr>
      </w:pPr>
      <w:r w:rsidRPr="00453A59">
        <w:rPr>
          <w:rFonts w:cstheme="minorHAnsi"/>
          <w:lang w:val="en-US"/>
        </w:rPr>
        <w:t>5.3</w:t>
      </w:r>
      <w:r w:rsidRPr="00453A59">
        <w:rPr>
          <w:rFonts w:cstheme="minorHAnsi"/>
          <w:lang w:val="en-US"/>
        </w:rPr>
        <w:tab/>
      </w:r>
      <w:r w:rsidR="001A3992" w:rsidRPr="00453A59">
        <w:rPr>
          <w:rFonts w:cstheme="minorHAnsi"/>
          <w:lang w:val="en-US"/>
        </w:rPr>
        <w:t>Preclinical safety data</w:t>
      </w:r>
    </w:p>
    <w:p w14:paraId="2BCD8B05" w14:textId="77777777" w:rsidR="003D6051" w:rsidRPr="00453A59" w:rsidRDefault="003D6051" w:rsidP="003D6051">
      <w:pPr>
        <w:rPr>
          <w:rFonts w:asciiTheme="majorHAnsi" w:hAnsiTheme="majorHAnsi"/>
        </w:rPr>
      </w:pPr>
      <w:r w:rsidRPr="00453A59">
        <w:rPr>
          <w:rFonts w:asciiTheme="majorHAnsi" w:hAnsiTheme="majorHAnsi"/>
        </w:rPr>
        <w:t xml:space="preserve">Conventional studies of toxicity with intravenously applied fibrinogen did not indicate a special hazard for humans. </w:t>
      </w:r>
    </w:p>
    <w:p w14:paraId="4E8AFA8C" w14:textId="77777777" w:rsidR="00673281" w:rsidRPr="00453A59" w:rsidRDefault="00673281" w:rsidP="00C6178B">
      <w:pPr>
        <w:autoSpaceDE w:val="0"/>
        <w:autoSpaceDN w:val="0"/>
        <w:adjustRightInd w:val="0"/>
        <w:spacing w:after="0" w:line="240" w:lineRule="auto"/>
        <w:rPr>
          <w:rFonts w:asciiTheme="majorHAnsi" w:hAnsiTheme="majorHAnsi"/>
        </w:rPr>
      </w:pPr>
    </w:p>
    <w:p w14:paraId="6C585C9A" w14:textId="77777777" w:rsidR="001A3992" w:rsidRPr="00453A59" w:rsidRDefault="001A3992" w:rsidP="009C7E7F">
      <w:pPr>
        <w:pStyle w:val="Heading1"/>
        <w:numPr>
          <w:ilvl w:val="0"/>
          <w:numId w:val="20"/>
        </w:numPr>
        <w:spacing w:before="0" w:after="120"/>
        <w:rPr>
          <w:rFonts w:cstheme="minorHAnsi"/>
          <w:lang w:val="en-US"/>
        </w:rPr>
      </w:pPr>
      <w:r w:rsidRPr="00453A59">
        <w:rPr>
          <w:rFonts w:cstheme="minorHAnsi"/>
          <w:lang w:val="en-US"/>
        </w:rPr>
        <w:t>Pharmaceutical particulars</w:t>
      </w:r>
    </w:p>
    <w:p w14:paraId="14E567CD" w14:textId="32343C00" w:rsidR="001A3992" w:rsidRPr="00453A59" w:rsidRDefault="003B4DCA" w:rsidP="00435035">
      <w:pPr>
        <w:pStyle w:val="Heading2"/>
        <w:numPr>
          <w:ilvl w:val="0"/>
          <w:numId w:val="0"/>
        </w:numPr>
        <w:spacing w:before="0" w:after="120"/>
        <w:ind w:left="578" w:hanging="578"/>
        <w:rPr>
          <w:rFonts w:cstheme="minorHAnsi"/>
          <w:lang w:val="en-US"/>
        </w:rPr>
      </w:pPr>
      <w:r w:rsidRPr="00453A59">
        <w:rPr>
          <w:rFonts w:cstheme="minorHAnsi"/>
          <w:lang w:val="en-US"/>
        </w:rPr>
        <w:t>6.1</w:t>
      </w:r>
      <w:r w:rsidRPr="00453A59">
        <w:rPr>
          <w:rFonts w:cstheme="minorHAnsi"/>
          <w:lang w:val="en-US"/>
        </w:rPr>
        <w:tab/>
      </w:r>
      <w:r w:rsidR="001A3992" w:rsidRPr="00453A59">
        <w:rPr>
          <w:rFonts w:cstheme="minorHAnsi"/>
          <w:lang w:val="en-US"/>
        </w:rPr>
        <w:t xml:space="preserve">List of excipients </w:t>
      </w:r>
    </w:p>
    <w:p w14:paraId="1853B12D" w14:textId="77777777" w:rsidR="00C9132A" w:rsidRPr="00453A59" w:rsidRDefault="00C9132A" w:rsidP="00C9132A">
      <w:pPr>
        <w:autoSpaceDE w:val="0"/>
        <w:autoSpaceDN w:val="0"/>
        <w:adjustRightInd w:val="0"/>
        <w:spacing w:after="0" w:line="240" w:lineRule="auto"/>
        <w:rPr>
          <w:rFonts w:asciiTheme="majorHAnsi" w:hAnsiTheme="majorHAnsi" w:cs="Times New Roman"/>
          <w:u w:val="single"/>
          <w:lang w:val="es-ES"/>
        </w:rPr>
      </w:pPr>
      <w:r w:rsidRPr="00453A59">
        <w:rPr>
          <w:rFonts w:asciiTheme="majorHAnsi" w:hAnsiTheme="majorHAnsi" w:cs="Times New Roman"/>
          <w:u w:val="single"/>
          <w:lang w:val="es-ES"/>
        </w:rPr>
        <w:t xml:space="preserve">Human </w:t>
      </w:r>
      <w:proofErr w:type="spellStart"/>
      <w:r w:rsidRPr="00453A59">
        <w:rPr>
          <w:rFonts w:asciiTheme="majorHAnsi" w:hAnsiTheme="majorHAnsi" w:cs="Times New Roman"/>
          <w:u w:val="single"/>
          <w:lang w:val="es-ES"/>
        </w:rPr>
        <w:t>fibrinogen</w:t>
      </w:r>
      <w:proofErr w:type="spellEnd"/>
      <w:r w:rsidRPr="00453A59">
        <w:rPr>
          <w:rFonts w:asciiTheme="majorHAnsi" w:hAnsiTheme="majorHAnsi" w:cs="Times New Roman"/>
          <w:u w:val="single"/>
          <w:lang w:val="es-ES"/>
        </w:rPr>
        <w:t xml:space="preserve"> </w:t>
      </w:r>
      <w:proofErr w:type="spellStart"/>
      <w:r w:rsidRPr="00453A59">
        <w:rPr>
          <w:rFonts w:asciiTheme="majorHAnsi" w:hAnsiTheme="majorHAnsi" w:cs="Times New Roman"/>
          <w:u w:val="single"/>
          <w:lang w:val="es-ES"/>
        </w:rPr>
        <w:t>syringe</w:t>
      </w:r>
      <w:proofErr w:type="spellEnd"/>
    </w:p>
    <w:p w14:paraId="5DC0D6F3" w14:textId="57080D38" w:rsidR="00C9132A" w:rsidRPr="00453A59" w:rsidRDefault="00C9132A" w:rsidP="00C9132A">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Sodium</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citrate</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dihydrate</w:t>
      </w:r>
      <w:proofErr w:type="spellEnd"/>
    </w:p>
    <w:p w14:paraId="4A030CAE"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Sodium</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chloride</w:t>
      </w:r>
      <w:proofErr w:type="spellEnd"/>
    </w:p>
    <w:p w14:paraId="720A5855"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Arginine</w:t>
      </w:r>
      <w:proofErr w:type="spellEnd"/>
    </w:p>
    <w:p w14:paraId="11EBAF04"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Isoleucine</w:t>
      </w:r>
      <w:proofErr w:type="spellEnd"/>
    </w:p>
    <w:p w14:paraId="19A5E2EE" w14:textId="26BD5CAC" w:rsidR="00C9132A" w:rsidRPr="00453A59" w:rsidRDefault="002357CE" w:rsidP="002357CE">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Monosodium</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glutamate</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monohydrate</w:t>
      </w:r>
      <w:proofErr w:type="spellEnd"/>
    </w:p>
    <w:p w14:paraId="187A26B1" w14:textId="5E6F5761" w:rsidR="00C9132A" w:rsidRPr="00453A59" w:rsidRDefault="00C9132A" w:rsidP="00946BD9">
      <w:pPr>
        <w:rPr>
          <w:rFonts w:asciiTheme="majorHAnsi" w:hAnsiTheme="majorHAnsi" w:cs="Times New Roman"/>
          <w:lang w:val="es-ES"/>
        </w:rPr>
      </w:pPr>
      <w:proofErr w:type="spellStart"/>
      <w:r w:rsidRPr="00453A59">
        <w:rPr>
          <w:rFonts w:asciiTheme="majorHAnsi" w:hAnsiTheme="majorHAnsi" w:cs="Times New Roman"/>
          <w:lang w:val="es-ES"/>
        </w:rPr>
        <w:t>Water</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for</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injections</w:t>
      </w:r>
      <w:proofErr w:type="spellEnd"/>
    </w:p>
    <w:p w14:paraId="6145ACED" w14:textId="77777777" w:rsidR="00C9132A" w:rsidRPr="00453A59" w:rsidRDefault="00C9132A" w:rsidP="00C9132A">
      <w:pPr>
        <w:autoSpaceDE w:val="0"/>
        <w:autoSpaceDN w:val="0"/>
        <w:adjustRightInd w:val="0"/>
        <w:spacing w:after="0" w:line="240" w:lineRule="auto"/>
        <w:rPr>
          <w:rFonts w:asciiTheme="majorHAnsi" w:hAnsiTheme="majorHAnsi" w:cs="Times New Roman"/>
          <w:u w:val="single"/>
          <w:lang w:val="en-US"/>
        </w:rPr>
      </w:pPr>
      <w:r w:rsidRPr="00453A59">
        <w:rPr>
          <w:rFonts w:asciiTheme="majorHAnsi" w:hAnsiTheme="majorHAnsi" w:cs="Times New Roman"/>
          <w:u w:val="single"/>
          <w:lang w:val="en-US"/>
        </w:rPr>
        <w:t>Human thrombin syringe</w:t>
      </w:r>
    </w:p>
    <w:p w14:paraId="4907FB94"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Calcium chloride</w:t>
      </w:r>
    </w:p>
    <w:p w14:paraId="524B43CB"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Human albumin</w:t>
      </w:r>
    </w:p>
    <w:p w14:paraId="2C749338"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Sodium chloride</w:t>
      </w:r>
    </w:p>
    <w:p w14:paraId="0F40A855" w14:textId="77777777" w:rsidR="00C9132A" w:rsidRPr="00453A59" w:rsidRDefault="00C9132A" w:rsidP="00C9132A">
      <w:pPr>
        <w:autoSpaceDE w:val="0"/>
        <w:autoSpaceDN w:val="0"/>
        <w:adjustRightInd w:val="0"/>
        <w:spacing w:after="0" w:line="240" w:lineRule="auto"/>
        <w:rPr>
          <w:rFonts w:asciiTheme="majorHAnsi" w:hAnsiTheme="majorHAnsi" w:cs="Times New Roman"/>
          <w:lang w:val="es-ES"/>
        </w:rPr>
      </w:pPr>
      <w:proofErr w:type="spellStart"/>
      <w:r w:rsidRPr="00453A59">
        <w:rPr>
          <w:rFonts w:asciiTheme="majorHAnsi" w:hAnsiTheme="majorHAnsi" w:cs="Times New Roman"/>
          <w:lang w:val="es-ES"/>
        </w:rPr>
        <w:t>Glycine</w:t>
      </w:r>
      <w:proofErr w:type="spellEnd"/>
    </w:p>
    <w:p w14:paraId="38F8836C" w14:textId="3E868851" w:rsidR="00C9132A" w:rsidRPr="00453A59" w:rsidRDefault="00C9132A" w:rsidP="00C9132A">
      <w:pPr>
        <w:rPr>
          <w:rFonts w:asciiTheme="majorHAnsi" w:hAnsiTheme="majorHAnsi" w:cstheme="minorHAnsi"/>
          <w:lang w:val="en-US"/>
        </w:rPr>
      </w:pPr>
      <w:proofErr w:type="spellStart"/>
      <w:r w:rsidRPr="00453A59">
        <w:rPr>
          <w:rFonts w:asciiTheme="majorHAnsi" w:hAnsiTheme="majorHAnsi" w:cs="Times New Roman"/>
          <w:lang w:val="es-ES"/>
        </w:rPr>
        <w:t>Water</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for</w:t>
      </w:r>
      <w:proofErr w:type="spellEnd"/>
      <w:r w:rsidRPr="00453A59">
        <w:rPr>
          <w:rFonts w:asciiTheme="majorHAnsi" w:hAnsiTheme="majorHAnsi" w:cs="Times New Roman"/>
          <w:lang w:val="es-ES"/>
        </w:rPr>
        <w:t xml:space="preserve"> </w:t>
      </w:r>
      <w:proofErr w:type="spellStart"/>
      <w:r w:rsidRPr="00453A59">
        <w:rPr>
          <w:rFonts w:asciiTheme="majorHAnsi" w:hAnsiTheme="majorHAnsi" w:cs="Times New Roman"/>
          <w:lang w:val="es-ES"/>
        </w:rPr>
        <w:t>injections</w:t>
      </w:r>
      <w:proofErr w:type="spellEnd"/>
    </w:p>
    <w:p w14:paraId="089D89FD" w14:textId="4C2895FF" w:rsidR="001A3992" w:rsidRPr="00453A59" w:rsidRDefault="003B4DCA" w:rsidP="00435035">
      <w:pPr>
        <w:pStyle w:val="Heading2"/>
        <w:keepNext/>
        <w:keepLines/>
        <w:numPr>
          <w:ilvl w:val="0"/>
          <w:numId w:val="0"/>
        </w:numPr>
        <w:spacing w:before="0" w:after="120"/>
        <w:ind w:left="578" w:hanging="578"/>
        <w:rPr>
          <w:rFonts w:cstheme="minorHAnsi"/>
          <w:lang w:val="en-US"/>
        </w:rPr>
      </w:pPr>
      <w:r w:rsidRPr="00453A59">
        <w:rPr>
          <w:rFonts w:cstheme="minorHAnsi"/>
          <w:lang w:val="en-US"/>
        </w:rPr>
        <w:t>6.2</w:t>
      </w:r>
      <w:r w:rsidRPr="00453A59">
        <w:rPr>
          <w:rFonts w:cstheme="minorHAnsi"/>
          <w:lang w:val="en-US"/>
        </w:rPr>
        <w:tab/>
      </w:r>
      <w:r w:rsidR="001A3992" w:rsidRPr="00453A59">
        <w:rPr>
          <w:rFonts w:cstheme="minorHAnsi"/>
          <w:lang w:val="en-US"/>
        </w:rPr>
        <w:t xml:space="preserve">Incompatibilities </w:t>
      </w:r>
    </w:p>
    <w:p w14:paraId="46CFBCBA" w14:textId="2933F704" w:rsidR="00C60A67" w:rsidRPr="00453A59" w:rsidRDefault="00C60A67" w:rsidP="00497C85">
      <w:pPr>
        <w:rPr>
          <w:rFonts w:asciiTheme="majorHAnsi" w:hAnsiTheme="majorHAnsi" w:cstheme="minorHAnsi"/>
          <w:lang w:val="en-US"/>
        </w:rPr>
      </w:pPr>
      <w:r w:rsidRPr="00453A59">
        <w:rPr>
          <w:rFonts w:asciiTheme="majorHAnsi" w:hAnsiTheme="majorHAnsi" w:cs="Times New Roman"/>
          <w:lang w:val="en-US"/>
        </w:rPr>
        <w:t>This medicinal product must not be mixed with other medicinal products.</w:t>
      </w:r>
    </w:p>
    <w:p w14:paraId="4A686D34" w14:textId="5D6F3D6B" w:rsidR="001A3992" w:rsidRPr="00453A59" w:rsidRDefault="003B4DCA" w:rsidP="00435035">
      <w:pPr>
        <w:pStyle w:val="Heading2"/>
        <w:numPr>
          <w:ilvl w:val="0"/>
          <w:numId w:val="0"/>
        </w:numPr>
        <w:spacing w:before="0" w:after="120"/>
        <w:ind w:left="578" w:hanging="578"/>
        <w:rPr>
          <w:rFonts w:cstheme="minorHAnsi"/>
          <w:lang w:val="en-US"/>
        </w:rPr>
      </w:pPr>
      <w:r w:rsidRPr="00453A59">
        <w:rPr>
          <w:rFonts w:cstheme="minorHAnsi"/>
          <w:lang w:val="en-US"/>
        </w:rPr>
        <w:t>6.3</w:t>
      </w:r>
      <w:r w:rsidRPr="00453A59">
        <w:rPr>
          <w:rFonts w:cstheme="minorHAnsi"/>
          <w:lang w:val="en-US"/>
        </w:rPr>
        <w:tab/>
      </w:r>
      <w:r w:rsidR="001A3992" w:rsidRPr="00453A59">
        <w:rPr>
          <w:rFonts w:cstheme="minorHAnsi"/>
          <w:lang w:val="en-US"/>
        </w:rPr>
        <w:t xml:space="preserve">Shelf life </w:t>
      </w:r>
    </w:p>
    <w:p w14:paraId="473AA90E" w14:textId="4296CDDC" w:rsidR="00C60A67" w:rsidRPr="00453A59" w:rsidRDefault="009A58B4" w:rsidP="00585021">
      <w:pPr>
        <w:rPr>
          <w:rFonts w:asciiTheme="majorHAnsi" w:hAnsiTheme="majorHAnsi" w:cs="Times New Roman"/>
          <w:lang w:val="en-US"/>
        </w:rPr>
      </w:pPr>
      <w:r w:rsidRPr="00453A59">
        <w:rPr>
          <w:rFonts w:asciiTheme="majorHAnsi" w:hAnsiTheme="majorHAnsi" w:cs="Times New Roman"/>
          <w:lang w:val="en-US"/>
        </w:rPr>
        <w:t>In Australia, information on the shelf life can be found on the public summary of the Australian Register of Therapeutic Goods (ARTG). The expiry date can be found on the packaging.</w:t>
      </w:r>
    </w:p>
    <w:p w14:paraId="598DFF92" w14:textId="330A89CA" w:rsidR="001A3992" w:rsidRPr="00453A59" w:rsidRDefault="003B4DCA" w:rsidP="00435035">
      <w:pPr>
        <w:pStyle w:val="Heading2"/>
        <w:keepNext/>
        <w:keepLines/>
        <w:numPr>
          <w:ilvl w:val="0"/>
          <w:numId w:val="0"/>
        </w:numPr>
        <w:spacing w:before="0" w:after="120"/>
        <w:ind w:left="578" w:hanging="578"/>
        <w:rPr>
          <w:rFonts w:cstheme="minorHAnsi"/>
          <w:lang w:val="en-US"/>
        </w:rPr>
      </w:pPr>
      <w:r w:rsidRPr="00453A59">
        <w:rPr>
          <w:rFonts w:cstheme="minorHAnsi"/>
          <w:lang w:val="en-US"/>
        </w:rPr>
        <w:t>6.4</w:t>
      </w:r>
      <w:r w:rsidRPr="00453A59">
        <w:rPr>
          <w:rFonts w:cstheme="minorHAnsi"/>
          <w:lang w:val="en-US"/>
        </w:rPr>
        <w:tab/>
      </w:r>
      <w:r w:rsidR="001A3992" w:rsidRPr="00453A59">
        <w:rPr>
          <w:rFonts w:cstheme="minorHAnsi"/>
          <w:lang w:val="en-US"/>
        </w:rPr>
        <w:t xml:space="preserve">Special precautions for storage </w:t>
      </w:r>
    </w:p>
    <w:p w14:paraId="373B16DE" w14:textId="58305109" w:rsidR="00C60A67" w:rsidRPr="00453A59" w:rsidRDefault="00C60A67" w:rsidP="00585021">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Store and transport in a freezer (at -18 </w:t>
      </w:r>
      <w:r w:rsidR="00673281" w:rsidRPr="00453A59">
        <w:rPr>
          <w:rFonts w:asciiTheme="majorHAnsi" w:hAnsiTheme="majorHAnsi" w:cs="Times New Roman"/>
          <w:lang w:val="en-US"/>
        </w:rPr>
        <w:t>°</w:t>
      </w:r>
      <w:r w:rsidRPr="00453A59">
        <w:rPr>
          <w:rFonts w:asciiTheme="majorHAnsi" w:hAnsiTheme="majorHAnsi" w:cs="Times New Roman"/>
          <w:lang w:val="en-US"/>
        </w:rPr>
        <w:t xml:space="preserve">C or colder). The cold storage chain (-18 </w:t>
      </w:r>
      <w:r w:rsidR="00673281" w:rsidRPr="00453A59">
        <w:rPr>
          <w:rFonts w:asciiTheme="majorHAnsi" w:hAnsiTheme="majorHAnsi" w:cs="Times New Roman"/>
          <w:lang w:val="en-US"/>
        </w:rPr>
        <w:t>°</w:t>
      </w:r>
      <w:r w:rsidRPr="00453A59">
        <w:rPr>
          <w:rFonts w:asciiTheme="majorHAnsi" w:hAnsiTheme="majorHAnsi" w:cs="Times New Roman"/>
          <w:lang w:val="en-US"/>
        </w:rPr>
        <w:t xml:space="preserve">C or colder) must not be interrupted until use. Keep the </w:t>
      </w:r>
      <w:r w:rsidR="00585021" w:rsidRPr="00453A59">
        <w:rPr>
          <w:rFonts w:asciiTheme="majorHAnsi" w:hAnsiTheme="majorHAnsi" w:cs="Times New Roman"/>
          <w:lang w:val="en-US"/>
        </w:rPr>
        <w:t>sterilized</w:t>
      </w:r>
      <w:r w:rsidRPr="00453A59">
        <w:rPr>
          <w:rFonts w:asciiTheme="majorHAnsi" w:hAnsiTheme="majorHAnsi" w:cs="Times New Roman"/>
          <w:lang w:val="en-US"/>
        </w:rPr>
        <w:t xml:space="preserve"> blister in the outer carton to protect from light.</w:t>
      </w:r>
    </w:p>
    <w:p w14:paraId="1B8C7EF6" w14:textId="77777777" w:rsidR="00C60A67" w:rsidRPr="00453A59" w:rsidRDefault="00C60A67" w:rsidP="00C60A67">
      <w:pPr>
        <w:autoSpaceDE w:val="0"/>
        <w:autoSpaceDN w:val="0"/>
        <w:adjustRightInd w:val="0"/>
        <w:spacing w:after="0" w:line="240" w:lineRule="auto"/>
        <w:rPr>
          <w:rFonts w:asciiTheme="majorHAnsi" w:hAnsiTheme="majorHAnsi" w:cs="Times New Roman"/>
          <w:lang w:val="en-US"/>
        </w:rPr>
      </w:pPr>
    </w:p>
    <w:p w14:paraId="12635C5B" w14:textId="77777777" w:rsidR="0081335D" w:rsidRPr="00453A59" w:rsidRDefault="0081335D" w:rsidP="00C60A67">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Thaw completely before use. </w:t>
      </w:r>
      <w:r w:rsidR="00C60A67" w:rsidRPr="00453A59">
        <w:rPr>
          <w:rFonts w:asciiTheme="majorHAnsi" w:hAnsiTheme="majorHAnsi" w:cs="Times New Roman"/>
          <w:lang w:val="en-US"/>
        </w:rPr>
        <w:t>Once thawed, do not refreeze.</w:t>
      </w:r>
      <w:r w:rsidRPr="00453A59">
        <w:rPr>
          <w:rFonts w:asciiTheme="majorHAnsi" w:hAnsiTheme="majorHAnsi" w:cs="Times New Roman"/>
          <w:lang w:val="en-US"/>
        </w:rPr>
        <w:t xml:space="preserve"> After thawing, it can be maintained not more than 48 hours at 2 °C – 8 °C or 24 hours at room temperature (20 °C – 25 °C) before use if it remains sealed in the original packaging.</w:t>
      </w:r>
    </w:p>
    <w:p w14:paraId="6E5C5C78" w14:textId="77777777" w:rsidR="0081335D" w:rsidRPr="00453A59" w:rsidRDefault="0081335D" w:rsidP="00C60A67">
      <w:pPr>
        <w:autoSpaceDE w:val="0"/>
        <w:autoSpaceDN w:val="0"/>
        <w:adjustRightInd w:val="0"/>
        <w:spacing w:after="0" w:line="240" w:lineRule="auto"/>
        <w:rPr>
          <w:rFonts w:asciiTheme="majorHAnsi" w:hAnsiTheme="majorHAnsi" w:cs="Times New Roman"/>
          <w:lang w:val="en-US"/>
        </w:rPr>
      </w:pPr>
    </w:p>
    <w:p w14:paraId="6350D815" w14:textId="7B916663" w:rsidR="00C60A67" w:rsidRPr="00453A59" w:rsidRDefault="0081335D" w:rsidP="00C60A67">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 xml:space="preserve">Once the blister is opened, </w:t>
      </w: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should be used immediately.</w:t>
      </w:r>
      <w:r w:rsidR="00C60A67" w:rsidRPr="00453A59">
        <w:rPr>
          <w:rFonts w:asciiTheme="majorHAnsi" w:hAnsiTheme="majorHAnsi" w:cs="Times New Roman"/>
          <w:lang w:val="en-US"/>
        </w:rPr>
        <w:t xml:space="preserve"> </w:t>
      </w:r>
    </w:p>
    <w:p w14:paraId="30E55423" w14:textId="555B492A" w:rsidR="00C577E4" w:rsidRPr="00453A59" w:rsidRDefault="00C577E4" w:rsidP="00C60A67">
      <w:pPr>
        <w:autoSpaceDE w:val="0"/>
        <w:autoSpaceDN w:val="0"/>
        <w:adjustRightInd w:val="0"/>
        <w:spacing w:after="0" w:line="240" w:lineRule="auto"/>
        <w:rPr>
          <w:rFonts w:asciiTheme="majorHAnsi" w:hAnsiTheme="majorHAnsi" w:cs="Times New Roman"/>
          <w:lang w:val="en-US"/>
        </w:rPr>
      </w:pPr>
    </w:p>
    <w:p w14:paraId="2A12C0E0" w14:textId="76D20602" w:rsidR="00C577E4" w:rsidRPr="00453A59" w:rsidRDefault="00926E3F" w:rsidP="00C60A67">
      <w:pPr>
        <w:autoSpaceDE w:val="0"/>
        <w:autoSpaceDN w:val="0"/>
        <w:adjustRightInd w:val="0"/>
        <w:spacing w:after="0" w:line="240" w:lineRule="auto"/>
        <w:rPr>
          <w:rFonts w:asciiTheme="majorHAnsi" w:hAnsiTheme="majorHAnsi" w:cs="Times New Roman"/>
          <w:lang w:val="en-US"/>
        </w:rPr>
      </w:pPr>
      <w:r w:rsidRPr="00453A59">
        <w:rPr>
          <w:rFonts w:asciiTheme="majorHAnsi" w:hAnsiTheme="majorHAnsi" w:cs="Times New Roman"/>
          <w:lang w:val="en-US"/>
        </w:rPr>
        <w:t>U</w:t>
      </w:r>
      <w:r w:rsidR="00C577E4" w:rsidRPr="00453A59">
        <w:rPr>
          <w:rFonts w:asciiTheme="majorHAnsi" w:hAnsiTheme="majorHAnsi" w:cs="Times New Roman"/>
          <w:lang w:val="en-US"/>
        </w:rPr>
        <w:t>se in one patient on</w:t>
      </w:r>
      <w:r w:rsidRPr="00453A59">
        <w:rPr>
          <w:rFonts w:asciiTheme="majorHAnsi" w:hAnsiTheme="majorHAnsi" w:cs="Times New Roman"/>
          <w:lang w:val="en-US"/>
        </w:rPr>
        <w:t xml:space="preserve"> one occasion only</w:t>
      </w:r>
      <w:r w:rsidR="00C577E4" w:rsidRPr="00453A59">
        <w:rPr>
          <w:rFonts w:asciiTheme="majorHAnsi" w:hAnsiTheme="majorHAnsi" w:cs="Times New Roman"/>
          <w:lang w:val="en-US"/>
        </w:rPr>
        <w:t>.</w:t>
      </w:r>
    </w:p>
    <w:p w14:paraId="197575AA" w14:textId="77777777" w:rsidR="00C577E4" w:rsidRPr="00453A59" w:rsidRDefault="00C577E4" w:rsidP="00C60A67">
      <w:pPr>
        <w:autoSpaceDE w:val="0"/>
        <w:autoSpaceDN w:val="0"/>
        <w:adjustRightInd w:val="0"/>
        <w:spacing w:after="0" w:line="240" w:lineRule="auto"/>
        <w:rPr>
          <w:rFonts w:asciiTheme="majorHAnsi" w:hAnsiTheme="majorHAnsi" w:cs="Times New Roman"/>
          <w:lang w:val="en-US"/>
        </w:rPr>
      </w:pPr>
    </w:p>
    <w:p w14:paraId="379262D3" w14:textId="6EF61906" w:rsidR="001A3992" w:rsidRPr="00453A59" w:rsidRDefault="003B4DCA" w:rsidP="00435035">
      <w:pPr>
        <w:pStyle w:val="Heading2"/>
        <w:numPr>
          <w:ilvl w:val="0"/>
          <w:numId w:val="0"/>
        </w:numPr>
        <w:spacing w:before="0" w:after="120"/>
        <w:ind w:left="578" w:hanging="578"/>
        <w:rPr>
          <w:rFonts w:cstheme="minorHAnsi"/>
          <w:lang w:val="en-US"/>
        </w:rPr>
      </w:pPr>
      <w:r w:rsidRPr="00453A59">
        <w:rPr>
          <w:rFonts w:cstheme="minorHAnsi"/>
          <w:lang w:val="en-US"/>
        </w:rPr>
        <w:t>6.5</w:t>
      </w:r>
      <w:r w:rsidRPr="00453A59">
        <w:rPr>
          <w:rFonts w:cstheme="minorHAnsi"/>
          <w:lang w:val="en-US"/>
        </w:rPr>
        <w:tab/>
      </w:r>
      <w:r w:rsidR="001A3992" w:rsidRPr="00453A59">
        <w:rPr>
          <w:rFonts w:cstheme="minorHAnsi"/>
          <w:lang w:val="en-US"/>
        </w:rPr>
        <w:t xml:space="preserve">Nature and contents of container </w:t>
      </w:r>
    </w:p>
    <w:p w14:paraId="7AFCBEC5" w14:textId="0EDCA725" w:rsidR="00C60A67" w:rsidRPr="00453A59" w:rsidRDefault="00C60A67" w:rsidP="00C60A67">
      <w:pPr>
        <w:autoSpaceDE w:val="0"/>
        <w:autoSpaceDN w:val="0"/>
        <w:adjustRightInd w:val="0"/>
        <w:spacing w:after="0" w:line="240" w:lineRule="auto"/>
        <w:rPr>
          <w:rFonts w:asciiTheme="majorHAnsi" w:hAnsiTheme="majorHAnsi" w:cs="Times New Roman"/>
          <w:lang w:val="en-US"/>
        </w:rPr>
      </w:pPr>
      <w:proofErr w:type="spellStart"/>
      <w:r w:rsidRPr="00453A59">
        <w:rPr>
          <w:rFonts w:asciiTheme="majorHAnsi" w:hAnsiTheme="majorHAnsi" w:cs="Times New Roman"/>
          <w:lang w:val="en-US"/>
        </w:rPr>
        <w:t>VeraSeal</w:t>
      </w:r>
      <w:proofErr w:type="spellEnd"/>
      <w:r w:rsidRPr="00453A59">
        <w:rPr>
          <w:rFonts w:asciiTheme="majorHAnsi" w:hAnsiTheme="majorHAnsi" w:cs="Times New Roman"/>
          <w:lang w:val="en-US"/>
        </w:rPr>
        <w:t xml:space="preserve"> is supplied as a single-use kit containing two pre-filled syringes (glass type I) with rubber stoppers, each with a sterile frozen solution, assembled </w:t>
      </w:r>
      <w:r w:rsidR="00673281" w:rsidRPr="00453A59">
        <w:rPr>
          <w:rFonts w:asciiTheme="majorHAnsi" w:hAnsiTheme="majorHAnsi" w:cs="Times New Roman"/>
          <w:lang w:val="en-US"/>
        </w:rPr>
        <w:t>i</w:t>
      </w:r>
      <w:r w:rsidRPr="00453A59">
        <w:rPr>
          <w:rFonts w:asciiTheme="majorHAnsi" w:hAnsiTheme="majorHAnsi" w:cs="Times New Roman"/>
          <w:lang w:val="en-US"/>
        </w:rPr>
        <w:t>n a syringe holder.</w:t>
      </w:r>
    </w:p>
    <w:p w14:paraId="137BCA6E" w14:textId="77777777" w:rsidR="00C60A67" w:rsidRPr="00453A59" w:rsidRDefault="00C60A67" w:rsidP="00C60A67">
      <w:pPr>
        <w:autoSpaceDE w:val="0"/>
        <w:autoSpaceDN w:val="0"/>
        <w:adjustRightInd w:val="0"/>
        <w:spacing w:after="0" w:line="240" w:lineRule="auto"/>
        <w:rPr>
          <w:rFonts w:asciiTheme="majorHAnsi" w:hAnsiTheme="majorHAnsi" w:cs="Times New Roman"/>
          <w:lang w:val="en-US"/>
        </w:rPr>
      </w:pPr>
    </w:p>
    <w:p w14:paraId="0F02DF2B" w14:textId="4204ED97" w:rsidR="00946BD9" w:rsidRPr="00946BD9" w:rsidRDefault="00946BD9" w:rsidP="00946BD9">
      <w:pPr>
        <w:spacing w:line="240" w:lineRule="auto"/>
        <w:rPr>
          <w:rFonts w:asciiTheme="majorHAnsi" w:hAnsiTheme="majorHAnsi"/>
        </w:rPr>
      </w:pPr>
      <w:r w:rsidRPr="00453A59">
        <w:rPr>
          <w:rFonts w:asciiTheme="majorHAnsi" w:hAnsiTheme="majorHAnsi"/>
        </w:rPr>
        <w:t xml:space="preserve">One Dual Applicator with two additional Airless Spray Tips is supplied with the product, for application by spraying or dripping. The Airless Spray Tips are radiopaque. See Figure </w:t>
      </w:r>
      <w:r w:rsidR="00280ACB" w:rsidRPr="00453A59">
        <w:rPr>
          <w:rFonts w:asciiTheme="majorHAnsi" w:hAnsiTheme="majorHAnsi"/>
        </w:rPr>
        <w:t>9</w:t>
      </w:r>
      <w:r w:rsidRPr="00453A59">
        <w:rPr>
          <w:rFonts w:asciiTheme="majorHAnsi" w:hAnsiTheme="majorHAnsi"/>
        </w:rPr>
        <w:t>.</w:t>
      </w:r>
    </w:p>
    <w:p w14:paraId="7C381E81" w14:textId="2E98AE56" w:rsidR="00946BD9" w:rsidRDefault="00946BD9" w:rsidP="00946BD9">
      <w:pPr>
        <w:spacing w:line="240" w:lineRule="auto"/>
        <w:rPr>
          <w:noProof/>
          <w:lang w:val="es-ES" w:eastAsia="es-ES"/>
        </w:rPr>
      </w:pPr>
      <w:r w:rsidRPr="00A82130">
        <w:rPr>
          <w:rFonts w:ascii="Arial" w:eastAsia="Times New Roman" w:hAnsi="Arial" w:cs="Arial"/>
          <w:noProof/>
          <w:szCs w:val="24"/>
          <w:lang w:val="es-ES" w:eastAsia="zh-CN"/>
        </w:rPr>
        <w:lastRenderedPageBreak/>
        <w:drawing>
          <wp:inline distT="0" distB="0" distL="0" distR="0" wp14:anchorId="57E1DDB2" wp14:editId="75613E1C">
            <wp:extent cx="4267200" cy="294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2943225"/>
                    </a:xfrm>
                    <a:prstGeom prst="rect">
                      <a:avLst/>
                    </a:prstGeom>
                    <a:noFill/>
                    <a:ln>
                      <a:noFill/>
                    </a:ln>
                  </pic:spPr>
                </pic:pic>
              </a:graphicData>
            </a:graphic>
          </wp:inline>
        </w:drawing>
      </w:r>
    </w:p>
    <w:p w14:paraId="0FF72950" w14:textId="16CD2A36" w:rsidR="00946BD9" w:rsidRPr="00946BD9" w:rsidRDefault="00946BD9" w:rsidP="004352E1">
      <w:pPr>
        <w:spacing w:line="240" w:lineRule="auto"/>
        <w:ind w:left="1440" w:firstLine="720"/>
        <w:rPr>
          <w:rFonts w:asciiTheme="majorHAnsi" w:hAnsiTheme="majorHAnsi"/>
        </w:rPr>
      </w:pPr>
      <w:r w:rsidRPr="00A51464">
        <w:rPr>
          <w:rFonts w:asciiTheme="majorHAnsi" w:hAnsiTheme="majorHAnsi"/>
          <w:noProof/>
          <w:lang w:val="en-US" w:eastAsia="es-ES"/>
        </w:rPr>
        <w:t xml:space="preserve">Figure </w:t>
      </w:r>
      <w:r w:rsidR="00280ACB">
        <w:rPr>
          <w:rFonts w:asciiTheme="majorHAnsi" w:hAnsiTheme="majorHAnsi"/>
          <w:noProof/>
          <w:lang w:val="en-US" w:eastAsia="es-ES"/>
        </w:rPr>
        <w:t>9</w:t>
      </w:r>
    </w:p>
    <w:p w14:paraId="58E41C16" w14:textId="77777777" w:rsidR="00C60A67" w:rsidRPr="00C60A67" w:rsidRDefault="00C60A67" w:rsidP="00C60A67">
      <w:pPr>
        <w:autoSpaceDE w:val="0"/>
        <w:autoSpaceDN w:val="0"/>
        <w:adjustRightInd w:val="0"/>
        <w:spacing w:after="0" w:line="240" w:lineRule="auto"/>
        <w:rPr>
          <w:rFonts w:asciiTheme="majorHAnsi" w:hAnsiTheme="majorHAnsi" w:cs="Times New Roman"/>
          <w:lang w:val="en-US"/>
        </w:rPr>
      </w:pPr>
    </w:p>
    <w:p w14:paraId="3EFAF577" w14:textId="77777777" w:rsidR="00C60A67" w:rsidRPr="00C60A67" w:rsidRDefault="00C60A67" w:rsidP="00C60A67">
      <w:pPr>
        <w:autoSpaceDE w:val="0"/>
        <w:autoSpaceDN w:val="0"/>
        <w:adjustRightInd w:val="0"/>
        <w:spacing w:after="0" w:line="240" w:lineRule="auto"/>
        <w:rPr>
          <w:rFonts w:asciiTheme="majorHAnsi" w:hAnsiTheme="majorHAnsi" w:cs="Times New Roman"/>
          <w:lang w:val="en-US"/>
        </w:rPr>
      </w:pPr>
      <w:proofErr w:type="spellStart"/>
      <w:r w:rsidRPr="00C60A67">
        <w:rPr>
          <w:rFonts w:asciiTheme="majorHAnsi" w:hAnsiTheme="majorHAnsi" w:cs="Times New Roman"/>
          <w:lang w:val="en-US"/>
        </w:rPr>
        <w:t>VeraSeal</w:t>
      </w:r>
      <w:proofErr w:type="spellEnd"/>
      <w:r w:rsidRPr="00C60A67">
        <w:rPr>
          <w:rFonts w:asciiTheme="majorHAnsi" w:hAnsiTheme="majorHAnsi" w:cs="Times New Roman"/>
          <w:lang w:val="en-US"/>
        </w:rPr>
        <w:t xml:space="preserve"> is available in the following pack sizes:</w:t>
      </w:r>
    </w:p>
    <w:p w14:paraId="3CA7A954" w14:textId="05C1C1CD" w:rsidR="00C60A67" w:rsidRPr="00C60A67" w:rsidRDefault="00C60A67" w:rsidP="00C60A67">
      <w:pPr>
        <w:autoSpaceDE w:val="0"/>
        <w:autoSpaceDN w:val="0"/>
        <w:adjustRightInd w:val="0"/>
        <w:spacing w:after="0" w:line="240" w:lineRule="auto"/>
        <w:ind w:firstLine="720"/>
        <w:rPr>
          <w:rFonts w:asciiTheme="majorHAnsi" w:hAnsiTheme="majorHAnsi" w:cs="Times New Roman"/>
          <w:lang w:val="en-US"/>
        </w:rPr>
      </w:pPr>
      <w:r w:rsidRPr="00C60A67">
        <w:rPr>
          <w:rFonts w:asciiTheme="majorHAnsi" w:hAnsiTheme="majorHAnsi" w:cs="Times New Roman"/>
          <w:lang w:val="en-US"/>
        </w:rPr>
        <w:t xml:space="preserve">- </w:t>
      </w:r>
      <w:proofErr w:type="spellStart"/>
      <w:r w:rsidRPr="00C60A67">
        <w:rPr>
          <w:rFonts w:asciiTheme="majorHAnsi" w:hAnsiTheme="majorHAnsi" w:cs="Times New Roman"/>
          <w:lang w:val="en-US"/>
        </w:rPr>
        <w:t>VeraSeal</w:t>
      </w:r>
      <w:proofErr w:type="spellEnd"/>
      <w:r w:rsidRPr="00C60A67">
        <w:rPr>
          <w:rFonts w:asciiTheme="majorHAnsi" w:hAnsiTheme="majorHAnsi" w:cs="Times New Roman"/>
          <w:lang w:val="en-US"/>
        </w:rPr>
        <w:t xml:space="preserve"> 2 </w:t>
      </w:r>
      <w:r w:rsidR="000E14E0">
        <w:rPr>
          <w:rFonts w:asciiTheme="majorHAnsi" w:hAnsiTheme="majorHAnsi" w:cs="Times New Roman"/>
          <w:lang w:val="en-US"/>
        </w:rPr>
        <w:t>mL</w:t>
      </w:r>
      <w:r w:rsidRPr="00C60A67">
        <w:rPr>
          <w:rFonts w:asciiTheme="majorHAnsi" w:hAnsiTheme="majorHAnsi" w:cs="Times New Roman"/>
          <w:lang w:val="en-US"/>
        </w:rPr>
        <w:t xml:space="preserve"> (containing 1 </w:t>
      </w:r>
      <w:r w:rsidR="000E14E0">
        <w:rPr>
          <w:rFonts w:asciiTheme="majorHAnsi" w:hAnsiTheme="majorHAnsi" w:cs="Times New Roman"/>
          <w:lang w:val="en-US"/>
        </w:rPr>
        <w:t>mL</w:t>
      </w:r>
      <w:r w:rsidRPr="00C60A67">
        <w:rPr>
          <w:rFonts w:asciiTheme="majorHAnsi" w:hAnsiTheme="majorHAnsi" w:cs="Times New Roman"/>
          <w:lang w:val="en-US"/>
        </w:rPr>
        <w:t xml:space="preserve"> of human fibrinogen and 1 </w:t>
      </w:r>
      <w:r w:rsidR="000E14E0">
        <w:rPr>
          <w:rFonts w:asciiTheme="majorHAnsi" w:hAnsiTheme="majorHAnsi" w:cs="Times New Roman"/>
          <w:lang w:val="en-US"/>
        </w:rPr>
        <w:t>mL</w:t>
      </w:r>
      <w:r w:rsidRPr="00C60A67">
        <w:rPr>
          <w:rFonts w:asciiTheme="majorHAnsi" w:hAnsiTheme="majorHAnsi" w:cs="Times New Roman"/>
          <w:lang w:val="en-US"/>
        </w:rPr>
        <w:t xml:space="preserve"> of human thrombin)</w:t>
      </w:r>
    </w:p>
    <w:p w14:paraId="0717BFDB" w14:textId="6613A205" w:rsidR="00C60A67" w:rsidRPr="00C60A67" w:rsidRDefault="00C60A67" w:rsidP="00C60A67">
      <w:pPr>
        <w:autoSpaceDE w:val="0"/>
        <w:autoSpaceDN w:val="0"/>
        <w:adjustRightInd w:val="0"/>
        <w:spacing w:after="0" w:line="240" w:lineRule="auto"/>
        <w:ind w:firstLine="720"/>
        <w:rPr>
          <w:rFonts w:asciiTheme="majorHAnsi" w:hAnsiTheme="majorHAnsi" w:cs="Times New Roman"/>
          <w:lang w:val="en-US"/>
        </w:rPr>
      </w:pPr>
      <w:r w:rsidRPr="00C60A67">
        <w:rPr>
          <w:rFonts w:asciiTheme="majorHAnsi" w:hAnsiTheme="majorHAnsi" w:cs="Times New Roman"/>
          <w:lang w:val="en-US"/>
        </w:rPr>
        <w:t xml:space="preserve">- </w:t>
      </w:r>
      <w:proofErr w:type="spellStart"/>
      <w:r w:rsidRPr="00C60A67">
        <w:rPr>
          <w:rFonts w:asciiTheme="majorHAnsi" w:hAnsiTheme="majorHAnsi" w:cs="Times New Roman"/>
          <w:lang w:val="en-US"/>
        </w:rPr>
        <w:t>VeraSeal</w:t>
      </w:r>
      <w:proofErr w:type="spellEnd"/>
      <w:r w:rsidRPr="00C60A67">
        <w:rPr>
          <w:rFonts w:asciiTheme="majorHAnsi" w:hAnsiTheme="majorHAnsi" w:cs="Times New Roman"/>
          <w:lang w:val="en-US"/>
        </w:rPr>
        <w:t xml:space="preserve"> 4 </w:t>
      </w:r>
      <w:r w:rsidR="000E14E0">
        <w:rPr>
          <w:rFonts w:asciiTheme="majorHAnsi" w:hAnsiTheme="majorHAnsi" w:cs="Times New Roman"/>
          <w:lang w:val="en-US"/>
        </w:rPr>
        <w:t>mL</w:t>
      </w:r>
      <w:r w:rsidRPr="00C60A67">
        <w:rPr>
          <w:rFonts w:asciiTheme="majorHAnsi" w:hAnsiTheme="majorHAnsi" w:cs="Times New Roman"/>
          <w:lang w:val="en-US"/>
        </w:rPr>
        <w:t xml:space="preserve"> (containing 2 </w:t>
      </w:r>
      <w:r w:rsidR="000E14E0">
        <w:rPr>
          <w:rFonts w:asciiTheme="majorHAnsi" w:hAnsiTheme="majorHAnsi" w:cs="Times New Roman"/>
          <w:lang w:val="en-US"/>
        </w:rPr>
        <w:t>mL</w:t>
      </w:r>
      <w:r w:rsidRPr="00C60A67">
        <w:rPr>
          <w:rFonts w:asciiTheme="majorHAnsi" w:hAnsiTheme="majorHAnsi" w:cs="Times New Roman"/>
          <w:lang w:val="en-US"/>
        </w:rPr>
        <w:t xml:space="preserve"> of human fibrinogen and 2 </w:t>
      </w:r>
      <w:r w:rsidR="000E14E0">
        <w:rPr>
          <w:rFonts w:asciiTheme="majorHAnsi" w:hAnsiTheme="majorHAnsi" w:cs="Times New Roman"/>
          <w:lang w:val="en-US"/>
        </w:rPr>
        <w:t>mL</w:t>
      </w:r>
      <w:r w:rsidRPr="00C60A67">
        <w:rPr>
          <w:rFonts w:asciiTheme="majorHAnsi" w:hAnsiTheme="majorHAnsi" w:cs="Times New Roman"/>
          <w:lang w:val="en-US"/>
        </w:rPr>
        <w:t xml:space="preserve"> of human thrombin)</w:t>
      </w:r>
    </w:p>
    <w:p w14:paraId="3527DAD9" w14:textId="3F293ED2" w:rsidR="00C60A67" w:rsidRPr="00C60A67" w:rsidRDefault="00C60A67" w:rsidP="00C60A67">
      <w:pPr>
        <w:autoSpaceDE w:val="0"/>
        <w:autoSpaceDN w:val="0"/>
        <w:adjustRightInd w:val="0"/>
        <w:spacing w:after="0" w:line="240" w:lineRule="auto"/>
        <w:ind w:firstLine="720"/>
        <w:rPr>
          <w:rFonts w:asciiTheme="majorHAnsi" w:hAnsiTheme="majorHAnsi" w:cs="Times New Roman"/>
          <w:lang w:val="en-US"/>
        </w:rPr>
      </w:pPr>
      <w:r w:rsidRPr="00C60A67">
        <w:rPr>
          <w:rFonts w:asciiTheme="majorHAnsi" w:hAnsiTheme="majorHAnsi" w:cs="Times New Roman"/>
          <w:lang w:val="en-US"/>
        </w:rPr>
        <w:t xml:space="preserve">- </w:t>
      </w:r>
      <w:proofErr w:type="spellStart"/>
      <w:r w:rsidRPr="00C60A67">
        <w:rPr>
          <w:rFonts w:asciiTheme="majorHAnsi" w:hAnsiTheme="majorHAnsi" w:cs="Times New Roman"/>
          <w:lang w:val="en-US"/>
        </w:rPr>
        <w:t>VeraSeal</w:t>
      </w:r>
      <w:proofErr w:type="spellEnd"/>
      <w:r w:rsidRPr="00C60A67">
        <w:rPr>
          <w:rFonts w:asciiTheme="majorHAnsi" w:hAnsiTheme="majorHAnsi" w:cs="Times New Roman"/>
          <w:lang w:val="en-US"/>
        </w:rPr>
        <w:t xml:space="preserve"> 6 </w:t>
      </w:r>
      <w:r w:rsidR="000E14E0">
        <w:rPr>
          <w:rFonts w:asciiTheme="majorHAnsi" w:hAnsiTheme="majorHAnsi" w:cs="Times New Roman"/>
          <w:lang w:val="en-US"/>
        </w:rPr>
        <w:t>mL</w:t>
      </w:r>
      <w:r w:rsidRPr="00C60A67">
        <w:rPr>
          <w:rFonts w:asciiTheme="majorHAnsi" w:hAnsiTheme="majorHAnsi" w:cs="Times New Roman"/>
          <w:lang w:val="en-US"/>
        </w:rPr>
        <w:t xml:space="preserve"> (containing 3 </w:t>
      </w:r>
      <w:r w:rsidR="000E14E0">
        <w:rPr>
          <w:rFonts w:asciiTheme="majorHAnsi" w:hAnsiTheme="majorHAnsi" w:cs="Times New Roman"/>
          <w:lang w:val="en-US"/>
        </w:rPr>
        <w:t>mL</w:t>
      </w:r>
      <w:r w:rsidRPr="00C60A67">
        <w:rPr>
          <w:rFonts w:asciiTheme="majorHAnsi" w:hAnsiTheme="majorHAnsi" w:cs="Times New Roman"/>
          <w:lang w:val="en-US"/>
        </w:rPr>
        <w:t xml:space="preserve"> of human fibrinogen and 3 </w:t>
      </w:r>
      <w:r w:rsidR="000E14E0">
        <w:rPr>
          <w:rFonts w:asciiTheme="majorHAnsi" w:hAnsiTheme="majorHAnsi" w:cs="Times New Roman"/>
          <w:lang w:val="en-US"/>
        </w:rPr>
        <w:t>mL</w:t>
      </w:r>
      <w:r w:rsidRPr="00C60A67">
        <w:rPr>
          <w:rFonts w:asciiTheme="majorHAnsi" w:hAnsiTheme="majorHAnsi" w:cs="Times New Roman"/>
          <w:lang w:val="en-US"/>
        </w:rPr>
        <w:t xml:space="preserve"> of human thrombin)</w:t>
      </w:r>
    </w:p>
    <w:p w14:paraId="550389B4" w14:textId="5F3AC41F" w:rsidR="00C60A67" w:rsidRDefault="00C60A67" w:rsidP="00C60A67">
      <w:pPr>
        <w:autoSpaceDE w:val="0"/>
        <w:autoSpaceDN w:val="0"/>
        <w:adjustRightInd w:val="0"/>
        <w:spacing w:after="0" w:line="240" w:lineRule="auto"/>
        <w:ind w:firstLine="720"/>
        <w:rPr>
          <w:rFonts w:asciiTheme="majorHAnsi" w:hAnsiTheme="majorHAnsi" w:cs="Times New Roman"/>
          <w:lang w:val="en-US"/>
        </w:rPr>
      </w:pPr>
      <w:r w:rsidRPr="00C60A67">
        <w:rPr>
          <w:rFonts w:asciiTheme="majorHAnsi" w:hAnsiTheme="majorHAnsi" w:cs="Times New Roman"/>
          <w:lang w:val="en-US"/>
        </w:rPr>
        <w:t xml:space="preserve">- </w:t>
      </w:r>
      <w:proofErr w:type="spellStart"/>
      <w:r w:rsidRPr="00C60A67">
        <w:rPr>
          <w:rFonts w:asciiTheme="majorHAnsi" w:hAnsiTheme="majorHAnsi" w:cs="Times New Roman"/>
          <w:lang w:val="en-US"/>
        </w:rPr>
        <w:t>VeraSeal</w:t>
      </w:r>
      <w:proofErr w:type="spellEnd"/>
      <w:r w:rsidRPr="00C60A67">
        <w:rPr>
          <w:rFonts w:asciiTheme="majorHAnsi" w:hAnsiTheme="majorHAnsi" w:cs="Times New Roman"/>
          <w:lang w:val="en-US"/>
        </w:rPr>
        <w:t xml:space="preserve"> 10 </w:t>
      </w:r>
      <w:r w:rsidR="000E14E0">
        <w:rPr>
          <w:rFonts w:asciiTheme="majorHAnsi" w:hAnsiTheme="majorHAnsi" w:cs="Times New Roman"/>
          <w:lang w:val="en-US"/>
        </w:rPr>
        <w:t>mL</w:t>
      </w:r>
      <w:r w:rsidRPr="00C60A67">
        <w:rPr>
          <w:rFonts w:asciiTheme="majorHAnsi" w:hAnsiTheme="majorHAnsi" w:cs="Times New Roman"/>
          <w:lang w:val="en-US"/>
        </w:rPr>
        <w:t xml:space="preserve"> (containing 5 </w:t>
      </w:r>
      <w:r w:rsidR="000E14E0">
        <w:rPr>
          <w:rFonts w:asciiTheme="majorHAnsi" w:hAnsiTheme="majorHAnsi" w:cs="Times New Roman"/>
          <w:lang w:val="en-US"/>
        </w:rPr>
        <w:t>mL</w:t>
      </w:r>
      <w:r w:rsidRPr="00C60A67">
        <w:rPr>
          <w:rFonts w:asciiTheme="majorHAnsi" w:hAnsiTheme="majorHAnsi" w:cs="Times New Roman"/>
          <w:lang w:val="en-US"/>
        </w:rPr>
        <w:t xml:space="preserve"> of human fibrinogen and 5 </w:t>
      </w:r>
      <w:r w:rsidR="000E14E0">
        <w:rPr>
          <w:rFonts w:asciiTheme="majorHAnsi" w:hAnsiTheme="majorHAnsi" w:cs="Times New Roman"/>
          <w:lang w:val="en-US"/>
        </w:rPr>
        <w:t>mL</w:t>
      </w:r>
      <w:r w:rsidRPr="00C60A67">
        <w:rPr>
          <w:rFonts w:asciiTheme="majorHAnsi" w:hAnsiTheme="majorHAnsi" w:cs="Times New Roman"/>
          <w:lang w:val="en-US"/>
        </w:rPr>
        <w:t xml:space="preserve"> of human thrombin)</w:t>
      </w:r>
    </w:p>
    <w:p w14:paraId="0414B890" w14:textId="77777777" w:rsidR="00C60A67" w:rsidRPr="00C60A67" w:rsidRDefault="00C60A67" w:rsidP="00C60A67">
      <w:pPr>
        <w:autoSpaceDE w:val="0"/>
        <w:autoSpaceDN w:val="0"/>
        <w:adjustRightInd w:val="0"/>
        <w:spacing w:after="0" w:line="240" w:lineRule="auto"/>
        <w:ind w:firstLine="720"/>
        <w:rPr>
          <w:rFonts w:asciiTheme="majorHAnsi" w:hAnsiTheme="majorHAnsi" w:cs="Times New Roman"/>
          <w:lang w:val="en-US"/>
        </w:rPr>
      </w:pPr>
    </w:p>
    <w:p w14:paraId="05E609E1" w14:textId="6053BA07" w:rsidR="001A3992" w:rsidRDefault="003B4DCA" w:rsidP="00435035">
      <w:pPr>
        <w:pStyle w:val="Heading2"/>
        <w:numPr>
          <w:ilvl w:val="0"/>
          <w:numId w:val="0"/>
        </w:numPr>
        <w:spacing w:before="0" w:after="120"/>
        <w:ind w:left="578" w:hanging="578"/>
        <w:rPr>
          <w:rFonts w:cstheme="minorHAnsi"/>
          <w:lang w:val="en-US"/>
        </w:rPr>
      </w:pPr>
      <w:r>
        <w:rPr>
          <w:rFonts w:cstheme="minorHAnsi"/>
          <w:lang w:val="en-US"/>
        </w:rPr>
        <w:t>6.6</w:t>
      </w:r>
      <w:r>
        <w:rPr>
          <w:rFonts w:cstheme="minorHAnsi"/>
          <w:lang w:val="en-US"/>
        </w:rPr>
        <w:tab/>
      </w:r>
      <w:r w:rsidR="001A3992" w:rsidRPr="00497C85">
        <w:rPr>
          <w:rFonts w:cstheme="minorHAnsi"/>
          <w:lang w:val="en-US"/>
        </w:rPr>
        <w:t xml:space="preserve">Special precautions for disposal </w:t>
      </w:r>
    </w:p>
    <w:p w14:paraId="42298D3B" w14:textId="4785BCBF" w:rsidR="00987D94" w:rsidRPr="00043301" w:rsidRDefault="00E52BBE" w:rsidP="00F901EA">
      <w:pPr>
        <w:spacing w:line="240" w:lineRule="auto"/>
        <w:rPr>
          <w:rFonts w:asciiTheme="majorHAnsi" w:hAnsiTheme="majorHAnsi"/>
        </w:rPr>
      </w:pPr>
      <w:r>
        <w:rPr>
          <w:rFonts w:asciiTheme="majorHAnsi" w:hAnsiTheme="majorHAnsi"/>
        </w:rPr>
        <w:t>In Australia, a</w:t>
      </w:r>
      <w:r w:rsidR="00987D94" w:rsidRPr="00043301">
        <w:rPr>
          <w:rFonts w:asciiTheme="majorHAnsi" w:hAnsiTheme="majorHAnsi"/>
        </w:rPr>
        <w:t>ny unused medicinal product or waste material should be disposed of in accordance with local requirements.</w:t>
      </w:r>
    </w:p>
    <w:p w14:paraId="2304D3C6" w14:textId="77777777" w:rsidR="002C79C0" w:rsidRPr="002C79C0" w:rsidRDefault="002C79C0" w:rsidP="002C79C0"/>
    <w:p w14:paraId="5CB000BE" w14:textId="76674FB0" w:rsidR="001A3992" w:rsidRPr="00497C85" w:rsidRDefault="003B4DCA" w:rsidP="00435035">
      <w:pPr>
        <w:pStyle w:val="Heading2"/>
        <w:numPr>
          <w:ilvl w:val="0"/>
          <w:numId w:val="0"/>
        </w:numPr>
        <w:spacing w:before="0" w:after="120"/>
        <w:ind w:left="578" w:hanging="578"/>
        <w:rPr>
          <w:rFonts w:cstheme="minorHAnsi"/>
          <w:lang w:val="en-US"/>
        </w:rPr>
      </w:pPr>
      <w:r>
        <w:rPr>
          <w:rFonts w:cstheme="minorHAnsi"/>
          <w:lang w:val="en-US"/>
        </w:rPr>
        <w:t>6.7</w:t>
      </w:r>
      <w:r>
        <w:rPr>
          <w:rFonts w:cstheme="minorHAnsi"/>
          <w:lang w:val="en-US"/>
        </w:rPr>
        <w:tab/>
      </w:r>
      <w:r w:rsidR="001A3992" w:rsidRPr="00497C85">
        <w:rPr>
          <w:rFonts w:cstheme="minorHAnsi"/>
          <w:lang w:val="en-US"/>
        </w:rPr>
        <w:t>Physicochemical properties</w:t>
      </w:r>
    </w:p>
    <w:p w14:paraId="67195A21" w14:textId="37F54E9F" w:rsidR="001A3992" w:rsidRDefault="001A3992" w:rsidP="001A3992">
      <w:pPr>
        <w:pStyle w:val="Heading3"/>
        <w:spacing w:before="0" w:after="120"/>
        <w:rPr>
          <w:rFonts w:cstheme="minorHAnsi"/>
          <w:lang w:val="en-US"/>
        </w:rPr>
      </w:pPr>
      <w:r w:rsidRPr="00497C85">
        <w:rPr>
          <w:rFonts w:cstheme="minorHAnsi"/>
          <w:lang w:val="en-US"/>
        </w:rPr>
        <w:t>Chemical structure</w:t>
      </w:r>
    </w:p>
    <w:p w14:paraId="58D60D0A" w14:textId="7897BA0A" w:rsidR="00D87CE4" w:rsidRPr="00D91AC1" w:rsidRDefault="00B23954" w:rsidP="00D87CE4">
      <w:pPr>
        <w:rPr>
          <w:rFonts w:asciiTheme="majorHAnsi" w:hAnsiTheme="majorHAnsi"/>
          <w:lang w:val="en-US"/>
        </w:rPr>
      </w:pPr>
      <w:r>
        <w:rPr>
          <w:rFonts w:asciiTheme="majorHAnsi" w:hAnsiTheme="majorHAnsi" w:cstheme="minorHAnsi"/>
        </w:rPr>
        <w:t>Since the components are complex compositions, chemical structure is not applicable</w:t>
      </w:r>
      <w:r w:rsidR="00D87CE4" w:rsidRPr="00D91AC1">
        <w:rPr>
          <w:rFonts w:asciiTheme="majorHAnsi" w:hAnsiTheme="majorHAnsi"/>
          <w:lang w:val="en-US"/>
        </w:rPr>
        <w:t>.</w:t>
      </w:r>
    </w:p>
    <w:p w14:paraId="52A38D69" w14:textId="348A840A" w:rsidR="001A3992" w:rsidRPr="00D91AC1" w:rsidRDefault="001A3992" w:rsidP="001A3992">
      <w:pPr>
        <w:pStyle w:val="Heading3"/>
        <w:spacing w:before="0" w:after="120"/>
        <w:rPr>
          <w:rFonts w:cstheme="minorHAnsi"/>
          <w:lang w:val="en-US"/>
        </w:rPr>
      </w:pPr>
      <w:r w:rsidRPr="00D91AC1">
        <w:rPr>
          <w:rFonts w:cstheme="minorHAnsi"/>
          <w:lang w:val="en-US"/>
        </w:rPr>
        <w:t>CAS number</w:t>
      </w:r>
    </w:p>
    <w:p w14:paraId="6252727E" w14:textId="77777777" w:rsidR="00ED73AF" w:rsidRDefault="00ED73AF" w:rsidP="00D87CE4">
      <w:pPr>
        <w:rPr>
          <w:rFonts w:asciiTheme="majorHAnsi" w:hAnsiTheme="majorHAnsi"/>
          <w:lang w:val="en-US"/>
        </w:rPr>
      </w:pPr>
      <w:r>
        <w:rPr>
          <w:rFonts w:asciiTheme="majorHAnsi" w:hAnsiTheme="majorHAnsi"/>
          <w:lang w:val="en-US"/>
        </w:rPr>
        <w:t>The CAS number for human fibrinogen is 9001-32-5.</w:t>
      </w:r>
    </w:p>
    <w:p w14:paraId="40F8369E" w14:textId="5F96365F" w:rsidR="00D87CE4" w:rsidRPr="00D91AC1" w:rsidRDefault="00ED73AF" w:rsidP="00D87CE4">
      <w:pPr>
        <w:rPr>
          <w:rFonts w:asciiTheme="majorHAnsi" w:hAnsiTheme="majorHAnsi"/>
          <w:lang w:val="en-US"/>
        </w:rPr>
      </w:pPr>
      <w:r>
        <w:rPr>
          <w:rFonts w:asciiTheme="majorHAnsi" w:hAnsiTheme="majorHAnsi"/>
          <w:lang w:val="en-US"/>
        </w:rPr>
        <w:t>The CAS number for human thrombin is 9002-04-4.</w:t>
      </w:r>
    </w:p>
    <w:p w14:paraId="6774E4C9" w14:textId="43A26933" w:rsidR="001A3992" w:rsidRDefault="001A3992" w:rsidP="009C7E7F">
      <w:pPr>
        <w:pStyle w:val="Heading1"/>
        <w:numPr>
          <w:ilvl w:val="0"/>
          <w:numId w:val="20"/>
        </w:numPr>
        <w:spacing w:before="0" w:after="120"/>
        <w:rPr>
          <w:rFonts w:cstheme="minorHAnsi"/>
          <w:lang w:val="en-US"/>
        </w:rPr>
      </w:pPr>
      <w:r w:rsidRPr="00497C85">
        <w:rPr>
          <w:rFonts w:cstheme="minorHAnsi"/>
          <w:lang w:val="en-US"/>
        </w:rPr>
        <w:t>Medicine schedule (Poisons Standard)</w:t>
      </w:r>
    </w:p>
    <w:p w14:paraId="48AA8F49" w14:textId="4546C3CF" w:rsidR="008859CC" w:rsidRPr="00D91AC1" w:rsidRDefault="008859CC" w:rsidP="008859CC">
      <w:pPr>
        <w:rPr>
          <w:rFonts w:asciiTheme="majorHAnsi" w:hAnsiTheme="majorHAnsi"/>
          <w:lang w:val="en-US"/>
        </w:rPr>
      </w:pPr>
      <w:r w:rsidRPr="00D91AC1">
        <w:rPr>
          <w:rFonts w:asciiTheme="majorHAnsi" w:hAnsiTheme="majorHAnsi"/>
          <w:lang w:val="en-US"/>
        </w:rPr>
        <w:t>Exempt f</w:t>
      </w:r>
      <w:r w:rsidR="0002303C">
        <w:rPr>
          <w:rFonts w:asciiTheme="majorHAnsi" w:hAnsiTheme="majorHAnsi"/>
          <w:lang w:val="en-US"/>
        </w:rPr>
        <w:t>rom</w:t>
      </w:r>
      <w:r w:rsidRPr="00D91AC1">
        <w:rPr>
          <w:rFonts w:asciiTheme="majorHAnsi" w:hAnsiTheme="majorHAnsi"/>
          <w:lang w:val="en-US"/>
        </w:rPr>
        <w:t xml:space="preserve"> scheduling.</w:t>
      </w:r>
    </w:p>
    <w:p w14:paraId="0A79E597" w14:textId="18448FD9" w:rsidR="001A3992" w:rsidRDefault="001A3992" w:rsidP="00693361">
      <w:pPr>
        <w:pStyle w:val="Heading1"/>
        <w:numPr>
          <w:ilvl w:val="0"/>
          <w:numId w:val="20"/>
        </w:numPr>
        <w:spacing w:before="0" w:after="120"/>
        <w:rPr>
          <w:rFonts w:cstheme="minorHAnsi"/>
          <w:lang w:val="en-US"/>
        </w:rPr>
      </w:pPr>
      <w:r w:rsidRPr="00497C85">
        <w:rPr>
          <w:rFonts w:cstheme="minorHAnsi"/>
          <w:lang w:val="en-US"/>
        </w:rPr>
        <w:lastRenderedPageBreak/>
        <w:t>Sponsor</w:t>
      </w:r>
    </w:p>
    <w:p w14:paraId="194F45D6" w14:textId="6204F73F" w:rsidR="00741151" w:rsidRPr="007B430B" w:rsidRDefault="00741151" w:rsidP="00693361">
      <w:pPr>
        <w:keepNext/>
        <w:keepLines/>
        <w:spacing w:after="0" w:line="240" w:lineRule="auto"/>
        <w:rPr>
          <w:rFonts w:asciiTheme="majorHAnsi" w:hAnsiTheme="majorHAnsi"/>
          <w:b/>
          <w:lang w:val="en-US"/>
        </w:rPr>
      </w:pPr>
      <w:r w:rsidRPr="007B430B">
        <w:rPr>
          <w:rFonts w:asciiTheme="majorHAnsi" w:hAnsiTheme="majorHAnsi"/>
          <w:b/>
          <w:lang w:val="en-US"/>
        </w:rPr>
        <w:t>Grifols Australia Pty Ltd</w:t>
      </w:r>
    </w:p>
    <w:p w14:paraId="738E263E" w14:textId="47FA8AAF" w:rsidR="00741151" w:rsidRPr="00D91AC1" w:rsidRDefault="00741151" w:rsidP="00693361">
      <w:pPr>
        <w:keepNext/>
        <w:keepLines/>
        <w:spacing w:after="0" w:line="240" w:lineRule="auto"/>
        <w:rPr>
          <w:rFonts w:asciiTheme="majorHAnsi" w:hAnsiTheme="majorHAnsi"/>
          <w:lang w:val="en-US"/>
        </w:rPr>
      </w:pPr>
      <w:r w:rsidRPr="00D91AC1">
        <w:rPr>
          <w:rFonts w:asciiTheme="majorHAnsi" w:hAnsiTheme="majorHAnsi"/>
          <w:lang w:val="en-US"/>
        </w:rPr>
        <w:t>5/80 Fairbank Road,</w:t>
      </w:r>
    </w:p>
    <w:p w14:paraId="71A73D21" w14:textId="6348030A" w:rsidR="00741151" w:rsidRPr="00D91AC1" w:rsidRDefault="00741151" w:rsidP="00693361">
      <w:pPr>
        <w:keepNext/>
        <w:keepLines/>
        <w:spacing w:after="0" w:line="240" w:lineRule="auto"/>
        <w:rPr>
          <w:rFonts w:asciiTheme="majorHAnsi" w:hAnsiTheme="majorHAnsi"/>
          <w:lang w:val="en-US"/>
        </w:rPr>
      </w:pPr>
      <w:r w:rsidRPr="00D91AC1">
        <w:rPr>
          <w:rFonts w:asciiTheme="majorHAnsi" w:hAnsiTheme="majorHAnsi"/>
          <w:lang w:val="en-US"/>
        </w:rPr>
        <w:t>Clayton South,</w:t>
      </w:r>
    </w:p>
    <w:p w14:paraId="5CA9739E" w14:textId="205B1D08" w:rsidR="00741151" w:rsidRPr="00D91AC1" w:rsidRDefault="00741151" w:rsidP="00693361">
      <w:pPr>
        <w:keepNext/>
        <w:keepLines/>
        <w:spacing w:after="0" w:line="240" w:lineRule="auto"/>
        <w:rPr>
          <w:rFonts w:asciiTheme="majorHAnsi" w:hAnsiTheme="majorHAnsi"/>
          <w:lang w:val="en-US"/>
        </w:rPr>
      </w:pPr>
      <w:r w:rsidRPr="00D91AC1">
        <w:rPr>
          <w:rFonts w:asciiTheme="majorHAnsi" w:hAnsiTheme="majorHAnsi"/>
          <w:lang w:val="en-US"/>
        </w:rPr>
        <w:t>Victoria, Australia</w:t>
      </w:r>
    </w:p>
    <w:p w14:paraId="34063CD7" w14:textId="77777777" w:rsidR="00ED73AF" w:rsidRDefault="00741151" w:rsidP="00693361">
      <w:pPr>
        <w:keepNext/>
        <w:keepLines/>
        <w:spacing w:after="0" w:line="240" w:lineRule="auto"/>
        <w:rPr>
          <w:rFonts w:asciiTheme="majorHAnsi" w:hAnsiTheme="majorHAnsi"/>
          <w:lang w:val="en-US"/>
        </w:rPr>
      </w:pPr>
      <w:r w:rsidRPr="00D91AC1">
        <w:rPr>
          <w:rFonts w:asciiTheme="majorHAnsi" w:hAnsiTheme="majorHAnsi"/>
          <w:lang w:val="en-US"/>
        </w:rPr>
        <w:t>3169</w:t>
      </w:r>
    </w:p>
    <w:p w14:paraId="0EE5CEC5" w14:textId="09EBBEE0" w:rsidR="00ED73AF" w:rsidRDefault="00ED73AF" w:rsidP="00693361">
      <w:pPr>
        <w:keepNext/>
        <w:keepLines/>
        <w:spacing w:after="0" w:line="240" w:lineRule="auto"/>
        <w:rPr>
          <w:rFonts w:asciiTheme="majorHAnsi" w:hAnsiTheme="majorHAnsi"/>
          <w:lang w:val="en-US"/>
        </w:rPr>
      </w:pPr>
    </w:p>
    <w:p w14:paraId="62757094" w14:textId="08E2847A" w:rsidR="00741151" w:rsidRPr="00515C1F" w:rsidRDefault="00515C1F" w:rsidP="00693361">
      <w:pPr>
        <w:keepNext/>
        <w:keepLines/>
        <w:spacing w:after="0" w:line="240" w:lineRule="auto"/>
        <w:rPr>
          <w:rFonts w:asciiTheme="majorHAnsi" w:hAnsiTheme="majorHAnsi"/>
          <w:b/>
          <w:bCs/>
          <w:lang w:val="pt-BR"/>
        </w:rPr>
      </w:pPr>
      <w:r w:rsidRPr="00515C1F">
        <w:rPr>
          <w:rFonts w:asciiTheme="majorHAnsi" w:hAnsiTheme="majorHAnsi"/>
          <w:b/>
          <w:bCs/>
          <w:lang w:val="pt-BR"/>
        </w:rPr>
        <w:t>For Medical/Technical Enquiries</w:t>
      </w:r>
    </w:p>
    <w:p w14:paraId="7500F3C4" w14:textId="1EE7B644" w:rsidR="00515C1F" w:rsidRPr="00C6178B" w:rsidRDefault="00515C1F" w:rsidP="00693361">
      <w:pPr>
        <w:keepNext/>
        <w:keepLines/>
        <w:spacing w:after="0" w:line="240" w:lineRule="auto"/>
        <w:rPr>
          <w:rFonts w:asciiTheme="majorHAnsi" w:hAnsiTheme="majorHAnsi"/>
          <w:lang w:val="pt-BR"/>
        </w:rPr>
      </w:pPr>
      <w:r>
        <w:rPr>
          <w:rFonts w:asciiTheme="majorHAnsi" w:hAnsiTheme="majorHAnsi"/>
          <w:lang w:val="pt-BR"/>
        </w:rPr>
        <w:t>TOLL FREE: 1800 339 479</w:t>
      </w:r>
    </w:p>
    <w:p w14:paraId="3F9F7FF6" w14:textId="77777777" w:rsidR="00741151" w:rsidRPr="00C6178B" w:rsidRDefault="00741151" w:rsidP="00741151">
      <w:pPr>
        <w:spacing w:after="0" w:line="240" w:lineRule="auto"/>
        <w:rPr>
          <w:lang w:val="pt-BR"/>
        </w:rPr>
      </w:pPr>
    </w:p>
    <w:p w14:paraId="01697AEC" w14:textId="442B9B95" w:rsidR="001A3992" w:rsidRDefault="001A3992" w:rsidP="009C7E7F">
      <w:pPr>
        <w:pStyle w:val="Heading1"/>
        <w:numPr>
          <w:ilvl w:val="0"/>
          <w:numId w:val="20"/>
        </w:numPr>
        <w:spacing w:before="0" w:after="120"/>
        <w:rPr>
          <w:rFonts w:cstheme="minorHAnsi"/>
          <w:lang w:val="en-US"/>
        </w:rPr>
      </w:pPr>
      <w:r w:rsidRPr="00497C85">
        <w:rPr>
          <w:rFonts w:cstheme="minorHAnsi"/>
          <w:lang w:val="en-US"/>
        </w:rPr>
        <w:t xml:space="preserve">Date of first approval  </w:t>
      </w:r>
    </w:p>
    <w:p w14:paraId="3010FD87" w14:textId="4E4B1119" w:rsidR="00143362" w:rsidRPr="00F901EA" w:rsidRDefault="00F901EA" w:rsidP="00143362">
      <w:pPr>
        <w:rPr>
          <w:rFonts w:asciiTheme="majorHAnsi" w:hAnsiTheme="majorHAnsi"/>
          <w:lang w:val="en-US"/>
        </w:rPr>
      </w:pPr>
      <w:r w:rsidRPr="00453A59">
        <w:rPr>
          <w:rFonts w:asciiTheme="majorHAnsi" w:hAnsiTheme="majorHAnsi"/>
          <w:lang w:val="en-US"/>
        </w:rPr>
        <w:t xml:space="preserve">2 </w:t>
      </w:r>
      <w:r w:rsidR="00BB288E">
        <w:rPr>
          <w:rFonts w:asciiTheme="majorHAnsi" w:hAnsiTheme="majorHAnsi"/>
          <w:lang w:val="en-US"/>
        </w:rPr>
        <w:t>November</w:t>
      </w:r>
      <w:r w:rsidRPr="00453A59">
        <w:rPr>
          <w:rFonts w:asciiTheme="majorHAnsi" w:hAnsiTheme="majorHAnsi"/>
          <w:lang w:val="en-US"/>
        </w:rPr>
        <w:t xml:space="preserve"> 2021</w:t>
      </w:r>
    </w:p>
    <w:p w14:paraId="68117261" w14:textId="1FEA1E0F" w:rsidR="00143362" w:rsidRPr="00143362" w:rsidRDefault="00143362" w:rsidP="00143362">
      <w:pPr>
        <w:pStyle w:val="Heading1"/>
        <w:numPr>
          <w:ilvl w:val="0"/>
          <w:numId w:val="20"/>
        </w:numPr>
        <w:spacing w:before="0" w:after="120"/>
        <w:rPr>
          <w:rFonts w:cstheme="minorHAnsi"/>
          <w:lang w:val="en-US"/>
        </w:rPr>
      </w:pPr>
      <w:r>
        <w:rPr>
          <w:rFonts w:cstheme="minorHAnsi"/>
          <w:lang w:val="en-US"/>
        </w:rPr>
        <w:t xml:space="preserve">Date of revision </w:t>
      </w:r>
    </w:p>
    <w:p w14:paraId="438704E1" w14:textId="1B386560" w:rsidR="0088734F" w:rsidRPr="00763A2F" w:rsidRDefault="0088734F" w:rsidP="000F3F5A">
      <w:pPr>
        <w:rPr>
          <w:lang w:val="en-US"/>
        </w:rPr>
      </w:pPr>
      <w:r w:rsidRPr="000F3F5A">
        <w:rPr>
          <w:rFonts w:asciiTheme="majorHAnsi" w:hAnsiTheme="majorHAnsi"/>
          <w:lang w:val="en-US"/>
        </w:rPr>
        <w:t>11 February 2022</w:t>
      </w:r>
    </w:p>
    <w:p w14:paraId="005DD6F9" w14:textId="784D2B67" w:rsidR="00143362" w:rsidRDefault="00143362" w:rsidP="00143362">
      <w:pPr>
        <w:pStyle w:val="Heading2"/>
        <w:numPr>
          <w:ilvl w:val="0"/>
          <w:numId w:val="0"/>
        </w:numPr>
        <w:spacing w:before="0" w:after="120"/>
        <w:rPr>
          <w:rFonts w:cstheme="minorHAnsi"/>
          <w:lang w:val="en-US"/>
        </w:rPr>
      </w:pPr>
      <w:r>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18"/>
        <w:gridCol w:w="7088"/>
      </w:tblGrid>
      <w:tr w:rsidR="00143362" w14:paraId="4B0F4624" w14:textId="77777777" w:rsidTr="00EA5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shd w:val="clear" w:color="auto" w:fill="F2F2F2" w:themeFill="background1" w:themeFillShade="F2"/>
            <w:vAlign w:val="center"/>
            <w:hideMark/>
          </w:tcPr>
          <w:p w14:paraId="2B0CB8DE" w14:textId="77777777" w:rsidR="00143362" w:rsidRDefault="00143362">
            <w:pPr>
              <w:rPr>
                <w:rFonts w:cstheme="minorHAnsi"/>
                <w:sz w:val="20"/>
                <w:lang w:val="en-US"/>
              </w:rPr>
            </w:pPr>
            <w:r>
              <w:rPr>
                <w:rFonts w:cstheme="minorHAnsi"/>
                <w:sz w:val="20"/>
                <w:lang w:val="en-US"/>
              </w:rPr>
              <w:t>Section Changed</w:t>
            </w:r>
          </w:p>
        </w:tc>
        <w:tc>
          <w:tcPr>
            <w:tcW w:w="7088" w:type="dxa"/>
            <w:shd w:val="clear" w:color="auto" w:fill="F2F2F2" w:themeFill="background1" w:themeFillShade="F2"/>
            <w:vAlign w:val="center"/>
            <w:hideMark/>
          </w:tcPr>
          <w:p w14:paraId="221CEF26" w14:textId="77777777" w:rsidR="00143362" w:rsidRDefault="00143362">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Pr>
                <w:rFonts w:cstheme="minorHAnsi"/>
                <w:sz w:val="20"/>
                <w:lang w:val="en-US"/>
              </w:rPr>
              <w:t>Summary of new information</w:t>
            </w:r>
          </w:p>
        </w:tc>
      </w:tr>
      <w:tr w:rsidR="00EA5058" w14:paraId="56EF8A84" w14:textId="77777777" w:rsidTr="00EA5058">
        <w:tc>
          <w:tcPr>
            <w:cnfStyle w:val="001000000000" w:firstRow="0" w:lastRow="0" w:firstColumn="1" w:lastColumn="0" w:oddVBand="0" w:evenVBand="0" w:oddHBand="0" w:evenHBand="0" w:firstRowFirstColumn="0" w:firstRowLastColumn="0" w:lastRowFirstColumn="0" w:lastRowLastColumn="0"/>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02BBE8" w14:textId="135623B6" w:rsidR="00EA5058" w:rsidRDefault="00EA5058" w:rsidP="00EA5058">
            <w:pPr>
              <w:rPr>
                <w:rFonts w:cstheme="minorHAnsi"/>
                <w:lang w:val="en-US"/>
              </w:rPr>
            </w:pPr>
            <w:r>
              <w:rPr>
                <w:rFonts w:cstheme="minorHAnsi"/>
                <w:lang w:val="en-US"/>
              </w:rPr>
              <w:t xml:space="preserve">All </w:t>
            </w:r>
          </w:p>
        </w:tc>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EF6B2E" w14:textId="106FA812" w:rsidR="00EA5058" w:rsidRDefault="00EA5058" w:rsidP="00EA505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 xml:space="preserve">Minor editorial changes </w:t>
            </w:r>
          </w:p>
        </w:tc>
      </w:tr>
    </w:tbl>
    <w:p w14:paraId="3F5F9524" w14:textId="431FFE2B" w:rsidR="00960CD5" w:rsidRDefault="00960CD5" w:rsidP="001A3992">
      <w:pPr>
        <w:spacing w:after="120"/>
        <w:rPr>
          <w:rFonts w:asciiTheme="majorHAnsi" w:hAnsiTheme="majorHAnsi" w:cstheme="minorHAnsi"/>
        </w:rPr>
      </w:pPr>
    </w:p>
    <w:p w14:paraId="3AEC2737" w14:textId="77777777" w:rsidR="00EA5058" w:rsidRPr="00497C85" w:rsidRDefault="00EA5058" w:rsidP="001A3992">
      <w:pPr>
        <w:spacing w:after="120"/>
        <w:rPr>
          <w:rFonts w:asciiTheme="majorHAnsi" w:hAnsiTheme="majorHAnsi" w:cstheme="minorHAnsi"/>
        </w:rPr>
      </w:pPr>
    </w:p>
    <w:sectPr w:rsidR="00EA5058" w:rsidRPr="00497C8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9D7C6" w14:textId="77777777" w:rsidR="007B4385" w:rsidRDefault="007B4385" w:rsidP="001A3992">
      <w:pPr>
        <w:spacing w:after="0" w:line="240" w:lineRule="auto"/>
      </w:pPr>
      <w:r>
        <w:separator/>
      </w:r>
    </w:p>
  </w:endnote>
  <w:endnote w:type="continuationSeparator" w:id="0">
    <w:p w14:paraId="3063E91A" w14:textId="77777777" w:rsidR="007B4385" w:rsidRDefault="007B4385"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56949A6E" w14:textId="76FD0104" w:rsidR="0088734F" w:rsidRPr="00B8074A" w:rsidRDefault="0088734F" w:rsidP="008859CC">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16</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45899" w14:textId="77777777" w:rsidR="007B4385" w:rsidRDefault="007B4385" w:rsidP="001A3992">
      <w:pPr>
        <w:spacing w:after="0" w:line="240" w:lineRule="auto"/>
      </w:pPr>
      <w:r>
        <w:separator/>
      </w:r>
    </w:p>
  </w:footnote>
  <w:footnote w:type="continuationSeparator" w:id="0">
    <w:p w14:paraId="2A664BF1" w14:textId="77777777" w:rsidR="007B4385" w:rsidRDefault="007B4385"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720"/>
    </w:tblGrid>
    <w:tr w:rsidR="00F07CF5" w14:paraId="18B418C0" w14:textId="77777777" w:rsidTr="006459C6">
      <w:tc>
        <w:tcPr>
          <w:tcW w:w="8720" w:type="dxa"/>
          <w:shd w:val="clear" w:color="auto" w:fill="E4F2E0"/>
        </w:tcPr>
        <w:p w14:paraId="486D005F" w14:textId="77777777" w:rsidR="00F07CF5" w:rsidRPr="00D361CA" w:rsidRDefault="00F07CF5" w:rsidP="00F07CF5">
          <w:pPr>
            <w:spacing w:before="40" w:after="40"/>
            <w:rPr>
              <w:b/>
              <w:sz w:val="20"/>
              <w:szCs w:val="20"/>
            </w:rPr>
          </w:pPr>
          <w:r w:rsidRPr="00D361CA">
            <w:rPr>
              <w:b/>
              <w:sz w:val="20"/>
              <w:szCs w:val="20"/>
            </w:rPr>
            <w:t xml:space="preserve">Attachment 1: Product information for </w:t>
          </w:r>
          <w:proofErr w:type="spellStart"/>
          <w:r w:rsidRPr="00D95A68">
            <w:rPr>
              <w:b/>
              <w:sz w:val="20"/>
              <w:szCs w:val="20"/>
            </w:rPr>
            <w:t>AusPAR</w:t>
          </w:r>
          <w:proofErr w:type="spellEnd"/>
          <w:r w:rsidRPr="00D95A68">
            <w:rPr>
              <w:b/>
              <w:sz w:val="20"/>
              <w:szCs w:val="20"/>
            </w:rPr>
            <w:t xml:space="preserve"> - </w:t>
          </w:r>
          <w:proofErr w:type="spellStart"/>
          <w:r w:rsidRPr="00D95A68">
            <w:rPr>
              <w:b/>
              <w:sz w:val="20"/>
              <w:szCs w:val="20"/>
            </w:rPr>
            <w:t>VeraSeal</w:t>
          </w:r>
          <w:proofErr w:type="spellEnd"/>
          <w:r w:rsidRPr="00D95A68">
            <w:rPr>
              <w:b/>
              <w:sz w:val="20"/>
              <w:szCs w:val="20"/>
            </w:rPr>
            <w:t xml:space="preserve"> - human fibrinogen / human thrombin - Grifols Australia Pty Ltd - PM-2020-01828-1-6 Final 14 June 2022</w:t>
          </w:r>
          <w:r w:rsidRPr="00D361CA">
            <w:rPr>
              <w:b/>
              <w:sz w:val="20"/>
              <w:szCs w:val="20"/>
            </w:rPr>
            <w:t xml:space="preserve">. </w:t>
          </w:r>
          <w:r w:rsidRPr="00FB03BD">
            <w:rPr>
              <w:b/>
              <w:sz w:val="20"/>
              <w:szCs w:val="20"/>
            </w:rPr>
            <w:t xml:space="preserve">This is the Product Information that was approved with the submission described in this </w:t>
          </w:r>
          <w:proofErr w:type="spellStart"/>
          <w:r w:rsidRPr="00FB03BD">
            <w:rPr>
              <w:b/>
              <w:sz w:val="20"/>
              <w:szCs w:val="20"/>
            </w:rPr>
            <w:t>AusPAR</w:t>
          </w:r>
          <w:proofErr w:type="spellEnd"/>
          <w:r w:rsidRPr="00FB03BD">
            <w:rPr>
              <w:b/>
              <w:sz w:val="20"/>
              <w:szCs w:val="20"/>
            </w:rPr>
            <w:t>. It may have been superseded. For the most recent PI, please refer to the TGA website at &lt;</w:t>
          </w:r>
          <w:hyperlink r:id="rId1" w:history="1">
            <w:r w:rsidRPr="00FB03BD">
              <w:rPr>
                <w:rStyle w:val="Hyperlink"/>
                <w:b/>
                <w:sz w:val="20"/>
                <w:szCs w:val="20"/>
              </w:rPr>
              <w:t>https://www.tga.gov.au/product-information-pi</w:t>
            </w:r>
          </w:hyperlink>
          <w:r w:rsidRPr="00FB03BD">
            <w:rPr>
              <w:b/>
              <w:sz w:val="20"/>
              <w:szCs w:val="20"/>
            </w:rPr>
            <w:t>&gt;</w:t>
          </w:r>
        </w:p>
      </w:tc>
    </w:tr>
  </w:tbl>
  <w:p w14:paraId="05BAA1DC" w14:textId="77777777" w:rsidR="00F07CF5" w:rsidRDefault="00F07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0090001"/>
    <w:lvl w:ilvl="0">
      <w:start w:val="1"/>
      <w:numFmt w:val="bullet"/>
      <w:lvlText w:val=""/>
      <w:lvlJc w:val="left"/>
      <w:pPr>
        <w:ind w:left="72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B1D67"/>
    <w:multiLevelType w:val="hybridMultilevel"/>
    <w:tmpl w:val="84BA49C0"/>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F13E9"/>
    <w:multiLevelType w:val="multilevel"/>
    <w:tmpl w:val="23D6542C"/>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1F58336A"/>
    <w:multiLevelType w:val="hybridMultilevel"/>
    <w:tmpl w:val="89CAB356"/>
    <w:lvl w:ilvl="0" w:tplc="C13E0002">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A734B"/>
    <w:multiLevelType w:val="hybridMultilevel"/>
    <w:tmpl w:val="7C62330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2A373C82"/>
    <w:multiLevelType w:val="hybridMultilevel"/>
    <w:tmpl w:val="2B826860"/>
    <w:lvl w:ilvl="0" w:tplc="88825062">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DA01B47"/>
    <w:multiLevelType w:val="hybridMultilevel"/>
    <w:tmpl w:val="D31A23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C7519"/>
    <w:multiLevelType w:val="hybridMultilevel"/>
    <w:tmpl w:val="815AE49E"/>
    <w:lvl w:ilvl="0" w:tplc="8D8461EE">
      <w:start w:val="4"/>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8719A2"/>
    <w:multiLevelType w:val="hybridMultilevel"/>
    <w:tmpl w:val="B35C6E70"/>
    <w:lvl w:ilvl="0" w:tplc="598827C2">
      <w:start w:val="1"/>
      <w:numFmt w:val="decimal"/>
      <w:lvlText w:val="%1."/>
      <w:lvlJc w:val="left"/>
      <w:pPr>
        <w:ind w:left="1131" w:hanging="564"/>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53407B48"/>
    <w:multiLevelType w:val="hybridMultilevel"/>
    <w:tmpl w:val="17B6EA9E"/>
    <w:lvl w:ilvl="0" w:tplc="55C49D68">
      <w:start w:val="28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6F0B8E"/>
    <w:multiLevelType w:val="hybridMultilevel"/>
    <w:tmpl w:val="169EF974"/>
    <w:lvl w:ilvl="0" w:tplc="C3C62288">
      <w:start w:val="1"/>
      <w:numFmt w:val="decimal"/>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332797"/>
    <w:multiLevelType w:val="multilevel"/>
    <w:tmpl w:val="0C090025"/>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6F48D0"/>
    <w:multiLevelType w:val="hybridMultilevel"/>
    <w:tmpl w:val="1054B2CA"/>
    <w:lvl w:ilvl="0" w:tplc="FDC40786">
      <w:start w:val="1"/>
      <w:numFmt w:val="decimal"/>
      <w:lvlText w:val="%1"/>
      <w:lvlJc w:val="left"/>
      <w:pPr>
        <w:ind w:left="791" w:hanging="360"/>
      </w:pPr>
      <w:rPr>
        <w:rFonts w:hint="default"/>
      </w:rPr>
    </w:lvl>
    <w:lvl w:ilvl="1" w:tplc="0C0A0019" w:tentative="1">
      <w:start w:val="1"/>
      <w:numFmt w:val="lowerLetter"/>
      <w:lvlText w:val="%2."/>
      <w:lvlJc w:val="left"/>
      <w:pPr>
        <w:ind w:left="1511" w:hanging="360"/>
      </w:pPr>
    </w:lvl>
    <w:lvl w:ilvl="2" w:tplc="0C0A001B" w:tentative="1">
      <w:start w:val="1"/>
      <w:numFmt w:val="lowerRoman"/>
      <w:lvlText w:val="%3."/>
      <w:lvlJc w:val="right"/>
      <w:pPr>
        <w:ind w:left="2231" w:hanging="180"/>
      </w:pPr>
    </w:lvl>
    <w:lvl w:ilvl="3" w:tplc="0C0A000F" w:tentative="1">
      <w:start w:val="1"/>
      <w:numFmt w:val="decimal"/>
      <w:lvlText w:val="%4."/>
      <w:lvlJc w:val="left"/>
      <w:pPr>
        <w:ind w:left="2951" w:hanging="360"/>
      </w:pPr>
    </w:lvl>
    <w:lvl w:ilvl="4" w:tplc="0C0A0019" w:tentative="1">
      <w:start w:val="1"/>
      <w:numFmt w:val="lowerLetter"/>
      <w:lvlText w:val="%5."/>
      <w:lvlJc w:val="left"/>
      <w:pPr>
        <w:ind w:left="3671" w:hanging="360"/>
      </w:pPr>
    </w:lvl>
    <w:lvl w:ilvl="5" w:tplc="0C0A001B" w:tentative="1">
      <w:start w:val="1"/>
      <w:numFmt w:val="lowerRoman"/>
      <w:lvlText w:val="%6."/>
      <w:lvlJc w:val="right"/>
      <w:pPr>
        <w:ind w:left="4391" w:hanging="180"/>
      </w:pPr>
    </w:lvl>
    <w:lvl w:ilvl="6" w:tplc="0C0A000F" w:tentative="1">
      <w:start w:val="1"/>
      <w:numFmt w:val="decimal"/>
      <w:lvlText w:val="%7."/>
      <w:lvlJc w:val="left"/>
      <w:pPr>
        <w:ind w:left="5111" w:hanging="360"/>
      </w:pPr>
    </w:lvl>
    <w:lvl w:ilvl="7" w:tplc="0C0A0019" w:tentative="1">
      <w:start w:val="1"/>
      <w:numFmt w:val="lowerLetter"/>
      <w:lvlText w:val="%8."/>
      <w:lvlJc w:val="left"/>
      <w:pPr>
        <w:ind w:left="5831" w:hanging="360"/>
      </w:pPr>
    </w:lvl>
    <w:lvl w:ilvl="8" w:tplc="0C0A001B" w:tentative="1">
      <w:start w:val="1"/>
      <w:numFmt w:val="lowerRoman"/>
      <w:lvlText w:val="%9."/>
      <w:lvlJc w:val="right"/>
      <w:pPr>
        <w:ind w:left="6551" w:hanging="180"/>
      </w:pPr>
    </w:lvl>
  </w:abstractNum>
  <w:abstractNum w:abstractNumId="21" w15:restartNumberingAfterBreak="0">
    <w:nsid w:val="778275D5"/>
    <w:multiLevelType w:val="hybridMultilevel"/>
    <w:tmpl w:val="5D9A4ADE"/>
    <w:lvl w:ilvl="0" w:tplc="7F5A13C4">
      <w:numFmt w:val="bullet"/>
      <w:lvlText w:val="-"/>
      <w:lvlJc w:val="left"/>
      <w:pPr>
        <w:ind w:left="720" w:hanging="360"/>
      </w:pPr>
      <w:rPr>
        <w:rFonts w:ascii="Cambria" w:eastAsiaTheme="minorHAnsi" w:hAnsi="Cambri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5F6EE8"/>
    <w:multiLevelType w:val="hybridMultilevel"/>
    <w:tmpl w:val="A72856D8"/>
    <w:lvl w:ilvl="0" w:tplc="7F5A13C4">
      <w:numFmt w:val="bullet"/>
      <w:lvlText w:val="-"/>
      <w:lvlJc w:val="left"/>
      <w:pPr>
        <w:ind w:left="720" w:hanging="360"/>
      </w:pPr>
      <w:rPr>
        <w:rFonts w:ascii="Cambria" w:eastAsiaTheme="minorHAnsi" w:hAnsi="Cambri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13"/>
  </w:num>
  <w:num w:numId="5">
    <w:abstractNumId w:val="23"/>
  </w:num>
  <w:num w:numId="6">
    <w:abstractNumId w:val="18"/>
  </w:num>
  <w:num w:numId="7">
    <w:abstractNumId w:val="16"/>
  </w:num>
  <w:num w:numId="8">
    <w:abstractNumId w:val="19"/>
  </w:num>
  <w:num w:numId="9">
    <w:abstractNumId w:val="6"/>
  </w:num>
  <w:num w:numId="10">
    <w:abstractNumId w:val="15"/>
  </w:num>
  <w:num w:numId="11">
    <w:abstractNumId w:val="22"/>
  </w:num>
  <w:num w:numId="12">
    <w:abstractNumId w:val="12"/>
  </w:num>
  <w:num w:numId="13">
    <w:abstractNumId w:val="7"/>
  </w:num>
  <w:num w:numId="14">
    <w:abstractNumId w:val="14"/>
  </w:num>
  <w:num w:numId="15">
    <w:abstractNumId w:val="21"/>
  </w:num>
  <w:num w:numId="16">
    <w:abstractNumId w:val="5"/>
  </w:num>
  <w:num w:numId="17">
    <w:abstractNumId w:val="4"/>
  </w:num>
  <w:num w:numId="1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1"/>
  </w:num>
  <w:num w:numId="24">
    <w:abstractNumId w:val="9"/>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44"/>
    <w:rsid w:val="00006C53"/>
    <w:rsid w:val="00007B2B"/>
    <w:rsid w:val="000102F7"/>
    <w:rsid w:val="00010D1F"/>
    <w:rsid w:val="00016DC3"/>
    <w:rsid w:val="0002303C"/>
    <w:rsid w:val="00025051"/>
    <w:rsid w:val="00041D9C"/>
    <w:rsid w:val="00043301"/>
    <w:rsid w:val="00043849"/>
    <w:rsid w:val="00055444"/>
    <w:rsid w:val="00060765"/>
    <w:rsid w:val="000643D7"/>
    <w:rsid w:val="00073F7F"/>
    <w:rsid w:val="000905A4"/>
    <w:rsid w:val="0009209D"/>
    <w:rsid w:val="000927FE"/>
    <w:rsid w:val="000A4CCA"/>
    <w:rsid w:val="000C1CFE"/>
    <w:rsid w:val="000D07C8"/>
    <w:rsid w:val="000E14E0"/>
    <w:rsid w:val="000E2C8C"/>
    <w:rsid w:val="000E4F24"/>
    <w:rsid w:val="000E644B"/>
    <w:rsid w:val="000F3F5A"/>
    <w:rsid w:val="000F54F6"/>
    <w:rsid w:val="00103E46"/>
    <w:rsid w:val="001150E1"/>
    <w:rsid w:val="00115E9E"/>
    <w:rsid w:val="00122943"/>
    <w:rsid w:val="00126BE7"/>
    <w:rsid w:val="001328C4"/>
    <w:rsid w:val="00136B74"/>
    <w:rsid w:val="00143362"/>
    <w:rsid w:val="00144BE9"/>
    <w:rsid w:val="00154290"/>
    <w:rsid w:val="00156FBF"/>
    <w:rsid w:val="00166530"/>
    <w:rsid w:val="00171784"/>
    <w:rsid w:val="00176065"/>
    <w:rsid w:val="001779B3"/>
    <w:rsid w:val="00181024"/>
    <w:rsid w:val="00182CD4"/>
    <w:rsid w:val="001830EF"/>
    <w:rsid w:val="00184608"/>
    <w:rsid w:val="00191913"/>
    <w:rsid w:val="001944CD"/>
    <w:rsid w:val="00197929"/>
    <w:rsid w:val="001A0C90"/>
    <w:rsid w:val="001A32C1"/>
    <w:rsid w:val="001A3992"/>
    <w:rsid w:val="001A546F"/>
    <w:rsid w:val="001C292A"/>
    <w:rsid w:val="001D2A68"/>
    <w:rsid w:val="001D7328"/>
    <w:rsid w:val="001F4AC7"/>
    <w:rsid w:val="0020556D"/>
    <w:rsid w:val="00207200"/>
    <w:rsid w:val="00211BDB"/>
    <w:rsid w:val="00212C8D"/>
    <w:rsid w:val="002223AB"/>
    <w:rsid w:val="00227364"/>
    <w:rsid w:val="002357CE"/>
    <w:rsid w:val="00236E3B"/>
    <w:rsid w:val="002443E1"/>
    <w:rsid w:val="002467AB"/>
    <w:rsid w:val="00247CC7"/>
    <w:rsid w:val="002638ED"/>
    <w:rsid w:val="00263A72"/>
    <w:rsid w:val="00264B56"/>
    <w:rsid w:val="002652CE"/>
    <w:rsid w:val="00266DFA"/>
    <w:rsid w:val="00280ACB"/>
    <w:rsid w:val="002848EC"/>
    <w:rsid w:val="0029116C"/>
    <w:rsid w:val="002A6691"/>
    <w:rsid w:val="002A6A1C"/>
    <w:rsid w:val="002B424E"/>
    <w:rsid w:val="002C79C0"/>
    <w:rsid w:val="002D5BCD"/>
    <w:rsid w:val="002E277D"/>
    <w:rsid w:val="002E56D6"/>
    <w:rsid w:val="002F0B61"/>
    <w:rsid w:val="002F3684"/>
    <w:rsid w:val="002F455A"/>
    <w:rsid w:val="0031225F"/>
    <w:rsid w:val="003162DF"/>
    <w:rsid w:val="00316F11"/>
    <w:rsid w:val="00327D5E"/>
    <w:rsid w:val="00330A25"/>
    <w:rsid w:val="00333461"/>
    <w:rsid w:val="00342C4A"/>
    <w:rsid w:val="00356F58"/>
    <w:rsid w:val="003729CA"/>
    <w:rsid w:val="00381C55"/>
    <w:rsid w:val="003A1B26"/>
    <w:rsid w:val="003A3B7B"/>
    <w:rsid w:val="003A4105"/>
    <w:rsid w:val="003B4DCA"/>
    <w:rsid w:val="003C386B"/>
    <w:rsid w:val="003D6051"/>
    <w:rsid w:val="003E06D7"/>
    <w:rsid w:val="003E4152"/>
    <w:rsid w:val="003F14A4"/>
    <w:rsid w:val="004023BB"/>
    <w:rsid w:val="004032BD"/>
    <w:rsid w:val="00403B76"/>
    <w:rsid w:val="00431ACD"/>
    <w:rsid w:val="00435035"/>
    <w:rsid w:val="004352E1"/>
    <w:rsid w:val="0044160E"/>
    <w:rsid w:val="00447EF3"/>
    <w:rsid w:val="00452B8F"/>
    <w:rsid w:val="00453A59"/>
    <w:rsid w:val="00457ECE"/>
    <w:rsid w:val="00466992"/>
    <w:rsid w:val="00493D1D"/>
    <w:rsid w:val="00497C85"/>
    <w:rsid w:val="004A1C99"/>
    <w:rsid w:val="004A7ACE"/>
    <w:rsid w:val="004B46BB"/>
    <w:rsid w:val="004D1342"/>
    <w:rsid w:val="004D42A8"/>
    <w:rsid w:val="004E4D7B"/>
    <w:rsid w:val="004F5504"/>
    <w:rsid w:val="005123FD"/>
    <w:rsid w:val="00512BA0"/>
    <w:rsid w:val="00515C1F"/>
    <w:rsid w:val="00516E79"/>
    <w:rsid w:val="005213AD"/>
    <w:rsid w:val="00526105"/>
    <w:rsid w:val="005338BE"/>
    <w:rsid w:val="005402F1"/>
    <w:rsid w:val="00543283"/>
    <w:rsid w:val="00546154"/>
    <w:rsid w:val="005555F2"/>
    <w:rsid w:val="0055573B"/>
    <w:rsid w:val="00560737"/>
    <w:rsid w:val="00563D1C"/>
    <w:rsid w:val="00583AEA"/>
    <w:rsid w:val="00584EAA"/>
    <w:rsid w:val="00585021"/>
    <w:rsid w:val="00594983"/>
    <w:rsid w:val="005955C2"/>
    <w:rsid w:val="005B799E"/>
    <w:rsid w:val="005E21D3"/>
    <w:rsid w:val="005E296B"/>
    <w:rsid w:val="005F0AC2"/>
    <w:rsid w:val="00600EF9"/>
    <w:rsid w:val="00604C79"/>
    <w:rsid w:val="006161F4"/>
    <w:rsid w:val="006210AB"/>
    <w:rsid w:val="00642C59"/>
    <w:rsid w:val="006452C8"/>
    <w:rsid w:val="006460FC"/>
    <w:rsid w:val="00650AC9"/>
    <w:rsid w:val="00655B44"/>
    <w:rsid w:val="00660112"/>
    <w:rsid w:val="00660B3C"/>
    <w:rsid w:val="006701FE"/>
    <w:rsid w:val="00673281"/>
    <w:rsid w:val="0067392E"/>
    <w:rsid w:val="006748F7"/>
    <w:rsid w:val="00677840"/>
    <w:rsid w:val="00681FDE"/>
    <w:rsid w:val="00693361"/>
    <w:rsid w:val="00694460"/>
    <w:rsid w:val="006969A0"/>
    <w:rsid w:val="006A0335"/>
    <w:rsid w:val="006B05F5"/>
    <w:rsid w:val="006C2EA7"/>
    <w:rsid w:val="006C5055"/>
    <w:rsid w:val="006C56E8"/>
    <w:rsid w:val="006D171F"/>
    <w:rsid w:val="006F3E62"/>
    <w:rsid w:val="006F6C8A"/>
    <w:rsid w:val="00706C6E"/>
    <w:rsid w:val="00713609"/>
    <w:rsid w:val="00714AA7"/>
    <w:rsid w:val="0073007E"/>
    <w:rsid w:val="00730466"/>
    <w:rsid w:val="00736C5A"/>
    <w:rsid w:val="00741151"/>
    <w:rsid w:val="007518BF"/>
    <w:rsid w:val="007527A8"/>
    <w:rsid w:val="00763A2F"/>
    <w:rsid w:val="0076645C"/>
    <w:rsid w:val="007A126A"/>
    <w:rsid w:val="007B430B"/>
    <w:rsid w:val="007B4385"/>
    <w:rsid w:val="007D1C15"/>
    <w:rsid w:val="007E0771"/>
    <w:rsid w:val="007E693C"/>
    <w:rsid w:val="007F6F22"/>
    <w:rsid w:val="008022EE"/>
    <w:rsid w:val="008110AC"/>
    <w:rsid w:val="00812FB8"/>
    <w:rsid w:val="0081335D"/>
    <w:rsid w:val="008221D2"/>
    <w:rsid w:val="008252C9"/>
    <w:rsid w:val="00832976"/>
    <w:rsid w:val="00833D84"/>
    <w:rsid w:val="00865666"/>
    <w:rsid w:val="00866F66"/>
    <w:rsid w:val="008714C1"/>
    <w:rsid w:val="00883570"/>
    <w:rsid w:val="008859CC"/>
    <w:rsid w:val="0088734F"/>
    <w:rsid w:val="00890D23"/>
    <w:rsid w:val="00893063"/>
    <w:rsid w:val="008A614F"/>
    <w:rsid w:val="008B21BE"/>
    <w:rsid w:val="008C1A13"/>
    <w:rsid w:val="008C23E2"/>
    <w:rsid w:val="008C3790"/>
    <w:rsid w:val="008C4BE5"/>
    <w:rsid w:val="008C4D33"/>
    <w:rsid w:val="008C6132"/>
    <w:rsid w:val="008D6A9A"/>
    <w:rsid w:val="00911B17"/>
    <w:rsid w:val="00926E3F"/>
    <w:rsid w:val="0092787F"/>
    <w:rsid w:val="0093096B"/>
    <w:rsid w:val="00930B18"/>
    <w:rsid w:val="00930C6F"/>
    <w:rsid w:val="009316B3"/>
    <w:rsid w:val="00933B13"/>
    <w:rsid w:val="00934D8A"/>
    <w:rsid w:val="00945012"/>
    <w:rsid w:val="00946BD9"/>
    <w:rsid w:val="009515A9"/>
    <w:rsid w:val="00954E9E"/>
    <w:rsid w:val="00957936"/>
    <w:rsid w:val="00960CD5"/>
    <w:rsid w:val="00981346"/>
    <w:rsid w:val="00984EEB"/>
    <w:rsid w:val="00987D94"/>
    <w:rsid w:val="00990CB7"/>
    <w:rsid w:val="0099781E"/>
    <w:rsid w:val="00997F3B"/>
    <w:rsid w:val="009A58B4"/>
    <w:rsid w:val="009B2ED3"/>
    <w:rsid w:val="009B43DD"/>
    <w:rsid w:val="009C0411"/>
    <w:rsid w:val="009C20E8"/>
    <w:rsid w:val="009C34C2"/>
    <w:rsid w:val="009C7E7F"/>
    <w:rsid w:val="009D4F98"/>
    <w:rsid w:val="009D6344"/>
    <w:rsid w:val="009E56B8"/>
    <w:rsid w:val="009F2270"/>
    <w:rsid w:val="00A25847"/>
    <w:rsid w:val="00A258D2"/>
    <w:rsid w:val="00A329A1"/>
    <w:rsid w:val="00A51464"/>
    <w:rsid w:val="00A53368"/>
    <w:rsid w:val="00A5553F"/>
    <w:rsid w:val="00A7400A"/>
    <w:rsid w:val="00A82159"/>
    <w:rsid w:val="00A84EEA"/>
    <w:rsid w:val="00A8674C"/>
    <w:rsid w:val="00A91324"/>
    <w:rsid w:val="00AA2D99"/>
    <w:rsid w:val="00AB1477"/>
    <w:rsid w:val="00AB192F"/>
    <w:rsid w:val="00AB72FC"/>
    <w:rsid w:val="00AC576A"/>
    <w:rsid w:val="00AC6F0B"/>
    <w:rsid w:val="00AD6891"/>
    <w:rsid w:val="00AE6300"/>
    <w:rsid w:val="00AE7513"/>
    <w:rsid w:val="00AF0824"/>
    <w:rsid w:val="00AF1C82"/>
    <w:rsid w:val="00B007E6"/>
    <w:rsid w:val="00B03AAD"/>
    <w:rsid w:val="00B15B82"/>
    <w:rsid w:val="00B17C54"/>
    <w:rsid w:val="00B17CF5"/>
    <w:rsid w:val="00B2346A"/>
    <w:rsid w:val="00B23954"/>
    <w:rsid w:val="00B37FF9"/>
    <w:rsid w:val="00B51B65"/>
    <w:rsid w:val="00B53705"/>
    <w:rsid w:val="00B56476"/>
    <w:rsid w:val="00B61553"/>
    <w:rsid w:val="00B72C91"/>
    <w:rsid w:val="00B767B3"/>
    <w:rsid w:val="00B77CDF"/>
    <w:rsid w:val="00B8216B"/>
    <w:rsid w:val="00B95571"/>
    <w:rsid w:val="00BA7812"/>
    <w:rsid w:val="00BB288E"/>
    <w:rsid w:val="00BB39CA"/>
    <w:rsid w:val="00BB614B"/>
    <w:rsid w:val="00BB7737"/>
    <w:rsid w:val="00BC3155"/>
    <w:rsid w:val="00BC7100"/>
    <w:rsid w:val="00BD264A"/>
    <w:rsid w:val="00BE0791"/>
    <w:rsid w:val="00BE2436"/>
    <w:rsid w:val="00BF4661"/>
    <w:rsid w:val="00BF6B57"/>
    <w:rsid w:val="00C0235D"/>
    <w:rsid w:val="00C026C1"/>
    <w:rsid w:val="00C02969"/>
    <w:rsid w:val="00C05275"/>
    <w:rsid w:val="00C15C3C"/>
    <w:rsid w:val="00C17BC9"/>
    <w:rsid w:val="00C42E61"/>
    <w:rsid w:val="00C43332"/>
    <w:rsid w:val="00C4401C"/>
    <w:rsid w:val="00C577E4"/>
    <w:rsid w:val="00C60A67"/>
    <w:rsid w:val="00C6178B"/>
    <w:rsid w:val="00C635FE"/>
    <w:rsid w:val="00C63FF2"/>
    <w:rsid w:val="00C66771"/>
    <w:rsid w:val="00C74F98"/>
    <w:rsid w:val="00C75044"/>
    <w:rsid w:val="00C83A4E"/>
    <w:rsid w:val="00C84150"/>
    <w:rsid w:val="00C9132A"/>
    <w:rsid w:val="00C947DD"/>
    <w:rsid w:val="00CA6CCF"/>
    <w:rsid w:val="00CC0C94"/>
    <w:rsid w:val="00CC27C1"/>
    <w:rsid w:val="00CC3BAB"/>
    <w:rsid w:val="00CC55E2"/>
    <w:rsid w:val="00CD3B40"/>
    <w:rsid w:val="00CD5117"/>
    <w:rsid w:val="00CE42E6"/>
    <w:rsid w:val="00D00AB5"/>
    <w:rsid w:val="00D03972"/>
    <w:rsid w:val="00D116AE"/>
    <w:rsid w:val="00D141A7"/>
    <w:rsid w:val="00D17A7B"/>
    <w:rsid w:val="00D235BD"/>
    <w:rsid w:val="00D23634"/>
    <w:rsid w:val="00D23F82"/>
    <w:rsid w:val="00D2665A"/>
    <w:rsid w:val="00D31966"/>
    <w:rsid w:val="00D319CC"/>
    <w:rsid w:val="00D36C22"/>
    <w:rsid w:val="00D37BF3"/>
    <w:rsid w:val="00D412DF"/>
    <w:rsid w:val="00D44BA0"/>
    <w:rsid w:val="00D63635"/>
    <w:rsid w:val="00D66114"/>
    <w:rsid w:val="00D80893"/>
    <w:rsid w:val="00D810B8"/>
    <w:rsid w:val="00D8741E"/>
    <w:rsid w:val="00D87CE4"/>
    <w:rsid w:val="00D913A9"/>
    <w:rsid w:val="00D91AC1"/>
    <w:rsid w:val="00D962D6"/>
    <w:rsid w:val="00DA6AFD"/>
    <w:rsid w:val="00DA7B8D"/>
    <w:rsid w:val="00DB04B7"/>
    <w:rsid w:val="00DB0A35"/>
    <w:rsid w:val="00DB194A"/>
    <w:rsid w:val="00DB61E0"/>
    <w:rsid w:val="00DC501B"/>
    <w:rsid w:val="00DD0BFD"/>
    <w:rsid w:val="00DE0CF8"/>
    <w:rsid w:val="00DE6965"/>
    <w:rsid w:val="00DE7962"/>
    <w:rsid w:val="00DF47D4"/>
    <w:rsid w:val="00DF4818"/>
    <w:rsid w:val="00DF5E99"/>
    <w:rsid w:val="00E021AE"/>
    <w:rsid w:val="00E0704B"/>
    <w:rsid w:val="00E27956"/>
    <w:rsid w:val="00E31A26"/>
    <w:rsid w:val="00E36515"/>
    <w:rsid w:val="00E52BBE"/>
    <w:rsid w:val="00E54A16"/>
    <w:rsid w:val="00E55B97"/>
    <w:rsid w:val="00E74A56"/>
    <w:rsid w:val="00E81D95"/>
    <w:rsid w:val="00E8778F"/>
    <w:rsid w:val="00E879FC"/>
    <w:rsid w:val="00E87A9B"/>
    <w:rsid w:val="00E90D78"/>
    <w:rsid w:val="00E936C6"/>
    <w:rsid w:val="00E96590"/>
    <w:rsid w:val="00EA28E0"/>
    <w:rsid w:val="00EA5058"/>
    <w:rsid w:val="00EB037C"/>
    <w:rsid w:val="00EB4EE1"/>
    <w:rsid w:val="00EC382D"/>
    <w:rsid w:val="00ED0937"/>
    <w:rsid w:val="00ED1A13"/>
    <w:rsid w:val="00ED73AF"/>
    <w:rsid w:val="00EE1A37"/>
    <w:rsid w:val="00EF6BBA"/>
    <w:rsid w:val="00F025A3"/>
    <w:rsid w:val="00F07CF5"/>
    <w:rsid w:val="00F1152A"/>
    <w:rsid w:val="00F116BC"/>
    <w:rsid w:val="00F14CF6"/>
    <w:rsid w:val="00F2466E"/>
    <w:rsid w:val="00F2579B"/>
    <w:rsid w:val="00F25917"/>
    <w:rsid w:val="00F32E79"/>
    <w:rsid w:val="00F35AEA"/>
    <w:rsid w:val="00F41E04"/>
    <w:rsid w:val="00F47BD6"/>
    <w:rsid w:val="00F70393"/>
    <w:rsid w:val="00F901EA"/>
    <w:rsid w:val="00F92E73"/>
    <w:rsid w:val="00F97BB3"/>
    <w:rsid w:val="00FC737B"/>
    <w:rsid w:val="00FD2052"/>
    <w:rsid w:val="00FE1F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EAD7D"/>
  <w15:docId w15:val="{A58153C1-538E-4668-9B9F-4588843F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qFormat/>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0102F7"/>
    <w:rPr>
      <w:rFonts w:asciiTheme="minorHAnsi" w:hAnsiTheme="minorHAnsi"/>
      <w:b/>
      <w:bCs/>
    </w:rPr>
  </w:style>
  <w:style w:type="character" w:customStyle="1" w:styleId="CommentSubjectChar">
    <w:name w:val="Comment Subject Char"/>
    <w:basedOn w:val="CommentTextChar"/>
    <w:link w:val="CommentSubject"/>
    <w:uiPriority w:val="99"/>
    <w:semiHidden/>
    <w:rsid w:val="000102F7"/>
    <w:rPr>
      <w:rFonts w:ascii="Cambria" w:hAnsi="Cambria"/>
      <w:b/>
      <w:bCs/>
      <w:sz w:val="20"/>
      <w:szCs w:val="20"/>
    </w:rPr>
  </w:style>
  <w:style w:type="paragraph" w:customStyle="1" w:styleId="Default">
    <w:name w:val="Default"/>
    <w:rsid w:val="00981346"/>
    <w:pPr>
      <w:autoSpaceDE w:val="0"/>
      <w:autoSpaceDN w:val="0"/>
      <w:adjustRightInd w:val="0"/>
      <w:spacing w:after="0" w:line="240" w:lineRule="auto"/>
    </w:pPr>
    <w:rPr>
      <w:rFonts w:ascii="Times New Roman" w:eastAsia="SimSun" w:hAnsi="Times New Roman" w:cs="Times New Roman"/>
      <w:color w:val="000000"/>
      <w:sz w:val="24"/>
      <w:szCs w:val="24"/>
      <w:lang w:val="es-ES" w:eastAsia="es-ES"/>
    </w:rPr>
  </w:style>
  <w:style w:type="paragraph" w:styleId="BodyTextIndent2">
    <w:name w:val="Body Text Indent 2"/>
    <w:basedOn w:val="Normal"/>
    <w:link w:val="BodyTextIndent2Char"/>
    <w:rsid w:val="00981346"/>
    <w:pPr>
      <w:tabs>
        <w:tab w:val="left" w:pos="567"/>
      </w:tabs>
      <w:spacing w:after="120" w:line="480" w:lineRule="auto"/>
      <w:ind w:left="283"/>
    </w:pPr>
    <w:rPr>
      <w:rFonts w:ascii="Times New Roman" w:eastAsia="SimSun" w:hAnsi="Times New Roman" w:cs="Times New Roman"/>
      <w:szCs w:val="20"/>
      <w:lang w:val="en-GB"/>
    </w:rPr>
  </w:style>
  <w:style w:type="character" w:customStyle="1" w:styleId="BodyTextIndent2Char">
    <w:name w:val="Body Text Indent 2 Char"/>
    <w:basedOn w:val="DefaultParagraphFont"/>
    <w:link w:val="BodyTextIndent2"/>
    <w:rsid w:val="00981346"/>
    <w:rPr>
      <w:rFonts w:ascii="Times New Roman" w:eastAsia="SimSun" w:hAnsi="Times New Roman" w:cs="Times New Roman"/>
      <w:szCs w:val="20"/>
      <w:lang w:val="en-GB"/>
    </w:rPr>
  </w:style>
  <w:style w:type="character" w:customStyle="1" w:styleId="EstiloArial11pt">
    <w:name w:val="Estilo Arial 11 pt"/>
    <w:rsid w:val="00981346"/>
    <w:rPr>
      <w:rFonts w:ascii="Times New Roman" w:hAnsi="Times New Roman"/>
      <w:sz w:val="24"/>
    </w:rPr>
  </w:style>
  <w:style w:type="paragraph" w:styleId="ListBullet2">
    <w:name w:val="List Bullet 2"/>
    <w:basedOn w:val="Normal"/>
    <w:uiPriority w:val="99"/>
    <w:semiHidden/>
    <w:unhideWhenUsed/>
    <w:qFormat/>
    <w:rsid w:val="00136B74"/>
    <w:pPr>
      <w:adjustRightInd w:val="0"/>
      <w:snapToGrid w:val="0"/>
      <w:spacing w:before="120" w:after="180" w:line="240" w:lineRule="atLeast"/>
      <w:ind w:left="568" w:hanging="284"/>
    </w:pPr>
    <w:rPr>
      <w:rFonts w:ascii="Arial" w:eastAsia="Cambria" w:hAnsi="Arial" w:cs="Arial"/>
    </w:rPr>
  </w:style>
  <w:style w:type="paragraph" w:styleId="ListBullet3">
    <w:name w:val="List Bullet 3"/>
    <w:basedOn w:val="Normal"/>
    <w:uiPriority w:val="99"/>
    <w:semiHidden/>
    <w:unhideWhenUsed/>
    <w:qFormat/>
    <w:rsid w:val="00136B74"/>
    <w:pPr>
      <w:adjustRightInd w:val="0"/>
      <w:snapToGrid w:val="0"/>
      <w:spacing w:before="120" w:after="180" w:line="240" w:lineRule="atLeast"/>
      <w:ind w:left="993" w:hanging="284"/>
    </w:pPr>
    <w:rPr>
      <w:rFonts w:ascii="Arial" w:eastAsia="Cambria" w:hAnsi="Arial" w:cs="Arial"/>
    </w:rPr>
  </w:style>
  <w:style w:type="numbering" w:customStyle="1" w:styleId="ListBullets">
    <w:name w:val="ListBullets"/>
    <w:uiPriority w:val="99"/>
    <w:rsid w:val="00136B74"/>
    <w:pPr>
      <w:numPr>
        <w:numId w:val="17"/>
      </w:numPr>
    </w:pPr>
  </w:style>
  <w:style w:type="character" w:styleId="PlaceholderText">
    <w:name w:val="Placeholder Text"/>
    <w:basedOn w:val="DefaultParagraphFont"/>
    <w:uiPriority w:val="99"/>
    <w:semiHidden/>
    <w:rsid w:val="008C6132"/>
    <w:rPr>
      <w:color w:val="808080"/>
    </w:rPr>
  </w:style>
  <w:style w:type="paragraph" w:styleId="Revision">
    <w:name w:val="Revision"/>
    <w:hidden/>
    <w:uiPriority w:val="99"/>
    <w:semiHidden/>
    <w:rsid w:val="00D141A7"/>
    <w:pPr>
      <w:spacing w:after="0" w:line="240" w:lineRule="auto"/>
    </w:pPr>
  </w:style>
  <w:style w:type="paragraph" w:customStyle="1" w:styleId="Level1">
    <w:name w:val="Level 1"/>
    <w:basedOn w:val="Normal"/>
    <w:rsid w:val="00CE42E6"/>
    <w:pPr>
      <w:widowControl w:val="0"/>
      <w:spacing w:after="120" w:line="240" w:lineRule="auto"/>
    </w:pPr>
    <w:rPr>
      <w:rFonts w:ascii="Calibri" w:eastAsia="Times New Roman" w:hAnsi="Calibri" w:cs="Times New Roman"/>
      <w:sz w:val="24"/>
      <w:szCs w:val="20"/>
      <w:lang w:val="en-CA" w:eastAsia="en-CA"/>
    </w:rPr>
  </w:style>
  <w:style w:type="table" w:styleId="TableGrid">
    <w:name w:val="Table Grid"/>
    <w:basedOn w:val="TableNormal"/>
    <w:uiPriority w:val="59"/>
    <w:rsid w:val="00F07CF5"/>
    <w:pPr>
      <w:spacing w:after="0" w:line="240" w:lineRule="auto"/>
    </w:pPr>
    <w:rPr>
      <w:rFonts w:eastAsia="Cambr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2955">
      <w:bodyDiv w:val="1"/>
      <w:marLeft w:val="0"/>
      <w:marRight w:val="0"/>
      <w:marTop w:val="0"/>
      <w:marBottom w:val="0"/>
      <w:divBdr>
        <w:top w:val="none" w:sz="0" w:space="0" w:color="auto"/>
        <w:left w:val="none" w:sz="0" w:space="0" w:color="auto"/>
        <w:bottom w:val="none" w:sz="0" w:space="0" w:color="auto"/>
        <w:right w:val="none" w:sz="0" w:space="0" w:color="auto"/>
      </w:divBdr>
      <w:divsChild>
        <w:div w:id="1299412697">
          <w:marLeft w:val="0"/>
          <w:marRight w:val="0"/>
          <w:marTop w:val="0"/>
          <w:marBottom w:val="0"/>
          <w:divBdr>
            <w:top w:val="none" w:sz="0" w:space="0" w:color="auto"/>
            <w:left w:val="none" w:sz="0" w:space="0" w:color="auto"/>
            <w:bottom w:val="none" w:sz="0" w:space="0" w:color="auto"/>
            <w:right w:val="none" w:sz="0" w:space="0" w:color="auto"/>
          </w:divBdr>
          <w:divsChild>
            <w:div w:id="397360711">
              <w:marLeft w:val="0"/>
              <w:marRight w:val="0"/>
              <w:marTop w:val="0"/>
              <w:marBottom w:val="0"/>
              <w:divBdr>
                <w:top w:val="none" w:sz="0" w:space="0" w:color="auto"/>
                <w:left w:val="none" w:sz="0" w:space="0" w:color="auto"/>
                <w:bottom w:val="none" w:sz="0" w:space="0" w:color="auto"/>
                <w:right w:val="none" w:sz="0" w:space="0" w:color="auto"/>
              </w:divBdr>
              <w:divsChild>
                <w:div w:id="1508668968">
                  <w:marLeft w:val="0"/>
                  <w:marRight w:val="0"/>
                  <w:marTop w:val="0"/>
                  <w:marBottom w:val="0"/>
                  <w:divBdr>
                    <w:top w:val="none" w:sz="0" w:space="0" w:color="auto"/>
                    <w:left w:val="none" w:sz="0" w:space="0" w:color="auto"/>
                    <w:bottom w:val="none" w:sz="0" w:space="0" w:color="auto"/>
                    <w:right w:val="none" w:sz="0" w:space="0" w:color="auto"/>
                  </w:divBdr>
                  <w:divsChild>
                    <w:div w:id="1294944764">
                      <w:marLeft w:val="0"/>
                      <w:marRight w:val="0"/>
                      <w:marTop w:val="0"/>
                      <w:marBottom w:val="0"/>
                      <w:divBdr>
                        <w:top w:val="none" w:sz="0" w:space="0" w:color="auto"/>
                        <w:left w:val="none" w:sz="0" w:space="0" w:color="auto"/>
                        <w:bottom w:val="none" w:sz="0" w:space="0" w:color="auto"/>
                        <w:right w:val="none" w:sz="0" w:space="0" w:color="auto"/>
                      </w:divBdr>
                      <w:divsChild>
                        <w:div w:id="1000696234">
                          <w:marLeft w:val="0"/>
                          <w:marRight w:val="0"/>
                          <w:marTop w:val="0"/>
                          <w:marBottom w:val="0"/>
                          <w:divBdr>
                            <w:top w:val="none" w:sz="0" w:space="0" w:color="auto"/>
                            <w:left w:val="none" w:sz="0" w:space="0" w:color="auto"/>
                            <w:bottom w:val="none" w:sz="0" w:space="0" w:color="auto"/>
                            <w:right w:val="none" w:sz="0" w:space="0" w:color="auto"/>
                          </w:divBdr>
                          <w:divsChild>
                            <w:div w:id="669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0882">
      <w:bodyDiv w:val="1"/>
      <w:marLeft w:val="0"/>
      <w:marRight w:val="0"/>
      <w:marTop w:val="0"/>
      <w:marBottom w:val="0"/>
      <w:divBdr>
        <w:top w:val="none" w:sz="0" w:space="0" w:color="auto"/>
        <w:left w:val="none" w:sz="0" w:space="0" w:color="auto"/>
        <w:bottom w:val="none" w:sz="0" w:space="0" w:color="auto"/>
        <w:right w:val="none" w:sz="0" w:space="0" w:color="auto"/>
      </w:divBdr>
    </w:div>
    <w:div w:id="1273440292">
      <w:bodyDiv w:val="1"/>
      <w:marLeft w:val="0"/>
      <w:marRight w:val="0"/>
      <w:marTop w:val="0"/>
      <w:marBottom w:val="0"/>
      <w:divBdr>
        <w:top w:val="none" w:sz="0" w:space="0" w:color="auto"/>
        <w:left w:val="none" w:sz="0" w:space="0" w:color="auto"/>
        <w:bottom w:val="none" w:sz="0" w:space="0" w:color="auto"/>
        <w:right w:val="none" w:sz="0" w:space="0" w:color="auto"/>
      </w:divBdr>
    </w:div>
    <w:div w:id="1345789534">
      <w:bodyDiv w:val="1"/>
      <w:marLeft w:val="0"/>
      <w:marRight w:val="0"/>
      <w:marTop w:val="0"/>
      <w:marBottom w:val="0"/>
      <w:divBdr>
        <w:top w:val="none" w:sz="0" w:space="0" w:color="auto"/>
        <w:left w:val="none" w:sz="0" w:space="0" w:color="auto"/>
        <w:bottom w:val="none" w:sz="0" w:space="0" w:color="auto"/>
        <w:right w:val="none" w:sz="0" w:space="0" w:color="auto"/>
      </w:divBdr>
    </w:div>
    <w:div w:id="19353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tga.gov.au/reporting-proble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srt\Desktop\1.%20%20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7EE6EE8788074A87F63A61315F82FD" ma:contentTypeVersion="12" ma:contentTypeDescription="Create a new document." ma:contentTypeScope="" ma:versionID="fac9b8c223c4ef1bab15ab61a561f791">
  <xsd:schema xmlns:xsd="http://www.w3.org/2001/XMLSchema" xmlns:xs="http://www.w3.org/2001/XMLSchema" xmlns:p="http://schemas.microsoft.com/office/2006/metadata/properties" xmlns:ns2="292d63ee-8946-4e7c-ba16-d0bc4b08888c" xmlns:ns3="5ae8438e-c8e4-419a-adcd-8bfed0392627" targetNamespace="http://schemas.microsoft.com/office/2006/metadata/properties" ma:root="true" ma:fieldsID="4178c0f2d69be507adca82d1ffd99a6d" ns2:_="" ns3:_="">
    <xsd:import namespace="292d63ee-8946-4e7c-ba16-d0bc4b08888c"/>
    <xsd:import namespace="5ae8438e-c8e4-419a-adcd-8bfed0392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d63ee-8946-4e7c-ba16-d0bc4b088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8438e-c8e4-419a-adcd-8bfed0392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88A30-EE32-4B05-BB28-033CBDDC6C9D}">
  <ds:schemaRefs>
    <ds:schemaRef ds:uri="http://schemas.openxmlformats.org/officeDocument/2006/bibliography"/>
  </ds:schemaRefs>
</ds:datastoreItem>
</file>

<file path=customXml/itemProps2.xml><?xml version="1.0" encoding="utf-8"?>
<ds:datastoreItem xmlns:ds="http://schemas.openxmlformats.org/officeDocument/2006/customXml" ds:itemID="{D044D272-9B26-4166-AAF2-0413B0FCD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d63ee-8946-4e7c-ba16-d0bc4b08888c"/>
    <ds:schemaRef ds:uri="5ae8438e-c8e4-419a-adcd-8bfed0392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8B75F-DF61-456E-AE04-9DDBF24275C4}">
  <ds:schemaRefs>
    <ds:schemaRef ds:uri="http://schemas.microsoft.com/sharepoint/v3/contenttype/forms"/>
  </ds:schemaRefs>
</ds:datastoreItem>
</file>

<file path=customXml/itemProps4.xml><?xml version="1.0" encoding="utf-8"?>
<ds:datastoreItem xmlns:ds="http://schemas.openxmlformats.org/officeDocument/2006/customXml" ds:itemID="{7B4C1051-12A7-400D-8382-19E74BA47488}">
  <ds:schemaRefs>
    <ds:schemaRef ds:uri="http://purl.org/dc/terms/"/>
    <ds:schemaRef ds:uri="292d63ee-8946-4e7c-ba16-d0bc4b08888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ae8438e-c8e4-419a-adcd-8bfed039262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  pi-template-new-format.dotx</Template>
  <TotalTime>9</TotalTime>
  <Pages>21</Pages>
  <Words>5187</Words>
  <Characters>29570</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Product information for Human fibrinogen / Human thrombin</vt: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VeraSeal</dc:title>
  <dc:subject>prescription medicines</dc:subject>
  <dc:creator>Arno, Laura</dc:creator>
  <cp:keywords>AusPARs</cp:keywords>
  <cp:lastModifiedBy>PITKIN, Brendan</cp:lastModifiedBy>
  <cp:revision>6</cp:revision>
  <cp:lastPrinted>2021-10-20T06:26:00Z</cp:lastPrinted>
  <dcterms:created xsi:type="dcterms:W3CDTF">2022-02-15T08:16:00Z</dcterms:created>
  <dcterms:modified xsi:type="dcterms:W3CDTF">2022-08-10T04:25:00Z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9d1dd0-1981-46f4-b248-f2e6e4f06076_Enabled">
    <vt:lpwstr>true</vt:lpwstr>
  </property>
  <property fmtid="{D5CDD505-2E9C-101B-9397-08002B2CF9AE}" pid="3" name="MSIP_Label_889d1dd0-1981-46f4-b248-f2e6e4f06076_SetDate">
    <vt:lpwstr>2021-08-31T06:59:24Z</vt:lpwstr>
  </property>
  <property fmtid="{D5CDD505-2E9C-101B-9397-08002B2CF9AE}" pid="4" name="MSIP_Label_889d1dd0-1981-46f4-b248-f2e6e4f06076_Method">
    <vt:lpwstr>Standard</vt:lpwstr>
  </property>
  <property fmtid="{D5CDD505-2E9C-101B-9397-08002B2CF9AE}" pid="5" name="MSIP_Label_889d1dd0-1981-46f4-b248-f2e6e4f06076_Name">
    <vt:lpwstr>Grifols</vt:lpwstr>
  </property>
  <property fmtid="{D5CDD505-2E9C-101B-9397-08002B2CF9AE}" pid="6" name="MSIP_Label_889d1dd0-1981-46f4-b248-f2e6e4f06076_SiteId">
    <vt:lpwstr>4956b16b-4326-4985-a909-b22eb2db5618</vt:lpwstr>
  </property>
  <property fmtid="{D5CDD505-2E9C-101B-9397-08002B2CF9AE}" pid="7" name="MSIP_Label_889d1dd0-1981-46f4-b248-f2e6e4f06076_ActionId">
    <vt:lpwstr>21b21eca-53ab-4e91-a274-a1a6520eccba</vt:lpwstr>
  </property>
  <property fmtid="{D5CDD505-2E9C-101B-9397-08002B2CF9AE}" pid="8" name="MSIP_Label_889d1dd0-1981-46f4-b248-f2e6e4f06076_ContentBits">
    <vt:lpwstr>0</vt:lpwstr>
  </property>
  <property fmtid="{D5CDD505-2E9C-101B-9397-08002B2CF9AE}" pid="9" name="ContentTypeId">
    <vt:lpwstr>0x010100C97EE6EE8788074A87F63A61315F82FD</vt:lpwstr>
  </property>
</Properties>
</file>